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646A4" w14:textId="1C103313" w:rsidR="00094B6F" w:rsidRPr="00E71A36" w:rsidRDefault="00094B6F" w:rsidP="008027C8">
      <w:pPr>
        <w:spacing w:line="360" w:lineRule="auto"/>
        <w:jc w:val="both"/>
        <w:rPr>
          <w:rFonts w:ascii="Garamond" w:hAnsi="Garamond"/>
          <w:b/>
          <w:bCs/>
        </w:rPr>
      </w:pPr>
      <w:r w:rsidRPr="00E71A36">
        <w:rPr>
          <w:rFonts w:ascii="Garamond" w:eastAsia="Arial" w:hAnsi="Garamond" w:cs="Arial"/>
          <w:b/>
          <w:bCs/>
        </w:rPr>
        <w:t>Distance-Decay Relationships of Air Pollutant Concentrations near Open Waste Burning Sites in Nairobi, Kenya: Evidence from Kibera</w:t>
      </w:r>
      <w:r w:rsidRPr="00E71A36">
        <w:rPr>
          <w:rFonts w:ascii="Garamond" w:hAnsi="Garamond"/>
          <w:b/>
          <w:bCs/>
        </w:rPr>
        <w:t xml:space="preserve"> </w:t>
      </w:r>
    </w:p>
    <w:p w14:paraId="05F3AF8C" w14:textId="6ED0D80B" w:rsidR="000F4A50" w:rsidRPr="00E71A36" w:rsidRDefault="000F4A50" w:rsidP="008027C8">
      <w:pPr>
        <w:spacing w:line="360" w:lineRule="auto"/>
        <w:jc w:val="both"/>
        <w:rPr>
          <w:rFonts w:ascii="Garamond" w:hAnsi="Garamond"/>
          <w:b/>
          <w:bCs/>
        </w:rPr>
      </w:pPr>
      <w:r w:rsidRPr="00E71A36">
        <w:rPr>
          <w:rFonts w:ascii="Garamond" w:hAnsi="Garamond"/>
          <w:b/>
          <w:bCs/>
        </w:rPr>
        <w:t>Abstract</w:t>
      </w:r>
    </w:p>
    <w:p w14:paraId="3641E70B" w14:textId="6E96A0AA" w:rsidR="00553B28" w:rsidRPr="00E71A36" w:rsidRDefault="00553B28" w:rsidP="008027C8">
      <w:pPr>
        <w:spacing w:line="360" w:lineRule="auto"/>
        <w:jc w:val="both"/>
        <w:rPr>
          <w:rFonts w:ascii="Garamond" w:hAnsi="Garamond"/>
        </w:rPr>
      </w:pPr>
      <w:r w:rsidRPr="00E71A36">
        <w:rPr>
          <w:rFonts w:ascii="Garamond" w:hAnsi="Garamond"/>
        </w:rPr>
        <w:t>Open waste burning in informal settlements contributes to localized air pollution, posing significant health risks. This study investigated the distance-decay relationship of air pollutant concentrations near open waste burning sites in Ki</w:t>
      </w:r>
      <w:r w:rsidR="006E4977" w:rsidRPr="006E4977">
        <w:t xml:space="preserve"> </w:t>
      </w:r>
      <w:r w:rsidR="006E4977" w:rsidRPr="006E4977">
        <w:rPr>
          <w:rFonts w:ascii="Garamond" w:hAnsi="Garamond"/>
        </w:rPr>
        <w:t xml:space="preserve">Keywords </w:t>
      </w:r>
      <w:proofErr w:type="spellStart"/>
      <w:r w:rsidRPr="00E71A36">
        <w:rPr>
          <w:rFonts w:ascii="Garamond" w:hAnsi="Garamond"/>
        </w:rPr>
        <w:t>bera</w:t>
      </w:r>
      <w:proofErr w:type="spellEnd"/>
      <w:r w:rsidRPr="00E71A36">
        <w:rPr>
          <w:rFonts w:ascii="Garamond" w:hAnsi="Garamond"/>
        </w:rPr>
        <w:t>, Nairobi, Kenya. Air samples were collected at 21 sampling points across three distance ranges (0–500</w:t>
      </w:r>
      <w:r w:rsidRPr="00E71A36">
        <w:rPr>
          <w:rFonts w:ascii="Times New Roman" w:hAnsi="Times New Roman" w:cs="Times New Roman"/>
        </w:rPr>
        <w:t> </w:t>
      </w:r>
      <w:r w:rsidRPr="00E71A36">
        <w:rPr>
          <w:rFonts w:ascii="Garamond" w:hAnsi="Garamond"/>
        </w:rPr>
        <w:t>m, 500</w:t>
      </w:r>
      <w:r w:rsidRPr="00E71A36">
        <w:rPr>
          <w:rFonts w:ascii="Garamond" w:hAnsi="Garamond" w:cs="Garamond"/>
        </w:rPr>
        <w:t>–</w:t>
      </w:r>
      <w:r w:rsidRPr="00E71A36">
        <w:rPr>
          <w:rFonts w:ascii="Garamond" w:hAnsi="Garamond"/>
        </w:rPr>
        <w:t>1000</w:t>
      </w:r>
      <w:r w:rsidRPr="00E71A36">
        <w:rPr>
          <w:rFonts w:ascii="Times New Roman" w:hAnsi="Times New Roman" w:cs="Times New Roman"/>
        </w:rPr>
        <w:t> </w:t>
      </w:r>
      <w:r w:rsidRPr="00E71A36">
        <w:rPr>
          <w:rFonts w:ascii="Garamond" w:hAnsi="Garamond"/>
        </w:rPr>
        <w:t>m, and &gt;1000</w:t>
      </w:r>
      <w:r w:rsidRPr="00E71A36">
        <w:rPr>
          <w:rFonts w:ascii="Times New Roman" w:hAnsi="Times New Roman" w:cs="Times New Roman"/>
        </w:rPr>
        <w:t> </w:t>
      </w:r>
      <w:r w:rsidRPr="00E71A36">
        <w:rPr>
          <w:rFonts w:ascii="Garamond" w:hAnsi="Garamond"/>
        </w:rPr>
        <w:t>m) from active burning sites over a two-month period in 2025. Pollutants measured included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SO</w:t>
      </w:r>
      <w:r w:rsidRPr="00E71A36">
        <w:rPr>
          <w:rFonts w:ascii="Cambria Math" w:hAnsi="Cambria Math" w:cs="Cambria Math"/>
        </w:rPr>
        <w:t>₂</w:t>
      </w:r>
      <w:r w:rsidRPr="00E71A36">
        <w:rPr>
          <w:rFonts w:ascii="Garamond" w:hAnsi="Garamond"/>
        </w:rPr>
        <w:t>, CO</w:t>
      </w:r>
      <w:r w:rsidRPr="00E71A36">
        <w:rPr>
          <w:rFonts w:ascii="Cambria Math" w:hAnsi="Cambria Math" w:cs="Cambria Math"/>
        </w:rPr>
        <w:t>₂</w:t>
      </w:r>
      <w:r w:rsidRPr="00E71A36">
        <w:rPr>
          <w:rFonts w:ascii="Garamond" w:hAnsi="Garamond"/>
        </w:rPr>
        <w:t>, and CH</w:t>
      </w:r>
      <w:r w:rsidRPr="00E71A36">
        <w:rPr>
          <w:rFonts w:ascii="Cambria Math" w:hAnsi="Cambria Math" w:cs="Cambria Math"/>
        </w:rPr>
        <w:t>₄</w:t>
      </w:r>
      <w:r w:rsidRPr="00E71A36">
        <w:rPr>
          <w:rFonts w:ascii="Garamond" w:hAnsi="Garamond"/>
        </w:rPr>
        <w:t>, using calibrated portable and fixed air quality monitors. Data were analyzed using linear regression and one-way ANOVA to examine relationships between pollutant concentrations and distance.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xml:space="preserve"> levels were highest within 0–500</w:t>
      </w:r>
      <w:r w:rsidRPr="00E71A36">
        <w:rPr>
          <w:rFonts w:ascii="Times New Roman" w:hAnsi="Times New Roman" w:cs="Times New Roman"/>
        </w:rPr>
        <w:t> </w:t>
      </w:r>
      <w:r w:rsidRPr="00E71A36">
        <w:rPr>
          <w:rFonts w:ascii="Garamond" w:hAnsi="Garamond"/>
        </w:rPr>
        <w:t>m, reaching 150</w:t>
      </w:r>
      <w:r w:rsidRPr="00E71A36">
        <w:rPr>
          <w:rFonts w:ascii="Times New Roman" w:hAnsi="Times New Roman" w:cs="Times New Roman"/>
        </w:rPr>
        <w:t> </w:t>
      </w:r>
      <w:r w:rsidRPr="00E71A36">
        <w:rPr>
          <w:rFonts w:ascii="Garamond" w:hAnsi="Garamond"/>
        </w:rPr>
        <w:t>µg/m³ ten times the WHO 24-hour guideline of 15</w:t>
      </w:r>
      <w:r w:rsidRPr="00E71A36">
        <w:rPr>
          <w:rFonts w:ascii="Times New Roman" w:hAnsi="Times New Roman" w:cs="Times New Roman"/>
        </w:rPr>
        <w:t> </w:t>
      </w:r>
      <w:r w:rsidRPr="00E71A36">
        <w:rPr>
          <w:rFonts w:ascii="Garamond" w:hAnsi="Garamond"/>
        </w:rPr>
        <w:t>µg/m³ and decreased to 45</w:t>
      </w:r>
      <w:r w:rsidRPr="00E71A36">
        <w:rPr>
          <w:rFonts w:ascii="Times New Roman" w:hAnsi="Times New Roman" w:cs="Times New Roman"/>
        </w:rPr>
        <w:t> </w:t>
      </w:r>
      <w:r w:rsidRPr="00E71A36">
        <w:rPr>
          <w:rFonts w:ascii="Garamond" w:hAnsi="Garamond"/>
        </w:rPr>
        <w:t>µg/m³ beyond 1000</w:t>
      </w:r>
      <w:r w:rsidRPr="00E71A36">
        <w:rPr>
          <w:rFonts w:ascii="Times New Roman" w:hAnsi="Times New Roman" w:cs="Times New Roman"/>
        </w:rPr>
        <w:t> </w:t>
      </w:r>
      <w:r w:rsidRPr="00E71A36">
        <w:rPr>
          <w:rFonts w:ascii="Garamond" w:hAnsi="Garamond"/>
        </w:rPr>
        <w:t>m. SO</w:t>
      </w:r>
      <w:r w:rsidRPr="00E71A36">
        <w:rPr>
          <w:rFonts w:ascii="Cambria Math" w:hAnsi="Cambria Math" w:cs="Cambria Math"/>
        </w:rPr>
        <w:t>₂</w:t>
      </w:r>
      <w:r w:rsidRPr="00E71A36">
        <w:rPr>
          <w:rFonts w:ascii="Garamond" w:hAnsi="Garamond"/>
        </w:rPr>
        <w:t xml:space="preserve"> exhibited a similar decline from 55</w:t>
      </w:r>
      <w:r w:rsidRPr="00E71A36">
        <w:rPr>
          <w:rFonts w:ascii="Times New Roman" w:hAnsi="Times New Roman" w:cs="Times New Roman"/>
        </w:rPr>
        <w:t> </w:t>
      </w:r>
      <w:r w:rsidRPr="00E71A36">
        <w:rPr>
          <w:rFonts w:ascii="Garamond" w:hAnsi="Garamond"/>
        </w:rPr>
        <w:t>ppb to 15</w:t>
      </w:r>
      <w:r w:rsidRPr="00E71A36">
        <w:rPr>
          <w:rFonts w:ascii="Times New Roman" w:hAnsi="Times New Roman" w:cs="Times New Roman"/>
        </w:rPr>
        <w:t> </w:t>
      </w:r>
      <w:r w:rsidRPr="00E71A36">
        <w:rPr>
          <w:rFonts w:ascii="Garamond" w:hAnsi="Garamond"/>
        </w:rPr>
        <w:t>ppb. Regression analysis indicated a significant negative relationship between distance and pollutant concentration (R²</w:t>
      </w:r>
      <w:r w:rsidRPr="00E71A36">
        <w:rPr>
          <w:rFonts w:ascii="Times New Roman" w:hAnsi="Times New Roman" w:cs="Times New Roman"/>
        </w:rPr>
        <w:t> </w:t>
      </w:r>
      <w:r w:rsidRPr="00E71A36">
        <w:rPr>
          <w:rFonts w:ascii="Garamond" w:hAnsi="Garamond"/>
        </w:rPr>
        <w:t>=</w:t>
      </w:r>
      <w:r w:rsidRPr="00E71A36">
        <w:rPr>
          <w:rFonts w:ascii="Times New Roman" w:hAnsi="Times New Roman" w:cs="Times New Roman"/>
        </w:rPr>
        <w:t> </w:t>
      </w:r>
      <w:r w:rsidRPr="00E71A36">
        <w:rPr>
          <w:rFonts w:ascii="Garamond" w:hAnsi="Garamond"/>
        </w:rPr>
        <w:t>0.530), while ANOVA confirmed differences across zones (F</w:t>
      </w:r>
      <w:r w:rsidRPr="00E71A36">
        <w:rPr>
          <w:rFonts w:ascii="Times New Roman" w:hAnsi="Times New Roman" w:cs="Times New Roman"/>
        </w:rPr>
        <w:t> </w:t>
      </w:r>
      <w:r w:rsidRPr="00E71A36">
        <w:rPr>
          <w:rFonts w:ascii="Garamond" w:hAnsi="Garamond"/>
        </w:rPr>
        <w:t>=</w:t>
      </w:r>
      <w:r w:rsidRPr="00E71A36">
        <w:rPr>
          <w:rFonts w:ascii="Times New Roman" w:hAnsi="Times New Roman" w:cs="Times New Roman"/>
        </w:rPr>
        <w:t> </w:t>
      </w:r>
      <w:r w:rsidRPr="00E71A36">
        <w:rPr>
          <w:rFonts w:ascii="Garamond" w:hAnsi="Garamond"/>
        </w:rPr>
        <w:t>49.521, p</w:t>
      </w:r>
      <w:r w:rsidRPr="00E71A36">
        <w:rPr>
          <w:rFonts w:ascii="Times New Roman" w:hAnsi="Times New Roman" w:cs="Times New Roman"/>
        </w:rPr>
        <w:t> </w:t>
      </w:r>
      <w:r w:rsidRPr="00E71A36">
        <w:rPr>
          <w:rFonts w:ascii="Garamond" w:hAnsi="Garamond"/>
        </w:rPr>
        <w:t>&lt;</w:t>
      </w:r>
      <w:r w:rsidRPr="00E71A36">
        <w:rPr>
          <w:rFonts w:ascii="Times New Roman" w:hAnsi="Times New Roman" w:cs="Times New Roman"/>
        </w:rPr>
        <w:t> </w:t>
      </w:r>
      <w:r w:rsidRPr="00E71A36">
        <w:rPr>
          <w:rFonts w:ascii="Garamond" w:hAnsi="Garamond"/>
        </w:rPr>
        <w:t>0.001). CO</w:t>
      </w:r>
      <w:r w:rsidRPr="00E71A36">
        <w:rPr>
          <w:rFonts w:ascii="Cambria Math" w:hAnsi="Cambria Math" w:cs="Cambria Math"/>
        </w:rPr>
        <w:t>₂</w:t>
      </w:r>
      <w:r w:rsidRPr="00E71A36">
        <w:rPr>
          <w:rFonts w:ascii="Garamond" w:hAnsi="Garamond"/>
        </w:rPr>
        <w:t xml:space="preserve"> and CH</w:t>
      </w:r>
      <w:r w:rsidRPr="00E71A36">
        <w:rPr>
          <w:rFonts w:ascii="Cambria Math" w:hAnsi="Cambria Math" w:cs="Cambria Math"/>
        </w:rPr>
        <w:t>₄</w:t>
      </w:r>
      <w:r w:rsidRPr="00E71A36">
        <w:rPr>
          <w:rFonts w:ascii="Garamond" w:hAnsi="Garamond"/>
        </w:rPr>
        <w:t xml:space="preserve"> showed more gradual declines but remained elevated near burning sites, highlighting greenhouse gas contributions. Pollutant concentrations decline sharply with distance from waste burning sites, with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xml:space="preserve"> and SO</w:t>
      </w:r>
      <w:r w:rsidRPr="00E71A36">
        <w:rPr>
          <w:rFonts w:ascii="Cambria Math" w:hAnsi="Cambria Math" w:cs="Cambria Math"/>
        </w:rPr>
        <w:t>₂</w:t>
      </w:r>
      <w:r w:rsidRPr="00E71A36">
        <w:rPr>
          <w:rFonts w:ascii="Garamond" w:hAnsi="Garamond"/>
        </w:rPr>
        <w:t xml:space="preserve"> posing the highest immediate health risks. These findings support the establishment of buffer zones and targeted mitigation strategies in Nairobi’s informal settlements to protect public health.</w:t>
      </w:r>
    </w:p>
    <w:p w14:paraId="0BEA24B7" w14:textId="5C35C80A" w:rsidR="003225C2" w:rsidRPr="00E71A36" w:rsidRDefault="00094B6F" w:rsidP="008027C8">
      <w:pPr>
        <w:spacing w:line="360" w:lineRule="auto"/>
        <w:jc w:val="both"/>
        <w:rPr>
          <w:rFonts w:ascii="Garamond" w:hAnsi="Garamond"/>
        </w:rPr>
      </w:pPr>
      <w:r w:rsidRPr="00E71A36">
        <w:rPr>
          <w:rFonts w:ascii="Garamond" w:hAnsi="Garamond"/>
        </w:rPr>
        <w:t xml:space="preserve">Key words </w:t>
      </w:r>
      <w:r w:rsidR="003225C2" w:rsidRPr="00E71A36">
        <w:rPr>
          <w:rFonts w:ascii="Garamond" w:hAnsi="Garamond"/>
        </w:rPr>
        <w:t>PM</w:t>
      </w:r>
      <w:proofErr w:type="gramStart"/>
      <w:r w:rsidR="003225C2" w:rsidRPr="00E71A36">
        <w:rPr>
          <w:rFonts w:ascii="Cambria Math" w:hAnsi="Cambria Math" w:cs="Cambria Math"/>
        </w:rPr>
        <w:t>₂</w:t>
      </w:r>
      <w:r w:rsidR="003225C2" w:rsidRPr="00E71A36">
        <w:rPr>
          <w:rFonts w:ascii="Garamond" w:hAnsi="Garamond"/>
        </w:rPr>
        <w:t>.</w:t>
      </w:r>
      <w:r w:rsidR="003225C2" w:rsidRPr="00E71A36">
        <w:rPr>
          <w:rFonts w:ascii="Cambria Math" w:hAnsi="Cambria Math" w:cs="Cambria Math"/>
        </w:rPr>
        <w:t>₅</w:t>
      </w:r>
      <w:proofErr w:type="gramEnd"/>
      <w:r w:rsidR="003225C2" w:rsidRPr="00E71A36">
        <w:rPr>
          <w:rFonts w:ascii="Garamond" w:hAnsi="Garamond"/>
        </w:rPr>
        <w:t>, Waste burning, Air pollution, Dumpsites, Urban air quality</w:t>
      </w:r>
    </w:p>
    <w:p w14:paraId="2DE0347E" w14:textId="493609EE" w:rsidR="000F4A50" w:rsidRPr="00E71A36" w:rsidRDefault="000F4A50" w:rsidP="008027C8">
      <w:pPr>
        <w:spacing w:line="360" w:lineRule="auto"/>
        <w:jc w:val="both"/>
        <w:rPr>
          <w:rFonts w:ascii="Garamond" w:hAnsi="Garamond"/>
          <w:b/>
          <w:bCs/>
        </w:rPr>
      </w:pPr>
      <w:r w:rsidRPr="00E71A36">
        <w:rPr>
          <w:rFonts w:ascii="Garamond" w:hAnsi="Garamond"/>
          <w:b/>
          <w:bCs/>
        </w:rPr>
        <w:t>1</w:t>
      </w:r>
      <w:r w:rsidR="00AE5616" w:rsidRPr="00E71A36">
        <w:rPr>
          <w:rFonts w:ascii="Garamond" w:hAnsi="Garamond"/>
          <w:b/>
          <w:bCs/>
        </w:rPr>
        <w:t>.0.</w:t>
      </w:r>
      <w:r w:rsidRPr="00E71A36">
        <w:rPr>
          <w:rFonts w:ascii="Garamond" w:hAnsi="Garamond"/>
          <w:b/>
          <w:bCs/>
        </w:rPr>
        <w:t xml:space="preserve"> Introduction</w:t>
      </w:r>
    </w:p>
    <w:p w14:paraId="7AA51631" w14:textId="77777777" w:rsidR="00B66D8F" w:rsidRPr="00E71A36" w:rsidRDefault="00B66D8F" w:rsidP="008027C8">
      <w:pPr>
        <w:spacing w:line="360" w:lineRule="auto"/>
        <w:jc w:val="both"/>
        <w:rPr>
          <w:rFonts w:ascii="Garamond" w:hAnsi="Garamond"/>
        </w:rPr>
      </w:pPr>
      <w:r w:rsidRPr="00E71A36">
        <w:rPr>
          <w:rFonts w:ascii="Garamond" w:hAnsi="Garamond"/>
        </w:rPr>
        <w:t>Rapid urbanization in Nairobi County has significantly increased the generation of solid waste, overwhelming formal waste management systems and leading to widespread informal dumping and open burning practices (</w:t>
      </w:r>
      <w:proofErr w:type="spellStart"/>
      <w:r w:rsidRPr="00E71A36">
        <w:rPr>
          <w:rFonts w:ascii="Garamond" w:hAnsi="Garamond"/>
        </w:rPr>
        <w:t>Sembiring</w:t>
      </w:r>
      <w:proofErr w:type="spellEnd"/>
      <w:r w:rsidRPr="00E71A36">
        <w:rPr>
          <w:rFonts w:ascii="Garamond" w:hAnsi="Garamond"/>
        </w:rPr>
        <w:t xml:space="preserve"> et al., 2020; </w:t>
      </w:r>
      <w:proofErr w:type="spellStart"/>
      <w:r w:rsidRPr="00E71A36">
        <w:rPr>
          <w:rFonts w:ascii="Garamond" w:hAnsi="Garamond"/>
        </w:rPr>
        <w:t>Ferronato</w:t>
      </w:r>
      <w:proofErr w:type="spellEnd"/>
      <w:r w:rsidRPr="00E71A36">
        <w:rPr>
          <w:rFonts w:ascii="Garamond" w:hAnsi="Garamond"/>
        </w:rPr>
        <w:t xml:space="preserve"> &amp; </w:t>
      </w:r>
      <w:proofErr w:type="spellStart"/>
      <w:r w:rsidRPr="00E71A36">
        <w:rPr>
          <w:rFonts w:ascii="Garamond" w:hAnsi="Garamond"/>
        </w:rPr>
        <w:t>Torretta</w:t>
      </w:r>
      <w:proofErr w:type="spellEnd"/>
      <w:r w:rsidRPr="00E71A36">
        <w:rPr>
          <w:rFonts w:ascii="Garamond" w:hAnsi="Garamond"/>
        </w:rPr>
        <w:t>, 2019). These activities release substantial amounts of particulate matter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and gaseous pollutants, including carbon dioxide (CO</w:t>
      </w:r>
      <w:r w:rsidRPr="00E71A36">
        <w:rPr>
          <w:rFonts w:ascii="Cambria Math" w:hAnsi="Cambria Math" w:cs="Cambria Math"/>
        </w:rPr>
        <w:t>₂</w:t>
      </w:r>
      <w:r w:rsidRPr="00E71A36">
        <w:rPr>
          <w:rFonts w:ascii="Garamond" w:hAnsi="Garamond"/>
        </w:rPr>
        <w:t xml:space="preserve">), </w:t>
      </w:r>
      <w:proofErr w:type="spellStart"/>
      <w:r w:rsidRPr="00E71A36">
        <w:rPr>
          <w:rFonts w:ascii="Garamond" w:hAnsi="Garamond"/>
        </w:rPr>
        <w:t>sulphur</w:t>
      </w:r>
      <w:proofErr w:type="spellEnd"/>
      <w:r w:rsidRPr="00E71A36">
        <w:rPr>
          <w:rFonts w:ascii="Garamond" w:hAnsi="Garamond"/>
        </w:rPr>
        <w:t xml:space="preserve"> dioxide (SO</w:t>
      </w:r>
      <w:r w:rsidRPr="00E71A36">
        <w:rPr>
          <w:rFonts w:ascii="Cambria Math" w:hAnsi="Cambria Math" w:cs="Cambria Math"/>
        </w:rPr>
        <w:t>₂</w:t>
      </w:r>
      <w:r w:rsidRPr="00E71A36">
        <w:rPr>
          <w:rFonts w:ascii="Garamond" w:hAnsi="Garamond"/>
        </w:rPr>
        <w:t>), and methane (CH</w:t>
      </w:r>
      <w:r w:rsidRPr="00E71A36">
        <w:rPr>
          <w:rFonts w:ascii="Cambria Math" w:hAnsi="Cambria Math" w:cs="Cambria Math"/>
        </w:rPr>
        <w:t>₄</w:t>
      </w:r>
      <w:r w:rsidRPr="00E71A36">
        <w:rPr>
          <w:rFonts w:ascii="Garamond" w:hAnsi="Garamond"/>
        </w:rPr>
        <w:t>), which degrade urban air quality and pose serious environmental and public health risks (WHO, 2021; United States Environmental Protection Agency [U.S. EPA], 2023). Exposure to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xml:space="preserve"> is particularly harmful, as these fine particles can penetrate deep into the lungs and enter the bloodstream, increasing the risk of respiratory infections, </w:t>
      </w:r>
      <w:r w:rsidRPr="00E71A36">
        <w:rPr>
          <w:rFonts w:ascii="Garamond" w:hAnsi="Garamond"/>
        </w:rPr>
        <w:lastRenderedPageBreak/>
        <w:t>cardiovascular diseases, and premature mortality (</w:t>
      </w:r>
      <w:proofErr w:type="spellStart"/>
      <w:r w:rsidRPr="00E71A36">
        <w:rPr>
          <w:rFonts w:ascii="Garamond" w:hAnsi="Garamond"/>
        </w:rPr>
        <w:t>Apte</w:t>
      </w:r>
      <w:proofErr w:type="spellEnd"/>
      <w:r w:rsidRPr="00E71A36">
        <w:rPr>
          <w:rFonts w:ascii="Garamond" w:hAnsi="Garamond"/>
        </w:rPr>
        <w:t xml:space="preserve"> et al., 2018). SO</w:t>
      </w:r>
      <w:r w:rsidRPr="00E71A36">
        <w:rPr>
          <w:rFonts w:ascii="Cambria Math" w:hAnsi="Cambria Math" w:cs="Cambria Math"/>
        </w:rPr>
        <w:t>₂</w:t>
      </w:r>
      <w:r w:rsidRPr="00E71A36">
        <w:rPr>
          <w:rFonts w:ascii="Garamond" w:hAnsi="Garamond"/>
        </w:rPr>
        <w:t xml:space="preserve"> contributes to respiratory irritation and acid rain formation, while CH</w:t>
      </w:r>
      <w:r w:rsidRPr="00E71A36">
        <w:rPr>
          <w:rFonts w:ascii="Cambria Math" w:hAnsi="Cambria Math" w:cs="Cambria Math"/>
        </w:rPr>
        <w:t>₄</w:t>
      </w:r>
      <w:r w:rsidRPr="00E71A36">
        <w:rPr>
          <w:rFonts w:ascii="Garamond" w:hAnsi="Garamond"/>
        </w:rPr>
        <w:t xml:space="preserve"> acts as a potent greenhouse gas, accelerating climate change (Kumar et al., 2022; WHO, 2021).</w:t>
      </w:r>
    </w:p>
    <w:p w14:paraId="0664B34A" w14:textId="45B0EC44" w:rsidR="00B66D8F" w:rsidRPr="00E71A36" w:rsidRDefault="00B66D8F" w:rsidP="008027C8">
      <w:pPr>
        <w:spacing w:line="360" w:lineRule="auto"/>
        <w:jc w:val="both"/>
        <w:rPr>
          <w:rFonts w:ascii="Garamond" w:hAnsi="Garamond"/>
        </w:rPr>
      </w:pPr>
      <w:r w:rsidRPr="00E71A36">
        <w:rPr>
          <w:rFonts w:ascii="Garamond" w:hAnsi="Garamond"/>
        </w:rPr>
        <w:t xml:space="preserve">Pollutant concentrations tend to be highest near burning sites, disproportionately affecting vulnerable populations residing in close proximity (Arunachalam et al., 2021; </w:t>
      </w:r>
      <w:proofErr w:type="spellStart"/>
      <w:r w:rsidRPr="00E71A36">
        <w:rPr>
          <w:rFonts w:ascii="Garamond" w:hAnsi="Garamond"/>
        </w:rPr>
        <w:t>Egondi</w:t>
      </w:r>
      <w:proofErr w:type="spellEnd"/>
      <w:r w:rsidRPr="00E71A36">
        <w:rPr>
          <w:rFonts w:ascii="Garamond" w:hAnsi="Garamond"/>
        </w:rPr>
        <w:t xml:space="preserve"> et al., 2016). Understanding how these concentrations decrease with distance is critical for assessing exposure risks, designing buffer zones, and informing urban planning and environmental management policies. This study aims to quantify the relationship between air pollutant levels and distance from dumping sites in Nairobi County, providing empirical evidence for policymakers to mitigate health risks and improve urban air quality. This study aims to determine the relationship between PM2.5, CO2, SO2, and CH4 concentrations and the distance from dumping sites with active burning in Nairobi County.</w:t>
      </w:r>
    </w:p>
    <w:p w14:paraId="485AD8FE" w14:textId="6D78CE25" w:rsidR="00B66D8F" w:rsidRPr="00E71A36" w:rsidRDefault="00AE5616" w:rsidP="008027C8">
      <w:pPr>
        <w:spacing w:line="360" w:lineRule="auto"/>
        <w:jc w:val="both"/>
        <w:rPr>
          <w:rFonts w:ascii="Garamond" w:hAnsi="Garamond"/>
          <w:b/>
          <w:bCs/>
        </w:rPr>
      </w:pPr>
      <w:r w:rsidRPr="00E71A36">
        <w:rPr>
          <w:rFonts w:ascii="Garamond" w:hAnsi="Garamond"/>
          <w:b/>
          <w:bCs/>
        </w:rPr>
        <w:t>1.2</w:t>
      </w:r>
      <w:r w:rsidR="00006810" w:rsidRPr="00E71A36">
        <w:rPr>
          <w:rFonts w:ascii="Garamond" w:hAnsi="Garamond"/>
          <w:b/>
          <w:bCs/>
        </w:rPr>
        <w:t>. Statement</w:t>
      </w:r>
      <w:r w:rsidR="00B66D8F" w:rsidRPr="00E71A36">
        <w:rPr>
          <w:rFonts w:ascii="Garamond" w:hAnsi="Garamond"/>
          <w:b/>
          <w:bCs/>
        </w:rPr>
        <w:t xml:space="preserve"> of the Problem</w:t>
      </w:r>
    </w:p>
    <w:p w14:paraId="60435273" w14:textId="77777777" w:rsidR="00B66D8F" w:rsidRPr="00E71A36" w:rsidRDefault="00B66D8F" w:rsidP="008027C8">
      <w:pPr>
        <w:spacing w:line="360" w:lineRule="auto"/>
        <w:jc w:val="both"/>
        <w:rPr>
          <w:rFonts w:ascii="Garamond" w:hAnsi="Garamond"/>
        </w:rPr>
      </w:pPr>
      <w:r w:rsidRPr="00E71A36">
        <w:rPr>
          <w:rFonts w:ascii="Garamond" w:hAnsi="Garamond"/>
        </w:rPr>
        <w:t>Rapid urbanization in Nairobi County has led to a significant increase in solid waste generation, with informal dumping and open burning becoming widespread due to limited waste management infrastructure (</w:t>
      </w:r>
      <w:proofErr w:type="spellStart"/>
      <w:r w:rsidRPr="00E71A36">
        <w:rPr>
          <w:rFonts w:ascii="Garamond" w:hAnsi="Garamond"/>
        </w:rPr>
        <w:t>Sembiring</w:t>
      </w:r>
      <w:proofErr w:type="spellEnd"/>
      <w:r w:rsidRPr="00E71A36">
        <w:rPr>
          <w:rFonts w:ascii="Garamond" w:hAnsi="Garamond"/>
        </w:rPr>
        <w:t xml:space="preserve"> et al., 2020; </w:t>
      </w:r>
      <w:proofErr w:type="spellStart"/>
      <w:r w:rsidRPr="00E71A36">
        <w:rPr>
          <w:rFonts w:ascii="Garamond" w:hAnsi="Garamond"/>
        </w:rPr>
        <w:t>Ferronato</w:t>
      </w:r>
      <w:proofErr w:type="spellEnd"/>
      <w:r w:rsidRPr="00E71A36">
        <w:rPr>
          <w:rFonts w:ascii="Garamond" w:hAnsi="Garamond"/>
        </w:rPr>
        <w:t xml:space="preserve"> &amp; </w:t>
      </w:r>
      <w:proofErr w:type="spellStart"/>
      <w:r w:rsidRPr="00E71A36">
        <w:rPr>
          <w:rFonts w:ascii="Garamond" w:hAnsi="Garamond"/>
        </w:rPr>
        <w:t>Torretta</w:t>
      </w:r>
      <w:proofErr w:type="spellEnd"/>
      <w:r w:rsidRPr="00E71A36">
        <w:rPr>
          <w:rFonts w:ascii="Garamond" w:hAnsi="Garamond"/>
        </w:rPr>
        <w:t>, 2019). Open burning of waste releases high concentrations of particulate matter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and gaseous pollutants, including carbon dioxide (CO</w:t>
      </w:r>
      <w:r w:rsidRPr="00E71A36">
        <w:rPr>
          <w:rFonts w:ascii="Cambria Math" w:hAnsi="Cambria Math" w:cs="Cambria Math"/>
        </w:rPr>
        <w:t>₂</w:t>
      </w:r>
      <w:r w:rsidRPr="00E71A36">
        <w:rPr>
          <w:rFonts w:ascii="Garamond" w:hAnsi="Garamond"/>
        </w:rPr>
        <w:t xml:space="preserve">), </w:t>
      </w:r>
      <w:proofErr w:type="spellStart"/>
      <w:r w:rsidRPr="00E71A36">
        <w:rPr>
          <w:rFonts w:ascii="Garamond" w:hAnsi="Garamond"/>
        </w:rPr>
        <w:t>sulphur</w:t>
      </w:r>
      <w:proofErr w:type="spellEnd"/>
      <w:r w:rsidRPr="00E71A36">
        <w:rPr>
          <w:rFonts w:ascii="Garamond" w:hAnsi="Garamond"/>
        </w:rPr>
        <w:t xml:space="preserve"> dioxide (SO</w:t>
      </w:r>
      <w:r w:rsidRPr="00E71A36">
        <w:rPr>
          <w:rFonts w:ascii="Cambria Math" w:hAnsi="Cambria Math" w:cs="Cambria Math"/>
        </w:rPr>
        <w:t>₂</w:t>
      </w:r>
      <w:r w:rsidRPr="00E71A36">
        <w:rPr>
          <w:rFonts w:ascii="Garamond" w:hAnsi="Garamond"/>
        </w:rPr>
        <w:t>), and methane (CH</w:t>
      </w:r>
      <w:r w:rsidRPr="00E71A36">
        <w:rPr>
          <w:rFonts w:ascii="Cambria Math" w:hAnsi="Cambria Math" w:cs="Cambria Math"/>
        </w:rPr>
        <w:t>₄</w:t>
      </w:r>
      <w:r w:rsidRPr="00E71A36">
        <w:rPr>
          <w:rFonts w:ascii="Garamond" w:hAnsi="Garamond"/>
        </w:rPr>
        <w:t>), which deteriorate air quality and threaten public health (WHO, 2021; U.S. EPA, 2023). Despite recognition of these hazards, there is limited empirical data quantifying how pollutant concentrations vary with distance from dumping sites in Nairobi County. This gap hinders accurate exposure assessments and the formulation of evidence-based urban environmental policies, leaving nearby communities, especially vulnerable populations in informal settlements, at elevated risk of respiratory and cardiovascular diseases, as well as long-term climate impacts (</w:t>
      </w:r>
      <w:proofErr w:type="spellStart"/>
      <w:r w:rsidRPr="00E71A36">
        <w:rPr>
          <w:rFonts w:ascii="Garamond" w:hAnsi="Garamond"/>
        </w:rPr>
        <w:t>Apte</w:t>
      </w:r>
      <w:proofErr w:type="spellEnd"/>
      <w:r w:rsidRPr="00E71A36">
        <w:rPr>
          <w:rFonts w:ascii="Garamond" w:hAnsi="Garamond"/>
        </w:rPr>
        <w:t xml:space="preserve"> et al., 2018; </w:t>
      </w:r>
      <w:proofErr w:type="spellStart"/>
      <w:r w:rsidRPr="00E71A36">
        <w:rPr>
          <w:rFonts w:ascii="Garamond" w:hAnsi="Garamond"/>
        </w:rPr>
        <w:t>Egondi</w:t>
      </w:r>
      <w:proofErr w:type="spellEnd"/>
      <w:r w:rsidRPr="00E71A36">
        <w:rPr>
          <w:rFonts w:ascii="Garamond" w:hAnsi="Garamond"/>
        </w:rPr>
        <w:t xml:space="preserve"> et al., 2016). Without localized measurements of pollutants and an understanding of their spatial dispersion, interventions such as buffer zones, urban planning regulations, and environmental management strategies cannot be effectively designed.</w:t>
      </w:r>
    </w:p>
    <w:p w14:paraId="67528B7E" w14:textId="100B34A4" w:rsidR="00B66D8F" w:rsidRPr="00E71A36" w:rsidRDefault="00AE5616" w:rsidP="008027C8">
      <w:pPr>
        <w:spacing w:line="360" w:lineRule="auto"/>
        <w:jc w:val="both"/>
        <w:rPr>
          <w:rFonts w:ascii="Garamond" w:hAnsi="Garamond"/>
          <w:b/>
          <w:bCs/>
        </w:rPr>
      </w:pPr>
      <w:r w:rsidRPr="00E71A36">
        <w:rPr>
          <w:rFonts w:ascii="Garamond" w:hAnsi="Garamond"/>
          <w:b/>
          <w:bCs/>
        </w:rPr>
        <w:t>1.3</w:t>
      </w:r>
      <w:r w:rsidR="00006810" w:rsidRPr="00E71A36">
        <w:rPr>
          <w:rFonts w:ascii="Garamond" w:hAnsi="Garamond"/>
          <w:b/>
          <w:bCs/>
        </w:rPr>
        <w:t>. Justification</w:t>
      </w:r>
      <w:r w:rsidR="00B66D8F" w:rsidRPr="00E71A36">
        <w:rPr>
          <w:rFonts w:ascii="Garamond" w:hAnsi="Garamond"/>
          <w:b/>
          <w:bCs/>
        </w:rPr>
        <w:t xml:space="preserve"> of the Study</w:t>
      </w:r>
    </w:p>
    <w:p w14:paraId="64BE53C9" w14:textId="77777777" w:rsidR="00B66D8F" w:rsidRPr="00E71A36" w:rsidRDefault="00B66D8F" w:rsidP="008027C8">
      <w:pPr>
        <w:spacing w:line="360" w:lineRule="auto"/>
        <w:jc w:val="both"/>
        <w:rPr>
          <w:rFonts w:ascii="Garamond" w:hAnsi="Garamond"/>
        </w:rPr>
      </w:pPr>
      <w:r w:rsidRPr="00E71A36">
        <w:rPr>
          <w:rFonts w:ascii="Garamond" w:hAnsi="Garamond"/>
        </w:rPr>
        <w:t xml:space="preserve">This study is justified by the urgent need to provide </w:t>
      </w:r>
      <w:r w:rsidRPr="00E71A36">
        <w:rPr>
          <w:rFonts w:ascii="Garamond" w:hAnsi="Garamond"/>
          <w:b/>
          <w:bCs/>
        </w:rPr>
        <w:t>scientific evidence on the spatial distribution of air pollutants from waste burning in Nairobi County</w:t>
      </w:r>
      <w:r w:rsidRPr="00E71A36">
        <w:rPr>
          <w:rFonts w:ascii="Garamond" w:hAnsi="Garamond"/>
        </w:rPr>
        <w:t>, particularly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CO</w:t>
      </w:r>
      <w:r w:rsidRPr="00E71A36">
        <w:rPr>
          <w:rFonts w:ascii="Cambria Math" w:hAnsi="Cambria Math" w:cs="Cambria Math"/>
        </w:rPr>
        <w:t>₂</w:t>
      </w:r>
      <w:r w:rsidRPr="00E71A36">
        <w:rPr>
          <w:rFonts w:ascii="Garamond" w:hAnsi="Garamond"/>
        </w:rPr>
        <w:t>, SO</w:t>
      </w:r>
      <w:r w:rsidRPr="00E71A36">
        <w:rPr>
          <w:rFonts w:ascii="Cambria Math" w:hAnsi="Cambria Math" w:cs="Cambria Math"/>
        </w:rPr>
        <w:t>₂</w:t>
      </w:r>
      <w:r w:rsidRPr="00E71A36">
        <w:rPr>
          <w:rFonts w:ascii="Garamond" w:hAnsi="Garamond"/>
        </w:rPr>
        <w:t>, and CH</w:t>
      </w:r>
      <w:r w:rsidRPr="00E71A36">
        <w:rPr>
          <w:rFonts w:ascii="Cambria Math" w:hAnsi="Cambria Math" w:cs="Cambria Math"/>
        </w:rPr>
        <w:t>₄</w:t>
      </w:r>
      <w:r w:rsidRPr="00E71A36">
        <w:rPr>
          <w:rFonts w:ascii="Garamond" w:hAnsi="Garamond"/>
        </w:rPr>
        <w:t xml:space="preserve">. By quantifying pollutant levels at varying distances from dumping sites, the research will inform urban planners, policymakers, and environmental managers on areas of high exposure risk and support the </w:t>
      </w:r>
      <w:r w:rsidRPr="00E71A36">
        <w:rPr>
          <w:rFonts w:ascii="Garamond" w:hAnsi="Garamond"/>
        </w:rPr>
        <w:lastRenderedPageBreak/>
        <w:t xml:space="preserve">development of </w:t>
      </w:r>
      <w:r w:rsidRPr="00E71A36">
        <w:rPr>
          <w:rFonts w:ascii="Garamond" w:hAnsi="Garamond"/>
          <w:b/>
          <w:bCs/>
        </w:rPr>
        <w:t>targeted interventions</w:t>
      </w:r>
      <w:r w:rsidRPr="00E71A36">
        <w:rPr>
          <w:rFonts w:ascii="Garamond" w:hAnsi="Garamond"/>
        </w:rPr>
        <w:t xml:space="preserve">, including buffer zones, community awareness programs, and improved waste management practices. Additionally, the study contributes to </w:t>
      </w:r>
      <w:r w:rsidRPr="00E71A36">
        <w:rPr>
          <w:rFonts w:ascii="Garamond" w:hAnsi="Garamond"/>
          <w:b/>
          <w:bCs/>
        </w:rPr>
        <w:t>public health protection</w:t>
      </w:r>
      <w:r w:rsidRPr="00E71A36">
        <w:rPr>
          <w:rFonts w:ascii="Garamond" w:hAnsi="Garamond"/>
        </w:rPr>
        <w:t xml:space="preserve"> by highlighting the link between proximity to burning sites and pollutant exposure, and provides baseline data for monitoring compliance with national and international air quality guidelines (WHO, 2021; U.S. EPA, 2023). The findings will also support climate mitigation efforts by addressing CH</w:t>
      </w:r>
      <w:r w:rsidRPr="00E71A36">
        <w:rPr>
          <w:rFonts w:ascii="Cambria Math" w:hAnsi="Cambria Math" w:cs="Cambria Math"/>
        </w:rPr>
        <w:t>₄</w:t>
      </w:r>
      <w:r w:rsidRPr="00E71A36">
        <w:rPr>
          <w:rFonts w:ascii="Garamond" w:hAnsi="Garamond"/>
        </w:rPr>
        <w:t xml:space="preserve"> emissions from open burning, aligning local</w:t>
      </w:r>
    </w:p>
    <w:p w14:paraId="6EBCEFB2" w14:textId="3E06ED9B" w:rsidR="00AD68F5" w:rsidRPr="00E71A36" w:rsidRDefault="002F16B1" w:rsidP="008027C8">
      <w:pPr>
        <w:spacing w:line="360" w:lineRule="auto"/>
        <w:jc w:val="both"/>
        <w:rPr>
          <w:rFonts w:ascii="Garamond" w:hAnsi="Garamond"/>
          <w:b/>
          <w:bCs/>
        </w:rPr>
      </w:pPr>
      <w:r w:rsidRPr="00E71A36">
        <w:rPr>
          <w:rFonts w:ascii="Garamond" w:hAnsi="Garamond"/>
          <w:b/>
          <w:bCs/>
        </w:rPr>
        <w:t>1.</w:t>
      </w:r>
      <w:r w:rsidR="00AE5616" w:rsidRPr="00E71A36">
        <w:rPr>
          <w:rFonts w:ascii="Garamond" w:hAnsi="Garamond"/>
          <w:b/>
          <w:bCs/>
        </w:rPr>
        <w:t>4.</w:t>
      </w:r>
      <w:r w:rsidRPr="00E71A36">
        <w:rPr>
          <w:rFonts w:ascii="Garamond" w:hAnsi="Garamond"/>
          <w:b/>
          <w:bCs/>
        </w:rPr>
        <w:t xml:space="preserve"> Research</w:t>
      </w:r>
      <w:r w:rsidR="00AD68F5" w:rsidRPr="00E71A36">
        <w:rPr>
          <w:rFonts w:ascii="Garamond" w:hAnsi="Garamond"/>
          <w:b/>
          <w:bCs/>
        </w:rPr>
        <w:t xml:space="preserve"> </w:t>
      </w:r>
      <w:r w:rsidR="000F4A50" w:rsidRPr="00E71A36">
        <w:rPr>
          <w:rFonts w:ascii="Garamond" w:hAnsi="Garamond"/>
          <w:b/>
          <w:bCs/>
        </w:rPr>
        <w:t>Objective</w:t>
      </w:r>
    </w:p>
    <w:p w14:paraId="3602FC8F" w14:textId="5A14E5B3" w:rsidR="000F4A50" w:rsidRPr="00E71A36" w:rsidRDefault="00AD68F5" w:rsidP="008027C8">
      <w:pPr>
        <w:spacing w:line="360" w:lineRule="auto"/>
        <w:jc w:val="both"/>
        <w:rPr>
          <w:rFonts w:ascii="Garamond" w:hAnsi="Garamond"/>
        </w:rPr>
      </w:pPr>
      <w:r w:rsidRPr="00E71A36">
        <w:rPr>
          <w:rFonts w:ascii="Garamond" w:hAnsi="Garamond"/>
        </w:rPr>
        <w:t xml:space="preserve"> </w:t>
      </w:r>
      <w:r w:rsidR="000F4A50" w:rsidRPr="00E71A36">
        <w:rPr>
          <w:rFonts w:ascii="Garamond" w:hAnsi="Garamond"/>
        </w:rPr>
        <w:t>To determine the relationship between PM2.5, CO2, SO2, and CH4 concentrations and the distance from dumping sites with active burning in Nairobi County.</w:t>
      </w:r>
    </w:p>
    <w:p w14:paraId="2BCC5DB2" w14:textId="298772F1" w:rsidR="000F4A50" w:rsidRPr="00E71A36" w:rsidRDefault="00006810" w:rsidP="008027C8">
      <w:pPr>
        <w:spacing w:line="360" w:lineRule="auto"/>
        <w:jc w:val="both"/>
        <w:rPr>
          <w:rFonts w:ascii="Garamond" w:hAnsi="Garamond"/>
          <w:b/>
          <w:bCs/>
        </w:rPr>
      </w:pPr>
      <w:r w:rsidRPr="00E71A36">
        <w:rPr>
          <w:rFonts w:ascii="Garamond" w:hAnsi="Garamond"/>
          <w:b/>
          <w:bCs/>
        </w:rPr>
        <w:t>2.0</w:t>
      </w:r>
      <w:r w:rsidR="00AE5616" w:rsidRPr="00E71A36">
        <w:rPr>
          <w:rFonts w:ascii="Garamond" w:hAnsi="Garamond"/>
          <w:b/>
          <w:bCs/>
        </w:rPr>
        <w:t>.</w:t>
      </w:r>
      <w:r w:rsidR="000F4A50" w:rsidRPr="00E71A36">
        <w:rPr>
          <w:rFonts w:ascii="Garamond" w:hAnsi="Garamond"/>
          <w:b/>
          <w:bCs/>
        </w:rPr>
        <w:t xml:space="preserve"> Materials and Methods</w:t>
      </w:r>
    </w:p>
    <w:p w14:paraId="420A678D" w14:textId="05CCDDA4" w:rsidR="00BC25BE" w:rsidRPr="00E71A36" w:rsidRDefault="000F4A50" w:rsidP="008027C8">
      <w:pPr>
        <w:spacing w:line="360" w:lineRule="auto"/>
        <w:jc w:val="both"/>
        <w:rPr>
          <w:rFonts w:ascii="Garamond" w:hAnsi="Garamond"/>
          <w:b/>
          <w:bCs/>
        </w:rPr>
      </w:pPr>
      <w:r w:rsidRPr="00E71A36">
        <w:rPr>
          <w:rFonts w:ascii="Garamond" w:hAnsi="Garamond"/>
          <w:b/>
          <w:bCs/>
        </w:rPr>
        <w:t>2.1</w:t>
      </w:r>
      <w:r w:rsidR="00AE5616" w:rsidRPr="00E71A36">
        <w:rPr>
          <w:rFonts w:ascii="Garamond" w:hAnsi="Garamond"/>
          <w:b/>
          <w:bCs/>
        </w:rPr>
        <w:t>.</w:t>
      </w:r>
      <w:r w:rsidRPr="00E71A36">
        <w:rPr>
          <w:rFonts w:ascii="Garamond" w:hAnsi="Garamond"/>
          <w:b/>
          <w:bCs/>
        </w:rPr>
        <w:t xml:space="preserve"> Study Area</w:t>
      </w:r>
    </w:p>
    <w:p w14:paraId="5C068EF2" w14:textId="41AED4FE" w:rsidR="00BC25BE" w:rsidRPr="00E71A36" w:rsidRDefault="00BC25BE" w:rsidP="008027C8">
      <w:pPr>
        <w:spacing w:line="360" w:lineRule="auto"/>
        <w:jc w:val="both"/>
        <w:rPr>
          <w:rFonts w:ascii="Garamond" w:hAnsi="Garamond"/>
        </w:rPr>
      </w:pPr>
      <w:r w:rsidRPr="00E71A36">
        <w:rPr>
          <w:rFonts w:ascii="Garamond" w:hAnsi="Garamond"/>
        </w:rPr>
        <w:t xml:space="preserve">The study area is Kibera, an informal settlement in Nairobi City County, located about 7 km southwest of Nairobi’s CBD at approximately latitude of 1°18′54″S and longitude of 36°47′02″E. The settlement is bordered by </w:t>
      </w:r>
      <w:proofErr w:type="spellStart"/>
      <w:r w:rsidRPr="00E71A36">
        <w:rPr>
          <w:rFonts w:ascii="Garamond" w:hAnsi="Garamond"/>
        </w:rPr>
        <w:t>Lang’ata</w:t>
      </w:r>
      <w:proofErr w:type="spellEnd"/>
      <w:r w:rsidRPr="00E71A36">
        <w:rPr>
          <w:rFonts w:ascii="Garamond" w:hAnsi="Garamond"/>
        </w:rPr>
        <w:t xml:space="preserve"> and Upper Hill to the north, Ngong Road and </w:t>
      </w:r>
      <w:proofErr w:type="spellStart"/>
      <w:r w:rsidRPr="00E71A36">
        <w:rPr>
          <w:rFonts w:ascii="Garamond" w:hAnsi="Garamond"/>
        </w:rPr>
        <w:t>Jamhuri</w:t>
      </w:r>
      <w:proofErr w:type="spellEnd"/>
      <w:r w:rsidRPr="00E71A36">
        <w:rPr>
          <w:rFonts w:ascii="Garamond" w:hAnsi="Garamond"/>
        </w:rPr>
        <w:t xml:space="preserve"> Estate to the east, </w:t>
      </w:r>
      <w:proofErr w:type="spellStart"/>
      <w:r w:rsidRPr="00E71A36">
        <w:rPr>
          <w:rFonts w:ascii="Garamond" w:hAnsi="Garamond"/>
        </w:rPr>
        <w:t>Lang’ata</w:t>
      </w:r>
      <w:proofErr w:type="spellEnd"/>
      <w:r w:rsidRPr="00E71A36">
        <w:rPr>
          <w:rFonts w:ascii="Garamond" w:hAnsi="Garamond"/>
        </w:rPr>
        <w:t xml:space="preserve"> Constituency to the south, and Ngong Forest and the </w:t>
      </w:r>
      <w:proofErr w:type="spellStart"/>
      <w:r w:rsidRPr="00E71A36">
        <w:rPr>
          <w:rFonts w:ascii="Garamond" w:hAnsi="Garamond"/>
        </w:rPr>
        <w:t>Dagoretti</w:t>
      </w:r>
      <w:proofErr w:type="spellEnd"/>
      <w:r w:rsidRPr="00E71A36">
        <w:rPr>
          <w:rFonts w:ascii="Garamond" w:hAnsi="Garamond"/>
        </w:rPr>
        <w:t xml:space="preserve"> area to the west. Administratively, Kibera falls within Kibera Sub-County, with the wider region neighbored by </w:t>
      </w:r>
      <w:proofErr w:type="spellStart"/>
      <w:r w:rsidRPr="00E71A36">
        <w:rPr>
          <w:rFonts w:ascii="Garamond" w:hAnsi="Garamond"/>
        </w:rPr>
        <w:t>Kajiado</w:t>
      </w:r>
      <w:proofErr w:type="spellEnd"/>
      <w:r w:rsidRPr="00E71A36">
        <w:rPr>
          <w:rFonts w:ascii="Garamond" w:hAnsi="Garamond"/>
        </w:rPr>
        <w:t xml:space="preserve">, Kiambu, and Machakos </w:t>
      </w:r>
      <w:r w:rsidR="003C3A4B" w:rsidRPr="00E71A36">
        <w:rPr>
          <w:rFonts w:ascii="Garamond" w:hAnsi="Garamond"/>
        </w:rPr>
        <w:t>counties. The</w:t>
      </w:r>
      <w:r w:rsidRPr="00E71A36">
        <w:rPr>
          <w:rFonts w:ascii="Garamond" w:hAnsi="Garamond"/>
        </w:rPr>
        <w:t xml:space="preserve"> altitude of Nairobi (Nairobi City County) is approximately: Average altitude: 1,795 meters (5,889 feet) above sea level</w:t>
      </w:r>
    </w:p>
    <w:p w14:paraId="2001ACA2" w14:textId="77777777" w:rsidR="00B66D8F" w:rsidRPr="00E71A36" w:rsidRDefault="00B66D8F" w:rsidP="008027C8">
      <w:pPr>
        <w:spacing w:line="360" w:lineRule="auto"/>
        <w:jc w:val="both"/>
        <w:rPr>
          <w:rFonts w:ascii="Garamond" w:hAnsi="Garamond"/>
        </w:rPr>
      </w:pPr>
      <w:r w:rsidRPr="00E71A36">
        <w:rPr>
          <w:rFonts w:ascii="Garamond" w:hAnsi="Garamond"/>
        </w:rPr>
        <w:t xml:space="preserve">The study was conducted in Nairobi County, Kenya, with a focus on three major waste dumpsites known for open burning: </w:t>
      </w:r>
      <w:proofErr w:type="spellStart"/>
      <w:r w:rsidRPr="00E71A36">
        <w:rPr>
          <w:rFonts w:ascii="Garamond" w:hAnsi="Garamond"/>
        </w:rPr>
        <w:t>Dandora</w:t>
      </w:r>
      <w:proofErr w:type="spellEnd"/>
      <w:r w:rsidRPr="00E71A36">
        <w:rPr>
          <w:rFonts w:ascii="Garamond" w:hAnsi="Garamond"/>
        </w:rPr>
        <w:t xml:space="preserve">, </w:t>
      </w:r>
      <w:proofErr w:type="spellStart"/>
      <w:r w:rsidRPr="00E71A36">
        <w:rPr>
          <w:rFonts w:ascii="Garamond" w:hAnsi="Garamond"/>
        </w:rPr>
        <w:t>Korogocho</w:t>
      </w:r>
      <w:proofErr w:type="spellEnd"/>
      <w:r w:rsidRPr="00E71A36">
        <w:rPr>
          <w:rFonts w:ascii="Garamond" w:hAnsi="Garamond"/>
        </w:rPr>
        <w:t xml:space="preserve">, and </w:t>
      </w:r>
      <w:proofErr w:type="spellStart"/>
      <w:r w:rsidRPr="00E71A36">
        <w:rPr>
          <w:rFonts w:ascii="Garamond" w:hAnsi="Garamond"/>
        </w:rPr>
        <w:t>Kangemi</w:t>
      </w:r>
      <w:proofErr w:type="spellEnd"/>
      <w:r w:rsidRPr="00E71A36">
        <w:rPr>
          <w:rFonts w:ascii="Garamond" w:hAnsi="Garamond"/>
        </w:rPr>
        <w:t>. Sampling sites were strategically selected at distances of 0–500 m, 500–1000 m, and &gt;1000 m from burning points. Nairobi is located at an average altitude of 1,795 meters above sea level, influencing pollutant dispersion patterns.</w:t>
      </w:r>
    </w:p>
    <w:p w14:paraId="53A9467B" w14:textId="09ED7B9E" w:rsidR="00B66D8F" w:rsidRPr="00E71A36" w:rsidRDefault="00B66D8F" w:rsidP="008027C8">
      <w:pPr>
        <w:spacing w:line="360" w:lineRule="auto"/>
        <w:jc w:val="both"/>
        <w:rPr>
          <w:rFonts w:ascii="Garamond" w:hAnsi="Garamond"/>
        </w:rPr>
      </w:pPr>
    </w:p>
    <w:p w14:paraId="46BCADCD" w14:textId="22BE4F4F" w:rsidR="00101BE0" w:rsidRPr="00E71A36" w:rsidRDefault="00101BE0" w:rsidP="008027C8">
      <w:pPr>
        <w:spacing w:line="360" w:lineRule="auto"/>
        <w:jc w:val="both"/>
        <w:rPr>
          <w:rFonts w:ascii="Garamond" w:hAnsi="Garamond"/>
        </w:rPr>
      </w:pPr>
    </w:p>
    <w:p w14:paraId="5C1C3AB9" w14:textId="77777777" w:rsidR="00101BE0" w:rsidRPr="00E71A36" w:rsidRDefault="00101BE0" w:rsidP="008027C8">
      <w:pPr>
        <w:spacing w:line="360" w:lineRule="auto"/>
        <w:jc w:val="both"/>
        <w:rPr>
          <w:rFonts w:ascii="Garamond" w:hAnsi="Garamond"/>
        </w:rPr>
      </w:pPr>
    </w:p>
    <w:p w14:paraId="6EBBE1F7" w14:textId="77777777" w:rsidR="00101BE0" w:rsidRPr="00E71A36" w:rsidRDefault="00101BE0" w:rsidP="008027C8">
      <w:pPr>
        <w:spacing w:line="360" w:lineRule="auto"/>
        <w:jc w:val="both"/>
        <w:rPr>
          <w:rFonts w:ascii="Garamond" w:hAnsi="Garamond"/>
        </w:rPr>
      </w:pPr>
    </w:p>
    <w:p w14:paraId="18A4F115" w14:textId="195941CA" w:rsidR="00BC25BE" w:rsidRPr="00E71A36" w:rsidRDefault="00BC25BE" w:rsidP="008027C8">
      <w:pPr>
        <w:spacing w:line="360" w:lineRule="auto"/>
        <w:jc w:val="both"/>
        <w:rPr>
          <w:rFonts w:ascii="Garamond" w:hAnsi="Garamond"/>
        </w:rPr>
      </w:pPr>
    </w:p>
    <w:p w14:paraId="0AC18102" w14:textId="76AC2440" w:rsidR="00BC25BE" w:rsidRPr="00E71A36" w:rsidRDefault="0030700C" w:rsidP="008027C8">
      <w:pPr>
        <w:spacing w:line="360" w:lineRule="auto"/>
        <w:jc w:val="both"/>
        <w:rPr>
          <w:rFonts w:ascii="Garamond" w:hAnsi="Garamond"/>
        </w:rPr>
      </w:pPr>
      <w:r w:rsidRPr="00E71A36">
        <w:rPr>
          <w:rFonts w:ascii="Garamond" w:hAnsi="Garamond"/>
          <w:noProof/>
        </w:rPr>
        <w:lastRenderedPageBreak/>
        <mc:AlternateContent>
          <mc:Choice Requires="wps">
            <w:drawing>
              <wp:anchor distT="0" distB="0" distL="114300" distR="114300" simplePos="0" relativeHeight="251659264" behindDoc="0" locked="0" layoutInCell="1" allowOverlap="1" wp14:anchorId="06D1F689" wp14:editId="0A5F1A68">
                <wp:simplePos x="0" y="0"/>
                <wp:positionH relativeFrom="column">
                  <wp:posOffset>180188</wp:posOffset>
                </wp:positionH>
                <wp:positionV relativeFrom="paragraph">
                  <wp:posOffset>-323646</wp:posOffset>
                </wp:positionV>
                <wp:extent cx="5784850" cy="2505075"/>
                <wp:effectExtent l="0" t="0" r="25400" b="28575"/>
                <wp:wrapNone/>
                <wp:docPr id="26" name="Rectangle 26"/>
                <wp:cNvGraphicFramePr/>
                <a:graphic xmlns:a="http://schemas.openxmlformats.org/drawingml/2006/main">
                  <a:graphicData uri="http://schemas.microsoft.com/office/word/2010/wordprocessingShape">
                    <wps:wsp>
                      <wps:cNvSpPr/>
                      <wps:spPr>
                        <a:xfrm>
                          <a:off x="0" y="0"/>
                          <a:ext cx="5784850" cy="25050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F8F8CF" w14:textId="638F3CBC" w:rsidR="006E4977" w:rsidRDefault="006E4977" w:rsidP="00BC25BE">
                            <w:pPr>
                              <w:jc w:val="center"/>
                            </w:pPr>
                            <w:r>
                              <w:rPr>
                                <w:noProof/>
                              </w:rPr>
                              <w:t xml:space="preserve">   </w:t>
                            </w:r>
                            <w:r w:rsidRPr="00176C69">
                              <w:rPr>
                                <w:noProof/>
                              </w:rPr>
                              <w:drawing>
                                <wp:inline distT="0" distB="0" distL="0" distR="0" wp14:anchorId="55516DC8" wp14:editId="11DC3A98">
                                  <wp:extent cx="5627370" cy="2343150"/>
                                  <wp:effectExtent l="0" t="0" r="0" b="0"/>
                                  <wp:docPr id="927838752" name="Picture 92783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47038" cy="23513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1F689" id="Rectangle 26" o:spid="_x0000_s1026" style="position:absolute;left:0;text-align:left;margin-left:14.2pt;margin-top:-25.5pt;width:455.5pt;height:19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" fillcolor="white [3201]" strokecolor="black [3213]" strokeweight="1.5pt">
                <v:textbox>
                  <w:txbxContent>
                    <w:p w14:paraId="63F8F8CF" w14:textId="638F3CBC" w:rsidR="006E4977" w:rsidRDefault="006E4977" w:rsidP="00BC25BE">
                      <w:pPr>
                        <w:jc w:val="center"/>
                      </w:pPr>
                      <w:r>
                        <w:rPr>
                          <w:noProof/>
                        </w:rPr>
                        <w:t xml:space="preserve">   </w:t>
                      </w:r>
                      <w:r w:rsidRPr="00176C69">
                        <w:rPr>
                          <w:noProof/>
                        </w:rPr>
                        <w:drawing>
                          <wp:inline distT="0" distB="0" distL="0" distR="0" wp14:anchorId="55516DC8" wp14:editId="11DC3A98">
                            <wp:extent cx="5627370" cy="2343150"/>
                            <wp:effectExtent l="0" t="0" r="0" b="0"/>
                            <wp:docPr id="927838752" name="Picture 92783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47038" cy="2351339"/>
                                    </a:xfrm>
                                    <a:prstGeom prst="rect">
                                      <a:avLst/>
                                    </a:prstGeom>
                                  </pic:spPr>
                                </pic:pic>
                              </a:graphicData>
                            </a:graphic>
                          </wp:inline>
                        </w:drawing>
                      </w:r>
                    </w:p>
                  </w:txbxContent>
                </v:textbox>
              </v:rect>
            </w:pict>
          </mc:Fallback>
        </mc:AlternateContent>
      </w:r>
    </w:p>
    <w:p w14:paraId="3C7EDD0E" w14:textId="77777777" w:rsidR="00BC25BE" w:rsidRPr="00E71A36" w:rsidRDefault="00BC25BE" w:rsidP="008027C8">
      <w:pPr>
        <w:spacing w:line="360" w:lineRule="auto"/>
        <w:jc w:val="both"/>
        <w:rPr>
          <w:rFonts w:ascii="Garamond" w:hAnsi="Garamond"/>
        </w:rPr>
      </w:pPr>
      <w:bookmarkStart w:id="0" w:name="_bookmark22"/>
      <w:bookmarkEnd w:id="0"/>
    </w:p>
    <w:p w14:paraId="69F325D2" w14:textId="77777777" w:rsidR="00BC25BE" w:rsidRPr="00E71A36" w:rsidRDefault="00BC25BE" w:rsidP="008027C8">
      <w:pPr>
        <w:spacing w:line="360" w:lineRule="auto"/>
        <w:jc w:val="both"/>
        <w:rPr>
          <w:rFonts w:ascii="Garamond" w:hAnsi="Garamond"/>
        </w:rPr>
      </w:pPr>
    </w:p>
    <w:p w14:paraId="2FFECAEC" w14:textId="77777777" w:rsidR="00BC25BE" w:rsidRPr="00E71A36" w:rsidRDefault="00BC25BE" w:rsidP="008027C8">
      <w:pPr>
        <w:spacing w:line="360" w:lineRule="auto"/>
        <w:jc w:val="both"/>
        <w:rPr>
          <w:rFonts w:ascii="Garamond" w:hAnsi="Garamond"/>
        </w:rPr>
      </w:pPr>
    </w:p>
    <w:p w14:paraId="5CBB8D35" w14:textId="77777777" w:rsidR="00BC25BE" w:rsidRPr="00E71A36" w:rsidRDefault="00BC25BE" w:rsidP="008027C8">
      <w:pPr>
        <w:spacing w:line="360" w:lineRule="auto"/>
        <w:jc w:val="both"/>
        <w:rPr>
          <w:rFonts w:ascii="Garamond" w:hAnsi="Garamond"/>
        </w:rPr>
      </w:pPr>
    </w:p>
    <w:p w14:paraId="2225236A" w14:textId="77777777" w:rsidR="00BC25BE" w:rsidRPr="00E71A36" w:rsidRDefault="00BC25BE" w:rsidP="008027C8">
      <w:pPr>
        <w:spacing w:line="360" w:lineRule="auto"/>
        <w:jc w:val="both"/>
        <w:rPr>
          <w:rFonts w:ascii="Garamond" w:hAnsi="Garamond"/>
        </w:rPr>
      </w:pPr>
    </w:p>
    <w:p w14:paraId="71F0CBA1" w14:textId="77777777" w:rsidR="00101BE0" w:rsidRPr="00E71A36" w:rsidRDefault="00101BE0" w:rsidP="008027C8">
      <w:pPr>
        <w:spacing w:line="360" w:lineRule="auto"/>
        <w:jc w:val="both"/>
        <w:rPr>
          <w:rFonts w:ascii="Garamond" w:hAnsi="Garamond"/>
        </w:rPr>
      </w:pPr>
    </w:p>
    <w:p w14:paraId="463CDADF" w14:textId="117C76AC" w:rsidR="00445AD8" w:rsidRPr="00E71A36" w:rsidRDefault="00BC25BE" w:rsidP="008027C8">
      <w:pPr>
        <w:spacing w:line="360" w:lineRule="auto"/>
        <w:jc w:val="both"/>
        <w:rPr>
          <w:rFonts w:ascii="Garamond" w:hAnsi="Garamond"/>
        </w:rPr>
      </w:pPr>
      <w:r w:rsidRPr="00E71A36">
        <w:rPr>
          <w:rFonts w:ascii="Garamond" w:hAnsi="Garamond"/>
          <w:b/>
          <w:bCs/>
        </w:rPr>
        <w:t>Figure 1</w:t>
      </w:r>
      <w:r w:rsidR="00FB5C3E" w:rsidRPr="00E71A36">
        <w:rPr>
          <w:rFonts w:ascii="Garamond" w:hAnsi="Garamond"/>
          <w:b/>
          <w:bCs/>
        </w:rPr>
        <w:t>.</w:t>
      </w:r>
      <w:r w:rsidRPr="00E71A36">
        <w:rPr>
          <w:rFonts w:ascii="Garamond" w:hAnsi="Garamond"/>
          <w:b/>
          <w:bCs/>
        </w:rPr>
        <w:t xml:space="preserve"> Map of Kenya showing Nairobi City County and   Kibera Subcounty the study area (Source:</w:t>
      </w:r>
      <w:r w:rsidRPr="00E71A36">
        <w:rPr>
          <w:rFonts w:ascii="Garamond" w:hAnsi="Garamond"/>
        </w:rPr>
        <w:t xml:space="preserve"> </w:t>
      </w:r>
      <w:proofErr w:type="spellStart"/>
      <w:r w:rsidR="00445AD8" w:rsidRPr="00E71A36">
        <w:rPr>
          <w:rFonts w:ascii="Garamond" w:hAnsi="Garamond"/>
        </w:rPr>
        <w:t>Sverdlik</w:t>
      </w:r>
      <w:proofErr w:type="spellEnd"/>
      <w:r w:rsidR="00445AD8" w:rsidRPr="00E71A36">
        <w:rPr>
          <w:rFonts w:ascii="Garamond" w:hAnsi="Garamond"/>
        </w:rPr>
        <w:t>, A. (2011)</w:t>
      </w:r>
    </w:p>
    <w:p w14:paraId="184102BC" w14:textId="7ECDD952" w:rsidR="00B66D8F" w:rsidRPr="00E71A36" w:rsidRDefault="00AE5616" w:rsidP="008027C8">
      <w:pPr>
        <w:spacing w:line="360" w:lineRule="auto"/>
        <w:jc w:val="both"/>
        <w:rPr>
          <w:rFonts w:ascii="Garamond" w:hAnsi="Garamond"/>
          <w:b/>
          <w:bCs/>
        </w:rPr>
      </w:pPr>
      <w:r w:rsidRPr="00E71A36">
        <w:rPr>
          <w:rFonts w:ascii="Garamond" w:hAnsi="Garamond"/>
          <w:b/>
          <w:bCs/>
        </w:rPr>
        <w:t>2.2. Research</w:t>
      </w:r>
      <w:r w:rsidR="00B66D8F" w:rsidRPr="00E71A36">
        <w:rPr>
          <w:rFonts w:ascii="Garamond" w:hAnsi="Garamond"/>
          <w:b/>
          <w:bCs/>
        </w:rPr>
        <w:t xml:space="preserve"> Design</w:t>
      </w:r>
    </w:p>
    <w:p w14:paraId="121DAD0B" w14:textId="687ADA65" w:rsidR="00B66D8F" w:rsidRPr="00E71A36" w:rsidRDefault="00AE5616" w:rsidP="008027C8">
      <w:pPr>
        <w:spacing w:line="360" w:lineRule="auto"/>
        <w:jc w:val="both"/>
        <w:rPr>
          <w:rFonts w:ascii="Garamond" w:hAnsi="Garamond"/>
        </w:rPr>
      </w:pPr>
      <w:r w:rsidRPr="00E71A36">
        <w:rPr>
          <w:rFonts w:ascii="Garamond" w:hAnsi="Garamond"/>
          <w:b/>
          <w:bCs/>
        </w:rPr>
        <w:t>Study</w:t>
      </w:r>
      <w:r w:rsidR="00B66D8F" w:rsidRPr="00E71A36">
        <w:rPr>
          <w:rFonts w:ascii="Garamond" w:hAnsi="Garamond"/>
          <w:b/>
          <w:bCs/>
        </w:rPr>
        <w:t xml:space="preserve"> Approach</w:t>
      </w:r>
      <w:r w:rsidRPr="00E71A36">
        <w:rPr>
          <w:rFonts w:ascii="Garamond" w:hAnsi="Garamond"/>
          <w:b/>
          <w:bCs/>
        </w:rPr>
        <w:t xml:space="preserve">: </w:t>
      </w:r>
      <w:r w:rsidR="00B66D8F" w:rsidRPr="00E71A36">
        <w:rPr>
          <w:rFonts w:ascii="Garamond" w:hAnsi="Garamond"/>
        </w:rPr>
        <w:t>This study will adopt a quantitative cross-sectional design, focusing on the measurement of air pollutant concentrations at multiple points around major waste dumping sites in Nairobi County. A cross-sectional approach allows for the collection of air quality data at a specific point in time across different distances from the source, providing insights into spatial dispersion patterns of pollutants.</w:t>
      </w:r>
    </w:p>
    <w:p w14:paraId="178440A3" w14:textId="4C193F2A" w:rsidR="00B66D8F" w:rsidRPr="00E71A36" w:rsidRDefault="00AE5616" w:rsidP="008027C8">
      <w:pPr>
        <w:spacing w:line="360" w:lineRule="auto"/>
        <w:jc w:val="both"/>
        <w:rPr>
          <w:rFonts w:ascii="Garamond" w:hAnsi="Garamond"/>
          <w:b/>
          <w:bCs/>
        </w:rPr>
      </w:pPr>
      <w:r w:rsidRPr="00E71A36">
        <w:rPr>
          <w:rFonts w:ascii="Garamond" w:hAnsi="Garamond"/>
          <w:b/>
          <w:bCs/>
        </w:rPr>
        <w:t xml:space="preserve">2.3. </w:t>
      </w:r>
      <w:r w:rsidR="00B66D8F" w:rsidRPr="00E71A36">
        <w:rPr>
          <w:rFonts w:ascii="Garamond" w:hAnsi="Garamond"/>
          <w:b/>
          <w:bCs/>
        </w:rPr>
        <w:t>Study Sites and Sampling Strategy</w:t>
      </w:r>
    </w:p>
    <w:p w14:paraId="47B06530" w14:textId="77777777" w:rsidR="00B66D8F" w:rsidRPr="00E71A36" w:rsidRDefault="00B66D8F" w:rsidP="008027C8">
      <w:pPr>
        <w:spacing w:line="360" w:lineRule="auto"/>
        <w:jc w:val="both"/>
        <w:rPr>
          <w:rFonts w:ascii="Garamond" w:hAnsi="Garamond"/>
        </w:rPr>
      </w:pPr>
      <w:r w:rsidRPr="00E71A36">
        <w:rPr>
          <w:rFonts w:ascii="Garamond" w:hAnsi="Garamond"/>
        </w:rPr>
        <w:t>Three major dumpsites within Nairobi County will be purposively selected based on size, waste burning activity, and proximity to residential areas. Air samples will be collected at three distance zones from each site: 0–500 m (high exposure), 500–1000 m (moderate exposure), and &gt;1000 m (low exposure). This distance-based sampling allows assessment of how pollutant concentrations decline with increasing distance from the source, following the distance decay principle.</w:t>
      </w:r>
    </w:p>
    <w:p w14:paraId="5526B036" w14:textId="2E3C5808" w:rsidR="00B66D8F" w:rsidRPr="00E71A36" w:rsidRDefault="00AE5616" w:rsidP="008027C8">
      <w:pPr>
        <w:spacing w:line="360" w:lineRule="auto"/>
        <w:jc w:val="both"/>
        <w:rPr>
          <w:rFonts w:ascii="Garamond" w:hAnsi="Garamond"/>
          <w:b/>
          <w:bCs/>
        </w:rPr>
      </w:pPr>
      <w:r w:rsidRPr="00E71A36">
        <w:rPr>
          <w:rFonts w:ascii="Garamond" w:hAnsi="Garamond"/>
          <w:b/>
          <w:bCs/>
        </w:rPr>
        <w:t>2.4. Data</w:t>
      </w:r>
      <w:r w:rsidR="00B66D8F" w:rsidRPr="00E71A36">
        <w:rPr>
          <w:rFonts w:ascii="Garamond" w:hAnsi="Garamond"/>
          <w:b/>
          <w:bCs/>
        </w:rPr>
        <w:t xml:space="preserve"> Collection</w:t>
      </w:r>
    </w:p>
    <w:p w14:paraId="4842F649" w14:textId="77777777" w:rsidR="00B66D8F" w:rsidRPr="00E71A36" w:rsidRDefault="00B66D8F" w:rsidP="008027C8">
      <w:pPr>
        <w:spacing w:line="360" w:lineRule="auto"/>
        <w:jc w:val="both"/>
        <w:rPr>
          <w:rFonts w:ascii="Garamond" w:hAnsi="Garamond"/>
        </w:rPr>
      </w:pPr>
      <w:r w:rsidRPr="00E71A36">
        <w:rPr>
          <w:rFonts w:ascii="Garamond" w:hAnsi="Garamond"/>
        </w:rPr>
        <w:t>Air pollutants to be measured include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CO</w:t>
      </w:r>
      <w:r w:rsidRPr="00E71A36">
        <w:rPr>
          <w:rFonts w:ascii="Cambria Math" w:hAnsi="Cambria Math" w:cs="Cambria Math"/>
        </w:rPr>
        <w:t>₂</w:t>
      </w:r>
      <w:r w:rsidRPr="00E71A36">
        <w:rPr>
          <w:rFonts w:ascii="Garamond" w:hAnsi="Garamond"/>
        </w:rPr>
        <w:t>, SO</w:t>
      </w:r>
      <w:r w:rsidRPr="00E71A36">
        <w:rPr>
          <w:rFonts w:ascii="Cambria Math" w:hAnsi="Cambria Math" w:cs="Cambria Math"/>
        </w:rPr>
        <w:t>₂</w:t>
      </w:r>
      <w:r w:rsidRPr="00E71A36">
        <w:rPr>
          <w:rFonts w:ascii="Garamond" w:hAnsi="Garamond"/>
        </w:rPr>
        <w:t>, and CH</w:t>
      </w:r>
      <w:r w:rsidRPr="00E71A36">
        <w:rPr>
          <w:rFonts w:ascii="Cambria Math" w:hAnsi="Cambria Math" w:cs="Cambria Math"/>
        </w:rPr>
        <w:t>₄</w:t>
      </w:r>
      <w:r w:rsidRPr="00E71A36">
        <w:rPr>
          <w:rFonts w:ascii="Garamond" w:hAnsi="Garamond"/>
        </w:rPr>
        <w:t>. Sampling will be conducted using standardized environmental monitoring equipment, including portable air quality monitors for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xml:space="preserve"> and gas analyzers for CO</w:t>
      </w:r>
      <w:r w:rsidRPr="00E71A36">
        <w:rPr>
          <w:rFonts w:ascii="Cambria Math" w:hAnsi="Cambria Math" w:cs="Cambria Math"/>
        </w:rPr>
        <w:t>₂</w:t>
      </w:r>
      <w:r w:rsidRPr="00E71A36">
        <w:rPr>
          <w:rFonts w:ascii="Garamond" w:hAnsi="Garamond"/>
        </w:rPr>
        <w:t>, SO</w:t>
      </w:r>
      <w:r w:rsidRPr="00E71A36">
        <w:rPr>
          <w:rFonts w:ascii="Cambria Math" w:hAnsi="Cambria Math" w:cs="Cambria Math"/>
        </w:rPr>
        <w:t>₂</w:t>
      </w:r>
      <w:r w:rsidRPr="00E71A36">
        <w:rPr>
          <w:rFonts w:ascii="Garamond" w:hAnsi="Garamond"/>
        </w:rPr>
        <w:t>, and CH</w:t>
      </w:r>
      <w:r w:rsidRPr="00E71A36">
        <w:rPr>
          <w:rFonts w:ascii="Cambria Math" w:hAnsi="Cambria Math" w:cs="Cambria Math"/>
        </w:rPr>
        <w:t>₄</w:t>
      </w:r>
      <w:r w:rsidRPr="00E71A36">
        <w:rPr>
          <w:rFonts w:ascii="Garamond" w:hAnsi="Garamond"/>
        </w:rPr>
        <w:t xml:space="preserve">. Each sample will be collected in triplicate to ensure reliability, and instruments will be calibrated according to manufacturer and international </w:t>
      </w:r>
      <w:r w:rsidRPr="00E71A36">
        <w:rPr>
          <w:rFonts w:ascii="Garamond" w:hAnsi="Garamond"/>
        </w:rPr>
        <w:lastRenderedPageBreak/>
        <w:t>environmental monitoring standards. Meteorological parameters (temperature, wind speed, and direction) will also be recorded to account for dispersion influences.</w:t>
      </w:r>
    </w:p>
    <w:p w14:paraId="5523D3D0" w14:textId="77777777" w:rsidR="0065523A" w:rsidRPr="0065523A" w:rsidRDefault="0065523A" w:rsidP="008027C8">
      <w:pPr>
        <w:spacing w:before="100" w:beforeAutospacing="1" w:after="100" w:afterAutospacing="1" w:line="360" w:lineRule="auto"/>
        <w:jc w:val="both"/>
        <w:rPr>
          <w:rFonts w:ascii="Garamond" w:eastAsia="Times New Roman" w:hAnsi="Garamond" w:cs="Times New Roman"/>
          <w:kern w:val="0"/>
          <w14:ligatures w14:val="none"/>
        </w:rPr>
      </w:pPr>
      <w:r w:rsidRPr="0065523A">
        <w:rPr>
          <w:rFonts w:ascii="Garamond" w:eastAsia="Times New Roman" w:hAnsi="Garamond" w:cs="Times New Roman"/>
          <w:kern w:val="0"/>
          <w14:ligatures w14:val="none"/>
        </w:rPr>
        <w:t>To better characterize the relationship between pollutant concentrations and distance from waste burning sites, linear, log-linear, and inverse power models were evaluated. The non-linear models provided a better fit, capturing exponential decay and sharp near-source declines, as confirmed by improved R², AIC, and residual diagnostics. However, the linear model was retained for its interpretability and remained statistically significant (p &lt; 0.001) with substantial explanatory power (R² = 0.530), supporting its practical use.</w:t>
      </w:r>
    </w:p>
    <w:p w14:paraId="4BEF3339" w14:textId="5C0A0618" w:rsidR="00B66D8F" w:rsidRPr="00E71A36" w:rsidRDefault="00AE5616" w:rsidP="008027C8">
      <w:pPr>
        <w:spacing w:line="360" w:lineRule="auto"/>
        <w:jc w:val="both"/>
        <w:rPr>
          <w:rFonts w:ascii="Garamond" w:hAnsi="Garamond"/>
          <w:b/>
          <w:bCs/>
        </w:rPr>
      </w:pPr>
      <w:r w:rsidRPr="00E71A36">
        <w:rPr>
          <w:rFonts w:ascii="Garamond" w:hAnsi="Garamond"/>
          <w:b/>
          <w:bCs/>
        </w:rPr>
        <w:t xml:space="preserve">2.5. </w:t>
      </w:r>
      <w:r w:rsidR="00B66D8F" w:rsidRPr="00E71A36">
        <w:rPr>
          <w:rFonts w:ascii="Garamond" w:hAnsi="Garamond"/>
          <w:b/>
          <w:bCs/>
        </w:rPr>
        <w:t>Data Analysis</w:t>
      </w:r>
    </w:p>
    <w:p w14:paraId="328CF058" w14:textId="77777777" w:rsidR="00B66D8F" w:rsidRPr="00E71A36" w:rsidRDefault="00B66D8F" w:rsidP="008027C8">
      <w:pPr>
        <w:spacing w:line="360" w:lineRule="auto"/>
        <w:jc w:val="both"/>
        <w:rPr>
          <w:rFonts w:ascii="Garamond" w:hAnsi="Garamond"/>
        </w:rPr>
      </w:pPr>
      <w:r w:rsidRPr="00E71A36">
        <w:rPr>
          <w:rFonts w:ascii="Garamond" w:hAnsi="Garamond"/>
        </w:rPr>
        <w:t>Collected data will be analyzed using descriptive statistics to summarize mean concentrations and standard deviations across distance zones. Inferential statistics, including one-way ANOVA, will test for significant differences in pollutant levels across distances. Regression analysis and correlation models will quantify the relationship between pollutant concentrations and distance from dumping sites. Graphical methods, such as pollutant concentration gradient curves, will illustrate spatial dispersion patterns.</w:t>
      </w:r>
    </w:p>
    <w:p w14:paraId="63ED2341" w14:textId="77777777" w:rsidR="00B66D8F" w:rsidRPr="00E71A36" w:rsidRDefault="00B66D8F" w:rsidP="008027C8">
      <w:pPr>
        <w:spacing w:line="360" w:lineRule="auto"/>
        <w:jc w:val="both"/>
        <w:rPr>
          <w:rFonts w:ascii="Garamond" w:hAnsi="Garamond"/>
          <w:b/>
          <w:bCs/>
        </w:rPr>
      </w:pPr>
      <w:r w:rsidRPr="00E71A36">
        <w:rPr>
          <w:rFonts w:ascii="Garamond" w:hAnsi="Garamond"/>
          <w:b/>
          <w:bCs/>
        </w:rPr>
        <w:t>Ethical Considerations</w:t>
      </w:r>
    </w:p>
    <w:p w14:paraId="1B6E52CD" w14:textId="77777777" w:rsidR="00B66D8F" w:rsidRPr="00E71A36" w:rsidRDefault="00B66D8F" w:rsidP="008027C8">
      <w:pPr>
        <w:spacing w:line="360" w:lineRule="auto"/>
        <w:jc w:val="both"/>
        <w:rPr>
          <w:rFonts w:ascii="Garamond" w:hAnsi="Garamond"/>
        </w:rPr>
      </w:pPr>
      <w:r w:rsidRPr="00E71A36">
        <w:rPr>
          <w:rFonts w:ascii="Garamond" w:hAnsi="Garamond"/>
        </w:rPr>
        <w:t>The study will ensure minimal disturbance to residents and comply with local environmental regulations. Findings will be disseminated to stakeholders, including local environmental authorities, community representatives, and policymakers, to support mitigation and urban planning interventions.</w:t>
      </w:r>
    </w:p>
    <w:p w14:paraId="48DF2E12" w14:textId="7AEC729E" w:rsidR="000F4A50" w:rsidRPr="00E71A36" w:rsidRDefault="000F4A50" w:rsidP="008027C8">
      <w:pPr>
        <w:spacing w:line="360" w:lineRule="auto"/>
        <w:jc w:val="both"/>
        <w:rPr>
          <w:rFonts w:ascii="Garamond" w:hAnsi="Garamond"/>
          <w:b/>
          <w:bCs/>
        </w:rPr>
      </w:pPr>
      <w:r w:rsidRPr="00E71A36">
        <w:rPr>
          <w:rFonts w:ascii="Garamond" w:hAnsi="Garamond"/>
          <w:b/>
          <w:bCs/>
        </w:rPr>
        <w:t>2.2</w:t>
      </w:r>
      <w:r w:rsidR="00656C79" w:rsidRPr="00E71A36">
        <w:rPr>
          <w:rFonts w:ascii="Garamond" w:hAnsi="Garamond"/>
          <w:b/>
          <w:bCs/>
        </w:rPr>
        <w:t>:</w:t>
      </w:r>
      <w:r w:rsidRPr="00E71A36">
        <w:rPr>
          <w:rFonts w:ascii="Garamond" w:hAnsi="Garamond"/>
          <w:b/>
          <w:bCs/>
        </w:rPr>
        <w:t xml:space="preserve"> Sampling and Measurement</w:t>
      </w:r>
    </w:p>
    <w:p w14:paraId="01AB6B37" w14:textId="64A1CC73" w:rsidR="000F4A50" w:rsidRPr="00E71A36" w:rsidRDefault="000F4A50" w:rsidP="008027C8">
      <w:pPr>
        <w:spacing w:line="360" w:lineRule="auto"/>
        <w:jc w:val="both"/>
        <w:rPr>
          <w:rFonts w:ascii="Garamond" w:hAnsi="Garamond"/>
        </w:rPr>
      </w:pPr>
      <w:r w:rsidRPr="00E71A36">
        <w:rPr>
          <w:rFonts w:ascii="Garamond" w:hAnsi="Garamond"/>
        </w:rPr>
        <w:t>PM2.5: Measured using a portable air quality monitor (Model XYZ) with real-time data logging.</w:t>
      </w:r>
      <w:r w:rsidR="002F16B1" w:rsidRPr="00E71A36">
        <w:rPr>
          <w:rFonts w:ascii="Garamond" w:hAnsi="Garamond"/>
        </w:rPr>
        <w:t xml:space="preserve">  </w:t>
      </w:r>
      <w:r w:rsidRPr="00E71A36">
        <w:rPr>
          <w:rFonts w:ascii="Garamond" w:hAnsi="Garamond"/>
        </w:rPr>
        <w:t>CO2: Measured using a nondispersive infrared (NDIR) CO2 analyzer.</w:t>
      </w:r>
      <w:r w:rsidR="002F16B1" w:rsidRPr="00E71A36">
        <w:rPr>
          <w:rFonts w:ascii="Garamond" w:hAnsi="Garamond"/>
        </w:rPr>
        <w:t xml:space="preserve"> </w:t>
      </w:r>
      <w:r w:rsidRPr="00E71A36">
        <w:rPr>
          <w:rFonts w:ascii="Garamond" w:hAnsi="Garamond"/>
        </w:rPr>
        <w:t>SO2: Measured using an electrochemical sensor-based SO2 monitor.</w:t>
      </w:r>
      <w:r w:rsidR="002F16B1" w:rsidRPr="00E71A36">
        <w:rPr>
          <w:rFonts w:ascii="Garamond" w:hAnsi="Garamond"/>
        </w:rPr>
        <w:t xml:space="preserve"> </w:t>
      </w:r>
      <w:r w:rsidRPr="00E71A36">
        <w:rPr>
          <w:rFonts w:ascii="Garamond" w:hAnsi="Garamond"/>
        </w:rPr>
        <w:t>CH4: Measured using a portable methane detector with calibration against standard gas.</w:t>
      </w:r>
      <w:r w:rsidR="00480810" w:rsidRPr="00E71A36">
        <w:rPr>
          <w:rFonts w:ascii="Garamond" w:hAnsi="Garamond"/>
        </w:rPr>
        <w:t xml:space="preserve"> </w:t>
      </w:r>
      <w:r w:rsidRPr="00E71A36">
        <w:rPr>
          <w:rFonts w:ascii="Garamond" w:hAnsi="Garamond"/>
        </w:rPr>
        <w:t>Sampling was conducted over 8 weeks during both morning (7–10 AM) and evening (4–7 PM) to capture peak burning activity. Three replicates were collected per site per day to ensure reliability.</w:t>
      </w:r>
    </w:p>
    <w:p w14:paraId="3B1C1280" w14:textId="3E53F115" w:rsidR="00B22455" w:rsidRPr="00E71A36" w:rsidRDefault="00B22455" w:rsidP="008027C8">
      <w:pPr>
        <w:spacing w:line="360" w:lineRule="auto"/>
        <w:jc w:val="both"/>
        <w:rPr>
          <w:rFonts w:ascii="Garamond" w:hAnsi="Garamond"/>
        </w:rPr>
      </w:pPr>
      <w:r w:rsidRPr="00E71A36">
        <w:rPr>
          <w:rFonts w:ascii="Garamond" w:hAnsi="Garamond"/>
        </w:rPr>
        <w:lastRenderedPageBreak/>
        <w:t>Air pollutant concentrations were measured using calibrated portable and fixed air quality monitoring instruments. Particulate matter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xml:space="preserve"> and PM</w:t>
      </w:r>
      <w:r w:rsidRPr="00E71A36">
        <w:rPr>
          <w:rFonts w:ascii="Cambria Math" w:hAnsi="Cambria Math" w:cs="Cambria Math"/>
        </w:rPr>
        <w:t>₁₀</w:t>
      </w:r>
      <w:r w:rsidRPr="00E71A36">
        <w:rPr>
          <w:rFonts w:ascii="Garamond" w:hAnsi="Garamond"/>
        </w:rPr>
        <w:t>) was measured using a laser-based optical particle counter (e.g., TSI DustTrak II Aerosol Monitor 8530), while gaseous pollutants including CO</w:t>
      </w:r>
      <w:r w:rsidRPr="00E71A36">
        <w:rPr>
          <w:rFonts w:ascii="Cambria Math" w:hAnsi="Cambria Math" w:cs="Cambria Math"/>
        </w:rPr>
        <w:t>₂</w:t>
      </w:r>
      <w:r w:rsidRPr="00E71A36">
        <w:rPr>
          <w:rFonts w:ascii="Garamond" w:hAnsi="Garamond"/>
        </w:rPr>
        <w:t xml:space="preserve"> and CH</w:t>
      </w:r>
      <w:r w:rsidRPr="00E71A36">
        <w:rPr>
          <w:rFonts w:ascii="Cambria Math" w:hAnsi="Cambria Math" w:cs="Cambria Math"/>
        </w:rPr>
        <w:t>₄</w:t>
      </w:r>
      <w:r w:rsidRPr="00E71A36">
        <w:rPr>
          <w:rFonts w:ascii="Garamond" w:hAnsi="Garamond"/>
        </w:rPr>
        <w:t xml:space="preserve"> were measured using non-dispersive infrared (NDIR) sensors. Sulphur dioxide (SO</w:t>
      </w:r>
      <w:r w:rsidRPr="00E71A36">
        <w:rPr>
          <w:rFonts w:ascii="Cambria Math" w:hAnsi="Cambria Math" w:cs="Cambria Math"/>
        </w:rPr>
        <w:t>₂</w:t>
      </w:r>
      <w:r w:rsidRPr="00E71A36">
        <w:rPr>
          <w:rFonts w:ascii="Garamond" w:hAnsi="Garamond"/>
        </w:rPr>
        <w:t xml:space="preserve">) and other gases were monitored using electrochemical sensors (e.g., </w:t>
      </w:r>
      <w:proofErr w:type="spellStart"/>
      <w:r w:rsidRPr="00E71A36">
        <w:rPr>
          <w:rFonts w:ascii="Garamond" w:hAnsi="Garamond"/>
        </w:rPr>
        <w:t>Aeroqual</w:t>
      </w:r>
      <w:proofErr w:type="spellEnd"/>
      <w:r w:rsidRPr="00E71A36">
        <w:rPr>
          <w:rFonts w:ascii="Garamond" w:hAnsi="Garamond"/>
        </w:rPr>
        <w:t xml:space="preserve"> Series 500).</w:t>
      </w:r>
    </w:p>
    <w:p w14:paraId="283CDE78" w14:textId="5BF6223D" w:rsidR="000F4A50" w:rsidRPr="00E71A36" w:rsidRDefault="000F4A50" w:rsidP="008027C8">
      <w:pPr>
        <w:spacing w:line="360" w:lineRule="auto"/>
        <w:jc w:val="both"/>
        <w:rPr>
          <w:rFonts w:ascii="Garamond" w:hAnsi="Garamond"/>
          <w:b/>
          <w:bCs/>
        </w:rPr>
      </w:pPr>
      <w:r w:rsidRPr="00E71A36">
        <w:rPr>
          <w:rFonts w:ascii="Garamond" w:hAnsi="Garamond"/>
          <w:b/>
          <w:bCs/>
        </w:rPr>
        <w:t>2.3</w:t>
      </w:r>
      <w:r w:rsidR="00656C79" w:rsidRPr="00E71A36">
        <w:rPr>
          <w:rFonts w:ascii="Garamond" w:hAnsi="Garamond"/>
          <w:b/>
          <w:bCs/>
        </w:rPr>
        <w:t>:</w:t>
      </w:r>
      <w:r w:rsidRPr="00E71A36">
        <w:rPr>
          <w:rFonts w:ascii="Garamond" w:hAnsi="Garamond"/>
          <w:b/>
          <w:bCs/>
        </w:rPr>
        <w:t xml:space="preserve"> Data Analysis</w:t>
      </w:r>
    </w:p>
    <w:p w14:paraId="0229CA66" w14:textId="2EDDFA7D" w:rsidR="000F4A50" w:rsidRPr="00E71A36" w:rsidRDefault="000F4A50" w:rsidP="008027C8">
      <w:pPr>
        <w:spacing w:line="360" w:lineRule="auto"/>
        <w:jc w:val="both"/>
        <w:rPr>
          <w:rFonts w:ascii="Garamond" w:hAnsi="Garamond"/>
        </w:rPr>
      </w:pPr>
      <w:r w:rsidRPr="00E71A36">
        <w:rPr>
          <w:rFonts w:ascii="Garamond" w:hAnsi="Garamond"/>
        </w:rPr>
        <w:t>Descriptive statistics were computed to summarize pollutant concentrations at each distance. Pearson correlation and linear regression models were employed to assess the relationship between pollutant levels and distance from dumpsites. The regression model used</w:t>
      </w:r>
      <w:proofErr w:type="gramStart"/>
      <w:r w:rsidRPr="00E71A36">
        <w:rPr>
          <w:rFonts w:ascii="Garamond" w:hAnsi="Garamond"/>
        </w:rPr>
        <w:t>:</w:t>
      </w:r>
      <w:r w:rsidR="00480810" w:rsidRPr="00E71A36">
        <w:rPr>
          <w:rFonts w:ascii="Garamond" w:hAnsi="Garamond"/>
        </w:rPr>
        <w:t xml:space="preserve">  </w:t>
      </w:r>
      <w:r w:rsidRPr="00E71A36">
        <w:rPr>
          <w:rFonts w:ascii="Garamond" w:hAnsi="Garamond"/>
        </w:rPr>
        <w:t>[</w:t>
      </w:r>
      <w:proofErr w:type="gramEnd"/>
      <w:r w:rsidRPr="00E71A36">
        <w:rPr>
          <w:rFonts w:ascii="Garamond" w:hAnsi="Garamond"/>
        </w:rPr>
        <w:t>C = \beta_0 + \beta_1 D + \</w:t>
      </w:r>
      <w:r w:rsidR="002F16B1" w:rsidRPr="00E71A36">
        <w:rPr>
          <w:rFonts w:ascii="Garamond" w:hAnsi="Garamond"/>
        </w:rPr>
        <w:t>epsilon] Where</w:t>
      </w:r>
      <w:r w:rsidRPr="00E71A36">
        <w:rPr>
          <w:rFonts w:ascii="Garamond" w:hAnsi="Garamond"/>
        </w:rPr>
        <w:t>:</w:t>
      </w:r>
      <w:r w:rsidR="00656C79" w:rsidRPr="00E71A36">
        <w:rPr>
          <w:rFonts w:ascii="Garamond" w:hAnsi="Garamond"/>
        </w:rPr>
        <w:t xml:space="preserve"> </w:t>
      </w:r>
      <w:r w:rsidRPr="00E71A36">
        <w:rPr>
          <w:rFonts w:ascii="Garamond" w:hAnsi="Garamond"/>
        </w:rPr>
        <w:t>(C) = pollutant concentration (PM2.5, CO2, SO2, CH4)</w:t>
      </w:r>
      <w:r w:rsidR="00656C79" w:rsidRPr="00E71A36">
        <w:rPr>
          <w:rFonts w:ascii="Garamond" w:hAnsi="Garamond"/>
        </w:rPr>
        <w:t>,</w:t>
      </w:r>
      <w:r w:rsidRPr="00E71A36">
        <w:rPr>
          <w:rFonts w:ascii="Garamond" w:hAnsi="Garamond"/>
        </w:rPr>
        <w:t>(D) = distance from burning site (m)</w:t>
      </w:r>
      <w:r w:rsidR="00656C79" w:rsidRPr="00E71A36">
        <w:rPr>
          <w:rFonts w:ascii="Garamond" w:hAnsi="Garamond"/>
        </w:rPr>
        <w:t xml:space="preserve">, </w:t>
      </w:r>
      <w:r w:rsidRPr="00E71A36">
        <w:rPr>
          <w:rFonts w:ascii="Garamond" w:hAnsi="Garamond"/>
        </w:rPr>
        <w:t>(\beta_0) = intercept</w:t>
      </w:r>
      <w:r w:rsidR="00656C79" w:rsidRPr="00E71A36">
        <w:rPr>
          <w:rFonts w:ascii="Garamond" w:hAnsi="Garamond"/>
        </w:rPr>
        <w:t xml:space="preserve">, </w:t>
      </w:r>
      <w:r w:rsidRPr="00E71A36">
        <w:rPr>
          <w:rFonts w:ascii="Garamond" w:hAnsi="Garamond"/>
        </w:rPr>
        <w:t>(\beta_1) = slope coefficient</w:t>
      </w:r>
      <w:r w:rsidR="00656C79" w:rsidRPr="00E71A36">
        <w:rPr>
          <w:rFonts w:ascii="Garamond" w:hAnsi="Garamond"/>
        </w:rPr>
        <w:t xml:space="preserve">, </w:t>
      </w:r>
      <w:r w:rsidRPr="00E71A36">
        <w:rPr>
          <w:rFonts w:ascii="Garamond" w:hAnsi="Garamond"/>
        </w:rPr>
        <w:t>(\epsilon) = error term</w:t>
      </w:r>
      <w:r w:rsidR="002F16B1" w:rsidRPr="00E71A36">
        <w:rPr>
          <w:rFonts w:ascii="Garamond" w:hAnsi="Garamond"/>
        </w:rPr>
        <w:t xml:space="preserve">. </w:t>
      </w:r>
      <w:r w:rsidRPr="00E71A36">
        <w:rPr>
          <w:rFonts w:ascii="Garamond" w:hAnsi="Garamond"/>
        </w:rPr>
        <w:t>Significance was evaluated at p ≤ 0.05 using SPSS v26.</w:t>
      </w:r>
    </w:p>
    <w:p w14:paraId="6103DDCA" w14:textId="538C8A9B" w:rsidR="000F4A50" w:rsidRPr="00E71A36" w:rsidRDefault="000F4A50" w:rsidP="008027C8">
      <w:pPr>
        <w:spacing w:line="360" w:lineRule="auto"/>
        <w:jc w:val="both"/>
        <w:rPr>
          <w:rFonts w:ascii="Garamond" w:hAnsi="Garamond"/>
          <w:b/>
          <w:bCs/>
        </w:rPr>
      </w:pPr>
      <w:r w:rsidRPr="00E71A36">
        <w:rPr>
          <w:rFonts w:ascii="Garamond" w:hAnsi="Garamond"/>
          <w:b/>
          <w:bCs/>
        </w:rPr>
        <w:t>3</w:t>
      </w:r>
      <w:r w:rsidR="00AE5616" w:rsidRPr="00E71A36">
        <w:rPr>
          <w:rFonts w:ascii="Garamond" w:hAnsi="Garamond"/>
          <w:b/>
          <w:bCs/>
        </w:rPr>
        <w:t>.0</w:t>
      </w:r>
      <w:r w:rsidR="00006810" w:rsidRPr="00E71A36">
        <w:rPr>
          <w:rFonts w:ascii="Garamond" w:hAnsi="Garamond"/>
          <w:b/>
          <w:bCs/>
        </w:rPr>
        <w:t>. Results</w:t>
      </w:r>
    </w:p>
    <w:p w14:paraId="6C608B96" w14:textId="2A1FBEC4" w:rsidR="000F4A50" w:rsidRPr="00E71A36" w:rsidRDefault="000F4A50" w:rsidP="008027C8">
      <w:pPr>
        <w:spacing w:line="360" w:lineRule="auto"/>
        <w:jc w:val="both"/>
        <w:rPr>
          <w:rFonts w:ascii="Garamond" w:hAnsi="Garamond"/>
          <w:b/>
          <w:bCs/>
        </w:rPr>
      </w:pPr>
      <w:r w:rsidRPr="00E71A36">
        <w:rPr>
          <w:rFonts w:ascii="Garamond" w:hAnsi="Garamond"/>
          <w:b/>
          <w:bCs/>
        </w:rPr>
        <w:t>3.1</w:t>
      </w:r>
      <w:r w:rsidR="002F16B1" w:rsidRPr="00E71A36">
        <w:rPr>
          <w:rFonts w:ascii="Garamond" w:hAnsi="Garamond"/>
          <w:b/>
          <w:bCs/>
        </w:rPr>
        <w:t>:</w:t>
      </w:r>
      <w:r w:rsidRPr="00E71A36">
        <w:rPr>
          <w:rFonts w:ascii="Garamond" w:hAnsi="Garamond"/>
          <w:b/>
          <w:bCs/>
        </w:rPr>
        <w:t xml:space="preserve"> Descriptive Statistics</w:t>
      </w:r>
    </w:p>
    <w:p w14:paraId="26A3D29F" w14:textId="67897BF4" w:rsidR="00AD68F5" w:rsidRPr="00E71A36" w:rsidRDefault="00AD68F5" w:rsidP="008027C8">
      <w:pPr>
        <w:spacing w:line="360" w:lineRule="auto"/>
        <w:jc w:val="both"/>
        <w:rPr>
          <w:rFonts w:ascii="Garamond" w:hAnsi="Garamond"/>
          <w:b/>
          <w:bCs/>
        </w:rPr>
      </w:pPr>
      <w:r w:rsidRPr="00E71A36">
        <w:rPr>
          <w:rFonts w:ascii="Garamond" w:hAnsi="Garamond"/>
          <w:b/>
          <w:bCs/>
        </w:rPr>
        <w:t xml:space="preserve">Table 1: Descriptive Statistics </w:t>
      </w:r>
    </w:p>
    <w:tbl>
      <w:tblPr>
        <w:tblW w:w="9303" w:type="dxa"/>
        <w:tblCellSpacing w:w="15" w:type="dxa"/>
        <w:tblCellMar>
          <w:top w:w="15" w:type="dxa"/>
          <w:left w:w="15" w:type="dxa"/>
          <w:bottom w:w="15" w:type="dxa"/>
          <w:right w:w="15" w:type="dxa"/>
        </w:tblCellMar>
        <w:tblLook w:val="04A0" w:firstRow="1" w:lastRow="0" w:firstColumn="1" w:lastColumn="0" w:noHBand="0" w:noVBand="1"/>
      </w:tblPr>
      <w:tblGrid>
        <w:gridCol w:w="3067"/>
        <w:gridCol w:w="1850"/>
        <w:gridCol w:w="2496"/>
        <w:gridCol w:w="1890"/>
      </w:tblGrid>
      <w:tr w:rsidR="00AD68F5" w:rsidRPr="00E71A36" w14:paraId="52084A18" w14:textId="77777777" w:rsidTr="00AD68F5">
        <w:trPr>
          <w:trHeight w:val="855"/>
          <w:tblHeader/>
          <w:tblCellSpacing w:w="15" w:type="dxa"/>
        </w:trPr>
        <w:tc>
          <w:tcPr>
            <w:tcW w:w="0" w:type="auto"/>
            <w:tcBorders>
              <w:top w:val="single" w:sz="4" w:space="0" w:color="auto"/>
              <w:bottom w:val="single" w:sz="4" w:space="0" w:color="auto"/>
            </w:tcBorders>
            <w:vAlign w:val="center"/>
            <w:hideMark/>
          </w:tcPr>
          <w:p w14:paraId="4ED7E756" w14:textId="77777777" w:rsidR="000F4A50" w:rsidRPr="00E71A36" w:rsidRDefault="000F4A50" w:rsidP="008027C8">
            <w:pPr>
              <w:spacing w:after="0" w:line="360" w:lineRule="auto"/>
              <w:jc w:val="both"/>
              <w:rPr>
                <w:rFonts w:ascii="Garamond" w:hAnsi="Garamond"/>
              </w:rPr>
            </w:pPr>
            <w:r w:rsidRPr="00E71A36">
              <w:rPr>
                <w:rFonts w:ascii="Garamond" w:hAnsi="Garamond"/>
              </w:rPr>
              <w:t>Pollutant</w:t>
            </w:r>
          </w:p>
        </w:tc>
        <w:tc>
          <w:tcPr>
            <w:tcW w:w="0" w:type="auto"/>
            <w:tcBorders>
              <w:top w:val="single" w:sz="4" w:space="0" w:color="auto"/>
              <w:bottom w:val="single" w:sz="4" w:space="0" w:color="auto"/>
            </w:tcBorders>
            <w:vAlign w:val="center"/>
            <w:hideMark/>
          </w:tcPr>
          <w:p w14:paraId="4BD2B32C" w14:textId="77777777" w:rsidR="000F4A50" w:rsidRPr="00E71A36" w:rsidRDefault="000F4A50" w:rsidP="008027C8">
            <w:pPr>
              <w:spacing w:after="0" w:line="360" w:lineRule="auto"/>
              <w:jc w:val="both"/>
              <w:rPr>
                <w:rFonts w:ascii="Garamond" w:hAnsi="Garamond"/>
              </w:rPr>
            </w:pPr>
            <w:r w:rsidRPr="00E71A36">
              <w:rPr>
                <w:rFonts w:ascii="Garamond" w:hAnsi="Garamond"/>
              </w:rPr>
              <w:t>0–500 m</w:t>
            </w:r>
          </w:p>
        </w:tc>
        <w:tc>
          <w:tcPr>
            <w:tcW w:w="0" w:type="auto"/>
            <w:tcBorders>
              <w:top w:val="single" w:sz="4" w:space="0" w:color="auto"/>
              <w:bottom w:val="single" w:sz="4" w:space="0" w:color="auto"/>
            </w:tcBorders>
            <w:vAlign w:val="center"/>
            <w:hideMark/>
          </w:tcPr>
          <w:p w14:paraId="6D306C28" w14:textId="77777777" w:rsidR="000F4A50" w:rsidRPr="00E71A36" w:rsidRDefault="000F4A50" w:rsidP="008027C8">
            <w:pPr>
              <w:spacing w:after="0" w:line="360" w:lineRule="auto"/>
              <w:jc w:val="both"/>
              <w:rPr>
                <w:rFonts w:ascii="Garamond" w:hAnsi="Garamond"/>
              </w:rPr>
            </w:pPr>
            <w:r w:rsidRPr="00E71A36">
              <w:rPr>
                <w:rFonts w:ascii="Garamond" w:hAnsi="Garamond"/>
              </w:rPr>
              <w:t>500–1000 m</w:t>
            </w:r>
          </w:p>
        </w:tc>
        <w:tc>
          <w:tcPr>
            <w:tcW w:w="0" w:type="auto"/>
            <w:tcBorders>
              <w:top w:val="single" w:sz="4" w:space="0" w:color="auto"/>
              <w:bottom w:val="single" w:sz="4" w:space="0" w:color="auto"/>
            </w:tcBorders>
            <w:vAlign w:val="center"/>
            <w:hideMark/>
          </w:tcPr>
          <w:p w14:paraId="75B23E2D" w14:textId="77777777" w:rsidR="000F4A50" w:rsidRPr="00E71A36" w:rsidRDefault="000F4A50" w:rsidP="008027C8">
            <w:pPr>
              <w:spacing w:after="0" w:line="360" w:lineRule="auto"/>
              <w:jc w:val="both"/>
              <w:rPr>
                <w:rFonts w:ascii="Garamond" w:hAnsi="Garamond"/>
              </w:rPr>
            </w:pPr>
            <w:r w:rsidRPr="00E71A36">
              <w:rPr>
                <w:rFonts w:ascii="Garamond" w:hAnsi="Garamond"/>
              </w:rPr>
              <w:t>&gt;1000 m</w:t>
            </w:r>
          </w:p>
        </w:tc>
      </w:tr>
      <w:tr w:rsidR="00E71A36" w:rsidRPr="00E71A36" w14:paraId="3A6125FC" w14:textId="77777777" w:rsidTr="003A0005">
        <w:trPr>
          <w:trHeight w:val="465"/>
          <w:tblCellSpacing w:w="15" w:type="dxa"/>
        </w:trPr>
        <w:tc>
          <w:tcPr>
            <w:tcW w:w="0" w:type="auto"/>
            <w:vAlign w:val="center"/>
            <w:hideMark/>
          </w:tcPr>
          <w:p w14:paraId="230F5D67" w14:textId="77777777" w:rsidR="000F4A50" w:rsidRPr="00E71A36" w:rsidRDefault="000F4A50" w:rsidP="008027C8">
            <w:pPr>
              <w:spacing w:after="0" w:line="360" w:lineRule="auto"/>
              <w:jc w:val="both"/>
              <w:rPr>
                <w:rFonts w:ascii="Garamond" w:hAnsi="Garamond"/>
              </w:rPr>
            </w:pPr>
            <w:r w:rsidRPr="00E71A36">
              <w:rPr>
                <w:rFonts w:ascii="Garamond" w:hAnsi="Garamond"/>
              </w:rPr>
              <w:t>PM2.5 (µg/m³)</w:t>
            </w:r>
          </w:p>
        </w:tc>
        <w:tc>
          <w:tcPr>
            <w:tcW w:w="0" w:type="auto"/>
            <w:vAlign w:val="center"/>
            <w:hideMark/>
          </w:tcPr>
          <w:p w14:paraId="1F7EF45D" w14:textId="77777777" w:rsidR="000F4A50" w:rsidRPr="00E71A36" w:rsidRDefault="000F4A50" w:rsidP="008027C8">
            <w:pPr>
              <w:spacing w:after="0" w:line="360" w:lineRule="auto"/>
              <w:jc w:val="both"/>
              <w:rPr>
                <w:rFonts w:ascii="Garamond" w:hAnsi="Garamond"/>
              </w:rPr>
            </w:pPr>
            <w:r w:rsidRPr="00E71A36">
              <w:rPr>
                <w:rFonts w:ascii="Garamond" w:hAnsi="Garamond"/>
              </w:rPr>
              <w:t>145 ± 25</w:t>
            </w:r>
          </w:p>
        </w:tc>
        <w:tc>
          <w:tcPr>
            <w:tcW w:w="0" w:type="auto"/>
            <w:vAlign w:val="center"/>
            <w:hideMark/>
          </w:tcPr>
          <w:p w14:paraId="6471533F" w14:textId="77777777" w:rsidR="000F4A50" w:rsidRPr="00E71A36" w:rsidRDefault="000F4A50" w:rsidP="008027C8">
            <w:pPr>
              <w:spacing w:after="0" w:line="360" w:lineRule="auto"/>
              <w:jc w:val="both"/>
              <w:rPr>
                <w:rFonts w:ascii="Garamond" w:hAnsi="Garamond"/>
              </w:rPr>
            </w:pPr>
            <w:r w:rsidRPr="00E71A36">
              <w:rPr>
                <w:rFonts w:ascii="Garamond" w:hAnsi="Garamond"/>
              </w:rPr>
              <w:t>90 ± 15</w:t>
            </w:r>
          </w:p>
        </w:tc>
        <w:tc>
          <w:tcPr>
            <w:tcW w:w="0" w:type="auto"/>
            <w:vAlign w:val="center"/>
            <w:hideMark/>
          </w:tcPr>
          <w:p w14:paraId="6A939251" w14:textId="77777777" w:rsidR="000F4A50" w:rsidRPr="00E71A36" w:rsidRDefault="000F4A50" w:rsidP="008027C8">
            <w:pPr>
              <w:spacing w:after="0" w:line="360" w:lineRule="auto"/>
              <w:jc w:val="both"/>
              <w:rPr>
                <w:rFonts w:ascii="Garamond" w:hAnsi="Garamond"/>
              </w:rPr>
            </w:pPr>
            <w:r w:rsidRPr="00E71A36">
              <w:rPr>
                <w:rFonts w:ascii="Garamond" w:hAnsi="Garamond"/>
              </w:rPr>
              <w:t>45 ± 10</w:t>
            </w:r>
          </w:p>
        </w:tc>
      </w:tr>
      <w:tr w:rsidR="00E71A36" w:rsidRPr="00E71A36" w14:paraId="5284C699" w14:textId="77777777" w:rsidTr="003A0005">
        <w:trPr>
          <w:trHeight w:val="303"/>
          <w:tblCellSpacing w:w="15" w:type="dxa"/>
        </w:trPr>
        <w:tc>
          <w:tcPr>
            <w:tcW w:w="0" w:type="auto"/>
            <w:vAlign w:val="center"/>
            <w:hideMark/>
          </w:tcPr>
          <w:p w14:paraId="3BFB185A" w14:textId="77777777" w:rsidR="000F4A50" w:rsidRPr="00E71A36" w:rsidRDefault="000F4A50" w:rsidP="008027C8">
            <w:pPr>
              <w:spacing w:after="0" w:line="360" w:lineRule="auto"/>
              <w:jc w:val="both"/>
              <w:rPr>
                <w:rFonts w:ascii="Garamond" w:hAnsi="Garamond"/>
              </w:rPr>
            </w:pPr>
            <w:r w:rsidRPr="00E71A36">
              <w:rPr>
                <w:rFonts w:ascii="Garamond" w:hAnsi="Garamond"/>
              </w:rPr>
              <w:t>CO2 (ppm)</w:t>
            </w:r>
          </w:p>
        </w:tc>
        <w:tc>
          <w:tcPr>
            <w:tcW w:w="0" w:type="auto"/>
            <w:vAlign w:val="center"/>
            <w:hideMark/>
          </w:tcPr>
          <w:p w14:paraId="2AE20C70" w14:textId="77777777" w:rsidR="000F4A50" w:rsidRPr="00E71A36" w:rsidRDefault="000F4A50" w:rsidP="008027C8">
            <w:pPr>
              <w:spacing w:after="0" w:line="360" w:lineRule="auto"/>
              <w:jc w:val="both"/>
              <w:rPr>
                <w:rFonts w:ascii="Garamond" w:hAnsi="Garamond"/>
              </w:rPr>
            </w:pPr>
            <w:r w:rsidRPr="00E71A36">
              <w:rPr>
                <w:rFonts w:ascii="Garamond" w:hAnsi="Garamond"/>
              </w:rPr>
              <w:t>720 ± 50</w:t>
            </w:r>
          </w:p>
        </w:tc>
        <w:tc>
          <w:tcPr>
            <w:tcW w:w="0" w:type="auto"/>
            <w:vAlign w:val="center"/>
            <w:hideMark/>
          </w:tcPr>
          <w:p w14:paraId="3D03F310" w14:textId="77777777" w:rsidR="000F4A50" w:rsidRPr="00E71A36" w:rsidRDefault="000F4A50" w:rsidP="008027C8">
            <w:pPr>
              <w:spacing w:after="0" w:line="360" w:lineRule="auto"/>
              <w:jc w:val="both"/>
              <w:rPr>
                <w:rFonts w:ascii="Garamond" w:hAnsi="Garamond"/>
              </w:rPr>
            </w:pPr>
            <w:r w:rsidRPr="00E71A36">
              <w:rPr>
                <w:rFonts w:ascii="Garamond" w:hAnsi="Garamond"/>
              </w:rPr>
              <w:t>640 ± 40</w:t>
            </w:r>
          </w:p>
        </w:tc>
        <w:tc>
          <w:tcPr>
            <w:tcW w:w="0" w:type="auto"/>
            <w:vAlign w:val="center"/>
            <w:hideMark/>
          </w:tcPr>
          <w:p w14:paraId="5B908680" w14:textId="77777777" w:rsidR="000F4A50" w:rsidRPr="00E71A36" w:rsidRDefault="000F4A50" w:rsidP="008027C8">
            <w:pPr>
              <w:spacing w:after="0" w:line="360" w:lineRule="auto"/>
              <w:jc w:val="both"/>
              <w:rPr>
                <w:rFonts w:ascii="Garamond" w:hAnsi="Garamond"/>
              </w:rPr>
            </w:pPr>
            <w:r w:rsidRPr="00E71A36">
              <w:rPr>
                <w:rFonts w:ascii="Garamond" w:hAnsi="Garamond"/>
              </w:rPr>
              <w:t>580 ± 35</w:t>
            </w:r>
          </w:p>
        </w:tc>
      </w:tr>
      <w:tr w:rsidR="00E71A36" w:rsidRPr="00E71A36" w14:paraId="1CF15E3F" w14:textId="77777777" w:rsidTr="003A0005">
        <w:trPr>
          <w:trHeight w:val="285"/>
          <w:tblCellSpacing w:w="15" w:type="dxa"/>
        </w:trPr>
        <w:tc>
          <w:tcPr>
            <w:tcW w:w="0" w:type="auto"/>
            <w:vAlign w:val="center"/>
            <w:hideMark/>
          </w:tcPr>
          <w:p w14:paraId="4AC3BD37" w14:textId="77777777" w:rsidR="000F4A50" w:rsidRPr="00E71A36" w:rsidRDefault="000F4A50" w:rsidP="008027C8">
            <w:pPr>
              <w:spacing w:after="0" w:line="360" w:lineRule="auto"/>
              <w:jc w:val="both"/>
              <w:rPr>
                <w:rFonts w:ascii="Garamond" w:hAnsi="Garamond"/>
              </w:rPr>
            </w:pPr>
            <w:r w:rsidRPr="00E71A36">
              <w:rPr>
                <w:rFonts w:ascii="Garamond" w:hAnsi="Garamond"/>
              </w:rPr>
              <w:t>SO2 (ppb)</w:t>
            </w:r>
          </w:p>
        </w:tc>
        <w:tc>
          <w:tcPr>
            <w:tcW w:w="0" w:type="auto"/>
            <w:vAlign w:val="center"/>
            <w:hideMark/>
          </w:tcPr>
          <w:p w14:paraId="523EB475" w14:textId="77777777" w:rsidR="000F4A50" w:rsidRPr="00E71A36" w:rsidRDefault="000F4A50" w:rsidP="008027C8">
            <w:pPr>
              <w:spacing w:after="0" w:line="360" w:lineRule="auto"/>
              <w:jc w:val="both"/>
              <w:rPr>
                <w:rFonts w:ascii="Garamond" w:hAnsi="Garamond"/>
              </w:rPr>
            </w:pPr>
            <w:r w:rsidRPr="00E71A36">
              <w:rPr>
                <w:rFonts w:ascii="Garamond" w:hAnsi="Garamond"/>
              </w:rPr>
              <w:t>55 ± 12</w:t>
            </w:r>
          </w:p>
        </w:tc>
        <w:tc>
          <w:tcPr>
            <w:tcW w:w="0" w:type="auto"/>
            <w:vAlign w:val="center"/>
            <w:hideMark/>
          </w:tcPr>
          <w:p w14:paraId="4A9DBF4D" w14:textId="77777777" w:rsidR="000F4A50" w:rsidRPr="00E71A36" w:rsidRDefault="000F4A50" w:rsidP="008027C8">
            <w:pPr>
              <w:spacing w:after="0" w:line="360" w:lineRule="auto"/>
              <w:jc w:val="both"/>
              <w:rPr>
                <w:rFonts w:ascii="Garamond" w:hAnsi="Garamond"/>
              </w:rPr>
            </w:pPr>
            <w:r w:rsidRPr="00E71A36">
              <w:rPr>
                <w:rFonts w:ascii="Garamond" w:hAnsi="Garamond"/>
              </w:rPr>
              <w:t>32 ± 8</w:t>
            </w:r>
          </w:p>
        </w:tc>
        <w:tc>
          <w:tcPr>
            <w:tcW w:w="0" w:type="auto"/>
            <w:vAlign w:val="center"/>
            <w:hideMark/>
          </w:tcPr>
          <w:p w14:paraId="20C0BBCD" w14:textId="77777777" w:rsidR="000F4A50" w:rsidRPr="00E71A36" w:rsidRDefault="000F4A50" w:rsidP="008027C8">
            <w:pPr>
              <w:spacing w:after="0" w:line="360" w:lineRule="auto"/>
              <w:jc w:val="both"/>
              <w:rPr>
                <w:rFonts w:ascii="Garamond" w:hAnsi="Garamond"/>
              </w:rPr>
            </w:pPr>
            <w:r w:rsidRPr="00E71A36">
              <w:rPr>
                <w:rFonts w:ascii="Garamond" w:hAnsi="Garamond"/>
              </w:rPr>
              <w:t>18 ± 5</w:t>
            </w:r>
          </w:p>
        </w:tc>
      </w:tr>
      <w:tr w:rsidR="00AD68F5" w:rsidRPr="00E71A36" w14:paraId="4B9B85BE" w14:textId="77777777" w:rsidTr="00AD68F5">
        <w:trPr>
          <w:trHeight w:val="855"/>
          <w:tblCellSpacing w:w="15" w:type="dxa"/>
        </w:trPr>
        <w:tc>
          <w:tcPr>
            <w:tcW w:w="0" w:type="auto"/>
            <w:tcBorders>
              <w:bottom w:val="single" w:sz="4" w:space="0" w:color="auto"/>
            </w:tcBorders>
            <w:vAlign w:val="center"/>
            <w:hideMark/>
          </w:tcPr>
          <w:p w14:paraId="72B96842" w14:textId="77777777" w:rsidR="000F4A50" w:rsidRPr="00E71A36" w:rsidRDefault="000F4A50" w:rsidP="008027C8">
            <w:pPr>
              <w:spacing w:after="0" w:line="360" w:lineRule="auto"/>
              <w:jc w:val="both"/>
              <w:rPr>
                <w:rFonts w:ascii="Garamond" w:hAnsi="Garamond"/>
              </w:rPr>
            </w:pPr>
            <w:r w:rsidRPr="00E71A36">
              <w:rPr>
                <w:rFonts w:ascii="Garamond" w:hAnsi="Garamond"/>
              </w:rPr>
              <w:t>CH4 (ppm)</w:t>
            </w:r>
          </w:p>
        </w:tc>
        <w:tc>
          <w:tcPr>
            <w:tcW w:w="0" w:type="auto"/>
            <w:tcBorders>
              <w:bottom w:val="single" w:sz="4" w:space="0" w:color="auto"/>
            </w:tcBorders>
            <w:vAlign w:val="center"/>
            <w:hideMark/>
          </w:tcPr>
          <w:p w14:paraId="4DE18FDB" w14:textId="77777777" w:rsidR="000F4A50" w:rsidRPr="00E71A36" w:rsidRDefault="000F4A50" w:rsidP="008027C8">
            <w:pPr>
              <w:spacing w:after="0" w:line="360" w:lineRule="auto"/>
              <w:jc w:val="both"/>
              <w:rPr>
                <w:rFonts w:ascii="Garamond" w:hAnsi="Garamond"/>
              </w:rPr>
            </w:pPr>
            <w:r w:rsidRPr="00E71A36">
              <w:rPr>
                <w:rFonts w:ascii="Garamond" w:hAnsi="Garamond"/>
              </w:rPr>
              <w:t>2.1 ± 0.3</w:t>
            </w:r>
          </w:p>
        </w:tc>
        <w:tc>
          <w:tcPr>
            <w:tcW w:w="0" w:type="auto"/>
            <w:tcBorders>
              <w:bottom w:val="single" w:sz="4" w:space="0" w:color="auto"/>
            </w:tcBorders>
            <w:vAlign w:val="center"/>
            <w:hideMark/>
          </w:tcPr>
          <w:p w14:paraId="6158A357" w14:textId="77777777" w:rsidR="000F4A50" w:rsidRPr="00E71A36" w:rsidRDefault="000F4A50" w:rsidP="008027C8">
            <w:pPr>
              <w:spacing w:after="0" w:line="360" w:lineRule="auto"/>
              <w:jc w:val="both"/>
              <w:rPr>
                <w:rFonts w:ascii="Garamond" w:hAnsi="Garamond"/>
              </w:rPr>
            </w:pPr>
            <w:r w:rsidRPr="00E71A36">
              <w:rPr>
                <w:rFonts w:ascii="Garamond" w:hAnsi="Garamond"/>
              </w:rPr>
              <w:t>1.7 ± 0.2</w:t>
            </w:r>
          </w:p>
        </w:tc>
        <w:tc>
          <w:tcPr>
            <w:tcW w:w="0" w:type="auto"/>
            <w:tcBorders>
              <w:bottom w:val="single" w:sz="4" w:space="0" w:color="auto"/>
            </w:tcBorders>
            <w:vAlign w:val="center"/>
            <w:hideMark/>
          </w:tcPr>
          <w:p w14:paraId="207F3831" w14:textId="77777777" w:rsidR="000F4A50" w:rsidRPr="00E71A36" w:rsidRDefault="000F4A50" w:rsidP="008027C8">
            <w:pPr>
              <w:spacing w:after="0" w:line="360" w:lineRule="auto"/>
              <w:jc w:val="both"/>
              <w:rPr>
                <w:rFonts w:ascii="Garamond" w:hAnsi="Garamond"/>
              </w:rPr>
            </w:pPr>
            <w:r w:rsidRPr="00E71A36">
              <w:rPr>
                <w:rFonts w:ascii="Garamond" w:hAnsi="Garamond"/>
              </w:rPr>
              <w:t>1.2 ± 0.1</w:t>
            </w:r>
          </w:p>
        </w:tc>
      </w:tr>
    </w:tbl>
    <w:p w14:paraId="2866B0FA" w14:textId="0EDF2EFC" w:rsidR="000F4A50" w:rsidRPr="00E71A36" w:rsidRDefault="000F4A50" w:rsidP="008027C8">
      <w:pPr>
        <w:spacing w:line="360" w:lineRule="auto"/>
        <w:jc w:val="both"/>
        <w:rPr>
          <w:rFonts w:ascii="Garamond" w:hAnsi="Garamond"/>
          <w:b/>
        </w:rPr>
      </w:pPr>
      <w:r w:rsidRPr="00E71A36">
        <w:rPr>
          <w:rFonts w:ascii="Garamond" w:hAnsi="Garamond"/>
          <w:b/>
        </w:rPr>
        <w:t>3.2</w:t>
      </w:r>
      <w:r w:rsidR="00AE5616" w:rsidRPr="00E71A36">
        <w:rPr>
          <w:rFonts w:ascii="Garamond" w:hAnsi="Garamond"/>
          <w:b/>
        </w:rPr>
        <w:t>.</w:t>
      </w:r>
      <w:r w:rsidRPr="00E71A36">
        <w:rPr>
          <w:rFonts w:ascii="Garamond" w:hAnsi="Garamond"/>
          <w:b/>
        </w:rPr>
        <w:t xml:space="preserve"> Correlation Analysis</w:t>
      </w:r>
    </w:p>
    <w:p w14:paraId="1FA9D6C3" w14:textId="3B44CC4A" w:rsidR="006E586B" w:rsidRPr="00E71A36" w:rsidRDefault="003A0005" w:rsidP="008027C8">
      <w:pPr>
        <w:spacing w:line="360" w:lineRule="auto"/>
        <w:jc w:val="both"/>
        <w:rPr>
          <w:rFonts w:ascii="Garamond" w:hAnsi="Garamond"/>
        </w:rPr>
      </w:pPr>
      <w:r w:rsidRPr="00E71A36">
        <w:rPr>
          <w:rFonts w:ascii="Garamond" w:hAnsi="Garamond"/>
        </w:rPr>
        <w:t>Descriptive</w:t>
      </w:r>
      <w:r w:rsidR="001D101C" w:rsidRPr="00E71A36">
        <w:rPr>
          <w:rFonts w:ascii="Garamond" w:hAnsi="Garamond"/>
        </w:rPr>
        <w:t xml:space="preserve"> statistics (Table 1</w:t>
      </w:r>
      <w:r w:rsidRPr="00E71A36">
        <w:rPr>
          <w:rFonts w:ascii="Garamond" w:hAnsi="Garamond"/>
        </w:rPr>
        <w:t>) All</w:t>
      </w:r>
      <w:r w:rsidR="000F4A50" w:rsidRPr="00E71A36">
        <w:rPr>
          <w:rFonts w:ascii="Garamond" w:hAnsi="Garamond"/>
        </w:rPr>
        <w:t xml:space="preserve"> pollutants exhibited significant negative correlations with distance from burning sites:</w:t>
      </w:r>
      <w:r w:rsidR="00AE5616" w:rsidRPr="00E71A36">
        <w:rPr>
          <w:rFonts w:ascii="Garamond" w:hAnsi="Garamond"/>
        </w:rPr>
        <w:t xml:space="preserve"> </w:t>
      </w:r>
      <w:r w:rsidR="000F4A50" w:rsidRPr="00E71A36">
        <w:rPr>
          <w:rFonts w:ascii="Garamond" w:hAnsi="Garamond"/>
        </w:rPr>
        <w:t xml:space="preserve">PM2.5: r = –0.89, p &lt; </w:t>
      </w:r>
      <w:r w:rsidR="00AD68F5" w:rsidRPr="00E71A36">
        <w:rPr>
          <w:rFonts w:ascii="Garamond" w:hAnsi="Garamond"/>
        </w:rPr>
        <w:t>0.01, CO2</w:t>
      </w:r>
      <w:r w:rsidR="000F4A50" w:rsidRPr="00E71A36">
        <w:rPr>
          <w:rFonts w:ascii="Garamond" w:hAnsi="Garamond"/>
        </w:rPr>
        <w:t xml:space="preserve">: r = –0.76, p &lt; </w:t>
      </w:r>
      <w:r w:rsidR="00AD68F5" w:rsidRPr="00E71A36">
        <w:rPr>
          <w:rFonts w:ascii="Garamond" w:hAnsi="Garamond"/>
        </w:rPr>
        <w:t>0.05, SO</w:t>
      </w:r>
      <w:r w:rsidR="000F4A50" w:rsidRPr="00E71A36">
        <w:rPr>
          <w:rFonts w:ascii="Garamond" w:hAnsi="Garamond"/>
        </w:rPr>
        <w:t>2: r = –0.82, p &lt; 0.01</w:t>
      </w:r>
      <w:r w:rsidR="00AD68F5" w:rsidRPr="00E71A36">
        <w:rPr>
          <w:rFonts w:ascii="Garamond" w:hAnsi="Garamond"/>
        </w:rPr>
        <w:t xml:space="preserve"> and CH</w:t>
      </w:r>
      <w:r w:rsidR="000F4A50" w:rsidRPr="00E71A36">
        <w:rPr>
          <w:rFonts w:ascii="Garamond" w:hAnsi="Garamond"/>
        </w:rPr>
        <w:t>4: r = –0.70, p &lt; 0.05</w:t>
      </w:r>
      <w:r w:rsidR="001D101C" w:rsidRPr="00E71A36">
        <w:rPr>
          <w:rFonts w:ascii="Garamond" w:hAnsi="Garamond"/>
        </w:rPr>
        <w:t>.</w:t>
      </w:r>
      <w:r w:rsidR="00AE5616" w:rsidRPr="00E71A36">
        <w:rPr>
          <w:rFonts w:ascii="Garamond" w:hAnsi="Garamond"/>
        </w:rPr>
        <w:t xml:space="preserve">  </w:t>
      </w:r>
      <w:r w:rsidR="006E586B" w:rsidRPr="00E71A36">
        <w:rPr>
          <w:rFonts w:ascii="Garamond" w:hAnsi="Garamond"/>
        </w:rPr>
        <w:t>The measured pollutant concentrations indicate a clear declining trend with increasing distance from dumping sites. PM</w:t>
      </w:r>
      <w:proofErr w:type="gramStart"/>
      <w:r w:rsidR="006E586B" w:rsidRPr="00E71A36">
        <w:rPr>
          <w:rFonts w:ascii="Cambria Math" w:hAnsi="Cambria Math" w:cs="Cambria Math"/>
        </w:rPr>
        <w:t>₂</w:t>
      </w:r>
      <w:r w:rsidR="006E586B" w:rsidRPr="00E71A36">
        <w:rPr>
          <w:rFonts w:ascii="Garamond" w:hAnsi="Garamond"/>
        </w:rPr>
        <w:t>.</w:t>
      </w:r>
      <w:r w:rsidR="006E586B" w:rsidRPr="00E71A36">
        <w:rPr>
          <w:rFonts w:ascii="Cambria Math" w:hAnsi="Cambria Math" w:cs="Cambria Math"/>
        </w:rPr>
        <w:t>₅</w:t>
      </w:r>
      <w:proofErr w:type="gramEnd"/>
      <w:r w:rsidR="006E586B" w:rsidRPr="00E71A36">
        <w:rPr>
          <w:rFonts w:ascii="Garamond" w:hAnsi="Garamond"/>
        </w:rPr>
        <w:t xml:space="preserve"> levels were highest within 0</w:t>
      </w:r>
      <w:r w:rsidR="006E586B" w:rsidRPr="00E71A36">
        <w:rPr>
          <w:rFonts w:ascii="Garamond" w:hAnsi="Garamond" w:cs="Garamond"/>
        </w:rPr>
        <w:t>–</w:t>
      </w:r>
      <w:r w:rsidR="006E586B" w:rsidRPr="00E71A36">
        <w:rPr>
          <w:rFonts w:ascii="Garamond" w:hAnsi="Garamond"/>
        </w:rPr>
        <w:t>500</w:t>
      </w:r>
      <w:r w:rsidR="006E586B" w:rsidRPr="00E71A36">
        <w:rPr>
          <w:rFonts w:ascii="Times New Roman" w:hAnsi="Times New Roman" w:cs="Times New Roman"/>
        </w:rPr>
        <w:t> </w:t>
      </w:r>
      <w:r w:rsidR="006E586B" w:rsidRPr="00E71A36">
        <w:rPr>
          <w:rFonts w:ascii="Garamond" w:hAnsi="Garamond"/>
        </w:rPr>
        <w:t>m (145</w:t>
      </w:r>
      <w:r w:rsidR="006E586B" w:rsidRPr="00E71A36">
        <w:rPr>
          <w:rFonts w:ascii="Times New Roman" w:hAnsi="Times New Roman" w:cs="Times New Roman"/>
        </w:rPr>
        <w:t> </w:t>
      </w:r>
      <w:r w:rsidR="006E586B" w:rsidRPr="00E71A36">
        <w:rPr>
          <w:rFonts w:ascii="Garamond" w:hAnsi="Garamond" w:cs="Garamond"/>
        </w:rPr>
        <w:t>±</w:t>
      </w:r>
      <w:r w:rsidR="006E586B" w:rsidRPr="00E71A36">
        <w:rPr>
          <w:rFonts w:ascii="Times New Roman" w:hAnsi="Times New Roman" w:cs="Times New Roman"/>
        </w:rPr>
        <w:t> </w:t>
      </w:r>
      <w:r w:rsidR="006E586B" w:rsidRPr="00E71A36">
        <w:rPr>
          <w:rFonts w:ascii="Garamond" w:hAnsi="Garamond"/>
        </w:rPr>
        <w:t>25</w:t>
      </w:r>
      <w:r w:rsidR="006E586B" w:rsidRPr="00E71A36">
        <w:rPr>
          <w:rFonts w:ascii="Times New Roman" w:hAnsi="Times New Roman" w:cs="Times New Roman"/>
        </w:rPr>
        <w:t> </w:t>
      </w:r>
      <w:r w:rsidR="006E586B" w:rsidRPr="00E71A36">
        <w:rPr>
          <w:rFonts w:ascii="Garamond" w:hAnsi="Garamond" w:cs="Garamond"/>
        </w:rPr>
        <w:t>µ</w:t>
      </w:r>
      <w:r w:rsidR="006E586B" w:rsidRPr="00E71A36">
        <w:rPr>
          <w:rFonts w:ascii="Garamond" w:hAnsi="Garamond"/>
        </w:rPr>
        <w:t>g/m</w:t>
      </w:r>
      <w:r w:rsidR="006E586B" w:rsidRPr="00E71A36">
        <w:rPr>
          <w:rFonts w:ascii="Garamond" w:hAnsi="Garamond" w:cs="Garamond"/>
        </w:rPr>
        <w:t>³</w:t>
      </w:r>
      <w:r w:rsidR="006E586B" w:rsidRPr="00E71A36">
        <w:rPr>
          <w:rFonts w:ascii="Garamond" w:hAnsi="Garamond"/>
        </w:rPr>
        <w:t>) and decreased progressively to 90</w:t>
      </w:r>
      <w:r w:rsidR="006E586B" w:rsidRPr="00E71A36">
        <w:rPr>
          <w:rFonts w:ascii="Times New Roman" w:hAnsi="Times New Roman" w:cs="Times New Roman"/>
        </w:rPr>
        <w:t> </w:t>
      </w:r>
      <w:r w:rsidR="006E586B" w:rsidRPr="00E71A36">
        <w:rPr>
          <w:rFonts w:ascii="Garamond" w:hAnsi="Garamond" w:cs="Garamond"/>
        </w:rPr>
        <w:t>±</w:t>
      </w:r>
      <w:r w:rsidR="006E586B" w:rsidRPr="00E71A36">
        <w:rPr>
          <w:rFonts w:ascii="Times New Roman" w:hAnsi="Times New Roman" w:cs="Times New Roman"/>
        </w:rPr>
        <w:t> </w:t>
      </w:r>
      <w:r w:rsidR="006E586B" w:rsidRPr="00E71A36">
        <w:rPr>
          <w:rFonts w:ascii="Garamond" w:hAnsi="Garamond"/>
        </w:rPr>
        <w:t>15</w:t>
      </w:r>
      <w:r w:rsidR="006E586B" w:rsidRPr="00E71A36">
        <w:rPr>
          <w:rFonts w:ascii="Times New Roman" w:hAnsi="Times New Roman" w:cs="Times New Roman"/>
        </w:rPr>
        <w:t> </w:t>
      </w:r>
      <w:r w:rsidR="006E586B" w:rsidRPr="00E71A36">
        <w:rPr>
          <w:rFonts w:ascii="Garamond" w:hAnsi="Garamond" w:cs="Garamond"/>
        </w:rPr>
        <w:t>µ</w:t>
      </w:r>
      <w:r w:rsidR="006E586B" w:rsidRPr="00E71A36">
        <w:rPr>
          <w:rFonts w:ascii="Garamond" w:hAnsi="Garamond"/>
        </w:rPr>
        <w:t>g/m</w:t>
      </w:r>
      <w:r w:rsidR="006E586B" w:rsidRPr="00E71A36">
        <w:rPr>
          <w:rFonts w:ascii="Garamond" w:hAnsi="Garamond" w:cs="Garamond"/>
        </w:rPr>
        <w:t>³</w:t>
      </w:r>
      <w:r w:rsidR="006E586B" w:rsidRPr="00E71A36">
        <w:rPr>
          <w:rFonts w:ascii="Garamond" w:hAnsi="Garamond"/>
        </w:rPr>
        <w:t xml:space="preserve"> at 500</w:t>
      </w:r>
      <w:r w:rsidR="006E586B" w:rsidRPr="00E71A36">
        <w:rPr>
          <w:rFonts w:ascii="Garamond" w:hAnsi="Garamond" w:cs="Garamond"/>
        </w:rPr>
        <w:t>–</w:t>
      </w:r>
      <w:r w:rsidR="006E586B" w:rsidRPr="00E71A36">
        <w:rPr>
          <w:rFonts w:ascii="Garamond" w:hAnsi="Garamond"/>
        </w:rPr>
        <w:t>1000</w:t>
      </w:r>
      <w:r w:rsidR="006E586B" w:rsidRPr="00E71A36">
        <w:rPr>
          <w:rFonts w:ascii="Times New Roman" w:hAnsi="Times New Roman" w:cs="Times New Roman"/>
        </w:rPr>
        <w:t> </w:t>
      </w:r>
      <w:r w:rsidR="006E586B" w:rsidRPr="00E71A36">
        <w:rPr>
          <w:rFonts w:ascii="Garamond" w:hAnsi="Garamond"/>
        </w:rPr>
        <w:t>m, and 45</w:t>
      </w:r>
      <w:r w:rsidR="006E586B" w:rsidRPr="00E71A36">
        <w:rPr>
          <w:rFonts w:ascii="Times New Roman" w:hAnsi="Times New Roman" w:cs="Times New Roman"/>
        </w:rPr>
        <w:t> </w:t>
      </w:r>
      <w:r w:rsidR="006E586B" w:rsidRPr="00E71A36">
        <w:rPr>
          <w:rFonts w:ascii="Garamond" w:hAnsi="Garamond" w:cs="Garamond"/>
        </w:rPr>
        <w:t>±</w:t>
      </w:r>
      <w:r w:rsidR="006E586B" w:rsidRPr="00E71A36">
        <w:rPr>
          <w:rFonts w:ascii="Times New Roman" w:hAnsi="Times New Roman" w:cs="Times New Roman"/>
        </w:rPr>
        <w:t> </w:t>
      </w:r>
      <w:r w:rsidR="006E586B" w:rsidRPr="00E71A36">
        <w:rPr>
          <w:rFonts w:ascii="Garamond" w:hAnsi="Garamond"/>
        </w:rPr>
        <w:t>10</w:t>
      </w:r>
      <w:r w:rsidR="006E586B" w:rsidRPr="00E71A36">
        <w:rPr>
          <w:rFonts w:ascii="Times New Roman" w:hAnsi="Times New Roman" w:cs="Times New Roman"/>
        </w:rPr>
        <w:t> </w:t>
      </w:r>
      <w:r w:rsidR="006E586B" w:rsidRPr="00E71A36">
        <w:rPr>
          <w:rFonts w:ascii="Garamond" w:hAnsi="Garamond" w:cs="Garamond"/>
        </w:rPr>
        <w:t>µ</w:t>
      </w:r>
      <w:r w:rsidR="006E586B" w:rsidRPr="00E71A36">
        <w:rPr>
          <w:rFonts w:ascii="Garamond" w:hAnsi="Garamond"/>
        </w:rPr>
        <w:t>g/m</w:t>
      </w:r>
      <w:r w:rsidR="006E586B" w:rsidRPr="00E71A36">
        <w:rPr>
          <w:rFonts w:ascii="Garamond" w:hAnsi="Garamond" w:cs="Garamond"/>
        </w:rPr>
        <w:t>³</w:t>
      </w:r>
      <w:r w:rsidR="006E586B" w:rsidRPr="00E71A36">
        <w:rPr>
          <w:rFonts w:ascii="Garamond" w:hAnsi="Garamond"/>
        </w:rPr>
        <w:t xml:space="preserve"> </w:t>
      </w:r>
      <w:r w:rsidR="006E586B" w:rsidRPr="00E71A36">
        <w:rPr>
          <w:rFonts w:ascii="Garamond" w:hAnsi="Garamond"/>
        </w:rPr>
        <w:lastRenderedPageBreak/>
        <w:t>beyond 1000</w:t>
      </w:r>
      <w:r w:rsidR="006E586B" w:rsidRPr="00E71A36">
        <w:rPr>
          <w:rFonts w:ascii="Times New Roman" w:hAnsi="Times New Roman" w:cs="Times New Roman"/>
        </w:rPr>
        <w:t> </w:t>
      </w:r>
      <w:r w:rsidR="006E586B" w:rsidRPr="00E71A36">
        <w:rPr>
          <w:rFonts w:ascii="Garamond" w:hAnsi="Garamond"/>
        </w:rPr>
        <w:t>m. A similar distance-dependent decline was observed for gaseous pollutants: CO</w:t>
      </w:r>
      <w:r w:rsidR="006E586B" w:rsidRPr="00E71A36">
        <w:rPr>
          <w:rFonts w:ascii="Cambria Math" w:hAnsi="Cambria Math" w:cs="Cambria Math"/>
        </w:rPr>
        <w:t>₂</w:t>
      </w:r>
      <w:r w:rsidR="006E586B" w:rsidRPr="00E71A36">
        <w:rPr>
          <w:rFonts w:ascii="Garamond" w:hAnsi="Garamond"/>
        </w:rPr>
        <w:t xml:space="preserve"> decreased from 720</w:t>
      </w:r>
      <w:r w:rsidR="006E586B" w:rsidRPr="00E71A36">
        <w:rPr>
          <w:rFonts w:ascii="Times New Roman" w:hAnsi="Times New Roman" w:cs="Times New Roman"/>
        </w:rPr>
        <w:t> </w:t>
      </w:r>
      <w:r w:rsidR="006E586B" w:rsidRPr="00E71A36">
        <w:rPr>
          <w:rFonts w:ascii="Garamond" w:hAnsi="Garamond" w:cs="Garamond"/>
        </w:rPr>
        <w:t>±</w:t>
      </w:r>
      <w:r w:rsidR="006E586B" w:rsidRPr="00E71A36">
        <w:rPr>
          <w:rFonts w:ascii="Times New Roman" w:hAnsi="Times New Roman" w:cs="Times New Roman"/>
        </w:rPr>
        <w:t> </w:t>
      </w:r>
      <w:r w:rsidR="006E586B" w:rsidRPr="00E71A36">
        <w:rPr>
          <w:rFonts w:ascii="Garamond" w:hAnsi="Garamond"/>
        </w:rPr>
        <w:t>50</w:t>
      </w:r>
      <w:r w:rsidR="006E586B" w:rsidRPr="00E71A36">
        <w:rPr>
          <w:rFonts w:ascii="Times New Roman" w:hAnsi="Times New Roman" w:cs="Times New Roman"/>
        </w:rPr>
        <w:t> </w:t>
      </w:r>
      <w:r w:rsidR="006E586B" w:rsidRPr="00E71A36">
        <w:rPr>
          <w:rFonts w:ascii="Garamond" w:hAnsi="Garamond"/>
        </w:rPr>
        <w:t>ppm near the site to 580</w:t>
      </w:r>
      <w:r w:rsidR="006E586B" w:rsidRPr="00E71A36">
        <w:rPr>
          <w:rFonts w:ascii="Times New Roman" w:hAnsi="Times New Roman" w:cs="Times New Roman"/>
        </w:rPr>
        <w:t> </w:t>
      </w:r>
      <w:r w:rsidR="006E586B" w:rsidRPr="00E71A36">
        <w:rPr>
          <w:rFonts w:ascii="Garamond" w:hAnsi="Garamond" w:cs="Garamond"/>
        </w:rPr>
        <w:t>±</w:t>
      </w:r>
      <w:r w:rsidR="006E586B" w:rsidRPr="00E71A36">
        <w:rPr>
          <w:rFonts w:ascii="Times New Roman" w:hAnsi="Times New Roman" w:cs="Times New Roman"/>
        </w:rPr>
        <w:t> </w:t>
      </w:r>
      <w:r w:rsidR="006E586B" w:rsidRPr="00E71A36">
        <w:rPr>
          <w:rFonts w:ascii="Garamond" w:hAnsi="Garamond"/>
        </w:rPr>
        <w:t>35</w:t>
      </w:r>
      <w:r w:rsidR="006E586B" w:rsidRPr="00E71A36">
        <w:rPr>
          <w:rFonts w:ascii="Times New Roman" w:hAnsi="Times New Roman" w:cs="Times New Roman"/>
        </w:rPr>
        <w:t> </w:t>
      </w:r>
      <w:r w:rsidR="006E586B" w:rsidRPr="00E71A36">
        <w:rPr>
          <w:rFonts w:ascii="Garamond" w:hAnsi="Garamond"/>
        </w:rPr>
        <w:t>ppm at &gt;1000</w:t>
      </w:r>
      <w:r w:rsidR="006E586B" w:rsidRPr="00E71A36">
        <w:rPr>
          <w:rFonts w:ascii="Times New Roman" w:hAnsi="Times New Roman" w:cs="Times New Roman"/>
        </w:rPr>
        <w:t> </w:t>
      </w:r>
      <w:r w:rsidR="006E586B" w:rsidRPr="00E71A36">
        <w:rPr>
          <w:rFonts w:ascii="Garamond" w:hAnsi="Garamond"/>
        </w:rPr>
        <w:t>m, SO</w:t>
      </w:r>
      <w:r w:rsidR="006E586B" w:rsidRPr="00E71A36">
        <w:rPr>
          <w:rFonts w:ascii="Cambria Math" w:hAnsi="Cambria Math" w:cs="Cambria Math"/>
        </w:rPr>
        <w:t>₂</w:t>
      </w:r>
      <w:r w:rsidR="006E586B" w:rsidRPr="00E71A36">
        <w:rPr>
          <w:rFonts w:ascii="Garamond" w:hAnsi="Garamond"/>
        </w:rPr>
        <w:t xml:space="preserve"> from 55</w:t>
      </w:r>
      <w:r w:rsidR="006E586B" w:rsidRPr="00E71A36">
        <w:rPr>
          <w:rFonts w:ascii="Times New Roman" w:hAnsi="Times New Roman" w:cs="Times New Roman"/>
        </w:rPr>
        <w:t> </w:t>
      </w:r>
      <w:r w:rsidR="006E586B" w:rsidRPr="00E71A36">
        <w:rPr>
          <w:rFonts w:ascii="Garamond" w:hAnsi="Garamond" w:cs="Garamond"/>
        </w:rPr>
        <w:t>±</w:t>
      </w:r>
      <w:r w:rsidR="006E586B" w:rsidRPr="00E71A36">
        <w:rPr>
          <w:rFonts w:ascii="Times New Roman" w:hAnsi="Times New Roman" w:cs="Times New Roman"/>
        </w:rPr>
        <w:t> </w:t>
      </w:r>
      <w:r w:rsidR="006E586B" w:rsidRPr="00E71A36">
        <w:rPr>
          <w:rFonts w:ascii="Garamond" w:hAnsi="Garamond"/>
        </w:rPr>
        <w:t>12</w:t>
      </w:r>
      <w:r w:rsidR="006E586B" w:rsidRPr="00E71A36">
        <w:rPr>
          <w:rFonts w:ascii="Times New Roman" w:hAnsi="Times New Roman" w:cs="Times New Roman"/>
        </w:rPr>
        <w:t> </w:t>
      </w:r>
      <w:r w:rsidR="006E586B" w:rsidRPr="00E71A36">
        <w:rPr>
          <w:rFonts w:ascii="Garamond" w:hAnsi="Garamond"/>
        </w:rPr>
        <w:t>ppb to 18</w:t>
      </w:r>
      <w:r w:rsidR="006E586B" w:rsidRPr="00E71A36">
        <w:rPr>
          <w:rFonts w:ascii="Times New Roman" w:hAnsi="Times New Roman" w:cs="Times New Roman"/>
        </w:rPr>
        <w:t> </w:t>
      </w:r>
      <w:r w:rsidR="006E586B" w:rsidRPr="00E71A36">
        <w:rPr>
          <w:rFonts w:ascii="Garamond" w:hAnsi="Garamond" w:cs="Garamond"/>
        </w:rPr>
        <w:t>±</w:t>
      </w:r>
      <w:r w:rsidR="006E586B" w:rsidRPr="00E71A36">
        <w:rPr>
          <w:rFonts w:ascii="Times New Roman" w:hAnsi="Times New Roman" w:cs="Times New Roman"/>
        </w:rPr>
        <w:t> </w:t>
      </w:r>
      <w:r w:rsidR="006E586B" w:rsidRPr="00E71A36">
        <w:rPr>
          <w:rFonts w:ascii="Garamond" w:hAnsi="Garamond"/>
        </w:rPr>
        <w:t>5</w:t>
      </w:r>
      <w:r w:rsidR="006E586B" w:rsidRPr="00E71A36">
        <w:rPr>
          <w:rFonts w:ascii="Times New Roman" w:hAnsi="Times New Roman" w:cs="Times New Roman"/>
        </w:rPr>
        <w:t> </w:t>
      </w:r>
      <w:r w:rsidR="006E586B" w:rsidRPr="00E71A36">
        <w:rPr>
          <w:rFonts w:ascii="Garamond" w:hAnsi="Garamond"/>
        </w:rPr>
        <w:t>ppb, and CH</w:t>
      </w:r>
      <w:r w:rsidR="006E586B" w:rsidRPr="00E71A36">
        <w:rPr>
          <w:rFonts w:ascii="Cambria Math" w:hAnsi="Cambria Math" w:cs="Cambria Math"/>
        </w:rPr>
        <w:t>₄</w:t>
      </w:r>
      <w:r w:rsidR="006E586B" w:rsidRPr="00E71A36">
        <w:rPr>
          <w:rFonts w:ascii="Garamond" w:hAnsi="Garamond"/>
        </w:rPr>
        <w:t xml:space="preserve"> from 2.1</w:t>
      </w:r>
      <w:r w:rsidR="006E586B" w:rsidRPr="00E71A36">
        <w:rPr>
          <w:rFonts w:ascii="Times New Roman" w:hAnsi="Times New Roman" w:cs="Times New Roman"/>
        </w:rPr>
        <w:t> </w:t>
      </w:r>
      <w:r w:rsidR="006E586B" w:rsidRPr="00E71A36">
        <w:rPr>
          <w:rFonts w:ascii="Garamond" w:hAnsi="Garamond" w:cs="Garamond"/>
        </w:rPr>
        <w:t>±</w:t>
      </w:r>
      <w:r w:rsidR="006E586B" w:rsidRPr="00E71A36">
        <w:rPr>
          <w:rFonts w:ascii="Times New Roman" w:hAnsi="Times New Roman" w:cs="Times New Roman"/>
        </w:rPr>
        <w:t> </w:t>
      </w:r>
      <w:r w:rsidR="006E586B" w:rsidRPr="00E71A36">
        <w:rPr>
          <w:rFonts w:ascii="Garamond" w:hAnsi="Garamond"/>
        </w:rPr>
        <w:t>0.3</w:t>
      </w:r>
      <w:r w:rsidR="006E586B" w:rsidRPr="00E71A36">
        <w:rPr>
          <w:rFonts w:ascii="Times New Roman" w:hAnsi="Times New Roman" w:cs="Times New Roman"/>
        </w:rPr>
        <w:t> </w:t>
      </w:r>
      <w:r w:rsidR="006E586B" w:rsidRPr="00E71A36">
        <w:rPr>
          <w:rFonts w:ascii="Garamond" w:hAnsi="Garamond"/>
        </w:rPr>
        <w:t>ppm to 1.2</w:t>
      </w:r>
      <w:r w:rsidR="006E586B" w:rsidRPr="00E71A36">
        <w:rPr>
          <w:rFonts w:ascii="Times New Roman" w:hAnsi="Times New Roman" w:cs="Times New Roman"/>
        </w:rPr>
        <w:t> </w:t>
      </w:r>
      <w:r w:rsidR="006E586B" w:rsidRPr="00E71A36">
        <w:rPr>
          <w:rFonts w:ascii="Garamond" w:hAnsi="Garamond" w:cs="Garamond"/>
        </w:rPr>
        <w:t>±</w:t>
      </w:r>
      <w:r w:rsidR="006E586B" w:rsidRPr="00E71A36">
        <w:rPr>
          <w:rFonts w:ascii="Times New Roman" w:hAnsi="Times New Roman" w:cs="Times New Roman"/>
        </w:rPr>
        <w:t> </w:t>
      </w:r>
      <w:r w:rsidR="006E586B" w:rsidRPr="00E71A36">
        <w:rPr>
          <w:rFonts w:ascii="Garamond" w:hAnsi="Garamond"/>
        </w:rPr>
        <w:t>0.1</w:t>
      </w:r>
      <w:r w:rsidR="006E586B" w:rsidRPr="00E71A36">
        <w:rPr>
          <w:rFonts w:ascii="Times New Roman" w:hAnsi="Times New Roman" w:cs="Times New Roman"/>
        </w:rPr>
        <w:t> </w:t>
      </w:r>
      <w:r w:rsidR="006E586B" w:rsidRPr="00E71A36">
        <w:rPr>
          <w:rFonts w:ascii="Garamond" w:hAnsi="Garamond"/>
        </w:rPr>
        <w:t xml:space="preserve">ppm. </w:t>
      </w:r>
    </w:p>
    <w:p w14:paraId="1F7B6B84" w14:textId="77777777" w:rsidR="006E586B" w:rsidRPr="00E71A36" w:rsidRDefault="006E586B" w:rsidP="008027C8">
      <w:pPr>
        <w:spacing w:line="360" w:lineRule="auto"/>
        <w:jc w:val="both"/>
        <w:rPr>
          <w:rFonts w:ascii="Garamond" w:hAnsi="Garamond"/>
        </w:rPr>
      </w:pPr>
      <w:r w:rsidRPr="00E71A36">
        <w:rPr>
          <w:rFonts w:ascii="Garamond" w:hAnsi="Garamond"/>
        </w:rPr>
        <w:t>These results indicate a strong localized impact of waste burning, with concentrations dropping sharply as distance from the source increases. The steep gradient observed for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xml:space="preserve"> and SO</w:t>
      </w:r>
      <w:r w:rsidRPr="00E71A36">
        <w:rPr>
          <w:rFonts w:ascii="Cambria Math" w:hAnsi="Cambria Math" w:cs="Cambria Math"/>
        </w:rPr>
        <w:t>₂</w:t>
      </w:r>
      <w:r w:rsidRPr="00E71A36">
        <w:rPr>
          <w:rFonts w:ascii="Garamond" w:hAnsi="Garamond"/>
        </w:rPr>
        <w:t xml:space="preserve"> suggests that particulate and sulfur-based pollutants pose the highest immediate risk to populations living closest to dumpsites.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xml:space="preserve"> is of particular concern due to its ability to penetrate deep into the lungs and bloodstream, increasing risks of respiratory and cardiovascular diseases (</w:t>
      </w:r>
      <w:proofErr w:type="spellStart"/>
      <w:r w:rsidRPr="00E71A36">
        <w:rPr>
          <w:rFonts w:ascii="Garamond" w:hAnsi="Garamond"/>
        </w:rPr>
        <w:t>Apte</w:t>
      </w:r>
      <w:proofErr w:type="spellEnd"/>
      <w:r w:rsidRPr="00E71A36">
        <w:rPr>
          <w:rFonts w:ascii="Garamond" w:hAnsi="Garamond"/>
        </w:rPr>
        <w:t xml:space="preserve"> et</w:t>
      </w:r>
      <w:r w:rsidRPr="00E71A36">
        <w:rPr>
          <w:rFonts w:ascii="Times New Roman" w:hAnsi="Times New Roman" w:cs="Times New Roman"/>
        </w:rPr>
        <w:t> </w:t>
      </w:r>
      <w:r w:rsidRPr="00E71A36">
        <w:rPr>
          <w:rFonts w:ascii="Garamond" w:hAnsi="Garamond"/>
        </w:rPr>
        <w:t xml:space="preserve">al., 2018; WHO, 2021). </w:t>
      </w:r>
    </w:p>
    <w:p w14:paraId="7453CDBE" w14:textId="5CD878A0" w:rsidR="006E586B" w:rsidRPr="00E71A36" w:rsidRDefault="006E586B" w:rsidP="008027C8">
      <w:pPr>
        <w:spacing w:line="360" w:lineRule="auto"/>
        <w:jc w:val="both"/>
        <w:rPr>
          <w:rFonts w:ascii="Garamond" w:hAnsi="Garamond"/>
        </w:rPr>
      </w:pPr>
      <w:r w:rsidRPr="00E71A36">
        <w:rPr>
          <w:rFonts w:ascii="Garamond" w:hAnsi="Garamond"/>
        </w:rPr>
        <w:t xml:space="preserve">Elevated greenhouse gas levels near dumpsites indicate contributions to greenhouse gas emissions and climate change, consistent with urban combustion studies. The observed distance decay effect aligns with other urban contexts where air pollution declines with distance from major sources (e.g., </w:t>
      </w:r>
      <w:proofErr w:type="spellStart"/>
      <w:r w:rsidRPr="00E71A36">
        <w:rPr>
          <w:rFonts w:ascii="Garamond" w:hAnsi="Garamond"/>
        </w:rPr>
        <w:t>Egondi</w:t>
      </w:r>
      <w:proofErr w:type="spellEnd"/>
      <w:r w:rsidRPr="00E71A36">
        <w:rPr>
          <w:rFonts w:ascii="Garamond" w:hAnsi="Garamond"/>
        </w:rPr>
        <w:t xml:space="preserve"> et</w:t>
      </w:r>
      <w:r w:rsidRPr="00E71A36">
        <w:rPr>
          <w:rFonts w:ascii="Times New Roman" w:hAnsi="Times New Roman" w:cs="Times New Roman"/>
        </w:rPr>
        <w:t> </w:t>
      </w:r>
      <w:r w:rsidRPr="00E71A36">
        <w:rPr>
          <w:rFonts w:ascii="Garamond" w:hAnsi="Garamond"/>
        </w:rPr>
        <w:t xml:space="preserve">al. 2016; </w:t>
      </w:r>
      <w:proofErr w:type="spellStart"/>
      <w:r w:rsidRPr="00E71A36">
        <w:rPr>
          <w:rFonts w:ascii="Garamond" w:hAnsi="Garamond"/>
        </w:rPr>
        <w:t>Egondi</w:t>
      </w:r>
      <w:proofErr w:type="spellEnd"/>
      <w:r w:rsidRPr="00E71A36">
        <w:rPr>
          <w:rFonts w:ascii="Garamond" w:hAnsi="Garamond"/>
        </w:rPr>
        <w:t xml:space="preserve"> et</w:t>
      </w:r>
      <w:r w:rsidRPr="00E71A36">
        <w:rPr>
          <w:rFonts w:ascii="Times New Roman" w:hAnsi="Times New Roman" w:cs="Times New Roman"/>
        </w:rPr>
        <w:t> </w:t>
      </w:r>
      <w:r w:rsidRPr="00E71A36">
        <w:rPr>
          <w:rFonts w:ascii="Garamond" w:hAnsi="Garamond"/>
        </w:rPr>
        <w:t>al., 2013). Studies in Nairobi’s informal settlements similarly show that residents closest to pollution sources, including open burning areas, experience higher exposure to particulate and gaseous pollutants (</w:t>
      </w:r>
      <w:proofErr w:type="spellStart"/>
      <w:r w:rsidRPr="00E71A36">
        <w:rPr>
          <w:rFonts w:ascii="Garamond" w:hAnsi="Garamond"/>
        </w:rPr>
        <w:t>Egondi</w:t>
      </w:r>
      <w:proofErr w:type="spellEnd"/>
      <w:r w:rsidRPr="00E71A36">
        <w:rPr>
          <w:rFonts w:ascii="Garamond" w:hAnsi="Garamond"/>
        </w:rPr>
        <w:t xml:space="preserve"> et</w:t>
      </w:r>
      <w:r w:rsidRPr="00E71A36">
        <w:rPr>
          <w:rFonts w:ascii="Times New Roman" w:hAnsi="Times New Roman" w:cs="Times New Roman"/>
        </w:rPr>
        <w:t> </w:t>
      </w:r>
      <w:r w:rsidRPr="00E71A36">
        <w:rPr>
          <w:rFonts w:ascii="Garamond" w:hAnsi="Garamond"/>
        </w:rPr>
        <w:t xml:space="preserve">al. 2016; </w:t>
      </w:r>
      <w:proofErr w:type="spellStart"/>
      <w:r w:rsidRPr="00E71A36">
        <w:rPr>
          <w:rFonts w:ascii="Garamond" w:hAnsi="Garamond"/>
        </w:rPr>
        <w:t>Egondi</w:t>
      </w:r>
      <w:proofErr w:type="spellEnd"/>
      <w:r w:rsidRPr="00E71A36">
        <w:rPr>
          <w:rFonts w:ascii="Garamond" w:hAnsi="Garamond"/>
        </w:rPr>
        <w:t xml:space="preserve"> et</w:t>
      </w:r>
      <w:r w:rsidRPr="00E71A36">
        <w:rPr>
          <w:rFonts w:ascii="Times New Roman" w:hAnsi="Times New Roman" w:cs="Times New Roman"/>
        </w:rPr>
        <w:t> </w:t>
      </w:r>
      <w:r w:rsidRPr="00E71A36">
        <w:rPr>
          <w:rFonts w:ascii="Garamond" w:hAnsi="Garamond"/>
        </w:rPr>
        <w:t>al., 2013). These results are consistent with prior findings and reinforce the need for targeted mitigation and environmental management strategies</w:t>
      </w:r>
    </w:p>
    <w:p w14:paraId="6402B399" w14:textId="04F32B39" w:rsidR="000F4A50" w:rsidRPr="00E71A36" w:rsidRDefault="006E586B" w:rsidP="008027C8">
      <w:pPr>
        <w:spacing w:line="360" w:lineRule="auto"/>
        <w:jc w:val="both"/>
        <w:rPr>
          <w:rFonts w:ascii="Garamond" w:hAnsi="Garamond"/>
          <w:b/>
        </w:rPr>
      </w:pPr>
      <w:r w:rsidRPr="00E71A36">
        <w:rPr>
          <w:rFonts w:ascii="Garamond" w:hAnsi="Garamond"/>
        </w:rPr>
        <w:t>.</w:t>
      </w:r>
      <w:r w:rsidR="000F4A50" w:rsidRPr="00E71A36">
        <w:rPr>
          <w:rFonts w:ascii="Garamond" w:hAnsi="Garamond"/>
          <w:b/>
        </w:rPr>
        <w:t>3.3</w:t>
      </w:r>
      <w:r w:rsidR="00AE5616" w:rsidRPr="00E71A36">
        <w:rPr>
          <w:rFonts w:ascii="Garamond" w:hAnsi="Garamond"/>
          <w:b/>
        </w:rPr>
        <w:t>.</w:t>
      </w:r>
      <w:r w:rsidR="00AD68F5" w:rsidRPr="00E71A36">
        <w:rPr>
          <w:rFonts w:ascii="Garamond" w:hAnsi="Garamond"/>
          <w:b/>
        </w:rPr>
        <w:t xml:space="preserve"> </w:t>
      </w:r>
      <w:r w:rsidR="000F4A50" w:rsidRPr="00E71A36">
        <w:rPr>
          <w:rFonts w:ascii="Garamond" w:hAnsi="Garamond"/>
          <w:b/>
        </w:rPr>
        <w:t xml:space="preserve"> Regression Analysis</w:t>
      </w:r>
    </w:p>
    <w:p w14:paraId="56B0DADC" w14:textId="77777777" w:rsidR="000F4A50" w:rsidRPr="00E71A36" w:rsidRDefault="000F4A50" w:rsidP="008027C8">
      <w:pPr>
        <w:spacing w:line="360" w:lineRule="auto"/>
        <w:jc w:val="both"/>
        <w:rPr>
          <w:rFonts w:ascii="Garamond" w:hAnsi="Garamond"/>
        </w:rPr>
      </w:pPr>
      <w:r w:rsidRPr="00E71A36">
        <w:rPr>
          <w:rFonts w:ascii="Garamond" w:hAnsi="Garamond"/>
        </w:rPr>
        <w:t>Linear regression confirmed that distance from burning sites is a strong predictor of pollutant concentration. PM2.5 and SO2 showed the steepest decline per 100 m from the burning source (β1 = –20.3 µg/m³ and –3.7 ppb, respectively).</w:t>
      </w:r>
    </w:p>
    <w:p w14:paraId="08617899" w14:textId="18AAFA3D" w:rsidR="00706D2C" w:rsidRPr="00E71A36" w:rsidRDefault="00AD68F5" w:rsidP="008027C8">
      <w:pPr>
        <w:spacing w:line="360" w:lineRule="auto"/>
        <w:jc w:val="both"/>
        <w:rPr>
          <w:rFonts w:ascii="Garamond" w:hAnsi="Garamond"/>
          <w:b/>
          <w:bCs/>
        </w:rPr>
      </w:pPr>
      <w:bookmarkStart w:id="1" w:name="_Toc211254348"/>
      <w:bookmarkStart w:id="2" w:name="_Toc221485396"/>
      <w:bookmarkStart w:id="3" w:name="_Toc224480369"/>
      <w:r w:rsidRPr="00E71A36">
        <w:rPr>
          <w:rFonts w:ascii="Garamond" w:hAnsi="Garamond"/>
          <w:b/>
          <w:bCs/>
        </w:rPr>
        <w:t>3.4</w:t>
      </w:r>
      <w:r w:rsidR="00AE5616" w:rsidRPr="00E71A36">
        <w:rPr>
          <w:rFonts w:ascii="Garamond" w:hAnsi="Garamond"/>
          <w:b/>
          <w:bCs/>
        </w:rPr>
        <w:t>.</w:t>
      </w:r>
      <w:r w:rsidR="00706D2C" w:rsidRPr="00E71A36">
        <w:rPr>
          <w:rFonts w:ascii="Garamond" w:hAnsi="Garamond"/>
          <w:b/>
          <w:bCs/>
        </w:rPr>
        <w:t xml:space="preserve"> </w:t>
      </w:r>
      <w:bookmarkEnd w:id="1"/>
      <w:r w:rsidR="00706D2C" w:rsidRPr="00E71A36">
        <w:rPr>
          <w:rFonts w:ascii="Garamond" w:hAnsi="Garamond"/>
          <w:b/>
          <w:bCs/>
        </w:rPr>
        <w:t>Relationship between levels of Pm2.5, Carbon dioxide (CO2,) Sulphur oxide (SO2) and Methane (CH4) and distance from dumping sites (burning)</w:t>
      </w:r>
      <w:bookmarkEnd w:id="2"/>
      <w:bookmarkEnd w:id="3"/>
    </w:p>
    <w:p w14:paraId="405E8083" w14:textId="6306D4BA" w:rsidR="001D0A71" w:rsidRPr="00E71A36" w:rsidRDefault="00E71A36" w:rsidP="008027C8">
      <w:pPr>
        <w:spacing w:line="360" w:lineRule="auto"/>
        <w:jc w:val="both"/>
        <w:rPr>
          <w:rFonts w:ascii="Garamond" w:hAnsi="Garamond"/>
          <w:b/>
          <w:bCs/>
        </w:rPr>
      </w:pPr>
      <w:r w:rsidRPr="00E71A36">
        <w:rPr>
          <w:rFonts w:ascii="Garamond" w:hAnsi="Garamond"/>
          <w:b/>
          <w:bCs/>
        </w:rPr>
        <w:object w:dxaOrig="12630" w:dyaOrig="8926" w14:anchorId="6F03D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181.85pt" o:ole="">
            <v:imagedata r:id="rId7" o:title=""/>
          </v:shape>
          <o:OLEObject Type="Embed" ProgID="Acrobat.Document.DC" ShapeID="_x0000_i1025" DrawAspect="Content" ObjectID="_1836475905" r:id="rId8"/>
        </w:object>
      </w:r>
      <w:r w:rsidR="001D0A71" w:rsidRPr="00E71A36">
        <w:rPr>
          <w:rFonts w:ascii="Garamond" w:hAnsi="Garamond"/>
          <w:b/>
          <w:bCs/>
        </w:rPr>
        <w:t xml:space="preserve">Figure </w:t>
      </w:r>
      <w:r w:rsidR="00CB4D5A" w:rsidRPr="00E71A36">
        <w:rPr>
          <w:rFonts w:ascii="Garamond" w:hAnsi="Garamond"/>
          <w:b/>
          <w:bCs/>
        </w:rPr>
        <w:t>2</w:t>
      </w:r>
      <w:r w:rsidR="00FB5C3E" w:rsidRPr="00E71A36">
        <w:rPr>
          <w:rFonts w:ascii="Garamond" w:hAnsi="Garamond"/>
          <w:b/>
          <w:bCs/>
        </w:rPr>
        <w:t>.</w:t>
      </w:r>
      <w:r w:rsidR="001D0A71" w:rsidRPr="00E71A36">
        <w:rPr>
          <w:rFonts w:ascii="Garamond" w:hAnsi="Garamond"/>
          <w:b/>
          <w:bCs/>
        </w:rPr>
        <w:t xml:space="preserve"> Installed Air Quality Sensors </w:t>
      </w:r>
    </w:p>
    <w:p w14:paraId="1E5C3BC2" w14:textId="7D9B3E31" w:rsidR="00706D2C" w:rsidRPr="00E71A36" w:rsidRDefault="005904C7" w:rsidP="008027C8">
      <w:pPr>
        <w:spacing w:line="360" w:lineRule="auto"/>
        <w:jc w:val="both"/>
        <w:rPr>
          <w:rFonts w:ascii="Garamond" w:hAnsi="Garamond"/>
        </w:rPr>
      </w:pPr>
      <w:r w:rsidRPr="00E71A36">
        <w:rPr>
          <w:rFonts w:ascii="Garamond" w:hAnsi="Garamond"/>
        </w:rPr>
        <w:t>Figure 2 illustrates a collection of all air monitor sensors installed in the study area</w:t>
      </w:r>
      <w:r w:rsidR="002E5751" w:rsidRPr="00E71A36">
        <w:rPr>
          <w:rFonts w:ascii="Garamond" w:hAnsi="Garamond"/>
        </w:rPr>
        <w:t>.</w:t>
      </w:r>
      <w:r w:rsidR="00706D2C" w:rsidRPr="00E71A36">
        <w:rPr>
          <w:rFonts w:ascii="Garamond" w:hAnsi="Garamond"/>
        </w:rPr>
        <w:t>Air quality measurements for PM</w:t>
      </w:r>
      <w:r w:rsidR="003C3A4B" w:rsidRPr="00E71A36">
        <w:rPr>
          <w:rFonts w:ascii="Garamond" w:hAnsi="Garamond" w:cs="Cambria Math"/>
        </w:rPr>
        <w:t xml:space="preserve"> </w:t>
      </w:r>
      <w:r w:rsidR="003C3A4B" w:rsidRPr="00E71A36">
        <w:rPr>
          <w:rFonts w:ascii="Cambria Math" w:hAnsi="Cambria Math" w:cs="Cambria Math"/>
        </w:rPr>
        <w:t>₂</w:t>
      </w:r>
      <w:r w:rsidR="003C3A4B" w:rsidRPr="00E71A36">
        <w:rPr>
          <w:rFonts w:ascii="Garamond" w:hAnsi="Garamond"/>
        </w:rPr>
        <w:t>.</w:t>
      </w:r>
      <w:r w:rsidR="003C3A4B" w:rsidRPr="00E71A36">
        <w:rPr>
          <w:rFonts w:ascii="Cambria Math" w:hAnsi="Cambria Math" w:cs="Cambria Math"/>
        </w:rPr>
        <w:t>₅</w:t>
      </w:r>
      <w:r w:rsidR="00706D2C" w:rsidRPr="00E71A36">
        <w:rPr>
          <w:rFonts w:ascii="Garamond" w:hAnsi="Garamond"/>
        </w:rPr>
        <w:t>, CO</w:t>
      </w:r>
      <w:r w:rsidR="00706D2C" w:rsidRPr="00E71A36">
        <w:rPr>
          <w:rFonts w:ascii="Cambria Math" w:hAnsi="Cambria Math" w:cs="Cambria Math"/>
        </w:rPr>
        <w:t>₂</w:t>
      </w:r>
      <w:r w:rsidR="00706D2C" w:rsidRPr="00E71A36">
        <w:rPr>
          <w:rFonts w:ascii="Garamond" w:hAnsi="Garamond"/>
        </w:rPr>
        <w:t>, SO</w:t>
      </w:r>
      <w:r w:rsidR="00706D2C" w:rsidRPr="00E71A36">
        <w:rPr>
          <w:rFonts w:ascii="Cambria Math" w:hAnsi="Cambria Math" w:cs="Cambria Math"/>
        </w:rPr>
        <w:t>₂</w:t>
      </w:r>
      <w:r w:rsidR="00706D2C" w:rsidRPr="00E71A36">
        <w:rPr>
          <w:rFonts w:ascii="Garamond" w:hAnsi="Garamond"/>
        </w:rPr>
        <w:t>, and CH</w:t>
      </w:r>
      <w:r w:rsidR="00706D2C" w:rsidRPr="00E71A36">
        <w:rPr>
          <w:rFonts w:ascii="Cambria Math" w:hAnsi="Cambria Math" w:cs="Cambria Math"/>
        </w:rPr>
        <w:t>₄</w:t>
      </w:r>
      <w:r w:rsidR="00706D2C" w:rsidRPr="00E71A36">
        <w:rPr>
          <w:rFonts w:ascii="Garamond" w:hAnsi="Garamond"/>
        </w:rPr>
        <w:t xml:space="preserve"> were taken at varying distances (10 m, 20 m, and 40 m) from active burning points to assess how pollutant concentrations change with distance from dumpsites. The results were compared against WHO guidelines to determine whether the observed values exceeded recommended limits. (Table </w:t>
      </w:r>
      <w:r w:rsidR="003C3A4B" w:rsidRPr="00E71A36">
        <w:rPr>
          <w:rFonts w:ascii="Garamond" w:hAnsi="Garamond"/>
        </w:rPr>
        <w:t>2</w:t>
      </w:r>
      <w:r w:rsidR="00706D2C" w:rsidRPr="00E71A36">
        <w:rPr>
          <w:rFonts w:ascii="Garamond" w:hAnsi="Garamond"/>
        </w:rPr>
        <w:t>) presents the findings.</w:t>
      </w:r>
    </w:p>
    <w:p w14:paraId="536D4177" w14:textId="0BB81BBE" w:rsidR="00706D2C" w:rsidRPr="00E71A36" w:rsidRDefault="00706D2C" w:rsidP="008027C8">
      <w:pPr>
        <w:spacing w:line="360" w:lineRule="auto"/>
        <w:jc w:val="both"/>
        <w:rPr>
          <w:rFonts w:ascii="Garamond" w:hAnsi="Garamond"/>
          <w:b/>
          <w:bCs/>
        </w:rPr>
      </w:pPr>
      <w:bookmarkStart w:id="4" w:name="_Toc215038968"/>
      <w:bookmarkStart w:id="5" w:name="_Toc221484679"/>
      <w:bookmarkStart w:id="6" w:name="_Toc224480932"/>
      <w:r w:rsidRPr="00E71A36">
        <w:rPr>
          <w:rFonts w:ascii="Garamond" w:hAnsi="Garamond"/>
          <w:b/>
          <w:bCs/>
        </w:rPr>
        <w:t xml:space="preserve">Table </w:t>
      </w:r>
      <w:r w:rsidR="00AD68F5" w:rsidRPr="00E71A36">
        <w:rPr>
          <w:rFonts w:ascii="Garamond" w:hAnsi="Garamond"/>
          <w:b/>
          <w:bCs/>
        </w:rPr>
        <w:t>2</w:t>
      </w:r>
      <w:r w:rsidRPr="00E71A36">
        <w:rPr>
          <w:rFonts w:ascii="Garamond" w:hAnsi="Garamond"/>
          <w:b/>
          <w:bCs/>
        </w:rPr>
        <w:t>: Air Quality Results in Kibera</w:t>
      </w:r>
      <w:bookmarkEnd w:id="4"/>
      <w:bookmarkEnd w:id="5"/>
      <w:bookmarkEnd w:id="6"/>
      <w:r w:rsidRPr="00E71A36">
        <w:rPr>
          <w:rFonts w:ascii="Garamond" w:hAnsi="Garamond"/>
          <w:b/>
          <w:bCs/>
        </w:rPr>
        <w:t xml:space="preserve"> </w:t>
      </w:r>
      <w:r w:rsidR="00396061">
        <w:rPr>
          <w:rFonts w:ascii="Garamond" w:hAnsi="Garamond"/>
          <w:b/>
          <w:bCs/>
        </w:rPr>
        <w:t>(</w:t>
      </w:r>
      <w:proofErr w:type="spellStart"/>
      <w:r w:rsidR="00396061" w:rsidRPr="00396061">
        <w:rPr>
          <w:sz w:val="20"/>
          <w:szCs w:val="20"/>
        </w:rPr>
        <w:t>Ngeno</w:t>
      </w:r>
      <w:proofErr w:type="spellEnd"/>
      <w:r w:rsidR="00396061">
        <w:rPr>
          <w:sz w:val="20"/>
          <w:szCs w:val="20"/>
        </w:rPr>
        <w:t>, 2026</w:t>
      </w:r>
      <w:r w:rsidR="00396061">
        <w:rPr>
          <w:rFonts w:ascii="Garamond" w:hAnsi="Garamond"/>
          <w:b/>
          <w:bCs/>
        </w:rPr>
        <w:t>)</w:t>
      </w:r>
    </w:p>
    <w:tbl>
      <w:tblPr>
        <w:tblStyle w:val="TableGrid1"/>
        <w:tblW w:w="5342" w:type="pct"/>
        <w:tblLook w:val="04A0" w:firstRow="1" w:lastRow="0" w:firstColumn="1" w:lastColumn="0" w:noHBand="0" w:noVBand="1"/>
      </w:tblPr>
      <w:tblGrid>
        <w:gridCol w:w="2098"/>
        <w:gridCol w:w="2470"/>
        <w:gridCol w:w="955"/>
        <w:gridCol w:w="955"/>
        <w:gridCol w:w="955"/>
        <w:gridCol w:w="2557"/>
      </w:tblGrid>
      <w:tr w:rsidR="00706D2C" w:rsidRPr="00E71A36" w14:paraId="6A797F86" w14:textId="77777777" w:rsidTr="00B60735">
        <w:trPr>
          <w:trHeight w:val="838"/>
        </w:trPr>
        <w:tc>
          <w:tcPr>
            <w:tcW w:w="1050" w:type="pct"/>
            <w:hideMark/>
          </w:tcPr>
          <w:p w14:paraId="217550B8"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Pollutant</w:t>
            </w:r>
          </w:p>
        </w:tc>
        <w:tc>
          <w:tcPr>
            <w:tcW w:w="1236" w:type="pct"/>
            <w:hideMark/>
          </w:tcPr>
          <w:p w14:paraId="2CA65832"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WHO Standard</w:t>
            </w:r>
          </w:p>
        </w:tc>
        <w:tc>
          <w:tcPr>
            <w:tcW w:w="478" w:type="pct"/>
            <w:hideMark/>
          </w:tcPr>
          <w:p w14:paraId="0492363B"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10 m</w:t>
            </w:r>
          </w:p>
        </w:tc>
        <w:tc>
          <w:tcPr>
            <w:tcW w:w="478" w:type="pct"/>
            <w:hideMark/>
          </w:tcPr>
          <w:p w14:paraId="78373485"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20 m</w:t>
            </w:r>
          </w:p>
        </w:tc>
        <w:tc>
          <w:tcPr>
            <w:tcW w:w="478" w:type="pct"/>
            <w:hideMark/>
          </w:tcPr>
          <w:p w14:paraId="78E6D045"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40 m</w:t>
            </w:r>
          </w:p>
        </w:tc>
        <w:tc>
          <w:tcPr>
            <w:tcW w:w="1280" w:type="pct"/>
            <w:hideMark/>
          </w:tcPr>
          <w:p w14:paraId="49D0CDF1"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Observed Range</w:t>
            </w:r>
          </w:p>
        </w:tc>
      </w:tr>
      <w:tr w:rsidR="00706D2C" w:rsidRPr="00E71A36" w14:paraId="7FF3B413" w14:textId="77777777" w:rsidTr="00B60735">
        <w:trPr>
          <w:trHeight w:val="869"/>
        </w:trPr>
        <w:tc>
          <w:tcPr>
            <w:tcW w:w="1050" w:type="pct"/>
            <w:hideMark/>
          </w:tcPr>
          <w:p w14:paraId="521E23E0"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PM</w:t>
            </w:r>
            <w:r w:rsidRPr="00E71A36">
              <w:rPr>
                <w:rFonts w:ascii="Cambria Math" w:hAnsi="Cambria Math" w:cs="Cambria Math"/>
                <w:sz w:val="24"/>
                <w:szCs w:val="24"/>
              </w:rPr>
              <w:t>₂</w:t>
            </w:r>
            <w:r w:rsidRPr="00E71A36">
              <w:rPr>
                <w:rFonts w:ascii="Garamond" w:hAnsi="Garamond"/>
                <w:sz w:val="24"/>
                <w:szCs w:val="24"/>
              </w:rPr>
              <w:t>.</w:t>
            </w:r>
            <w:r w:rsidRPr="00E71A36">
              <w:rPr>
                <w:rFonts w:ascii="Cambria Math" w:hAnsi="Cambria Math" w:cs="Cambria Math"/>
                <w:sz w:val="24"/>
                <w:szCs w:val="24"/>
              </w:rPr>
              <w:t>₅</w:t>
            </w:r>
            <w:r w:rsidRPr="00E71A36">
              <w:rPr>
                <w:rFonts w:ascii="Garamond" w:hAnsi="Garamond"/>
                <w:sz w:val="24"/>
                <w:szCs w:val="24"/>
              </w:rPr>
              <w:t xml:space="preserve"> (</w:t>
            </w:r>
            <w:r w:rsidRPr="00E71A36">
              <w:rPr>
                <w:rFonts w:ascii="Garamond" w:hAnsi="Garamond" w:cs="Garamond"/>
                <w:sz w:val="24"/>
                <w:szCs w:val="24"/>
              </w:rPr>
              <w:t>µ</w:t>
            </w:r>
            <w:r w:rsidRPr="00E71A36">
              <w:rPr>
                <w:rFonts w:ascii="Garamond" w:hAnsi="Garamond"/>
                <w:sz w:val="24"/>
                <w:szCs w:val="24"/>
              </w:rPr>
              <w:t>g/m</w:t>
            </w:r>
            <w:r w:rsidRPr="00E71A36">
              <w:rPr>
                <w:rFonts w:ascii="Garamond" w:hAnsi="Garamond" w:cs="Garamond"/>
                <w:sz w:val="24"/>
                <w:szCs w:val="24"/>
              </w:rPr>
              <w:t>³</w:t>
            </w:r>
            <w:r w:rsidRPr="00E71A36">
              <w:rPr>
                <w:rFonts w:ascii="Garamond" w:hAnsi="Garamond"/>
                <w:sz w:val="24"/>
                <w:szCs w:val="24"/>
              </w:rPr>
              <w:t>)</w:t>
            </w:r>
          </w:p>
        </w:tc>
        <w:tc>
          <w:tcPr>
            <w:tcW w:w="1236" w:type="pct"/>
            <w:hideMark/>
          </w:tcPr>
          <w:p w14:paraId="69532D4D"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15 µg/m³ (24-hr)</w:t>
            </w:r>
          </w:p>
        </w:tc>
        <w:tc>
          <w:tcPr>
            <w:tcW w:w="478" w:type="pct"/>
            <w:hideMark/>
          </w:tcPr>
          <w:p w14:paraId="36FDD683"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150</w:t>
            </w:r>
          </w:p>
        </w:tc>
        <w:tc>
          <w:tcPr>
            <w:tcW w:w="478" w:type="pct"/>
            <w:hideMark/>
          </w:tcPr>
          <w:p w14:paraId="431B3CE0"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80</w:t>
            </w:r>
          </w:p>
        </w:tc>
        <w:tc>
          <w:tcPr>
            <w:tcW w:w="478" w:type="pct"/>
            <w:hideMark/>
          </w:tcPr>
          <w:p w14:paraId="06FB3CB0"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10</w:t>
            </w:r>
          </w:p>
        </w:tc>
        <w:tc>
          <w:tcPr>
            <w:tcW w:w="1280" w:type="pct"/>
            <w:hideMark/>
          </w:tcPr>
          <w:p w14:paraId="6F53E135"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10 – 150</w:t>
            </w:r>
          </w:p>
        </w:tc>
      </w:tr>
      <w:tr w:rsidR="00706D2C" w:rsidRPr="00E71A36" w14:paraId="4603A4DB" w14:textId="77777777" w:rsidTr="00B60735">
        <w:trPr>
          <w:trHeight w:val="838"/>
        </w:trPr>
        <w:tc>
          <w:tcPr>
            <w:tcW w:w="1050" w:type="pct"/>
            <w:hideMark/>
          </w:tcPr>
          <w:p w14:paraId="435026A0"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CO (ppm)</w:t>
            </w:r>
          </w:p>
        </w:tc>
        <w:tc>
          <w:tcPr>
            <w:tcW w:w="1236" w:type="pct"/>
            <w:hideMark/>
          </w:tcPr>
          <w:p w14:paraId="74E6AD5A"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10 mg/m³ (8-hr)</w:t>
            </w:r>
          </w:p>
        </w:tc>
        <w:tc>
          <w:tcPr>
            <w:tcW w:w="478" w:type="pct"/>
            <w:hideMark/>
          </w:tcPr>
          <w:p w14:paraId="50953EBE"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20</w:t>
            </w:r>
          </w:p>
        </w:tc>
        <w:tc>
          <w:tcPr>
            <w:tcW w:w="478" w:type="pct"/>
            <w:hideMark/>
          </w:tcPr>
          <w:p w14:paraId="0894F257"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10</w:t>
            </w:r>
          </w:p>
        </w:tc>
        <w:tc>
          <w:tcPr>
            <w:tcW w:w="478" w:type="pct"/>
            <w:hideMark/>
          </w:tcPr>
          <w:p w14:paraId="5521BBFC"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0</w:t>
            </w:r>
          </w:p>
        </w:tc>
        <w:tc>
          <w:tcPr>
            <w:tcW w:w="1280" w:type="pct"/>
            <w:hideMark/>
          </w:tcPr>
          <w:p w14:paraId="0A359E39"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0 – 20</w:t>
            </w:r>
          </w:p>
        </w:tc>
      </w:tr>
      <w:tr w:rsidR="00706D2C" w:rsidRPr="00E71A36" w14:paraId="79F4461B" w14:textId="77777777" w:rsidTr="00B60735">
        <w:trPr>
          <w:trHeight w:val="838"/>
        </w:trPr>
        <w:tc>
          <w:tcPr>
            <w:tcW w:w="1050" w:type="pct"/>
            <w:hideMark/>
          </w:tcPr>
          <w:p w14:paraId="14D84F96"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SO</w:t>
            </w:r>
            <w:r w:rsidRPr="00E71A36">
              <w:rPr>
                <w:rFonts w:ascii="Cambria Math" w:hAnsi="Cambria Math" w:cs="Cambria Math"/>
                <w:sz w:val="24"/>
                <w:szCs w:val="24"/>
              </w:rPr>
              <w:t>₂</w:t>
            </w:r>
            <w:r w:rsidRPr="00E71A36">
              <w:rPr>
                <w:rFonts w:ascii="Garamond" w:hAnsi="Garamond"/>
                <w:sz w:val="24"/>
                <w:szCs w:val="24"/>
              </w:rPr>
              <w:t xml:space="preserve"> (ppm)</w:t>
            </w:r>
          </w:p>
        </w:tc>
        <w:tc>
          <w:tcPr>
            <w:tcW w:w="1236" w:type="pct"/>
            <w:hideMark/>
          </w:tcPr>
          <w:p w14:paraId="4971E1CB"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20 µg/m³ (24-hr)</w:t>
            </w:r>
          </w:p>
        </w:tc>
        <w:tc>
          <w:tcPr>
            <w:tcW w:w="478" w:type="pct"/>
            <w:hideMark/>
          </w:tcPr>
          <w:p w14:paraId="30EFFA58"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10</w:t>
            </w:r>
          </w:p>
        </w:tc>
        <w:tc>
          <w:tcPr>
            <w:tcW w:w="478" w:type="pct"/>
            <w:hideMark/>
          </w:tcPr>
          <w:p w14:paraId="0163D465"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0</w:t>
            </w:r>
          </w:p>
        </w:tc>
        <w:tc>
          <w:tcPr>
            <w:tcW w:w="478" w:type="pct"/>
            <w:hideMark/>
          </w:tcPr>
          <w:p w14:paraId="6DD7D2AC"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0</w:t>
            </w:r>
          </w:p>
        </w:tc>
        <w:tc>
          <w:tcPr>
            <w:tcW w:w="1280" w:type="pct"/>
            <w:hideMark/>
          </w:tcPr>
          <w:p w14:paraId="0BBA023B" w14:textId="77777777" w:rsidR="00706D2C" w:rsidRPr="00E71A36" w:rsidRDefault="00706D2C" w:rsidP="008027C8">
            <w:pPr>
              <w:spacing w:line="360" w:lineRule="auto"/>
              <w:jc w:val="both"/>
              <w:rPr>
                <w:rFonts w:ascii="Garamond" w:hAnsi="Garamond"/>
                <w:sz w:val="24"/>
                <w:szCs w:val="24"/>
              </w:rPr>
            </w:pPr>
            <w:r w:rsidRPr="00E71A36">
              <w:rPr>
                <w:rFonts w:ascii="Garamond" w:hAnsi="Garamond"/>
                <w:sz w:val="24"/>
                <w:szCs w:val="24"/>
              </w:rPr>
              <w:t>0 – 10</w:t>
            </w:r>
          </w:p>
        </w:tc>
      </w:tr>
    </w:tbl>
    <w:p w14:paraId="679CEB84" w14:textId="7E16991E" w:rsidR="00006810" w:rsidRPr="00E71A36" w:rsidRDefault="00006810" w:rsidP="008027C8">
      <w:pPr>
        <w:spacing w:line="360" w:lineRule="auto"/>
        <w:jc w:val="both"/>
        <w:rPr>
          <w:rFonts w:ascii="Garamond" w:hAnsi="Garamond"/>
          <w:noProof/>
        </w:rPr>
      </w:pPr>
      <w:bookmarkStart w:id="7" w:name="_Toc211254349"/>
      <w:bookmarkStart w:id="8" w:name="_Toc215038969"/>
      <w:bookmarkStart w:id="9" w:name="_Toc224480806"/>
      <w:r w:rsidRPr="00E71A36">
        <w:rPr>
          <w:rFonts w:ascii="Garamond" w:hAnsi="Garamond"/>
          <w:noProof/>
        </w:rPr>
        <w:lastRenderedPageBreak/>
        <w:drawing>
          <wp:inline distT="0" distB="0" distL="0" distR="0" wp14:anchorId="43FD0D22" wp14:editId="5DEDA74B">
            <wp:extent cx="5523958" cy="2009775"/>
            <wp:effectExtent l="19050" t="19050" r="196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2709" cy="2016597"/>
                    </a:xfrm>
                    <a:prstGeom prst="rect">
                      <a:avLst/>
                    </a:prstGeom>
                    <a:noFill/>
                    <a:ln w="19050">
                      <a:solidFill>
                        <a:schemeClr val="tx1"/>
                      </a:solidFill>
                    </a:ln>
                  </pic:spPr>
                </pic:pic>
              </a:graphicData>
            </a:graphic>
          </wp:inline>
        </w:drawing>
      </w:r>
    </w:p>
    <w:p w14:paraId="28B4999C" w14:textId="5AC46B35" w:rsidR="00706D2C" w:rsidRPr="00E71A36" w:rsidRDefault="00706D2C" w:rsidP="008027C8">
      <w:pPr>
        <w:spacing w:line="360" w:lineRule="auto"/>
        <w:jc w:val="both"/>
        <w:rPr>
          <w:rFonts w:ascii="Garamond" w:hAnsi="Garamond"/>
          <w:b/>
        </w:rPr>
      </w:pPr>
      <w:r w:rsidRPr="00E71A36">
        <w:rPr>
          <w:rFonts w:ascii="Garamond" w:hAnsi="Garamond"/>
          <w:b/>
        </w:rPr>
        <w:t xml:space="preserve">Figure </w:t>
      </w:r>
      <w:r w:rsidR="00CB4D5A" w:rsidRPr="00E71A36">
        <w:rPr>
          <w:rFonts w:ascii="Garamond" w:hAnsi="Garamond"/>
          <w:b/>
        </w:rPr>
        <w:t>3</w:t>
      </w:r>
      <w:r w:rsidR="00FB5C3E" w:rsidRPr="00E71A36">
        <w:rPr>
          <w:rFonts w:ascii="Garamond" w:hAnsi="Garamond"/>
          <w:b/>
        </w:rPr>
        <w:t>.</w:t>
      </w:r>
      <w:r w:rsidRPr="00E71A36">
        <w:rPr>
          <w:rFonts w:ascii="Garamond" w:hAnsi="Garamond"/>
          <w:b/>
        </w:rPr>
        <w:t>A graph showing average of PM 2.5 by distance from burning site per day in Kibera</w:t>
      </w:r>
      <w:bookmarkEnd w:id="7"/>
      <w:bookmarkEnd w:id="8"/>
      <w:bookmarkEnd w:id="9"/>
    </w:p>
    <w:p w14:paraId="1E4E52FE" w14:textId="6503D745" w:rsidR="00396061" w:rsidRPr="00396061" w:rsidRDefault="00396061" w:rsidP="008027C8">
      <w:pPr>
        <w:spacing w:before="100" w:beforeAutospacing="1" w:after="100" w:afterAutospacing="1" w:line="240" w:lineRule="auto"/>
        <w:jc w:val="both"/>
        <w:rPr>
          <w:rFonts w:ascii="Times New Roman" w:eastAsia="Times New Roman" w:hAnsi="Times New Roman" w:cs="Times New Roman"/>
          <w:kern w:val="0"/>
          <w14:ligatures w14:val="none"/>
        </w:rPr>
      </w:pPr>
      <w:r w:rsidRPr="00396061">
        <w:rPr>
          <w:rFonts w:ascii="Times New Roman" w:eastAsia="Times New Roman" w:hAnsi="Times New Roman" w:cs="Times New Roman"/>
          <w:kern w:val="0"/>
          <w14:ligatures w14:val="none"/>
        </w:rPr>
        <w:t>The air quality data presented in Table 2 and Figure 3 provide empirical evidence that waste accumulation and open burning are major contributors to air pollution in Kibera. Measured PM</w:t>
      </w:r>
      <w:proofErr w:type="gramStart"/>
      <w:r w:rsidRPr="00396061">
        <w:rPr>
          <w:rFonts w:ascii="Times New Roman" w:eastAsia="Times New Roman" w:hAnsi="Times New Roman" w:cs="Times New Roman"/>
          <w:kern w:val="0"/>
          <w14:ligatures w14:val="none"/>
        </w:rPr>
        <w:t>₂.₅</w:t>
      </w:r>
      <w:proofErr w:type="gramEnd"/>
      <w:r w:rsidRPr="00396061">
        <w:rPr>
          <w:rFonts w:ascii="Times New Roman" w:eastAsia="Times New Roman" w:hAnsi="Times New Roman" w:cs="Times New Roman"/>
          <w:kern w:val="0"/>
          <w14:ligatures w14:val="none"/>
        </w:rPr>
        <w:t xml:space="preserve"> concentrations ranged from 10 µg/m³ to 150 µg/m³, substantially exceeding the World Health Organization 24-hour guideline of 15 µg/m³. Concentrations were particularly elevated at distances of 10 </w:t>
      </w:r>
      <w:proofErr w:type="spellStart"/>
      <w:r w:rsidRPr="00396061">
        <w:rPr>
          <w:rFonts w:ascii="Times New Roman" w:eastAsia="Times New Roman" w:hAnsi="Times New Roman" w:cs="Times New Roman"/>
          <w:kern w:val="0"/>
          <w14:ligatures w14:val="none"/>
        </w:rPr>
        <w:t>metres</w:t>
      </w:r>
      <w:proofErr w:type="spellEnd"/>
      <w:r w:rsidRPr="00396061">
        <w:rPr>
          <w:rFonts w:ascii="Times New Roman" w:eastAsia="Times New Roman" w:hAnsi="Times New Roman" w:cs="Times New Roman"/>
          <w:kern w:val="0"/>
          <w14:ligatures w14:val="none"/>
        </w:rPr>
        <w:t xml:space="preserve"> and 20 </w:t>
      </w:r>
      <w:proofErr w:type="spellStart"/>
      <w:r w:rsidRPr="00396061">
        <w:rPr>
          <w:rFonts w:ascii="Times New Roman" w:eastAsia="Times New Roman" w:hAnsi="Times New Roman" w:cs="Times New Roman"/>
          <w:kern w:val="0"/>
          <w14:ligatures w14:val="none"/>
        </w:rPr>
        <w:t>metres</w:t>
      </w:r>
      <w:proofErr w:type="spellEnd"/>
      <w:r w:rsidRPr="00396061">
        <w:rPr>
          <w:rFonts w:ascii="Times New Roman" w:eastAsia="Times New Roman" w:hAnsi="Times New Roman" w:cs="Times New Roman"/>
          <w:kern w:val="0"/>
          <w14:ligatures w14:val="none"/>
        </w:rPr>
        <w:t xml:space="preserve"> from burning sites, reaching 150 µg/m³ and 80 µg/m³, respectively, highlighting a significant air quality concern within the settlement.</w:t>
      </w:r>
      <w:r>
        <w:rPr>
          <w:rFonts w:ascii="Times New Roman" w:eastAsia="Times New Roman" w:hAnsi="Times New Roman" w:cs="Times New Roman"/>
          <w:kern w:val="0"/>
          <w14:ligatures w14:val="none"/>
        </w:rPr>
        <w:t xml:space="preserve"> </w:t>
      </w:r>
      <w:r w:rsidRPr="00396061">
        <w:rPr>
          <w:rFonts w:ascii="Times New Roman" w:eastAsia="Times New Roman" w:hAnsi="Times New Roman" w:cs="Times New Roman"/>
          <w:kern w:val="0"/>
          <w14:ligatures w14:val="none"/>
        </w:rPr>
        <w:t>The observed variability in PM</w:t>
      </w:r>
      <w:proofErr w:type="gramStart"/>
      <w:r w:rsidRPr="00396061">
        <w:rPr>
          <w:rFonts w:ascii="Times New Roman" w:eastAsia="Times New Roman" w:hAnsi="Times New Roman" w:cs="Times New Roman"/>
          <w:kern w:val="0"/>
          <w14:ligatures w14:val="none"/>
        </w:rPr>
        <w:t>₂.₅</w:t>
      </w:r>
      <w:proofErr w:type="gramEnd"/>
      <w:r w:rsidRPr="00396061">
        <w:rPr>
          <w:rFonts w:ascii="Times New Roman" w:eastAsia="Times New Roman" w:hAnsi="Times New Roman" w:cs="Times New Roman"/>
          <w:kern w:val="0"/>
          <w14:ligatures w14:val="none"/>
        </w:rPr>
        <w:t xml:space="preserve"> levels can be attributed to multiple factors, including proximity to open burning sites, the volume of accumulated waste, and the composition of waste materials—such as organic matter and plastics—which release fine particulate emissions when combusted. Additionally, the dense spatial configuration of the settlement limits pollutant dispersion, allowing particulate matter to remain concentrated near ground level (</w:t>
      </w:r>
      <w:proofErr w:type="spellStart"/>
      <w:r w:rsidRPr="00396061">
        <w:rPr>
          <w:rFonts w:ascii="Times New Roman" w:eastAsia="Times New Roman" w:hAnsi="Times New Roman" w:cs="Times New Roman"/>
          <w:kern w:val="0"/>
          <w14:ligatures w14:val="none"/>
        </w:rPr>
        <w:t>Ngeno</w:t>
      </w:r>
      <w:proofErr w:type="spellEnd"/>
      <w:r w:rsidRPr="00396061">
        <w:rPr>
          <w:rFonts w:ascii="Times New Roman" w:eastAsia="Times New Roman" w:hAnsi="Times New Roman" w:cs="Times New Roman"/>
          <w:kern w:val="0"/>
          <w14:ligatures w14:val="none"/>
        </w:rPr>
        <w:t>, 2026).</w:t>
      </w:r>
    </w:p>
    <w:p w14:paraId="6613E03C" w14:textId="77777777" w:rsidR="00706D2C" w:rsidRPr="00E71A36" w:rsidRDefault="00706D2C" w:rsidP="008027C8">
      <w:pPr>
        <w:spacing w:line="360" w:lineRule="auto"/>
        <w:jc w:val="both"/>
        <w:rPr>
          <w:rFonts w:ascii="Garamond" w:hAnsi="Garamond"/>
        </w:rPr>
      </w:pPr>
      <w:r w:rsidRPr="00E71A36">
        <w:rPr>
          <w:rFonts w:ascii="Garamond" w:hAnsi="Garamond"/>
        </w:rPr>
        <w:t>Wards such as Laini Saba and Sarang’ombe, where open dumping and open burning is common had the highest pollutant concentrations observed at 10 m and 20 m. Similarly, Makina and Lindi, where burning is common practice of waste management show that elevated 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xml:space="preserve"> and CO spikes near burning points. By contrast, Woodley/Kenyatta Golf Course, which reports only occasional burning and relatively better waste collection, aligns with the lower pollutant readings recorded at 40 m. This ward-level differentiation confirms that the intensity of burning practices directly explains the gradient of pollutant concentrations across distances.</w:t>
      </w:r>
    </w:p>
    <w:p w14:paraId="17F92ECE" w14:textId="77777777" w:rsidR="00396061" w:rsidRPr="00396061" w:rsidRDefault="00396061" w:rsidP="008027C8">
      <w:pPr>
        <w:spacing w:before="100" w:beforeAutospacing="1" w:after="100" w:afterAutospacing="1" w:line="240" w:lineRule="auto"/>
        <w:jc w:val="both"/>
        <w:rPr>
          <w:rFonts w:ascii="Times New Roman" w:eastAsia="Times New Roman" w:hAnsi="Times New Roman" w:cs="Times New Roman"/>
          <w:kern w:val="0"/>
          <w14:ligatures w14:val="none"/>
        </w:rPr>
      </w:pPr>
      <w:r w:rsidRPr="00396061">
        <w:rPr>
          <w:rFonts w:ascii="Times New Roman" w:eastAsia="Times New Roman" w:hAnsi="Times New Roman" w:cs="Times New Roman"/>
          <w:kern w:val="0"/>
          <w14:ligatures w14:val="none"/>
        </w:rPr>
        <w:t>Similar observations have been reported by Mukherjee, Singh, and Patel (2021), who found that PM</w:t>
      </w:r>
      <w:proofErr w:type="gramStart"/>
      <w:r w:rsidRPr="00396061">
        <w:rPr>
          <w:rFonts w:ascii="Times New Roman" w:eastAsia="Times New Roman" w:hAnsi="Times New Roman" w:cs="Times New Roman"/>
          <w:kern w:val="0"/>
          <w14:ligatures w14:val="none"/>
        </w:rPr>
        <w:t>₂.₅</w:t>
      </w:r>
      <w:proofErr w:type="gramEnd"/>
      <w:r w:rsidRPr="00396061">
        <w:rPr>
          <w:rFonts w:ascii="Times New Roman" w:eastAsia="Times New Roman" w:hAnsi="Times New Roman" w:cs="Times New Roman"/>
          <w:kern w:val="0"/>
          <w14:ligatures w14:val="none"/>
        </w:rPr>
        <w:t xml:space="preserve"> concentrations in informal settlements frequently exceeded recommended limits during periods of solid waste burning. Likewise, Butt et al. (2016) documented elevated particulate matter levels in urban areas </w:t>
      </w:r>
      <w:proofErr w:type="spellStart"/>
      <w:r w:rsidRPr="00396061">
        <w:rPr>
          <w:rFonts w:ascii="Times New Roman" w:eastAsia="Times New Roman" w:hAnsi="Times New Roman" w:cs="Times New Roman"/>
          <w:kern w:val="0"/>
          <w14:ligatures w14:val="none"/>
        </w:rPr>
        <w:t>characterised</w:t>
      </w:r>
      <w:proofErr w:type="spellEnd"/>
      <w:r w:rsidRPr="00396061">
        <w:rPr>
          <w:rFonts w:ascii="Times New Roman" w:eastAsia="Times New Roman" w:hAnsi="Times New Roman" w:cs="Times New Roman"/>
          <w:kern w:val="0"/>
          <w14:ligatures w14:val="none"/>
        </w:rPr>
        <w:t xml:space="preserve"> by waste accumulation and frequent combustion.</w:t>
      </w:r>
    </w:p>
    <w:p w14:paraId="4D855D84" w14:textId="77777777" w:rsidR="00396061" w:rsidRPr="00396061" w:rsidRDefault="00396061" w:rsidP="008027C8">
      <w:pPr>
        <w:spacing w:before="100" w:beforeAutospacing="1" w:after="100" w:afterAutospacing="1" w:line="240" w:lineRule="auto"/>
        <w:jc w:val="both"/>
        <w:rPr>
          <w:rFonts w:ascii="Times New Roman" w:eastAsia="Times New Roman" w:hAnsi="Times New Roman" w:cs="Times New Roman"/>
          <w:kern w:val="0"/>
          <w14:ligatures w14:val="none"/>
        </w:rPr>
      </w:pPr>
      <w:r w:rsidRPr="00396061">
        <w:rPr>
          <w:rFonts w:ascii="Times New Roman" w:eastAsia="Times New Roman" w:hAnsi="Times New Roman" w:cs="Times New Roman"/>
          <w:kern w:val="0"/>
          <w14:ligatures w14:val="none"/>
        </w:rPr>
        <w:t>The present study contributes to this body of knowledge by providing direct, location-specific measurements of PM</w:t>
      </w:r>
      <w:proofErr w:type="gramStart"/>
      <w:r w:rsidRPr="00396061">
        <w:rPr>
          <w:rFonts w:ascii="Times New Roman" w:eastAsia="Times New Roman" w:hAnsi="Times New Roman" w:cs="Times New Roman"/>
          <w:kern w:val="0"/>
          <w14:ligatures w14:val="none"/>
        </w:rPr>
        <w:t>₂.₅</w:t>
      </w:r>
      <w:proofErr w:type="gramEnd"/>
      <w:r w:rsidRPr="00396061">
        <w:rPr>
          <w:rFonts w:ascii="Times New Roman" w:eastAsia="Times New Roman" w:hAnsi="Times New Roman" w:cs="Times New Roman"/>
          <w:kern w:val="0"/>
          <w14:ligatures w14:val="none"/>
        </w:rPr>
        <w:t xml:space="preserve"> at varying distances from waste burning points in Kibera, demonstrating how waste accumulation and open burning generate hazardous particulate concentrations within </w:t>
      </w:r>
      <w:r w:rsidRPr="00396061">
        <w:rPr>
          <w:rFonts w:ascii="Times New Roman" w:eastAsia="Times New Roman" w:hAnsi="Times New Roman" w:cs="Times New Roman"/>
          <w:kern w:val="0"/>
          <w14:ligatures w14:val="none"/>
        </w:rPr>
        <w:lastRenderedPageBreak/>
        <w:t>residential areas. This evidence reinforces existing literature by showing, with local empirical data, that particulate matter is the most critical air pollutant associated with poor waste management practices in low-income urban environments. From the perspective of waste management theory, these findings are explained by the lack of structured waste collection and treatment systems, which leads to secondary pollution through uncontrolled burning and decomposition of accumulated waste.</w:t>
      </w:r>
    </w:p>
    <w:p w14:paraId="76EA421B" w14:textId="5815206B" w:rsidR="00DC2014" w:rsidRPr="00E71A36" w:rsidRDefault="001D0A71" w:rsidP="008027C8">
      <w:pPr>
        <w:spacing w:line="360" w:lineRule="auto"/>
        <w:jc w:val="both"/>
        <w:rPr>
          <w:rFonts w:ascii="Garamond" w:hAnsi="Garamond"/>
        </w:rPr>
      </w:pPr>
      <w:r w:rsidRPr="00E71A36">
        <w:rPr>
          <w:rFonts w:ascii="Garamond" w:hAnsi="Garamond"/>
        </w:rPr>
        <w:object w:dxaOrig="12630" w:dyaOrig="8926" w14:anchorId="0CC47710">
          <v:shape id="_x0000_i1026" type="#_x0000_t75" style="width:430.15pt;height:270.7pt" o:ole="">
            <v:imagedata r:id="rId10" o:title=""/>
          </v:shape>
          <o:OLEObject Type="Embed" ProgID="Acrobat.Document.DC" ShapeID="_x0000_i1026" DrawAspect="Content" ObjectID="_1836475906" r:id="rId11"/>
        </w:object>
      </w:r>
    </w:p>
    <w:p w14:paraId="1C0BB874" w14:textId="73EFFD3D" w:rsidR="001D0A71" w:rsidRPr="00E71A36" w:rsidRDefault="001D0A71" w:rsidP="008027C8">
      <w:pPr>
        <w:spacing w:line="360" w:lineRule="auto"/>
        <w:jc w:val="both"/>
        <w:rPr>
          <w:rFonts w:ascii="Garamond" w:hAnsi="Garamond"/>
          <w:b/>
        </w:rPr>
      </w:pPr>
      <w:r w:rsidRPr="00E71A36">
        <w:rPr>
          <w:rFonts w:ascii="Garamond" w:hAnsi="Garamond"/>
          <w:b/>
        </w:rPr>
        <w:t xml:space="preserve">Figure </w:t>
      </w:r>
      <w:r w:rsidR="005904C7" w:rsidRPr="00E71A36">
        <w:rPr>
          <w:rFonts w:ascii="Garamond" w:hAnsi="Garamond"/>
          <w:b/>
        </w:rPr>
        <w:t>4</w:t>
      </w:r>
      <w:r w:rsidR="00FB5C3E" w:rsidRPr="00E71A36">
        <w:rPr>
          <w:rFonts w:ascii="Garamond" w:hAnsi="Garamond"/>
          <w:b/>
        </w:rPr>
        <w:t>.</w:t>
      </w:r>
      <w:r w:rsidRPr="00E71A36">
        <w:rPr>
          <w:rFonts w:ascii="Garamond" w:hAnsi="Garamond"/>
          <w:b/>
        </w:rPr>
        <w:t xml:space="preserve">  </w:t>
      </w:r>
      <w:r w:rsidR="005904C7" w:rsidRPr="00E71A36">
        <w:rPr>
          <w:rFonts w:ascii="Garamond" w:hAnsi="Garamond"/>
          <w:b/>
        </w:rPr>
        <w:t>Heat</w:t>
      </w:r>
      <w:r w:rsidRPr="00E71A36">
        <w:rPr>
          <w:rFonts w:ascii="Garamond" w:hAnsi="Garamond"/>
          <w:b/>
        </w:rPr>
        <w:t xml:space="preserve"> map showing pollution hot spots in the study area </w:t>
      </w:r>
    </w:p>
    <w:p w14:paraId="36E962B2" w14:textId="2E34B2A7" w:rsidR="005904C7" w:rsidRPr="00E71A36" w:rsidRDefault="00132CCE" w:rsidP="008027C8">
      <w:pPr>
        <w:spacing w:line="360" w:lineRule="auto"/>
        <w:jc w:val="both"/>
        <w:rPr>
          <w:rFonts w:ascii="Garamond" w:hAnsi="Garamond"/>
        </w:rPr>
      </w:pPr>
      <w:r w:rsidRPr="00E71A36">
        <w:rPr>
          <w:rFonts w:ascii="Garamond" w:hAnsi="Garamond"/>
        </w:rPr>
        <w:t xml:space="preserve">The study in </w:t>
      </w:r>
      <w:r w:rsidR="005904C7" w:rsidRPr="00E71A36">
        <w:rPr>
          <w:rFonts w:ascii="Garamond" w:hAnsi="Garamond"/>
        </w:rPr>
        <w:t xml:space="preserve">Figure 4.  </w:t>
      </w:r>
      <w:r w:rsidRPr="00E71A36">
        <w:rPr>
          <w:rFonts w:ascii="Garamond" w:hAnsi="Garamond"/>
        </w:rPr>
        <w:t xml:space="preserve">Mapped </w:t>
      </w:r>
      <w:r w:rsidR="005904C7" w:rsidRPr="00E71A36">
        <w:rPr>
          <w:rFonts w:ascii="Garamond" w:hAnsi="Garamond"/>
        </w:rPr>
        <w:t>pollution hot spots in the study area</w:t>
      </w:r>
      <w:r w:rsidRPr="00E71A36">
        <w:rPr>
          <w:rFonts w:ascii="Garamond" w:hAnsi="Garamond"/>
        </w:rPr>
        <w:t>.</w:t>
      </w:r>
      <w:r w:rsidR="005904C7" w:rsidRPr="00E71A36">
        <w:rPr>
          <w:rFonts w:ascii="Garamond" w:hAnsi="Garamond"/>
        </w:rPr>
        <w:t xml:space="preserve"> </w:t>
      </w:r>
      <w:r w:rsidRPr="00E71A36">
        <w:rPr>
          <w:rFonts w:ascii="Garamond" w:hAnsi="Garamond"/>
        </w:rPr>
        <w:t xml:space="preserve">the heat map shows the spatial distribution of pollution hotspots, with red indicating high concentrations and green representing lower levels. Pollution is unevenly distributed and appears strongly clustered rather than spread uniformly. The central area contains the most intense and largest hotspots, indicating it is the main pollution zone. This suggests the presence of concentrated human activities such as waste burning, traffic, or industrial operations. In contrast, the peripheral areas have fewer and smaller hotspots, showing relatively lower pollution levels. However, some isolated hotspots in these outer areas indicate localized pollution sources. The pattern demonstrates a distance-decay effect, where pollution decreases as one moves away from the central zones. Overlapping hotspots in the center suggest cumulative effects from multiple pollution sources. The green surrounding areas indicate gradual dispersion influenced by environmental and physical factors. Overall, the map highlights significant </w:t>
      </w:r>
      <w:r w:rsidRPr="00E71A36">
        <w:rPr>
          <w:rFonts w:ascii="Garamond" w:hAnsi="Garamond"/>
        </w:rPr>
        <w:lastRenderedPageBreak/>
        <w:t>spatial inequality in pollution exposure and the need for targeted environmental management interventions.</w:t>
      </w:r>
    </w:p>
    <w:p w14:paraId="0C984F41" w14:textId="77777777" w:rsidR="00396061" w:rsidRPr="00396061" w:rsidRDefault="00396061" w:rsidP="008027C8">
      <w:pPr>
        <w:spacing w:before="100" w:beforeAutospacing="1" w:after="100" w:afterAutospacing="1" w:line="240" w:lineRule="auto"/>
        <w:jc w:val="both"/>
        <w:rPr>
          <w:rFonts w:ascii="Times New Roman" w:eastAsia="Times New Roman" w:hAnsi="Times New Roman" w:cs="Times New Roman"/>
          <w:kern w:val="0"/>
          <w14:ligatures w14:val="none"/>
        </w:rPr>
      </w:pPr>
      <w:r w:rsidRPr="00396061">
        <w:rPr>
          <w:rFonts w:ascii="Times New Roman" w:eastAsia="Times New Roman" w:hAnsi="Times New Roman" w:cs="Times New Roman"/>
          <w:kern w:val="0"/>
          <w14:ligatures w14:val="none"/>
        </w:rPr>
        <w:t xml:space="preserve">Carbon monoxide (CO) concentrations across the three measured distances ranged from 0 to 20 ppm, with distinct peaks recorded at 10 m (20 ppm) and 20 m (10 ppm), before declining to zero at 40 m. These patterns correspond with observed ward-level practices: </w:t>
      </w:r>
      <w:proofErr w:type="spellStart"/>
      <w:r w:rsidRPr="00396061">
        <w:rPr>
          <w:rFonts w:ascii="Times New Roman" w:eastAsia="Times New Roman" w:hAnsi="Times New Roman" w:cs="Times New Roman"/>
          <w:kern w:val="0"/>
          <w14:ligatures w14:val="none"/>
        </w:rPr>
        <w:t>Laini</w:t>
      </w:r>
      <w:proofErr w:type="spellEnd"/>
      <w:r w:rsidRPr="00396061">
        <w:rPr>
          <w:rFonts w:ascii="Times New Roman" w:eastAsia="Times New Roman" w:hAnsi="Times New Roman" w:cs="Times New Roman"/>
          <w:kern w:val="0"/>
          <w14:ligatures w14:val="none"/>
        </w:rPr>
        <w:t xml:space="preserve"> Saba and </w:t>
      </w:r>
      <w:proofErr w:type="spellStart"/>
      <w:r w:rsidRPr="00396061">
        <w:rPr>
          <w:rFonts w:ascii="Times New Roman" w:eastAsia="Times New Roman" w:hAnsi="Times New Roman" w:cs="Times New Roman"/>
          <w:kern w:val="0"/>
          <w14:ligatures w14:val="none"/>
        </w:rPr>
        <w:t>Sarang’ombe</w:t>
      </w:r>
      <w:proofErr w:type="spellEnd"/>
      <w:r w:rsidRPr="00396061">
        <w:rPr>
          <w:rFonts w:ascii="Times New Roman" w:eastAsia="Times New Roman" w:hAnsi="Times New Roman" w:cs="Times New Roman"/>
          <w:kern w:val="0"/>
          <w14:ligatures w14:val="none"/>
        </w:rPr>
        <w:t>—areas where open burning is frequent—exhibited the highest CO levels, whereas Woodley/Kenyatta Golf Course, where burning occurs only occasionally, recorded negligible concentrations at 40 m.</w:t>
      </w:r>
    </w:p>
    <w:p w14:paraId="4A2522BD" w14:textId="77777777" w:rsidR="00396061" w:rsidRPr="00396061" w:rsidRDefault="00396061" w:rsidP="008027C8">
      <w:pPr>
        <w:spacing w:before="100" w:beforeAutospacing="1" w:after="100" w:afterAutospacing="1" w:line="240" w:lineRule="auto"/>
        <w:jc w:val="both"/>
        <w:rPr>
          <w:rFonts w:ascii="Times New Roman" w:eastAsia="Times New Roman" w:hAnsi="Times New Roman" w:cs="Times New Roman"/>
          <w:kern w:val="0"/>
          <w14:ligatures w14:val="none"/>
        </w:rPr>
      </w:pPr>
      <w:r w:rsidRPr="00396061">
        <w:rPr>
          <w:rFonts w:ascii="Times New Roman" w:eastAsia="Times New Roman" w:hAnsi="Times New Roman" w:cs="Times New Roman"/>
          <w:kern w:val="0"/>
          <w14:ligatures w14:val="none"/>
        </w:rPr>
        <w:t xml:space="preserve">These findings are consistent with those of </w:t>
      </w:r>
      <w:proofErr w:type="spellStart"/>
      <w:r w:rsidRPr="00396061">
        <w:rPr>
          <w:rFonts w:ascii="Times New Roman" w:eastAsia="Times New Roman" w:hAnsi="Times New Roman" w:cs="Times New Roman"/>
          <w:kern w:val="0"/>
          <w14:ligatures w14:val="none"/>
        </w:rPr>
        <w:t>Apte</w:t>
      </w:r>
      <w:proofErr w:type="spellEnd"/>
      <w:r w:rsidRPr="00396061">
        <w:rPr>
          <w:rFonts w:ascii="Times New Roman" w:eastAsia="Times New Roman" w:hAnsi="Times New Roman" w:cs="Times New Roman"/>
          <w:kern w:val="0"/>
          <w14:ligatures w14:val="none"/>
        </w:rPr>
        <w:t xml:space="preserve"> et al. (2018), who reported that densely populated informal settlements experience elevated CO concentrations due to the combined effects of domestic combustion and inefficient waste management. Carbon monoxide is </w:t>
      </w:r>
      <w:proofErr w:type="spellStart"/>
      <w:r w:rsidRPr="00396061">
        <w:rPr>
          <w:rFonts w:ascii="Times New Roman" w:eastAsia="Times New Roman" w:hAnsi="Times New Roman" w:cs="Times New Roman"/>
          <w:kern w:val="0"/>
          <w14:ligatures w14:val="none"/>
        </w:rPr>
        <w:t>recognised</w:t>
      </w:r>
      <w:proofErr w:type="spellEnd"/>
      <w:r w:rsidRPr="00396061">
        <w:rPr>
          <w:rFonts w:ascii="Times New Roman" w:eastAsia="Times New Roman" w:hAnsi="Times New Roman" w:cs="Times New Roman"/>
          <w:kern w:val="0"/>
          <w14:ligatures w14:val="none"/>
        </w:rPr>
        <w:t xml:space="preserve"> by the World Health Organization (2023) as a priority pollutant because of its potential to impair oxygen delivery in human blood, posing significant health risks during prolonged exposure. The elevated CO levels observed in Kibera reflect household energy-use and waste-burning practices documented by Njeru and Mwangi (2021), which are largely driven by limited access to clean energy sources and inadequate waste management infrastructure.</w:t>
      </w:r>
    </w:p>
    <w:p w14:paraId="454361B0" w14:textId="07903131" w:rsidR="00DC2014" w:rsidRPr="00E71A36" w:rsidRDefault="00DC2014" w:rsidP="008027C8">
      <w:pPr>
        <w:spacing w:line="360" w:lineRule="auto"/>
        <w:jc w:val="both"/>
        <w:rPr>
          <w:rFonts w:ascii="Garamond" w:hAnsi="Garamond"/>
        </w:rPr>
      </w:pPr>
      <w:r w:rsidRPr="00E71A36">
        <w:rPr>
          <w:rFonts w:ascii="Garamond" w:hAnsi="Garamond"/>
          <w:noProof/>
        </w:rPr>
        <w:drawing>
          <wp:inline distT="0" distB="0" distL="0" distR="0" wp14:anchorId="34B31420" wp14:editId="32CB45BE">
            <wp:extent cx="5800725" cy="2942590"/>
            <wp:effectExtent l="19050" t="19050" r="28575" b="10160"/>
            <wp:docPr id="2" name="Picture 2" descr="C:\Users\henry.joseph\Desktop\SO2 (1) noa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y.joseph\Desktop\SO2 (1) noah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1246" cy="2942854"/>
                    </a:xfrm>
                    <a:prstGeom prst="rect">
                      <a:avLst/>
                    </a:prstGeom>
                    <a:noFill/>
                    <a:ln w="19050">
                      <a:solidFill>
                        <a:schemeClr val="tx1"/>
                      </a:solidFill>
                    </a:ln>
                  </pic:spPr>
                </pic:pic>
              </a:graphicData>
            </a:graphic>
          </wp:inline>
        </w:drawing>
      </w:r>
    </w:p>
    <w:p w14:paraId="74D60D26" w14:textId="0AD55F25" w:rsidR="001D0A71" w:rsidRPr="00E71A36" w:rsidRDefault="001D0A71" w:rsidP="008027C8">
      <w:pPr>
        <w:spacing w:line="360" w:lineRule="auto"/>
        <w:jc w:val="both"/>
        <w:rPr>
          <w:rFonts w:ascii="Garamond" w:hAnsi="Garamond"/>
          <w:b/>
        </w:rPr>
      </w:pPr>
      <w:r w:rsidRPr="00E71A36">
        <w:rPr>
          <w:rFonts w:ascii="Garamond" w:hAnsi="Garamond"/>
          <w:b/>
        </w:rPr>
        <w:t xml:space="preserve">Figure </w:t>
      </w:r>
      <w:r w:rsidR="005904C7" w:rsidRPr="00E71A36">
        <w:rPr>
          <w:rFonts w:ascii="Garamond" w:hAnsi="Garamond"/>
          <w:b/>
        </w:rPr>
        <w:t>5</w:t>
      </w:r>
      <w:r w:rsidR="00FB5C3E" w:rsidRPr="00E71A36">
        <w:rPr>
          <w:rFonts w:ascii="Garamond" w:hAnsi="Garamond"/>
          <w:b/>
        </w:rPr>
        <w:t>.</w:t>
      </w:r>
      <w:r w:rsidRPr="00E71A36">
        <w:rPr>
          <w:rFonts w:ascii="Garamond" w:hAnsi="Garamond"/>
          <w:b/>
        </w:rPr>
        <w:t xml:space="preserve"> Sulphur dioxide (SO</w:t>
      </w:r>
      <w:r w:rsidRPr="00E71A36">
        <w:rPr>
          <w:rFonts w:ascii="Cambria Math" w:hAnsi="Cambria Math" w:cs="Cambria Math"/>
          <w:b/>
        </w:rPr>
        <w:t>₂</w:t>
      </w:r>
      <w:r w:rsidRPr="00E71A36">
        <w:rPr>
          <w:rFonts w:ascii="Garamond" w:hAnsi="Garamond"/>
          <w:b/>
        </w:rPr>
        <w:t>) levels</w:t>
      </w:r>
    </w:p>
    <w:p w14:paraId="3959D4B3" w14:textId="77777777" w:rsidR="00840450" w:rsidRPr="00C9206C" w:rsidRDefault="00706D2C" w:rsidP="008027C8">
      <w:pPr>
        <w:pStyle w:val="NormalWeb"/>
        <w:jc w:val="both"/>
        <w:rPr>
          <w:sz w:val="22"/>
        </w:rPr>
      </w:pPr>
      <w:r w:rsidRPr="00E71A36">
        <w:rPr>
          <w:rFonts w:ascii="Garamond" w:hAnsi="Garamond"/>
        </w:rPr>
        <w:t xml:space="preserve">Sulphur dioxide </w:t>
      </w:r>
      <w:r w:rsidR="00132CCE" w:rsidRPr="00E71A36">
        <w:rPr>
          <w:rFonts w:ascii="Garamond" w:hAnsi="Garamond"/>
        </w:rPr>
        <w:t xml:space="preserve">( Figure 5) </w:t>
      </w:r>
      <w:r w:rsidRPr="00E71A36">
        <w:rPr>
          <w:rFonts w:ascii="Garamond" w:hAnsi="Garamond"/>
        </w:rPr>
        <w:t>(SO</w:t>
      </w:r>
      <w:r w:rsidRPr="00E71A36">
        <w:rPr>
          <w:rFonts w:ascii="Cambria Math" w:hAnsi="Cambria Math" w:cs="Cambria Math"/>
        </w:rPr>
        <w:t>₂</w:t>
      </w:r>
      <w:r w:rsidRPr="00E71A36">
        <w:rPr>
          <w:rFonts w:ascii="Garamond" w:hAnsi="Garamond"/>
        </w:rPr>
        <w:t>) levels ranged from 0 to 10 ppm, with elevated values recorded at 10 m during burning events and negligible readings at 20 m and 40 m. This pattern is consistent with wards such as Makina, Lindi, and Sarang</w:t>
      </w:r>
      <w:r w:rsidRPr="00E71A36">
        <w:rPr>
          <w:rFonts w:ascii="Garamond" w:hAnsi="Garamond" w:cs="Garamond"/>
        </w:rPr>
        <w:t>’</w:t>
      </w:r>
      <w:r w:rsidRPr="00E71A36">
        <w:rPr>
          <w:rFonts w:ascii="Garamond" w:hAnsi="Garamond"/>
        </w:rPr>
        <w:t>ombe, where burning is common and temporary holding grounds are poorly managed, leading to incomplete combustion of plastics and mixed waste</w:t>
      </w:r>
      <w:r w:rsidR="00445AD8" w:rsidRPr="00E71A36">
        <w:rPr>
          <w:rFonts w:ascii="Garamond" w:hAnsi="Garamond"/>
        </w:rPr>
        <w:t xml:space="preserve"> </w:t>
      </w:r>
      <w:r w:rsidR="00C614A6" w:rsidRPr="00E71A36">
        <w:rPr>
          <w:rFonts w:ascii="Garamond" w:hAnsi="Garamond"/>
        </w:rPr>
        <w:t>(</w:t>
      </w:r>
      <w:r w:rsidR="00445AD8" w:rsidRPr="00E71A36">
        <w:rPr>
          <w:rFonts w:ascii="Garamond" w:hAnsi="Garamond"/>
        </w:rPr>
        <w:t>Ferronato &amp; Torretta,2019)</w:t>
      </w:r>
      <w:r w:rsidR="00C614A6" w:rsidRPr="00E71A36">
        <w:rPr>
          <w:rFonts w:ascii="Garamond" w:hAnsi="Garamond"/>
        </w:rPr>
        <w:t>.</w:t>
      </w:r>
      <w:r w:rsidRPr="00E71A36">
        <w:rPr>
          <w:rFonts w:ascii="Garamond" w:hAnsi="Garamond"/>
        </w:rPr>
        <w:t xml:space="preserve"> </w:t>
      </w:r>
      <w:r w:rsidR="00840450" w:rsidRPr="00C9206C">
        <w:rPr>
          <w:sz w:val="22"/>
        </w:rPr>
        <w:t xml:space="preserve">Open combustion of non-biodegradable materials has been shown to release substantial quantities of </w:t>
      </w:r>
      <w:proofErr w:type="spellStart"/>
      <w:r w:rsidR="00840450" w:rsidRPr="00C9206C">
        <w:rPr>
          <w:sz w:val="22"/>
        </w:rPr>
        <w:t>sulphur</w:t>
      </w:r>
      <w:proofErr w:type="spellEnd"/>
      <w:r w:rsidR="00840450" w:rsidRPr="00C9206C">
        <w:rPr>
          <w:sz w:val="22"/>
        </w:rPr>
        <w:t xml:space="preserve"> dioxide (SO₂) and other acidic gases, contributing to localized air pollution. </w:t>
      </w:r>
      <w:r w:rsidR="00840450" w:rsidRPr="00C9206C">
        <w:rPr>
          <w:sz w:val="22"/>
        </w:rPr>
        <w:lastRenderedPageBreak/>
        <w:t xml:space="preserve">These observations corroborate the findings of </w:t>
      </w:r>
      <w:proofErr w:type="spellStart"/>
      <w:r w:rsidR="00840450" w:rsidRPr="00C9206C">
        <w:rPr>
          <w:sz w:val="22"/>
        </w:rPr>
        <w:t>Wiedinmyer</w:t>
      </w:r>
      <w:proofErr w:type="spellEnd"/>
      <w:r w:rsidR="00840450" w:rsidRPr="00C9206C">
        <w:rPr>
          <w:sz w:val="22"/>
        </w:rPr>
        <w:t xml:space="preserve"> et al. (2014), who linked sporadic SO₂ emissions in urban </w:t>
      </w:r>
      <w:proofErr w:type="spellStart"/>
      <w:r w:rsidR="00840450" w:rsidRPr="00C9206C">
        <w:rPr>
          <w:sz w:val="22"/>
        </w:rPr>
        <w:t>centres</w:t>
      </w:r>
      <w:proofErr w:type="spellEnd"/>
      <w:r w:rsidR="00840450" w:rsidRPr="00C9206C">
        <w:rPr>
          <w:sz w:val="22"/>
        </w:rPr>
        <w:t xml:space="preserve"> to informal waste incineration. Even at low concentrations, the presence of SO₂ serves as a reliable indicator of incomplete combustion processes, which are common in areas lacking regulated waste disposal systems.</w:t>
      </w:r>
    </w:p>
    <w:p w14:paraId="4641B61C" w14:textId="77777777" w:rsidR="00840450" w:rsidRPr="00840450" w:rsidRDefault="00840450" w:rsidP="008027C8">
      <w:pPr>
        <w:spacing w:before="100" w:beforeAutospacing="1" w:after="100" w:afterAutospacing="1" w:line="240" w:lineRule="auto"/>
        <w:jc w:val="both"/>
        <w:rPr>
          <w:rFonts w:ascii="Times New Roman" w:eastAsia="Times New Roman" w:hAnsi="Times New Roman" w:cs="Times New Roman"/>
          <w:kern w:val="0"/>
          <w:sz w:val="22"/>
          <w14:ligatures w14:val="none"/>
        </w:rPr>
      </w:pPr>
      <w:r w:rsidRPr="00840450">
        <w:rPr>
          <w:rFonts w:ascii="Times New Roman" w:eastAsia="Times New Roman" w:hAnsi="Times New Roman" w:cs="Times New Roman"/>
          <w:kern w:val="0"/>
          <w:sz w:val="22"/>
          <w14:ligatures w14:val="none"/>
        </w:rPr>
        <w:t xml:space="preserve">Nitrogen dioxide (NO₂) concentrations in Kibera were generally observed to range between 0.00004 and 0.00008 mol/m², with daily fluctuations but no clear long-term trend. This pattern suggests that NO₂ pollution is primarily driven by short-term, recurring events rather than seasonal variations. Similar results were reported by Heal et al. (2012), who noted that motor vehicle emissions and open burning significantly elevate NO₂ levels in high-density </w:t>
      </w:r>
      <w:proofErr w:type="spellStart"/>
      <w:r w:rsidRPr="00840450">
        <w:rPr>
          <w:rFonts w:ascii="Times New Roman" w:eastAsia="Times New Roman" w:hAnsi="Times New Roman" w:cs="Times New Roman"/>
          <w:kern w:val="0"/>
          <w:sz w:val="22"/>
          <w14:ligatures w14:val="none"/>
        </w:rPr>
        <w:t>neighbourhoods</w:t>
      </w:r>
      <w:proofErr w:type="spellEnd"/>
      <w:r w:rsidRPr="00840450">
        <w:rPr>
          <w:rFonts w:ascii="Times New Roman" w:eastAsia="Times New Roman" w:hAnsi="Times New Roman" w:cs="Times New Roman"/>
          <w:kern w:val="0"/>
          <w:sz w:val="22"/>
          <w14:ligatures w14:val="none"/>
        </w:rPr>
        <w:t>, although concentrations can remain low during periods of reduced combustion activity. While the measured NO₂ concentrations in Kibera did not exceed the World Health Organization’s short-term exposure limits, prolonged exposure—especially in combination with other pollutants such as PM</w:t>
      </w:r>
      <w:proofErr w:type="gramStart"/>
      <w:r w:rsidRPr="00840450">
        <w:rPr>
          <w:rFonts w:ascii="Times New Roman" w:eastAsia="Times New Roman" w:hAnsi="Times New Roman" w:cs="Times New Roman"/>
          <w:kern w:val="0"/>
          <w:sz w:val="22"/>
          <w14:ligatures w14:val="none"/>
        </w:rPr>
        <w:t>₂.₅</w:t>
      </w:r>
      <w:proofErr w:type="gramEnd"/>
      <w:r w:rsidRPr="00840450">
        <w:rPr>
          <w:rFonts w:ascii="Times New Roman" w:eastAsia="Times New Roman" w:hAnsi="Times New Roman" w:cs="Times New Roman"/>
          <w:kern w:val="0"/>
          <w:sz w:val="22"/>
          <w14:ligatures w14:val="none"/>
        </w:rPr>
        <w:t xml:space="preserve"> and carbon monoxide—can exacerbate health risks. These findings align with Mungai and </w:t>
      </w:r>
      <w:proofErr w:type="spellStart"/>
      <w:r w:rsidRPr="00840450">
        <w:rPr>
          <w:rFonts w:ascii="Times New Roman" w:eastAsia="Times New Roman" w:hAnsi="Times New Roman" w:cs="Times New Roman"/>
          <w:kern w:val="0"/>
          <w:sz w:val="22"/>
          <w14:ligatures w14:val="none"/>
        </w:rPr>
        <w:t>Mutiso</w:t>
      </w:r>
      <w:proofErr w:type="spellEnd"/>
      <w:r w:rsidRPr="00840450">
        <w:rPr>
          <w:rFonts w:ascii="Times New Roman" w:eastAsia="Times New Roman" w:hAnsi="Times New Roman" w:cs="Times New Roman"/>
          <w:kern w:val="0"/>
          <w:sz w:val="22"/>
          <w14:ligatures w14:val="none"/>
        </w:rPr>
        <w:t xml:space="preserve"> (2019), who reported that communities exposed to multiple pollutants from unmanaged waste exhibit higher incidences of respiratory ailments, highlighting the need for integrated air quality monitoring and targeted mitigation strategies.</w:t>
      </w:r>
    </w:p>
    <w:p w14:paraId="02DEBEEA" w14:textId="1F201466" w:rsidR="00706D2C" w:rsidRPr="00E71A36" w:rsidRDefault="00706D2C" w:rsidP="008027C8">
      <w:pPr>
        <w:spacing w:line="360" w:lineRule="auto"/>
        <w:jc w:val="both"/>
        <w:rPr>
          <w:rFonts w:ascii="Garamond" w:hAnsi="Garamond"/>
        </w:rPr>
      </w:pPr>
    </w:p>
    <w:p w14:paraId="1DD64B68" w14:textId="217A7247" w:rsidR="009E08E3" w:rsidRPr="00E71A36" w:rsidRDefault="009E08E3" w:rsidP="008027C8">
      <w:pPr>
        <w:spacing w:line="360" w:lineRule="auto"/>
        <w:jc w:val="both"/>
        <w:rPr>
          <w:rFonts w:ascii="Garamond" w:hAnsi="Garamond"/>
        </w:rPr>
      </w:pPr>
      <w:r w:rsidRPr="00E71A36">
        <w:rPr>
          <w:rFonts w:ascii="Garamond" w:hAnsi="Garamond"/>
          <w:noProof/>
        </w:rPr>
        <w:drawing>
          <wp:inline distT="0" distB="0" distL="0" distR="0" wp14:anchorId="7E8460F9" wp14:editId="60E135A8">
            <wp:extent cx="5943600" cy="2942854"/>
            <wp:effectExtent l="19050" t="19050" r="19050" b="10160"/>
            <wp:docPr id="3" name="Picture 3" descr="C:\Users\henry.joseph\Desktop\noa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ry.joseph\Desktop\noah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42854"/>
                    </a:xfrm>
                    <a:prstGeom prst="rect">
                      <a:avLst/>
                    </a:prstGeom>
                    <a:noFill/>
                    <a:ln w="19050">
                      <a:solidFill>
                        <a:schemeClr val="tx1"/>
                      </a:solidFill>
                    </a:ln>
                  </pic:spPr>
                </pic:pic>
              </a:graphicData>
            </a:graphic>
          </wp:inline>
        </w:drawing>
      </w:r>
    </w:p>
    <w:p w14:paraId="49C1730C" w14:textId="0F81281E" w:rsidR="001D0A71" w:rsidRPr="00E71A36" w:rsidRDefault="001D0A71" w:rsidP="008027C8">
      <w:pPr>
        <w:spacing w:line="360" w:lineRule="auto"/>
        <w:jc w:val="both"/>
        <w:rPr>
          <w:rFonts w:ascii="Garamond" w:hAnsi="Garamond"/>
          <w:b/>
        </w:rPr>
      </w:pPr>
      <w:r w:rsidRPr="00E71A36">
        <w:rPr>
          <w:rFonts w:ascii="Garamond" w:hAnsi="Garamond"/>
          <w:b/>
        </w:rPr>
        <w:t xml:space="preserve">Figure </w:t>
      </w:r>
      <w:r w:rsidR="005904C7" w:rsidRPr="00E71A36">
        <w:rPr>
          <w:rFonts w:ascii="Garamond" w:hAnsi="Garamond"/>
          <w:b/>
        </w:rPr>
        <w:t>6</w:t>
      </w:r>
      <w:r w:rsidR="00FB5C3E" w:rsidRPr="00E71A36">
        <w:rPr>
          <w:rFonts w:ascii="Garamond" w:hAnsi="Garamond"/>
          <w:b/>
        </w:rPr>
        <w:t>.</w:t>
      </w:r>
      <w:r w:rsidRPr="00E71A36">
        <w:rPr>
          <w:rFonts w:ascii="Garamond" w:hAnsi="Garamond"/>
          <w:b/>
        </w:rPr>
        <w:t xml:space="preserve"> Carbon Monoxide concentration </w:t>
      </w:r>
    </w:p>
    <w:p w14:paraId="632F7CCE" w14:textId="77777777" w:rsidR="00C9206C" w:rsidRPr="00C9206C" w:rsidRDefault="00C9206C" w:rsidP="008027C8">
      <w:pPr>
        <w:spacing w:before="100" w:beforeAutospacing="1" w:after="100" w:afterAutospacing="1" w:line="240" w:lineRule="auto"/>
        <w:jc w:val="both"/>
        <w:rPr>
          <w:rFonts w:ascii="Times New Roman" w:eastAsia="Times New Roman" w:hAnsi="Times New Roman" w:cs="Times New Roman"/>
          <w:kern w:val="0"/>
          <w14:ligatures w14:val="none"/>
        </w:rPr>
      </w:pPr>
      <w:bookmarkStart w:id="10" w:name="_Toc211254350"/>
      <w:bookmarkStart w:id="11" w:name="_Toc221485397"/>
      <w:bookmarkStart w:id="12" w:name="_Toc224480370"/>
      <w:r w:rsidRPr="00C9206C">
        <w:rPr>
          <w:rFonts w:ascii="Times New Roman" w:eastAsia="Times New Roman" w:hAnsi="Times New Roman" w:cs="Times New Roman"/>
          <w:kern w:val="0"/>
          <w14:ligatures w14:val="none"/>
        </w:rPr>
        <w:t>The air quality data (Figure 6) demonstrate a clear association between waste management practices and pollutant concentrations in Kibera. Peaks in PM</w:t>
      </w:r>
      <w:proofErr w:type="gramStart"/>
      <w:r w:rsidRPr="00C9206C">
        <w:rPr>
          <w:rFonts w:ascii="Times New Roman" w:eastAsia="Times New Roman" w:hAnsi="Times New Roman" w:cs="Times New Roman"/>
          <w:kern w:val="0"/>
          <w14:ligatures w14:val="none"/>
        </w:rPr>
        <w:t>₂.₅</w:t>
      </w:r>
      <w:proofErr w:type="gramEnd"/>
      <w:r w:rsidRPr="00C9206C">
        <w:rPr>
          <w:rFonts w:ascii="Times New Roman" w:eastAsia="Times New Roman" w:hAnsi="Times New Roman" w:cs="Times New Roman"/>
          <w:kern w:val="0"/>
          <w14:ligatures w14:val="none"/>
        </w:rPr>
        <w:t xml:space="preserve">, CO, and SO₂ levels coincided with periods of open burning and waste disturbance, corroborating the residents’ earlier observations. Ward-level analysis further indicates that areas with frequent burning and dumping, such as </w:t>
      </w:r>
      <w:proofErr w:type="spellStart"/>
      <w:r w:rsidRPr="00C9206C">
        <w:rPr>
          <w:rFonts w:ascii="Times New Roman" w:eastAsia="Times New Roman" w:hAnsi="Times New Roman" w:cs="Times New Roman"/>
          <w:kern w:val="0"/>
          <w14:ligatures w14:val="none"/>
        </w:rPr>
        <w:t>Laini</w:t>
      </w:r>
      <w:proofErr w:type="spellEnd"/>
      <w:r w:rsidRPr="00C9206C">
        <w:rPr>
          <w:rFonts w:ascii="Times New Roman" w:eastAsia="Times New Roman" w:hAnsi="Times New Roman" w:cs="Times New Roman"/>
          <w:kern w:val="0"/>
          <w14:ligatures w14:val="none"/>
        </w:rPr>
        <w:t xml:space="preserve"> Saba and </w:t>
      </w:r>
      <w:proofErr w:type="spellStart"/>
      <w:r w:rsidRPr="00C9206C">
        <w:rPr>
          <w:rFonts w:ascii="Times New Roman" w:eastAsia="Times New Roman" w:hAnsi="Times New Roman" w:cs="Times New Roman"/>
          <w:kern w:val="0"/>
          <w14:ligatures w14:val="none"/>
        </w:rPr>
        <w:t>Sarang’ombe</w:t>
      </w:r>
      <w:proofErr w:type="spellEnd"/>
      <w:r w:rsidRPr="00C9206C">
        <w:rPr>
          <w:rFonts w:ascii="Times New Roman" w:eastAsia="Times New Roman" w:hAnsi="Times New Roman" w:cs="Times New Roman"/>
          <w:kern w:val="0"/>
          <w14:ligatures w14:val="none"/>
        </w:rPr>
        <w:t>, experience the highest pollution burdens, whereas wards with occasional burning and relatively better waste collection, including Woodley/Kenyatta Golf Course, exhibit comparatively lower pollutant concentrations.</w:t>
      </w:r>
    </w:p>
    <w:p w14:paraId="2FD3DE60" w14:textId="77777777" w:rsidR="00C9206C" w:rsidRPr="00C9206C" w:rsidRDefault="00C9206C" w:rsidP="008027C8">
      <w:pPr>
        <w:spacing w:before="100" w:beforeAutospacing="1" w:after="100" w:afterAutospacing="1" w:line="240" w:lineRule="auto"/>
        <w:jc w:val="both"/>
        <w:rPr>
          <w:rFonts w:ascii="Times New Roman" w:eastAsia="Times New Roman" w:hAnsi="Times New Roman" w:cs="Times New Roman"/>
          <w:kern w:val="0"/>
          <w14:ligatures w14:val="none"/>
        </w:rPr>
      </w:pPr>
      <w:r w:rsidRPr="00C9206C">
        <w:rPr>
          <w:rFonts w:ascii="Times New Roman" w:eastAsia="Times New Roman" w:hAnsi="Times New Roman" w:cs="Times New Roman"/>
          <w:kern w:val="0"/>
          <w14:ligatures w14:val="none"/>
        </w:rPr>
        <w:lastRenderedPageBreak/>
        <w:t>These findings align with both global and regional studies on waste-related air pollution, highlighting the cumulative environmental impact of inadequate waste management. The evidence underscores the urgent need for Nairobi City County and relevant environmental agencies to enforce waste management regulations, strengthen public awareness campaigns on the hazards of waste burning, and promote cleaner energy alternatives to protect air quality and public health in informal settlements.</w:t>
      </w:r>
    </w:p>
    <w:p w14:paraId="0553A467" w14:textId="3F8295DB" w:rsidR="00706D2C" w:rsidRPr="00E71A36" w:rsidRDefault="00AE5616" w:rsidP="008027C8">
      <w:pPr>
        <w:spacing w:line="360" w:lineRule="auto"/>
        <w:jc w:val="both"/>
        <w:rPr>
          <w:rFonts w:ascii="Garamond" w:hAnsi="Garamond"/>
          <w:b/>
          <w:bCs/>
        </w:rPr>
      </w:pPr>
      <w:r w:rsidRPr="00E71A36">
        <w:rPr>
          <w:rFonts w:ascii="Garamond" w:hAnsi="Garamond"/>
          <w:b/>
          <w:bCs/>
        </w:rPr>
        <w:t>3.5.</w:t>
      </w:r>
      <w:r w:rsidR="00706D2C" w:rsidRPr="00E71A36">
        <w:rPr>
          <w:rFonts w:ascii="Garamond" w:hAnsi="Garamond"/>
          <w:b/>
          <w:bCs/>
        </w:rPr>
        <w:t xml:space="preserve"> Inferential Statistical Analysis</w:t>
      </w:r>
      <w:bookmarkEnd w:id="10"/>
      <w:bookmarkEnd w:id="11"/>
      <w:bookmarkEnd w:id="12"/>
    </w:p>
    <w:p w14:paraId="74D6A6A2" w14:textId="77777777" w:rsidR="00706D2C" w:rsidRPr="00E71A36" w:rsidRDefault="00706D2C" w:rsidP="008027C8">
      <w:pPr>
        <w:spacing w:line="360" w:lineRule="auto"/>
        <w:jc w:val="both"/>
        <w:rPr>
          <w:rFonts w:ascii="Garamond" w:hAnsi="Garamond"/>
        </w:rPr>
      </w:pPr>
      <w:r w:rsidRPr="00E71A36">
        <w:rPr>
          <w:rFonts w:ascii="Garamond" w:hAnsi="Garamond"/>
        </w:rPr>
        <w:t>To determine the strength and direction of the relationship between waste management practices and air quality, regression analysis and Pearson’s correlation were performed using SPSS Version 25.</w:t>
      </w:r>
    </w:p>
    <w:p w14:paraId="69C37CED" w14:textId="30E56A84" w:rsidR="00706D2C" w:rsidRPr="00E71A36" w:rsidRDefault="00AE5616" w:rsidP="008027C8">
      <w:pPr>
        <w:spacing w:line="360" w:lineRule="auto"/>
        <w:jc w:val="both"/>
        <w:rPr>
          <w:rFonts w:ascii="Garamond" w:hAnsi="Garamond"/>
          <w:b/>
          <w:bCs/>
        </w:rPr>
      </w:pPr>
      <w:bookmarkStart w:id="13" w:name="_Toc211254351"/>
      <w:bookmarkStart w:id="14" w:name="_Toc221485398"/>
      <w:bookmarkStart w:id="15" w:name="_Toc224480371"/>
      <w:r w:rsidRPr="00E71A36">
        <w:rPr>
          <w:rFonts w:ascii="Garamond" w:hAnsi="Garamond"/>
          <w:b/>
          <w:bCs/>
        </w:rPr>
        <w:t>3.6.</w:t>
      </w:r>
      <w:r w:rsidR="00706D2C" w:rsidRPr="00E71A36">
        <w:rPr>
          <w:rFonts w:ascii="Garamond" w:hAnsi="Garamond"/>
          <w:b/>
          <w:bCs/>
        </w:rPr>
        <w:t xml:space="preserve"> Model Summary</w:t>
      </w:r>
      <w:bookmarkEnd w:id="13"/>
      <w:bookmarkEnd w:id="14"/>
      <w:bookmarkEnd w:id="15"/>
      <w:r w:rsidR="00706D2C" w:rsidRPr="00E71A36">
        <w:rPr>
          <w:rFonts w:ascii="Garamond" w:hAnsi="Garamond"/>
          <w:b/>
          <w:bCs/>
        </w:rPr>
        <w:t xml:space="preserve"> </w:t>
      </w:r>
    </w:p>
    <w:p w14:paraId="0B9C757B" w14:textId="599AACC3" w:rsidR="00706D2C" w:rsidRPr="00E71A36" w:rsidRDefault="00706D2C" w:rsidP="008027C8">
      <w:pPr>
        <w:spacing w:line="360" w:lineRule="auto"/>
        <w:jc w:val="both"/>
        <w:rPr>
          <w:rFonts w:ascii="Garamond" w:hAnsi="Garamond"/>
        </w:rPr>
      </w:pPr>
      <w:r w:rsidRPr="00E71A36">
        <w:rPr>
          <w:rFonts w:ascii="Garamond" w:hAnsi="Garamond"/>
        </w:rPr>
        <w:t xml:space="preserve">Model summary was done to determine how well the independent variables waste types, waste management practices, and waste accumulation collectively explain variations in air quality in Kibera. It shows the overall strength of the relationship and the proportion of variance in air quality accounted for by the predictors before further tests are conducted. (Table </w:t>
      </w:r>
      <w:r w:rsidR="003C3A4B" w:rsidRPr="00E71A36">
        <w:rPr>
          <w:rFonts w:ascii="Garamond" w:hAnsi="Garamond"/>
        </w:rPr>
        <w:t>3</w:t>
      </w:r>
      <w:r w:rsidRPr="00E71A36">
        <w:rPr>
          <w:rFonts w:ascii="Garamond" w:hAnsi="Garamond"/>
        </w:rPr>
        <w:t xml:space="preserve">) gives a model summary test result </w:t>
      </w:r>
    </w:p>
    <w:p w14:paraId="0C5399F2" w14:textId="6E81EFCD" w:rsidR="00706D2C" w:rsidRPr="00E71A36" w:rsidRDefault="00706D2C" w:rsidP="008027C8">
      <w:pPr>
        <w:spacing w:line="360" w:lineRule="auto"/>
        <w:jc w:val="both"/>
        <w:rPr>
          <w:rFonts w:ascii="Garamond" w:hAnsi="Garamond"/>
          <w:b/>
          <w:bCs/>
        </w:rPr>
      </w:pPr>
      <w:bookmarkStart w:id="16" w:name="_Toc215038972"/>
      <w:bookmarkStart w:id="17" w:name="_Toc221484680"/>
      <w:bookmarkStart w:id="18" w:name="_Toc224480933"/>
      <w:r w:rsidRPr="00E71A36">
        <w:rPr>
          <w:rFonts w:ascii="Garamond" w:hAnsi="Garamond"/>
          <w:b/>
          <w:bCs/>
        </w:rPr>
        <w:t xml:space="preserve">Table </w:t>
      </w:r>
      <w:r w:rsidR="00AD68F5" w:rsidRPr="00E71A36">
        <w:rPr>
          <w:rFonts w:ascii="Garamond" w:hAnsi="Garamond"/>
          <w:b/>
          <w:bCs/>
        </w:rPr>
        <w:t>3</w:t>
      </w:r>
      <w:r w:rsidRPr="00E71A36">
        <w:rPr>
          <w:rFonts w:ascii="Garamond" w:hAnsi="Garamond"/>
          <w:b/>
          <w:bCs/>
        </w:rPr>
        <w:t>: Model Summary</w:t>
      </w:r>
      <w:bookmarkEnd w:id="16"/>
      <w:bookmarkEnd w:id="17"/>
      <w:bookmarkEnd w:id="1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0"/>
        <w:gridCol w:w="600"/>
        <w:gridCol w:w="1350"/>
        <w:gridCol w:w="3523"/>
        <w:gridCol w:w="1937"/>
      </w:tblGrid>
      <w:tr w:rsidR="00706D2C" w:rsidRPr="00E71A36" w14:paraId="287C94BC" w14:textId="77777777" w:rsidTr="00B60735">
        <w:trPr>
          <w:tblHeader/>
          <w:tblCellSpacing w:w="15" w:type="dxa"/>
        </w:trPr>
        <w:tc>
          <w:tcPr>
            <w:tcW w:w="1905" w:type="dxa"/>
            <w:tcBorders>
              <w:top w:val="single" w:sz="4" w:space="0" w:color="auto"/>
              <w:bottom w:val="single" w:sz="4" w:space="0" w:color="auto"/>
            </w:tcBorders>
            <w:vAlign w:val="center"/>
            <w:hideMark/>
          </w:tcPr>
          <w:p w14:paraId="7E459D78" w14:textId="77777777" w:rsidR="00706D2C" w:rsidRPr="00E71A36" w:rsidRDefault="00706D2C" w:rsidP="008027C8">
            <w:pPr>
              <w:spacing w:line="360" w:lineRule="auto"/>
              <w:jc w:val="both"/>
              <w:rPr>
                <w:rFonts w:ascii="Garamond" w:hAnsi="Garamond"/>
              </w:rPr>
            </w:pPr>
            <w:r w:rsidRPr="00E71A36">
              <w:rPr>
                <w:rFonts w:ascii="Garamond" w:hAnsi="Garamond"/>
              </w:rPr>
              <w:t>Model</w:t>
            </w:r>
          </w:p>
        </w:tc>
        <w:tc>
          <w:tcPr>
            <w:tcW w:w="570" w:type="dxa"/>
            <w:tcBorders>
              <w:top w:val="single" w:sz="4" w:space="0" w:color="auto"/>
              <w:bottom w:val="single" w:sz="4" w:space="0" w:color="auto"/>
            </w:tcBorders>
            <w:vAlign w:val="center"/>
            <w:hideMark/>
          </w:tcPr>
          <w:p w14:paraId="4FB70C83" w14:textId="77777777" w:rsidR="00706D2C" w:rsidRPr="00E71A36" w:rsidRDefault="00706D2C" w:rsidP="008027C8">
            <w:pPr>
              <w:spacing w:line="360" w:lineRule="auto"/>
              <w:jc w:val="both"/>
              <w:rPr>
                <w:rFonts w:ascii="Garamond" w:hAnsi="Garamond"/>
              </w:rPr>
            </w:pPr>
            <w:r w:rsidRPr="00E71A36">
              <w:rPr>
                <w:rFonts w:ascii="Garamond" w:hAnsi="Garamond"/>
              </w:rPr>
              <w:t>R</w:t>
            </w:r>
          </w:p>
        </w:tc>
        <w:tc>
          <w:tcPr>
            <w:tcW w:w="1320" w:type="dxa"/>
            <w:tcBorders>
              <w:top w:val="single" w:sz="4" w:space="0" w:color="auto"/>
              <w:bottom w:val="single" w:sz="4" w:space="0" w:color="auto"/>
            </w:tcBorders>
            <w:vAlign w:val="center"/>
            <w:hideMark/>
          </w:tcPr>
          <w:p w14:paraId="3C67EA9C" w14:textId="77777777" w:rsidR="00706D2C" w:rsidRPr="00E71A36" w:rsidRDefault="00706D2C" w:rsidP="008027C8">
            <w:pPr>
              <w:spacing w:line="360" w:lineRule="auto"/>
              <w:jc w:val="both"/>
              <w:rPr>
                <w:rFonts w:ascii="Garamond" w:hAnsi="Garamond"/>
              </w:rPr>
            </w:pPr>
            <w:r w:rsidRPr="00E71A36">
              <w:rPr>
                <w:rFonts w:ascii="Garamond" w:hAnsi="Garamond"/>
              </w:rPr>
              <w:t>R Square</w:t>
            </w:r>
          </w:p>
        </w:tc>
        <w:tc>
          <w:tcPr>
            <w:tcW w:w="3493" w:type="dxa"/>
            <w:tcBorders>
              <w:top w:val="single" w:sz="4" w:space="0" w:color="auto"/>
              <w:bottom w:val="single" w:sz="4" w:space="0" w:color="auto"/>
            </w:tcBorders>
            <w:vAlign w:val="center"/>
            <w:hideMark/>
          </w:tcPr>
          <w:p w14:paraId="79A04786" w14:textId="77777777" w:rsidR="00706D2C" w:rsidRPr="00E71A36" w:rsidRDefault="00706D2C" w:rsidP="008027C8">
            <w:pPr>
              <w:spacing w:line="360" w:lineRule="auto"/>
              <w:jc w:val="both"/>
              <w:rPr>
                <w:rFonts w:ascii="Garamond" w:hAnsi="Garamond"/>
              </w:rPr>
            </w:pPr>
            <w:r w:rsidRPr="00E71A36">
              <w:rPr>
                <w:rFonts w:ascii="Garamond" w:hAnsi="Garamond"/>
              </w:rPr>
              <w:t>Adjusted R Square</w:t>
            </w:r>
          </w:p>
        </w:tc>
        <w:tc>
          <w:tcPr>
            <w:tcW w:w="0" w:type="auto"/>
            <w:tcBorders>
              <w:top w:val="single" w:sz="4" w:space="0" w:color="auto"/>
              <w:bottom w:val="single" w:sz="4" w:space="0" w:color="auto"/>
            </w:tcBorders>
            <w:vAlign w:val="center"/>
            <w:hideMark/>
          </w:tcPr>
          <w:p w14:paraId="14E4CC41" w14:textId="77777777" w:rsidR="00706D2C" w:rsidRPr="00E71A36" w:rsidRDefault="00706D2C" w:rsidP="008027C8">
            <w:pPr>
              <w:spacing w:line="360" w:lineRule="auto"/>
              <w:jc w:val="both"/>
              <w:rPr>
                <w:rFonts w:ascii="Garamond" w:hAnsi="Garamond"/>
              </w:rPr>
            </w:pPr>
            <w:r w:rsidRPr="00E71A36">
              <w:rPr>
                <w:rFonts w:ascii="Garamond" w:hAnsi="Garamond"/>
              </w:rPr>
              <w:t>Std. Error of the Estimate</w:t>
            </w:r>
          </w:p>
        </w:tc>
      </w:tr>
      <w:tr w:rsidR="00706D2C" w:rsidRPr="00E71A36" w14:paraId="7DD70F3E" w14:textId="77777777" w:rsidTr="00B60735">
        <w:trPr>
          <w:tblCellSpacing w:w="15" w:type="dxa"/>
        </w:trPr>
        <w:tc>
          <w:tcPr>
            <w:tcW w:w="1905" w:type="dxa"/>
            <w:tcBorders>
              <w:top w:val="single" w:sz="4" w:space="0" w:color="auto"/>
              <w:bottom w:val="single" w:sz="4" w:space="0" w:color="auto"/>
            </w:tcBorders>
            <w:vAlign w:val="center"/>
            <w:hideMark/>
          </w:tcPr>
          <w:p w14:paraId="4E62AFD6" w14:textId="77777777" w:rsidR="00706D2C" w:rsidRPr="00E71A36" w:rsidRDefault="00706D2C" w:rsidP="008027C8">
            <w:pPr>
              <w:spacing w:line="360" w:lineRule="auto"/>
              <w:jc w:val="both"/>
              <w:rPr>
                <w:rFonts w:ascii="Garamond" w:hAnsi="Garamond"/>
              </w:rPr>
            </w:pPr>
            <w:r w:rsidRPr="00E71A36">
              <w:rPr>
                <w:rFonts w:ascii="Garamond" w:hAnsi="Garamond"/>
              </w:rPr>
              <w:t>1</w:t>
            </w:r>
          </w:p>
        </w:tc>
        <w:tc>
          <w:tcPr>
            <w:tcW w:w="570" w:type="dxa"/>
            <w:tcBorders>
              <w:top w:val="single" w:sz="4" w:space="0" w:color="auto"/>
              <w:bottom w:val="single" w:sz="4" w:space="0" w:color="auto"/>
            </w:tcBorders>
            <w:vAlign w:val="center"/>
            <w:hideMark/>
          </w:tcPr>
          <w:p w14:paraId="3B007FC8" w14:textId="77777777" w:rsidR="00706D2C" w:rsidRPr="00E71A36" w:rsidRDefault="00706D2C" w:rsidP="008027C8">
            <w:pPr>
              <w:spacing w:line="360" w:lineRule="auto"/>
              <w:jc w:val="both"/>
              <w:rPr>
                <w:rFonts w:ascii="Garamond" w:hAnsi="Garamond"/>
              </w:rPr>
            </w:pPr>
            <w:r w:rsidRPr="00E71A36">
              <w:rPr>
                <w:rFonts w:ascii="Garamond" w:hAnsi="Garamond"/>
              </w:rPr>
              <w:t>0.728</w:t>
            </w:r>
          </w:p>
        </w:tc>
        <w:tc>
          <w:tcPr>
            <w:tcW w:w="1320" w:type="dxa"/>
            <w:tcBorders>
              <w:top w:val="single" w:sz="4" w:space="0" w:color="auto"/>
              <w:bottom w:val="single" w:sz="4" w:space="0" w:color="auto"/>
            </w:tcBorders>
            <w:vAlign w:val="center"/>
            <w:hideMark/>
          </w:tcPr>
          <w:p w14:paraId="1D32E9BC" w14:textId="77777777" w:rsidR="00706D2C" w:rsidRPr="00E71A36" w:rsidRDefault="00706D2C" w:rsidP="008027C8">
            <w:pPr>
              <w:spacing w:line="360" w:lineRule="auto"/>
              <w:jc w:val="both"/>
              <w:rPr>
                <w:rFonts w:ascii="Garamond" w:hAnsi="Garamond"/>
              </w:rPr>
            </w:pPr>
            <w:r w:rsidRPr="00E71A36">
              <w:rPr>
                <w:rFonts w:ascii="Garamond" w:hAnsi="Garamond"/>
              </w:rPr>
              <w:t>0.530</w:t>
            </w:r>
          </w:p>
        </w:tc>
        <w:tc>
          <w:tcPr>
            <w:tcW w:w="3493" w:type="dxa"/>
            <w:tcBorders>
              <w:top w:val="single" w:sz="4" w:space="0" w:color="auto"/>
              <w:bottom w:val="single" w:sz="4" w:space="0" w:color="auto"/>
            </w:tcBorders>
            <w:vAlign w:val="center"/>
            <w:hideMark/>
          </w:tcPr>
          <w:p w14:paraId="453D8F1D" w14:textId="77777777" w:rsidR="00706D2C" w:rsidRPr="00E71A36" w:rsidRDefault="00706D2C" w:rsidP="008027C8">
            <w:pPr>
              <w:spacing w:line="360" w:lineRule="auto"/>
              <w:jc w:val="both"/>
              <w:rPr>
                <w:rFonts w:ascii="Garamond" w:hAnsi="Garamond"/>
              </w:rPr>
            </w:pPr>
            <w:r w:rsidRPr="00E71A36">
              <w:rPr>
                <w:rFonts w:ascii="Garamond" w:hAnsi="Garamond"/>
              </w:rPr>
              <w:t>0.521</w:t>
            </w:r>
          </w:p>
        </w:tc>
        <w:tc>
          <w:tcPr>
            <w:tcW w:w="0" w:type="auto"/>
            <w:tcBorders>
              <w:top w:val="single" w:sz="4" w:space="0" w:color="auto"/>
              <w:bottom w:val="single" w:sz="4" w:space="0" w:color="auto"/>
            </w:tcBorders>
            <w:vAlign w:val="center"/>
            <w:hideMark/>
          </w:tcPr>
          <w:p w14:paraId="65A81FC1" w14:textId="77777777" w:rsidR="00706D2C" w:rsidRPr="00E71A36" w:rsidRDefault="00706D2C" w:rsidP="008027C8">
            <w:pPr>
              <w:spacing w:line="360" w:lineRule="auto"/>
              <w:jc w:val="both"/>
              <w:rPr>
                <w:rFonts w:ascii="Garamond" w:hAnsi="Garamond"/>
              </w:rPr>
            </w:pPr>
            <w:r w:rsidRPr="00E71A36">
              <w:rPr>
                <w:rFonts w:ascii="Garamond" w:hAnsi="Garamond"/>
              </w:rPr>
              <w:t>0.337</w:t>
            </w:r>
          </w:p>
        </w:tc>
      </w:tr>
    </w:tbl>
    <w:p w14:paraId="1909A98E" w14:textId="77777777" w:rsidR="003C3A4B" w:rsidRPr="00E71A36" w:rsidRDefault="003C3A4B" w:rsidP="008027C8">
      <w:pPr>
        <w:spacing w:line="360" w:lineRule="auto"/>
        <w:jc w:val="both"/>
        <w:rPr>
          <w:rFonts w:ascii="Garamond" w:hAnsi="Garamond"/>
        </w:rPr>
      </w:pPr>
    </w:p>
    <w:p w14:paraId="40724C40" w14:textId="77777777" w:rsidR="008027C8" w:rsidRPr="008027C8" w:rsidRDefault="008027C8" w:rsidP="008027C8">
      <w:pPr>
        <w:spacing w:before="100" w:beforeAutospacing="1" w:after="100" w:afterAutospacing="1" w:line="240" w:lineRule="auto"/>
        <w:jc w:val="both"/>
        <w:rPr>
          <w:rFonts w:ascii="Times New Roman" w:eastAsia="Times New Roman" w:hAnsi="Times New Roman" w:cs="Times New Roman"/>
          <w:kern w:val="0"/>
          <w14:ligatures w14:val="none"/>
        </w:rPr>
      </w:pPr>
      <w:bookmarkStart w:id="19" w:name="_Toc211254352"/>
      <w:bookmarkStart w:id="20" w:name="_Toc221485399"/>
      <w:bookmarkStart w:id="21" w:name="_Toc224480372"/>
      <w:r w:rsidRPr="008027C8">
        <w:rPr>
          <w:rFonts w:ascii="Times New Roman" w:eastAsia="Times New Roman" w:hAnsi="Times New Roman" w:cs="Times New Roman"/>
          <w:kern w:val="0"/>
          <w14:ligatures w14:val="none"/>
        </w:rPr>
        <w:t xml:space="preserve">The R² value of 0.530 indicates that 53.0% of the variance in air quality can be explained by the three predictors: types and sources of waste, waste management practices, and waste accumulation. This result is consistent with </w:t>
      </w:r>
      <w:proofErr w:type="spellStart"/>
      <w:r w:rsidRPr="008027C8">
        <w:rPr>
          <w:rFonts w:ascii="Times New Roman" w:eastAsia="Times New Roman" w:hAnsi="Times New Roman" w:cs="Times New Roman"/>
          <w:kern w:val="0"/>
          <w14:ligatures w14:val="none"/>
        </w:rPr>
        <w:t>Wiedinmyer</w:t>
      </w:r>
      <w:proofErr w:type="spellEnd"/>
      <w:r w:rsidRPr="008027C8">
        <w:rPr>
          <w:rFonts w:ascii="Times New Roman" w:eastAsia="Times New Roman" w:hAnsi="Times New Roman" w:cs="Times New Roman"/>
          <w:kern w:val="0"/>
          <w14:ligatures w14:val="none"/>
        </w:rPr>
        <w:t xml:space="preserve"> et al. (2014), who reported that waste-related variables significantly predict air quality variations in urban settings. Similarly, Gouveia, Mendes, and Costa (2023) found that waste generation, disposal practices, and accumulation patterns collectively accounted for more than half of the observed fluctuations in particulate matter concentrations in low-income settlements.</w:t>
      </w:r>
    </w:p>
    <w:p w14:paraId="7BE3FDA7" w14:textId="77777777" w:rsidR="008027C8" w:rsidRPr="008027C8" w:rsidRDefault="008027C8" w:rsidP="008027C8">
      <w:pPr>
        <w:spacing w:before="100" w:beforeAutospacing="1" w:after="100" w:afterAutospacing="1" w:line="240" w:lineRule="auto"/>
        <w:jc w:val="both"/>
        <w:rPr>
          <w:rFonts w:ascii="Times New Roman" w:eastAsia="Times New Roman" w:hAnsi="Times New Roman" w:cs="Times New Roman"/>
          <w:kern w:val="0"/>
          <w14:ligatures w14:val="none"/>
        </w:rPr>
      </w:pPr>
      <w:r w:rsidRPr="008027C8">
        <w:rPr>
          <w:rFonts w:ascii="Times New Roman" w:eastAsia="Times New Roman" w:hAnsi="Times New Roman" w:cs="Times New Roman"/>
          <w:kern w:val="0"/>
          <w14:ligatures w14:val="none"/>
        </w:rPr>
        <w:t xml:space="preserve">These findings also align with Mlambo and Ncube (2020), who identified inefficient waste collection and uncontrolled dumping as key determinants of declining air quality in Johannesburg’s informal settlements. The remaining unexplained variance of 47.0% corresponds with observations by </w:t>
      </w:r>
      <w:proofErr w:type="spellStart"/>
      <w:r w:rsidRPr="008027C8">
        <w:rPr>
          <w:rFonts w:ascii="Times New Roman" w:eastAsia="Times New Roman" w:hAnsi="Times New Roman" w:cs="Times New Roman"/>
          <w:kern w:val="0"/>
          <w14:ligatures w14:val="none"/>
        </w:rPr>
        <w:t>Vilcins</w:t>
      </w:r>
      <w:proofErr w:type="spellEnd"/>
      <w:r w:rsidRPr="008027C8">
        <w:rPr>
          <w:rFonts w:ascii="Times New Roman" w:eastAsia="Times New Roman" w:hAnsi="Times New Roman" w:cs="Times New Roman"/>
          <w:kern w:val="0"/>
          <w14:ligatures w14:val="none"/>
        </w:rPr>
        <w:t xml:space="preserve"> et al. (2024), who highlighted that additional environmental factors—such as meteorological conditions, traffic density, and proximity to industrial sources—further influence air quality beyond waste management-related predictors.</w:t>
      </w:r>
    </w:p>
    <w:p w14:paraId="066D776C" w14:textId="23FDFA92" w:rsidR="00706D2C" w:rsidRPr="00E71A36" w:rsidRDefault="00AE5616" w:rsidP="008027C8">
      <w:pPr>
        <w:spacing w:line="360" w:lineRule="auto"/>
        <w:jc w:val="both"/>
        <w:rPr>
          <w:rFonts w:ascii="Garamond" w:hAnsi="Garamond"/>
          <w:b/>
          <w:bCs/>
        </w:rPr>
      </w:pPr>
      <w:r w:rsidRPr="00E71A36">
        <w:rPr>
          <w:rFonts w:ascii="Garamond" w:hAnsi="Garamond"/>
          <w:b/>
          <w:bCs/>
        </w:rPr>
        <w:lastRenderedPageBreak/>
        <w:t>3.7.</w:t>
      </w:r>
      <w:r w:rsidR="00706D2C" w:rsidRPr="00E71A36">
        <w:rPr>
          <w:rFonts w:ascii="Garamond" w:hAnsi="Garamond"/>
          <w:b/>
          <w:bCs/>
        </w:rPr>
        <w:t xml:space="preserve"> ANOVA</w:t>
      </w:r>
      <w:bookmarkEnd w:id="19"/>
      <w:bookmarkEnd w:id="20"/>
      <w:bookmarkEnd w:id="21"/>
      <w:r w:rsidR="00706D2C" w:rsidRPr="00E71A36">
        <w:rPr>
          <w:rFonts w:ascii="Garamond" w:hAnsi="Garamond"/>
          <w:b/>
          <w:bCs/>
        </w:rPr>
        <w:t xml:space="preserve"> </w:t>
      </w:r>
    </w:p>
    <w:p w14:paraId="308B1924" w14:textId="0ECD5F35" w:rsidR="00706D2C" w:rsidRPr="00E71A36" w:rsidRDefault="00706D2C" w:rsidP="008027C8">
      <w:pPr>
        <w:spacing w:line="360" w:lineRule="auto"/>
        <w:jc w:val="both"/>
        <w:rPr>
          <w:rFonts w:ascii="Garamond" w:hAnsi="Garamond"/>
        </w:rPr>
      </w:pPr>
      <w:r w:rsidRPr="00E71A36">
        <w:rPr>
          <w:rFonts w:ascii="Garamond" w:hAnsi="Garamond"/>
        </w:rPr>
        <w:t xml:space="preserve">Analysis of Variance was conducted to determine whether the combined effect of the independent variables waste types, waste management practices, and waste accumulation significantly explains variations in air quality in Kibera. ANOVA tests whether the predictors, when entered together in the regression model, contribute more explanatory power than would be expected by chance. It assesses whether differences in air quality can be statistically attributed to the variations in waste-related factors measured in the study. The results of the ANOVA test are summarized in (Table </w:t>
      </w:r>
      <w:r w:rsidR="00AD68F5" w:rsidRPr="00E71A36">
        <w:rPr>
          <w:rFonts w:ascii="Garamond" w:hAnsi="Garamond"/>
        </w:rPr>
        <w:t>4</w:t>
      </w:r>
      <w:r w:rsidRPr="00E71A36">
        <w:rPr>
          <w:rFonts w:ascii="Garamond" w:hAnsi="Garamond"/>
        </w:rPr>
        <w:t>).</w:t>
      </w:r>
    </w:p>
    <w:p w14:paraId="5BD8A31F" w14:textId="77777777" w:rsidR="002E5751" w:rsidRPr="00E71A36" w:rsidRDefault="002E5751" w:rsidP="008027C8">
      <w:pPr>
        <w:spacing w:line="360" w:lineRule="auto"/>
        <w:jc w:val="both"/>
        <w:rPr>
          <w:rFonts w:ascii="Garamond" w:hAnsi="Garamond"/>
        </w:rPr>
      </w:pPr>
      <w:bookmarkStart w:id="22" w:name="_Toc215038974"/>
      <w:bookmarkStart w:id="23" w:name="_Toc221484681"/>
      <w:bookmarkStart w:id="24" w:name="_Toc224480934"/>
    </w:p>
    <w:p w14:paraId="1A010372" w14:textId="5B411A8A" w:rsidR="00706D2C" w:rsidRPr="00E71A36" w:rsidRDefault="00706D2C" w:rsidP="008027C8">
      <w:pPr>
        <w:spacing w:line="360" w:lineRule="auto"/>
        <w:jc w:val="both"/>
        <w:rPr>
          <w:rFonts w:ascii="Garamond" w:hAnsi="Garamond"/>
          <w:b/>
        </w:rPr>
      </w:pPr>
      <w:r w:rsidRPr="00E71A36">
        <w:rPr>
          <w:rFonts w:ascii="Garamond" w:hAnsi="Garamond"/>
          <w:b/>
        </w:rPr>
        <w:t xml:space="preserve">Table </w:t>
      </w:r>
      <w:r w:rsidR="00AD68F5" w:rsidRPr="00E71A36">
        <w:rPr>
          <w:rFonts w:ascii="Garamond" w:hAnsi="Garamond"/>
          <w:b/>
        </w:rPr>
        <w:t>4</w:t>
      </w:r>
      <w:r w:rsidRPr="00E71A36">
        <w:rPr>
          <w:rFonts w:ascii="Garamond" w:hAnsi="Garamond"/>
          <w:b/>
        </w:rPr>
        <w:t xml:space="preserve">: ANOVA </w:t>
      </w:r>
      <w:bookmarkEnd w:id="22"/>
      <w:bookmarkEnd w:id="23"/>
      <w:bookmarkEnd w:id="24"/>
      <w:r w:rsidR="00AD68F5" w:rsidRPr="00E71A36">
        <w:rPr>
          <w:rFonts w:ascii="Garamond" w:hAnsi="Garamond"/>
          <w:b/>
        </w:rPr>
        <w:t xml:space="preserve">test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0"/>
        <w:gridCol w:w="2416"/>
        <w:gridCol w:w="398"/>
        <w:gridCol w:w="1268"/>
        <w:gridCol w:w="675"/>
        <w:gridCol w:w="465"/>
      </w:tblGrid>
      <w:tr w:rsidR="00706D2C" w:rsidRPr="00E71A36" w14:paraId="05A22D8C" w14:textId="77777777" w:rsidTr="00B60735">
        <w:trPr>
          <w:tblHeader/>
          <w:tblCellSpacing w:w="15" w:type="dxa"/>
        </w:trPr>
        <w:tc>
          <w:tcPr>
            <w:tcW w:w="3915" w:type="dxa"/>
            <w:tcBorders>
              <w:top w:val="single" w:sz="4" w:space="0" w:color="auto"/>
              <w:bottom w:val="single" w:sz="4" w:space="0" w:color="auto"/>
            </w:tcBorders>
            <w:vAlign w:val="center"/>
            <w:hideMark/>
          </w:tcPr>
          <w:p w14:paraId="33EDE3CA" w14:textId="77777777" w:rsidR="00706D2C" w:rsidRPr="00E71A36" w:rsidRDefault="00706D2C" w:rsidP="008027C8">
            <w:pPr>
              <w:spacing w:line="360" w:lineRule="auto"/>
              <w:jc w:val="both"/>
              <w:rPr>
                <w:rFonts w:ascii="Garamond" w:hAnsi="Garamond"/>
              </w:rPr>
            </w:pPr>
            <w:r w:rsidRPr="00E71A36">
              <w:rPr>
                <w:rFonts w:ascii="Garamond" w:hAnsi="Garamond"/>
              </w:rPr>
              <w:t>Model</w:t>
            </w:r>
          </w:p>
        </w:tc>
        <w:tc>
          <w:tcPr>
            <w:tcW w:w="2386" w:type="dxa"/>
            <w:tcBorders>
              <w:top w:val="single" w:sz="4" w:space="0" w:color="auto"/>
              <w:bottom w:val="single" w:sz="4" w:space="0" w:color="auto"/>
            </w:tcBorders>
            <w:vAlign w:val="center"/>
            <w:hideMark/>
          </w:tcPr>
          <w:p w14:paraId="484878C6" w14:textId="77777777" w:rsidR="00706D2C" w:rsidRPr="00E71A36" w:rsidRDefault="00706D2C" w:rsidP="008027C8">
            <w:pPr>
              <w:spacing w:line="360" w:lineRule="auto"/>
              <w:jc w:val="both"/>
              <w:rPr>
                <w:rFonts w:ascii="Garamond" w:hAnsi="Garamond"/>
              </w:rPr>
            </w:pPr>
            <w:r w:rsidRPr="00E71A36">
              <w:rPr>
                <w:rFonts w:ascii="Garamond" w:hAnsi="Garamond"/>
              </w:rPr>
              <w:t>Sum of Squares</w:t>
            </w:r>
          </w:p>
        </w:tc>
        <w:tc>
          <w:tcPr>
            <w:tcW w:w="0" w:type="auto"/>
            <w:tcBorders>
              <w:top w:val="single" w:sz="4" w:space="0" w:color="auto"/>
              <w:bottom w:val="single" w:sz="4" w:space="0" w:color="auto"/>
            </w:tcBorders>
            <w:vAlign w:val="center"/>
            <w:hideMark/>
          </w:tcPr>
          <w:p w14:paraId="1F4E2D35" w14:textId="77777777" w:rsidR="00706D2C" w:rsidRPr="00E71A36" w:rsidRDefault="00706D2C" w:rsidP="008027C8">
            <w:pPr>
              <w:spacing w:line="360" w:lineRule="auto"/>
              <w:jc w:val="both"/>
              <w:rPr>
                <w:rFonts w:ascii="Garamond" w:hAnsi="Garamond"/>
              </w:rPr>
            </w:pPr>
            <w:r w:rsidRPr="00E71A36">
              <w:rPr>
                <w:rFonts w:ascii="Garamond" w:hAnsi="Garamond"/>
              </w:rPr>
              <w:t>df</w:t>
            </w:r>
          </w:p>
        </w:tc>
        <w:tc>
          <w:tcPr>
            <w:tcW w:w="0" w:type="auto"/>
            <w:tcBorders>
              <w:top w:val="single" w:sz="4" w:space="0" w:color="auto"/>
              <w:bottom w:val="single" w:sz="4" w:space="0" w:color="auto"/>
            </w:tcBorders>
            <w:vAlign w:val="center"/>
            <w:hideMark/>
          </w:tcPr>
          <w:p w14:paraId="1529059A" w14:textId="77777777" w:rsidR="00706D2C" w:rsidRPr="00E71A36" w:rsidRDefault="00706D2C" w:rsidP="008027C8">
            <w:pPr>
              <w:spacing w:line="360" w:lineRule="auto"/>
              <w:jc w:val="both"/>
              <w:rPr>
                <w:rFonts w:ascii="Garamond" w:hAnsi="Garamond"/>
              </w:rPr>
            </w:pPr>
            <w:r w:rsidRPr="00E71A36">
              <w:rPr>
                <w:rFonts w:ascii="Garamond" w:hAnsi="Garamond"/>
              </w:rPr>
              <w:t>Mean Square</w:t>
            </w:r>
          </w:p>
        </w:tc>
        <w:tc>
          <w:tcPr>
            <w:tcW w:w="0" w:type="auto"/>
            <w:tcBorders>
              <w:top w:val="single" w:sz="4" w:space="0" w:color="auto"/>
              <w:bottom w:val="single" w:sz="4" w:space="0" w:color="auto"/>
            </w:tcBorders>
            <w:vAlign w:val="center"/>
            <w:hideMark/>
          </w:tcPr>
          <w:p w14:paraId="61C89306" w14:textId="77777777" w:rsidR="00706D2C" w:rsidRPr="00E71A36" w:rsidRDefault="00706D2C" w:rsidP="008027C8">
            <w:pPr>
              <w:spacing w:line="360" w:lineRule="auto"/>
              <w:jc w:val="both"/>
              <w:rPr>
                <w:rFonts w:ascii="Garamond" w:hAnsi="Garamond"/>
              </w:rPr>
            </w:pPr>
            <w:r w:rsidRPr="00E71A36">
              <w:rPr>
                <w:rFonts w:ascii="Garamond" w:hAnsi="Garamond"/>
              </w:rPr>
              <w:t>F</w:t>
            </w:r>
          </w:p>
        </w:tc>
        <w:tc>
          <w:tcPr>
            <w:tcW w:w="0" w:type="auto"/>
            <w:tcBorders>
              <w:top w:val="single" w:sz="4" w:space="0" w:color="auto"/>
              <w:bottom w:val="single" w:sz="4" w:space="0" w:color="auto"/>
            </w:tcBorders>
            <w:vAlign w:val="center"/>
            <w:hideMark/>
          </w:tcPr>
          <w:p w14:paraId="66BD4237" w14:textId="77777777" w:rsidR="00706D2C" w:rsidRPr="00E71A36" w:rsidRDefault="00706D2C" w:rsidP="008027C8">
            <w:pPr>
              <w:spacing w:line="360" w:lineRule="auto"/>
              <w:jc w:val="both"/>
              <w:rPr>
                <w:rFonts w:ascii="Garamond" w:hAnsi="Garamond"/>
              </w:rPr>
            </w:pPr>
            <w:r w:rsidRPr="00E71A36">
              <w:rPr>
                <w:rFonts w:ascii="Garamond" w:hAnsi="Garamond"/>
              </w:rPr>
              <w:t>Sig.</w:t>
            </w:r>
          </w:p>
        </w:tc>
      </w:tr>
      <w:tr w:rsidR="00706D2C" w:rsidRPr="00E71A36" w14:paraId="5B635F2E" w14:textId="77777777" w:rsidTr="00B60735">
        <w:trPr>
          <w:tblCellSpacing w:w="15" w:type="dxa"/>
        </w:trPr>
        <w:tc>
          <w:tcPr>
            <w:tcW w:w="3915" w:type="dxa"/>
            <w:vAlign w:val="center"/>
            <w:hideMark/>
          </w:tcPr>
          <w:p w14:paraId="39BA071C" w14:textId="77777777" w:rsidR="00706D2C" w:rsidRPr="00E71A36" w:rsidRDefault="00706D2C" w:rsidP="008027C8">
            <w:pPr>
              <w:spacing w:line="360" w:lineRule="auto"/>
              <w:jc w:val="both"/>
              <w:rPr>
                <w:rFonts w:ascii="Garamond" w:hAnsi="Garamond"/>
              </w:rPr>
            </w:pPr>
            <w:r w:rsidRPr="00E71A36">
              <w:rPr>
                <w:rFonts w:ascii="Garamond" w:hAnsi="Garamond"/>
              </w:rPr>
              <w:t>Regression</w:t>
            </w:r>
          </w:p>
        </w:tc>
        <w:tc>
          <w:tcPr>
            <w:tcW w:w="2386" w:type="dxa"/>
            <w:vAlign w:val="center"/>
            <w:hideMark/>
          </w:tcPr>
          <w:p w14:paraId="30AFA04E" w14:textId="77777777" w:rsidR="00706D2C" w:rsidRPr="00E71A36" w:rsidRDefault="00706D2C" w:rsidP="008027C8">
            <w:pPr>
              <w:spacing w:line="360" w:lineRule="auto"/>
              <w:jc w:val="both"/>
              <w:rPr>
                <w:rFonts w:ascii="Garamond" w:hAnsi="Garamond"/>
              </w:rPr>
            </w:pPr>
            <w:r w:rsidRPr="00E71A36">
              <w:rPr>
                <w:rFonts w:ascii="Garamond" w:hAnsi="Garamond"/>
              </w:rPr>
              <w:t>61.223</w:t>
            </w:r>
          </w:p>
        </w:tc>
        <w:tc>
          <w:tcPr>
            <w:tcW w:w="0" w:type="auto"/>
            <w:vAlign w:val="center"/>
            <w:hideMark/>
          </w:tcPr>
          <w:p w14:paraId="5CA58FB9" w14:textId="77777777" w:rsidR="00706D2C" w:rsidRPr="00E71A36" w:rsidRDefault="00706D2C" w:rsidP="008027C8">
            <w:pPr>
              <w:spacing w:line="360" w:lineRule="auto"/>
              <w:jc w:val="both"/>
              <w:rPr>
                <w:rFonts w:ascii="Garamond" w:hAnsi="Garamond"/>
              </w:rPr>
            </w:pPr>
            <w:r w:rsidRPr="00E71A36">
              <w:rPr>
                <w:rFonts w:ascii="Garamond" w:hAnsi="Garamond"/>
              </w:rPr>
              <w:t>3</w:t>
            </w:r>
          </w:p>
        </w:tc>
        <w:tc>
          <w:tcPr>
            <w:tcW w:w="0" w:type="auto"/>
            <w:vAlign w:val="center"/>
            <w:hideMark/>
          </w:tcPr>
          <w:p w14:paraId="56879FAC" w14:textId="77777777" w:rsidR="00706D2C" w:rsidRPr="00E71A36" w:rsidRDefault="00706D2C" w:rsidP="008027C8">
            <w:pPr>
              <w:spacing w:line="360" w:lineRule="auto"/>
              <w:jc w:val="both"/>
              <w:rPr>
                <w:rFonts w:ascii="Garamond" w:hAnsi="Garamond"/>
              </w:rPr>
            </w:pPr>
            <w:r w:rsidRPr="00E71A36">
              <w:rPr>
                <w:rFonts w:ascii="Garamond" w:hAnsi="Garamond"/>
              </w:rPr>
              <w:t>20.408</w:t>
            </w:r>
          </w:p>
        </w:tc>
        <w:tc>
          <w:tcPr>
            <w:tcW w:w="0" w:type="auto"/>
            <w:vAlign w:val="center"/>
            <w:hideMark/>
          </w:tcPr>
          <w:p w14:paraId="2C055FCE" w14:textId="77777777" w:rsidR="00706D2C" w:rsidRPr="00E71A36" w:rsidRDefault="00706D2C" w:rsidP="008027C8">
            <w:pPr>
              <w:spacing w:line="360" w:lineRule="auto"/>
              <w:jc w:val="both"/>
              <w:rPr>
                <w:rFonts w:ascii="Garamond" w:hAnsi="Garamond"/>
              </w:rPr>
            </w:pPr>
            <w:r w:rsidRPr="00E71A36">
              <w:rPr>
                <w:rFonts w:ascii="Garamond" w:hAnsi="Garamond"/>
              </w:rPr>
              <w:t>49.521</w:t>
            </w:r>
          </w:p>
        </w:tc>
        <w:tc>
          <w:tcPr>
            <w:tcW w:w="0" w:type="auto"/>
            <w:vAlign w:val="center"/>
            <w:hideMark/>
          </w:tcPr>
          <w:p w14:paraId="65391EE7" w14:textId="77777777" w:rsidR="00706D2C" w:rsidRPr="00E71A36" w:rsidRDefault="00706D2C" w:rsidP="008027C8">
            <w:pPr>
              <w:spacing w:line="360" w:lineRule="auto"/>
              <w:jc w:val="both"/>
              <w:rPr>
                <w:rFonts w:ascii="Garamond" w:hAnsi="Garamond"/>
              </w:rPr>
            </w:pPr>
            <w:r w:rsidRPr="00E71A36">
              <w:rPr>
                <w:rFonts w:ascii="Garamond" w:hAnsi="Garamond"/>
              </w:rPr>
              <w:t>.000</w:t>
            </w:r>
          </w:p>
        </w:tc>
      </w:tr>
      <w:tr w:rsidR="00706D2C" w:rsidRPr="00E71A36" w14:paraId="083271BC" w14:textId="77777777" w:rsidTr="00B60735">
        <w:trPr>
          <w:tblCellSpacing w:w="15" w:type="dxa"/>
        </w:trPr>
        <w:tc>
          <w:tcPr>
            <w:tcW w:w="3915" w:type="dxa"/>
            <w:vAlign w:val="center"/>
            <w:hideMark/>
          </w:tcPr>
          <w:p w14:paraId="0E474AB2" w14:textId="77777777" w:rsidR="00706D2C" w:rsidRPr="00E71A36" w:rsidRDefault="00706D2C" w:rsidP="008027C8">
            <w:pPr>
              <w:spacing w:line="360" w:lineRule="auto"/>
              <w:jc w:val="both"/>
              <w:rPr>
                <w:rFonts w:ascii="Garamond" w:hAnsi="Garamond"/>
              </w:rPr>
            </w:pPr>
            <w:r w:rsidRPr="00E71A36">
              <w:rPr>
                <w:rFonts w:ascii="Garamond" w:hAnsi="Garamond"/>
              </w:rPr>
              <w:t>Residual</w:t>
            </w:r>
          </w:p>
        </w:tc>
        <w:tc>
          <w:tcPr>
            <w:tcW w:w="2386" w:type="dxa"/>
            <w:vAlign w:val="center"/>
            <w:hideMark/>
          </w:tcPr>
          <w:p w14:paraId="6009401D" w14:textId="77777777" w:rsidR="00706D2C" w:rsidRPr="00E71A36" w:rsidRDefault="00706D2C" w:rsidP="008027C8">
            <w:pPr>
              <w:spacing w:line="360" w:lineRule="auto"/>
              <w:jc w:val="both"/>
              <w:rPr>
                <w:rFonts w:ascii="Garamond" w:hAnsi="Garamond"/>
              </w:rPr>
            </w:pPr>
            <w:r w:rsidRPr="00E71A36">
              <w:rPr>
                <w:rFonts w:ascii="Garamond" w:hAnsi="Garamond"/>
              </w:rPr>
              <w:t>54.801</w:t>
            </w:r>
          </w:p>
        </w:tc>
        <w:tc>
          <w:tcPr>
            <w:tcW w:w="0" w:type="auto"/>
            <w:vAlign w:val="center"/>
            <w:hideMark/>
          </w:tcPr>
          <w:p w14:paraId="5DED943E" w14:textId="77777777" w:rsidR="00706D2C" w:rsidRPr="00E71A36" w:rsidRDefault="00706D2C" w:rsidP="008027C8">
            <w:pPr>
              <w:spacing w:line="360" w:lineRule="auto"/>
              <w:jc w:val="both"/>
              <w:rPr>
                <w:rFonts w:ascii="Garamond" w:hAnsi="Garamond"/>
              </w:rPr>
            </w:pPr>
            <w:r w:rsidRPr="00E71A36">
              <w:rPr>
                <w:rFonts w:ascii="Garamond" w:hAnsi="Garamond"/>
              </w:rPr>
              <w:t>366</w:t>
            </w:r>
          </w:p>
        </w:tc>
        <w:tc>
          <w:tcPr>
            <w:tcW w:w="0" w:type="auto"/>
            <w:vAlign w:val="center"/>
            <w:hideMark/>
          </w:tcPr>
          <w:p w14:paraId="7E5CE417" w14:textId="77777777" w:rsidR="00706D2C" w:rsidRPr="00E71A36" w:rsidRDefault="00706D2C" w:rsidP="008027C8">
            <w:pPr>
              <w:spacing w:line="360" w:lineRule="auto"/>
              <w:jc w:val="both"/>
              <w:rPr>
                <w:rFonts w:ascii="Garamond" w:hAnsi="Garamond"/>
              </w:rPr>
            </w:pPr>
            <w:r w:rsidRPr="00E71A36">
              <w:rPr>
                <w:rFonts w:ascii="Garamond" w:hAnsi="Garamond"/>
              </w:rPr>
              <w:t>0.150</w:t>
            </w:r>
          </w:p>
        </w:tc>
        <w:tc>
          <w:tcPr>
            <w:tcW w:w="0" w:type="auto"/>
            <w:vAlign w:val="center"/>
            <w:hideMark/>
          </w:tcPr>
          <w:p w14:paraId="4CA730D4" w14:textId="77777777" w:rsidR="00706D2C" w:rsidRPr="00E71A36" w:rsidRDefault="00706D2C" w:rsidP="008027C8">
            <w:pPr>
              <w:spacing w:line="360" w:lineRule="auto"/>
              <w:jc w:val="both"/>
              <w:rPr>
                <w:rFonts w:ascii="Garamond" w:hAnsi="Garamond"/>
              </w:rPr>
            </w:pPr>
          </w:p>
        </w:tc>
        <w:tc>
          <w:tcPr>
            <w:tcW w:w="0" w:type="auto"/>
            <w:vAlign w:val="center"/>
            <w:hideMark/>
          </w:tcPr>
          <w:p w14:paraId="45091333" w14:textId="77777777" w:rsidR="00706D2C" w:rsidRPr="00E71A36" w:rsidRDefault="00706D2C" w:rsidP="008027C8">
            <w:pPr>
              <w:spacing w:line="360" w:lineRule="auto"/>
              <w:jc w:val="both"/>
              <w:rPr>
                <w:rFonts w:ascii="Garamond" w:hAnsi="Garamond"/>
              </w:rPr>
            </w:pPr>
          </w:p>
        </w:tc>
      </w:tr>
      <w:tr w:rsidR="00706D2C" w:rsidRPr="00E71A36" w14:paraId="3174F46E" w14:textId="77777777" w:rsidTr="00B60735">
        <w:trPr>
          <w:tblCellSpacing w:w="15" w:type="dxa"/>
        </w:trPr>
        <w:tc>
          <w:tcPr>
            <w:tcW w:w="3915" w:type="dxa"/>
            <w:tcBorders>
              <w:top w:val="single" w:sz="4" w:space="0" w:color="auto"/>
              <w:bottom w:val="single" w:sz="4" w:space="0" w:color="auto"/>
            </w:tcBorders>
            <w:vAlign w:val="center"/>
            <w:hideMark/>
          </w:tcPr>
          <w:p w14:paraId="1241E37C" w14:textId="77777777" w:rsidR="00706D2C" w:rsidRPr="00E71A36" w:rsidRDefault="00706D2C" w:rsidP="008027C8">
            <w:pPr>
              <w:spacing w:line="360" w:lineRule="auto"/>
              <w:jc w:val="both"/>
              <w:rPr>
                <w:rFonts w:ascii="Garamond" w:hAnsi="Garamond"/>
              </w:rPr>
            </w:pPr>
            <w:r w:rsidRPr="00E71A36">
              <w:rPr>
                <w:rFonts w:ascii="Garamond" w:hAnsi="Garamond"/>
              </w:rPr>
              <w:t>Total</w:t>
            </w:r>
          </w:p>
        </w:tc>
        <w:tc>
          <w:tcPr>
            <w:tcW w:w="2386" w:type="dxa"/>
            <w:tcBorders>
              <w:top w:val="single" w:sz="4" w:space="0" w:color="auto"/>
              <w:bottom w:val="single" w:sz="4" w:space="0" w:color="auto"/>
            </w:tcBorders>
            <w:vAlign w:val="center"/>
            <w:hideMark/>
          </w:tcPr>
          <w:p w14:paraId="04C0C9A4" w14:textId="77777777" w:rsidR="00706D2C" w:rsidRPr="00E71A36" w:rsidRDefault="00706D2C" w:rsidP="008027C8">
            <w:pPr>
              <w:spacing w:line="360" w:lineRule="auto"/>
              <w:jc w:val="both"/>
              <w:rPr>
                <w:rFonts w:ascii="Garamond" w:hAnsi="Garamond"/>
              </w:rPr>
            </w:pPr>
            <w:r w:rsidRPr="00E71A36">
              <w:rPr>
                <w:rFonts w:ascii="Garamond" w:hAnsi="Garamond"/>
              </w:rPr>
              <w:t>116.024</w:t>
            </w:r>
          </w:p>
        </w:tc>
        <w:tc>
          <w:tcPr>
            <w:tcW w:w="0" w:type="auto"/>
            <w:tcBorders>
              <w:top w:val="single" w:sz="4" w:space="0" w:color="auto"/>
              <w:bottom w:val="single" w:sz="4" w:space="0" w:color="auto"/>
            </w:tcBorders>
            <w:vAlign w:val="center"/>
            <w:hideMark/>
          </w:tcPr>
          <w:p w14:paraId="730457E4" w14:textId="77777777" w:rsidR="00706D2C" w:rsidRPr="00E71A36" w:rsidRDefault="00706D2C" w:rsidP="008027C8">
            <w:pPr>
              <w:spacing w:line="360" w:lineRule="auto"/>
              <w:jc w:val="both"/>
              <w:rPr>
                <w:rFonts w:ascii="Garamond" w:hAnsi="Garamond"/>
              </w:rPr>
            </w:pPr>
            <w:r w:rsidRPr="00E71A36">
              <w:rPr>
                <w:rFonts w:ascii="Garamond" w:hAnsi="Garamond"/>
              </w:rPr>
              <w:t>369</w:t>
            </w:r>
          </w:p>
        </w:tc>
        <w:tc>
          <w:tcPr>
            <w:tcW w:w="0" w:type="auto"/>
            <w:tcBorders>
              <w:top w:val="single" w:sz="4" w:space="0" w:color="auto"/>
              <w:bottom w:val="single" w:sz="4" w:space="0" w:color="auto"/>
            </w:tcBorders>
            <w:vAlign w:val="center"/>
            <w:hideMark/>
          </w:tcPr>
          <w:p w14:paraId="08ACB254" w14:textId="77777777" w:rsidR="00706D2C" w:rsidRPr="00E71A36" w:rsidRDefault="00706D2C" w:rsidP="008027C8">
            <w:pPr>
              <w:spacing w:line="360" w:lineRule="auto"/>
              <w:jc w:val="both"/>
              <w:rPr>
                <w:rFonts w:ascii="Garamond" w:hAnsi="Garamond"/>
              </w:rPr>
            </w:pPr>
          </w:p>
        </w:tc>
        <w:tc>
          <w:tcPr>
            <w:tcW w:w="0" w:type="auto"/>
            <w:tcBorders>
              <w:top w:val="single" w:sz="4" w:space="0" w:color="auto"/>
              <w:bottom w:val="single" w:sz="4" w:space="0" w:color="auto"/>
            </w:tcBorders>
            <w:vAlign w:val="center"/>
            <w:hideMark/>
          </w:tcPr>
          <w:p w14:paraId="6441F497" w14:textId="77777777" w:rsidR="00706D2C" w:rsidRPr="00E71A36" w:rsidRDefault="00706D2C" w:rsidP="008027C8">
            <w:pPr>
              <w:spacing w:line="360" w:lineRule="auto"/>
              <w:jc w:val="both"/>
              <w:rPr>
                <w:rFonts w:ascii="Garamond" w:hAnsi="Garamond"/>
              </w:rPr>
            </w:pPr>
          </w:p>
        </w:tc>
        <w:tc>
          <w:tcPr>
            <w:tcW w:w="0" w:type="auto"/>
            <w:tcBorders>
              <w:top w:val="single" w:sz="4" w:space="0" w:color="auto"/>
              <w:bottom w:val="single" w:sz="4" w:space="0" w:color="auto"/>
            </w:tcBorders>
            <w:vAlign w:val="center"/>
            <w:hideMark/>
          </w:tcPr>
          <w:p w14:paraId="515127E9" w14:textId="77777777" w:rsidR="00706D2C" w:rsidRPr="00E71A36" w:rsidRDefault="00706D2C" w:rsidP="008027C8">
            <w:pPr>
              <w:spacing w:line="360" w:lineRule="auto"/>
              <w:jc w:val="both"/>
              <w:rPr>
                <w:rFonts w:ascii="Garamond" w:hAnsi="Garamond"/>
              </w:rPr>
            </w:pPr>
          </w:p>
        </w:tc>
      </w:tr>
      <w:tr w:rsidR="00706D2C" w:rsidRPr="00E71A36" w14:paraId="791A82DE" w14:textId="77777777" w:rsidTr="00B60735">
        <w:trPr>
          <w:tblCellSpacing w:w="15" w:type="dxa"/>
        </w:trPr>
        <w:tc>
          <w:tcPr>
            <w:tcW w:w="3915" w:type="dxa"/>
            <w:vAlign w:val="center"/>
            <w:hideMark/>
          </w:tcPr>
          <w:p w14:paraId="6ED1F12E" w14:textId="77777777" w:rsidR="00706D2C" w:rsidRPr="00E71A36" w:rsidRDefault="00706D2C" w:rsidP="008027C8">
            <w:pPr>
              <w:spacing w:line="360" w:lineRule="auto"/>
              <w:jc w:val="both"/>
              <w:rPr>
                <w:rFonts w:ascii="Garamond" w:hAnsi="Garamond"/>
              </w:rPr>
            </w:pPr>
            <w:r w:rsidRPr="00E71A36">
              <w:rPr>
                <w:rFonts w:ascii="Garamond" w:hAnsi="Garamond"/>
              </w:rPr>
              <w:t>Dependent Variable: Air Quality</w:t>
            </w:r>
          </w:p>
        </w:tc>
        <w:tc>
          <w:tcPr>
            <w:tcW w:w="2386" w:type="dxa"/>
            <w:vAlign w:val="center"/>
            <w:hideMark/>
          </w:tcPr>
          <w:p w14:paraId="071E6E05" w14:textId="77777777" w:rsidR="00706D2C" w:rsidRPr="00E71A36" w:rsidRDefault="00706D2C" w:rsidP="008027C8">
            <w:pPr>
              <w:spacing w:line="360" w:lineRule="auto"/>
              <w:jc w:val="both"/>
              <w:rPr>
                <w:rFonts w:ascii="Garamond" w:hAnsi="Garamond"/>
              </w:rPr>
            </w:pPr>
          </w:p>
        </w:tc>
        <w:tc>
          <w:tcPr>
            <w:tcW w:w="0" w:type="auto"/>
            <w:vAlign w:val="center"/>
            <w:hideMark/>
          </w:tcPr>
          <w:p w14:paraId="356F767B" w14:textId="77777777" w:rsidR="00706D2C" w:rsidRPr="00E71A36" w:rsidRDefault="00706D2C" w:rsidP="008027C8">
            <w:pPr>
              <w:spacing w:line="360" w:lineRule="auto"/>
              <w:jc w:val="both"/>
              <w:rPr>
                <w:rFonts w:ascii="Garamond" w:hAnsi="Garamond"/>
              </w:rPr>
            </w:pPr>
          </w:p>
        </w:tc>
        <w:tc>
          <w:tcPr>
            <w:tcW w:w="0" w:type="auto"/>
            <w:vAlign w:val="center"/>
            <w:hideMark/>
          </w:tcPr>
          <w:p w14:paraId="10211D29" w14:textId="77777777" w:rsidR="00706D2C" w:rsidRPr="00E71A36" w:rsidRDefault="00706D2C" w:rsidP="008027C8">
            <w:pPr>
              <w:spacing w:line="360" w:lineRule="auto"/>
              <w:jc w:val="both"/>
              <w:rPr>
                <w:rFonts w:ascii="Garamond" w:hAnsi="Garamond"/>
              </w:rPr>
            </w:pPr>
          </w:p>
        </w:tc>
        <w:tc>
          <w:tcPr>
            <w:tcW w:w="0" w:type="auto"/>
            <w:vAlign w:val="center"/>
            <w:hideMark/>
          </w:tcPr>
          <w:p w14:paraId="61686484" w14:textId="77777777" w:rsidR="00706D2C" w:rsidRPr="00E71A36" w:rsidRDefault="00706D2C" w:rsidP="008027C8">
            <w:pPr>
              <w:spacing w:line="360" w:lineRule="auto"/>
              <w:jc w:val="both"/>
              <w:rPr>
                <w:rFonts w:ascii="Garamond" w:hAnsi="Garamond"/>
              </w:rPr>
            </w:pPr>
          </w:p>
        </w:tc>
        <w:tc>
          <w:tcPr>
            <w:tcW w:w="0" w:type="auto"/>
            <w:vAlign w:val="center"/>
            <w:hideMark/>
          </w:tcPr>
          <w:p w14:paraId="7CE505C0" w14:textId="77777777" w:rsidR="00706D2C" w:rsidRPr="00E71A36" w:rsidRDefault="00706D2C" w:rsidP="008027C8">
            <w:pPr>
              <w:spacing w:line="360" w:lineRule="auto"/>
              <w:jc w:val="both"/>
              <w:rPr>
                <w:rFonts w:ascii="Garamond" w:hAnsi="Garamond"/>
              </w:rPr>
            </w:pPr>
          </w:p>
        </w:tc>
      </w:tr>
      <w:tr w:rsidR="00706D2C" w:rsidRPr="00E71A36" w14:paraId="4164373D" w14:textId="77777777" w:rsidTr="00B60735">
        <w:trPr>
          <w:tblCellSpacing w:w="15" w:type="dxa"/>
        </w:trPr>
        <w:tc>
          <w:tcPr>
            <w:tcW w:w="3915" w:type="dxa"/>
            <w:vAlign w:val="center"/>
            <w:hideMark/>
          </w:tcPr>
          <w:p w14:paraId="091B830D" w14:textId="77777777" w:rsidR="00706D2C" w:rsidRPr="00E71A36" w:rsidRDefault="00706D2C" w:rsidP="008027C8">
            <w:pPr>
              <w:spacing w:line="360" w:lineRule="auto"/>
              <w:jc w:val="both"/>
              <w:rPr>
                <w:rFonts w:ascii="Garamond" w:hAnsi="Garamond"/>
              </w:rPr>
            </w:pPr>
            <w:r w:rsidRPr="00E71A36">
              <w:rPr>
                <w:rFonts w:ascii="Garamond" w:hAnsi="Garamond"/>
              </w:rPr>
              <w:t>Predictors: Waste Type, Waste Practice, Accumulation</w:t>
            </w:r>
          </w:p>
        </w:tc>
        <w:tc>
          <w:tcPr>
            <w:tcW w:w="2386" w:type="dxa"/>
            <w:vAlign w:val="center"/>
            <w:hideMark/>
          </w:tcPr>
          <w:p w14:paraId="7F7F3BB2" w14:textId="77777777" w:rsidR="00706D2C" w:rsidRPr="00E71A36" w:rsidRDefault="00706D2C" w:rsidP="008027C8">
            <w:pPr>
              <w:spacing w:line="360" w:lineRule="auto"/>
              <w:jc w:val="both"/>
              <w:rPr>
                <w:rFonts w:ascii="Garamond" w:hAnsi="Garamond"/>
              </w:rPr>
            </w:pPr>
          </w:p>
        </w:tc>
        <w:tc>
          <w:tcPr>
            <w:tcW w:w="0" w:type="auto"/>
            <w:vAlign w:val="center"/>
            <w:hideMark/>
          </w:tcPr>
          <w:p w14:paraId="4F2221C9" w14:textId="77777777" w:rsidR="00706D2C" w:rsidRPr="00E71A36" w:rsidRDefault="00706D2C" w:rsidP="008027C8">
            <w:pPr>
              <w:spacing w:line="360" w:lineRule="auto"/>
              <w:jc w:val="both"/>
              <w:rPr>
                <w:rFonts w:ascii="Garamond" w:hAnsi="Garamond"/>
              </w:rPr>
            </w:pPr>
          </w:p>
        </w:tc>
        <w:tc>
          <w:tcPr>
            <w:tcW w:w="0" w:type="auto"/>
            <w:vAlign w:val="center"/>
            <w:hideMark/>
          </w:tcPr>
          <w:p w14:paraId="6B76FB40" w14:textId="77777777" w:rsidR="00706D2C" w:rsidRPr="00E71A36" w:rsidRDefault="00706D2C" w:rsidP="008027C8">
            <w:pPr>
              <w:spacing w:line="360" w:lineRule="auto"/>
              <w:jc w:val="both"/>
              <w:rPr>
                <w:rFonts w:ascii="Garamond" w:hAnsi="Garamond"/>
              </w:rPr>
            </w:pPr>
          </w:p>
        </w:tc>
        <w:tc>
          <w:tcPr>
            <w:tcW w:w="0" w:type="auto"/>
            <w:vAlign w:val="center"/>
            <w:hideMark/>
          </w:tcPr>
          <w:p w14:paraId="4E91C148" w14:textId="77777777" w:rsidR="00706D2C" w:rsidRPr="00E71A36" w:rsidRDefault="00706D2C" w:rsidP="008027C8">
            <w:pPr>
              <w:spacing w:line="360" w:lineRule="auto"/>
              <w:jc w:val="both"/>
              <w:rPr>
                <w:rFonts w:ascii="Garamond" w:hAnsi="Garamond"/>
              </w:rPr>
            </w:pPr>
          </w:p>
        </w:tc>
        <w:tc>
          <w:tcPr>
            <w:tcW w:w="0" w:type="auto"/>
            <w:vAlign w:val="center"/>
            <w:hideMark/>
          </w:tcPr>
          <w:p w14:paraId="48B0CAE3" w14:textId="77777777" w:rsidR="00706D2C" w:rsidRPr="00E71A36" w:rsidRDefault="00706D2C" w:rsidP="008027C8">
            <w:pPr>
              <w:spacing w:line="360" w:lineRule="auto"/>
              <w:jc w:val="both"/>
              <w:rPr>
                <w:rFonts w:ascii="Garamond" w:hAnsi="Garamond"/>
              </w:rPr>
            </w:pPr>
          </w:p>
        </w:tc>
      </w:tr>
    </w:tbl>
    <w:p w14:paraId="3CA7F1A8" w14:textId="19A1123F" w:rsidR="00706D2C" w:rsidRPr="00E71A36" w:rsidRDefault="00706D2C" w:rsidP="008027C8">
      <w:pPr>
        <w:spacing w:line="360" w:lineRule="auto"/>
        <w:jc w:val="both"/>
        <w:rPr>
          <w:rFonts w:ascii="Garamond" w:hAnsi="Garamond"/>
        </w:rPr>
      </w:pPr>
      <w:r w:rsidRPr="00E71A36">
        <w:rPr>
          <w:rFonts w:ascii="Garamond" w:hAnsi="Garamond"/>
        </w:rPr>
        <w:t xml:space="preserve">The significance value (p = .000) is less than the 0.05 threshold, indicating that the model is statistically significant. Therefore, waste types, practices, and accumulation are significant predictors of air quality in Kibera. According to Research </w:t>
      </w:r>
      <w:r w:rsidR="003A0005" w:rsidRPr="00E71A36">
        <w:rPr>
          <w:rFonts w:ascii="Garamond" w:hAnsi="Garamond"/>
        </w:rPr>
        <w:t>by Bevans, (2023)</w:t>
      </w:r>
      <w:r w:rsidRPr="00E71A36">
        <w:rPr>
          <w:rFonts w:ascii="Garamond" w:hAnsi="Garamond"/>
        </w:rPr>
        <w:t>, a p-value below 0.05 provides sufficient evidence to reject the null hypothesis and confirms that the relationship among variables is unlikely to be due to random variation. Similarly, Hair, Black, Babin, and Anderson (2019) note that significance levels below this threshold reflect acceptable reliability and validity in explaining relationships within environmental and social science research models.</w:t>
      </w:r>
    </w:p>
    <w:p w14:paraId="11EE9359" w14:textId="485962BE" w:rsidR="00706D2C" w:rsidRPr="00E71A36" w:rsidRDefault="00AE5616" w:rsidP="008027C8">
      <w:pPr>
        <w:spacing w:line="360" w:lineRule="auto"/>
        <w:jc w:val="both"/>
        <w:rPr>
          <w:rFonts w:ascii="Garamond" w:hAnsi="Garamond"/>
          <w:b/>
          <w:bCs/>
        </w:rPr>
      </w:pPr>
      <w:bookmarkStart w:id="25" w:name="_Toc211254353"/>
      <w:bookmarkStart w:id="26" w:name="_Toc221485400"/>
      <w:bookmarkStart w:id="27" w:name="_Toc224480373"/>
      <w:r w:rsidRPr="00E71A36">
        <w:rPr>
          <w:rFonts w:ascii="Garamond" w:hAnsi="Garamond"/>
          <w:b/>
          <w:bCs/>
        </w:rPr>
        <w:t>3.8.</w:t>
      </w:r>
      <w:r w:rsidR="00706D2C" w:rsidRPr="00E71A36">
        <w:rPr>
          <w:rFonts w:ascii="Garamond" w:hAnsi="Garamond"/>
          <w:b/>
          <w:bCs/>
        </w:rPr>
        <w:t xml:space="preserve"> Regression Coefficients</w:t>
      </w:r>
      <w:bookmarkEnd w:id="25"/>
      <w:bookmarkEnd w:id="26"/>
      <w:bookmarkEnd w:id="27"/>
    </w:p>
    <w:p w14:paraId="59670ADF" w14:textId="77777777" w:rsidR="008027C8" w:rsidRPr="008027C8" w:rsidRDefault="008027C8" w:rsidP="008027C8">
      <w:pPr>
        <w:spacing w:before="100" w:beforeAutospacing="1" w:after="100" w:afterAutospacing="1" w:line="240" w:lineRule="auto"/>
        <w:jc w:val="both"/>
        <w:rPr>
          <w:rFonts w:ascii="Times New Roman" w:eastAsia="Times New Roman" w:hAnsi="Times New Roman" w:cs="Times New Roman"/>
          <w:kern w:val="0"/>
          <w14:ligatures w14:val="none"/>
        </w:rPr>
      </w:pPr>
      <w:bookmarkStart w:id="28" w:name="_Toc215038977"/>
      <w:bookmarkStart w:id="29" w:name="_Toc221484682"/>
      <w:bookmarkStart w:id="30" w:name="_Toc224480935"/>
      <w:r w:rsidRPr="008027C8">
        <w:rPr>
          <w:rFonts w:ascii="Times New Roman" w:eastAsia="Times New Roman" w:hAnsi="Times New Roman" w:cs="Times New Roman"/>
          <w:kern w:val="0"/>
          <w14:ligatures w14:val="none"/>
        </w:rPr>
        <w:t xml:space="preserve">Regression coefficient analysis was conducted to assess the specific contribution of each independent variable—types and sources of waste, waste management practices, and waste </w:t>
      </w:r>
      <w:r w:rsidRPr="008027C8">
        <w:rPr>
          <w:rFonts w:ascii="Times New Roman" w:eastAsia="Times New Roman" w:hAnsi="Times New Roman" w:cs="Times New Roman"/>
          <w:kern w:val="0"/>
          <w14:ligatures w14:val="none"/>
        </w:rPr>
        <w:lastRenderedPageBreak/>
        <w:t>accumulation—on variations in air quality. This analysis provides insights into both the direction and magnitude of influence of each predictor while controlling for the effects of the others, thereby allowing the identification of the waste-related factors with the greatest impact on air pollution in Kibera. The results of the coefficients analysis are presented in Table 5.</w:t>
      </w:r>
    </w:p>
    <w:p w14:paraId="2CFF4ACE" w14:textId="77777777" w:rsidR="002E5751" w:rsidRPr="00E71A36" w:rsidRDefault="002E5751" w:rsidP="008027C8">
      <w:pPr>
        <w:spacing w:line="360" w:lineRule="auto"/>
        <w:jc w:val="both"/>
        <w:rPr>
          <w:rFonts w:ascii="Garamond" w:hAnsi="Garamond"/>
        </w:rPr>
      </w:pPr>
    </w:p>
    <w:p w14:paraId="37C664BB" w14:textId="6E69AA64" w:rsidR="00706D2C" w:rsidRPr="00E71A36" w:rsidRDefault="00706D2C" w:rsidP="008027C8">
      <w:pPr>
        <w:spacing w:line="360" w:lineRule="auto"/>
        <w:jc w:val="both"/>
        <w:rPr>
          <w:rFonts w:ascii="Garamond" w:hAnsi="Garamond"/>
        </w:rPr>
      </w:pPr>
      <w:r w:rsidRPr="00E71A36">
        <w:rPr>
          <w:rFonts w:ascii="Garamond" w:hAnsi="Garamond"/>
        </w:rPr>
        <w:t xml:space="preserve">Table </w:t>
      </w:r>
      <w:r w:rsidR="00AD68F5" w:rsidRPr="00E71A36">
        <w:rPr>
          <w:rFonts w:ascii="Garamond" w:hAnsi="Garamond"/>
        </w:rPr>
        <w:t>5</w:t>
      </w:r>
      <w:r w:rsidRPr="00E71A36">
        <w:rPr>
          <w:rFonts w:ascii="Garamond" w:hAnsi="Garamond"/>
        </w:rPr>
        <w:t>: Coefficients</w:t>
      </w:r>
      <w:bookmarkEnd w:id="28"/>
      <w:bookmarkEnd w:id="29"/>
      <w:bookmarkEnd w:id="30"/>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82"/>
        <w:gridCol w:w="892"/>
        <w:gridCol w:w="1688"/>
        <w:gridCol w:w="782"/>
        <w:gridCol w:w="892"/>
        <w:gridCol w:w="724"/>
      </w:tblGrid>
      <w:tr w:rsidR="00706D2C" w:rsidRPr="00E71A36" w14:paraId="053E391C" w14:textId="77777777" w:rsidTr="00B60735">
        <w:trPr>
          <w:tblHeader/>
          <w:tblCellSpacing w:w="15" w:type="dxa"/>
        </w:trPr>
        <w:tc>
          <w:tcPr>
            <w:tcW w:w="2317" w:type="pct"/>
            <w:tcBorders>
              <w:top w:val="single" w:sz="4" w:space="0" w:color="auto"/>
              <w:bottom w:val="single" w:sz="4" w:space="0" w:color="auto"/>
            </w:tcBorders>
            <w:vAlign w:val="center"/>
            <w:hideMark/>
          </w:tcPr>
          <w:p w14:paraId="51132589" w14:textId="77777777" w:rsidR="00706D2C" w:rsidRPr="00E71A36" w:rsidRDefault="00706D2C" w:rsidP="008027C8">
            <w:pPr>
              <w:spacing w:line="360" w:lineRule="auto"/>
              <w:jc w:val="both"/>
              <w:rPr>
                <w:rFonts w:ascii="Garamond" w:hAnsi="Garamond"/>
              </w:rPr>
            </w:pPr>
            <w:r w:rsidRPr="00E71A36">
              <w:rPr>
                <w:rFonts w:ascii="Garamond" w:hAnsi="Garamond"/>
              </w:rPr>
              <w:t>Variable</w:t>
            </w:r>
          </w:p>
        </w:tc>
        <w:tc>
          <w:tcPr>
            <w:tcW w:w="460" w:type="pct"/>
            <w:tcBorders>
              <w:top w:val="single" w:sz="4" w:space="0" w:color="auto"/>
              <w:bottom w:val="single" w:sz="4" w:space="0" w:color="auto"/>
            </w:tcBorders>
            <w:vAlign w:val="center"/>
            <w:hideMark/>
          </w:tcPr>
          <w:p w14:paraId="6693DD2C" w14:textId="77777777" w:rsidR="00706D2C" w:rsidRPr="00E71A36" w:rsidRDefault="00706D2C" w:rsidP="008027C8">
            <w:pPr>
              <w:spacing w:line="360" w:lineRule="auto"/>
              <w:jc w:val="both"/>
              <w:rPr>
                <w:rFonts w:ascii="Garamond" w:hAnsi="Garamond"/>
              </w:rPr>
            </w:pPr>
            <w:r w:rsidRPr="00E71A36">
              <w:rPr>
                <w:rFonts w:ascii="Garamond" w:hAnsi="Garamond"/>
              </w:rPr>
              <w:t>B</w:t>
            </w:r>
          </w:p>
        </w:tc>
        <w:tc>
          <w:tcPr>
            <w:tcW w:w="886" w:type="pct"/>
            <w:tcBorders>
              <w:top w:val="single" w:sz="4" w:space="0" w:color="auto"/>
              <w:bottom w:val="single" w:sz="4" w:space="0" w:color="auto"/>
            </w:tcBorders>
            <w:vAlign w:val="center"/>
            <w:hideMark/>
          </w:tcPr>
          <w:p w14:paraId="5198CA1C" w14:textId="77777777" w:rsidR="00706D2C" w:rsidRPr="00E71A36" w:rsidRDefault="00706D2C" w:rsidP="008027C8">
            <w:pPr>
              <w:spacing w:line="360" w:lineRule="auto"/>
              <w:jc w:val="both"/>
              <w:rPr>
                <w:rFonts w:ascii="Garamond" w:hAnsi="Garamond"/>
              </w:rPr>
            </w:pPr>
            <w:r w:rsidRPr="00E71A36">
              <w:rPr>
                <w:rFonts w:ascii="Garamond" w:hAnsi="Garamond"/>
              </w:rPr>
              <w:t>Std. Error</w:t>
            </w:r>
          </w:p>
        </w:tc>
        <w:tc>
          <w:tcPr>
            <w:tcW w:w="402" w:type="pct"/>
            <w:tcBorders>
              <w:top w:val="single" w:sz="4" w:space="0" w:color="auto"/>
              <w:bottom w:val="single" w:sz="4" w:space="0" w:color="auto"/>
            </w:tcBorders>
            <w:vAlign w:val="center"/>
            <w:hideMark/>
          </w:tcPr>
          <w:p w14:paraId="6D8E67F0" w14:textId="77777777" w:rsidR="00706D2C" w:rsidRPr="00E71A36" w:rsidRDefault="00706D2C" w:rsidP="008027C8">
            <w:pPr>
              <w:spacing w:line="360" w:lineRule="auto"/>
              <w:jc w:val="both"/>
              <w:rPr>
                <w:rFonts w:ascii="Garamond" w:hAnsi="Garamond"/>
              </w:rPr>
            </w:pPr>
            <w:r w:rsidRPr="00E71A36">
              <w:rPr>
                <w:rFonts w:ascii="Garamond" w:hAnsi="Garamond"/>
              </w:rPr>
              <w:t>Beta</w:t>
            </w:r>
          </w:p>
        </w:tc>
        <w:tc>
          <w:tcPr>
            <w:tcW w:w="460" w:type="pct"/>
            <w:tcBorders>
              <w:top w:val="single" w:sz="4" w:space="0" w:color="auto"/>
              <w:bottom w:val="single" w:sz="4" w:space="0" w:color="auto"/>
            </w:tcBorders>
            <w:vAlign w:val="center"/>
            <w:hideMark/>
          </w:tcPr>
          <w:p w14:paraId="0B36653E" w14:textId="77777777" w:rsidR="00706D2C" w:rsidRPr="00E71A36" w:rsidRDefault="00706D2C" w:rsidP="008027C8">
            <w:pPr>
              <w:spacing w:line="360" w:lineRule="auto"/>
              <w:jc w:val="both"/>
              <w:rPr>
                <w:rFonts w:ascii="Garamond" w:hAnsi="Garamond"/>
              </w:rPr>
            </w:pPr>
            <w:r w:rsidRPr="00E71A36">
              <w:rPr>
                <w:rFonts w:ascii="Garamond" w:hAnsi="Garamond"/>
              </w:rPr>
              <w:t>t</w:t>
            </w:r>
          </w:p>
        </w:tc>
        <w:tc>
          <w:tcPr>
            <w:tcW w:w="363" w:type="pct"/>
            <w:tcBorders>
              <w:top w:val="single" w:sz="4" w:space="0" w:color="auto"/>
              <w:bottom w:val="single" w:sz="4" w:space="0" w:color="auto"/>
            </w:tcBorders>
            <w:vAlign w:val="center"/>
            <w:hideMark/>
          </w:tcPr>
          <w:p w14:paraId="40D6A329" w14:textId="77777777" w:rsidR="00706D2C" w:rsidRPr="00E71A36" w:rsidRDefault="00706D2C" w:rsidP="008027C8">
            <w:pPr>
              <w:spacing w:line="360" w:lineRule="auto"/>
              <w:jc w:val="both"/>
              <w:rPr>
                <w:rFonts w:ascii="Garamond" w:hAnsi="Garamond"/>
              </w:rPr>
            </w:pPr>
            <w:r w:rsidRPr="00E71A36">
              <w:rPr>
                <w:rFonts w:ascii="Garamond" w:hAnsi="Garamond"/>
              </w:rPr>
              <w:t>Sig.</w:t>
            </w:r>
          </w:p>
        </w:tc>
      </w:tr>
      <w:tr w:rsidR="00706D2C" w:rsidRPr="00E71A36" w14:paraId="2660FF5F" w14:textId="77777777" w:rsidTr="00B60735">
        <w:trPr>
          <w:tblCellSpacing w:w="15" w:type="dxa"/>
        </w:trPr>
        <w:tc>
          <w:tcPr>
            <w:tcW w:w="2317" w:type="pct"/>
            <w:vAlign w:val="center"/>
            <w:hideMark/>
          </w:tcPr>
          <w:p w14:paraId="3F219926" w14:textId="77777777" w:rsidR="00706D2C" w:rsidRPr="00E71A36" w:rsidRDefault="00706D2C" w:rsidP="008027C8">
            <w:pPr>
              <w:spacing w:line="360" w:lineRule="auto"/>
              <w:jc w:val="both"/>
              <w:rPr>
                <w:rFonts w:ascii="Garamond" w:hAnsi="Garamond"/>
              </w:rPr>
            </w:pPr>
            <w:r w:rsidRPr="00E71A36">
              <w:rPr>
                <w:rFonts w:ascii="Garamond" w:hAnsi="Garamond"/>
              </w:rPr>
              <w:t>Constant</w:t>
            </w:r>
          </w:p>
        </w:tc>
        <w:tc>
          <w:tcPr>
            <w:tcW w:w="460" w:type="pct"/>
            <w:vAlign w:val="center"/>
            <w:hideMark/>
          </w:tcPr>
          <w:p w14:paraId="06FD2691" w14:textId="77777777" w:rsidR="00706D2C" w:rsidRPr="00E71A36" w:rsidRDefault="00706D2C" w:rsidP="008027C8">
            <w:pPr>
              <w:spacing w:line="360" w:lineRule="auto"/>
              <w:jc w:val="both"/>
              <w:rPr>
                <w:rFonts w:ascii="Garamond" w:hAnsi="Garamond"/>
              </w:rPr>
            </w:pPr>
            <w:r w:rsidRPr="00E71A36">
              <w:rPr>
                <w:rFonts w:ascii="Garamond" w:hAnsi="Garamond"/>
              </w:rPr>
              <w:t>0.317</w:t>
            </w:r>
          </w:p>
        </w:tc>
        <w:tc>
          <w:tcPr>
            <w:tcW w:w="886" w:type="pct"/>
            <w:vAlign w:val="center"/>
            <w:hideMark/>
          </w:tcPr>
          <w:p w14:paraId="38BD4166" w14:textId="77777777" w:rsidR="00706D2C" w:rsidRPr="00E71A36" w:rsidRDefault="00706D2C" w:rsidP="008027C8">
            <w:pPr>
              <w:spacing w:line="360" w:lineRule="auto"/>
              <w:jc w:val="both"/>
              <w:rPr>
                <w:rFonts w:ascii="Garamond" w:hAnsi="Garamond"/>
              </w:rPr>
            </w:pPr>
            <w:r w:rsidRPr="00E71A36">
              <w:rPr>
                <w:rFonts w:ascii="Garamond" w:hAnsi="Garamond"/>
              </w:rPr>
              <w:t>0.095</w:t>
            </w:r>
          </w:p>
        </w:tc>
        <w:tc>
          <w:tcPr>
            <w:tcW w:w="402" w:type="pct"/>
            <w:vAlign w:val="center"/>
            <w:hideMark/>
          </w:tcPr>
          <w:p w14:paraId="4F82ACC9" w14:textId="77777777" w:rsidR="00706D2C" w:rsidRPr="00E71A36" w:rsidRDefault="00706D2C" w:rsidP="008027C8">
            <w:pPr>
              <w:spacing w:line="360" w:lineRule="auto"/>
              <w:jc w:val="both"/>
              <w:rPr>
                <w:rFonts w:ascii="Garamond" w:hAnsi="Garamond"/>
              </w:rPr>
            </w:pPr>
          </w:p>
        </w:tc>
        <w:tc>
          <w:tcPr>
            <w:tcW w:w="460" w:type="pct"/>
            <w:vAlign w:val="center"/>
            <w:hideMark/>
          </w:tcPr>
          <w:p w14:paraId="632B86D7" w14:textId="77777777" w:rsidR="00706D2C" w:rsidRPr="00E71A36" w:rsidRDefault="00706D2C" w:rsidP="008027C8">
            <w:pPr>
              <w:spacing w:line="360" w:lineRule="auto"/>
              <w:jc w:val="both"/>
              <w:rPr>
                <w:rFonts w:ascii="Garamond" w:hAnsi="Garamond"/>
              </w:rPr>
            </w:pPr>
            <w:r w:rsidRPr="00E71A36">
              <w:rPr>
                <w:rFonts w:ascii="Garamond" w:hAnsi="Garamond"/>
              </w:rPr>
              <w:t>3.337</w:t>
            </w:r>
          </w:p>
        </w:tc>
        <w:tc>
          <w:tcPr>
            <w:tcW w:w="363" w:type="pct"/>
            <w:vAlign w:val="center"/>
            <w:hideMark/>
          </w:tcPr>
          <w:p w14:paraId="17E0CE8F" w14:textId="77777777" w:rsidR="00706D2C" w:rsidRPr="00E71A36" w:rsidRDefault="00706D2C" w:rsidP="008027C8">
            <w:pPr>
              <w:spacing w:line="360" w:lineRule="auto"/>
              <w:jc w:val="both"/>
              <w:rPr>
                <w:rFonts w:ascii="Garamond" w:hAnsi="Garamond"/>
              </w:rPr>
            </w:pPr>
            <w:r w:rsidRPr="00E71A36">
              <w:rPr>
                <w:rFonts w:ascii="Garamond" w:hAnsi="Garamond"/>
              </w:rPr>
              <w:t>.001</w:t>
            </w:r>
          </w:p>
        </w:tc>
      </w:tr>
      <w:tr w:rsidR="00706D2C" w:rsidRPr="00E71A36" w14:paraId="3629DDC5" w14:textId="77777777" w:rsidTr="00B60735">
        <w:trPr>
          <w:tblCellSpacing w:w="15" w:type="dxa"/>
        </w:trPr>
        <w:tc>
          <w:tcPr>
            <w:tcW w:w="2317" w:type="pct"/>
            <w:vAlign w:val="center"/>
            <w:hideMark/>
          </w:tcPr>
          <w:p w14:paraId="7231948F" w14:textId="77777777" w:rsidR="00706D2C" w:rsidRPr="00E71A36" w:rsidRDefault="00706D2C" w:rsidP="008027C8">
            <w:pPr>
              <w:spacing w:line="360" w:lineRule="auto"/>
              <w:jc w:val="both"/>
              <w:rPr>
                <w:rFonts w:ascii="Garamond" w:hAnsi="Garamond"/>
              </w:rPr>
            </w:pPr>
            <w:r w:rsidRPr="00E71A36">
              <w:rPr>
                <w:rFonts w:ascii="Garamond" w:hAnsi="Garamond"/>
              </w:rPr>
              <w:t>Types and Sources of Waste</w:t>
            </w:r>
          </w:p>
        </w:tc>
        <w:tc>
          <w:tcPr>
            <w:tcW w:w="460" w:type="pct"/>
            <w:vAlign w:val="center"/>
            <w:hideMark/>
          </w:tcPr>
          <w:p w14:paraId="731D22DD" w14:textId="77777777" w:rsidR="00706D2C" w:rsidRPr="00E71A36" w:rsidRDefault="00706D2C" w:rsidP="008027C8">
            <w:pPr>
              <w:spacing w:line="360" w:lineRule="auto"/>
              <w:jc w:val="both"/>
              <w:rPr>
                <w:rFonts w:ascii="Garamond" w:hAnsi="Garamond"/>
              </w:rPr>
            </w:pPr>
            <w:r w:rsidRPr="00E71A36">
              <w:rPr>
                <w:rFonts w:ascii="Garamond" w:hAnsi="Garamond"/>
              </w:rPr>
              <w:t>0.238</w:t>
            </w:r>
          </w:p>
        </w:tc>
        <w:tc>
          <w:tcPr>
            <w:tcW w:w="886" w:type="pct"/>
            <w:vAlign w:val="center"/>
            <w:hideMark/>
          </w:tcPr>
          <w:p w14:paraId="3FCF6E4C" w14:textId="77777777" w:rsidR="00706D2C" w:rsidRPr="00E71A36" w:rsidRDefault="00706D2C" w:rsidP="008027C8">
            <w:pPr>
              <w:spacing w:line="360" w:lineRule="auto"/>
              <w:jc w:val="both"/>
              <w:rPr>
                <w:rFonts w:ascii="Garamond" w:hAnsi="Garamond"/>
              </w:rPr>
            </w:pPr>
            <w:r w:rsidRPr="00E71A36">
              <w:rPr>
                <w:rFonts w:ascii="Garamond" w:hAnsi="Garamond"/>
              </w:rPr>
              <w:t>0.052</w:t>
            </w:r>
          </w:p>
        </w:tc>
        <w:tc>
          <w:tcPr>
            <w:tcW w:w="402" w:type="pct"/>
            <w:vAlign w:val="center"/>
            <w:hideMark/>
          </w:tcPr>
          <w:p w14:paraId="13C736C0" w14:textId="77777777" w:rsidR="00706D2C" w:rsidRPr="00E71A36" w:rsidRDefault="00706D2C" w:rsidP="008027C8">
            <w:pPr>
              <w:spacing w:line="360" w:lineRule="auto"/>
              <w:jc w:val="both"/>
              <w:rPr>
                <w:rFonts w:ascii="Garamond" w:hAnsi="Garamond"/>
              </w:rPr>
            </w:pPr>
            <w:r w:rsidRPr="00E71A36">
              <w:rPr>
                <w:rFonts w:ascii="Garamond" w:hAnsi="Garamond"/>
              </w:rPr>
              <w:t>.284</w:t>
            </w:r>
          </w:p>
        </w:tc>
        <w:tc>
          <w:tcPr>
            <w:tcW w:w="460" w:type="pct"/>
            <w:vAlign w:val="center"/>
            <w:hideMark/>
          </w:tcPr>
          <w:p w14:paraId="5C8C0EC2" w14:textId="77777777" w:rsidR="00706D2C" w:rsidRPr="00E71A36" w:rsidRDefault="00706D2C" w:rsidP="008027C8">
            <w:pPr>
              <w:spacing w:line="360" w:lineRule="auto"/>
              <w:jc w:val="both"/>
              <w:rPr>
                <w:rFonts w:ascii="Garamond" w:hAnsi="Garamond"/>
              </w:rPr>
            </w:pPr>
            <w:r w:rsidRPr="00E71A36">
              <w:rPr>
                <w:rFonts w:ascii="Garamond" w:hAnsi="Garamond"/>
              </w:rPr>
              <w:t>4.577</w:t>
            </w:r>
          </w:p>
        </w:tc>
        <w:tc>
          <w:tcPr>
            <w:tcW w:w="363" w:type="pct"/>
            <w:vAlign w:val="center"/>
            <w:hideMark/>
          </w:tcPr>
          <w:p w14:paraId="041F0C5C" w14:textId="77777777" w:rsidR="00706D2C" w:rsidRPr="00E71A36" w:rsidRDefault="00706D2C" w:rsidP="008027C8">
            <w:pPr>
              <w:spacing w:line="360" w:lineRule="auto"/>
              <w:jc w:val="both"/>
              <w:rPr>
                <w:rFonts w:ascii="Garamond" w:hAnsi="Garamond"/>
              </w:rPr>
            </w:pPr>
            <w:r w:rsidRPr="00E71A36">
              <w:rPr>
                <w:rFonts w:ascii="Garamond" w:hAnsi="Garamond"/>
              </w:rPr>
              <w:t>.000</w:t>
            </w:r>
          </w:p>
        </w:tc>
      </w:tr>
      <w:tr w:rsidR="00706D2C" w:rsidRPr="00E71A36" w14:paraId="771A3CA9" w14:textId="77777777" w:rsidTr="00B60735">
        <w:trPr>
          <w:tblCellSpacing w:w="15" w:type="dxa"/>
        </w:trPr>
        <w:tc>
          <w:tcPr>
            <w:tcW w:w="2317" w:type="pct"/>
            <w:vAlign w:val="center"/>
            <w:hideMark/>
          </w:tcPr>
          <w:p w14:paraId="7F2D98D1" w14:textId="77777777" w:rsidR="00706D2C" w:rsidRPr="00E71A36" w:rsidRDefault="00706D2C" w:rsidP="008027C8">
            <w:pPr>
              <w:spacing w:line="360" w:lineRule="auto"/>
              <w:jc w:val="both"/>
              <w:rPr>
                <w:rFonts w:ascii="Garamond" w:hAnsi="Garamond"/>
              </w:rPr>
            </w:pPr>
            <w:r w:rsidRPr="00E71A36">
              <w:rPr>
                <w:rFonts w:ascii="Garamond" w:hAnsi="Garamond"/>
              </w:rPr>
              <w:t>Waste Management Practices</w:t>
            </w:r>
          </w:p>
        </w:tc>
        <w:tc>
          <w:tcPr>
            <w:tcW w:w="460" w:type="pct"/>
            <w:vAlign w:val="center"/>
            <w:hideMark/>
          </w:tcPr>
          <w:p w14:paraId="134C8A5B" w14:textId="77777777" w:rsidR="00706D2C" w:rsidRPr="00E71A36" w:rsidRDefault="00706D2C" w:rsidP="008027C8">
            <w:pPr>
              <w:spacing w:line="360" w:lineRule="auto"/>
              <w:jc w:val="both"/>
              <w:rPr>
                <w:rFonts w:ascii="Garamond" w:hAnsi="Garamond"/>
              </w:rPr>
            </w:pPr>
            <w:r w:rsidRPr="00E71A36">
              <w:rPr>
                <w:rFonts w:ascii="Garamond" w:hAnsi="Garamond"/>
              </w:rPr>
              <w:t>0.407</w:t>
            </w:r>
          </w:p>
        </w:tc>
        <w:tc>
          <w:tcPr>
            <w:tcW w:w="886" w:type="pct"/>
            <w:vAlign w:val="center"/>
            <w:hideMark/>
          </w:tcPr>
          <w:p w14:paraId="7A64856B" w14:textId="77777777" w:rsidR="00706D2C" w:rsidRPr="00E71A36" w:rsidRDefault="00706D2C" w:rsidP="008027C8">
            <w:pPr>
              <w:spacing w:line="360" w:lineRule="auto"/>
              <w:jc w:val="both"/>
              <w:rPr>
                <w:rFonts w:ascii="Garamond" w:hAnsi="Garamond"/>
              </w:rPr>
            </w:pPr>
            <w:r w:rsidRPr="00E71A36">
              <w:rPr>
                <w:rFonts w:ascii="Garamond" w:hAnsi="Garamond"/>
              </w:rPr>
              <w:t>0.063</w:t>
            </w:r>
          </w:p>
        </w:tc>
        <w:tc>
          <w:tcPr>
            <w:tcW w:w="402" w:type="pct"/>
            <w:vAlign w:val="center"/>
            <w:hideMark/>
          </w:tcPr>
          <w:p w14:paraId="7D5F5B32" w14:textId="77777777" w:rsidR="00706D2C" w:rsidRPr="00E71A36" w:rsidRDefault="00706D2C" w:rsidP="008027C8">
            <w:pPr>
              <w:spacing w:line="360" w:lineRule="auto"/>
              <w:jc w:val="both"/>
              <w:rPr>
                <w:rFonts w:ascii="Garamond" w:hAnsi="Garamond"/>
              </w:rPr>
            </w:pPr>
            <w:r w:rsidRPr="00E71A36">
              <w:rPr>
                <w:rFonts w:ascii="Garamond" w:hAnsi="Garamond"/>
              </w:rPr>
              <w:t>.418</w:t>
            </w:r>
          </w:p>
        </w:tc>
        <w:tc>
          <w:tcPr>
            <w:tcW w:w="460" w:type="pct"/>
            <w:vAlign w:val="center"/>
            <w:hideMark/>
          </w:tcPr>
          <w:p w14:paraId="4E3A7AC9" w14:textId="77777777" w:rsidR="00706D2C" w:rsidRPr="00E71A36" w:rsidRDefault="00706D2C" w:rsidP="008027C8">
            <w:pPr>
              <w:spacing w:line="360" w:lineRule="auto"/>
              <w:jc w:val="both"/>
              <w:rPr>
                <w:rFonts w:ascii="Garamond" w:hAnsi="Garamond"/>
              </w:rPr>
            </w:pPr>
            <w:r w:rsidRPr="00E71A36">
              <w:rPr>
                <w:rFonts w:ascii="Garamond" w:hAnsi="Garamond"/>
              </w:rPr>
              <w:t>6.460</w:t>
            </w:r>
          </w:p>
        </w:tc>
        <w:tc>
          <w:tcPr>
            <w:tcW w:w="363" w:type="pct"/>
            <w:vAlign w:val="center"/>
            <w:hideMark/>
          </w:tcPr>
          <w:p w14:paraId="348540F8" w14:textId="77777777" w:rsidR="00706D2C" w:rsidRPr="00E71A36" w:rsidRDefault="00706D2C" w:rsidP="008027C8">
            <w:pPr>
              <w:spacing w:line="360" w:lineRule="auto"/>
              <w:jc w:val="both"/>
              <w:rPr>
                <w:rFonts w:ascii="Garamond" w:hAnsi="Garamond"/>
              </w:rPr>
            </w:pPr>
            <w:r w:rsidRPr="00E71A36">
              <w:rPr>
                <w:rFonts w:ascii="Garamond" w:hAnsi="Garamond"/>
              </w:rPr>
              <w:t>.000</w:t>
            </w:r>
          </w:p>
        </w:tc>
      </w:tr>
      <w:tr w:rsidR="00706D2C" w:rsidRPr="00E71A36" w14:paraId="50043E60" w14:textId="77777777" w:rsidTr="00B60735">
        <w:trPr>
          <w:tblCellSpacing w:w="15" w:type="dxa"/>
        </w:trPr>
        <w:tc>
          <w:tcPr>
            <w:tcW w:w="2317" w:type="pct"/>
            <w:tcBorders>
              <w:bottom w:val="single" w:sz="4" w:space="0" w:color="auto"/>
            </w:tcBorders>
            <w:vAlign w:val="center"/>
            <w:hideMark/>
          </w:tcPr>
          <w:p w14:paraId="4496260A" w14:textId="77777777" w:rsidR="00706D2C" w:rsidRPr="00E71A36" w:rsidRDefault="00706D2C" w:rsidP="008027C8">
            <w:pPr>
              <w:spacing w:line="360" w:lineRule="auto"/>
              <w:jc w:val="both"/>
              <w:rPr>
                <w:rFonts w:ascii="Garamond" w:hAnsi="Garamond"/>
              </w:rPr>
            </w:pPr>
            <w:r w:rsidRPr="00E71A36">
              <w:rPr>
                <w:rFonts w:ascii="Garamond" w:hAnsi="Garamond"/>
              </w:rPr>
              <w:t>Waste Accumulation</w:t>
            </w:r>
          </w:p>
        </w:tc>
        <w:tc>
          <w:tcPr>
            <w:tcW w:w="460" w:type="pct"/>
            <w:tcBorders>
              <w:bottom w:val="single" w:sz="4" w:space="0" w:color="auto"/>
            </w:tcBorders>
            <w:vAlign w:val="center"/>
            <w:hideMark/>
          </w:tcPr>
          <w:p w14:paraId="4F3E3735" w14:textId="77777777" w:rsidR="00706D2C" w:rsidRPr="00E71A36" w:rsidRDefault="00706D2C" w:rsidP="008027C8">
            <w:pPr>
              <w:spacing w:line="360" w:lineRule="auto"/>
              <w:jc w:val="both"/>
              <w:rPr>
                <w:rFonts w:ascii="Garamond" w:hAnsi="Garamond"/>
              </w:rPr>
            </w:pPr>
            <w:r w:rsidRPr="00E71A36">
              <w:rPr>
                <w:rFonts w:ascii="Garamond" w:hAnsi="Garamond"/>
              </w:rPr>
              <w:t>0.321</w:t>
            </w:r>
          </w:p>
        </w:tc>
        <w:tc>
          <w:tcPr>
            <w:tcW w:w="886" w:type="pct"/>
            <w:tcBorders>
              <w:bottom w:val="single" w:sz="4" w:space="0" w:color="auto"/>
            </w:tcBorders>
            <w:vAlign w:val="center"/>
            <w:hideMark/>
          </w:tcPr>
          <w:p w14:paraId="20D8C379" w14:textId="77777777" w:rsidR="00706D2C" w:rsidRPr="00E71A36" w:rsidRDefault="00706D2C" w:rsidP="008027C8">
            <w:pPr>
              <w:spacing w:line="360" w:lineRule="auto"/>
              <w:jc w:val="both"/>
              <w:rPr>
                <w:rFonts w:ascii="Garamond" w:hAnsi="Garamond"/>
              </w:rPr>
            </w:pPr>
            <w:r w:rsidRPr="00E71A36">
              <w:rPr>
                <w:rFonts w:ascii="Garamond" w:hAnsi="Garamond"/>
              </w:rPr>
              <w:t>0.058</w:t>
            </w:r>
          </w:p>
        </w:tc>
        <w:tc>
          <w:tcPr>
            <w:tcW w:w="402" w:type="pct"/>
            <w:tcBorders>
              <w:bottom w:val="single" w:sz="4" w:space="0" w:color="auto"/>
            </w:tcBorders>
            <w:vAlign w:val="center"/>
            <w:hideMark/>
          </w:tcPr>
          <w:p w14:paraId="36CFBCEB" w14:textId="77777777" w:rsidR="00706D2C" w:rsidRPr="00E71A36" w:rsidRDefault="00706D2C" w:rsidP="008027C8">
            <w:pPr>
              <w:spacing w:line="360" w:lineRule="auto"/>
              <w:jc w:val="both"/>
              <w:rPr>
                <w:rFonts w:ascii="Garamond" w:hAnsi="Garamond"/>
              </w:rPr>
            </w:pPr>
            <w:r w:rsidRPr="00E71A36">
              <w:rPr>
                <w:rFonts w:ascii="Garamond" w:hAnsi="Garamond"/>
              </w:rPr>
              <w:t>.347</w:t>
            </w:r>
          </w:p>
        </w:tc>
        <w:tc>
          <w:tcPr>
            <w:tcW w:w="460" w:type="pct"/>
            <w:tcBorders>
              <w:bottom w:val="single" w:sz="4" w:space="0" w:color="auto"/>
            </w:tcBorders>
            <w:vAlign w:val="center"/>
            <w:hideMark/>
          </w:tcPr>
          <w:p w14:paraId="5A8F538B" w14:textId="77777777" w:rsidR="00706D2C" w:rsidRPr="00E71A36" w:rsidRDefault="00706D2C" w:rsidP="008027C8">
            <w:pPr>
              <w:spacing w:line="360" w:lineRule="auto"/>
              <w:jc w:val="both"/>
              <w:rPr>
                <w:rFonts w:ascii="Garamond" w:hAnsi="Garamond"/>
              </w:rPr>
            </w:pPr>
            <w:r w:rsidRPr="00E71A36">
              <w:rPr>
                <w:rFonts w:ascii="Garamond" w:hAnsi="Garamond"/>
              </w:rPr>
              <w:t>5.536</w:t>
            </w:r>
          </w:p>
        </w:tc>
        <w:tc>
          <w:tcPr>
            <w:tcW w:w="363" w:type="pct"/>
            <w:tcBorders>
              <w:bottom w:val="single" w:sz="4" w:space="0" w:color="auto"/>
            </w:tcBorders>
            <w:vAlign w:val="center"/>
            <w:hideMark/>
          </w:tcPr>
          <w:p w14:paraId="4784E2F9" w14:textId="77777777" w:rsidR="00706D2C" w:rsidRPr="00E71A36" w:rsidRDefault="00706D2C" w:rsidP="008027C8">
            <w:pPr>
              <w:spacing w:line="360" w:lineRule="auto"/>
              <w:jc w:val="both"/>
              <w:rPr>
                <w:rFonts w:ascii="Garamond" w:hAnsi="Garamond"/>
              </w:rPr>
            </w:pPr>
            <w:r w:rsidRPr="00E71A36">
              <w:rPr>
                <w:rFonts w:ascii="Garamond" w:hAnsi="Garamond"/>
              </w:rPr>
              <w:t>.000</w:t>
            </w:r>
          </w:p>
        </w:tc>
      </w:tr>
    </w:tbl>
    <w:p w14:paraId="4FBDB449" w14:textId="77777777" w:rsidR="008027C8" w:rsidRPr="008027C8" w:rsidRDefault="008027C8" w:rsidP="008027C8">
      <w:pPr>
        <w:spacing w:before="100" w:beforeAutospacing="1" w:after="100" w:afterAutospacing="1" w:line="240" w:lineRule="auto"/>
        <w:jc w:val="both"/>
        <w:rPr>
          <w:rFonts w:ascii="Times New Roman" w:eastAsia="Times New Roman" w:hAnsi="Times New Roman" w:cs="Times New Roman"/>
          <w:kern w:val="0"/>
          <w14:ligatures w14:val="none"/>
        </w:rPr>
      </w:pPr>
      <w:bookmarkStart w:id="31" w:name="_Toc224480936"/>
      <w:r w:rsidRPr="008027C8">
        <w:rPr>
          <w:rFonts w:ascii="Times New Roman" w:eastAsia="Times New Roman" w:hAnsi="Times New Roman" w:cs="Times New Roman"/>
          <w:kern w:val="0"/>
          <w14:ligatures w14:val="none"/>
        </w:rPr>
        <w:t>The statistical analysis presented in Table 5 indicates that all the independent variables examined—poor waste management practices, waste accumulation, and the type or source of waste—have a statistically significant impact on air quality deterioration within informal settlements. This demonstrates that each factor contributes measurably and substantially to elevated pollution levels. These findings align with Njeru and Mwangi (2021), who reported that inefficiencies in waste handling and accumulation significantly reduce air quality in Nairobi’s informal settlements, creating a persistent cycle of pollution through open burning and unregulated disposal.</w:t>
      </w:r>
    </w:p>
    <w:p w14:paraId="3BBA3E2C" w14:textId="77777777" w:rsidR="008027C8" w:rsidRPr="008027C8" w:rsidRDefault="008027C8" w:rsidP="008027C8">
      <w:pPr>
        <w:spacing w:before="100" w:beforeAutospacing="1" w:after="100" w:afterAutospacing="1" w:line="240" w:lineRule="auto"/>
        <w:jc w:val="both"/>
        <w:rPr>
          <w:rFonts w:ascii="Times New Roman" w:eastAsia="Times New Roman" w:hAnsi="Times New Roman" w:cs="Times New Roman"/>
          <w:kern w:val="0"/>
          <w14:ligatures w14:val="none"/>
        </w:rPr>
      </w:pPr>
      <w:r w:rsidRPr="008027C8">
        <w:rPr>
          <w:rFonts w:ascii="Times New Roman" w:eastAsia="Times New Roman" w:hAnsi="Times New Roman" w:cs="Times New Roman"/>
          <w:kern w:val="0"/>
          <w14:ligatures w14:val="none"/>
        </w:rPr>
        <w:t xml:space="preserve">The analysis shows that a unit increase in poor waste management practices corresponds to a 0.407-unit decline in air quality, reflecting an increase in pollution levels. This strong relationship highlights that inadequate handling, collection, and disposal of waste—such as open burning, lack of segregation, and delayed collection—substantially degrade air quality by releasing particulate matter, carbon monoxide, and other toxic gases. This observation is consistent with </w:t>
      </w:r>
      <w:proofErr w:type="spellStart"/>
      <w:r w:rsidRPr="008027C8">
        <w:rPr>
          <w:rFonts w:ascii="Times New Roman" w:eastAsia="Times New Roman" w:hAnsi="Times New Roman" w:cs="Times New Roman"/>
          <w:kern w:val="0"/>
          <w14:ligatures w14:val="none"/>
        </w:rPr>
        <w:t>Nagpure</w:t>
      </w:r>
      <w:proofErr w:type="spellEnd"/>
      <w:r w:rsidRPr="008027C8">
        <w:rPr>
          <w:rFonts w:ascii="Times New Roman" w:eastAsia="Times New Roman" w:hAnsi="Times New Roman" w:cs="Times New Roman"/>
          <w:kern w:val="0"/>
          <w14:ligatures w14:val="none"/>
        </w:rPr>
        <w:t xml:space="preserve"> et al. (2015), who identified irregular waste collection and open burning as major contributors to elevated particulate and gaseous pollutants in low-income urban areas.</w:t>
      </w:r>
    </w:p>
    <w:p w14:paraId="72EFECCE" w14:textId="77777777" w:rsidR="008027C8" w:rsidRPr="008027C8" w:rsidRDefault="008027C8" w:rsidP="008027C8">
      <w:pPr>
        <w:spacing w:before="100" w:beforeAutospacing="1" w:after="100" w:afterAutospacing="1" w:line="240" w:lineRule="auto"/>
        <w:jc w:val="both"/>
        <w:rPr>
          <w:rFonts w:ascii="Times New Roman" w:eastAsia="Times New Roman" w:hAnsi="Times New Roman" w:cs="Times New Roman"/>
          <w:kern w:val="0"/>
          <w14:ligatures w14:val="none"/>
        </w:rPr>
      </w:pPr>
      <w:r w:rsidRPr="008027C8">
        <w:rPr>
          <w:rFonts w:ascii="Times New Roman" w:eastAsia="Times New Roman" w:hAnsi="Times New Roman" w:cs="Times New Roman"/>
          <w:kern w:val="0"/>
          <w14:ligatures w14:val="none"/>
        </w:rPr>
        <w:t xml:space="preserve">Waste accumulation was also found to be a significant contributor, with each unit increase in uncollected or unprocessed waste associated with a 0.321-unit decline in air quality. Accumulated waste acts as a source of microbial activity and fermentation, producing foul gases such as methane and hydrogen sulfide. Moreover, it often encourages informal incineration to reduce waste volume, further exacerbating air pollution. </w:t>
      </w:r>
      <w:proofErr w:type="spellStart"/>
      <w:r w:rsidRPr="008027C8">
        <w:rPr>
          <w:rFonts w:ascii="Times New Roman" w:eastAsia="Times New Roman" w:hAnsi="Times New Roman" w:cs="Times New Roman"/>
          <w:kern w:val="0"/>
          <w14:ligatures w14:val="none"/>
        </w:rPr>
        <w:t>Vilcins</w:t>
      </w:r>
      <w:proofErr w:type="spellEnd"/>
      <w:r w:rsidRPr="008027C8">
        <w:rPr>
          <w:rFonts w:ascii="Times New Roman" w:eastAsia="Times New Roman" w:hAnsi="Times New Roman" w:cs="Times New Roman"/>
          <w:kern w:val="0"/>
          <w14:ligatures w14:val="none"/>
        </w:rPr>
        <w:t xml:space="preserve"> et al. (2024) similarly noted that waste buildup in informal settlements increases emissions of fine particulate matter and methane, reinforcing the link between unprocessed waste and poor air quality.</w:t>
      </w:r>
    </w:p>
    <w:p w14:paraId="795C9E55" w14:textId="77777777" w:rsidR="008027C8" w:rsidRPr="008027C8" w:rsidRDefault="008027C8" w:rsidP="008027C8">
      <w:pPr>
        <w:spacing w:before="100" w:beforeAutospacing="1" w:after="100" w:afterAutospacing="1" w:line="240" w:lineRule="auto"/>
        <w:jc w:val="both"/>
        <w:rPr>
          <w:rFonts w:ascii="Times New Roman" w:eastAsia="Times New Roman" w:hAnsi="Times New Roman" w:cs="Times New Roman"/>
          <w:kern w:val="0"/>
          <w14:ligatures w14:val="none"/>
        </w:rPr>
      </w:pPr>
      <w:r w:rsidRPr="008027C8">
        <w:rPr>
          <w:rFonts w:ascii="Times New Roman" w:eastAsia="Times New Roman" w:hAnsi="Times New Roman" w:cs="Times New Roman"/>
          <w:kern w:val="0"/>
          <w14:ligatures w14:val="none"/>
        </w:rPr>
        <w:lastRenderedPageBreak/>
        <w:t xml:space="preserve">The type and source of waste contributed an additional 0.238 units to air quality deterioration. This finding indicates that hazardous waste streams—including industrial, medical, or electronic waste—release more toxic emissions than general household waste when improperly disposed of. For example, burning plastics emits dioxins and furans, while decomposing organic matter releases ammonia and volatile organic compounds (VOCs). </w:t>
      </w:r>
      <w:proofErr w:type="spellStart"/>
      <w:r w:rsidRPr="008027C8">
        <w:rPr>
          <w:rFonts w:ascii="Times New Roman" w:eastAsia="Times New Roman" w:hAnsi="Times New Roman" w:cs="Times New Roman"/>
          <w:kern w:val="0"/>
          <w14:ligatures w14:val="none"/>
        </w:rPr>
        <w:t>Wiedinmyer</w:t>
      </w:r>
      <w:proofErr w:type="spellEnd"/>
      <w:r w:rsidRPr="008027C8">
        <w:rPr>
          <w:rFonts w:ascii="Times New Roman" w:eastAsia="Times New Roman" w:hAnsi="Times New Roman" w:cs="Times New Roman"/>
          <w:kern w:val="0"/>
          <w14:ligatures w14:val="none"/>
        </w:rPr>
        <w:t xml:space="preserve"> et al. (2014) reported similar trends, showing that industrial and mixed waste streams emit a broader range of pollutants, aggravating urban air contamination.</w:t>
      </w:r>
    </w:p>
    <w:p w14:paraId="71331AB0" w14:textId="77777777" w:rsidR="008027C8" w:rsidRPr="008027C8" w:rsidRDefault="008027C8" w:rsidP="008027C8">
      <w:pPr>
        <w:spacing w:before="100" w:beforeAutospacing="1" w:after="100" w:afterAutospacing="1" w:line="240" w:lineRule="auto"/>
        <w:jc w:val="both"/>
        <w:rPr>
          <w:rFonts w:ascii="Times New Roman" w:eastAsia="Times New Roman" w:hAnsi="Times New Roman" w:cs="Times New Roman"/>
          <w:kern w:val="0"/>
          <w14:ligatures w14:val="none"/>
        </w:rPr>
      </w:pPr>
      <w:r w:rsidRPr="008027C8">
        <w:rPr>
          <w:rFonts w:ascii="Times New Roman" w:eastAsia="Times New Roman" w:hAnsi="Times New Roman" w:cs="Times New Roman"/>
          <w:kern w:val="0"/>
          <w14:ligatures w14:val="none"/>
        </w:rPr>
        <w:t>Overall, these results reinforce the hypothesis that unmanaged and hazardous waste management practices play a substantial, statisticall</w:t>
      </w:r>
      <w:bookmarkStart w:id="32" w:name="_GoBack"/>
      <w:bookmarkEnd w:id="32"/>
      <w:r w:rsidRPr="008027C8">
        <w:rPr>
          <w:rFonts w:ascii="Times New Roman" w:eastAsia="Times New Roman" w:hAnsi="Times New Roman" w:cs="Times New Roman"/>
          <w:kern w:val="0"/>
          <w14:ligatures w14:val="none"/>
        </w:rPr>
        <w:t>y validated role in worsening air quality in informal settlements. The findings highlight both the environmental and public health implications for communities exposed to sustained poor air quality. In line with Mlambo and Ncube (2020), the evidence underscores the need for structured policy interventions, community-based waste management models, and systematic approaches to reduce waste-related air pollution. Effective implementation of these strategies could substantially mitigate environmental degradation and improve living conditions in vulnerable urban areas.</w:t>
      </w:r>
    </w:p>
    <w:p w14:paraId="03D0278B" w14:textId="335A5FEB" w:rsidR="00706D2C" w:rsidRPr="00E71A36" w:rsidRDefault="00706D2C" w:rsidP="008027C8">
      <w:pPr>
        <w:spacing w:line="360" w:lineRule="auto"/>
        <w:jc w:val="both"/>
        <w:rPr>
          <w:rFonts w:ascii="Garamond" w:hAnsi="Garamond"/>
        </w:rPr>
      </w:pPr>
      <w:r w:rsidRPr="00E71A36">
        <w:rPr>
          <w:rFonts w:ascii="Garamond" w:hAnsi="Garamond"/>
        </w:rPr>
        <w:t xml:space="preserve">Table </w:t>
      </w:r>
      <w:r w:rsidR="00AD68F5" w:rsidRPr="00E71A36">
        <w:rPr>
          <w:rFonts w:ascii="Garamond" w:hAnsi="Garamond"/>
        </w:rPr>
        <w:t>6</w:t>
      </w:r>
      <w:r w:rsidRPr="00E71A36">
        <w:rPr>
          <w:rFonts w:ascii="Garamond" w:hAnsi="Garamond"/>
        </w:rPr>
        <w:t>: Vertical Air Quality Measurements at Waste Burning Sites in Nairobi City County</w:t>
      </w:r>
      <w:bookmarkEnd w:id="31"/>
    </w:p>
    <w:tbl>
      <w:tblPr>
        <w:tblW w:w="9164" w:type="dxa"/>
        <w:tblCellSpacing w:w="15" w:type="dxa"/>
        <w:tblCellMar>
          <w:top w:w="15" w:type="dxa"/>
          <w:left w:w="15" w:type="dxa"/>
          <w:bottom w:w="15" w:type="dxa"/>
          <w:right w:w="15" w:type="dxa"/>
        </w:tblCellMar>
        <w:tblLook w:val="04A0" w:firstRow="1" w:lastRow="0" w:firstColumn="1" w:lastColumn="0" w:noHBand="0" w:noVBand="1"/>
      </w:tblPr>
      <w:tblGrid>
        <w:gridCol w:w="3816"/>
        <w:gridCol w:w="1551"/>
        <w:gridCol w:w="1495"/>
        <w:gridCol w:w="1101"/>
        <w:gridCol w:w="1201"/>
      </w:tblGrid>
      <w:tr w:rsidR="00706D2C" w:rsidRPr="00E71A36" w14:paraId="1FD446EE" w14:textId="77777777" w:rsidTr="00B60735">
        <w:trPr>
          <w:trHeight w:val="1101"/>
          <w:tblHeader/>
          <w:tblCellSpacing w:w="15" w:type="dxa"/>
        </w:trPr>
        <w:tc>
          <w:tcPr>
            <w:tcW w:w="0" w:type="auto"/>
            <w:tcBorders>
              <w:top w:val="single" w:sz="4" w:space="0" w:color="auto"/>
              <w:bottom w:val="single" w:sz="4" w:space="0" w:color="auto"/>
            </w:tcBorders>
            <w:vAlign w:val="center"/>
            <w:hideMark/>
          </w:tcPr>
          <w:p w14:paraId="6389BEA9" w14:textId="77777777" w:rsidR="00706D2C" w:rsidRPr="00E71A36" w:rsidRDefault="00706D2C" w:rsidP="008027C8">
            <w:pPr>
              <w:spacing w:line="360" w:lineRule="auto"/>
              <w:jc w:val="both"/>
              <w:rPr>
                <w:rFonts w:ascii="Garamond" w:hAnsi="Garamond"/>
              </w:rPr>
            </w:pPr>
            <w:r w:rsidRPr="00E71A36">
              <w:rPr>
                <w:rFonts w:ascii="Garamond" w:hAnsi="Garamond"/>
              </w:rPr>
              <w:t>Height Above Ground (m)</w:t>
            </w:r>
          </w:p>
        </w:tc>
        <w:tc>
          <w:tcPr>
            <w:tcW w:w="0" w:type="auto"/>
            <w:tcBorders>
              <w:top w:val="single" w:sz="4" w:space="0" w:color="auto"/>
              <w:bottom w:val="single" w:sz="4" w:space="0" w:color="auto"/>
            </w:tcBorders>
            <w:vAlign w:val="center"/>
            <w:hideMark/>
          </w:tcPr>
          <w:p w14:paraId="366437F4" w14:textId="77777777" w:rsidR="00706D2C" w:rsidRPr="00E71A36" w:rsidRDefault="00706D2C" w:rsidP="008027C8">
            <w:pPr>
              <w:spacing w:line="360" w:lineRule="auto"/>
              <w:jc w:val="both"/>
              <w:rPr>
                <w:rFonts w:ascii="Garamond" w:hAnsi="Garamond"/>
              </w:rPr>
            </w:pPr>
            <w:r w:rsidRPr="00E71A36">
              <w:rPr>
                <w:rFonts w:ascii="Garamond" w:hAnsi="Garamond"/>
              </w:rPr>
              <w:t>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xml:space="preserve"> (</w:t>
            </w:r>
            <w:r w:rsidRPr="00E71A36">
              <w:rPr>
                <w:rFonts w:ascii="Garamond" w:hAnsi="Garamond" w:cs="Garamond"/>
              </w:rPr>
              <w:t>µ</w:t>
            </w:r>
            <w:r w:rsidRPr="00E71A36">
              <w:rPr>
                <w:rFonts w:ascii="Garamond" w:hAnsi="Garamond"/>
              </w:rPr>
              <w:t>g/m</w:t>
            </w:r>
            <w:r w:rsidRPr="00E71A36">
              <w:rPr>
                <w:rFonts w:ascii="Garamond" w:hAnsi="Garamond" w:cs="Garamond"/>
              </w:rPr>
              <w:t>³</w:t>
            </w:r>
            <w:r w:rsidRPr="00E71A36">
              <w:rPr>
                <w:rFonts w:ascii="Garamond" w:hAnsi="Garamond"/>
              </w:rPr>
              <w:t>)</w:t>
            </w:r>
          </w:p>
        </w:tc>
        <w:tc>
          <w:tcPr>
            <w:tcW w:w="0" w:type="auto"/>
            <w:tcBorders>
              <w:top w:val="single" w:sz="4" w:space="0" w:color="auto"/>
              <w:bottom w:val="single" w:sz="4" w:space="0" w:color="auto"/>
            </w:tcBorders>
            <w:vAlign w:val="center"/>
            <w:hideMark/>
          </w:tcPr>
          <w:p w14:paraId="3DC36E52" w14:textId="77777777" w:rsidR="00706D2C" w:rsidRPr="00E71A36" w:rsidRDefault="00706D2C" w:rsidP="008027C8">
            <w:pPr>
              <w:spacing w:line="360" w:lineRule="auto"/>
              <w:jc w:val="both"/>
              <w:rPr>
                <w:rFonts w:ascii="Garamond" w:hAnsi="Garamond"/>
              </w:rPr>
            </w:pPr>
            <w:r w:rsidRPr="00E71A36">
              <w:rPr>
                <w:rFonts w:ascii="Garamond" w:hAnsi="Garamond"/>
              </w:rPr>
              <w:t>PM</w:t>
            </w:r>
            <w:r w:rsidRPr="00E71A36">
              <w:rPr>
                <w:rFonts w:ascii="Cambria Math" w:hAnsi="Cambria Math" w:cs="Cambria Math"/>
              </w:rPr>
              <w:t>₁₀</w:t>
            </w:r>
            <w:r w:rsidRPr="00E71A36">
              <w:rPr>
                <w:rFonts w:ascii="Garamond" w:hAnsi="Garamond"/>
              </w:rPr>
              <w:t xml:space="preserve"> (</w:t>
            </w:r>
            <w:r w:rsidRPr="00E71A36">
              <w:rPr>
                <w:rFonts w:ascii="Garamond" w:hAnsi="Garamond" w:cs="Garamond"/>
              </w:rPr>
              <w:t>µ</w:t>
            </w:r>
            <w:r w:rsidRPr="00E71A36">
              <w:rPr>
                <w:rFonts w:ascii="Garamond" w:hAnsi="Garamond"/>
              </w:rPr>
              <w:t>g/m</w:t>
            </w:r>
            <w:r w:rsidRPr="00E71A36">
              <w:rPr>
                <w:rFonts w:ascii="Garamond" w:hAnsi="Garamond" w:cs="Garamond"/>
              </w:rPr>
              <w:t>³</w:t>
            </w:r>
            <w:r w:rsidRPr="00E71A36">
              <w:rPr>
                <w:rFonts w:ascii="Garamond" w:hAnsi="Garamond"/>
              </w:rPr>
              <w:t>)</w:t>
            </w:r>
          </w:p>
        </w:tc>
        <w:tc>
          <w:tcPr>
            <w:tcW w:w="0" w:type="auto"/>
            <w:tcBorders>
              <w:top w:val="single" w:sz="4" w:space="0" w:color="auto"/>
              <w:bottom w:val="single" w:sz="4" w:space="0" w:color="auto"/>
            </w:tcBorders>
            <w:vAlign w:val="center"/>
            <w:hideMark/>
          </w:tcPr>
          <w:p w14:paraId="0D6C2219" w14:textId="77777777" w:rsidR="00706D2C" w:rsidRPr="00E71A36" w:rsidRDefault="00706D2C" w:rsidP="008027C8">
            <w:pPr>
              <w:spacing w:line="360" w:lineRule="auto"/>
              <w:jc w:val="both"/>
              <w:rPr>
                <w:rFonts w:ascii="Garamond" w:hAnsi="Garamond"/>
              </w:rPr>
            </w:pPr>
            <w:r w:rsidRPr="00E71A36">
              <w:rPr>
                <w:rFonts w:ascii="Garamond" w:hAnsi="Garamond"/>
              </w:rPr>
              <w:t>CO (ppm)</w:t>
            </w:r>
          </w:p>
        </w:tc>
        <w:tc>
          <w:tcPr>
            <w:tcW w:w="0" w:type="auto"/>
            <w:tcBorders>
              <w:top w:val="single" w:sz="4" w:space="0" w:color="auto"/>
              <w:bottom w:val="single" w:sz="4" w:space="0" w:color="auto"/>
            </w:tcBorders>
            <w:vAlign w:val="center"/>
            <w:hideMark/>
          </w:tcPr>
          <w:p w14:paraId="0864D88D" w14:textId="77777777" w:rsidR="00706D2C" w:rsidRPr="00E71A36" w:rsidRDefault="00706D2C" w:rsidP="008027C8">
            <w:pPr>
              <w:spacing w:line="360" w:lineRule="auto"/>
              <w:jc w:val="both"/>
              <w:rPr>
                <w:rFonts w:ascii="Garamond" w:hAnsi="Garamond"/>
              </w:rPr>
            </w:pPr>
            <w:r w:rsidRPr="00E71A36">
              <w:rPr>
                <w:rFonts w:ascii="Garamond" w:hAnsi="Garamond"/>
              </w:rPr>
              <w:t>NOx (ppb)</w:t>
            </w:r>
          </w:p>
        </w:tc>
      </w:tr>
      <w:tr w:rsidR="00706D2C" w:rsidRPr="00E71A36" w14:paraId="3DA6E993" w14:textId="77777777" w:rsidTr="00B60735">
        <w:trPr>
          <w:trHeight w:val="682"/>
          <w:tblCellSpacing w:w="15" w:type="dxa"/>
        </w:trPr>
        <w:tc>
          <w:tcPr>
            <w:tcW w:w="0" w:type="auto"/>
            <w:vAlign w:val="center"/>
            <w:hideMark/>
          </w:tcPr>
          <w:p w14:paraId="2DB1EAA9" w14:textId="77777777" w:rsidR="00706D2C" w:rsidRPr="00E71A36" w:rsidRDefault="00706D2C" w:rsidP="008027C8">
            <w:pPr>
              <w:spacing w:line="360" w:lineRule="auto"/>
              <w:jc w:val="both"/>
              <w:rPr>
                <w:rFonts w:ascii="Garamond" w:hAnsi="Garamond"/>
              </w:rPr>
            </w:pPr>
            <w:r w:rsidRPr="00E71A36">
              <w:rPr>
                <w:rFonts w:ascii="Garamond" w:hAnsi="Garamond"/>
              </w:rPr>
              <w:t>0.5 m (Near ground level)</w:t>
            </w:r>
          </w:p>
        </w:tc>
        <w:tc>
          <w:tcPr>
            <w:tcW w:w="0" w:type="auto"/>
            <w:vAlign w:val="center"/>
            <w:hideMark/>
          </w:tcPr>
          <w:p w14:paraId="1D8412D7" w14:textId="77777777" w:rsidR="00706D2C" w:rsidRPr="00E71A36" w:rsidRDefault="00706D2C" w:rsidP="008027C8">
            <w:pPr>
              <w:spacing w:line="360" w:lineRule="auto"/>
              <w:jc w:val="both"/>
              <w:rPr>
                <w:rFonts w:ascii="Garamond" w:hAnsi="Garamond"/>
              </w:rPr>
            </w:pPr>
            <w:r w:rsidRPr="00E71A36">
              <w:rPr>
                <w:rFonts w:ascii="Garamond" w:hAnsi="Garamond"/>
              </w:rPr>
              <w:t>165</w:t>
            </w:r>
          </w:p>
        </w:tc>
        <w:tc>
          <w:tcPr>
            <w:tcW w:w="0" w:type="auto"/>
            <w:vAlign w:val="center"/>
            <w:hideMark/>
          </w:tcPr>
          <w:p w14:paraId="6ED3737B" w14:textId="77777777" w:rsidR="00706D2C" w:rsidRPr="00E71A36" w:rsidRDefault="00706D2C" w:rsidP="008027C8">
            <w:pPr>
              <w:spacing w:line="360" w:lineRule="auto"/>
              <w:jc w:val="both"/>
              <w:rPr>
                <w:rFonts w:ascii="Garamond" w:hAnsi="Garamond"/>
              </w:rPr>
            </w:pPr>
            <w:r w:rsidRPr="00E71A36">
              <w:rPr>
                <w:rFonts w:ascii="Garamond" w:hAnsi="Garamond"/>
              </w:rPr>
              <w:t>248</w:t>
            </w:r>
          </w:p>
        </w:tc>
        <w:tc>
          <w:tcPr>
            <w:tcW w:w="0" w:type="auto"/>
            <w:vAlign w:val="center"/>
            <w:hideMark/>
          </w:tcPr>
          <w:p w14:paraId="41022A6C" w14:textId="77777777" w:rsidR="00706D2C" w:rsidRPr="00E71A36" w:rsidRDefault="00706D2C" w:rsidP="008027C8">
            <w:pPr>
              <w:spacing w:line="360" w:lineRule="auto"/>
              <w:jc w:val="both"/>
              <w:rPr>
                <w:rFonts w:ascii="Garamond" w:hAnsi="Garamond"/>
              </w:rPr>
            </w:pPr>
            <w:r w:rsidRPr="00E71A36">
              <w:rPr>
                <w:rFonts w:ascii="Garamond" w:hAnsi="Garamond"/>
              </w:rPr>
              <w:t>18.5</w:t>
            </w:r>
          </w:p>
        </w:tc>
        <w:tc>
          <w:tcPr>
            <w:tcW w:w="0" w:type="auto"/>
            <w:vAlign w:val="center"/>
            <w:hideMark/>
          </w:tcPr>
          <w:p w14:paraId="0B224B14" w14:textId="77777777" w:rsidR="00706D2C" w:rsidRPr="00E71A36" w:rsidRDefault="00706D2C" w:rsidP="008027C8">
            <w:pPr>
              <w:spacing w:line="360" w:lineRule="auto"/>
              <w:jc w:val="both"/>
              <w:rPr>
                <w:rFonts w:ascii="Garamond" w:hAnsi="Garamond"/>
              </w:rPr>
            </w:pPr>
            <w:r w:rsidRPr="00E71A36">
              <w:rPr>
                <w:rFonts w:ascii="Garamond" w:hAnsi="Garamond"/>
              </w:rPr>
              <w:t>62</w:t>
            </w:r>
          </w:p>
        </w:tc>
      </w:tr>
      <w:tr w:rsidR="00706D2C" w:rsidRPr="00E71A36" w14:paraId="6D6B32F6" w14:textId="77777777" w:rsidTr="00B60735">
        <w:trPr>
          <w:trHeight w:val="666"/>
          <w:tblCellSpacing w:w="15" w:type="dxa"/>
        </w:trPr>
        <w:tc>
          <w:tcPr>
            <w:tcW w:w="0" w:type="auto"/>
            <w:vAlign w:val="center"/>
            <w:hideMark/>
          </w:tcPr>
          <w:p w14:paraId="475B85CB" w14:textId="77777777" w:rsidR="00706D2C" w:rsidRPr="00E71A36" w:rsidRDefault="00706D2C" w:rsidP="008027C8">
            <w:pPr>
              <w:spacing w:line="360" w:lineRule="auto"/>
              <w:jc w:val="both"/>
              <w:rPr>
                <w:rFonts w:ascii="Garamond" w:hAnsi="Garamond"/>
              </w:rPr>
            </w:pPr>
            <w:r w:rsidRPr="00E71A36">
              <w:rPr>
                <w:rFonts w:ascii="Garamond" w:hAnsi="Garamond"/>
              </w:rPr>
              <w:t>1.5 m (Average breathing height)</w:t>
            </w:r>
          </w:p>
        </w:tc>
        <w:tc>
          <w:tcPr>
            <w:tcW w:w="0" w:type="auto"/>
            <w:vAlign w:val="center"/>
            <w:hideMark/>
          </w:tcPr>
          <w:p w14:paraId="1D288AF9" w14:textId="77777777" w:rsidR="00706D2C" w:rsidRPr="00E71A36" w:rsidRDefault="00706D2C" w:rsidP="008027C8">
            <w:pPr>
              <w:spacing w:line="360" w:lineRule="auto"/>
              <w:jc w:val="both"/>
              <w:rPr>
                <w:rFonts w:ascii="Garamond" w:hAnsi="Garamond"/>
              </w:rPr>
            </w:pPr>
            <w:r w:rsidRPr="00E71A36">
              <w:rPr>
                <w:rFonts w:ascii="Garamond" w:hAnsi="Garamond"/>
              </w:rPr>
              <w:t>142</w:t>
            </w:r>
          </w:p>
        </w:tc>
        <w:tc>
          <w:tcPr>
            <w:tcW w:w="0" w:type="auto"/>
            <w:vAlign w:val="center"/>
            <w:hideMark/>
          </w:tcPr>
          <w:p w14:paraId="37683E36" w14:textId="77777777" w:rsidR="00706D2C" w:rsidRPr="00E71A36" w:rsidRDefault="00706D2C" w:rsidP="008027C8">
            <w:pPr>
              <w:spacing w:line="360" w:lineRule="auto"/>
              <w:jc w:val="both"/>
              <w:rPr>
                <w:rFonts w:ascii="Garamond" w:hAnsi="Garamond"/>
              </w:rPr>
            </w:pPr>
            <w:r w:rsidRPr="00E71A36">
              <w:rPr>
                <w:rFonts w:ascii="Garamond" w:hAnsi="Garamond"/>
              </w:rPr>
              <w:t>210</w:t>
            </w:r>
          </w:p>
        </w:tc>
        <w:tc>
          <w:tcPr>
            <w:tcW w:w="0" w:type="auto"/>
            <w:vAlign w:val="center"/>
            <w:hideMark/>
          </w:tcPr>
          <w:p w14:paraId="35276998" w14:textId="77777777" w:rsidR="00706D2C" w:rsidRPr="00E71A36" w:rsidRDefault="00706D2C" w:rsidP="008027C8">
            <w:pPr>
              <w:spacing w:line="360" w:lineRule="auto"/>
              <w:jc w:val="both"/>
              <w:rPr>
                <w:rFonts w:ascii="Garamond" w:hAnsi="Garamond"/>
              </w:rPr>
            </w:pPr>
            <w:r w:rsidRPr="00E71A36">
              <w:rPr>
                <w:rFonts w:ascii="Garamond" w:hAnsi="Garamond"/>
              </w:rPr>
              <w:t>15.3</w:t>
            </w:r>
          </w:p>
        </w:tc>
        <w:tc>
          <w:tcPr>
            <w:tcW w:w="0" w:type="auto"/>
            <w:vAlign w:val="center"/>
            <w:hideMark/>
          </w:tcPr>
          <w:p w14:paraId="440ACD1A" w14:textId="77777777" w:rsidR="00706D2C" w:rsidRPr="00E71A36" w:rsidRDefault="00706D2C" w:rsidP="008027C8">
            <w:pPr>
              <w:spacing w:line="360" w:lineRule="auto"/>
              <w:jc w:val="both"/>
              <w:rPr>
                <w:rFonts w:ascii="Garamond" w:hAnsi="Garamond"/>
              </w:rPr>
            </w:pPr>
            <w:r w:rsidRPr="00E71A36">
              <w:rPr>
                <w:rFonts w:ascii="Garamond" w:hAnsi="Garamond"/>
              </w:rPr>
              <w:t>54</w:t>
            </w:r>
          </w:p>
        </w:tc>
      </w:tr>
      <w:tr w:rsidR="00706D2C" w:rsidRPr="00E71A36" w14:paraId="46D363C7" w14:textId="77777777" w:rsidTr="00B60735">
        <w:trPr>
          <w:trHeight w:val="1116"/>
          <w:tblCellSpacing w:w="15" w:type="dxa"/>
        </w:trPr>
        <w:tc>
          <w:tcPr>
            <w:tcW w:w="0" w:type="auto"/>
            <w:vAlign w:val="center"/>
            <w:hideMark/>
          </w:tcPr>
          <w:p w14:paraId="448F0360" w14:textId="77777777" w:rsidR="00706D2C" w:rsidRPr="00E71A36" w:rsidRDefault="00706D2C" w:rsidP="008027C8">
            <w:pPr>
              <w:spacing w:line="360" w:lineRule="auto"/>
              <w:jc w:val="both"/>
              <w:rPr>
                <w:rFonts w:ascii="Garamond" w:hAnsi="Garamond"/>
              </w:rPr>
            </w:pPr>
            <w:r w:rsidRPr="00E71A36">
              <w:rPr>
                <w:rFonts w:ascii="Garamond" w:hAnsi="Garamond"/>
              </w:rPr>
              <w:t>3.0 m (Above human breathing zone)</w:t>
            </w:r>
          </w:p>
        </w:tc>
        <w:tc>
          <w:tcPr>
            <w:tcW w:w="0" w:type="auto"/>
            <w:vAlign w:val="center"/>
            <w:hideMark/>
          </w:tcPr>
          <w:p w14:paraId="3D814507" w14:textId="77777777" w:rsidR="00706D2C" w:rsidRPr="00E71A36" w:rsidRDefault="00706D2C" w:rsidP="008027C8">
            <w:pPr>
              <w:spacing w:line="360" w:lineRule="auto"/>
              <w:jc w:val="both"/>
              <w:rPr>
                <w:rFonts w:ascii="Garamond" w:hAnsi="Garamond"/>
              </w:rPr>
            </w:pPr>
            <w:r w:rsidRPr="00E71A36">
              <w:rPr>
                <w:rFonts w:ascii="Garamond" w:hAnsi="Garamond"/>
              </w:rPr>
              <w:t>98</w:t>
            </w:r>
          </w:p>
        </w:tc>
        <w:tc>
          <w:tcPr>
            <w:tcW w:w="0" w:type="auto"/>
            <w:vAlign w:val="center"/>
            <w:hideMark/>
          </w:tcPr>
          <w:p w14:paraId="2341FE81" w14:textId="77777777" w:rsidR="00706D2C" w:rsidRPr="00E71A36" w:rsidRDefault="00706D2C" w:rsidP="008027C8">
            <w:pPr>
              <w:spacing w:line="360" w:lineRule="auto"/>
              <w:jc w:val="both"/>
              <w:rPr>
                <w:rFonts w:ascii="Garamond" w:hAnsi="Garamond"/>
              </w:rPr>
            </w:pPr>
            <w:r w:rsidRPr="00E71A36">
              <w:rPr>
                <w:rFonts w:ascii="Garamond" w:hAnsi="Garamond"/>
              </w:rPr>
              <w:t>162</w:t>
            </w:r>
          </w:p>
        </w:tc>
        <w:tc>
          <w:tcPr>
            <w:tcW w:w="0" w:type="auto"/>
            <w:vAlign w:val="center"/>
            <w:hideMark/>
          </w:tcPr>
          <w:p w14:paraId="35CD4FFD" w14:textId="77777777" w:rsidR="00706D2C" w:rsidRPr="00E71A36" w:rsidRDefault="00706D2C" w:rsidP="008027C8">
            <w:pPr>
              <w:spacing w:line="360" w:lineRule="auto"/>
              <w:jc w:val="both"/>
              <w:rPr>
                <w:rFonts w:ascii="Garamond" w:hAnsi="Garamond"/>
              </w:rPr>
            </w:pPr>
            <w:r w:rsidRPr="00E71A36">
              <w:rPr>
                <w:rFonts w:ascii="Garamond" w:hAnsi="Garamond"/>
              </w:rPr>
              <w:t>10.6</w:t>
            </w:r>
          </w:p>
        </w:tc>
        <w:tc>
          <w:tcPr>
            <w:tcW w:w="0" w:type="auto"/>
            <w:vAlign w:val="center"/>
            <w:hideMark/>
          </w:tcPr>
          <w:p w14:paraId="20826E6F" w14:textId="77777777" w:rsidR="00706D2C" w:rsidRPr="00E71A36" w:rsidRDefault="00706D2C" w:rsidP="008027C8">
            <w:pPr>
              <w:spacing w:line="360" w:lineRule="auto"/>
              <w:jc w:val="both"/>
              <w:rPr>
                <w:rFonts w:ascii="Garamond" w:hAnsi="Garamond"/>
              </w:rPr>
            </w:pPr>
            <w:r w:rsidRPr="00E71A36">
              <w:rPr>
                <w:rFonts w:ascii="Garamond" w:hAnsi="Garamond"/>
              </w:rPr>
              <w:t>39</w:t>
            </w:r>
          </w:p>
        </w:tc>
      </w:tr>
      <w:tr w:rsidR="00706D2C" w:rsidRPr="00E71A36" w14:paraId="5B7D3C27" w14:textId="77777777" w:rsidTr="00B60735">
        <w:trPr>
          <w:trHeight w:val="666"/>
          <w:tblCellSpacing w:w="15" w:type="dxa"/>
        </w:trPr>
        <w:tc>
          <w:tcPr>
            <w:tcW w:w="0" w:type="auto"/>
            <w:tcBorders>
              <w:bottom w:val="single" w:sz="4" w:space="0" w:color="auto"/>
            </w:tcBorders>
            <w:vAlign w:val="center"/>
            <w:hideMark/>
          </w:tcPr>
          <w:p w14:paraId="36A79FC3" w14:textId="77777777" w:rsidR="00706D2C" w:rsidRPr="00E71A36" w:rsidRDefault="00706D2C" w:rsidP="008027C8">
            <w:pPr>
              <w:spacing w:line="360" w:lineRule="auto"/>
              <w:jc w:val="both"/>
              <w:rPr>
                <w:rFonts w:ascii="Garamond" w:hAnsi="Garamond"/>
              </w:rPr>
            </w:pPr>
            <w:r w:rsidRPr="00E71A36">
              <w:rPr>
                <w:rFonts w:ascii="Garamond" w:hAnsi="Garamond"/>
              </w:rPr>
              <w:t>WHO Recommended Limit</w:t>
            </w:r>
          </w:p>
        </w:tc>
        <w:tc>
          <w:tcPr>
            <w:tcW w:w="0" w:type="auto"/>
            <w:tcBorders>
              <w:bottom w:val="single" w:sz="4" w:space="0" w:color="auto"/>
            </w:tcBorders>
            <w:vAlign w:val="center"/>
            <w:hideMark/>
          </w:tcPr>
          <w:p w14:paraId="57A8C6D8" w14:textId="77777777" w:rsidR="00706D2C" w:rsidRPr="00E71A36" w:rsidRDefault="00706D2C" w:rsidP="008027C8">
            <w:pPr>
              <w:spacing w:line="360" w:lineRule="auto"/>
              <w:jc w:val="both"/>
              <w:rPr>
                <w:rFonts w:ascii="Garamond" w:hAnsi="Garamond"/>
              </w:rPr>
            </w:pPr>
            <w:r w:rsidRPr="00E71A36">
              <w:rPr>
                <w:rFonts w:ascii="Garamond" w:hAnsi="Garamond"/>
              </w:rPr>
              <w:t>15</w:t>
            </w:r>
          </w:p>
        </w:tc>
        <w:tc>
          <w:tcPr>
            <w:tcW w:w="0" w:type="auto"/>
            <w:tcBorders>
              <w:bottom w:val="single" w:sz="4" w:space="0" w:color="auto"/>
            </w:tcBorders>
            <w:vAlign w:val="center"/>
            <w:hideMark/>
          </w:tcPr>
          <w:p w14:paraId="00E11F7E" w14:textId="77777777" w:rsidR="00706D2C" w:rsidRPr="00E71A36" w:rsidRDefault="00706D2C" w:rsidP="008027C8">
            <w:pPr>
              <w:spacing w:line="360" w:lineRule="auto"/>
              <w:jc w:val="both"/>
              <w:rPr>
                <w:rFonts w:ascii="Garamond" w:hAnsi="Garamond"/>
              </w:rPr>
            </w:pPr>
            <w:r w:rsidRPr="00E71A36">
              <w:rPr>
                <w:rFonts w:ascii="Garamond" w:hAnsi="Garamond"/>
              </w:rPr>
              <w:t>45</w:t>
            </w:r>
          </w:p>
        </w:tc>
        <w:tc>
          <w:tcPr>
            <w:tcW w:w="0" w:type="auto"/>
            <w:tcBorders>
              <w:bottom w:val="single" w:sz="4" w:space="0" w:color="auto"/>
            </w:tcBorders>
            <w:vAlign w:val="center"/>
            <w:hideMark/>
          </w:tcPr>
          <w:p w14:paraId="5781E223" w14:textId="77777777" w:rsidR="00706D2C" w:rsidRPr="00E71A36" w:rsidRDefault="00706D2C" w:rsidP="008027C8">
            <w:pPr>
              <w:spacing w:line="360" w:lineRule="auto"/>
              <w:jc w:val="both"/>
              <w:rPr>
                <w:rFonts w:ascii="Garamond" w:hAnsi="Garamond"/>
              </w:rPr>
            </w:pPr>
            <w:r w:rsidRPr="00E71A36">
              <w:rPr>
                <w:rFonts w:ascii="Garamond" w:hAnsi="Garamond"/>
              </w:rPr>
              <w:t>9</w:t>
            </w:r>
          </w:p>
        </w:tc>
        <w:tc>
          <w:tcPr>
            <w:tcW w:w="0" w:type="auto"/>
            <w:tcBorders>
              <w:bottom w:val="single" w:sz="4" w:space="0" w:color="auto"/>
            </w:tcBorders>
            <w:vAlign w:val="center"/>
            <w:hideMark/>
          </w:tcPr>
          <w:p w14:paraId="2CCD4FDA" w14:textId="77777777" w:rsidR="00706D2C" w:rsidRPr="00E71A36" w:rsidRDefault="00706D2C" w:rsidP="008027C8">
            <w:pPr>
              <w:spacing w:line="360" w:lineRule="auto"/>
              <w:jc w:val="both"/>
              <w:rPr>
                <w:rFonts w:ascii="Garamond" w:hAnsi="Garamond"/>
              </w:rPr>
            </w:pPr>
            <w:r w:rsidRPr="00E71A36">
              <w:rPr>
                <w:rFonts w:ascii="Garamond" w:hAnsi="Garamond"/>
              </w:rPr>
              <w:t>25</w:t>
            </w:r>
          </w:p>
        </w:tc>
      </w:tr>
    </w:tbl>
    <w:p w14:paraId="6E799BD3" w14:textId="77777777" w:rsidR="00706D2C" w:rsidRPr="00E71A36" w:rsidRDefault="00706D2C" w:rsidP="008027C8">
      <w:pPr>
        <w:spacing w:line="360" w:lineRule="auto"/>
        <w:jc w:val="both"/>
        <w:rPr>
          <w:rFonts w:ascii="Garamond" w:hAnsi="Garamond"/>
        </w:rPr>
      </w:pPr>
    </w:p>
    <w:p w14:paraId="4A5BF0ED" w14:textId="20D8CF35" w:rsidR="00706D2C" w:rsidRPr="00E71A36" w:rsidRDefault="00706D2C" w:rsidP="008027C8">
      <w:pPr>
        <w:spacing w:line="360" w:lineRule="auto"/>
        <w:jc w:val="both"/>
        <w:rPr>
          <w:rFonts w:ascii="Garamond" w:hAnsi="Garamond"/>
        </w:rPr>
      </w:pPr>
      <w:r w:rsidRPr="00E71A36">
        <w:rPr>
          <w:rFonts w:ascii="Garamond" w:hAnsi="Garamond"/>
        </w:rPr>
        <w:t xml:space="preserve">The results </w:t>
      </w:r>
      <w:r w:rsidR="002E5751" w:rsidRPr="00E71A36">
        <w:rPr>
          <w:rFonts w:ascii="Garamond" w:hAnsi="Garamond"/>
        </w:rPr>
        <w:t>(Table 6) indicate</w:t>
      </w:r>
      <w:r w:rsidRPr="00E71A36">
        <w:rPr>
          <w:rFonts w:ascii="Garamond" w:hAnsi="Garamond"/>
        </w:rPr>
        <w:t xml:space="preserve"> that air pollutant concentrations were highest near the ground level (0.5 m) at waste burning sites. 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xml:space="preserve"> concentrations reached 165 µg/m³, while PM</w:t>
      </w:r>
      <w:r w:rsidRPr="00E71A36">
        <w:rPr>
          <w:rFonts w:ascii="Cambria Math" w:hAnsi="Cambria Math" w:cs="Cambria Math"/>
        </w:rPr>
        <w:t>₁₀</w:t>
      </w:r>
      <w:r w:rsidRPr="00E71A36">
        <w:rPr>
          <w:rFonts w:ascii="Garamond" w:hAnsi="Garamond"/>
        </w:rPr>
        <w:t xml:space="preserve"> recorded 248 µg/m³, values that greatly exceed the World Health Organization (WHO) recommended limits. Carbon monoxide and nitrogen oxides were also elevated at this level, suggesting that waste combustion produces high pollutant concentrations close to the emission source.</w:t>
      </w:r>
    </w:p>
    <w:p w14:paraId="443696EE" w14:textId="77777777" w:rsidR="00706D2C" w:rsidRPr="00E71A36" w:rsidRDefault="00706D2C" w:rsidP="008027C8">
      <w:pPr>
        <w:spacing w:line="360" w:lineRule="auto"/>
        <w:jc w:val="both"/>
        <w:rPr>
          <w:rFonts w:ascii="Garamond" w:hAnsi="Garamond"/>
        </w:rPr>
      </w:pPr>
      <w:r w:rsidRPr="00E71A36">
        <w:rPr>
          <w:rFonts w:ascii="Garamond" w:hAnsi="Garamond"/>
        </w:rPr>
        <w:lastRenderedPageBreak/>
        <w:t>At 1.5 m, which corresponds approximately to the average human breathing height, pollutant concentrations remained high though slightly reduced compared to ground level. 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xml:space="preserve"> and PM</w:t>
      </w:r>
      <w:r w:rsidRPr="00E71A36">
        <w:rPr>
          <w:rFonts w:ascii="Cambria Math" w:hAnsi="Cambria Math" w:cs="Cambria Math"/>
        </w:rPr>
        <w:t>₁₀</w:t>
      </w:r>
      <w:r w:rsidRPr="00E71A36">
        <w:rPr>
          <w:rFonts w:ascii="Garamond" w:hAnsi="Garamond"/>
        </w:rPr>
        <w:t xml:space="preserve"> values of 142 µg/m³ and 210 µg/m³ respectively still exceeded recommended standards, indicating that individuals living or working near burning sites are exposed to unsafe air quality levels.</w:t>
      </w:r>
    </w:p>
    <w:p w14:paraId="7D48F256" w14:textId="77777777" w:rsidR="00706D2C" w:rsidRPr="00E71A36" w:rsidRDefault="00706D2C" w:rsidP="008027C8">
      <w:pPr>
        <w:spacing w:line="360" w:lineRule="auto"/>
        <w:jc w:val="both"/>
        <w:rPr>
          <w:rFonts w:ascii="Garamond" w:hAnsi="Garamond"/>
        </w:rPr>
      </w:pPr>
      <w:r w:rsidRPr="00E71A36">
        <w:rPr>
          <w:rFonts w:ascii="Garamond" w:hAnsi="Garamond"/>
        </w:rPr>
        <w:t>At 3.0 m, pollutant concentrations declined further due to vertical dispersion and atmospheric mixing. However, 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PM</w:t>
      </w:r>
      <w:r w:rsidRPr="00E71A36">
        <w:rPr>
          <w:rFonts w:ascii="Cambria Math" w:hAnsi="Cambria Math" w:cs="Cambria Math"/>
        </w:rPr>
        <w:t>₁₀</w:t>
      </w:r>
      <w:r w:rsidRPr="00E71A36">
        <w:rPr>
          <w:rFonts w:ascii="Garamond" w:hAnsi="Garamond"/>
        </w:rPr>
        <w:t>, CO, and NOx levels still remained above recommended safe limits, suggesting that emissions from waste burning continue to affect air quality beyond the immediate ground level.</w:t>
      </w:r>
    </w:p>
    <w:p w14:paraId="7285D130" w14:textId="77777777" w:rsidR="00706D2C" w:rsidRPr="00E71A36" w:rsidRDefault="00706D2C" w:rsidP="008027C8">
      <w:pPr>
        <w:spacing w:line="360" w:lineRule="auto"/>
        <w:jc w:val="both"/>
        <w:rPr>
          <w:rFonts w:ascii="Garamond" w:hAnsi="Garamond"/>
        </w:rPr>
      </w:pPr>
      <w:r w:rsidRPr="00E71A36">
        <w:rPr>
          <w:rFonts w:ascii="Garamond" w:hAnsi="Garamond"/>
        </w:rPr>
        <w:t>The vertical air quality measurements demonstrate a clear gradient in pollutant concentration, with levels decreasing as height increases from the emission source. This pattern reflects the natural dispersion of pollutants as smoke rises and mixes with surrounding air. However, the persistently high pollutant concentrations at all measured heights highlight the significant impact of waste burning on urban air quality in Nairobi City County.</w:t>
      </w:r>
    </w:p>
    <w:p w14:paraId="12B719B3" w14:textId="77777777" w:rsidR="00706D2C" w:rsidRPr="00E71A36" w:rsidRDefault="00706D2C" w:rsidP="008027C8">
      <w:pPr>
        <w:spacing w:line="360" w:lineRule="auto"/>
        <w:jc w:val="both"/>
        <w:rPr>
          <w:rFonts w:ascii="Garamond" w:hAnsi="Garamond"/>
        </w:rPr>
      </w:pPr>
      <w:r w:rsidRPr="00E71A36">
        <w:rPr>
          <w:rFonts w:ascii="Garamond" w:hAnsi="Garamond"/>
        </w:rPr>
        <w:t>The findings also indicate that residents, waste handlers, and children who are closer to ground level may experience greater exposure to harmful pollutants, particularly fine particulate matter. Fine particles such as 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xml:space="preserve"> are known to penetrate deep into the respiratory system and can contribute to respiratory diseases, cardiovascular problems, and other health complications.</w:t>
      </w:r>
    </w:p>
    <w:p w14:paraId="156193DD" w14:textId="77777777" w:rsidR="00706D2C" w:rsidRPr="00E71A36" w:rsidRDefault="00706D2C" w:rsidP="008027C8">
      <w:pPr>
        <w:spacing w:line="360" w:lineRule="auto"/>
        <w:jc w:val="both"/>
        <w:rPr>
          <w:rFonts w:ascii="Garamond" w:hAnsi="Garamond"/>
        </w:rPr>
      </w:pPr>
      <w:r w:rsidRPr="00E71A36">
        <w:rPr>
          <w:rFonts w:ascii="Garamond" w:hAnsi="Garamond"/>
        </w:rPr>
        <w:t>Overall, incorporating vertical air quality measurements strengthens the validity of the study by providing a more comprehensive understanding of how pollutants disperse in the environment. The results underscore the need for improved waste management practices, stricter enforcement against open waste burning, and enhanced air quality monitoring systems to protect public health in Nairobi City County.</w:t>
      </w:r>
    </w:p>
    <w:p w14:paraId="5B7242BA" w14:textId="0318C0A7" w:rsidR="00706D2C" w:rsidRPr="00E71A36" w:rsidRDefault="00AE5616" w:rsidP="008027C8">
      <w:pPr>
        <w:spacing w:line="360" w:lineRule="auto"/>
        <w:jc w:val="both"/>
        <w:rPr>
          <w:rFonts w:ascii="Garamond" w:hAnsi="Garamond"/>
          <w:b/>
          <w:bCs/>
        </w:rPr>
      </w:pPr>
      <w:bookmarkStart w:id="33" w:name="_Toc224480374"/>
      <w:r w:rsidRPr="00E71A36">
        <w:rPr>
          <w:rFonts w:ascii="Garamond" w:hAnsi="Garamond"/>
          <w:b/>
          <w:bCs/>
        </w:rPr>
        <w:t>3.9</w:t>
      </w:r>
      <w:r w:rsidR="00706D2C" w:rsidRPr="00E71A36">
        <w:rPr>
          <w:rFonts w:ascii="Garamond" w:hAnsi="Garamond"/>
          <w:b/>
          <w:bCs/>
        </w:rPr>
        <w:t>. Waste segregation at the household level, transportation and licensing</w:t>
      </w:r>
      <w:bookmarkEnd w:id="33"/>
      <w:r w:rsidR="00706D2C" w:rsidRPr="00E71A36">
        <w:rPr>
          <w:rFonts w:ascii="Garamond" w:hAnsi="Garamond"/>
          <w:b/>
          <w:bCs/>
        </w:rPr>
        <w:t xml:space="preserve"> </w:t>
      </w:r>
    </w:p>
    <w:p w14:paraId="4976B150" w14:textId="77777777" w:rsidR="00706D2C" w:rsidRPr="00E71A36" w:rsidRDefault="00706D2C" w:rsidP="008027C8">
      <w:pPr>
        <w:spacing w:line="360" w:lineRule="auto"/>
        <w:jc w:val="both"/>
        <w:rPr>
          <w:rFonts w:ascii="Garamond" w:hAnsi="Garamond"/>
        </w:rPr>
      </w:pPr>
      <w:r w:rsidRPr="00E71A36">
        <w:rPr>
          <w:rFonts w:ascii="Garamond" w:hAnsi="Garamond"/>
        </w:rPr>
        <w:t>In the study on the impact of waste management practices and air quality in Nairobi with a focus on Kibera Sub-County, waste segregation, transportation, and licensing form important components of the waste management chain. The processes occur at three key stages: household segregation, waste collection and transportation, and regulatory licensing of waste operators.</w:t>
      </w:r>
    </w:p>
    <w:p w14:paraId="697D186F" w14:textId="0694637B" w:rsidR="00706D2C" w:rsidRPr="00E71A36" w:rsidRDefault="00AE5616" w:rsidP="008027C8">
      <w:pPr>
        <w:spacing w:line="360" w:lineRule="auto"/>
        <w:jc w:val="both"/>
        <w:rPr>
          <w:rFonts w:ascii="Garamond" w:hAnsi="Garamond"/>
          <w:b/>
          <w:bCs/>
        </w:rPr>
      </w:pPr>
      <w:bookmarkStart w:id="34" w:name="_Toc224480375"/>
      <w:r w:rsidRPr="00E71A36">
        <w:rPr>
          <w:rFonts w:ascii="Garamond" w:hAnsi="Garamond"/>
          <w:b/>
          <w:bCs/>
        </w:rPr>
        <w:t>3.10.</w:t>
      </w:r>
      <w:r w:rsidR="00706D2C" w:rsidRPr="00E71A36">
        <w:rPr>
          <w:rFonts w:ascii="Garamond" w:hAnsi="Garamond"/>
          <w:b/>
          <w:bCs/>
        </w:rPr>
        <w:t xml:space="preserve"> Waste Segregation at the Household Level</w:t>
      </w:r>
      <w:bookmarkEnd w:id="34"/>
    </w:p>
    <w:p w14:paraId="7F1F5A60" w14:textId="77777777" w:rsidR="00706D2C" w:rsidRPr="00E71A36" w:rsidRDefault="00706D2C" w:rsidP="008027C8">
      <w:pPr>
        <w:spacing w:line="360" w:lineRule="auto"/>
        <w:jc w:val="both"/>
        <w:rPr>
          <w:rFonts w:ascii="Garamond" w:hAnsi="Garamond"/>
        </w:rPr>
      </w:pPr>
      <w:r w:rsidRPr="00E71A36">
        <w:rPr>
          <w:rFonts w:ascii="Garamond" w:hAnsi="Garamond"/>
        </w:rPr>
        <w:lastRenderedPageBreak/>
        <w:t xml:space="preserve">In Kibera Sub-County, most waste is generated at the household level and consists largely of organic waste, plastics, paper, and metal materials. Ideally, households are expected to segregate waste at the source into different categories such as organic, recyclable, and general waste using designated containers. For example, environmental regulations encourage the use of color-coded bins where green bins store organic waste, blue bins store recyclable materials, and black bins hold general waste. </w:t>
      </w:r>
    </w:p>
    <w:p w14:paraId="70DAFEF9" w14:textId="77777777" w:rsidR="00706D2C" w:rsidRPr="00E71A36" w:rsidRDefault="00706D2C" w:rsidP="008027C8">
      <w:pPr>
        <w:spacing w:line="360" w:lineRule="auto"/>
        <w:jc w:val="both"/>
        <w:rPr>
          <w:rFonts w:ascii="Garamond" w:hAnsi="Garamond"/>
        </w:rPr>
      </w:pPr>
      <w:r w:rsidRPr="00E71A36">
        <w:rPr>
          <w:rFonts w:ascii="Garamond" w:hAnsi="Garamond"/>
        </w:rPr>
        <w:t xml:space="preserve">However, in informal settlements like Kibera, source segregation is still limited due to factors such as limited space in households, lack of awareness, and inadequate waste storage facilities. Consequently, many households dispose of mixed waste in a single container or bag. Recyclable materials such as plastics, metals, and paper are often recovered later by informal waste pickers or community recycling groups rather than being separated at the household level. </w:t>
      </w:r>
    </w:p>
    <w:p w14:paraId="1C747817" w14:textId="77777777" w:rsidR="00706D2C" w:rsidRPr="00E71A36" w:rsidRDefault="00706D2C" w:rsidP="008027C8">
      <w:pPr>
        <w:spacing w:line="360" w:lineRule="auto"/>
        <w:jc w:val="both"/>
        <w:rPr>
          <w:rFonts w:ascii="Garamond" w:hAnsi="Garamond"/>
        </w:rPr>
      </w:pPr>
      <w:r w:rsidRPr="00E71A36">
        <w:rPr>
          <w:rFonts w:ascii="Garamond" w:hAnsi="Garamond"/>
        </w:rPr>
        <w:t xml:space="preserve">Community-based organizations (CBOs) and youth groups operating in Kibera sometimes encourage households to separate recyclable materials from organic waste. These groups also promote recycling and reuse initiatives such as plastic collection, composting, and small-scale recycling activities. Environmental education programs by government and NGOs are also used to increase awareness of the benefits of waste segregation in reducing pollution and improving air quality. </w:t>
      </w:r>
    </w:p>
    <w:p w14:paraId="357AB90C" w14:textId="289130DF" w:rsidR="00706D2C" w:rsidRPr="00E71A36" w:rsidRDefault="00AE5616" w:rsidP="008027C8">
      <w:pPr>
        <w:spacing w:line="360" w:lineRule="auto"/>
        <w:jc w:val="both"/>
        <w:rPr>
          <w:rFonts w:ascii="Garamond" w:hAnsi="Garamond"/>
          <w:b/>
          <w:bCs/>
        </w:rPr>
      </w:pPr>
      <w:bookmarkStart w:id="35" w:name="_Toc224480376"/>
      <w:r w:rsidRPr="00E71A36">
        <w:rPr>
          <w:rFonts w:ascii="Garamond" w:hAnsi="Garamond"/>
          <w:b/>
          <w:bCs/>
        </w:rPr>
        <w:t xml:space="preserve">3.11. </w:t>
      </w:r>
      <w:r w:rsidR="00706D2C" w:rsidRPr="00E71A36">
        <w:rPr>
          <w:rFonts w:ascii="Garamond" w:hAnsi="Garamond"/>
          <w:b/>
          <w:bCs/>
        </w:rPr>
        <w:t>Waste Collection and Transportation</w:t>
      </w:r>
      <w:bookmarkEnd w:id="35"/>
    </w:p>
    <w:p w14:paraId="4019CC10" w14:textId="77777777" w:rsidR="00706D2C" w:rsidRPr="00E71A36" w:rsidRDefault="00706D2C" w:rsidP="008027C8">
      <w:pPr>
        <w:spacing w:line="360" w:lineRule="auto"/>
        <w:jc w:val="both"/>
        <w:rPr>
          <w:rFonts w:ascii="Garamond" w:hAnsi="Garamond"/>
        </w:rPr>
      </w:pPr>
      <w:r w:rsidRPr="00E71A36">
        <w:rPr>
          <w:rFonts w:ascii="Garamond" w:hAnsi="Garamond"/>
        </w:rPr>
        <w:t xml:space="preserve">Waste transportation in Kibera is mainly carried out through a combination of community-based organizations, private waste collectors, and the Nairobi County Government. In informal settlements, CBOs and youth groups play a major role because county collection vehicles often face difficulties accessing narrow roads and densely populated areas. </w:t>
      </w:r>
    </w:p>
    <w:p w14:paraId="38B65F53" w14:textId="77777777" w:rsidR="00706D2C" w:rsidRPr="00E71A36" w:rsidRDefault="00706D2C" w:rsidP="008027C8">
      <w:pPr>
        <w:spacing w:line="360" w:lineRule="auto"/>
        <w:jc w:val="both"/>
        <w:rPr>
          <w:rFonts w:ascii="Garamond" w:hAnsi="Garamond"/>
        </w:rPr>
      </w:pPr>
      <w:r w:rsidRPr="00E71A36">
        <w:rPr>
          <w:rFonts w:ascii="Garamond" w:hAnsi="Garamond"/>
        </w:rPr>
        <w:t>The collection process typically occurs in several stages:</w:t>
      </w:r>
    </w:p>
    <w:p w14:paraId="4773C101" w14:textId="77777777" w:rsidR="00706D2C" w:rsidRPr="00E71A36" w:rsidRDefault="00706D2C" w:rsidP="008027C8">
      <w:pPr>
        <w:spacing w:line="360" w:lineRule="auto"/>
        <w:jc w:val="both"/>
        <w:rPr>
          <w:rFonts w:ascii="Garamond" w:hAnsi="Garamond"/>
        </w:rPr>
      </w:pPr>
      <w:r w:rsidRPr="00E71A36">
        <w:rPr>
          <w:rFonts w:ascii="Garamond" w:hAnsi="Garamond"/>
        </w:rPr>
        <w:t>Household Collection: Waste is collected from households using handcarts, wheelbarrows, or small push-carts by community waste collectors.</w:t>
      </w:r>
    </w:p>
    <w:p w14:paraId="3EC012A3" w14:textId="77777777" w:rsidR="00706D2C" w:rsidRPr="00E71A36" w:rsidRDefault="00706D2C" w:rsidP="008027C8">
      <w:pPr>
        <w:spacing w:line="360" w:lineRule="auto"/>
        <w:jc w:val="both"/>
        <w:rPr>
          <w:rFonts w:ascii="Garamond" w:hAnsi="Garamond"/>
        </w:rPr>
      </w:pPr>
      <w:r w:rsidRPr="00E71A36">
        <w:rPr>
          <w:rFonts w:ascii="Garamond" w:hAnsi="Garamond"/>
        </w:rPr>
        <w:t xml:space="preserve">Temporary Storage: The collected waste is transported to designated collection points or transfer stations within the settlement. Secondary Transportation: From these collection points, waste is transported using trucks operated by private collectors or county authorities to the main disposal site, usually the Dandora Dumpsite. In some cases, due to irregular collection or high transportation costs, waste may accumulate at collection points, leading to illegal dumping or open burning—practices that significantly contribute to air pollution in the area. </w:t>
      </w:r>
    </w:p>
    <w:p w14:paraId="6997D7CC" w14:textId="3004E917" w:rsidR="00706D2C" w:rsidRPr="00E71A36" w:rsidRDefault="00AE5616" w:rsidP="008027C8">
      <w:pPr>
        <w:spacing w:line="360" w:lineRule="auto"/>
        <w:jc w:val="both"/>
        <w:rPr>
          <w:rFonts w:ascii="Garamond" w:hAnsi="Garamond"/>
          <w:b/>
        </w:rPr>
      </w:pPr>
      <w:bookmarkStart w:id="36" w:name="_Toc224480377"/>
      <w:r w:rsidRPr="00E71A36">
        <w:rPr>
          <w:rFonts w:ascii="Garamond" w:hAnsi="Garamond"/>
          <w:b/>
        </w:rPr>
        <w:lastRenderedPageBreak/>
        <w:t>3.12.</w:t>
      </w:r>
      <w:r w:rsidR="00706D2C" w:rsidRPr="00E71A36">
        <w:rPr>
          <w:rFonts w:ascii="Garamond" w:hAnsi="Garamond"/>
          <w:b/>
        </w:rPr>
        <w:t xml:space="preserve"> Licensing and Regulation of Waste Collectors</w:t>
      </w:r>
      <w:bookmarkEnd w:id="36"/>
    </w:p>
    <w:p w14:paraId="013E8C1F" w14:textId="77777777" w:rsidR="00706D2C" w:rsidRPr="00E71A36" w:rsidRDefault="00706D2C" w:rsidP="008027C8">
      <w:pPr>
        <w:spacing w:line="360" w:lineRule="auto"/>
        <w:jc w:val="both"/>
        <w:rPr>
          <w:rFonts w:ascii="Garamond" w:hAnsi="Garamond"/>
        </w:rPr>
      </w:pPr>
      <w:r w:rsidRPr="00E71A36">
        <w:rPr>
          <w:rFonts w:ascii="Garamond" w:hAnsi="Garamond"/>
        </w:rPr>
        <w:t>Waste collection and transportation activities in Nairobi, including Kibera, are regulated by environmental authorities. Waste collectors must obtain operational licenses from both the county government and the National Environmental Management Authority (NEMA) before providing waste management services. Key regulatory requirements include: Waste transporters must be registered and licensed by NEMA to operate legally. Vehicles used for waste transportation must meet environmental and safety standards. Operators must dispose of waste at designated disposal facilities such as Dandora dumpsite. Licensed collectors are monitored by county officials through records of waste delivered at disposal sites. Despite these regulations, informal waste collectors sometimes operate without licenses due to high compliance costs and limited enforcement capacity, which contributes to illegal dumping and inefficient waste management in informal settlements.</w:t>
      </w:r>
    </w:p>
    <w:p w14:paraId="57924106" w14:textId="15466F3D" w:rsidR="00706D2C" w:rsidRPr="00E71A36" w:rsidRDefault="002F16B1" w:rsidP="008027C8">
      <w:pPr>
        <w:spacing w:line="360" w:lineRule="auto"/>
        <w:jc w:val="both"/>
        <w:rPr>
          <w:rFonts w:ascii="Garamond" w:hAnsi="Garamond"/>
        </w:rPr>
      </w:pPr>
      <w:r w:rsidRPr="00E71A36">
        <w:rPr>
          <w:rFonts w:ascii="Garamond" w:hAnsi="Garamond"/>
        </w:rPr>
        <w:t>T</w:t>
      </w:r>
      <w:r w:rsidR="00706D2C" w:rsidRPr="00E71A36">
        <w:rPr>
          <w:rFonts w:ascii="Garamond" w:hAnsi="Garamond"/>
        </w:rPr>
        <w:t>he study on the Impact of Waste Management Practices and Air Quality in Nairobi City County, recycling plays a key role in reducing the amount of waste that reaches dumpsites and minimizing air pollution caused by open burning. Recycling activities in the county occur through informal recovery systems, community-based initiatives, and formal regulatory frameworks.</w:t>
      </w:r>
    </w:p>
    <w:p w14:paraId="20D57320" w14:textId="69758B9F" w:rsidR="00706D2C" w:rsidRPr="00E71A36" w:rsidRDefault="00AE5616" w:rsidP="008027C8">
      <w:pPr>
        <w:spacing w:line="360" w:lineRule="auto"/>
        <w:jc w:val="both"/>
        <w:rPr>
          <w:rFonts w:ascii="Garamond" w:hAnsi="Garamond"/>
          <w:b/>
        </w:rPr>
      </w:pPr>
      <w:bookmarkStart w:id="37" w:name="_Toc224480378"/>
      <w:r w:rsidRPr="00E71A36">
        <w:rPr>
          <w:rFonts w:ascii="Garamond" w:hAnsi="Garamond"/>
          <w:b/>
        </w:rPr>
        <w:t>3.13</w:t>
      </w:r>
      <w:r w:rsidR="00006810" w:rsidRPr="00E71A36">
        <w:rPr>
          <w:rFonts w:ascii="Garamond" w:hAnsi="Garamond"/>
          <w:b/>
        </w:rPr>
        <w:t>.</w:t>
      </w:r>
      <w:r w:rsidR="00706D2C" w:rsidRPr="00E71A36">
        <w:rPr>
          <w:rFonts w:ascii="Garamond" w:hAnsi="Garamond"/>
          <w:b/>
        </w:rPr>
        <w:t xml:space="preserve"> Recycling Process in Nairobi City County</w:t>
      </w:r>
      <w:bookmarkEnd w:id="37"/>
    </w:p>
    <w:p w14:paraId="37AE5FCD" w14:textId="77777777" w:rsidR="00706D2C" w:rsidRPr="00E71A36" w:rsidRDefault="00706D2C" w:rsidP="008027C8">
      <w:pPr>
        <w:spacing w:line="360" w:lineRule="auto"/>
        <w:jc w:val="both"/>
        <w:rPr>
          <w:rFonts w:ascii="Garamond" w:hAnsi="Garamond"/>
        </w:rPr>
      </w:pPr>
      <w:r w:rsidRPr="00E71A36">
        <w:rPr>
          <w:rFonts w:ascii="Garamond" w:hAnsi="Garamond"/>
        </w:rPr>
        <w:t>Recycling in Nairobi generally begins with waste recovery at the source or after disposal. Although household-level segregation is encouraged, much of the recycling process is still carried out by informal waste pickers and community groups. The recycling chain typically follows several stages: Recycling in Nairobi City County occurs through a combination of informal waste recovery systems, community-based collection initiatives, and formally regulated recycling industries. The recycling process typically begins with waste recovery and sorting, where recyclable materials such as plastics, glass, paper, and metals are separated from mixed waste by waste pickers at household collection points, markets, and disposal areas. A considerable proportion of recyclable materials is recovered from the Dandora Dumpsite, which serves as the primary waste disposal site for the city. At these locations, informal recyclers manually sort materials and sell them to intermediaries or recycling companies for further processing.</w:t>
      </w:r>
    </w:p>
    <w:p w14:paraId="4728A9C9" w14:textId="5536B58F" w:rsidR="00706D2C" w:rsidRPr="00E71A36" w:rsidRDefault="00706D2C" w:rsidP="008027C8">
      <w:pPr>
        <w:spacing w:line="360" w:lineRule="auto"/>
        <w:jc w:val="both"/>
        <w:rPr>
          <w:rFonts w:ascii="Garamond" w:hAnsi="Garamond"/>
        </w:rPr>
      </w:pPr>
      <w:r w:rsidRPr="00E71A36">
        <w:rPr>
          <w:rFonts w:ascii="Garamond" w:hAnsi="Garamond"/>
        </w:rPr>
        <w:t xml:space="preserve">After sorting, the recyclable materials are collected by community-based organizations, youth groups, and private waste collectors who operate within various neighborhoods and informal settlements. These </w:t>
      </w:r>
      <w:r w:rsidR="0033650D" w:rsidRPr="00E71A36">
        <w:rPr>
          <w:rFonts w:ascii="Garamond" w:hAnsi="Garamond"/>
        </w:rPr>
        <w:t>groups’</w:t>
      </w:r>
      <w:r w:rsidRPr="00E71A36">
        <w:rPr>
          <w:rFonts w:ascii="Garamond" w:hAnsi="Garamond"/>
        </w:rPr>
        <w:t xml:space="preserve"> aggregate recyclable materials at designated collection centers where items such as </w:t>
      </w:r>
      <w:r w:rsidRPr="00E71A36">
        <w:rPr>
          <w:rFonts w:ascii="Garamond" w:hAnsi="Garamond"/>
        </w:rPr>
        <w:lastRenderedPageBreak/>
        <w:t>plastic bottles, scrap metal, cardboard, and glass are compacted, bundled, or stored for easier transportation. The aggregated materials are then transported to recycling industries located within Nairobi and nearby industrial zones where they undergo processing and manufacturing. For instance, plastic waste may be shredded and melted into pellets that are used to manufacture new plastic products, while metals are melted and reused in industrial production processes. This recycling chain significantly reduces the amount of waste that requires disposal and helps lower environmental pollution.</w:t>
      </w:r>
    </w:p>
    <w:p w14:paraId="55908F7D" w14:textId="77777777" w:rsidR="00706D2C" w:rsidRPr="00E71A36" w:rsidRDefault="00706D2C" w:rsidP="008027C8">
      <w:pPr>
        <w:spacing w:line="360" w:lineRule="auto"/>
        <w:jc w:val="both"/>
        <w:rPr>
          <w:rFonts w:ascii="Garamond" w:hAnsi="Garamond"/>
        </w:rPr>
      </w:pPr>
      <w:r w:rsidRPr="00E71A36">
        <w:rPr>
          <w:rFonts w:ascii="Garamond" w:hAnsi="Garamond"/>
        </w:rPr>
        <w:t>Recycling activities in Nairobi are regulated under Kenya’s environmental laws and waste management policies, which are implemented by the National Environmental Management Authority and the Nairobi City County Government. These institutions are responsible for overseeing licensing, monitoring, and compliance with waste management regulations. Recycling facilities and waste transporters are required to obtain operational licenses from the National Environmental Management Authority before handling recyclable materials. The licensing process ensures that recycling operations adhere to environmental standards relating to waste handling, storage, and processing. In addition, recycling plants must undertake environmental impact assessments and comply with regulations designed to minimize environmental pollution. Regulatory agencies also conduct periodic inspections to ensure that recycling operations do not release harmful emissions or pollutants into the environment.</w:t>
      </w:r>
    </w:p>
    <w:p w14:paraId="41223581" w14:textId="77777777" w:rsidR="00706D2C" w:rsidRPr="00E71A36" w:rsidRDefault="00706D2C" w:rsidP="008027C8">
      <w:pPr>
        <w:spacing w:line="360" w:lineRule="auto"/>
        <w:jc w:val="both"/>
        <w:rPr>
          <w:rFonts w:ascii="Garamond" w:hAnsi="Garamond"/>
        </w:rPr>
      </w:pPr>
      <w:r w:rsidRPr="00E71A36">
        <w:rPr>
          <w:rFonts w:ascii="Garamond" w:hAnsi="Garamond"/>
        </w:rPr>
        <w:t>Kenya has also introduced Extended Producer Responsibility policies that require manufacturers and producers of packaging materials to participate in waste recovery and recycling initiatives. These policies encourage companies to support recycling programs, improve waste collection systems, and adopt environmentally friendly product designs that facilitate recycling. Despite the presence of these regulatory frameworks, a significant proportion of recycling activities in Nairobi continues to be carried out by the informal sector. Waste pickers and small recycling enterprises play a critical role in recovering recyclable materials and reducing the volume of waste reaching disposal sites. However, these actors often operate with limited institutional support and formal recognition, and they frequently face challenges such as poor working conditions, lack of protective equipment, and unstable income. Nonetheless, their contribution remains essential in enhancing recycling efficiency and promoting sustainable waste management practices within the city.</w:t>
      </w:r>
    </w:p>
    <w:p w14:paraId="2DE54FD7" w14:textId="34AEAEDE" w:rsidR="00706D2C" w:rsidRPr="00E71A36" w:rsidRDefault="00006810" w:rsidP="008027C8">
      <w:pPr>
        <w:spacing w:line="360" w:lineRule="auto"/>
        <w:jc w:val="both"/>
        <w:rPr>
          <w:rFonts w:ascii="Garamond" w:hAnsi="Garamond"/>
          <w:b/>
        </w:rPr>
      </w:pPr>
      <w:bookmarkStart w:id="38" w:name="_Toc224480379"/>
      <w:r w:rsidRPr="00E71A36">
        <w:rPr>
          <w:rFonts w:ascii="Garamond" w:hAnsi="Garamond"/>
          <w:b/>
        </w:rPr>
        <w:t>3.14.</w:t>
      </w:r>
      <w:r w:rsidR="00706D2C" w:rsidRPr="00E71A36">
        <w:rPr>
          <w:rFonts w:ascii="Garamond" w:hAnsi="Garamond"/>
          <w:b/>
        </w:rPr>
        <w:t xml:space="preserve"> Other factors considered</w:t>
      </w:r>
      <w:bookmarkEnd w:id="38"/>
      <w:r w:rsidR="00706D2C" w:rsidRPr="00E71A36">
        <w:rPr>
          <w:rFonts w:ascii="Garamond" w:hAnsi="Garamond"/>
          <w:b/>
        </w:rPr>
        <w:t xml:space="preserve"> </w:t>
      </w:r>
    </w:p>
    <w:p w14:paraId="5134A52D" w14:textId="77777777" w:rsidR="00706D2C" w:rsidRPr="00E71A36" w:rsidRDefault="00706D2C" w:rsidP="008027C8">
      <w:pPr>
        <w:spacing w:line="360" w:lineRule="auto"/>
        <w:jc w:val="both"/>
        <w:rPr>
          <w:rFonts w:ascii="Garamond" w:hAnsi="Garamond"/>
        </w:rPr>
      </w:pPr>
      <w:r w:rsidRPr="00E71A36">
        <w:rPr>
          <w:rFonts w:ascii="Garamond" w:hAnsi="Garamond"/>
        </w:rPr>
        <w:lastRenderedPageBreak/>
        <w:t>In the study on the impact of waste management practices on air quality in Nairobi City County, it was recognized that air pollutants are not stationary and can disperse through atmospheric movement, weather patterns, and seasonal variations. As a result, the study considered several approaches to account for the movement and variability of pollutants originating from waste management activities such as open burning, decomposition, and waste transportation.</w:t>
      </w:r>
    </w:p>
    <w:p w14:paraId="6BB1806B" w14:textId="77777777" w:rsidR="00706D2C" w:rsidRPr="00E71A36" w:rsidRDefault="00706D2C" w:rsidP="008027C8">
      <w:pPr>
        <w:spacing w:line="360" w:lineRule="auto"/>
        <w:jc w:val="both"/>
        <w:rPr>
          <w:rFonts w:ascii="Garamond" w:hAnsi="Garamond"/>
        </w:rPr>
      </w:pPr>
      <w:r w:rsidRPr="00E71A36">
        <w:rPr>
          <w:rFonts w:ascii="Garamond" w:hAnsi="Garamond"/>
        </w:rPr>
        <w:t>First, different types of pollutants associated with waste management were considered during the assessment. These included particulate matter (PM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xml:space="preserve"> and PM</w:t>
      </w:r>
      <w:r w:rsidRPr="00E71A36">
        <w:rPr>
          <w:rFonts w:ascii="Cambria Math" w:hAnsi="Cambria Math" w:cs="Cambria Math"/>
        </w:rPr>
        <w:t>₁₀</w:t>
      </w:r>
      <w:r w:rsidRPr="00E71A36">
        <w:rPr>
          <w:rFonts w:ascii="Garamond" w:hAnsi="Garamond"/>
        </w:rPr>
        <w:t>), carbon monoxide (CO), nitrogen oxides (NO</w:t>
      </w:r>
      <w:r w:rsidRPr="00E71A36">
        <w:rPr>
          <w:rFonts w:ascii="Times New Roman" w:hAnsi="Times New Roman" w:cs="Times New Roman"/>
        </w:rPr>
        <w:t>ₓ</w:t>
      </w:r>
      <w:r w:rsidRPr="00E71A36">
        <w:rPr>
          <w:rFonts w:ascii="Garamond" w:hAnsi="Garamond"/>
        </w:rPr>
        <w:t>), sulfur dioxide (SO</w:t>
      </w:r>
      <w:r w:rsidRPr="00E71A36">
        <w:rPr>
          <w:rFonts w:ascii="Cambria Math" w:hAnsi="Cambria Math" w:cs="Cambria Math"/>
        </w:rPr>
        <w:t>₂</w:t>
      </w:r>
      <w:r w:rsidRPr="00E71A36">
        <w:rPr>
          <w:rFonts w:ascii="Garamond" w:hAnsi="Garamond"/>
        </w:rPr>
        <w:t>), and volatile organic compounds (VOCs), which are commonly produced during waste burning and decomposition. Measurements were conducted at multiple points around waste handling areas, collection points, and disposal sites to capture the spatial variation of pollutants. By collecting data at different locations and distances from waste burning or dumping sites, the study accounted for pollutant dispersion caused by wind movement and atmospheric mixing.</w:t>
      </w:r>
    </w:p>
    <w:p w14:paraId="1398773E" w14:textId="77777777" w:rsidR="00706D2C" w:rsidRPr="00E71A36" w:rsidRDefault="00706D2C" w:rsidP="008027C8">
      <w:pPr>
        <w:spacing w:line="360" w:lineRule="auto"/>
        <w:jc w:val="both"/>
        <w:rPr>
          <w:rFonts w:ascii="Garamond" w:hAnsi="Garamond"/>
        </w:rPr>
      </w:pPr>
      <w:r w:rsidRPr="00E71A36">
        <w:rPr>
          <w:rFonts w:ascii="Garamond" w:hAnsi="Garamond"/>
        </w:rPr>
        <w:t>Secondly, the study incorporated temporal variations in air quality measurements to account for fluctuations in pollutant concentration throughout the day and across different periods of the year. Sampling was conducted at different times to capture variations associated with human activities such as waste burning in the morning or evening. This helped reduce the possibility of overestimating or underestimating pollution levels due to short-term emission spikes.</w:t>
      </w:r>
    </w:p>
    <w:p w14:paraId="5B234E6D" w14:textId="77777777" w:rsidR="00706D2C" w:rsidRPr="00E71A36" w:rsidRDefault="00706D2C" w:rsidP="008027C8">
      <w:pPr>
        <w:spacing w:line="360" w:lineRule="auto"/>
        <w:jc w:val="both"/>
        <w:rPr>
          <w:rFonts w:ascii="Garamond" w:hAnsi="Garamond"/>
        </w:rPr>
      </w:pPr>
      <w:r w:rsidRPr="00E71A36">
        <w:rPr>
          <w:rFonts w:ascii="Garamond" w:hAnsi="Garamond"/>
        </w:rPr>
        <w:t>Seasonal weather conditions, particularly rainfall, were also considered in the interpretation of results. During the rainy season in Nairobi, rainfall can lead to wet deposition and dilution of airborne pollutants, whereby rainwater removes particulate matter and certain gaseous pollutants from the atmosphere. This natural cleansing effect generally leads to lower measured pollutant concentrations compared to dry periods. In the study, measurements were interpreted with reference to prevailing meteorological conditions so that lower pollution levels during rainy periods were not mistakenly attributed solely to improved waste management practices.</w:t>
      </w:r>
    </w:p>
    <w:p w14:paraId="7484A1AF" w14:textId="77777777" w:rsidR="00706D2C" w:rsidRPr="00E71A36" w:rsidRDefault="00706D2C" w:rsidP="008027C8">
      <w:pPr>
        <w:spacing w:line="360" w:lineRule="auto"/>
        <w:jc w:val="both"/>
        <w:rPr>
          <w:rFonts w:ascii="Garamond" w:hAnsi="Garamond"/>
        </w:rPr>
      </w:pPr>
      <w:r w:rsidRPr="00E71A36">
        <w:rPr>
          <w:rFonts w:ascii="Garamond" w:hAnsi="Garamond"/>
        </w:rPr>
        <w:t>To further address this issue, the study considered meteorological parameters such as rainfall, wind direction, and wind speed when analyzing air quality data. Rainfall data obtained from local meteorological records helped explain fluctuations in pollutant concentrations across sampling periods. When interpreting results, pollutant levels recorded during heavy rainfall periods were carefully evaluated to recognize the potential dilution or wash-out effect caused by precipitation.</w:t>
      </w:r>
    </w:p>
    <w:p w14:paraId="1F3B9A9B" w14:textId="77777777" w:rsidR="00706D2C" w:rsidRPr="00E71A36" w:rsidRDefault="00706D2C" w:rsidP="008027C8">
      <w:pPr>
        <w:spacing w:line="360" w:lineRule="auto"/>
        <w:jc w:val="both"/>
        <w:rPr>
          <w:rFonts w:ascii="Garamond" w:hAnsi="Garamond"/>
        </w:rPr>
      </w:pPr>
      <w:r w:rsidRPr="00E71A36">
        <w:rPr>
          <w:rFonts w:ascii="Garamond" w:hAnsi="Garamond"/>
        </w:rPr>
        <w:lastRenderedPageBreak/>
        <w:t>Overall, by accounting for pollutant dispersion, multiple pollutant types, spatial sampling locations, and seasonal weather effects, the study ensured that the air quality results reflected the real influence of waste management practices rather than temporary atmospheric conditions. Factoring in rainfall-related dilution strengthened the reliability of the findings and helped provide a more accurate assessment of the relationship between waste management activities and air quality in Nairobi City County.</w:t>
      </w:r>
    </w:p>
    <w:p w14:paraId="4CA6F2AA" w14:textId="0CD03D03" w:rsidR="00706D2C" w:rsidRPr="00E71A36" w:rsidRDefault="00006810" w:rsidP="008027C8">
      <w:pPr>
        <w:spacing w:line="360" w:lineRule="auto"/>
        <w:jc w:val="both"/>
        <w:rPr>
          <w:rFonts w:ascii="Garamond" w:hAnsi="Garamond"/>
          <w:b/>
        </w:rPr>
      </w:pPr>
      <w:bookmarkStart w:id="39" w:name="_Toc224480380"/>
      <w:r w:rsidRPr="00E71A36">
        <w:rPr>
          <w:rFonts w:ascii="Garamond" w:hAnsi="Garamond"/>
          <w:b/>
        </w:rPr>
        <w:t>3.15.</w:t>
      </w:r>
      <w:r w:rsidR="00706D2C" w:rsidRPr="00E71A36">
        <w:rPr>
          <w:rFonts w:ascii="Garamond" w:hAnsi="Garamond"/>
          <w:b/>
        </w:rPr>
        <w:t xml:space="preserve"> Pollutant Concentration Levels and Pollutant Log Indices</w:t>
      </w:r>
      <w:bookmarkEnd w:id="39"/>
    </w:p>
    <w:p w14:paraId="3BB8531A" w14:textId="77777777" w:rsidR="00706D2C" w:rsidRPr="00E71A36" w:rsidRDefault="00706D2C" w:rsidP="008027C8">
      <w:pPr>
        <w:spacing w:line="360" w:lineRule="auto"/>
        <w:jc w:val="both"/>
        <w:rPr>
          <w:rFonts w:ascii="Garamond" w:hAnsi="Garamond"/>
        </w:rPr>
      </w:pPr>
      <w:r w:rsidRPr="00E71A36">
        <w:rPr>
          <w:rFonts w:ascii="Garamond" w:hAnsi="Garamond"/>
        </w:rPr>
        <w:t>In the study on the Impact of Waste Management Practices and Air Quality in Nairobi City County, pollutant concentration levels were analyzed using both measured concentration values and log-transformed pollutant indices. The use of pollutant indices helps standardize measurements across pollutants with different units, while log transformation reduces skewness in environmental data and allows better comparison of pollution intensity across sampling sites. The indices also make it easier to interpret variations in pollutant levels associated with waste management practices such as open burning, waste accumulation, and transportation emissions.</w:t>
      </w:r>
    </w:p>
    <w:p w14:paraId="0137CF34" w14:textId="77777777" w:rsidR="00006810" w:rsidRPr="00E71A36" w:rsidRDefault="00006810" w:rsidP="008027C8">
      <w:pPr>
        <w:spacing w:line="360" w:lineRule="auto"/>
        <w:jc w:val="both"/>
        <w:rPr>
          <w:rFonts w:ascii="Garamond" w:hAnsi="Garamond"/>
        </w:rPr>
      </w:pPr>
      <w:bookmarkStart w:id="40" w:name="_Toc224480937"/>
    </w:p>
    <w:p w14:paraId="3891D5B5" w14:textId="77777777" w:rsidR="002E5751" w:rsidRPr="00E71A36" w:rsidRDefault="002E5751" w:rsidP="008027C8">
      <w:pPr>
        <w:spacing w:line="360" w:lineRule="auto"/>
        <w:jc w:val="both"/>
        <w:rPr>
          <w:rFonts w:ascii="Garamond" w:hAnsi="Garamond"/>
        </w:rPr>
      </w:pPr>
    </w:p>
    <w:p w14:paraId="4DC05619" w14:textId="77777777" w:rsidR="002E5751" w:rsidRPr="00E71A36" w:rsidRDefault="002E5751" w:rsidP="008027C8">
      <w:pPr>
        <w:spacing w:line="360" w:lineRule="auto"/>
        <w:jc w:val="both"/>
        <w:rPr>
          <w:rFonts w:ascii="Garamond" w:hAnsi="Garamond"/>
        </w:rPr>
      </w:pPr>
    </w:p>
    <w:p w14:paraId="2958E324" w14:textId="03A1E3DD" w:rsidR="00706D2C" w:rsidRPr="00E71A36" w:rsidRDefault="00706D2C" w:rsidP="008027C8">
      <w:pPr>
        <w:spacing w:line="360" w:lineRule="auto"/>
        <w:jc w:val="both"/>
        <w:rPr>
          <w:rFonts w:ascii="Garamond" w:hAnsi="Garamond"/>
          <w:b/>
        </w:rPr>
      </w:pPr>
      <w:r w:rsidRPr="00E71A36">
        <w:rPr>
          <w:rFonts w:ascii="Garamond" w:hAnsi="Garamond"/>
          <w:b/>
        </w:rPr>
        <w:t xml:space="preserve">Table </w:t>
      </w:r>
      <w:r w:rsidR="00AD68F5" w:rsidRPr="00E71A36">
        <w:rPr>
          <w:rFonts w:ascii="Garamond" w:hAnsi="Garamond"/>
          <w:b/>
        </w:rPr>
        <w:t>7</w:t>
      </w:r>
      <w:r w:rsidRPr="00E71A36">
        <w:rPr>
          <w:rFonts w:ascii="Garamond" w:hAnsi="Garamond"/>
          <w:b/>
        </w:rPr>
        <w:t>: Pollutant Concentration Levels and Pollutant Log Indices</w:t>
      </w:r>
      <w:bookmarkEnd w:id="4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0"/>
        <w:gridCol w:w="1811"/>
        <w:gridCol w:w="1697"/>
        <w:gridCol w:w="1131"/>
        <w:gridCol w:w="1239"/>
        <w:gridCol w:w="2562"/>
      </w:tblGrid>
      <w:tr w:rsidR="00E71A36" w:rsidRPr="00E71A36" w14:paraId="323939A0" w14:textId="77777777" w:rsidTr="00B60735">
        <w:trPr>
          <w:tblHeader/>
          <w:tblCellSpacing w:w="15" w:type="dxa"/>
        </w:trPr>
        <w:tc>
          <w:tcPr>
            <w:tcW w:w="0" w:type="auto"/>
            <w:tcBorders>
              <w:top w:val="single" w:sz="4" w:space="0" w:color="auto"/>
              <w:bottom w:val="single" w:sz="4" w:space="0" w:color="auto"/>
            </w:tcBorders>
            <w:vAlign w:val="center"/>
            <w:hideMark/>
          </w:tcPr>
          <w:p w14:paraId="520E959F" w14:textId="77777777" w:rsidR="00706D2C" w:rsidRPr="00E71A36" w:rsidRDefault="00706D2C" w:rsidP="008027C8">
            <w:pPr>
              <w:spacing w:line="360" w:lineRule="auto"/>
              <w:jc w:val="both"/>
              <w:rPr>
                <w:rFonts w:ascii="Garamond" w:hAnsi="Garamond"/>
              </w:rPr>
            </w:pPr>
            <w:r w:rsidRPr="00E71A36">
              <w:rPr>
                <w:rFonts w:ascii="Garamond" w:hAnsi="Garamond"/>
              </w:rPr>
              <w:t>Pollutant</w:t>
            </w:r>
          </w:p>
        </w:tc>
        <w:tc>
          <w:tcPr>
            <w:tcW w:w="0" w:type="auto"/>
            <w:tcBorders>
              <w:top w:val="single" w:sz="4" w:space="0" w:color="auto"/>
              <w:bottom w:val="single" w:sz="4" w:space="0" w:color="auto"/>
            </w:tcBorders>
            <w:vAlign w:val="center"/>
            <w:hideMark/>
          </w:tcPr>
          <w:p w14:paraId="148EE1C9" w14:textId="77777777" w:rsidR="00706D2C" w:rsidRPr="00E71A36" w:rsidRDefault="00706D2C" w:rsidP="008027C8">
            <w:pPr>
              <w:spacing w:line="360" w:lineRule="auto"/>
              <w:jc w:val="both"/>
              <w:rPr>
                <w:rFonts w:ascii="Garamond" w:hAnsi="Garamond"/>
              </w:rPr>
            </w:pPr>
            <w:r w:rsidRPr="00E71A36">
              <w:rPr>
                <w:rFonts w:ascii="Garamond" w:hAnsi="Garamond"/>
              </w:rPr>
              <w:t>Mean Concentration (µg/m³ or ppm)</w:t>
            </w:r>
          </w:p>
        </w:tc>
        <w:tc>
          <w:tcPr>
            <w:tcW w:w="0" w:type="auto"/>
            <w:tcBorders>
              <w:top w:val="single" w:sz="4" w:space="0" w:color="auto"/>
              <w:bottom w:val="single" w:sz="4" w:space="0" w:color="auto"/>
            </w:tcBorders>
            <w:vAlign w:val="center"/>
            <w:hideMark/>
          </w:tcPr>
          <w:p w14:paraId="48789A82" w14:textId="77777777" w:rsidR="00706D2C" w:rsidRPr="00E71A36" w:rsidRDefault="00706D2C" w:rsidP="008027C8">
            <w:pPr>
              <w:spacing w:line="360" w:lineRule="auto"/>
              <w:jc w:val="both"/>
              <w:rPr>
                <w:rFonts w:ascii="Garamond" w:hAnsi="Garamond"/>
              </w:rPr>
            </w:pPr>
            <w:r w:rsidRPr="00E71A36">
              <w:rPr>
                <w:rFonts w:ascii="Garamond" w:hAnsi="Garamond"/>
              </w:rPr>
              <w:t>WHO Recommended Limit</w:t>
            </w:r>
          </w:p>
        </w:tc>
        <w:tc>
          <w:tcPr>
            <w:tcW w:w="0" w:type="auto"/>
            <w:tcBorders>
              <w:top w:val="single" w:sz="4" w:space="0" w:color="auto"/>
              <w:bottom w:val="single" w:sz="4" w:space="0" w:color="auto"/>
            </w:tcBorders>
            <w:vAlign w:val="center"/>
            <w:hideMark/>
          </w:tcPr>
          <w:p w14:paraId="55CC59CC" w14:textId="77777777" w:rsidR="00706D2C" w:rsidRPr="00E71A36" w:rsidRDefault="00706D2C" w:rsidP="008027C8">
            <w:pPr>
              <w:spacing w:line="360" w:lineRule="auto"/>
              <w:jc w:val="both"/>
              <w:rPr>
                <w:rFonts w:ascii="Garamond" w:hAnsi="Garamond"/>
              </w:rPr>
            </w:pPr>
            <w:r w:rsidRPr="00E71A36">
              <w:rPr>
                <w:rFonts w:ascii="Garamond" w:hAnsi="Garamond"/>
              </w:rPr>
              <w:t>Pollution Index (PI)*</w:t>
            </w:r>
          </w:p>
        </w:tc>
        <w:tc>
          <w:tcPr>
            <w:tcW w:w="0" w:type="auto"/>
            <w:tcBorders>
              <w:top w:val="single" w:sz="4" w:space="0" w:color="auto"/>
              <w:bottom w:val="single" w:sz="4" w:space="0" w:color="auto"/>
            </w:tcBorders>
            <w:vAlign w:val="center"/>
            <w:hideMark/>
          </w:tcPr>
          <w:p w14:paraId="1B9DC885" w14:textId="77777777" w:rsidR="00706D2C" w:rsidRPr="00E71A36" w:rsidRDefault="00706D2C" w:rsidP="008027C8">
            <w:pPr>
              <w:spacing w:line="360" w:lineRule="auto"/>
              <w:jc w:val="both"/>
              <w:rPr>
                <w:rFonts w:ascii="Garamond" w:hAnsi="Garamond"/>
              </w:rPr>
            </w:pPr>
            <w:r w:rsidRPr="00E71A36">
              <w:rPr>
                <w:rFonts w:ascii="Garamond" w:hAnsi="Garamond"/>
              </w:rPr>
              <w:t>Log Pollution Index (ln PI)</w:t>
            </w:r>
          </w:p>
        </w:tc>
        <w:tc>
          <w:tcPr>
            <w:tcW w:w="0" w:type="auto"/>
            <w:tcBorders>
              <w:top w:val="single" w:sz="4" w:space="0" w:color="auto"/>
              <w:bottom w:val="single" w:sz="4" w:space="0" w:color="auto"/>
            </w:tcBorders>
            <w:vAlign w:val="center"/>
            <w:hideMark/>
          </w:tcPr>
          <w:p w14:paraId="0F224EE4" w14:textId="77777777" w:rsidR="00706D2C" w:rsidRPr="00E71A36" w:rsidRDefault="00706D2C" w:rsidP="008027C8">
            <w:pPr>
              <w:spacing w:line="360" w:lineRule="auto"/>
              <w:jc w:val="both"/>
              <w:rPr>
                <w:rFonts w:ascii="Garamond" w:hAnsi="Garamond"/>
              </w:rPr>
            </w:pPr>
            <w:r w:rsidRPr="00E71A36">
              <w:rPr>
                <w:rFonts w:ascii="Garamond" w:hAnsi="Garamond"/>
              </w:rPr>
              <w:t>Interpretation</w:t>
            </w:r>
          </w:p>
        </w:tc>
      </w:tr>
      <w:tr w:rsidR="00E71A36" w:rsidRPr="00E71A36" w14:paraId="16215F38" w14:textId="77777777" w:rsidTr="00B60735">
        <w:trPr>
          <w:tblCellSpacing w:w="15" w:type="dxa"/>
        </w:trPr>
        <w:tc>
          <w:tcPr>
            <w:tcW w:w="0" w:type="auto"/>
            <w:vAlign w:val="center"/>
            <w:hideMark/>
          </w:tcPr>
          <w:p w14:paraId="58647CD3" w14:textId="77777777" w:rsidR="00706D2C" w:rsidRPr="00E71A36" w:rsidRDefault="00706D2C" w:rsidP="008027C8">
            <w:pPr>
              <w:spacing w:line="360" w:lineRule="auto"/>
              <w:jc w:val="both"/>
              <w:rPr>
                <w:rFonts w:ascii="Garamond" w:hAnsi="Garamond"/>
              </w:rPr>
            </w:pPr>
            <w:r w:rsidRPr="00E71A36">
              <w:rPr>
                <w:rFonts w:ascii="Garamond" w:hAnsi="Garamond"/>
              </w:rPr>
              <w:t>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
        </w:tc>
        <w:tc>
          <w:tcPr>
            <w:tcW w:w="0" w:type="auto"/>
            <w:vAlign w:val="center"/>
            <w:hideMark/>
          </w:tcPr>
          <w:p w14:paraId="2215925B" w14:textId="77777777" w:rsidR="00706D2C" w:rsidRPr="00E71A36" w:rsidRDefault="00706D2C" w:rsidP="008027C8">
            <w:pPr>
              <w:spacing w:line="360" w:lineRule="auto"/>
              <w:jc w:val="both"/>
              <w:rPr>
                <w:rFonts w:ascii="Garamond" w:hAnsi="Garamond"/>
              </w:rPr>
            </w:pPr>
            <w:r w:rsidRPr="00E71A36">
              <w:rPr>
                <w:rFonts w:ascii="Garamond" w:hAnsi="Garamond"/>
              </w:rPr>
              <w:t>48.5 µg/m³</w:t>
            </w:r>
          </w:p>
        </w:tc>
        <w:tc>
          <w:tcPr>
            <w:tcW w:w="0" w:type="auto"/>
            <w:vAlign w:val="center"/>
            <w:hideMark/>
          </w:tcPr>
          <w:p w14:paraId="309C6F85" w14:textId="77777777" w:rsidR="00706D2C" w:rsidRPr="00E71A36" w:rsidRDefault="00706D2C" w:rsidP="008027C8">
            <w:pPr>
              <w:spacing w:line="360" w:lineRule="auto"/>
              <w:jc w:val="both"/>
              <w:rPr>
                <w:rFonts w:ascii="Garamond" w:hAnsi="Garamond"/>
              </w:rPr>
            </w:pPr>
            <w:r w:rsidRPr="00E71A36">
              <w:rPr>
                <w:rFonts w:ascii="Garamond" w:hAnsi="Garamond"/>
              </w:rPr>
              <w:t>15 µg/m³</w:t>
            </w:r>
          </w:p>
        </w:tc>
        <w:tc>
          <w:tcPr>
            <w:tcW w:w="0" w:type="auto"/>
            <w:vAlign w:val="center"/>
            <w:hideMark/>
          </w:tcPr>
          <w:p w14:paraId="7C6F1F93" w14:textId="77777777" w:rsidR="00706D2C" w:rsidRPr="00E71A36" w:rsidRDefault="00706D2C" w:rsidP="008027C8">
            <w:pPr>
              <w:spacing w:line="360" w:lineRule="auto"/>
              <w:jc w:val="both"/>
              <w:rPr>
                <w:rFonts w:ascii="Garamond" w:hAnsi="Garamond"/>
              </w:rPr>
            </w:pPr>
            <w:r w:rsidRPr="00E71A36">
              <w:rPr>
                <w:rFonts w:ascii="Garamond" w:hAnsi="Garamond"/>
              </w:rPr>
              <w:t>3.23</w:t>
            </w:r>
          </w:p>
        </w:tc>
        <w:tc>
          <w:tcPr>
            <w:tcW w:w="0" w:type="auto"/>
            <w:vAlign w:val="center"/>
            <w:hideMark/>
          </w:tcPr>
          <w:p w14:paraId="4E1B3793" w14:textId="77777777" w:rsidR="00706D2C" w:rsidRPr="00E71A36" w:rsidRDefault="00706D2C" w:rsidP="008027C8">
            <w:pPr>
              <w:spacing w:line="360" w:lineRule="auto"/>
              <w:jc w:val="both"/>
              <w:rPr>
                <w:rFonts w:ascii="Garamond" w:hAnsi="Garamond"/>
              </w:rPr>
            </w:pPr>
            <w:r w:rsidRPr="00E71A36">
              <w:rPr>
                <w:rFonts w:ascii="Garamond" w:hAnsi="Garamond"/>
              </w:rPr>
              <w:t>1.17</w:t>
            </w:r>
          </w:p>
        </w:tc>
        <w:tc>
          <w:tcPr>
            <w:tcW w:w="0" w:type="auto"/>
            <w:vAlign w:val="center"/>
            <w:hideMark/>
          </w:tcPr>
          <w:p w14:paraId="052FCEE8" w14:textId="77777777" w:rsidR="00706D2C" w:rsidRPr="00E71A36" w:rsidRDefault="00706D2C" w:rsidP="008027C8">
            <w:pPr>
              <w:spacing w:line="360" w:lineRule="auto"/>
              <w:jc w:val="both"/>
              <w:rPr>
                <w:rFonts w:ascii="Garamond" w:hAnsi="Garamond"/>
              </w:rPr>
            </w:pPr>
            <w:r w:rsidRPr="00E71A36">
              <w:rPr>
                <w:rFonts w:ascii="Garamond" w:hAnsi="Garamond"/>
              </w:rPr>
              <w:t>High pollution level, likely influenced by waste burning and traffic emissions</w:t>
            </w:r>
          </w:p>
        </w:tc>
      </w:tr>
      <w:tr w:rsidR="00E71A36" w:rsidRPr="00E71A36" w14:paraId="27818980" w14:textId="77777777" w:rsidTr="00B60735">
        <w:trPr>
          <w:tblCellSpacing w:w="15" w:type="dxa"/>
        </w:trPr>
        <w:tc>
          <w:tcPr>
            <w:tcW w:w="0" w:type="auto"/>
            <w:vAlign w:val="center"/>
            <w:hideMark/>
          </w:tcPr>
          <w:p w14:paraId="194E9F05" w14:textId="77777777" w:rsidR="00706D2C" w:rsidRPr="00E71A36" w:rsidRDefault="00706D2C" w:rsidP="008027C8">
            <w:pPr>
              <w:spacing w:line="360" w:lineRule="auto"/>
              <w:jc w:val="both"/>
              <w:rPr>
                <w:rFonts w:ascii="Garamond" w:hAnsi="Garamond"/>
              </w:rPr>
            </w:pPr>
            <w:r w:rsidRPr="00E71A36">
              <w:rPr>
                <w:rFonts w:ascii="Garamond" w:hAnsi="Garamond"/>
              </w:rPr>
              <w:t>PM</w:t>
            </w:r>
            <w:r w:rsidRPr="00E71A36">
              <w:rPr>
                <w:rFonts w:ascii="Cambria Math" w:hAnsi="Cambria Math" w:cs="Cambria Math"/>
              </w:rPr>
              <w:t>₁₀</w:t>
            </w:r>
          </w:p>
        </w:tc>
        <w:tc>
          <w:tcPr>
            <w:tcW w:w="0" w:type="auto"/>
            <w:vAlign w:val="center"/>
            <w:hideMark/>
          </w:tcPr>
          <w:p w14:paraId="783734B7" w14:textId="77777777" w:rsidR="00706D2C" w:rsidRPr="00E71A36" w:rsidRDefault="00706D2C" w:rsidP="008027C8">
            <w:pPr>
              <w:spacing w:line="360" w:lineRule="auto"/>
              <w:jc w:val="both"/>
              <w:rPr>
                <w:rFonts w:ascii="Garamond" w:hAnsi="Garamond"/>
              </w:rPr>
            </w:pPr>
            <w:r w:rsidRPr="00E71A36">
              <w:rPr>
                <w:rFonts w:ascii="Garamond" w:hAnsi="Garamond"/>
              </w:rPr>
              <w:t>92.4 µg/m³</w:t>
            </w:r>
          </w:p>
        </w:tc>
        <w:tc>
          <w:tcPr>
            <w:tcW w:w="0" w:type="auto"/>
            <w:vAlign w:val="center"/>
            <w:hideMark/>
          </w:tcPr>
          <w:p w14:paraId="78EE4FA1" w14:textId="77777777" w:rsidR="00706D2C" w:rsidRPr="00E71A36" w:rsidRDefault="00706D2C" w:rsidP="008027C8">
            <w:pPr>
              <w:spacing w:line="360" w:lineRule="auto"/>
              <w:jc w:val="both"/>
              <w:rPr>
                <w:rFonts w:ascii="Garamond" w:hAnsi="Garamond"/>
              </w:rPr>
            </w:pPr>
            <w:r w:rsidRPr="00E71A36">
              <w:rPr>
                <w:rFonts w:ascii="Garamond" w:hAnsi="Garamond"/>
              </w:rPr>
              <w:t>45 µg/m³</w:t>
            </w:r>
          </w:p>
        </w:tc>
        <w:tc>
          <w:tcPr>
            <w:tcW w:w="0" w:type="auto"/>
            <w:vAlign w:val="center"/>
            <w:hideMark/>
          </w:tcPr>
          <w:p w14:paraId="6971DD21" w14:textId="77777777" w:rsidR="00706D2C" w:rsidRPr="00E71A36" w:rsidRDefault="00706D2C" w:rsidP="008027C8">
            <w:pPr>
              <w:spacing w:line="360" w:lineRule="auto"/>
              <w:jc w:val="both"/>
              <w:rPr>
                <w:rFonts w:ascii="Garamond" w:hAnsi="Garamond"/>
              </w:rPr>
            </w:pPr>
            <w:r w:rsidRPr="00E71A36">
              <w:rPr>
                <w:rFonts w:ascii="Garamond" w:hAnsi="Garamond"/>
              </w:rPr>
              <w:t>2.05</w:t>
            </w:r>
          </w:p>
        </w:tc>
        <w:tc>
          <w:tcPr>
            <w:tcW w:w="0" w:type="auto"/>
            <w:vAlign w:val="center"/>
            <w:hideMark/>
          </w:tcPr>
          <w:p w14:paraId="503D2EC0" w14:textId="77777777" w:rsidR="00706D2C" w:rsidRPr="00E71A36" w:rsidRDefault="00706D2C" w:rsidP="008027C8">
            <w:pPr>
              <w:spacing w:line="360" w:lineRule="auto"/>
              <w:jc w:val="both"/>
              <w:rPr>
                <w:rFonts w:ascii="Garamond" w:hAnsi="Garamond"/>
              </w:rPr>
            </w:pPr>
            <w:r w:rsidRPr="00E71A36">
              <w:rPr>
                <w:rFonts w:ascii="Garamond" w:hAnsi="Garamond"/>
              </w:rPr>
              <w:t>0.72</w:t>
            </w:r>
          </w:p>
        </w:tc>
        <w:tc>
          <w:tcPr>
            <w:tcW w:w="0" w:type="auto"/>
            <w:vAlign w:val="center"/>
            <w:hideMark/>
          </w:tcPr>
          <w:p w14:paraId="56376DF1" w14:textId="77777777" w:rsidR="00706D2C" w:rsidRPr="00E71A36" w:rsidRDefault="00706D2C" w:rsidP="008027C8">
            <w:pPr>
              <w:spacing w:line="360" w:lineRule="auto"/>
              <w:jc w:val="both"/>
              <w:rPr>
                <w:rFonts w:ascii="Garamond" w:hAnsi="Garamond"/>
              </w:rPr>
            </w:pPr>
            <w:r w:rsidRPr="00E71A36">
              <w:rPr>
                <w:rFonts w:ascii="Garamond" w:hAnsi="Garamond"/>
              </w:rPr>
              <w:t>Moderately high particulate pollution</w:t>
            </w:r>
          </w:p>
        </w:tc>
      </w:tr>
      <w:tr w:rsidR="00E71A36" w:rsidRPr="00E71A36" w14:paraId="4F7DBCAF" w14:textId="77777777" w:rsidTr="00B60735">
        <w:trPr>
          <w:tblCellSpacing w:w="15" w:type="dxa"/>
        </w:trPr>
        <w:tc>
          <w:tcPr>
            <w:tcW w:w="0" w:type="auto"/>
            <w:vAlign w:val="center"/>
            <w:hideMark/>
          </w:tcPr>
          <w:p w14:paraId="2F84A9E6" w14:textId="77777777" w:rsidR="00706D2C" w:rsidRPr="00E71A36" w:rsidRDefault="00706D2C" w:rsidP="008027C8">
            <w:pPr>
              <w:spacing w:line="360" w:lineRule="auto"/>
              <w:jc w:val="both"/>
              <w:rPr>
                <w:rFonts w:ascii="Garamond" w:hAnsi="Garamond"/>
              </w:rPr>
            </w:pPr>
            <w:r w:rsidRPr="00E71A36">
              <w:rPr>
                <w:rFonts w:ascii="Garamond" w:hAnsi="Garamond"/>
              </w:rPr>
              <w:lastRenderedPageBreak/>
              <w:t>CO</w:t>
            </w:r>
          </w:p>
        </w:tc>
        <w:tc>
          <w:tcPr>
            <w:tcW w:w="0" w:type="auto"/>
            <w:vAlign w:val="center"/>
            <w:hideMark/>
          </w:tcPr>
          <w:p w14:paraId="0F76B174" w14:textId="77777777" w:rsidR="00706D2C" w:rsidRPr="00E71A36" w:rsidRDefault="00706D2C" w:rsidP="008027C8">
            <w:pPr>
              <w:spacing w:line="360" w:lineRule="auto"/>
              <w:jc w:val="both"/>
              <w:rPr>
                <w:rFonts w:ascii="Garamond" w:hAnsi="Garamond"/>
              </w:rPr>
            </w:pPr>
            <w:r w:rsidRPr="00E71A36">
              <w:rPr>
                <w:rFonts w:ascii="Garamond" w:hAnsi="Garamond"/>
              </w:rPr>
              <w:t>6.2 ppm</w:t>
            </w:r>
          </w:p>
        </w:tc>
        <w:tc>
          <w:tcPr>
            <w:tcW w:w="0" w:type="auto"/>
            <w:vAlign w:val="center"/>
            <w:hideMark/>
          </w:tcPr>
          <w:p w14:paraId="57825AE6" w14:textId="77777777" w:rsidR="00706D2C" w:rsidRPr="00E71A36" w:rsidRDefault="00706D2C" w:rsidP="008027C8">
            <w:pPr>
              <w:spacing w:line="360" w:lineRule="auto"/>
              <w:jc w:val="both"/>
              <w:rPr>
                <w:rFonts w:ascii="Garamond" w:hAnsi="Garamond"/>
              </w:rPr>
            </w:pPr>
            <w:r w:rsidRPr="00E71A36">
              <w:rPr>
                <w:rFonts w:ascii="Garamond" w:hAnsi="Garamond"/>
              </w:rPr>
              <w:t>9 ppm</w:t>
            </w:r>
          </w:p>
        </w:tc>
        <w:tc>
          <w:tcPr>
            <w:tcW w:w="0" w:type="auto"/>
            <w:vAlign w:val="center"/>
            <w:hideMark/>
          </w:tcPr>
          <w:p w14:paraId="3EE60664" w14:textId="77777777" w:rsidR="00706D2C" w:rsidRPr="00E71A36" w:rsidRDefault="00706D2C" w:rsidP="008027C8">
            <w:pPr>
              <w:spacing w:line="360" w:lineRule="auto"/>
              <w:jc w:val="both"/>
              <w:rPr>
                <w:rFonts w:ascii="Garamond" w:hAnsi="Garamond"/>
              </w:rPr>
            </w:pPr>
            <w:r w:rsidRPr="00E71A36">
              <w:rPr>
                <w:rFonts w:ascii="Garamond" w:hAnsi="Garamond"/>
              </w:rPr>
              <w:t>0.69</w:t>
            </w:r>
          </w:p>
        </w:tc>
        <w:tc>
          <w:tcPr>
            <w:tcW w:w="0" w:type="auto"/>
            <w:vAlign w:val="center"/>
            <w:hideMark/>
          </w:tcPr>
          <w:p w14:paraId="19900631" w14:textId="77777777" w:rsidR="00706D2C" w:rsidRPr="00E71A36" w:rsidRDefault="00706D2C" w:rsidP="008027C8">
            <w:pPr>
              <w:spacing w:line="360" w:lineRule="auto"/>
              <w:jc w:val="both"/>
              <w:rPr>
                <w:rFonts w:ascii="Garamond" w:hAnsi="Garamond"/>
              </w:rPr>
            </w:pPr>
            <w:r w:rsidRPr="00E71A36">
              <w:rPr>
                <w:rFonts w:ascii="Garamond" w:hAnsi="Garamond"/>
              </w:rPr>
              <w:t>-0.37</w:t>
            </w:r>
          </w:p>
        </w:tc>
        <w:tc>
          <w:tcPr>
            <w:tcW w:w="0" w:type="auto"/>
            <w:vAlign w:val="center"/>
            <w:hideMark/>
          </w:tcPr>
          <w:p w14:paraId="454A53CD" w14:textId="77777777" w:rsidR="00706D2C" w:rsidRPr="00E71A36" w:rsidRDefault="00706D2C" w:rsidP="008027C8">
            <w:pPr>
              <w:spacing w:line="360" w:lineRule="auto"/>
              <w:jc w:val="both"/>
              <w:rPr>
                <w:rFonts w:ascii="Garamond" w:hAnsi="Garamond"/>
              </w:rPr>
            </w:pPr>
            <w:r w:rsidRPr="00E71A36">
              <w:rPr>
                <w:rFonts w:ascii="Garamond" w:hAnsi="Garamond"/>
              </w:rPr>
              <w:t>Within acceptable limits but locally elevated near burning sites</w:t>
            </w:r>
          </w:p>
        </w:tc>
      </w:tr>
      <w:tr w:rsidR="00E71A36" w:rsidRPr="00E71A36" w14:paraId="2E1AAF27" w14:textId="77777777" w:rsidTr="00B60735">
        <w:trPr>
          <w:tblCellSpacing w:w="15" w:type="dxa"/>
        </w:trPr>
        <w:tc>
          <w:tcPr>
            <w:tcW w:w="0" w:type="auto"/>
            <w:vAlign w:val="center"/>
            <w:hideMark/>
          </w:tcPr>
          <w:p w14:paraId="659C34A3" w14:textId="77777777" w:rsidR="00706D2C" w:rsidRPr="00E71A36" w:rsidRDefault="00706D2C" w:rsidP="008027C8">
            <w:pPr>
              <w:spacing w:line="360" w:lineRule="auto"/>
              <w:jc w:val="both"/>
              <w:rPr>
                <w:rFonts w:ascii="Garamond" w:hAnsi="Garamond"/>
              </w:rPr>
            </w:pPr>
            <w:r w:rsidRPr="00E71A36">
              <w:rPr>
                <w:rFonts w:ascii="Garamond" w:hAnsi="Garamond"/>
              </w:rPr>
              <w:t>SO</w:t>
            </w:r>
            <w:r w:rsidRPr="00E71A36">
              <w:rPr>
                <w:rFonts w:ascii="Cambria Math" w:hAnsi="Cambria Math" w:cs="Cambria Math"/>
              </w:rPr>
              <w:t>₂</w:t>
            </w:r>
          </w:p>
        </w:tc>
        <w:tc>
          <w:tcPr>
            <w:tcW w:w="0" w:type="auto"/>
            <w:vAlign w:val="center"/>
            <w:hideMark/>
          </w:tcPr>
          <w:p w14:paraId="349C4222" w14:textId="77777777" w:rsidR="00706D2C" w:rsidRPr="00E71A36" w:rsidRDefault="00706D2C" w:rsidP="008027C8">
            <w:pPr>
              <w:spacing w:line="360" w:lineRule="auto"/>
              <w:jc w:val="both"/>
              <w:rPr>
                <w:rFonts w:ascii="Garamond" w:hAnsi="Garamond"/>
              </w:rPr>
            </w:pPr>
            <w:r w:rsidRPr="00E71A36">
              <w:rPr>
                <w:rFonts w:ascii="Garamond" w:hAnsi="Garamond"/>
              </w:rPr>
              <w:t>18 µg/m³</w:t>
            </w:r>
          </w:p>
        </w:tc>
        <w:tc>
          <w:tcPr>
            <w:tcW w:w="0" w:type="auto"/>
            <w:vAlign w:val="center"/>
            <w:hideMark/>
          </w:tcPr>
          <w:p w14:paraId="69A1E1EC" w14:textId="77777777" w:rsidR="00706D2C" w:rsidRPr="00E71A36" w:rsidRDefault="00706D2C" w:rsidP="008027C8">
            <w:pPr>
              <w:spacing w:line="360" w:lineRule="auto"/>
              <w:jc w:val="both"/>
              <w:rPr>
                <w:rFonts w:ascii="Garamond" w:hAnsi="Garamond"/>
              </w:rPr>
            </w:pPr>
            <w:r w:rsidRPr="00E71A36">
              <w:rPr>
                <w:rFonts w:ascii="Garamond" w:hAnsi="Garamond"/>
              </w:rPr>
              <w:t>40 µg/m³</w:t>
            </w:r>
          </w:p>
        </w:tc>
        <w:tc>
          <w:tcPr>
            <w:tcW w:w="0" w:type="auto"/>
            <w:vAlign w:val="center"/>
            <w:hideMark/>
          </w:tcPr>
          <w:p w14:paraId="02651732" w14:textId="77777777" w:rsidR="00706D2C" w:rsidRPr="00E71A36" w:rsidRDefault="00706D2C" w:rsidP="008027C8">
            <w:pPr>
              <w:spacing w:line="360" w:lineRule="auto"/>
              <w:jc w:val="both"/>
              <w:rPr>
                <w:rFonts w:ascii="Garamond" w:hAnsi="Garamond"/>
              </w:rPr>
            </w:pPr>
            <w:r w:rsidRPr="00E71A36">
              <w:rPr>
                <w:rFonts w:ascii="Garamond" w:hAnsi="Garamond"/>
              </w:rPr>
              <w:t>0.45</w:t>
            </w:r>
          </w:p>
        </w:tc>
        <w:tc>
          <w:tcPr>
            <w:tcW w:w="0" w:type="auto"/>
            <w:vAlign w:val="center"/>
            <w:hideMark/>
          </w:tcPr>
          <w:p w14:paraId="7B378153" w14:textId="77777777" w:rsidR="00706D2C" w:rsidRPr="00E71A36" w:rsidRDefault="00706D2C" w:rsidP="008027C8">
            <w:pPr>
              <w:spacing w:line="360" w:lineRule="auto"/>
              <w:jc w:val="both"/>
              <w:rPr>
                <w:rFonts w:ascii="Garamond" w:hAnsi="Garamond"/>
              </w:rPr>
            </w:pPr>
            <w:r w:rsidRPr="00E71A36">
              <w:rPr>
                <w:rFonts w:ascii="Garamond" w:hAnsi="Garamond"/>
              </w:rPr>
              <w:t>-0.80</w:t>
            </w:r>
          </w:p>
        </w:tc>
        <w:tc>
          <w:tcPr>
            <w:tcW w:w="0" w:type="auto"/>
            <w:vAlign w:val="center"/>
            <w:hideMark/>
          </w:tcPr>
          <w:p w14:paraId="1B6934C8" w14:textId="77777777" w:rsidR="00706D2C" w:rsidRPr="00E71A36" w:rsidRDefault="00706D2C" w:rsidP="008027C8">
            <w:pPr>
              <w:spacing w:line="360" w:lineRule="auto"/>
              <w:jc w:val="both"/>
              <w:rPr>
                <w:rFonts w:ascii="Garamond" w:hAnsi="Garamond"/>
              </w:rPr>
            </w:pPr>
            <w:r w:rsidRPr="00E71A36">
              <w:rPr>
                <w:rFonts w:ascii="Garamond" w:hAnsi="Garamond"/>
              </w:rPr>
              <w:t>Within safe limits</w:t>
            </w:r>
          </w:p>
        </w:tc>
      </w:tr>
      <w:tr w:rsidR="00E71A36" w:rsidRPr="00E71A36" w14:paraId="3AF2245C" w14:textId="77777777" w:rsidTr="00B60735">
        <w:trPr>
          <w:tblCellSpacing w:w="15" w:type="dxa"/>
        </w:trPr>
        <w:tc>
          <w:tcPr>
            <w:tcW w:w="0" w:type="auto"/>
            <w:tcBorders>
              <w:bottom w:val="single" w:sz="4" w:space="0" w:color="auto"/>
            </w:tcBorders>
            <w:vAlign w:val="center"/>
            <w:hideMark/>
          </w:tcPr>
          <w:p w14:paraId="50BE447B" w14:textId="77777777" w:rsidR="00706D2C" w:rsidRPr="00E71A36" w:rsidRDefault="00706D2C" w:rsidP="008027C8">
            <w:pPr>
              <w:spacing w:line="360" w:lineRule="auto"/>
              <w:jc w:val="both"/>
              <w:rPr>
                <w:rFonts w:ascii="Garamond" w:hAnsi="Garamond"/>
              </w:rPr>
            </w:pPr>
            <w:r w:rsidRPr="00E71A36">
              <w:rPr>
                <w:rFonts w:ascii="Garamond" w:hAnsi="Garamond"/>
              </w:rPr>
              <w:t>VOCs</w:t>
            </w:r>
          </w:p>
        </w:tc>
        <w:tc>
          <w:tcPr>
            <w:tcW w:w="0" w:type="auto"/>
            <w:tcBorders>
              <w:bottom w:val="single" w:sz="4" w:space="0" w:color="auto"/>
            </w:tcBorders>
            <w:vAlign w:val="center"/>
            <w:hideMark/>
          </w:tcPr>
          <w:p w14:paraId="2E56104E" w14:textId="77777777" w:rsidR="00706D2C" w:rsidRPr="00E71A36" w:rsidRDefault="00706D2C" w:rsidP="008027C8">
            <w:pPr>
              <w:spacing w:line="360" w:lineRule="auto"/>
              <w:jc w:val="both"/>
              <w:rPr>
                <w:rFonts w:ascii="Garamond" w:hAnsi="Garamond"/>
              </w:rPr>
            </w:pPr>
            <w:r w:rsidRPr="00E71A36">
              <w:rPr>
                <w:rFonts w:ascii="Garamond" w:hAnsi="Garamond"/>
              </w:rPr>
              <w:t>0.82 ppm</w:t>
            </w:r>
          </w:p>
        </w:tc>
        <w:tc>
          <w:tcPr>
            <w:tcW w:w="0" w:type="auto"/>
            <w:tcBorders>
              <w:bottom w:val="single" w:sz="4" w:space="0" w:color="auto"/>
            </w:tcBorders>
            <w:vAlign w:val="center"/>
            <w:hideMark/>
          </w:tcPr>
          <w:p w14:paraId="36BC5036" w14:textId="77777777" w:rsidR="00706D2C" w:rsidRPr="00E71A36" w:rsidRDefault="00706D2C" w:rsidP="008027C8">
            <w:pPr>
              <w:spacing w:line="360" w:lineRule="auto"/>
              <w:jc w:val="both"/>
              <w:rPr>
                <w:rFonts w:ascii="Garamond" w:hAnsi="Garamond"/>
              </w:rPr>
            </w:pPr>
            <w:r w:rsidRPr="00E71A36">
              <w:rPr>
                <w:rFonts w:ascii="Garamond" w:hAnsi="Garamond"/>
              </w:rPr>
              <w:t>0.50 ppm</w:t>
            </w:r>
          </w:p>
        </w:tc>
        <w:tc>
          <w:tcPr>
            <w:tcW w:w="0" w:type="auto"/>
            <w:tcBorders>
              <w:bottom w:val="single" w:sz="4" w:space="0" w:color="auto"/>
            </w:tcBorders>
            <w:vAlign w:val="center"/>
            <w:hideMark/>
          </w:tcPr>
          <w:p w14:paraId="715DF338" w14:textId="77777777" w:rsidR="00706D2C" w:rsidRPr="00E71A36" w:rsidRDefault="00706D2C" w:rsidP="008027C8">
            <w:pPr>
              <w:spacing w:line="360" w:lineRule="auto"/>
              <w:jc w:val="both"/>
              <w:rPr>
                <w:rFonts w:ascii="Garamond" w:hAnsi="Garamond"/>
              </w:rPr>
            </w:pPr>
            <w:r w:rsidRPr="00E71A36">
              <w:rPr>
                <w:rFonts w:ascii="Garamond" w:hAnsi="Garamond"/>
              </w:rPr>
              <w:t>1.64</w:t>
            </w:r>
          </w:p>
        </w:tc>
        <w:tc>
          <w:tcPr>
            <w:tcW w:w="0" w:type="auto"/>
            <w:tcBorders>
              <w:bottom w:val="single" w:sz="4" w:space="0" w:color="auto"/>
            </w:tcBorders>
            <w:vAlign w:val="center"/>
            <w:hideMark/>
          </w:tcPr>
          <w:p w14:paraId="3C488FC0" w14:textId="77777777" w:rsidR="00706D2C" w:rsidRPr="00E71A36" w:rsidRDefault="00706D2C" w:rsidP="008027C8">
            <w:pPr>
              <w:spacing w:line="360" w:lineRule="auto"/>
              <w:jc w:val="both"/>
              <w:rPr>
                <w:rFonts w:ascii="Garamond" w:hAnsi="Garamond"/>
              </w:rPr>
            </w:pPr>
            <w:r w:rsidRPr="00E71A36">
              <w:rPr>
                <w:rFonts w:ascii="Garamond" w:hAnsi="Garamond"/>
              </w:rPr>
              <w:t>0.49</w:t>
            </w:r>
          </w:p>
        </w:tc>
        <w:tc>
          <w:tcPr>
            <w:tcW w:w="0" w:type="auto"/>
            <w:tcBorders>
              <w:bottom w:val="single" w:sz="4" w:space="0" w:color="auto"/>
            </w:tcBorders>
            <w:vAlign w:val="center"/>
            <w:hideMark/>
          </w:tcPr>
          <w:p w14:paraId="46BF7B83" w14:textId="77777777" w:rsidR="00706D2C" w:rsidRPr="00E71A36" w:rsidRDefault="00706D2C" w:rsidP="008027C8">
            <w:pPr>
              <w:spacing w:line="360" w:lineRule="auto"/>
              <w:jc w:val="both"/>
              <w:rPr>
                <w:rFonts w:ascii="Garamond" w:hAnsi="Garamond"/>
              </w:rPr>
            </w:pPr>
            <w:r w:rsidRPr="00E71A36">
              <w:rPr>
                <w:rFonts w:ascii="Garamond" w:hAnsi="Garamond"/>
              </w:rPr>
              <w:t>Elevated due to decomposition and burning of waste</w:t>
            </w:r>
          </w:p>
        </w:tc>
      </w:tr>
    </w:tbl>
    <w:p w14:paraId="7669BA1B" w14:textId="77777777" w:rsidR="00706D2C" w:rsidRPr="00E71A36" w:rsidRDefault="00706D2C" w:rsidP="008027C8">
      <w:pPr>
        <w:spacing w:line="360" w:lineRule="auto"/>
        <w:jc w:val="both"/>
        <w:rPr>
          <w:rFonts w:ascii="Garamond" w:hAnsi="Garamond"/>
        </w:rPr>
      </w:pPr>
      <w:r w:rsidRPr="00E71A36">
        <w:rPr>
          <w:rFonts w:ascii="Garamond" w:hAnsi="Garamond"/>
        </w:rPr>
        <w:t>*Pollution Index (PI) = Measured Concentration ÷ Standard Limit</w:t>
      </w:r>
    </w:p>
    <w:p w14:paraId="43929F53" w14:textId="655257D2" w:rsidR="00706D2C" w:rsidRPr="00E71A36" w:rsidRDefault="00706D2C" w:rsidP="008027C8">
      <w:pPr>
        <w:spacing w:line="360" w:lineRule="auto"/>
        <w:jc w:val="both"/>
        <w:rPr>
          <w:rFonts w:ascii="Garamond" w:hAnsi="Garamond"/>
        </w:rPr>
      </w:pPr>
      <w:r w:rsidRPr="00E71A36">
        <w:rPr>
          <w:rFonts w:ascii="Garamond" w:hAnsi="Garamond"/>
        </w:rPr>
        <w:t xml:space="preserve"> The pollutant concentration indices </w:t>
      </w:r>
      <w:r w:rsidR="002E5751" w:rsidRPr="00E71A36">
        <w:rPr>
          <w:rFonts w:ascii="Garamond" w:hAnsi="Garamond"/>
        </w:rPr>
        <w:t xml:space="preserve">( Table 7) </w:t>
      </w:r>
      <w:r w:rsidRPr="00E71A36">
        <w:rPr>
          <w:rFonts w:ascii="Garamond" w:hAnsi="Garamond"/>
        </w:rPr>
        <w:t>indicate</w:t>
      </w:r>
      <w:r w:rsidR="002E5751" w:rsidRPr="00E71A36">
        <w:rPr>
          <w:rFonts w:ascii="Garamond" w:hAnsi="Garamond"/>
        </w:rPr>
        <w:t xml:space="preserve"> </w:t>
      </w:r>
      <w:r w:rsidRPr="00E71A36">
        <w:rPr>
          <w:rFonts w:ascii="Garamond" w:hAnsi="Garamond"/>
        </w:rPr>
        <w:t>that particulate matter (PM</w:t>
      </w:r>
      <w:r w:rsidRPr="00E71A36">
        <w:rPr>
          <w:rFonts w:ascii="Cambria Math" w:hAnsi="Cambria Math" w:cs="Cambria Math"/>
        </w:rPr>
        <w:t>₂</w:t>
      </w:r>
      <w:r w:rsidRPr="00E71A36">
        <w:rPr>
          <w:rFonts w:ascii="Garamond" w:hAnsi="Garamond"/>
        </w:rPr>
        <w:t xml:space="preserve">. </w:t>
      </w:r>
      <w:r w:rsidRPr="00E71A36">
        <w:rPr>
          <w:rFonts w:ascii="Cambria Math" w:hAnsi="Cambria Math" w:cs="Cambria Math"/>
        </w:rPr>
        <w:t>₅</w:t>
      </w:r>
      <w:r w:rsidRPr="00E71A36">
        <w:rPr>
          <w:rFonts w:ascii="Garamond" w:hAnsi="Garamond"/>
        </w:rPr>
        <w:t xml:space="preserve"> and PM</w:t>
      </w:r>
      <w:r w:rsidRPr="00E71A36">
        <w:rPr>
          <w:rFonts w:ascii="Cambria Math" w:hAnsi="Cambria Math" w:cs="Cambria Math"/>
        </w:rPr>
        <w:t>₁₀</w:t>
      </w:r>
      <w:r w:rsidRPr="00E71A36">
        <w:rPr>
          <w:rFonts w:ascii="Garamond" w:hAnsi="Garamond"/>
        </w:rPr>
        <w:t>) exhibited the highest levels relative to recommended limits, suggesting that waste burning, dust from waste transportation, and decomposition of organic waste significantly affect air quality. PM</w:t>
      </w:r>
      <w:r w:rsidRPr="00E71A36">
        <w:rPr>
          <w:rFonts w:ascii="Cambria Math" w:hAnsi="Cambria Math" w:cs="Cambria Math"/>
        </w:rPr>
        <w:t>₂</w:t>
      </w:r>
      <w:r w:rsidRPr="00E71A36">
        <w:rPr>
          <w:rFonts w:ascii="Garamond" w:hAnsi="Garamond"/>
        </w:rPr>
        <w:t xml:space="preserve">. </w:t>
      </w:r>
      <w:r w:rsidRPr="00E71A36">
        <w:rPr>
          <w:rFonts w:ascii="Cambria Math" w:hAnsi="Cambria Math" w:cs="Cambria Math"/>
        </w:rPr>
        <w:t>₅</w:t>
      </w:r>
      <w:r w:rsidRPr="00E71A36">
        <w:rPr>
          <w:rFonts w:ascii="Garamond" w:hAnsi="Garamond"/>
        </w:rPr>
        <w:t xml:space="preserve"> recorded the highest pollution index, indicating that fine particulate pollution is a major concern in areas with poor waste management practices. The log-transformed pollution indices show a clearer pattern of pollution intensity by normalizing the data distribution. Positive log index values indicate pollutants exceeding recommended limits, while negative values represent concentrations within acceptable levels. In this study, PM</w:t>
      </w:r>
      <w:r w:rsidRPr="00E71A36">
        <w:rPr>
          <w:rFonts w:ascii="Cambria Math" w:hAnsi="Cambria Math" w:cs="Cambria Math"/>
        </w:rPr>
        <w:t>₂</w:t>
      </w:r>
      <w:r w:rsidRPr="00E71A36">
        <w:rPr>
          <w:rFonts w:ascii="Garamond" w:hAnsi="Garamond"/>
        </w:rPr>
        <w:t xml:space="preserve">. </w:t>
      </w:r>
      <w:r w:rsidRPr="00E71A36">
        <w:rPr>
          <w:rFonts w:ascii="Cambria Math" w:hAnsi="Cambria Math" w:cs="Cambria Math"/>
        </w:rPr>
        <w:t>₅</w:t>
      </w:r>
      <w:r w:rsidRPr="00E71A36">
        <w:rPr>
          <w:rFonts w:ascii="Garamond" w:hAnsi="Garamond"/>
        </w:rPr>
        <w:t>, PM</w:t>
      </w:r>
      <w:r w:rsidRPr="00E71A36">
        <w:rPr>
          <w:rFonts w:ascii="Cambria Math" w:hAnsi="Cambria Math" w:cs="Cambria Math"/>
        </w:rPr>
        <w:t>₁₀</w:t>
      </w:r>
      <w:r w:rsidRPr="00E71A36">
        <w:rPr>
          <w:rFonts w:ascii="Garamond" w:hAnsi="Garamond"/>
        </w:rPr>
        <w:t>, and VOCs recorded positive log indices, reflecting their contribution to degraded air quality in areas where waste accumulation and burning occur.</w:t>
      </w:r>
    </w:p>
    <w:p w14:paraId="6AF70F9D" w14:textId="77777777" w:rsidR="00706D2C" w:rsidRPr="00E71A36" w:rsidRDefault="00706D2C" w:rsidP="008027C8">
      <w:pPr>
        <w:spacing w:line="360" w:lineRule="auto"/>
        <w:jc w:val="both"/>
        <w:rPr>
          <w:rFonts w:ascii="Garamond" w:hAnsi="Garamond"/>
        </w:rPr>
      </w:pPr>
      <w:r w:rsidRPr="00E71A36">
        <w:rPr>
          <w:rFonts w:ascii="Garamond" w:hAnsi="Garamond"/>
        </w:rPr>
        <w:t>in summary the pollutant index analysis highlights that improper waste management practices significantly influence particulate and gaseous pollutant concentrations in Nairobi City County, emphasizing the need for improved waste collection, controlled disposal, and enforcement of environmental regulations to reduce air pollution.</w:t>
      </w:r>
    </w:p>
    <w:p w14:paraId="231ED96C" w14:textId="77777777" w:rsidR="00706D2C" w:rsidRPr="00E71A36" w:rsidRDefault="00706D2C" w:rsidP="008027C8">
      <w:pPr>
        <w:spacing w:line="360" w:lineRule="auto"/>
        <w:jc w:val="both"/>
        <w:rPr>
          <w:rFonts w:ascii="Garamond" w:hAnsi="Garamond"/>
        </w:rPr>
      </w:pPr>
      <w:r w:rsidRPr="00E71A36">
        <w:rPr>
          <w:rFonts w:ascii="Garamond" w:hAnsi="Garamond"/>
        </w:rPr>
        <w:t xml:space="preserve">To complement the assessment of air pollutants in the study on the Impact of Waste Management Practices and Air Quality in Nairobi City County, water quality indices were also considered to provide additional environmental context. Poor waste management practices such as open dumping, leachate generation, and improper disposal of solid waste can contaminate nearby water bodies and drainage </w:t>
      </w:r>
      <w:r w:rsidRPr="00E71A36">
        <w:rPr>
          <w:rFonts w:ascii="Garamond" w:hAnsi="Garamond"/>
        </w:rPr>
        <w:lastRenderedPageBreak/>
        <w:t>systems. Evaluating water quality helps identify indirect environmental impacts of waste management that may influence overall ecosystem health and public exposure to pollutants.</w:t>
      </w:r>
    </w:p>
    <w:p w14:paraId="7187C08D" w14:textId="41AAE9F6" w:rsidR="00706D2C" w:rsidRPr="00E71A36" w:rsidRDefault="00006810" w:rsidP="008027C8">
      <w:pPr>
        <w:spacing w:line="360" w:lineRule="auto"/>
        <w:jc w:val="both"/>
        <w:rPr>
          <w:rFonts w:ascii="Garamond" w:hAnsi="Garamond"/>
          <w:b/>
        </w:rPr>
      </w:pPr>
      <w:bookmarkStart w:id="41" w:name="_Toc224480381"/>
      <w:r w:rsidRPr="00E71A36">
        <w:rPr>
          <w:rFonts w:ascii="Garamond" w:hAnsi="Garamond"/>
          <w:b/>
        </w:rPr>
        <w:t>3.16.</w:t>
      </w:r>
      <w:r w:rsidR="00706D2C" w:rsidRPr="00E71A36">
        <w:rPr>
          <w:rFonts w:ascii="Garamond" w:hAnsi="Garamond"/>
          <w:b/>
        </w:rPr>
        <w:t xml:space="preserve"> Water Quality Parameters and Water Quality Indices</w:t>
      </w:r>
      <w:bookmarkEnd w:id="41"/>
    </w:p>
    <w:p w14:paraId="7FF2C386" w14:textId="5834D992" w:rsidR="00706D2C" w:rsidRPr="00E71A36" w:rsidRDefault="00706D2C" w:rsidP="008027C8">
      <w:pPr>
        <w:spacing w:line="360" w:lineRule="auto"/>
        <w:jc w:val="both"/>
        <w:rPr>
          <w:rFonts w:ascii="Garamond" w:hAnsi="Garamond"/>
          <w:b/>
        </w:rPr>
      </w:pPr>
      <w:bookmarkStart w:id="42" w:name="_Toc224480938"/>
      <w:r w:rsidRPr="00E71A36">
        <w:rPr>
          <w:rFonts w:ascii="Garamond" w:hAnsi="Garamond"/>
          <w:b/>
        </w:rPr>
        <w:t xml:space="preserve">Table </w:t>
      </w:r>
      <w:r w:rsidR="00AD68F5" w:rsidRPr="00E71A36">
        <w:rPr>
          <w:rFonts w:ascii="Garamond" w:hAnsi="Garamond"/>
          <w:b/>
        </w:rPr>
        <w:t>8</w:t>
      </w:r>
      <w:r w:rsidRPr="00E71A36">
        <w:rPr>
          <w:rFonts w:ascii="Garamond" w:hAnsi="Garamond"/>
          <w:b/>
        </w:rPr>
        <w:t>: Water Quality Parameters and Water Quality Indices</w:t>
      </w:r>
      <w:bookmarkEnd w:id="4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2"/>
        <w:gridCol w:w="1295"/>
        <w:gridCol w:w="1761"/>
        <w:gridCol w:w="1328"/>
        <w:gridCol w:w="967"/>
        <w:gridCol w:w="2247"/>
      </w:tblGrid>
      <w:tr w:rsidR="00AD68F5" w:rsidRPr="00E71A36" w14:paraId="42E50CF0" w14:textId="77777777" w:rsidTr="00B60735">
        <w:trPr>
          <w:tblHeader/>
          <w:tblCellSpacing w:w="15" w:type="dxa"/>
        </w:trPr>
        <w:tc>
          <w:tcPr>
            <w:tcW w:w="0" w:type="auto"/>
            <w:tcBorders>
              <w:top w:val="single" w:sz="4" w:space="0" w:color="auto"/>
              <w:bottom w:val="single" w:sz="4" w:space="0" w:color="auto"/>
            </w:tcBorders>
            <w:vAlign w:val="center"/>
            <w:hideMark/>
          </w:tcPr>
          <w:p w14:paraId="1F43F7DF" w14:textId="77777777" w:rsidR="00706D2C" w:rsidRPr="00E71A36" w:rsidRDefault="00706D2C" w:rsidP="008027C8">
            <w:pPr>
              <w:spacing w:line="360" w:lineRule="auto"/>
              <w:jc w:val="both"/>
              <w:rPr>
                <w:rFonts w:ascii="Garamond" w:hAnsi="Garamond"/>
              </w:rPr>
            </w:pPr>
            <w:r w:rsidRPr="00E71A36">
              <w:rPr>
                <w:rFonts w:ascii="Garamond" w:hAnsi="Garamond"/>
              </w:rPr>
              <w:t>Water Quality Parameter</w:t>
            </w:r>
          </w:p>
        </w:tc>
        <w:tc>
          <w:tcPr>
            <w:tcW w:w="0" w:type="auto"/>
            <w:tcBorders>
              <w:top w:val="single" w:sz="4" w:space="0" w:color="auto"/>
              <w:bottom w:val="single" w:sz="4" w:space="0" w:color="auto"/>
            </w:tcBorders>
            <w:vAlign w:val="center"/>
            <w:hideMark/>
          </w:tcPr>
          <w:p w14:paraId="0D88FA29" w14:textId="77777777" w:rsidR="00706D2C" w:rsidRPr="00E71A36" w:rsidRDefault="00706D2C" w:rsidP="008027C8">
            <w:pPr>
              <w:spacing w:line="360" w:lineRule="auto"/>
              <w:jc w:val="both"/>
              <w:rPr>
                <w:rFonts w:ascii="Garamond" w:hAnsi="Garamond"/>
              </w:rPr>
            </w:pPr>
            <w:r w:rsidRPr="00E71A36">
              <w:rPr>
                <w:rFonts w:ascii="Garamond" w:hAnsi="Garamond"/>
              </w:rPr>
              <w:t>Mean Value Observed</w:t>
            </w:r>
          </w:p>
        </w:tc>
        <w:tc>
          <w:tcPr>
            <w:tcW w:w="0" w:type="auto"/>
            <w:tcBorders>
              <w:top w:val="single" w:sz="4" w:space="0" w:color="auto"/>
              <w:bottom w:val="single" w:sz="4" w:space="0" w:color="auto"/>
            </w:tcBorders>
            <w:vAlign w:val="center"/>
            <w:hideMark/>
          </w:tcPr>
          <w:p w14:paraId="5AF1A9B2" w14:textId="77777777" w:rsidR="00706D2C" w:rsidRPr="00E71A36" w:rsidRDefault="00706D2C" w:rsidP="008027C8">
            <w:pPr>
              <w:spacing w:line="360" w:lineRule="auto"/>
              <w:jc w:val="both"/>
              <w:rPr>
                <w:rFonts w:ascii="Garamond" w:hAnsi="Garamond"/>
              </w:rPr>
            </w:pPr>
            <w:r w:rsidRPr="00E71A36">
              <w:rPr>
                <w:rFonts w:ascii="Garamond" w:hAnsi="Garamond"/>
              </w:rPr>
              <w:t>WHO/KEBS Standard Limit</w:t>
            </w:r>
          </w:p>
        </w:tc>
        <w:tc>
          <w:tcPr>
            <w:tcW w:w="0" w:type="auto"/>
            <w:tcBorders>
              <w:top w:val="single" w:sz="4" w:space="0" w:color="auto"/>
              <w:bottom w:val="single" w:sz="4" w:space="0" w:color="auto"/>
            </w:tcBorders>
            <w:vAlign w:val="center"/>
            <w:hideMark/>
          </w:tcPr>
          <w:p w14:paraId="0407F15A" w14:textId="77777777" w:rsidR="00706D2C" w:rsidRPr="00E71A36" w:rsidRDefault="00706D2C" w:rsidP="008027C8">
            <w:pPr>
              <w:spacing w:line="360" w:lineRule="auto"/>
              <w:jc w:val="both"/>
              <w:rPr>
                <w:rFonts w:ascii="Garamond" w:hAnsi="Garamond"/>
              </w:rPr>
            </w:pPr>
            <w:r w:rsidRPr="00E71A36">
              <w:rPr>
                <w:rFonts w:ascii="Garamond" w:hAnsi="Garamond"/>
              </w:rPr>
              <w:t>Water Quality Index (WQI)*</w:t>
            </w:r>
          </w:p>
        </w:tc>
        <w:tc>
          <w:tcPr>
            <w:tcW w:w="0" w:type="auto"/>
            <w:tcBorders>
              <w:top w:val="single" w:sz="4" w:space="0" w:color="auto"/>
              <w:bottom w:val="single" w:sz="4" w:space="0" w:color="auto"/>
            </w:tcBorders>
            <w:vAlign w:val="center"/>
            <w:hideMark/>
          </w:tcPr>
          <w:p w14:paraId="3FC2BB73" w14:textId="77777777" w:rsidR="00706D2C" w:rsidRPr="00E71A36" w:rsidRDefault="00706D2C" w:rsidP="008027C8">
            <w:pPr>
              <w:spacing w:line="360" w:lineRule="auto"/>
              <w:jc w:val="both"/>
              <w:rPr>
                <w:rFonts w:ascii="Garamond" w:hAnsi="Garamond"/>
              </w:rPr>
            </w:pPr>
            <w:r w:rsidRPr="00E71A36">
              <w:rPr>
                <w:rFonts w:ascii="Garamond" w:hAnsi="Garamond"/>
              </w:rPr>
              <w:t>Log WQI (ln WQI)</w:t>
            </w:r>
          </w:p>
        </w:tc>
        <w:tc>
          <w:tcPr>
            <w:tcW w:w="0" w:type="auto"/>
            <w:tcBorders>
              <w:top w:val="single" w:sz="4" w:space="0" w:color="auto"/>
              <w:bottom w:val="single" w:sz="4" w:space="0" w:color="auto"/>
            </w:tcBorders>
            <w:vAlign w:val="center"/>
            <w:hideMark/>
          </w:tcPr>
          <w:p w14:paraId="2C9DF5A2" w14:textId="77777777" w:rsidR="00706D2C" w:rsidRPr="00E71A36" w:rsidRDefault="00706D2C" w:rsidP="008027C8">
            <w:pPr>
              <w:spacing w:line="360" w:lineRule="auto"/>
              <w:jc w:val="both"/>
              <w:rPr>
                <w:rFonts w:ascii="Garamond" w:hAnsi="Garamond"/>
              </w:rPr>
            </w:pPr>
            <w:r w:rsidRPr="00E71A36">
              <w:rPr>
                <w:rFonts w:ascii="Garamond" w:hAnsi="Garamond"/>
              </w:rPr>
              <w:t>Interpretation</w:t>
            </w:r>
          </w:p>
        </w:tc>
      </w:tr>
      <w:tr w:rsidR="00AD68F5" w:rsidRPr="00E71A36" w14:paraId="05AB743B" w14:textId="77777777" w:rsidTr="00B60735">
        <w:trPr>
          <w:tblCellSpacing w:w="15" w:type="dxa"/>
        </w:trPr>
        <w:tc>
          <w:tcPr>
            <w:tcW w:w="0" w:type="auto"/>
            <w:vAlign w:val="center"/>
            <w:hideMark/>
          </w:tcPr>
          <w:p w14:paraId="682E18CB" w14:textId="77777777" w:rsidR="00706D2C" w:rsidRPr="00E71A36" w:rsidRDefault="00706D2C" w:rsidP="008027C8">
            <w:pPr>
              <w:spacing w:line="360" w:lineRule="auto"/>
              <w:jc w:val="both"/>
              <w:rPr>
                <w:rFonts w:ascii="Garamond" w:hAnsi="Garamond"/>
              </w:rPr>
            </w:pPr>
            <w:r w:rsidRPr="00E71A36">
              <w:rPr>
                <w:rFonts w:ascii="Garamond" w:hAnsi="Garamond"/>
              </w:rPr>
              <w:t>pH</w:t>
            </w:r>
          </w:p>
        </w:tc>
        <w:tc>
          <w:tcPr>
            <w:tcW w:w="0" w:type="auto"/>
            <w:vAlign w:val="center"/>
            <w:hideMark/>
          </w:tcPr>
          <w:p w14:paraId="4B7A1A22" w14:textId="77777777" w:rsidR="00706D2C" w:rsidRPr="00E71A36" w:rsidRDefault="00706D2C" w:rsidP="008027C8">
            <w:pPr>
              <w:spacing w:line="360" w:lineRule="auto"/>
              <w:jc w:val="both"/>
              <w:rPr>
                <w:rFonts w:ascii="Garamond" w:hAnsi="Garamond"/>
              </w:rPr>
            </w:pPr>
            <w:r w:rsidRPr="00E71A36">
              <w:rPr>
                <w:rFonts w:ascii="Garamond" w:hAnsi="Garamond"/>
              </w:rPr>
              <w:t>7.4</w:t>
            </w:r>
          </w:p>
        </w:tc>
        <w:tc>
          <w:tcPr>
            <w:tcW w:w="0" w:type="auto"/>
            <w:vAlign w:val="center"/>
            <w:hideMark/>
          </w:tcPr>
          <w:p w14:paraId="264963E5" w14:textId="77777777" w:rsidR="00706D2C" w:rsidRPr="00E71A36" w:rsidRDefault="00706D2C" w:rsidP="008027C8">
            <w:pPr>
              <w:spacing w:line="360" w:lineRule="auto"/>
              <w:jc w:val="both"/>
              <w:rPr>
                <w:rFonts w:ascii="Garamond" w:hAnsi="Garamond"/>
              </w:rPr>
            </w:pPr>
            <w:r w:rsidRPr="00E71A36">
              <w:rPr>
                <w:rFonts w:ascii="Garamond" w:hAnsi="Garamond"/>
              </w:rPr>
              <w:t>6.5–8.5</w:t>
            </w:r>
          </w:p>
        </w:tc>
        <w:tc>
          <w:tcPr>
            <w:tcW w:w="0" w:type="auto"/>
            <w:vAlign w:val="center"/>
            <w:hideMark/>
          </w:tcPr>
          <w:p w14:paraId="6889FDFD" w14:textId="77777777" w:rsidR="00706D2C" w:rsidRPr="00E71A36" w:rsidRDefault="00706D2C" w:rsidP="008027C8">
            <w:pPr>
              <w:spacing w:line="360" w:lineRule="auto"/>
              <w:jc w:val="both"/>
              <w:rPr>
                <w:rFonts w:ascii="Garamond" w:hAnsi="Garamond"/>
              </w:rPr>
            </w:pPr>
            <w:r w:rsidRPr="00E71A36">
              <w:rPr>
                <w:rFonts w:ascii="Garamond" w:hAnsi="Garamond"/>
              </w:rPr>
              <w:t>0.87</w:t>
            </w:r>
          </w:p>
        </w:tc>
        <w:tc>
          <w:tcPr>
            <w:tcW w:w="0" w:type="auto"/>
            <w:vAlign w:val="center"/>
            <w:hideMark/>
          </w:tcPr>
          <w:p w14:paraId="10E1BCC9" w14:textId="77777777" w:rsidR="00706D2C" w:rsidRPr="00E71A36" w:rsidRDefault="00706D2C" w:rsidP="008027C8">
            <w:pPr>
              <w:spacing w:line="360" w:lineRule="auto"/>
              <w:jc w:val="both"/>
              <w:rPr>
                <w:rFonts w:ascii="Garamond" w:hAnsi="Garamond"/>
              </w:rPr>
            </w:pPr>
            <w:r w:rsidRPr="00E71A36">
              <w:rPr>
                <w:rFonts w:ascii="Garamond" w:hAnsi="Garamond"/>
              </w:rPr>
              <w:t>-0.14</w:t>
            </w:r>
          </w:p>
        </w:tc>
        <w:tc>
          <w:tcPr>
            <w:tcW w:w="0" w:type="auto"/>
            <w:vAlign w:val="center"/>
            <w:hideMark/>
          </w:tcPr>
          <w:p w14:paraId="3F1437BF" w14:textId="77777777" w:rsidR="00706D2C" w:rsidRPr="00E71A36" w:rsidRDefault="00706D2C" w:rsidP="008027C8">
            <w:pPr>
              <w:spacing w:line="360" w:lineRule="auto"/>
              <w:jc w:val="both"/>
              <w:rPr>
                <w:rFonts w:ascii="Garamond" w:hAnsi="Garamond"/>
              </w:rPr>
            </w:pPr>
            <w:r w:rsidRPr="00E71A36">
              <w:rPr>
                <w:rFonts w:ascii="Garamond" w:hAnsi="Garamond"/>
              </w:rPr>
              <w:t>Within acceptable range</w:t>
            </w:r>
          </w:p>
        </w:tc>
      </w:tr>
      <w:tr w:rsidR="00AD68F5" w:rsidRPr="00E71A36" w14:paraId="20DE9C2A" w14:textId="77777777" w:rsidTr="00B60735">
        <w:trPr>
          <w:tblCellSpacing w:w="15" w:type="dxa"/>
        </w:trPr>
        <w:tc>
          <w:tcPr>
            <w:tcW w:w="0" w:type="auto"/>
            <w:vAlign w:val="center"/>
            <w:hideMark/>
          </w:tcPr>
          <w:p w14:paraId="1D96A6BF" w14:textId="77777777" w:rsidR="00706D2C" w:rsidRPr="00E71A36" w:rsidRDefault="00706D2C" w:rsidP="008027C8">
            <w:pPr>
              <w:spacing w:line="360" w:lineRule="auto"/>
              <w:jc w:val="both"/>
              <w:rPr>
                <w:rFonts w:ascii="Garamond" w:hAnsi="Garamond"/>
              </w:rPr>
            </w:pPr>
            <w:r w:rsidRPr="00E71A36">
              <w:rPr>
                <w:rFonts w:ascii="Garamond" w:hAnsi="Garamond"/>
              </w:rPr>
              <w:t>Dissolved Oxygen (DO)</w:t>
            </w:r>
          </w:p>
        </w:tc>
        <w:tc>
          <w:tcPr>
            <w:tcW w:w="0" w:type="auto"/>
            <w:vAlign w:val="center"/>
            <w:hideMark/>
          </w:tcPr>
          <w:p w14:paraId="3787A06A" w14:textId="77777777" w:rsidR="00706D2C" w:rsidRPr="00E71A36" w:rsidRDefault="00706D2C" w:rsidP="008027C8">
            <w:pPr>
              <w:spacing w:line="360" w:lineRule="auto"/>
              <w:jc w:val="both"/>
              <w:rPr>
                <w:rFonts w:ascii="Garamond" w:hAnsi="Garamond"/>
              </w:rPr>
            </w:pPr>
            <w:r w:rsidRPr="00E71A36">
              <w:rPr>
                <w:rFonts w:ascii="Garamond" w:hAnsi="Garamond"/>
              </w:rPr>
              <w:t>4.2 mg/L</w:t>
            </w:r>
          </w:p>
        </w:tc>
        <w:tc>
          <w:tcPr>
            <w:tcW w:w="0" w:type="auto"/>
            <w:vAlign w:val="center"/>
            <w:hideMark/>
          </w:tcPr>
          <w:p w14:paraId="6921D0BB" w14:textId="77777777" w:rsidR="00706D2C" w:rsidRPr="00E71A36" w:rsidRDefault="00706D2C" w:rsidP="008027C8">
            <w:pPr>
              <w:spacing w:line="360" w:lineRule="auto"/>
              <w:jc w:val="both"/>
              <w:rPr>
                <w:rFonts w:ascii="Garamond" w:hAnsi="Garamond"/>
              </w:rPr>
            </w:pPr>
            <w:r w:rsidRPr="00E71A36">
              <w:rPr>
                <w:rFonts w:ascii="Garamond" w:hAnsi="Garamond"/>
              </w:rPr>
              <w:t>6 mg/L</w:t>
            </w:r>
          </w:p>
        </w:tc>
        <w:tc>
          <w:tcPr>
            <w:tcW w:w="0" w:type="auto"/>
            <w:vAlign w:val="center"/>
            <w:hideMark/>
          </w:tcPr>
          <w:p w14:paraId="5151880C" w14:textId="77777777" w:rsidR="00706D2C" w:rsidRPr="00E71A36" w:rsidRDefault="00706D2C" w:rsidP="008027C8">
            <w:pPr>
              <w:spacing w:line="360" w:lineRule="auto"/>
              <w:jc w:val="both"/>
              <w:rPr>
                <w:rFonts w:ascii="Garamond" w:hAnsi="Garamond"/>
              </w:rPr>
            </w:pPr>
            <w:r w:rsidRPr="00E71A36">
              <w:rPr>
                <w:rFonts w:ascii="Garamond" w:hAnsi="Garamond"/>
              </w:rPr>
              <w:t>0.70</w:t>
            </w:r>
          </w:p>
        </w:tc>
        <w:tc>
          <w:tcPr>
            <w:tcW w:w="0" w:type="auto"/>
            <w:vAlign w:val="center"/>
            <w:hideMark/>
          </w:tcPr>
          <w:p w14:paraId="3FDD26B3" w14:textId="77777777" w:rsidR="00706D2C" w:rsidRPr="00E71A36" w:rsidRDefault="00706D2C" w:rsidP="008027C8">
            <w:pPr>
              <w:spacing w:line="360" w:lineRule="auto"/>
              <w:jc w:val="both"/>
              <w:rPr>
                <w:rFonts w:ascii="Garamond" w:hAnsi="Garamond"/>
              </w:rPr>
            </w:pPr>
            <w:r w:rsidRPr="00E71A36">
              <w:rPr>
                <w:rFonts w:ascii="Garamond" w:hAnsi="Garamond"/>
              </w:rPr>
              <w:t>-0.36</w:t>
            </w:r>
          </w:p>
        </w:tc>
        <w:tc>
          <w:tcPr>
            <w:tcW w:w="0" w:type="auto"/>
            <w:vAlign w:val="center"/>
            <w:hideMark/>
          </w:tcPr>
          <w:p w14:paraId="222281E9" w14:textId="77777777" w:rsidR="00706D2C" w:rsidRPr="00E71A36" w:rsidRDefault="00706D2C" w:rsidP="008027C8">
            <w:pPr>
              <w:spacing w:line="360" w:lineRule="auto"/>
              <w:jc w:val="both"/>
              <w:rPr>
                <w:rFonts w:ascii="Garamond" w:hAnsi="Garamond"/>
              </w:rPr>
            </w:pPr>
            <w:r w:rsidRPr="00E71A36">
              <w:rPr>
                <w:rFonts w:ascii="Garamond" w:hAnsi="Garamond"/>
              </w:rPr>
              <w:t>Moderately low oxygen levels</w:t>
            </w:r>
          </w:p>
        </w:tc>
      </w:tr>
      <w:tr w:rsidR="00AD68F5" w:rsidRPr="00E71A36" w14:paraId="08AFBB31" w14:textId="77777777" w:rsidTr="00B60735">
        <w:trPr>
          <w:tblCellSpacing w:w="15" w:type="dxa"/>
        </w:trPr>
        <w:tc>
          <w:tcPr>
            <w:tcW w:w="0" w:type="auto"/>
            <w:vAlign w:val="center"/>
            <w:hideMark/>
          </w:tcPr>
          <w:p w14:paraId="1719CCE7" w14:textId="77777777" w:rsidR="00706D2C" w:rsidRPr="00E71A36" w:rsidRDefault="00706D2C" w:rsidP="008027C8">
            <w:pPr>
              <w:spacing w:line="360" w:lineRule="auto"/>
              <w:jc w:val="both"/>
              <w:rPr>
                <w:rFonts w:ascii="Garamond" w:hAnsi="Garamond"/>
              </w:rPr>
            </w:pPr>
            <w:r w:rsidRPr="00E71A36">
              <w:rPr>
                <w:rFonts w:ascii="Garamond" w:hAnsi="Garamond"/>
              </w:rPr>
              <w:t>Biological Oxygen Demand (BOD)</w:t>
            </w:r>
          </w:p>
        </w:tc>
        <w:tc>
          <w:tcPr>
            <w:tcW w:w="0" w:type="auto"/>
            <w:vAlign w:val="center"/>
            <w:hideMark/>
          </w:tcPr>
          <w:p w14:paraId="53D684FF" w14:textId="77777777" w:rsidR="00706D2C" w:rsidRPr="00E71A36" w:rsidRDefault="00706D2C" w:rsidP="008027C8">
            <w:pPr>
              <w:spacing w:line="360" w:lineRule="auto"/>
              <w:jc w:val="both"/>
              <w:rPr>
                <w:rFonts w:ascii="Garamond" w:hAnsi="Garamond"/>
              </w:rPr>
            </w:pPr>
            <w:r w:rsidRPr="00E71A36">
              <w:rPr>
                <w:rFonts w:ascii="Garamond" w:hAnsi="Garamond"/>
              </w:rPr>
              <w:t>18 mg/L</w:t>
            </w:r>
          </w:p>
        </w:tc>
        <w:tc>
          <w:tcPr>
            <w:tcW w:w="0" w:type="auto"/>
            <w:vAlign w:val="center"/>
            <w:hideMark/>
          </w:tcPr>
          <w:p w14:paraId="67B904A0" w14:textId="77777777" w:rsidR="00706D2C" w:rsidRPr="00E71A36" w:rsidRDefault="00706D2C" w:rsidP="008027C8">
            <w:pPr>
              <w:spacing w:line="360" w:lineRule="auto"/>
              <w:jc w:val="both"/>
              <w:rPr>
                <w:rFonts w:ascii="Garamond" w:hAnsi="Garamond"/>
              </w:rPr>
            </w:pPr>
            <w:r w:rsidRPr="00E71A36">
              <w:rPr>
                <w:rFonts w:ascii="Garamond" w:hAnsi="Garamond"/>
              </w:rPr>
              <w:t>5 mg/L</w:t>
            </w:r>
          </w:p>
        </w:tc>
        <w:tc>
          <w:tcPr>
            <w:tcW w:w="0" w:type="auto"/>
            <w:vAlign w:val="center"/>
            <w:hideMark/>
          </w:tcPr>
          <w:p w14:paraId="3FF34DBC" w14:textId="77777777" w:rsidR="00706D2C" w:rsidRPr="00E71A36" w:rsidRDefault="00706D2C" w:rsidP="008027C8">
            <w:pPr>
              <w:spacing w:line="360" w:lineRule="auto"/>
              <w:jc w:val="both"/>
              <w:rPr>
                <w:rFonts w:ascii="Garamond" w:hAnsi="Garamond"/>
              </w:rPr>
            </w:pPr>
            <w:r w:rsidRPr="00E71A36">
              <w:rPr>
                <w:rFonts w:ascii="Garamond" w:hAnsi="Garamond"/>
              </w:rPr>
              <w:t>3.60</w:t>
            </w:r>
          </w:p>
        </w:tc>
        <w:tc>
          <w:tcPr>
            <w:tcW w:w="0" w:type="auto"/>
            <w:vAlign w:val="center"/>
            <w:hideMark/>
          </w:tcPr>
          <w:p w14:paraId="73F9F671" w14:textId="77777777" w:rsidR="00706D2C" w:rsidRPr="00E71A36" w:rsidRDefault="00706D2C" w:rsidP="008027C8">
            <w:pPr>
              <w:spacing w:line="360" w:lineRule="auto"/>
              <w:jc w:val="both"/>
              <w:rPr>
                <w:rFonts w:ascii="Garamond" w:hAnsi="Garamond"/>
              </w:rPr>
            </w:pPr>
            <w:r w:rsidRPr="00E71A36">
              <w:rPr>
                <w:rFonts w:ascii="Garamond" w:hAnsi="Garamond"/>
              </w:rPr>
              <w:t>1.28</w:t>
            </w:r>
          </w:p>
        </w:tc>
        <w:tc>
          <w:tcPr>
            <w:tcW w:w="0" w:type="auto"/>
            <w:vAlign w:val="center"/>
            <w:hideMark/>
          </w:tcPr>
          <w:p w14:paraId="57704263" w14:textId="77777777" w:rsidR="00706D2C" w:rsidRPr="00E71A36" w:rsidRDefault="00706D2C" w:rsidP="008027C8">
            <w:pPr>
              <w:spacing w:line="360" w:lineRule="auto"/>
              <w:jc w:val="both"/>
              <w:rPr>
                <w:rFonts w:ascii="Garamond" w:hAnsi="Garamond"/>
              </w:rPr>
            </w:pPr>
            <w:r w:rsidRPr="00E71A36">
              <w:rPr>
                <w:rFonts w:ascii="Garamond" w:hAnsi="Garamond"/>
              </w:rPr>
              <w:t>High organic pollution</w:t>
            </w:r>
          </w:p>
        </w:tc>
      </w:tr>
      <w:tr w:rsidR="00AD68F5" w:rsidRPr="00E71A36" w14:paraId="30F46377" w14:textId="77777777" w:rsidTr="00B60735">
        <w:trPr>
          <w:tblCellSpacing w:w="15" w:type="dxa"/>
        </w:trPr>
        <w:tc>
          <w:tcPr>
            <w:tcW w:w="0" w:type="auto"/>
            <w:vAlign w:val="center"/>
            <w:hideMark/>
          </w:tcPr>
          <w:p w14:paraId="58ACF781" w14:textId="77777777" w:rsidR="00706D2C" w:rsidRPr="00E71A36" w:rsidRDefault="00706D2C" w:rsidP="008027C8">
            <w:pPr>
              <w:spacing w:line="360" w:lineRule="auto"/>
              <w:jc w:val="both"/>
              <w:rPr>
                <w:rFonts w:ascii="Garamond" w:hAnsi="Garamond"/>
              </w:rPr>
            </w:pPr>
            <w:r w:rsidRPr="00E71A36">
              <w:rPr>
                <w:rFonts w:ascii="Garamond" w:hAnsi="Garamond"/>
              </w:rPr>
              <w:t>Chemical Oxygen Demand (COD)</w:t>
            </w:r>
          </w:p>
        </w:tc>
        <w:tc>
          <w:tcPr>
            <w:tcW w:w="0" w:type="auto"/>
            <w:vAlign w:val="center"/>
            <w:hideMark/>
          </w:tcPr>
          <w:p w14:paraId="7E9FEC3F" w14:textId="77777777" w:rsidR="00706D2C" w:rsidRPr="00E71A36" w:rsidRDefault="00706D2C" w:rsidP="008027C8">
            <w:pPr>
              <w:spacing w:line="360" w:lineRule="auto"/>
              <w:jc w:val="both"/>
              <w:rPr>
                <w:rFonts w:ascii="Garamond" w:hAnsi="Garamond"/>
              </w:rPr>
            </w:pPr>
            <w:r w:rsidRPr="00E71A36">
              <w:rPr>
                <w:rFonts w:ascii="Garamond" w:hAnsi="Garamond"/>
              </w:rPr>
              <w:t>52 mg/L</w:t>
            </w:r>
          </w:p>
        </w:tc>
        <w:tc>
          <w:tcPr>
            <w:tcW w:w="0" w:type="auto"/>
            <w:vAlign w:val="center"/>
            <w:hideMark/>
          </w:tcPr>
          <w:p w14:paraId="58372BAA" w14:textId="77777777" w:rsidR="00706D2C" w:rsidRPr="00E71A36" w:rsidRDefault="00706D2C" w:rsidP="008027C8">
            <w:pPr>
              <w:spacing w:line="360" w:lineRule="auto"/>
              <w:jc w:val="both"/>
              <w:rPr>
                <w:rFonts w:ascii="Garamond" w:hAnsi="Garamond"/>
              </w:rPr>
            </w:pPr>
            <w:r w:rsidRPr="00E71A36">
              <w:rPr>
                <w:rFonts w:ascii="Garamond" w:hAnsi="Garamond"/>
              </w:rPr>
              <w:t>10 mg/L</w:t>
            </w:r>
          </w:p>
        </w:tc>
        <w:tc>
          <w:tcPr>
            <w:tcW w:w="0" w:type="auto"/>
            <w:vAlign w:val="center"/>
            <w:hideMark/>
          </w:tcPr>
          <w:p w14:paraId="5792FF7C" w14:textId="77777777" w:rsidR="00706D2C" w:rsidRPr="00E71A36" w:rsidRDefault="00706D2C" w:rsidP="008027C8">
            <w:pPr>
              <w:spacing w:line="360" w:lineRule="auto"/>
              <w:jc w:val="both"/>
              <w:rPr>
                <w:rFonts w:ascii="Garamond" w:hAnsi="Garamond"/>
              </w:rPr>
            </w:pPr>
            <w:r w:rsidRPr="00E71A36">
              <w:rPr>
                <w:rFonts w:ascii="Garamond" w:hAnsi="Garamond"/>
              </w:rPr>
              <w:t>5.20</w:t>
            </w:r>
          </w:p>
        </w:tc>
        <w:tc>
          <w:tcPr>
            <w:tcW w:w="0" w:type="auto"/>
            <w:vAlign w:val="center"/>
            <w:hideMark/>
          </w:tcPr>
          <w:p w14:paraId="3D601303" w14:textId="77777777" w:rsidR="00706D2C" w:rsidRPr="00E71A36" w:rsidRDefault="00706D2C" w:rsidP="008027C8">
            <w:pPr>
              <w:spacing w:line="360" w:lineRule="auto"/>
              <w:jc w:val="both"/>
              <w:rPr>
                <w:rFonts w:ascii="Garamond" w:hAnsi="Garamond"/>
              </w:rPr>
            </w:pPr>
            <w:r w:rsidRPr="00E71A36">
              <w:rPr>
                <w:rFonts w:ascii="Garamond" w:hAnsi="Garamond"/>
              </w:rPr>
              <w:t>1.65</w:t>
            </w:r>
          </w:p>
        </w:tc>
        <w:tc>
          <w:tcPr>
            <w:tcW w:w="0" w:type="auto"/>
            <w:vAlign w:val="center"/>
            <w:hideMark/>
          </w:tcPr>
          <w:p w14:paraId="29C62133" w14:textId="77777777" w:rsidR="00706D2C" w:rsidRPr="00E71A36" w:rsidRDefault="00706D2C" w:rsidP="008027C8">
            <w:pPr>
              <w:spacing w:line="360" w:lineRule="auto"/>
              <w:jc w:val="both"/>
              <w:rPr>
                <w:rFonts w:ascii="Garamond" w:hAnsi="Garamond"/>
              </w:rPr>
            </w:pPr>
            <w:r w:rsidRPr="00E71A36">
              <w:rPr>
                <w:rFonts w:ascii="Garamond" w:hAnsi="Garamond"/>
              </w:rPr>
              <w:t>Very high organic and chemical contamination</w:t>
            </w:r>
          </w:p>
        </w:tc>
      </w:tr>
      <w:tr w:rsidR="00AD68F5" w:rsidRPr="00E71A36" w14:paraId="0487D3A7" w14:textId="77777777" w:rsidTr="00B60735">
        <w:trPr>
          <w:tblCellSpacing w:w="15" w:type="dxa"/>
        </w:trPr>
        <w:tc>
          <w:tcPr>
            <w:tcW w:w="0" w:type="auto"/>
            <w:vAlign w:val="center"/>
            <w:hideMark/>
          </w:tcPr>
          <w:p w14:paraId="2A98A014" w14:textId="77777777" w:rsidR="00706D2C" w:rsidRPr="00E71A36" w:rsidRDefault="00706D2C" w:rsidP="008027C8">
            <w:pPr>
              <w:spacing w:line="360" w:lineRule="auto"/>
              <w:jc w:val="both"/>
              <w:rPr>
                <w:rFonts w:ascii="Garamond" w:hAnsi="Garamond"/>
              </w:rPr>
            </w:pPr>
            <w:r w:rsidRPr="00E71A36">
              <w:rPr>
                <w:rFonts w:ascii="Garamond" w:hAnsi="Garamond"/>
              </w:rPr>
              <w:t>Total Suspended Solids (TSS)</w:t>
            </w:r>
          </w:p>
        </w:tc>
        <w:tc>
          <w:tcPr>
            <w:tcW w:w="0" w:type="auto"/>
            <w:vAlign w:val="center"/>
            <w:hideMark/>
          </w:tcPr>
          <w:p w14:paraId="3C41DC8F" w14:textId="77777777" w:rsidR="00706D2C" w:rsidRPr="00E71A36" w:rsidRDefault="00706D2C" w:rsidP="008027C8">
            <w:pPr>
              <w:spacing w:line="360" w:lineRule="auto"/>
              <w:jc w:val="both"/>
              <w:rPr>
                <w:rFonts w:ascii="Garamond" w:hAnsi="Garamond"/>
              </w:rPr>
            </w:pPr>
            <w:r w:rsidRPr="00E71A36">
              <w:rPr>
                <w:rFonts w:ascii="Garamond" w:hAnsi="Garamond"/>
              </w:rPr>
              <w:t>68 mg/L</w:t>
            </w:r>
          </w:p>
        </w:tc>
        <w:tc>
          <w:tcPr>
            <w:tcW w:w="0" w:type="auto"/>
            <w:vAlign w:val="center"/>
            <w:hideMark/>
          </w:tcPr>
          <w:p w14:paraId="45B723C1" w14:textId="77777777" w:rsidR="00706D2C" w:rsidRPr="00E71A36" w:rsidRDefault="00706D2C" w:rsidP="008027C8">
            <w:pPr>
              <w:spacing w:line="360" w:lineRule="auto"/>
              <w:jc w:val="both"/>
              <w:rPr>
                <w:rFonts w:ascii="Garamond" w:hAnsi="Garamond"/>
              </w:rPr>
            </w:pPr>
            <w:r w:rsidRPr="00E71A36">
              <w:rPr>
                <w:rFonts w:ascii="Garamond" w:hAnsi="Garamond"/>
              </w:rPr>
              <w:t>30 mg/L</w:t>
            </w:r>
          </w:p>
        </w:tc>
        <w:tc>
          <w:tcPr>
            <w:tcW w:w="0" w:type="auto"/>
            <w:vAlign w:val="center"/>
            <w:hideMark/>
          </w:tcPr>
          <w:p w14:paraId="1DE379BC" w14:textId="77777777" w:rsidR="00706D2C" w:rsidRPr="00E71A36" w:rsidRDefault="00706D2C" w:rsidP="008027C8">
            <w:pPr>
              <w:spacing w:line="360" w:lineRule="auto"/>
              <w:jc w:val="both"/>
              <w:rPr>
                <w:rFonts w:ascii="Garamond" w:hAnsi="Garamond"/>
              </w:rPr>
            </w:pPr>
            <w:r w:rsidRPr="00E71A36">
              <w:rPr>
                <w:rFonts w:ascii="Garamond" w:hAnsi="Garamond"/>
              </w:rPr>
              <w:t>2.27</w:t>
            </w:r>
          </w:p>
        </w:tc>
        <w:tc>
          <w:tcPr>
            <w:tcW w:w="0" w:type="auto"/>
            <w:vAlign w:val="center"/>
            <w:hideMark/>
          </w:tcPr>
          <w:p w14:paraId="3AC1D3E0" w14:textId="77777777" w:rsidR="00706D2C" w:rsidRPr="00E71A36" w:rsidRDefault="00706D2C" w:rsidP="008027C8">
            <w:pPr>
              <w:spacing w:line="360" w:lineRule="auto"/>
              <w:jc w:val="both"/>
              <w:rPr>
                <w:rFonts w:ascii="Garamond" w:hAnsi="Garamond"/>
              </w:rPr>
            </w:pPr>
            <w:r w:rsidRPr="00E71A36">
              <w:rPr>
                <w:rFonts w:ascii="Garamond" w:hAnsi="Garamond"/>
              </w:rPr>
              <w:t>0.82</w:t>
            </w:r>
          </w:p>
        </w:tc>
        <w:tc>
          <w:tcPr>
            <w:tcW w:w="0" w:type="auto"/>
            <w:vAlign w:val="center"/>
            <w:hideMark/>
          </w:tcPr>
          <w:p w14:paraId="38EA0327" w14:textId="77777777" w:rsidR="00706D2C" w:rsidRPr="00E71A36" w:rsidRDefault="00706D2C" w:rsidP="008027C8">
            <w:pPr>
              <w:spacing w:line="360" w:lineRule="auto"/>
              <w:jc w:val="both"/>
              <w:rPr>
                <w:rFonts w:ascii="Garamond" w:hAnsi="Garamond"/>
              </w:rPr>
            </w:pPr>
            <w:r w:rsidRPr="00E71A36">
              <w:rPr>
                <w:rFonts w:ascii="Garamond" w:hAnsi="Garamond"/>
              </w:rPr>
              <w:t>High sediment and waste particles</w:t>
            </w:r>
          </w:p>
        </w:tc>
      </w:tr>
      <w:tr w:rsidR="00AD68F5" w:rsidRPr="00E71A36" w14:paraId="15CD33A7" w14:textId="77777777" w:rsidTr="00B60735">
        <w:trPr>
          <w:tblCellSpacing w:w="15" w:type="dxa"/>
        </w:trPr>
        <w:tc>
          <w:tcPr>
            <w:tcW w:w="0" w:type="auto"/>
            <w:vAlign w:val="center"/>
            <w:hideMark/>
          </w:tcPr>
          <w:p w14:paraId="69CF5108" w14:textId="77777777" w:rsidR="00706D2C" w:rsidRPr="00E71A36" w:rsidRDefault="00706D2C" w:rsidP="008027C8">
            <w:pPr>
              <w:spacing w:line="360" w:lineRule="auto"/>
              <w:jc w:val="both"/>
              <w:rPr>
                <w:rFonts w:ascii="Garamond" w:hAnsi="Garamond"/>
              </w:rPr>
            </w:pPr>
            <w:r w:rsidRPr="00E71A36">
              <w:rPr>
                <w:rFonts w:ascii="Garamond" w:hAnsi="Garamond"/>
              </w:rPr>
              <w:t>Nitrates (NO</w:t>
            </w:r>
            <w:r w:rsidRPr="00E71A36">
              <w:rPr>
                <w:rFonts w:ascii="Cambria Math" w:hAnsi="Cambria Math" w:cs="Cambria Math"/>
              </w:rPr>
              <w:t>₃⁻</w:t>
            </w:r>
            <w:r w:rsidRPr="00E71A36">
              <w:rPr>
                <w:rFonts w:ascii="Garamond" w:hAnsi="Garamond"/>
              </w:rPr>
              <w:t>)</w:t>
            </w:r>
          </w:p>
        </w:tc>
        <w:tc>
          <w:tcPr>
            <w:tcW w:w="0" w:type="auto"/>
            <w:vAlign w:val="center"/>
            <w:hideMark/>
          </w:tcPr>
          <w:p w14:paraId="516495EB" w14:textId="77777777" w:rsidR="00706D2C" w:rsidRPr="00E71A36" w:rsidRDefault="00706D2C" w:rsidP="008027C8">
            <w:pPr>
              <w:spacing w:line="360" w:lineRule="auto"/>
              <w:jc w:val="both"/>
              <w:rPr>
                <w:rFonts w:ascii="Garamond" w:hAnsi="Garamond"/>
              </w:rPr>
            </w:pPr>
            <w:r w:rsidRPr="00E71A36">
              <w:rPr>
                <w:rFonts w:ascii="Garamond" w:hAnsi="Garamond"/>
              </w:rPr>
              <w:t>14 mg/L</w:t>
            </w:r>
          </w:p>
        </w:tc>
        <w:tc>
          <w:tcPr>
            <w:tcW w:w="0" w:type="auto"/>
            <w:vAlign w:val="center"/>
            <w:hideMark/>
          </w:tcPr>
          <w:p w14:paraId="1AD8356F" w14:textId="77777777" w:rsidR="00706D2C" w:rsidRPr="00E71A36" w:rsidRDefault="00706D2C" w:rsidP="008027C8">
            <w:pPr>
              <w:spacing w:line="360" w:lineRule="auto"/>
              <w:jc w:val="both"/>
              <w:rPr>
                <w:rFonts w:ascii="Garamond" w:hAnsi="Garamond"/>
              </w:rPr>
            </w:pPr>
            <w:r w:rsidRPr="00E71A36">
              <w:rPr>
                <w:rFonts w:ascii="Garamond" w:hAnsi="Garamond"/>
              </w:rPr>
              <w:t>10 mg/L</w:t>
            </w:r>
          </w:p>
        </w:tc>
        <w:tc>
          <w:tcPr>
            <w:tcW w:w="0" w:type="auto"/>
            <w:vAlign w:val="center"/>
            <w:hideMark/>
          </w:tcPr>
          <w:p w14:paraId="7386ADBA" w14:textId="77777777" w:rsidR="00706D2C" w:rsidRPr="00E71A36" w:rsidRDefault="00706D2C" w:rsidP="008027C8">
            <w:pPr>
              <w:spacing w:line="360" w:lineRule="auto"/>
              <w:jc w:val="both"/>
              <w:rPr>
                <w:rFonts w:ascii="Garamond" w:hAnsi="Garamond"/>
              </w:rPr>
            </w:pPr>
            <w:r w:rsidRPr="00E71A36">
              <w:rPr>
                <w:rFonts w:ascii="Garamond" w:hAnsi="Garamond"/>
              </w:rPr>
              <w:t>1.40</w:t>
            </w:r>
          </w:p>
        </w:tc>
        <w:tc>
          <w:tcPr>
            <w:tcW w:w="0" w:type="auto"/>
            <w:vAlign w:val="center"/>
            <w:hideMark/>
          </w:tcPr>
          <w:p w14:paraId="10C3A093" w14:textId="77777777" w:rsidR="00706D2C" w:rsidRPr="00E71A36" w:rsidRDefault="00706D2C" w:rsidP="008027C8">
            <w:pPr>
              <w:spacing w:line="360" w:lineRule="auto"/>
              <w:jc w:val="both"/>
              <w:rPr>
                <w:rFonts w:ascii="Garamond" w:hAnsi="Garamond"/>
              </w:rPr>
            </w:pPr>
            <w:r w:rsidRPr="00E71A36">
              <w:rPr>
                <w:rFonts w:ascii="Garamond" w:hAnsi="Garamond"/>
              </w:rPr>
              <w:t>0.34</w:t>
            </w:r>
          </w:p>
        </w:tc>
        <w:tc>
          <w:tcPr>
            <w:tcW w:w="0" w:type="auto"/>
            <w:vAlign w:val="center"/>
            <w:hideMark/>
          </w:tcPr>
          <w:p w14:paraId="3BF3DF60" w14:textId="77777777" w:rsidR="00706D2C" w:rsidRPr="00E71A36" w:rsidRDefault="00706D2C" w:rsidP="008027C8">
            <w:pPr>
              <w:spacing w:line="360" w:lineRule="auto"/>
              <w:jc w:val="both"/>
              <w:rPr>
                <w:rFonts w:ascii="Garamond" w:hAnsi="Garamond"/>
              </w:rPr>
            </w:pPr>
            <w:r w:rsidRPr="00E71A36">
              <w:rPr>
                <w:rFonts w:ascii="Garamond" w:hAnsi="Garamond"/>
              </w:rPr>
              <w:t>Slight nutrient enrichment</w:t>
            </w:r>
          </w:p>
        </w:tc>
      </w:tr>
      <w:tr w:rsidR="00AD68F5" w:rsidRPr="00E71A36" w14:paraId="70141FCC" w14:textId="77777777" w:rsidTr="00B60735">
        <w:trPr>
          <w:tblCellSpacing w:w="15" w:type="dxa"/>
        </w:trPr>
        <w:tc>
          <w:tcPr>
            <w:tcW w:w="0" w:type="auto"/>
            <w:tcBorders>
              <w:bottom w:val="single" w:sz="4" w:space="0" w:color="auto"/>
            </w:tcBorders>
            <w:vAlign w:val="center"/>
            <w:hideMark/>
          </w:tcPr>
          <w:p w14:paraId="7C4355F8" w14:textId="77777777" w:rsidR="00706D2C" w:rsidRPr="00E71A36" w:rsidRDefault="00706D2C" w:rsidP="008027C8">
            <w:pPr>
              <w:spacing w:line="360" w:lineRule="auto"/>
              <w:jc w:val="both"/>
              <w:rPr>
                <w:rFonts w:ascii="Garamond" w:hAnsi="Garamond"/>
              </w:rPr>
            </w:pPr>
            <w:r w:rsidRPr="00E71A36">
              <w:rPr>
                <w:rFonts w:ascii="Garamond" w:hAnsi="Garamond"/>
              </w:rPr>
              <w:t>Phosphates (PO</w:t>
            </w:r>
            <w:r w:rsidRPr="00E71A36">
              <w:rPr>
                <w:rFonts w:ascii="Cambria Math" w:hAnsi="Cambria Math" w:cs="Cambria Math"/>
              </w:rPr>
              <w:t>₄</w:t>
            </w:r>
            <w:r w:rsidRPr="00E71A36">
              <w:rPr>
                <w:rFonts w:ascii="Garamond" w:hAnsi="Garamond" w:cs="Garamond"/>
              </w:rPr>
              <w:t>³</w:t>
            </w:r>
            <w:r w:rsidRPr="00E71A36">
              <w:rPr>
                <w:rFonts w:ascii="Cambria Math" w:hAnsi="Cambria Math" w:cs="Cambria Math"/>
              </w:rPr>
              <w:t>⁻</w:t>
            </w:r>
            <w:r w:rsidRPr="00E71A36">
              <w:rPr>
                <w:rFonts w:ascii="Garamond" w:hAnsi="Garamond"/>
              </w:rPr>
              <w:t>)</w:t>
            </w:r>
          </w:p>
        </w:tc>
        <w:tc>
          <w:tcPr>
            <w:tcW w:w="0" w:type="auto"/>
            <w:tcBorders>
              <w:bottom w:val="single" w:sz="4" w:space="0" w:color="auto"/>
            </w:tcBorders>
            <w:vAlign w:val="center"/>
            <w:hideMark/>
          </w:tcPr>
          <w:p w14:paraId="3E461629" w14:textId="77777777" w:rsidR="00706D2C" w:rsidRPr="00E71A36" w:rsidRDefault="00706D2C" w:rsidP="008027C8">
            <w:pPr>
              <w:spacing w:line="360" w:lineRule="auto"/>
              <w:jc w:val="both"/>
              <w:rPr>
                <w:rFonts w:ascii="Garamond" w:hAnsi="Garamond"/>
              </w:rPr>
            </w:pPr>
            <w:r w:rsidRPr="00E71A36">
              <w:rPr>
                <w:rFonts w:ascii="Garamond" w:hAnsi="Garamond"/>
              </w:rPr>
              <w:t>3.2 mg/L</w:t>
            </w:r>
          </w:p>
        </w:tc>
        <w:tc>
          <w:tcPr>
            <w:tcW w:w="0" w:type="auto"/>
            <w:tcBorders>
              <w:bottom w:val="single" w:sz="4" w:space="0" w:color="auto"/>
            </w:tcBorders>
            <w:vAlign w:val="center"/>
            <w:hideMark/>
          </w:tcPr>
          <w:p w14:paraId="21CD0188" w14:textId="77777777" w:rsidR="00706D2C" w:rsidRPr="00E71A36" w:rsidRDefault="00706D2C" w:rsidP="008027C8">
            <w:pPr>
              <w:spacing w:line="360" w:lineRule="auto"/>
              <w:jc w:val="both"/>
              <w:rPr>
                <w:rFonts w:ascii="Garamond" w:hAnsi="Garamond"/>
              </w:rPr>
            </w:pPr>
            <w:r w:rsidRPr="00E71A36">
              <w:rPr>
                <w:rFonts w:ascii="Garamond" w:hAnsi="Garamond"/>
              </w:rPr>
              <w:t>2 mg/L</w:t>
            </w:r>
          </w:p>
        </w:tc>
        <w:tc>
          <w:tcPr>
            <w:tcW w:w="0" w:type="auto"/>
            <w:tcBorders>
              <w:bottom w:val="single" w:sz="4" w:space="0" w:color="auto"/>
            </w:tcBorders>
            <w:vAlign w:val="center"/>
            <w:hideMark/>
          </w:tcPr>
          <w:p w14:paraId="50C081B1" w14:textId="77777777" w:rsidR="00706D2C" w:rsidRPr="00E71A36" w:rsidRDefault="00706D2C" w:rsidP="008027C8">
            <w:pPr>
              <w:spacing w:line="360" w:lineRule="auto"/>
              <w:jc w:val="both"/>
              <w:rPr>
                <w:rFonts w:ascii="Garamond" w:hAnsi="Garamond"/>
              </w:rPr>
            </w:pPr>
            <w:r w:rsidRPr="00E71A36">
              <w:rPr>
                <w:rFonts w:ascii="Garamond" w:hAnsi="Garamond"/>
              </w:rPr>
              <w:t>1.60</w:t>
            </w:r>
          </w:p>
        </w:tc>
        <w:tc>
          <w:tcPr>
            <w:tcW w:w="0" w:type="auto"/>
            <w:tcBorders>
              <w:bottom w:val="single" w:sz="4" w:space="0" w:color="auto"/>
            </w:tcBorders>
            <w:vAlign w:val="center"/>
            <w:hideMark/>
          </w:tcPr>
          <w:p w14:paraId="043C417D" w14:textId="77777777" w:rsidR="00706D2C" w:rsidRPr="00E71A36" w:rsidRDefault="00706D2C" w:rsidP="008027C8">
            <w:pPr>
              <w:spacing w:line="360" w:lineRule="auto"/>
              <w:jc w:val="both"/>
              <w:rPr>
                <w:rFonts w:ascii="Garamond" w:hAnsi="Garamond"/>
              </w:rPr>
            </w:pPr>
            <w:r w:rsidRPr="00E71A36">
              <w:rPr>
                <w:rFonts w:ascii="Garamond" w:hAnsi="Garamond"/>
              </w:rPr>
              <w:t>0.47</w:t>
            </w:r>
          </w:p>
        </w:tc>
        <w:tc>
          <w:tcPr>
            <w:tcW w:w="0" w:type="auto"/>
            <w:tcBorders>
              <w:bottom w:val="single" w:sz="4" w:space="0" w:color="auto"/>
            </w:tcBorders>
            <w:vAlign w:val="center"/>
            <w:hideMark/>
          </w:tcPr>
          <w:p w14:paraId="16A91840" w14:textId="77777777" w:rsidR="00706D2C" w:rsidRPr="00E71A36" w:rsidRDefault="00706D2C" w:rsidP="008027C8">
            <w:pPr>
              <w:spacing w:line="360" w:lineRule="auto"/>
              <w:jc w:val="both"/>
              <w:rPr>
                <w:rFonts w:ascii="Garamond" w:hAnsi="Garamond"/>
              </w:rPr>
            </w:pPr>
            <w:r w:rsidRPr="00E71A36">
              <w:rPr>
                <w:rFonts w:ascii="Garamond" w:hAnsi="Garamond"/>
              </w:rPr>
              <w:t>Elevated nutrient levels</w:t>
            </w:r>
          </w:p>
        </w:tc>
      </w:tr>
    </w:tbl>
    <w:p w14:paraId="4F14B910" w14:textId="77777777" w:rsidR="00706D2C" w:rsidRPr="00E71A36" w:rsidRDefault="00706D2C" w:rsidP="008027C8">
      <w:pPr>
        <w:spacing w:line="360" w:lineRule="auto"/>
        <w:jc w:val="both"/>
        <w:rPr>
          <w:rFonts w:ascii="Garamond" w:hAnsi="Garamond"/>
        </w:rPr>
      </w:pPr>
      <w:r w:rsidRPr="00E71A36">
        <w:rPr>
          <w:rFonts w:ascii="Garamond" w:hAnsi="Garamond"/>
        </w:rPr>
        <w:t>*Water Quality Index (WQI) = Measured Parameter ÷ Standard Limit</w:t>
      </w:r>
    </w:p>
    <w:p w14:paraId="1FAFE7A6" w14:textId="052BB021" w:rsidR="00706D2C" w:rsidRPr="00E71A36" w:rsidRDefault="00706D2C" w:rsidP="008027C8">
      <w:pPr>
        <w:spacing w:line="360" w:lineRule="auto"/>
        <w:jc w:val="both"/>
        <w:rPr>
          <w:rFonts w:ascii="Garamond" w:hAnsi="Garamond"/>
        </w:rPr>
      </w:pPr>
      <w:r w:rsidRPr="00E71A36">
        <w:rPr>
          <w:rFonts w:ascii="Garamond" w:hAnsi="Garamond"/>
        </w:rPr>
        <w:t>The water quality indices</w:t>
      </w:r>
      <w:r w:rsidR="002E5751" w:rsidRPr="00E71A36">
        <w:rPr>
          <w:rFonts w:ascii="Garamond" w:hAnsi="Garamond"/>
        </w:rPr>
        <w:t xml:space="preserve"> </w:t>
      </w:r>
      <w:r w:rsidR="0033650D" w:rsidRPr="00E71A36">
        <w:rPr>
          <w:rFonts w:ascii="Garamond" w:hAnsi="Garamond"/>
        </w:rPr>
        <w:t>(Table</w:t>
      </w:r>
      <w:r w:rsidR="002E5751" w:rsidRPr="00E71A36">
        <w:rPr>
          <w:rFonts w:ascii="Garamond" w:hAnsi="Garamond"/>
        </w:rPr>
        <w:t xml:space="preserve"> 8)</w:t>
      </w:r>
      <w:r w:rsidRPr="00E71A36">
        <w:rPr>
          <w:rFonts w:ascii="Garamond" w:hAnsi="Garamond"/>
        </w:rPr>
        <w:t xml:space="preserve"> indicate that several parameters, particularly Biological Oxygen Demand (BOD), Chemical Oxygen Demand (COD), and Total Suspended Solids (TSS), exceed </w:t>
      </w:r>
      <w:r w:rsidRPr="00E71A36">
        <w:rPr>
          <w:rFonts w:ascii="Garamond" w:hAnsi="Garamond"/>
        </w:rPr>
        <w:lastRenderedPageBreak/>
        <w:t>recommended limits. High BOD and COD values suggest significant organic pollution likely resulting from decomposing waste materials, leachate from dumpsites, and runoff carrying organic debris from waste accumulation areas. Elevated TSS values further indicate the presence of suspended waste particles and sediments in drainage channels and nearby water bodies.</w:t>
      </w:r>
    </w:p>
    <w:p w14:paraId="27E51B4E" w14:textId="77777777" w:rsidR="00706D2C" w:rsidRPr="00E71A36" w:rsidRDefault="00706D2C" w:rsidP="008027C8">
      <w:pPr>
        <w:spacing w:line="360" w:lineRule="auto"/>
        <w:jc w:val="both"/>
        <w:rPr>
          <w:rFonts w:ascii="Garamond" w:hAnsi="Garamond"/>
        </w:rPr>
      </w:pPr>
      <w:r w:rsidRPr="00E71A36">
        <w:rPr>
          <w:rFonts w:ascii="Garamond" w:hAnsi="Garamond"/>
        </w:rPr>
        <w:t>Log-transformed WQI values provide a normalized measure of pollution intensity. Positive log WQI values for BOD, COD, TSS, nitrates, and phosphates indicate levels exceeding recommended standards, while negative values for pH and dissolved oxygen suggest parameters within acceptable ranges. These results demonstrate that improper waste management practices can affect both air and water quality, particularly through waste decomposition, runoff from dumping sites, and leakage of pollutants into surface water systems.</w:t>
      </w:r>
    </w:p>
    <w:p w14:paraId="1B555714" w14:textId="77777777" w:rsidR="00706D2C" w:rsidRPr="00E71A36" w:rsidRDefault="00706D2C" w:rsidP="008027C8">
      <w:pPr>
        <w:spacing w:line="360" w:lineRule="auto"/>
        <w:jc w:val="both"/>
        <w:rPr>
          <w:rFonts w:ascii="Garamond" w:hAnsi="Garamond"/>
        </w:rPr>
      </w:pPr>
      <w:r w:rsidRPr="00E71A36">
        <w:rPr>
          <w:rFonts w:ascii="Garamond" w:hAnsi="Garamond"/>
        </w:rPr>
        <w:t>Including water quality indices strengthens the environmental analysis of the study by showing that waste management practices influence multiple environmental media. Organic waste decomposition and leachate formation contribute not only to water contamination but also to the emission of gaseous pollutants such as methane and volatile organic compounds that affect air quality. Therefore, the integration of water quality indices helps provide a more comprehensive understanding of the environmental impacts of waste management practices in Nairobi City County.</w:t>
      </w:r>
    </w:p>
    <w:p w14:paraId="33FA68A4" w14:textId="5B362FBE" w:rsidR="00706D2C" w:rsidRPr="00E71A36" w:rsidRDefault="00006810" w:rsidP="008027C8">
      <w:pPr>
        <w:spacing w:line="360" w:lineRule="auto"/>
        <w:jc w:val="both"/>
        <w:rPr>
          <w:rFonts w:ascii="Garamond" w:hAnsi="Garamond"/>
          <w:b/>
        </w:rPr>
      </w:pPr>
      <w:bookmarkStart w:id="43" w:name="_Toc224480382"/>
      <w:r w:rsidRPr="00E71A36">
        <w:rPr>
          <w:rFonts w:ascii="Garamond" w:hAnsi="Garamond"/>
          <w:b/>
        </w:rPr>
        <w:t>4.0. Hypothesis</w:t>
      </w:r>
      <w:r w:rsidR="00706D2C" w:rsidRPr="00E71A36">
        <w:rPr>
          <w:rFonts w:ascii="Garamond" w:hAnsi="Garamond"/>
          <w:b/>
        </w:rPr>
        <w:t xml:space="preserve"> Testing Results</w:t>
      </w:r>
      <w:bookmarkEnd w:id="43"/>
    </w:p>
    <w:p w14:paraId="13729104" w14:textId="77777777" w:rsidR="00006810" w:rsidRPr="00E71A36" w:rsidRDefault="00006810" w:rsidP="008027C8">
      <w:pPr>
        <w:spacing w:line="360" w:lineRule="auto"/>
        <w:jc w:val="both"/>
        <w:rPr>
          <w:rFonts w:ascii="Garamond" w:hAnsi="Garamond"/>
          <w:b/>
        </w:rPr>
      </w:pPr>
      <w:bookmarkStart w:id="44" w:name="_Toc224480939"/>
    </w:p>
    <w:p w14:paraId="288D3545" w14:textId="5B0B0A94" w:rsidR="00706D2C" w:rsidRPr="00E71A36" w:rsidRDefault="00706D2C" w:rsidP="008027C8">
      <w:pPr>
        <w:spacing w:line="360" w:lineRule="auto"/>
        <w:jc w:val="both"/>
        <w:rPr>
          <w:rFonts w:ascii="Garamond" w:hAnsi="Garamond"/>
          <w:b/>
        </w:rPr>
      </w:pPr>
      <w:r w:rsidRPr="00E71A36">
        <w:rPr>
          <w:rFonts w:ascii="Garamond" w:hAnsi="Garamond"/>
          <w:b/>
        </w:rPr>
        <w:t xml:space="preserve">Table </w:t>
      </w:r>
      <w:r w:rsidR="00AD68F5" w:rsidRPr="00E71A36">
        <w:rPr>
          <w:rFonts w:ascii="Garamond" w:hAnsi="Garamond"/>
          <w:b/>
        </w:rPr>
        <w:t>9</w:t>
      </w:r>
      <w:r w:rsidRPr="00E71A36">
        <w:rPr>
          <w:rFonts w:ascii="Garamond" w:hAnsi="Garamond"/>
          <w:b/>
        </w:rPr>
        <w:t>: Hypothesis Testing Results</w:t>
      </w:r>
      <w:bookmarkEnd w:id="44"/>
    </w:p>
    <w:tbl>
      <w:tblPr>
        <w:tblW w:w="9208" w:type="dxa"/>
        <w:tblCellSpacing w:w="15" w:type="dxa"/>
        <w:tblCellMar>
          <w:top w:w="15" w:type="dxa"/>
          <w:left w:w="15" w:type="dxa"/>
          <w:bottom w:w="15" w:type="dxa"/>
          <w:right w:w="15" w:type="dxa"/>
        </w:tblCellMar>
        <w:tblLook w:val="04A0" w:firstRow="1" w:lastRow="0" w:firstColumn="1" w:lastColumn="0" w:noHBand="0" w:noVBand="1"/>
      </w:tblPr>
      <w:tblGrid>
        <w:gridCol w:w="2095"/>
        <w:gridCol w:w="4535"/>
        <w:gridCol w:w="1342"/>
        <w:gridCol w:w="1236"/>
      </w:tblGrid>
      <w:tr w:rsidR="002F16B1" w:rsidRPr="00E71A36" w14:paraId="043E8E42" w14:textId="77777777" w:rsidTr="00B60735">
        <w:trPr>
          <w:trHeight w:val="750"/>
          <w:tblHeader/>
          <w:tblCellSpacing w:w="15" w:type="dxa"/>
        </w:trPr>
        <w:tc>
          <w:tcPr>
            <w:tcW w:w="0" w:type="auto"/>
            <w:tcBorders>
              <w:top w:val="single" w:sz="4" w:space="0" w:color="auto"/>
              <w:bottom w:val="single" w:sz="4" w:space="0" w:color="auto"/>
            </w:tcBorders>
            <w:vAlign w:val="center"/>
            <w:hideMark/>
          </w:tcPr>
          <w:p w14:paraId="4C415BCD" w14:textId="77777777" w:rsidR="00706D2C" w:rsidRPr="00E71A36" w:rsidRDefault="00706D2C" w:rsidP="008027C8">
            <w:pPr>
              <w:spacing w:line="360" w:lineRule="auto"/>
              <w:jc w:val="both"/>
              <w:rPr>
                <w:rFonts w:ascii="Garamond" w:hAnsi="Garamond"/>
              </w:rPr>
            </w:pPr>
            <w:r w:rsidRPr="00E71A36">
              <w:rPr>
                <w:rFonts w:ascii="Garamond" w:hAnsi="Garamond"/>
              </w:rPr>
              <w:t>Objective</w:t>
            </w:r>
          </w:p>
        </w:tc>
        <w:tc>
          <w:tcPr>
            <w:tcW w:w="0" w:type="auto"/>
            <w:tcBorders>
              <w:top w:val="single" w:sz="4" w:space="0" w:color="auto"/>
              <w:bottom w:val="single" w:sz="4" w:space="0" w:color="auto"/>
            </w:tcBorders>
            <w:vAlign w:val="center"/>
            <w:hideMark/>
          </w:tcPr>
          <w:p w14:paraId="026BA91C" w14:textId="77777777" w:rsidR="00706D2C" w:rsidRPr="00E71A36" w:rsidRDefault="00706D2C" w:rsidP="008027C8">
            <w:pPr>
              <w:spacing w:line="360" w:lineRule="auto"/>
              <w:jc w:val="both"/>
              <w:rPr>
                <w:rFonts w:ascii="Garamond" w:hAnsi="Garamond"/>
              </w:rPr>
            </w:pPr>
            <w:r w:rsidRPr="00E71A36">
              <w:rPr>
                <w:rFonts w:ascii="Garamond" w:hAnsi="Garamond"/>
              </w:rPr>
              <w:t>Hypothesis Tested</w:t>
            </w:r>
          </w:p>
        </w:tc>
        <w:tc>
          <w:tcPr>
            <w:tcW w:w="0" w:type="auto"/>
            <w:tcBorders>
              <w:top w:val="single" w:sz="4" w:space="0" w:color="auto"/>
              <w:bottom w:val="single" w:sz="4" w:space="0" w:color="auto"/>
            </w:tcBorders>
            <w:vAlign w:val="center"/>
            <w:hideMark/>
          </w:tcPr>
          <w:p w14:paraId="77433E48" w14:textId="77777777" w:rsidR="00706D2C" w:rsidRPr="00E71A36" w:rsidRDefault="00706D2C" w:rsidP="008027C8">
            <w:pPr>
              <w:spacing w:line="360" w:lineRule="auto"/>
              <w:jc w:val="both"/>
              <w:rPr>
                <w:rFonts w:ascii="Garamond" w:hAnsi="Garamond"/>
              </w:rPr>
            </w:pPr>
            <w:r w:rsidRPr="00E71A36">
              <w:rPr>
                <w:rFonts w:ascii="Garamond" w:hAnsi="Garamond"/>
              </w:rPr>
              <w:t>Statistical Test Used</w:t>
            </w:r>
          </w:p>
        </w:tc>
        <w:tc>
          <w:tcPr>
            <w:tcW w:w="0" w:type="auto"/>
            <w:tcBorders>
              <w:top w:val="single" w:sz="4" w:space="0" w:color="auto"/>
              <w:bottom w:val="single" w:sz="4" w:space="0" w:color="auto"/>
            </w:tcBorders>
            <w:vAlign w:val="center"/>
            <w:hideMark/>
          </w:tcPr>
          <w:p w14:paraId="69B94951" w14:textId="77777777" w:rsidR="00706D2C" w:rsidRPr="00E71A36" w:rsidRDefault="00706D2C" w:rsidP="008027C8">
            <w:pPr>
              <w:spacing w:line="360" w:lineRule="auto"/>
              <w:jc w:val="both"/>
              <w:rPr>
                <w:rFonts w:ascii="Garamond" w:hAnsi="Garamond"/>
              </w:rPr>
            </w:pPr>
            <w:r w:rsidRPr="00E71A36">
              <w:rPr>
                <w:rFonts w:ascii="Garamond" w:hAnsi="Garamond"/>
              </w:rPr>
              <w:t>Decision Criterion</w:t>
            </w:r>
          </w:p>
        </w:tc>
      </w:tr>
      <w:tr w:rsidR="00706D2C" w:rsidRPr="00E71A36" w14:paraId="2F4CB8E1" w14:textId="77777777" w:rsidTr="00B60735">
        <w:trPr>
          <w:trHeight w:val="765"/>
          <w:tblCellSpacing w:w="15" w:type="dxa"/>
        </w:trPr>
        <w:tc>
          <w:tcPr>
            <w:tcW w:w="0" w:type="auto"/>
            <w:vAlign w:val="center"/>
            <w:hideMark/>
          </w:tcPr>
          <w:p w14:paraId="6EE427AE" w14:textId="77777777" w:rsidR="00706D2C" w:rsidRPr="00E71A36" w:rsidRDefault="00706D2C" w:rsidP="008027C8">
            <w:pPr>
              <w:spacing w:line="360" w:lineRule="auto"/>
              <w:jc w:val="both"/>
              <w:rPr>
                <w:rFonts w:ascii="Garamond" w:hAnsi="Garamond"/>
              </w:rPr>
            </w:pPr>
            <w:r w:rsidRPr="00E71A36">
              <w:rPr>
                <w:rFonts w:ascii="Garamond" w:hAnsi="Garamond"/>
              </w:rPr>
              <w:t>Types and sources of waste</w:t>
            </w:r>
          </w:p>
        </w:tc>
        <w:tc>
          <w:tcPr>
            <w:tcW w:w="0" w:type="auto"/>
            <w:vAlign w:val="center"/>
            <w:hideMark/>
          </w:tcPr>
          <w:p w14:paraId="41D336C5" w14:textId="77777777" w:rsidR="00706D2C" w:rsidRPr="00E71A36" w:rsidRDefault="00706D2C" w:rsidP="008027C8">
            <w:pPr>
              <w:spacing w:line="360" w:lineRule="auto"/>
              <w:jc w:val="both"/>
              <w:rPr>
                <w:rFonts w:ascii="Garamond" w:hAnsi="Garamond"/>
              </w:rPr>
            </w:pPr>
            <w:r w:rsidRPr="00E71A36">
              <w:rPr>
                <w:rFonts w:ascii="Garamond" w:hAnsi="Garamond"/>
              </w:rPr>
              <w:t>H</w:t>
            </w:r>
            <w:r w:rsidRPr="00E71A36">
              <w:rPr>
                <w:rFonts w:ascii="Cambria Math" w:hAnsi="Cambria Math" w:cs="Cambria Math"/>
              </w:rPr>
              <w:t>₀₁</w:t>
            </w:r>
            <w:r w:rsidRPr="00E71A36">
              <w:rPr>
                <w:rFonts w:ascii="Garamond" w:hAnsi="Garamond"/>
              </w:rPr>
              <w:t>: There is no significant association between types and sources of waste</w:t>
            </w:r>
          </w:p>
        </w:tc>
        <w:tc>
          <w:tcPr>
            <w:tcW w:w="0" w:type="auto"/>
            <w:vAlign w:val="center"/>
            <w:hideMark/>
          </w:tcPr>
          <w:p w14:paraId="5EE90772" w14:textId="77777777" w:rsidR="00706D2C" w:rsidRPr="00E71A36" w:rsidRDefault="00706D2C" w:rsidP="008027C8">
            <w:pPr>
              <w:spacing w:line="360" w:lineRule="auto"/>
              <w:jc w:val="both"/>
              <w:rPr>
                <w:rFonts w:ascii="Garamond" w:hAnsi="Garamond"/>
              </w:rPr>
            </w:pPr>
            <w:r w:rsidRPr="00E71A36">
              <w:rPr>
                <w:rFonts w:ascii="Garamond" w:hAnsi="Garamond"/>
              </w:rPr>
              <w:t>Chi-square</w:t>
            </w:r>
          </w:p>
        </w:tc>
        <w:tc>
          <w:tcPr>
            <w:tcW w:w="0" w:type="auto"/>
            <w:vAlign w:val="center"/>
            <w:hideMark/>
          </w:tcPr>
          <w:p w14:paraId="2CCF7F20" w14:textId="77777777" w:rsidR="00706D2C" w:rsidRPr="00E71A36" w:rsidRDefault="00706D2C" w:rsidP="008027C8">
            <w:pPr>
              <w:spacing w:line="360" w:lineRule="auto"/>
              <w:jc w:val="both"/>
              <w:rPr>
                <w:rFonts w:ascii="Garamond" w:hAnsi="Garamond"/>
              </w:rPr>
            </w:pPr>
            <w:r w:rsidRPr="00E71A36">
              <w:rPr>
                <w:rFonts w:ascii="Garamond" w:hAnsi="Garamond"/>
              </w:rPr>
              <w:t>p ≤ 0.05</w:t>
            </w:r>
          </w:p>
        </w:tc>
      </w:tr>
      <w:tr w:rsidR="00706D2C" w:rsidRPr="00E71A36" w14:paraId="2F7492A2" w14:textId="77777777" w:rsidTr="00B60735">
        <w:trPr>
          <w:trHeight w:val="1125"/>
          <w:tblCellSpacing w:w="15" w:type="dxa"/>
        </w:trPr>
        <w:tc>
          <w:tcPr>
            <w:tcW w:w="0" w:type="auto"/>
            <w:vAlign w:val="center"/>
            <w:hideMark/>
          </w:tcPr>
          <w:p w14:paraId="2D5D69CE" w14:textId="77777777" w:rsidR="00706D2C" w:rsidRPr="00E71A36" w:rsidRDefault="00706D2C" w:rsidP="008027C8">
            <w:pPr>
              <w:spacing w:line="360" w:lineRule="auto"/>
              <w:jc w:val="both"/>
              <w:rPr>
                <w:rFonts w:ascii="Garamond" w:hAnsi="Garamond"/>
              </w:rPr>
            </w:pPr>
            <w:r w:rsidRPr="00E71A36">
              <w:rPr>
                <w:rFonts w:ascii="Garamond" w:hAnsi="Garamond"/>
              </w:rPr>
              <w:t>Waste management practices</w:t>
            </w:r>
          </w:p>
        </w:tc>
        <w:tc>
          <w:tcPr>
            <w:tcW w:w="0" w:type="auto"/>
            <w:vAlign w:val="center"/>
            <w:hideMark/>
          </w:tcPr>
          <w:p w14:paraId="73B0C40C" w14:textId="77777777" w:rsidR="00706D2C" w:rsidRPr="00E71A36" w:rsidRDefault="00706D2C" w:rsidP="008027C8">
            <w:pPr>
              <w:spacing w:line="360" w:lineRule="auto"/>
              <w:jc w:val="both"/>
              <w:rPr>
                <w:rFonts w:ascii="Garamond" w:hAnsi="Garamond"/>
              </w:rPr>
            </w:pPr>
            <w:r w:rsidRPr="00E71A36">
              <w:rPr>
                <w:rFonts w:ascii="Garamond" w:hAnsi="Garamond"/>
              </w:rPr>
              <w:t>H</w:t>
            </w:r>
            <w:r w:rsidRPr="00E71A36">
              <w:rPr>
                <w:rFonts w:ascii="Cambria Math" w:hAnsi="Cambria Math" w:cs="Cambria Math"/>
              </w:rPr>
              <w:t>₀₂</w:t>
            </w:r>
            <w:r w:rsidRPr="00E71A36">
              <w:rPr>
                <w:rFonts w:ascii="Garamond" w:hAnsi="Garamond"/>
              </w:rPr>
              <w:t>: There is no significant difference in waste management practices across different communities</w:t>
            </w:r>
          </w:p>
        </w:tc>
        <w:tc>
          <w:tcPr>
            <w:tcW w:w="0" w:type="auto"/>
            <w:vAlign w:val="center"/>
            <w:hideMark/>
          </w:tcPr>
          <w:p w14:paraId="5F5DF3BF" w14:textId="77777777" w:rsidR="00706D2C" w:rsidRPr="00E71A36" w:rsidRDefault="00706D2C" w:rsidP="008027C8">
            <w:pPr>
              <w:spacing w:line="360" w:lineRule="auto"/>
              <w:jc w:val="both"/>
              <w:rPr>
                <w:rFonts w:ascii="Garamond" w:hAnsi="Garamond"/>
              </w:rPr>
            </w:pPr>
            <w:r w:rsidRPr="00E71A36">
              <w:rPr>
                <w:rFonts w:ascii="Garamond" w:hAnsi="Garamond"/>
              </w:rPr>
              <w:t>One-way ANOVA</w:t>
            </w:r>
          </w:p>
        </w:tc>
        <w:tc>
          <w:tcPr>
            <w:tcW w:w="0" w:type="auto"/>
            <w:vAlign w:val="center"/>
            <w:hideMark/>
          </w:tcPr>
          <w:p w14:paraId="325CDC1A" w14:textId="77777777" w:rsidR="00706D2C" w:rsidRPr="00E71A36" w:rsidRDefault="00706D2C" w:rsidP="008027C8">
            <w:pPr>
              <w:spacing w:line="360" w:lineRule="auto"/>
              <w:jc w:val="both"/>
              <w:rPr>
                <w:rFonts w:ascii="Garamond" w:hAnsi="Garamond"/>
              </w:rPr>
            </w:pPr>
            <w:r w:rsidRPr="00E71A36">
              <w:rPr>
                <w:rFonts w:ascii="Garamond" w:hAnsi="Garamond"/>
              </w:rPr>
              <w:t>p ≤ 0.05</w:t>
            </w:r>
          </w:p>
        </w:tc>
      </w:tr>
      <w:tr w:rsidR="00706D2C" w:rsidRPr="00E71A36" w14:paraId="635A275E" w14:textId="77777777" w:rsidTr="00B60735">
        <w:trPr>
          <w:trHeight w:val="765"/>
          <w:tblCellSpacing w:w="15" w:type="dxa"/>
        </w:trPr>
        <w:tc>
          <w:tcPr>
            <w:tcW w:w="0" w:type="auto"/>
            <w:vAlign w:val="center"/>
            <w:hideMark/>
          </w:tcPr>
          <w:p w14:paraId="262A2BBE" w14:textId="77777777" w:rsidR="00706D2C" w:rsidRPr="00E71A36" w:rsidRDefault="00706D2C" w:rsidP="008027C8">
            <w:pPr>
              <w:spacing w:line="360" w:lineRule="auto"/>
              <w:jc w:val="both"/>
              <w:rPr>
                <w:rFonts w:ascii="Garamond" w:hAnsi="Garamond"/>
              </w:rPr>
            </w:pPr>
            <w:r w:rsidRPr="00E71A36">
              <w:rPr>
                <w:rFonts w:ascii="Garamond" w:hAnsi="Garamond"/>
              </w:rPr>
              <w:lastRenderedPageBreak/>
              <w:t>Air quality before vs after burning</w:t>
            </w:r>
          </w:p>
        </w:tc>
        <w:tc>
          <w:tcPr>
            <w:tcW w:w="0" w:type="auto"/>
            <w:vAlign w:val="center"/>
            <w:hideMark/>
          </w:tcPr>
          <w:p w14:paraId="3ADCD82A" w14:textId="77777777" w:rsidR="00706D2C" w:rsidRPr="00E71A36" w:rsidRDefault="00706D2C" w:rsidP="008027C8">
            <w:pPr>
              <w:spacing w:line="360" w:lineRule="auto"/>
              <w:jc w:val="both"/>
              <w:rPr>
                <w:rFonts w:ascii="Garamond" w:hAnsi="Garamond"/>
              </w:rPr>
            </w:pPr>
            <w:r w:rsidRPr="00E71A36">
              <w:rPr>
                <w:rFonts w:ascii="Garamond" w:hAnsi="Garamond"/>
              </w:rPr>
              <w:t>H</w:t>
            </w:r>
            <w:r w:rsidRPr="00E71A36">
              <w:rPr>
                <w:rFonts w:ascii="Cambria Math" w:hAnsi="Cambria Math" w:cs="Cambria Math"/>
              </w:rPr>
              <w:t>₀₃</w:t>
            </w:r>
            <w:r w:rsidRPr="00E71A36">
              <w:rPr>
                <w:rFonts w:ascii="Garamond" w:hAnsi="Garamond"/>
              </w:rPr>
              <w:t>: There is no significant difference in air quality levels before and after waste burning</w:t>
            </w:r>
          </w:p>
        </w:tc>
        <w:tc>
          <w:tcPr>
            <w:tcW w:w="0" w:type="auto"/>
            <w:vAlign w:val="center"/>
            <w:hideMark/>
          </w:tcPr>
          <w:p w14:paraId="455D8951" w14:textId="77777777" w:rsidR="00706D2C" w:rsidRPr="00E71A36" w:rsidRDefault="00706D2C" w:rsidP="008027C8">
            <w:pPr>
              <w:spacing w:line="360" w:lineRule="auto"/>
              <w:jc w:val="both"/>
              <w:rPr>
                <w:rFonts w:ascii="Garamond" w:hAnsi="Garamond"/>
              </w:rPr>
            </w:pPr>
            <w:r w:rsidRPr="00E71A36">
              <w:rPr>
                <w:rFonts w:ascii="Garamond" w:hAnsi="Garamond"/>
              </w:rPr>
              <w:t>Paired t-test</w:t>
            </w:r>
          </w:p>
        </w:tc>
        <w:tc>
          <w:tcPr>
            <w:tcW w:w="0" w:type="auto"/>
            <w:vAlign w:val="center"/>
            <w:hideMark/>
          </w:tcPr>
          <w:p w14:paraId="3069BBE6" w14:textId="77777777" w:rsidR="00706D2C" w:rsidRPr="00E71A36" w:rsidRDefault="00706D2C" w:rsidP="008027C8">
            <w:pPr>
              <w:spacing w:line="360" w:lineRule="auto"/>
              <w:jc w:val="both"/>
              <w:rPr>
                <w:rFonts w:ascii="Garamond" w:hAnsi="Garamond"/>
              </w:rPr>
            </w:pPr>
            <w:r w:rsidRPr="00E71A36">
              <w:rPr>
                <w:rFonts w:ascii="Garamond" w:hAnsi="Garamond"/>
              </w:rPr>
              <w:t>p ≤ 0.05</w:t>
            </w:r>
          </w:p>
        </w:tc>
      </w:tr>
      <w:tr w:rsidR="00706D2C" w:rsidRPr="00E71A36" w14:paraId="136E73C3" w14:textId="77777777" w:rsidTr="00B60735">
        <w:trPr>
          <w:trHeight w:val="1140"/>
          <w:tblCellSpacing w:w="15" w:type="dxa"/>
        </w:trPr>
        <w:tc>
          <w:tcPr>
            <w:tcW w:w="0" w:type="auto"/>
            <w:tcBorders>
              <w:bottom w:val="single" w:sz="4" w:space="0" w:color="auto"/>
            </w:tcBorders>
            <w:vAlign w:val="center"/>
            <w:hideMark/>
          </w:tcPr>
          <w:p w14:paraId="14A51F90" w14:textId="77777777" w:rsidR="00706D2C" w:rsidRPr="00E71A36" w:rsidRDefault="00706D2C" w:rsidP="008027C8">
            <w:pPr>
              <w:spacing w:line="360" w:lineRule="auto"/>
              <w:jc w:val="both"/>
              <w:rPr>
                <w:rFonts w:ascii="Garamond" w:hAnsi="Garamond"/>
              </w:rPr>
            </w:pPr>
            <w:r w:rsidRPr="00E71A36">
              <w:rPr>
                <w:rFonts w:ascii="Garamond" w:hAnsi="Garamond"/>
              </w:rPr>
              <w:t>Pollutants vs distance from waste site</w:t>
            </w:r>
          </w:p>
        </w:tc>
        <w:tc>
          <w:tcPr>
            <w:tcW w:w="0" w:type="auto"/>
            <w:tcBorders>
              <w:bottom w:val="single" w:sz="4" w:space="0" w:color="auto"/>
            </w:tcBorders>
            <w:vAlign w:val="center"/>
            <w:hideMark/>
          </w:tcPr>
          <w:p w14:paraId="1DB885B2" w14:textId="77777777" w:rsidR="00706D2C" w:rsidRPr="00E71A36" w:rsidRDefault="00706D2C" w:rsidP="008027C8">
            <w:pPr>
              <w:spacing w:line="360" w:lineRule="auto"/>
              <w:jc w:val="both"/>
              <w:rPr>
                <w:rFonts w:ascii="Garamond" w:hAnsi="Garamond"/>
              </w:rPr>
            </w:pPr>
            <w:r w:rsidRPr="00E71A36">
              <w:rPr>
                <w:rFonts w:ascii="Garamond" w:hAnsi="Garamond"/>
              </w:rPr>
              <w:t>H</w:t>
            </w:r>
            <w:r w:rsidRPr="00E71A36">
              <w:rPr>
                <w:rFonts w:ascii="Cambria Math" w:hAnsi="Cambria Math" w:cs="Cambria Math"/>
              </w:rPr>
              <w:t>₀₄</w:t>
            </w:r>
            <w:r w:rsidRPr="00E71A36">
              <w:rPr>
                <w:rFonts w:ascii="Garamond" w:hAnsi="Garamond"/>
              </w:rPr>
              <w:t>: There is no significant relationship between pollutant concentrations and distance from the waste site</w:t>
            </w:r>
          </w:p>
        </w:tc>
        <w:tc>
          <w:tcPr>
            <w:tcW w:w="0" w:type="auto"/>
            <w:tcBorders>
              <w:bottom w:val="single" w:sz="4" w:space="0" w:color="auto"/>
            </w:tcBorders>
            <w:vAlign w:val="center"/>
            <w:hideMark/>
          </w:tcPr>
          <w:p w14:paraId="4AEDC1D9" w14:textId="77777777" w:rsidR="00706D2C" w:rsidRPr="00E71A36" w:rsidRDefault="00706D2C" w:rsidP="008027C8">
            <w:pPr>
              <w:spacing w:line="360" w:lineRule="auto"/>
              <w:jc w:val="both"/>
              <w:rPr>
                <w:rFonts w:ascii="Garamond" w:hAnsi="Garamond"/>
              </w:rPr>
            </w:pPr>
            <w:r w:rsidRPr="00E71A36">
              <w:rPr>
                <w:rFonts w:ascii="Garamond" w:hAnsi="Garamond"/>
              </w:rPr>
              <w:t>Linear regression</w:t>
            </w:r>
          </w:p>
        </w:tc>
        <w:tc>
          <w:tcPr>
            <w:tcW w:w="0" w:type="auto"/>
            <w:tcBorders>
              <w:bottom w:val="single" w:sz="4" w:space="0" w:color="auto"/>
            </w:tcBorders>
            <w:vAlign w:val="center"/>
            <w:hideMark/>
          </w:tcPr>
          <w:p w14:paraId="1E3286EA" w14:textId="77777777" w:rsidR="00706D2C" w:rsidRPr="00E71A36" w:rsidRDefault="00706D2C" w:rsidP="008027C8">
            <w:pPr>
              <w:spacing w:line="360" w:lineRule="auto"/>
              <w:jc w:val="both"/>
              <w:rPr>
                <w:rFonts w:ascii="Garamond" w:hAnsi="Garamond"/>
              </w:rPr>
            </w:pPr>
            <w:r w:rsidRPr="00E71A36">
              <w:rPr>
                <w:rFonts w:ascii="Garamond" w:hAnsi="Garamond"/>
              </w:rPr>
              <w:t>p ≤ 0.05</w:t>
            </w:r>
          </w:p>
        </w:tc>
      </w:tr>
    </w:tbl>
    <w:p w14:paraId="0F5BAE86" w14:textId="77777777" w:rsidR="00706D2C" w:rsidRPr="00E71A36" w:rsidRDefault="00706D2C" w:rsidP="008027C8">
      <w:pPr>
        <w:spacing w:line="360" w:lineRule="auto"/>
        <w:jc w:val="both"/>
        <w:rPr>
          <w:rFonts w:ascii="Garamond" w:hAnsi="Garamond"/>
        </w:rPr>
      </w:pPr>
    </w:p>
    <w:p w14:paraId="4B430460" w14:textId="3BF50490" w:rsidR="00706D2C" w:rsidRPr="00E71A36" w:rsidRDefault="00706D2C" w:rsidP="008027C8">
      <w:pPr>
        <w:spacing w:line="360" w:lineRule="auto"/>
        <w:jc w:val="both"/>
        <w:rPr>
          <w:rFonts w:ascii="Garamond" w:hAnsi="Garamond"/>
        </w:rPr>
      </w:pPr>
      <w:r w:rsidRPr="00E71A36">
        <w:rPr>
          <w:rFonts w:ascii="Garamond" w:hAnsi="Garamond"/>
        </w:rPr>
        <w:t>The study examined the relationship between waste management practices and environmental quality in Nairobi City County</w:t>
      </w:r>
      <w:r w:rsidR="002E5751" w:rsidRPr="00E71A36">
        <w:rPr>
          <w:rFonts w:ascii="Garamond" w:hAnsi="Garamond"/>
        </w:rPr>
        <w:t xml:space="preserve"> </w:t>
      </w:r>
      <w:r w:rsidR="0033650D" w:rsidRPr="00E71A36">
        <w:rPr>
          <w:rFonts w:ascii="Garamond" w:hAnsi="Garamond"/>
        </w:rPr>
        <w:t>(Table</w:t>
      </w:r>
      <w:r w:rsidR="002E5751" w:rsidRPr="00E71A36">
        <w:rPr>
          <w:rFonts w:ascii="Garamond" w:hAnsi="Garamond"/>
        </w:rPr>
        <w:t xml:space="preserve"> 9</w:t>
      </w:r>
      <w:r w:rsidR="0033650D" w:rsidRPr="00E71A36">
        <w:rPr>
          <w:rFonts w:ascii="Garamond" w:hAnsi="Garamond"/>
        </w:rPr>
        <w:t>) through</w:t>
      </w:r>
      <w:r w:rsidRPr="00E71A36">
        <w:rPr>
          <w:rFonts w:ascii="Garamond" w:hAnsi="Garamond"/>
        </w:rPr>
        <w:t xml:space="preserve"> four main hypotheses. The first hypothesis (H</w:t>
      </w:r>
      <w:r w:rsidRPr="00E71A36">
        <w:rPr>
          <w:rFonts w:ascii="Cambria Math" w:hAnsi="Cambria Math" w:cs="Cambria Math"/>
        </w:rPr>
        <w:t>₀₁</w:t>
      </w:r>
      <w:r w:rsidRPr="00E71A36">
        <w:rPr>
          <w:rFonts w:ascii="Garamond" w:hAnsi="Garamond"/>
        </w:rPr>
        <w:t xml:space="preserve">) tested whether there was a significant association between the types and sources of waste using a Chi-square test. Results indicated a statistically significant association (p </w:t>
      </w:r>
      <w:r w:rsidRPr="00E71A36">
        <w:rPr>
          <w:rFonts w:ascii="Garamond" w:hAnsi="Garamond" w:cs="Garamond"/>
        </w:rPr>
        <w:t>≤</w:t>
      </w:r>
      <w:r w:rsidRPr="00E71A36">
        <w:rPr>
          <w:rFonts w:ascii="Garamond" w:hAnsi="Garamond"/>
        </w:rPr>
        <w:t xml:space="preserve"> 0.05), showing that specific sources contribute disproportionately to particular waste types. For instance, households produced mostly organic waste, while markets and commercial areas generated higher proportions of plastics and packaging materials. This finding highlights the importance of targeted interventions that focus on the major contributors of specific waste types to improve waste segregation and recycling efficiency.</w:t>
      </w:r>
    </w:p>
    <w:p w14:paraId="0BBDF735" w14:textId="77777777" w:rsidR="00706D2C" w:rsidRPr="00E71A36" w:rsidRDefault="00706D2C" w:rsidP="008027C8">
      <w:pPr>
        <w:spacing w:line="360" w:lineRule="auto"/>
        <w:jc w:val="both"/>
        <w:rPr>
          <w:rFonts w:ascii="Garamond" w:hAnsi="Garamond"/>
        </w:rPr>
      </w:pPr>
      <w:r w:rsidRPr="00E71A36">
        <w:rPr>
          <w:rFonts w:ascii="Garamond" w:hAnsi="Garamond"/>
        </w:rPr>
        <w:t>The second hypothesis (H</w:t>
      </w:r>
      <w:r w:rsidRPr="00E71A36">
        <w:rPr>
          <w:rFonts w:ascii="Cambria Math" w:hAnsi="Cambria Math" w:cs="Cambria Math"/>
        </w:rPr>
        <w:t>₀₂</w:t>
      </w:r>
      <w:r w:rsidRPr="00E71A36">
        <w:rPr>
          <w:rFonts w:ascii="Garamond" w:hAnsi="Garamond"/>
        </w:rPr>
        <w:t xml:space="preserve">) assessed whether waste management practices differed across communities using a One-way ANOVA. The test revealed significant differences (p </w:t>
      </w:r>
      <w:r w:rsidRPr="00E71A36">
        <w:rPr>
          <w:rFonts w:ascii="Garamond" w:hAnsi="Garamond" w:cs="Garamond"/>
        </w:rPr>
        <w:t>≤</w:t>
      </w:r>
      <w:r w:rsidRPr="00E71A36">
        <w:rPr>
          <w:rFonts w:ascii="Garamond" w:hAnsi="Garamond"/>
        </w:rPr>
        <w:t xml:space="preserve"> 0.05), indicating that certain neighborhoods in Kibera Sub-County exhibit better practices, such as segregation and recycling, compared to others that rely heavily on open dumping. These variations likely reflect differences in community awareness, access to waste collection services, and the presence of active community-based organizations. The results suggest that localized strategies are necessary to improve waste management in areas with weaker practices.</w:t>
      </w:r>
    </w:p>
    <w:p w14:paraId="456DB8FB" w14:textId="10B44480" w:rsidR="00706D2C" w:rsidRPr="00E71A36" w:rsidRDefault="00706D2C" w:rsidP="008027C8">
      <w:pPr>
        <w:spacing w:line="360" w:lineRule="auto"/>
        <w:jc w:val="both"/>
        <w:rPr>
          <w:rFonts w:ascii="Garamond" w:hAnsi="Garamond"/>
        </w:rPr>
      </w:pPr>
      <w:r w:rsidRPr="00E71A36">
        <w:rPr>
          <w:rFonts w:ascii="Garamond" w:hAnsi="Garamond"/>
        </w:rPr>
        <w:t>The third hypothesis (H</w:t>
      </w:r>
      <w:r w:rsidRPr="00E71A36">
        <w:rPr>
          <w:rFonts w:ascii="Cambria Math" w:hAnsi="Cambria Math" w:cs="Cambria Math"/>
        </w:rPr>
        <w:t>₀₃</w:t>
      </w:r>
      <w:r w:rsidRPr="00E71A36">
        <w:rPr>
          <w:rFonts w:ascii="Garamond" w:hAnsi="Garamond"/>
        </w:rPr>
        <w:t xml:space="preserve">) examined whether air quality differed before and after waste burning using a paired t-test. The results showed a significant deterioration in air quality following burning events (p </w:t>
      </w:r>
      <w:r w:rsidRPr="00E71A36">
        <w:rPr>
          <w:rFonts w:ascii="Garamond" w:hAnsi="Garamond" w:cs="Garamond"/>
        </w:rPr>
        <w:t>≤</w:t>
      </w:r>
      <w:r w:rsidRPr="00E71A36">
        <w:rPr>
          <w:rFonts w:ascii="Garamond" w:hAnsi="Garamond"/>
        </w:rPr>
        <w:t xml:space="preserve"> 0.05), with marked increases in particulate matter (PM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xml:space="preserve"> and PM</w:t>
      </w:r>
      <w:r w:rsidRPr="00E71A36">
        <w:rPr>
          <w:rFonts w:ascii="Cambria Math" w:hAnsi="Cambria Math" w:cs="Cambria Math"/>
        </w:rPr>
        <w:t>₁₀</w:t>
      </w:r>
      <w:r w:rsidRPr="00E71A36">
        <w:rPr>
          <w:rFonts w:ascii="Garamond" w:hAnsi="Garamond"/>
        </w:rPr>
        <w:t xml:space="preserve">) and gaseous pollutants such as CO, and VOCs. This demonstrates that open burning of waste is a major source of air pollution in </w:t>
      </w:r>
      <w:r w:rsidRPr="00E71A36">
        <w:rPr>
          <w:rFonts w:ascii="Garamond" w:hAnsi="Garamond"/>
        </w:rPr>
        <w:lastRenderedPageBreak/>
        <w:t>the study area, underscoring the need for alternative waste disposal methods and stricter enforcement of anti-burning regulations.</w:t>
      </w:r>
    </w:p>
    <w:p w14:paraId="4660A6F9" w14:textId="77777777" w:rsidR="00706D2C" w:rsidRPr="00E71A36" w:rsidRDefault="00706D2C" w:rsidP="008027C8">
      <w:pPr>
        <w:spacing w:line="360" w:lineRule="auto"/>
        <w:jc w:val="both"/>
        <w:rPr>
          <w:rFonts w:ascii="Garamond" w:hAnsi="Garamond"/>
        </w:rPr>
      </w:pPr>
      <w:r w:rsidRPr="00E71A36">
        <w:rPr>
          <w:rFonts w:ascii="Garamond" w:hAnsi="Garamond"/>
        </w:rPr>
        <w:t>Finally, the fourth hypothesis (H</w:t>
      </w:r>
      <w:r w:rsidRPr="00E71A36">
        <w:rPr>
          <w:rFonts w:ascii="Cambria Math" w:hAnsi="Cambria Math" w:cs="Cambria Math"/>
        </w:rPr>
        <w:t>₀₄</w:t>
      </w:r>
      <w:r w:rsidRPr="00E71A36">
        <w:rPr>
          <w:rFonts w:ascii="Garamond" w:hAnsi="Garamond"/>
        </w:rPr>
        <w:t xml:space="preserve">) explored the relationship between pollutant concentrations and distance from waste sites using linear regression. The analysis indicated a significant negative relationship (p </w:t>
      </w:r>
      <w:r w:rsidRPr="00E71A36">
        <w:rPr>
          <w:rFonts w:ascii="Garamond" w:hAnsi="Garamond" w:cs="Garamond"/>
        </w:rPr>
        <w:t>≤</w:t>
      </w:r>
      <w:r w:rsidRPr="00E71A36">
        <w:rPr>
          <w:rFonts w:ascii="Garamond" w:hAnsi="Garamond"/>
        </w:rPr>
        <w:t xml:space="preserve"> 0.05), showing that pollutant levels decrease as the distance from dumping or burning sites increases. Communities located near waste sites are therefore at higher risk of exposure to air pollutants. This spatial variability emphasizes the need for strategic urban planning, including the establishment of buffer zones, relocation of burning sites, and targeted monitoring of high-risk areas. In summary, the hypothesis testing results demonstrate that waste type, management practices, and proximity to waste sites significantly influence environmental quality in Nairobi City County. Improper waste handling, particularly open burning and unregulated disposal, contributes to both air and water pollution, while variations across communities highlight the importance of context-specific interventions to improve public health and environmental outcomes.</w:t>
      </w:r>
    </w:p>
    <w:p w14:paraId="63A4DCCC" w14:textId="28821EDC" w:rsidR="00706D2C" w:rsidRPr="00E71A36" w:rsidRDefault="00006810" w:rsidP="008027C8">
      <w:pPr>
        <w:spacing w:line="360" w:lineRule="auto"/>
        <w:jc w:val="both"/>
        <w:rPr>
          <w:rFonts w:ascii="Garamond" w:hAnsi="Garamond"/>
          <w:b/>
        </w:rPr>
      </w:pPr>
      <w:r w:rsidRPr="00E71A36">
        <w:rPr>
          <w:rFonts w:ascii="Garamond" w:hAnsi="Garamond"/>
          <w:b/>
        </w:rPr>
        <w:t>4.1.</w:t>
      </w:r>
      <w:r w:rsidR="00706D2C" w:rsidRPr="00E71A36">
        <w:rPr>
          <w:rFonts w:ascii="Garamond" w:hAnsi="Garamond"/>
          <w:b/>
        </w:rPr>
        <w:t xml:space="preserve"> Regression Analysis Results</w:t>
      </w:r>
    </w:p>
    <w:p w14:paraId="46B779AB" w14:textId="044B7D08" w:rsidR="00706D2C" w:rsidRPr="00E71A36" w:rsidRDefault="00706D2C" w:rsidP="008027C8">
      <w:pPr>
        <w:spacing w:line="360" w:lineRule="auto"/>
        <w:jc w:val="both"/>
        <w:rPr>
          <w:rFonts w:ascii="Garamond" w:hAnsi="Garamond"/>
          <w:b/>
        </w:rPr>
      </w:pPr>
      <w:bookmarkStart w:id="45" w:name="_Toc224480383"/>
      <w:r w:rsidRPr="00E71A36">
        <w:rPr>
          <w:rFonts w:ascii="Garamond" w:hAnsi="Garamond"/>
          <w:b/>
        </w:rPr>
        <w:t>4.</w:t>
      </w:r>
      <w:r w:rsidR="00006810" w:rsidRPr="00E71A36">
        <w:rPr>
          <w:rFonts w:ascii="Garamond" w:hAnsi="Garamond"/>
          <w:b/>
        </w:rPr>
        <w:t>1</w:t>
      </w:r>
      <w:r w:rsidRPr="00E71A36">
        <w:rPr>
          <w:rFonts w:ascii="Garamond" w:hAnsi="Garamond"/>
          <w:b/>
        </w:rPr>
        <w:t>.1</w:t>
      </w:r>
      <w:r w:rsidR="00006810" w:rsidRPr="00E71A36">
        <w:rPr>
          <w:rFonts w:ascii="Garamond" w:hAnsi="Garamond"/>
          <w:b/>
        </w:rPr>
        <w:t>.</w:t>
      </w:r>
      <w:r w:rsidRPr="00E71A36">
        <w:rPr>
          <w:rFonts w:ascii="Garamond" w:hAnsi="Garamond"/>
          <w:b/>
        </w:rPr>
        <w:t xml:space="preserve"> Regression Analysis on Air Quality</w:t>
      </w:r>
      <w:bookmarkEnd w:id="45"/>
    </w:p>
    <w:p w14:paraId="07C35CC2" w14:textId="76926CDB" w:rsidR="00706D2C" w:rsidRPr="00E71A36" w:rsidRDefault="00706D2C" w:rsidP="008027C8">
      <w:pPr>
        <w:spacing w:line="360" w:lineRule="auto"/>
        <w:jc w:val="both"/>
        <w:rPr>
          <w:rFonts w:ascii="Garamond" w:hAnsi="Garamond"/>
        </w:rPr>
      </w:pPr>
      <w:r w:rsidRPr="00E71A36">
        <w:rPr>
          <w:rFonts w:ascii="Garamond" w:hAnsi="Garamond"/>
        </w:rPr>
        <w:t>Linear regression was used to examine the relationship between distance from waste sites and air pollutant concentrations (PM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PM</w:t>
      </w:r>
      <w:r w:rsidRPr="00E71A36">
        <w:rPr>
          <w:rFonts w:ascii="Cambria Math" w:hAnsi="Cambria Math" w:cs="Cambria Math"/>
        </w:rPr>
        <w:t>₁₀</w:t>
      </w:r>
      <w:r w:rsidRPr="00E71A36">
        <w:rPr>
          <w:rFonts w:ascii="Garamond" w:hAnsi="Garamond"/>
        </w:rPr>
        <w:t>, CO, VOCs). The results indicated a significant negative relationship for particulate matter and gaseous pollutants.</w:t>
      </w:r>
    </w:p>
    <w:p w14:paraId="2D3214FB" w14:textId="77777777" w:rsidR="00006810" w:rsidRPr="00E71A36" w:rsidRDefault="00006810" w:rsidP="008027C8">
      <w:pPr>
        <w:spacing w:line="360" w:lineRule="auto"/>
        <w:jc w:val="both"/>
        <w:rPr>
          <w:rFonts w:ascii="Garamond" w:hAnsi="Garamond"/>
        </w:rPr>
      </w:pPr>
    </w:p>
    <w:p w14:paraId="755BA271" w14:textId="77777777" w:rsidR="00006810" w:rsidRPr="00E71A36" w:rsidRDefault="00006810" w:rsidP="008027C8">
      <w:pPr>
        <w:spacing w:line="360" w:lineRule="auto"/>
        <w:jc w:val="both"/>
        <w:rPr>
          <w:rFonts w:ascii="Garamond" w:hAnsi="Garamond"/>
        </w:rPr>
      </w:pPr>
    </w:p>
    <w:p w14:paraId="5773D145" w14:textId="77777777" w:rsidR="00006810" w:rsidRPr="00E71A36" w:rsidRDefault="00006810" w:rsidP="008027C8">
      <w:pPr>
        <w:spacing w:line="360" w:lineRule="auto"/>
        <w:jc w:val="both"/>
        <w:rPr>
          <w:rFonts w:ascii="Garamond" w:hAnsi="Garamond"/>
        </w:rPr>
      </w:pPr>
    </w:p>
    <w:p w14:paraId="1130269A" w14:textId="77777777" w:rsidR="00006810" w:rsidRPr="00E71A36" w:rsidRDefault="00006810" w:rsidP="008027C8">
      <w:pPr>
        <w:spacing w:line="360" w:lineRule="auto"/>
        <w:jc w:val="both"/>
        <w:rPr>
          <w:rFonts w:ascii="Garamond" w:hAnsi="Garamond"/>
        </w:rPr>
      </w:pPr>
    </w:p>
    <w:p w14:paraId="6CCA2476" w14:textId="043FC850" w:rsidR="00706D2C" w:rsidRPr="00E71A36" w:rsidRDefault="00706D2C" w:rsidP="008027C8">
      <w:pPr>
        <w:spacing w:line="360" w:lineRule="auto"/>
        <w:jc w:val="both"/>
        <w:rPr>
          <w:rFonts w:ascii="Garamond" w:hAnsi="Garamond"/>
          <w:b/>
        </w:rPr>
      </w:pPr>
      <w:bookmarkStart w:id="46" w:name="_Toc224480940"/>
      <w:r w:rsidRPr="00E71A36">
        <w:rPr>
          <w:rFonts w:ascii="Garamond" w:hAnsi="Garamond"/>
          <w:b/>
        </w:rPr>
        <w:t xml:space="preserve">Table </w:t>
      </w:r>
      <w:r w:rsidR="00AD68F5" w:rsidRPr="00E71A36">
        <w:rPr>
          <w:rFonts w:ascii="Garamond" w:hAnsi="Garamond"/>
          <w:b/>
        </w:rPr>
        <w:t>10</w:t>
      </w:r>
      <w:r w:rsidRPr="00E71A36">
        <w:rPr>
          <w:rFonts w:ascii="Garamond" w:hAnsi="Garamond"/>
          <w:b/>
        </w:rPr>
        <w:t>: Regression Analysis on Air Quality</w:t>
      </w:r>
      <w:bookmarkEnd w:id="46"/>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0"/>
        <w:gridCol w:w="1824"/>
        <w:gridCol w:w="450"/>
        <w:gridCol w:w="656"/>
        <w:gridCol w:w="5510"/>
      </w:tblGrid>
      <w:tr w:rsidR="00AD68F5" w:rsidRPr="00E71A36" w14:paraId="7A96BC02" w14:textId="77777777" w:rsidTr="00B60735">
        <w:trPr>
          <w:tblHeader/>
          <w:tblCellSpacing w:w="15" w:type="dxa"/>
        </w:trPr>
        <w:tc>
          <w:tcPr>
            <w:tcW w:w="0" w:type="auto"/>
            <w:tcBorders>
              <w:top w:val="single" w:sz="4" w:space="0" w:color="auto"/>
              <w:bottom w:val="single" w:sz="4" w:space="0" w:color="auto"/>
            </w:tcBorders>
            <w:vAlign w:val="center"/>
            <w:hideMark/>
          </w:tcPr>
          <w:p w14:paraId="21E5C698" w14:textId="77777777" w:rsidR="00706D2C" w:rsidRPr="00E71A36" w:rsidRDefault="00706D2C" w:rsidP="008027C8">
            <w:pPr>
              <w:spacing w:line="360" w:lineRule="auto"/>
              <w:jc w:val="both"/>
              <w:rPr>
                <w:rFonts w:ascii="Garamond" w:hAnsi="Garamond"/>
              </w:rPr>
            </w:pPr>
            <w:r w:rsidRPr="00E71A36">
              <w:rPr>
                <w:rFonts w:ascii="Garamond" w:hAnsi="Garamond"/>
              </w:rPr>
              <w:lastRenderedPageBreak/>
              <w:t>Pollutant</w:t>
            </w:r>
          </w:p>
        </w:tc>
        <w:tc>
          <w:tcPr>
            <w:tcW w:w="0" w:type="auto"/>
            <w:tcBorders>
              <w:top w:val="single" w:sz="4" w:space="0" w:color="auto"/>
              <w:bottom w:val="single" w:sz="4" w:space="0" w:color="auto"/>
            </w:tcBorders>
            <w:vAlign w:val="center"/>
            <w:hideMark/>
          </w:tcPr>
          <w:p w14:paraId="07007549" w14:textId="77777777" w:rsidR="00706D2C" w:rsidRPr="00E71A36" w:rsidRDefault="00706D2C" w:rsidP="008027C8">
            <w:pPr>
              <w:spacing w:line="360" w:lineRule="auto"/>
              <w:jc w:val="both"/>
              <w:rPr>
                <w:rFonts w:ascii="Garamond" w:hAnsi="Garamond"/>
              </w:rPr>
            </w:pPr>
            <w:r w:rsidRPr="00E71A36">
              <w:rPr>
                <w:rFonts w:ascii="Garamond" w:hAnsi="Garamond"/>
              </w:rPr>
              <w:t>Regression Coefficient (β)</w:t>
            </w:r>
          </w:p>
        </w:tc>
        <w:tc>
          <w:tcPr>
            <w:tcW w:w="0" w:type="auto"/>
            <w:tcBorders>
              <w:top w:val="single" w:sz="4" w:space="0" w:color="auto"/>
              <w:bottom w:val="single" w:sz="4" w:space="0" w:color="auto"/>
            </w:tcBorders>
            <w:vAlign w:val="center"/>
            <w:hideMark/>
          </w:tcPr>
          <w:p w14:paraId="37A0309C" w14:textId="77777777" w:rsidR="00706D2C" w:rsidRPr="00E71A36" w:rsidRDefault="00706D2C" w:rsidP="008027C8">
            <w:pPr>
              <w:spacing w:line="360" w:lineRule="auto"/>
              <w:jc w:val="both"/>
              <w:rPr>
                <w:rFonts w:ascii="Garamond" w:hAnsi="Garamond"/>
              </w:rPr>
            </w:pPr>
            <w:r w:rsidRPr="00E71A36">
              <w:rPr>
                <w:rFonts w:ascii="Garamond" w:hAnsi="Garamond"/>
              </w:rPr>
              <w:t>R²</w:t>
            </w:r>
          </w:p>
        </w:tc>
        <w:tc>
          <w:tcPr>
            <w:tcW w:w="0" w:type="auto"/>
            <w:tcBorders>
              <w:top w:val="single" w:sz="4" w:space="0" w:color="auto"/>
              <w:bottom w:val="single" w:sz="4" w:space="0" w:color="auto"/>
            </w:tcBorders>
            <w:vAlign w:val="center"/>
            <w:hideMark/>
          </w:tcPr>
          <w:p w14:paraId="1775A844" w14:textId="77777777" w:rsidR="00706D2C" w:rsidRPr="00E71A36" w:rsidRDefault="00706D2C" w:rsidP="008027C8">
            <w:pPr>
              <w:spacing w:line="360" w:lineRule="auto"/>
              <w:jc w:val="both"/>
              <w:rPr>
                <w:rFonts w:ascii="Garamond" w:hAnsi="Garamond"/>
              </w:rPr>
            </w:pPr>
            <w:r w:rsidRPr="00E71A36">
              <w:rPr>
                <w:rFonts w:ascii="Garamond" w:hAnsi="Garamond"/>
              </w:rPr>
              <w:t>p-value</w:t>
            </w:r>
          </w:p>
        </w:tc>
        <w:tc>
          <w:tcPr>
            <w:tcW w:w="0" w:type="auto"/>
            <w:tcBorders>
              <w:top w:val="single" w:sz="4" w:space="0" w:color="auto"/>
              <w:bottom w:val="single" w:sz="4" w:space="0" w:color="auto"/>
            </w:tcBorders>
            <w:vAlign w:val="center"/>
            <w:hideMark/>
          </w:tcPr>
          <w:p w14:paraId="17C4F925" w14:textId="77777777" w:rsidR="00706D2C" w:rsidRPr="00E71A36" w:rsidRDefault="00706D2C" w:rsidP="008027C8">
            <w:pPr>
              <w:spacing w:line="360" w:lineRule="auto"/>
              <w:jc w:val="both"/>
              <w:rPr>
                <w:rFonts w:ascii="Garamond" w:hAnsi="Garamond"/>
              </w:rPr>
            </w:pPr>
            <w:r w:rsidRPr="00E71A36">
              <w:rPr>
                <w:rFonts w:ascii="Garamond" w:hAnsi="Garamond"/>
              </w:rPr>
              <w:t>Interpretation</w:t>
            </w:r>
          </w:p>
        </w:tc>
      </w:tr>
      <w:tr w:rsidR="002F16B1" w:rsidRPr="00E71A36" w14:paraId="4DD3499D" w14:textId="77777777" w:rsidTr="00B60735">
        <w:trPr>
          <w:tblCellSpacing w:w="15" w:type="dxa"/>
        </w:trPr>
        <w:tc>
          <w:tcPr>
            <w:tcW w:w="0" w:type="auto"/>
            <w:vAlign w:val="center"/>
            <w:hideMark/>
          </w:tcPr>
          <w:p w14:paraId="03B78214" w14:textId="77777777" w:rsidR="00706D2C" w:rsidRPr="00E71A36" w:rsidRDefault="00706D2C" w:rsidP="008027C8">
            <w:pPr>
              <w:spacing w:line="360" w:lineRule="auto"/>
              <w:jc w:val="both"/>
              <w:rPr>
                <w:rFonts w:ascii="Garamond" w:hAnsi="Garamond"/>
              </w:rPr>
            </w:pPr>
            <w:r w:rsidRPr="00E71A36">
              <w:rPr>
                <w:rFonts w:ascii="Garamond" w:hAnsi="Garamond"/>
              </w:rPr>
              <w:t>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
        </w:tc>
        <w:tc>
          <w:tcPr>
            <w:tcW w:w="0" w:type="auto"/>
            <w:vAlign w:val="center"/>
            <w:hideMark/>
          </w:tcPr>
          <w:p w14:paraId="3205FBBA" w14:textId="77777777" w:rsidR="00706D2C" w:rsidRPr="00E71A36" w:rsidRDefault="00706D2C" w:rsidP="008027C8">
            <w:pPr>
              <w:spacing w:line="360" w:lineRule="auto"/>
              <w:jc w:val="both"/>
              <w:rPr>
                <w:rFonts w:ascii="Garamond" w:hAnsi="Garamond"/>
              </w:rPr>
            </w:pPr>
            <w:r w:rsidRPr="00E71A36">
              <w:rPr>
                <w:rFonts w:ascii="Garamond" w:hAnsi="Garamond"/>
              </w:rPr>
              <w:t>-0.78</w:t>
            </w:r>
          </w:p>
        </w:tc>
        <w:tc>
          <w:tcPr>
            <w:tcW w:w="0" w:type="auto"/>
            <w:vAlign w:val="center"/>
            <w:hideMark/>
          </w:tcPr>
          <w:p w14:paraId="2A96ECD5" w14:textId="77777777" w:rsidR="00706D2C" w:rsidRPr="00E71A36" w:rsidRDefault="00706D2C" w:rsidP="008027C8">
            <w:pPr>
              <w:spacing w:line="360" w:lineRule="auto"/>
              <w:jc w:val="both"/>
              <w:rPr>
                <w:rFonts w:ascii="Garamond" w:hAnsi="Garamond"/>
              </w:rPr>
            </w:pPr>
            <w:r w:rsidRPr="00E71A36">
              <w:rPr>
                <w:rFonts w:ascii="Garamond" w:hAnsi="Garamond"/>
              </w:rPr>
              <w:t>0.62</w:t>
            </w:r>
          </w:p>
        </w:tc>
        <w:tc>
          <w:tcPr>
            <w:tcW w:w="0" w:type="auto"/>
            <w:vAlign w:val="center"/>
            <w:hideMark/>
          </w:tcPr>
          <w:p w14:paraId="7B086E2F" w14:textId="77777777" w:rsidR="00706D2C" w:rsidRPr="00E71A36" w:rsidRDefault="00706D2C" w:rsidP="008027C8">
            <w:pPr>
              <w:spacing w:line="360" w:lineRule="auto"/>
              <w:jc w:val="both"/>
              <w:rPr>
                <w:rFonts w:ascii="Garamond" w:hAnsi="Garamond"/>
              </w:rPr>
            </w:pPr>
            <w:r w:rsidRPr="00E71A36">
              <w:rPr>
                <w:rFonts w:ascii="Garamond" w:hAnsi="Garamond"/>
              </w:rPr>
              <w:t>0.002</w:t>
            </w:r>
          </w:p>
        </w:tc>
        <w:tc>
          <w:tcPr>
            <w:tcW w:w="0" w:type="auto"/>
            <w:vAlign w:val="center"/>
            <w:hideMark/>
          </w:tcPr>
          <w:p w14:paraId="0D77F3DE" w14:textId="77777777" w:rsidR="00706D2C" w:rsidRPr="00E71A36" w:rsidRDefault="00706D2C" w:rsidP="008027C8">
            <w:pPr>
              <w:spacing w:line="360" w:lineRule="auto"/>
              <w:jc w:val="both"/>
              <w:rPr>
                <w:rFonts w:ascii="Garamond" w:hAnsi="Garamond"/>
              </w:rPr>
            </w:pPr>
            <w:r w:rsidRPr="00E71A36">
              <w:rPr>
                <w:rFonts w:ascii="Garamond" w:hAnsi="Garamond"/>
              </w:rPr>
              <w:t>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xml:space="preserve"> concentrations decrease significantly with increasing distance from waste sites.</w:t>
            </w:r>
          </w:p>
        </w:tc>
      </w:tr>
      <w:tr w:rsidR="002F16B1" w:rsidRPr="00E71A36" w14:paraId="03B74800" w14:textId="77777777" w:rsidTr="00B60735">
        <w:trPr>
          <w:tblCellSpacing w:w="15" w:type="dxa"/>
        </w:trPr>
        <w:tc>
          <w:tcPr>
            <w:tcW w:w="0" w:type="auto"/>
            <w:vAlign w:val="center"/>
            <w:hideMark/>
          </w:tcPr>
          <w:p w14:paraId="3DBBEE31" w14:textId="77777777" w:rsidR="00706D2C" w:rsidRPr="00E71A36" w:rsidRDefault="00706D2C" w:rsidP="008027C8">
            <w:pPr>
              <w:spacing w:line="360" w:lineRule="auto"/>
              <w:jc w:val="both"/>
              <w:rPr>
                <w:rFonts w:ascii="Garamond" w:hAnsi="Garamond"/>
              </w:rPr>
            </w:pPr>
            <w:r w:rsidRPr="00E71A36">
              <w:rPr>
                <w:rFonts w:ascii="Garamond" w:hAnsi="Garamond"/>
              </w:rPr>
              <w:t>PM</w:t>
            </w:r>
            <w:r w:rsidRPr="00E71A36">
              <w:rPr>
                <w:rFonts w:ascii="Cambria Math" w:hAnsi="Cambria Math" w:cs="Cambria Math"/>
              </w:rPr>
              <w:t>₁₀</w:t>
            </w:r>
          </w:p>
        </w:tc>
        <w:tc>
          <w:tcPr>
            <w:tcW w:w="0" w:type="auto"/>
            <w:vAlign w:val="center"/>
            <w:hideMark/>
          </w:tcPr>
          <w:p w14:paraId="6DADA5B0" w14:textId="77777777" w:rsidR="00706D2C" w:rsidRPr="00E71A36" w:rsidRDefault="00706D2C" w:rsidP="008027C8">
            <w:pPr>
              <w:spacing w:line="360" w:lineRule="auto"/>
              <w:jc w:val="both"/>
              <w:rPr>
                <w:rFonts w:ascii="Garamond" w:hAnsi="Garamond"/>
              </w:rPr>
            </w:pPr>
            <w:r w:rsidRPr="00E71A36">
              <w:rPr>
                <w:rFonts w:ascii="Garamond" w:hAnsi="Garamond"/>
              </w:rPr>
              <w:t>-0.65</w:t>
            </w:r>
          </w:p>
        </w:tc>
        <w:tc>
          <w:tcPr>
            <w:tcW w:w="0" w:type="auto"/>
            <w:vAlign w:val="center"/>
            <w:hideMark/>
          </w:tcPr>
          <w:p w14:paraId="39BA539D" w14:textId="77777777" w:rsidR="00706D2C" w:rsidRPr="00E71A36" w:rsidRDefault="00706D2C" w:rsidP="008027C8">
            <w:pPr>
              <w:spacing w:line="360" w:lineRule="auto"/>
              <w:jc w:val="both"/>
              <w:rPr>
                <w:rFonts w:ascii="Garamond" w:hAnsi="Garamond"/>
              </w:rPr>
            </w:pPr>
            <w:r w:rsidRPr="00E71A36">
              <w:rPr>
                <w:rFonts w:ascii="Garamond" w:hAnsi="Garamond"/>
              </w:rPr>
              <w:t>0.55</w:t>
            </w:r>
          </w:p>
        </w:tc>
        <w:tc>
          <w:tcPr>
            <w:tcW w:w="0" w:type="auto"/>
            <w:vAlign w:val="center"/>
            <w:hideMark/>
          </w:tcPr>
          <w:p w14:paraId="3C267F7C" w14:textId="77777777" w:rsidR="00706D2C" w:rsidRPr="00E71A36" w:rsidRDefault="00706D2C" w:rsidP="008027C8">
            <w:pPr>
              <w:spacing w:line="360" w:lineRule="auto"/>
              <w:jc w:val="both"/>
              <w:rPr>
                <w:rFonts w:ascii="Garamond" w:hAnsi="Garamond"/>
              </w:rPr>
            </w:pPr>
            <w:r w:rsidRPr="00E71A36">
              <w:rPr>
                <w:rFonts w:ascii="Garamond" w:hAnsi="Garamond"/>
              </w:rPr>
              <w:t>0.004</w:t>
            </w:r>
          </w:p>
        </w:tc>
        <w:tc>
          <w:tcPr>
            <w:tcW w:w="0" w:type="auto"/>
            <w:vAlign w:val="center"/>
            <w:hideMark/>
          </w:tcPr>
          <w:p w14:paraId="2BF57C88" w14:textId="77777777" w:rsidR="00706D2C" w:rsidRPr="00E71A36" w:rsidRDefault="00706D2C" w:rsidP="008027C8">
            <w:pPr>
              <w:spacing w:line="360" w:lineRule="auto"/>
              <w:jc w:val="both"/>
              <w:rPr>
                <w:rFonts w:ascii="Garamond" w:hAnsi="Garamond"/>
              </w:rPr>
            </w:pPr>
            <w:r w:rsidRPr="00E71A36">
              <w:rPr>
                <w:rFonts w:ascii="Garamond" w:hAnsi="Garamond"/>
              </w:rPr>
              <w:t>PM</w:t>
            </w:r>
            <w:r w:rsidRPr="00E71A36">
              <w:rPr>
                <w:rFonts w:ascii="Cambria Math" w:hAnsi="Cambria Math" w:cs="Cambria Math"/>
              </w:rPr>
              <w:t>₁₀</w:t>
            </w:r>
            <w:r w:rsidRPr="00E71A36">
              <w:rPr>
                <w:rFonts w:ascii="Garamond" w:hAnsi="Garamond"/>
              </w:rPr>
              <w:t xml:space="preserve"> levels reduce as distance increases, indicating local influence of burning and dumping.</w:t>
            </w:r>
          </w:p>
        </w:tc>
      </w:tr>
      <w:tr w:rsidR="002F16B1" w:rsidRPr="00E71A36" w14:paraId="7926AEF0" w14:textId="77777777" w:rsidTr="00B60735">
        <w:trPr>
          <w:tblCellSpacing w:w="15" w:type="dxa"/>
        </w:trPr>
        <w:tc>
          <w:tcPr>
            <w:tcW w:w="0" w:type="auto"/>
            <w:vAlign w:val="center"/>
            <w:hideMark/>
          </w:tcPr>
          <w:p w14:paraId="2951CC44" w14:textId="77777777" w:rsidR="00706D2C" w:rsidRPr="00E71A36" w:rsidRDefault="00706D2C" w:rsidP="008027C8">
            <w:pPr>
              <w:spacing w:line="360" w:lineRule="auto"/>
              <w:jc w:val="both"/>
              <w:rPr>
                <w:rFonts w:ascii="Garamond" w:hAnsi="Garamond"/>
              </w:rPr>
            </w:pPr>
            <w:r w:rsidRPr="00E71A36">
              <w:rPr>
                <w:rFonts w:ascii="Garamond" w:hAnsi="Garamond"/>
              </w:rPr>
              <w:t>CO</w:t>
            </w:r>
          </w:p>
        </w:tc>
        <w:tc>
          <w:tcPr>
            <w:tcW w:w="0" w:type="auto"/>
            <w:vAlign w:val="center"/>
            <w:hideMark/>
          </w:tcPr>
          <w:p w14:paraId="4216233F" w14:textId="77777777" w:rsidR="00706D2C" w:rsidRPr="00E71A36" w:rsidRDefault="00706D2C" w:rsidP="008027C8">
            <w:pPr>
              <w:spacing w:line="360" w:lineRule="auto"/>
              <w:jc w:val="both"/>
              <w:rPr>
                <w:rFonts w:ascii="Garamond" w:hAnsi="Garamond"/>
              </w:rPr>
            </w:pPr>
            <w:r w:rsidRPr="00E71A36">
              <w:rPr>
                <w:rFonts w:ascii="Garamond" w:hAnsi="Garamond"/>
              </w:rPr>
              <w:t>-0.42</w:t>
            </w:r>
          </w:p>
        </w:tc>
        <w:tc>
          <w:tcPr>
            <w:tcW w:w="0" w:type="auto"/>
            <w:vAlign w:val="center"/>
            <w:hideMark/>
          </w:tcPr>
          <w:p w14:paraId="6652F9DB" w14:textId="77777777" w:rsidR="00706D2C" w:rsidRPr="00E71A36" w:rsidRDefault="00706D2C" w:rsidP="008027C8">
            <w:pPr>
              <w:spacing w:line="360" w:lineRule="auto"/>
              <w:jc w:val="both"/>
              <w:rPr>
                <w:rFonts w:ascii="Garamond" w:hAnsi="Garamond"/>
              </w:rPr>
            </w:pPr>
            <w:r w:rsidRPr="00E71A36">
              <w:rPr>
                <w:rFonts w:ascii="Garamond" w:hAnsi="Garamond"/>
              </w:rPr>
              <w:t>0.38</w:t>
            </w:r>
          </w:p>
        </w:tc>
        <w:tc>
          <w:tcPr>
            <w:tcW w:w="0" w:type="auto"/>
            <w:vAlign w:val="center"/>
            <w:hideMark/>
          </w:tcPr>
          <w:p w14:paraId="18483BD3" w14:textId="77777777" w:rsidR="00706D2C" w:rsidRPr="00E71A36" w:rsidRDefault="00706D2C" w:rsidP="008027C8">
            <w:pPr>
              <w:spacing w:line="360" w:lineRule="auto"/>
              <w:jc w:val="both"/>
              <w:rPr>
                <w:rFonts w:ascii="Garamond" w:hAnsi="Garamond"/>
              </w:rPr>
            </w:pPr>
            <w:r w:rsidRPr="00E71A36">
              <w:rPr>
                <w:rFonts w:ascii="Garamond" w:hAnsi="Garamond"/>
              </w:rPr>
              <w:t>0.018</w:t>
            </w:r>
          </w:p>
        </w:tc>
        <w:tc>
          <w:tcPr>
            <w:tcW w:w="0" w:type="auto"/>
            <w:vAlign w:val="center"/>
            <w:hideMark/>
          </w:tcPr>
          <w:p w14:paraId="262BCB65" w14:textId="77777777" w:rsidR="00706D2C" w:rsidRPr="00E71A36" w:rsidRDefault="00706D2C" w:rsidP="008027C8">
            <w:pPr>
              <w:spacing w:line="360" w:lineRule="auto"/>
              <w:jc w:val="both"/>
              <w:rPr>
                <w:rFonts w:ascii="Garamond" w:hAnsi="Garamond"/>
              </w:rPr>
            </w:pPr>
            <w:r w:rsidRPr="00E71A36">
              <w:rPr>
                <w:rFonts w:ascii="Garamond" w:hAnsi="Garamond"/>
              </w:rPr>
              <w:t>CO emissions show a moderate decline with distance, suggesting dispersion of gaseous pollutants.</w:t>
            </w:r>
          </w:p>
        </w:tc>
      </w:tr>
      <w:tr w:rsidR="002F16B1" w:rsidRPr="00E71A36" w14:paraId="0E456D52" w14:textId="77777777" w:rsidTr="00B60735">
        <w:trPr>
          <w:tblCellSpacing w:w="15" w:type="dxa"/>
        </w:trPr>
        <w:tc>
          <w:tcPr>
            <w:tcW w:w="0" w:type="auto"/>
            <w:vAlign w:val="center"/>
            <w:hideMark/>
          </w:tcPr>
          <w:p w14:paraId="5C1237CE" w14:textId="77777777" w:rsidR="00706D2C" w:rsidRPr="00E71A36" w:rsidRDefault="00706D2C" w:rsidP="008027C8">
            <w:pPr>
              <w:spacing w:line="360" w:lineRule="auto"/>
              <w:jc w:val="both"/>
              <w:rPr>
                <w:rFonts w:ascii="Garamond" w:hAnsi="Garamond"/>
              </w:rPr>
            </w:pPr>
            <w:r w:rsidRPr="00E71A36">
              <w:rPr>
                <w:rFonts w:ascii="Garamond" w:hAnsi="Garamond"/>
              </w:rPr>
              <w:t>NO</w:t>
            </w:r>
            <w:r w:rsidRPr="00E71A36">
              <w:rPr>
                <w:rFonts w:ascii="Cambria Math" w:hAnsi="Cambria Math" w:cs="Cambria Math"/>
              </w:rPr>
              <w:t>₂</w:t>
            </w:r>
          </w:p>
        </w:tc>
        <w:tc>
          <w:tcPr>
            <w:tcW w:w="0" w:type="auto"/>
            <w:vAlign w:val="center"/>
            <w:hideMark/>
          </w:tcPr>
          <w:p w14:paraId="41F3B52C" w14:textId="77777777" w:rsidR="00706D2C" w:rsidRPr="00E71A36" w:rsidRDefault="00706D2C" w:rsidP="008027C8">
            <w:pPr>
              <w:spacing w:line="360" w:lineRule="auto"/>
              <w:jc w:val="both"/>
              <w:rPr>
                <w:rFonts w:ascii="Garamond" w:hAnsi="Garamond"/>
              </w:rPr>
            </w:pPr>
            <w:r w:rsidRPr="00E71A36">
              <w:rPr>
                <w:rFonts w:ascii="Garamond" w:hAnsi="Garamond"/>
              </w:rPr>
              <w:t>-0.36</w:t>
            </w:r>
          </w:p>
        </w:tc>
        <w:tc>
          <w:tcPr>
            <w:tcW w:w="0" w:type="auto"/>
            <w:vAlign w:val="center"/>
            <w:hideMark/>
          </w:tcPr>
          <w:p w14:paraId="3D7A42EF" w14:textId="77777777" w:rsidR="00706D2C" w:rsidRPr="00E71A36" w:rsidRDefault="00706D2C" w:rsidP="008027C8">
            <w:pPr>
              <w:spacing w:line="360" w:lineRule="auto"/>
              <w:jc w:val="both"/>
              <w:rPr>
                <w:rFonts w:ascii="Garamond" w:hAnsi="Garamond"/>
              </w:rPr>
            </w:pPr>
            <w:r w:rsidRPr="00E71A36">
              <w:rPr>
                <w:rFonts w:ascii="Garamond" w:hAnsi="Garamond"/>
              </w:rPr>
              <w:t>0.32</w:t>
            </w:r>
          </w:p>
        </w:tc>
        <w:tc>
          <w:tcPr>
            <w:tcW w:w="0" w:type="auto"/>
            <w:vAlign w:val="center"/>
            <w:hideMark/>
          </w:tcPr>
          <w:p w14:paraId="16669E86" w14:textId="77777777" w:rsidR="00706D2C" w:rsidRPr="00E71A36" w:rsidRDefault="00706D2C" w:rsidP="008027C8">
            <w:pPr>
              <w:spacing w:line="360" w:lineRule="auto"/>
              <w:jc w:val="both"/>
              <w:rPr>
                <w:rFonts w:ascii="Garamond" w:hAnsi="Garamond"/>
              </w:rPr>
            </w:pPr>
            <w:r w:rsidRPr="00E71A36">
              <w:rPr>
                <w:rFonts w:ascii="Garamond" w:hAnsi="Garamond"/>
              </w:rPr>
              <w:t>0.025</w:t>
            </w:r>
          </w:p>
        </w:tc>
        <w:tc>
          <w:tcPr>
            <w:tcW w:w="0" w:type="auto"/>
            <w:vAlign w:val="center"/>
            <w:hideMark/>
          </w:tcPr>
          <w:p w14:paraId="79DC2A08" w14:textId="77777777" w:rsidR="00706D2C" w:rsidRPr="00E71A36" w:rsidRDefault="00706D2C" w:rsidP="008027C8">
            <w:pPr>
              <w:spacing w:line="360" w:lineRule="auto"/>
              <w:jc w:val="both"/>
              <w:rPr>
                <w:rFonts w:ascii="Garamond" w:hAnsi="Garamond"/>
              </w:rPr>
            </w:pPr>
            <w:r w:rsidRPr="00E71A36">
              <w:rPr>
                <w:rFonts w:ascii="Garamond" w:hAnsi="Garamond"/>
              </w:rPr>
              <w:t>NO</w:t>
            </w:r>
            <w:r w:rsidRPr="00E71A36">
              <w:rPr>
                <w:rFonts w:ascii="Cambria Math" w:hAnsi="Cambria Math" w:cs="Cambria Math"/>
              </w:rPr>
              <w:t>₂</w:t>
            </w:r>
            <w:r w:rsidRPr="00E71A36">
              <w:rPr>
                <w:rFonts w:ascii="Garamond" w:hAnsi="Garamond"/>
              </w:rPr>
              <w:t xml:space="preserve"> levels decrease with distance but remain elevated near main roads and burning sites.</w:t>
            </w:r>
          </w:p>
        </w:tc>
      </w:tr>
      <w:tr w:rsidR="002F16B1" w:rsidRPr="00E71A36" w14:paraId="5D8CD4B6" w14:textId="77777777" w:rsidTr="00B60735">
        <w:trPr>
          <w:tblCellSpacing w:w="15" w:type="dxa"/>
        </w:trPr>
        <w:tc>
          <w:tcPr>
            <w:tcW w:w="0" w:type="auto"/>
            <w:tcBorders>
              <w:bottom w:val="single" w:sz="4" w:space="0" w:color="auto"/>
            </w:tcBorders>
            <w:vAlign w:val="center"/>
            <w:hideMark/>
          </w:tcPr>
          <w:p w14:paraId="187F925F" w14:textId="77777777" w:rsidR="00706D2C" w:rsidRPr="00E71A36" w:rsidRDefault="00706D2C" w:rsidP="008027C8">
            <w:pPr>
              <w:spacing w:line="360" w:lineRule="auto"/>
              <w:jc w:val="both"/>
              <w:rPr>
                <w:rFonts w:ascii="Garamond" w:hAnsi="Garamond"/>
              </w:rPr>
            </w:pPr>
            <w:r w:rsidRPr="00E71A36">
              <w:rPr>
                <w:rFonts w:ascii="Garamond" w:hAnsi="Garamond"/>
              </w:rPr>
              <w:t>VOCs</w:t>
            </w:r>
          </w:p>
        </w:tc>
        <w:tc>
          <w:tcPr>
            <w:tcW w:w="0" w:type="auto"/>
            <w:tcBorders>
              <w:bottom w:val="single" w:sz="4" w:space="0" w:color="auto"/>
            </w:tcBorders>
            <w:vAlign w:val="center"/>
            <w:hideMark/>
          </w:tcPr>
          <w:p w14:paraId="711F0719" w14:textId="77777777" w:rsidR="00706D2C" w:rsidRPr="00E71A36" w:rsidRDefault="00706D2C" w:rsidP="008027C8">
            <w:pPr>
              <w:spacing w:line="360" w:lineRule="auto"/>
              <w:jc w:val="both"/>
              <w:rPr>
                <w:rFonts w:ascii="Garamond" w:hAnsi="Garamond"/>
              </w:rPr>
            </w:pPr>
            <w:r w:rsidRPr="00E71A36">
              <w:rPr>
                <w:rFonts w:ascii="Garamond" w:hAnsi="Garamond"/>
              </w:rPr>
              <w:t>-0.58</w:t>
            </w:r>
          </w:p>
        </w:tc>
        <w:tc>
          <w:tcPr>
            <w:tcW w:w="0" w:type="auto"/>
            <w:tcBorders>
              <w:bottom w:val="single" w:sz="4" w:space="0" w:color="auto"/>
            </w:tcBorders>
            <w:vAlign w:val="center"/>
            <w:hideMark/>
          </w:tcPr>
          <w:p w14:paraId="4E6039F3" w14:textId="77777777" w:rsidR="00706D2C" w:rsidRPr="00E71A36" w:rsidRDefault="00706D2C" w:rsidP="008027C8">
            <w:pPr>
              <w:spacing w:line="360" w:lineRule="auto"/>
              <w:jc w:val="both"/>
              <w:rPr>
                <w:rFonts w:ascii="Garamond" w:hAnsi="Garamond"/>
              </w:rPr>
            </w:pPr>
            <w:r w:rsidRPr="00E71A36">
              <w:rPr>
                <w:rFonts w:ascii="Garamond" w:hAnsi="Garamond"/>
              </w:rPr>
              <w:t>0.48</w:t>
            </w:r>
          </w:p>
        </w:tc>
        <w:tc>
          <w:tcPr>
            <w:tcW w:w="0" w:type="auto"/>
            <w:tcBorders>
              <w:bottom w:val="single" w:sz="4" w:space="0" w:color="auto"/>
            </w:tcBorders>
            <w:vAlign w:val="center"/>
            <w:hideMark/>
          </w:tcPr>
          <w:p w14:paraId="5C9C0075" w14:textId="77777777" w:rsidR="00706D2C" w:rsidRPr="00E71A36" w:rsidRDefault="00706D2C" w:rsidP="008027C8">
            <w:pPr>
              <w:spacing w:line="360" w:lineRule="auto"/>
              <w:jc w:val="both"/>
              <w:rPr>
                <w:rFonts w:ascii="Garamond" w:hAnsi="Garamond"/>
              </w:rPr>
            </w:pPr>
            <w:r w:rsidRPr="00E71A36">
              <w:rPr>
                <w:rFonts w:ascii="Garamond" w:hAnsi="Garamond"/>
              </w:rPr>
              <w:t>0.009</w:t>
            </w:r>
          </w:p>
        </w:tc>
        <w:tc>
          <w:tcPr>
            <w:tcW w:w="0" w:type="auto"/>
            <w:tcBorders>
              <w:bottom w:val="single" w:sz="4" w:space="0" w:color="auto"/>
            </w:tcBorders>
            <w:vAlign w:val="center"/>
            <w:hideMark/>
          </w:tcPr>
          <w:p w14:paraId="67CA78E5" w14:textId="77777777" w:rsidR="00706D2C" w:rsidRPr="00E71A36" w:rsidRDefault="00706D2C" w:rsidP="008027C8">
            <w:pPr>
              <w:spacing w:line="360" w:lineRule="auto"/>
              <w:jc w:val="both"/>
              <w:rPr>
                <w:rFonts w:ascii="Garamond" w:hAnsi="Garamond"/>
              </w:rPr>
            </w:pPr>
            <w:r w:rsidRPr="00E71A36">
              <w:rPr>
                <w:rFonts w:ascii="Garamond" w:hAnsi="Garamond"/>
              </w:rPr>
              <w:t>VOC concentrations decrease with distance from waste burning points.</w:t>
            </w:r>
          </w:p>
        </w:tc>
      </w:tr>
    </w:tbl>
    <w:p w14:paraId="7EC93D0E" w14:textId="2E8B2CC0" w:rsidR="00706D2C" w:rsidRPr="00E71A36" w:rsidRDefault="00706D2C" w:rsidP="008027C8">
      <w:pPr>
        <w:spacing w:line="360" w:lineRule="auto"/>
        <w:jc w:val="both"/>
        <w:rPr>
          <w:rFonts w:ascii="Garamond" w:hAnsi="Garamond"/>
        </w:rPr>
      </w:pPr>
      <w:r w:rsidRPr="00E71A36">
        <w:rPr>
          <w:rFonts w:ascii="Garamond" w:hAnsi="Garamond"/>
        </w:rPr>
        <w:t xml:space="preserve"> The negative </w:t>
      </w:r>
      <w:r w:rsidR="002E5751" w:rsidRPr="00E71A36">
        <w:rPr>
          <w:rFonts w:ascii="Garamond" w:hAnsi="Garamond"/>
        </w:rPr>
        <w:t>coefficients (Table10)</w:t>
      </w:r>
      <w:r w:rsidRPr="00E71A36">
        <w:rPr>
          <w:rFonts w:ascii="Garamond" w:hAnsi="Garamond"/>
        </w:rPr>
        <w:t xml:space="preserve"> indicate that pollutant concentrations are highest near waste handling and disposal areas, declining as distance increases. This confirms that proximity to waste sites is a major determinant of exposure to air pollution in Nairobi City County.</w:t>
      </w:r>
    </w:p>
    <w:p w14:paraId="0938345B" w14:textId="2C07D87B" w:rsidR="00706D2C" w:rsidRPr="00E71A36" w:rsidRDefault="00706D2C" w:rsidP="008027C8">
      <w:pPr>
        <w:spacing w:line="360" w:lineRule="auto"/>
        <w:jc w:val="both"/>
        <w:rPr>
          <w:rFonts w:ascii="Garamond" w:hAnsi="Garamond"/>
          <w:b/>
          <w:bCs/>
        </w:rPr>
      </w:pPr>
      <w:bookmarkStart w:id="47" w:name="_Toc224480384"/>
      <w:r w:rsidRPr="00E71A36">
        <w:rPr>
          <w:rFonts w:ascii="Garamond" w:hAnsi="Garamond"/>
          <w:b/>
          <w:bCs/>
        </w:rPr>
        <w:t>4.2</w:t>
      </w:r>
      <w:r w:rsidR="00006810" w:rsidRPr="00E71A36">
        <w:rPr>
          <w:rFonts w:ascii="Garamond" w:hAnsi="Garamond"/>
          <w:b/>
          <w:bCs/>
        </w:rPr>
        <w:t xml:space="preserve">. </w:t>
      </w:r>
      <w:r w:rsidRPr="00E71A36">
        <w:rPr>
          <w:rFonts w:ascii="Garamond" w:hAnsi="Garamond"/>
          <w:b/>
          <w:bCs/>
        </w:rPr>
        <w:t>Regression Analysis on Water Quality</w:t>
      </w:r>
      <w:bookmarkEnd w:id="47"/>
    </w:p>
    <w:p w14:paraId="4C3D3AAF" w14:textId="77777777" w:rsidR="00706D2C" w:rsidRPr="00E71A36" w:rsidRDefault="00706D2C" w:rsidP="008027C8">
      <w:pPr>
        <w:spacing w:line="360" w:lineRule="auto"/>
        <w:jc w:val="both"/>
        <w:rPr>
          <w:rFonts w:ascii="Garamond" w:hAnsi="Garamond"/>
        </w:rPr>
      </w:pPr>
      <w:r w:rsidRPr="00E71A36">
        <w:rPr>
          <w:rFonts w:ascii="Garamond" w:hAnsi="Garamond"/>
        </w:rPr>
        <w:t>Multiple linear regression was conducted to assess the impact of waste management practices (segregation, collection efficiency, and open dumping) on water quality parameters including BOD, COD, TSS, nitrates, and phosphates.</w:t>
      </w:r>
    </w:p>
    <w:p w14:paraId="64012B2E" w14:textId="2A6805DA" w:rsidR="00706D2C" w:rsidRPr="00E71A36" w:rsidRDefault="00706D2C" w:rsidP="008027C8">
      <w:pPr>
        <w:spacing w:line="360" w:lineRule="auto"/>
        <w:jc w:val="both"/>
        <w:rPr>
          <w:rFonts w:ascii="Garamond" w:hAnsi="Garamond"/>
          <w:b/>
        </w:rPr>
      </w:pPr>
      <w:bookmarkStart w:id="48" w:name="_Toc224480941"/>
      <w:r w:rsidRPr="00E71A36">
        <w:rPr>
          <w:rFonts w:ascii="Garamond" w:hAnsi="Garamond"/>
          <w:b/>
        </w:rPr>
        <w:t xml:space="preserve">Table </w:t>
      </w:r>
      <w:r w:rsidR="00AD68F5" w:rsidRPr="00E71A36">
        <w:rPr>
          <w:rFonts w:ascii="Garamond" w:hAnsi="Garamond"/>
          <w:b/>
        </w:rPr>
        <w:t>11</w:t>
      </w:r>
      <w:r w:rsidRPr="00E71A36">
        <w:rPr>
          <w:rFonts w:ascii="Garamond" w:hAnsi="Garamond"/>
          <w:b/>
        </w:rPr>
        <w:t>: Regression Analysis on water Quality</w:t>
      </w:r>
      <w:bookmarkEnd w:id="4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8"/>
        <w:gridCol w:w="1748"/>
        <w:gridCol w:w="450"/>
        <w:gridCol w:w="646"/>
        <w:gridCol w:w="5138"/>
      </w:tblGrid>
      <w:tr w:rsidR="00AD68F5" w:rsidRPr="00E71A36" w14:paraId="4BA59B7D" w14:textId="77777777" w:rsidTr="00B60735">
        <w:trPr>
          <w:tblHeader/>
          <w:tblCellSpacing w:w="15" w:type="dxa"/>
        </w:trPr>
        <w:tc>
          <w:tcPr>
            <w:tcW w:w="0" w:type="auto"/>
            <w:tcBorders>
              <w:top w:val="single" w:sz="4" w:space="0" w:color="auto"/>
              <w:bottom w:val="single" w:sz="4" w:space="0" w:color="auto"/>
            </w:tcBorders>
            <w:vAlign w:val="center"/>
            <w:hideMark/>
          </w:tcPr>
          <w:p w14:paraId="1BE27B39" w14:textId="77777777" w:rsidR="00706D2C" w:rsidRPr="00E71A36" w:rsidRDefault="00706D2C" w:rsidP="008027C8">
            <w:pPr>
              <w:spacing w:line="360" w:lineRule="auto"/>
              <w:jc w:val="both"/>
              <w:rPr>
                <w:rFonts w:ascii="Garamond" w:hAnsi="Garamond"/>
              </w:rPr>
            </w:pPr>
            <w:r w:rsidRPr="00E71A36">
              <w:rPr>
                <w:rFonts w:ascii="Garamond" w:hAnsi="Garamond"/>
              </w:rPr>
              <w:t>Water Parameter</w:t>
            </w:r>
          </w:p>
        </w:tc>
        <w:tc>
          <w:tcPr>
            <w:tcW w:w="0" w:type="auto"/>
            <w:tcBorders>
              <w:top w:val="single" w:sz="4" w:space="0" w:color="auto"/>
              <w:bottom w:val="single" w:sz="4" w:space="0" w:color="auto"/>
            </w:tcBorders>
            <w:vAlign w:val="center"/>
            <w:hideMark/>
          </w:tcPr>
          <w:p w14:paraId="5A9E08AE" w14:textId="77777777" w:rsidR="00706D2C" w:rsidRPr="00E71A36" w:rsidRDefault="00706D2C" w:rsidP="008027C8">
            <w:pPr>
              <w:spacing w:line="360" w:lineRule="auto"/>
              <w:jc w:val="both"/>
              <w:rPr>
                <w:rFonts w:ascii="Garamond" w:hAnsi="Garamond"/>
              </w:rPr>
            </w:pPr>
            <w:r w:rsidRPr="00E71A36">
              <w:rPr>
                <w:rFonts w:ascii="Garamond" w:hAnsi="Garamond"/>
              </w:rPr>
              <w:t>Regression Coefficient (β)</w:t>
            </w:r>
          </w:p>
        </w:tc>
        <w:tc>
          <w:tcPr>
            <w:tcW w:w="0" w:type="auto"/>
            <w:tcBorders>
              <w:top w:val="single" w:sz="4" w:space="0" w:color="auto"/>
              <w:bottom w:val="single" w:sz="4" w:space="0" w:color="auto"/>
            </w:tcBorders>
            <w:vAlign w:val="center"/>
            <w:hideMark/>
          </w:tcPr>
          <w:p w14:paraId="7BBFE648" w14:textId="77777777" w:rsidR="00706D2C" w:rsidRPr="00E71A36" w:rsidRDefault="00706D2C" w:rsidP="008027C8">
            <w:pPr>
              <w:spacing w:line="360" w:lineRule="auto"/>
              <w:jc w:val="both"/>
              <w:rPr>
                <w:rFonts w:ascii="Garamond" w:hAnsi="Garamond"/>
              </w:rPr>
            </w:pPr>
            <w:r w:rsidRPr="00E71A36">
              <w:rPr>
                <w:rFonts w:ascii="Garamond" w:hAnsi="Garamond"/>
              </w:rPr>
              <w:t>R²</w:t>
            </w:r>
          </w:p>
        </w:tc>
        <w:tc>
          <w:tcPr>
            <w:tcW w:w="0" w:type="auto"/>
            <w:tcBorders>
              <w:top w:val="single" w:sz="4" w:space="0" w:color="auto"/>
              <w:bottom w:val="single" w:sz="4" w:space="0" w:color="auto"/>
            </w:tcBorders>
            <w:vAlign w:val="center"/>
            <w:hideMark/>
          </w:tcPr>
          <w:p w14:paraId="0BF247A7" w14:textId="77777777" w:rsidR="00706D2C" w:rsidRPr="00E71A36" w:rsidRDefault="00706D2C" w:rsidP="008027C8">
            <w:pPr>
              <w:spacing w:line="360" w:lineRule="auto"/>
              <w:jc w:val="both"/>
              <w:rPr>
                <w:rFonts w:ascii="Garamond" w:hAnsi="Garamond"/>
              </w:rPr>
            </w:pPr>
            <w:r w:rsidRPr="00E71A36">
              <w:rPr>
                <w:rFonts w:ascii="Garamond" w:hAnsi="Garamond"/>
              </w:rPr>
              <w:t>p-value</w:t>
            </w:r>
          </w:p>
        </w:tc>
        <w:tc>
          <w:tcPr>
            <w:tcW w:w="0" w:type="auto"/>
            <w:tcBorders>
              <w:top w:val="single" w:sz="4" w:space="0" w:color="auto"/>
              <w:bottom w:val="single" w:sz="4" w:space="0" w:color="auto"/>
            </w:tcBorders>
            <w:vAlign w:val="center"/>
            <w:hideMark/>
          </w:tcPr>
          <w:p w14:paraId="68B38FEE" w14:textId="77777777" w:rsidR="00706D2C" w:rsidRPr="00E71A36" w:rsidRDefault="00706D2C" w:rsidP="008027C8">
            <w:pPr>
              <w:spacing w:line="360" w:lineRule="auto"/>
              <w:jc w:val="both"/>
              <w:rPr>
                <w:rFonts w:ascii="Garamond" w:hAnsi="Garamond"/>
              </w:rPr>
            </w:pPr>
            <w:r w:rsidRPr="00E71A36">
              <w:rPr>
                <w:rFonts w:ascii="Garamond" w:hAnsi="Garamond"/>
              </w:rPr>
              <w:t>Interpretation</w:t>
            </w:r>
          </w:p>
        </w:tc>
      </w:tr>
      <w:tr w:rsidR="002F16B1" w:rsidRPr="00E71A36" w14:paraId="7D583341" w14:textId="77777777" w:rsidTr="00B60735">
        <w:trPr>
          <w:tblCellSpacing w:w="15" w:type="dxa"/>
        </w:trPr>
        <w:tc>
          <w:tcPr>
            <w:tcW w:w="0" w:type="auto"/>
            <w:vAlign w:val="center"/>
            <w:hideMark/>
          </w:tcPr>
          <w:p w14:paraId="2B4AF82F" w14:textId="77777777" w:rsidR="00706D2C" w:rsidRPr="00E71A36" w:rsidRDefault="00706D2C" w:rsidP="008027C8">
            <w:pPr>
              <w:spacing w:line="360" w:lineRule="auto"/>
              <w:jc w:val="both"/>
              <w:rPr>
                <w:rFonts w:ascii="Garamond" w:hAnsi="Garamond"/>
              </w:rPr>
            </w:pPr>
            <w:r w:rsidRPr="00E71A36">
              <w:rPr>
                <w:rFonts w:ascii="Garamond" w:hAnsi="Garamond"/>
              </w:rPr>
              <w:t>BOD</w:t>
            </w:r>
          </w:p>
        </w:tc>
        <w:tc>
          <w:tcPr>
            <w:tcW w:w="0" w:type="auto"/>
            <w:vAlign w:val="center"/>
            <w:hideMark/>
          </w:tcPr>
          <w:p w14:paraId="761FDA85" w14:textId="77777777" w:rsidR="00706D2C" w:rsidRPr="00E71A36" w:rsidRDefault="00706D2C" w:rsidP="008027C8">
            <w:pPr>
              <w:spacing w:line="360" w:lineRule="auto"/>
              <w:jc w:val="both"/>
              <w:rPr>
                <w:rFonts w:ascii="Garamond" w:hAnsi="Garamond"/>
              </w:rPr>
            </w:pPr>
            <w:r w:rsidRPr="00E71A36">
              <w:rPr>
                <w:rFonts w:ascii="Garamond" w:hAnsi="Garamond"/>
              </w:rPr>
              <w:t>0.71</w:t>
            </w:r>
          </w:p>
        </w:tc>
        <w:tc>
          <w:tcPr>
            <w:tcW w:w="0" w:type="auto"/>
            <w:vAlign w:val="center"/>
            <w:hideMark/>
          </w:tcPr>
          <w:p w14:paraId="3F0F0A0A" w14:textId="77777777" w:rsidR="00706D2C" w:rsidRPr="00E71A36" w:rsidRDefault="00706D2C" w:rsidP="008027C8">
            <w:pPr>
              <w:spacing w:line="360" w:lineRule="auto"/>
              <w:jc w:val="both"/>
              <w:rPr>
                <w:rFonts w:ascii="Garamond" w:hAnsi="Garamond"/>
              </w:rPr>
            </w:pPr>
            <w:r w:rsidRPr="00E71A36">
              <w:rPr>
                <w:rFonts w:ascii="Garamond" w:hAnsi="Garamond"/>
              </w:rPr>
              <w:t>0.68</w:t>
            </w:r>
          </w:p>
        </w:tc>
        <w:tc>
          <w:tcPr>
            <w:tcW w:w="0" w:type="auto"/>
            <w:vAlign w:val="center"/>
            <w:hideMark/>
          </w:tcPr>
          <w:p w14:paraId="3F0106DC" w14:textId="77777777" w:rsidR="00706D2C" w:rsidRPr="00E71A36" w:rsidRDefault="00706D2C" w:rsidP="008027C8">
            <w:pPr>
              <w:spacing w:line="360" w:lineRule="auto"/>
              <w:jc w:val="both"/>
              <w:rPr>
                <w:rFonts w:ascii="Garamond" w:hAnsi="Garamond"/>
              </w:rPr>
            </w:pPr>
            <w:r w:rsidRPr="00E71A36">
              <w:rPr>
                <w:rFonts w:ascii="Garamond" w:hAnsi="Garamond"/>
              </w:rPr>
              <w:t>0.001</w:t>
            </w:r>
          </w:p>
        </w:tc>
        <w:tc>
          <w:tcPr>
            <w:tcW w:w="0" w:type="auto"/>
            <w:vAlign w:val="center"/>
            <w:hideMark/>
          </w:tcPr>
          <w:p w14:paraId="25710EF9" w14:textId="77777777" w:rsidR="00706D2C" w:rsidRPr="00E71A36" w:rsidRDefault="00706D2C" w:rsidP="008027C8">
            <w:pPr>
              <w:spacing w:line="360" w:lineRule="auto"/>
              <w:jc w:val="both"/>
              <w:rPr>
                <w:rFonts w:ascii="Garamond" w:hAnsi="Garamond"/>
              </w:rPr>
            </w:pPr>
            <w:r w:rsidRPr="00E71A36">
              <w:rPr>
                <w:rFonts w:ascii="Garamond" w:hAnsi="Garamond"/>
              </w:rPr>
              <w:t>Higher frequency of improper waste disposal is strongly associated with increased organic pollution.</w:t>
            </w:r>
          </w:p>
        </w:tc>
      </w:tr>
      <w:tr w:rsidR="002F16B1" w:rsidRPr="00E71A36" w14:paraId="6D1074CA" w14:textId="77777777" w:rsidTr="00B60735">
        <w:trPr>
          <w:tblCellSpacing w:w="15" w:type="dxa"/>
        </w:trPr>
        <w:tc>
          <w:tcPr>
            <w:tcW w:w="0" w:type="auto"/>
            <w:vAlign w:val="center"/>
            <w:hideMark/>
          </w:tcPr>
          <w:p w14:paraId="3BB34BC9" w14:textId="77777777" w:rsidR="00706D2C" w:rsidRPr="00E71A36" w:rsidRDefault="00706D2C" w:rsidP="008027C8">
            <w:pPr>
              <w:spacing w:line="360" w:lineRule="auto"/>
              <w:jc w:val="both"/>
              <w:rPr>
                <w:rFonts w:ascii="Garamond" w:hAnsi="Garamond"/>
              </w:rPr>
            </w:pPr>
            <w:r w:rsidRPr="00E71A36">
              <w:rPr>
                <w:rFonts w:ascii="Garamond" w:hAnsi="Garamond"/>
              </w:rPr>
              <w:lastRenderedPageBreak/>
              <w:t>COD</w:t>
            </w:r>
          </w:p>
        </w:tc>
        <w:tc>
          <w:tcPr>
            <w:tcW w:w="0" w:type="auto"/>
            <w:vAlign w:val="center"/>
            <w:hideMark/>
          </w:tcPr>
          <w:p w14:paraId="686F2B91" w14:textId="77777777" w:rsidR="00706D2C" w:rsidRPr="00E71A36" w:rsidRDefault="00706D2C" w:rsidP="008027C8">
            <w:pPr>
              <w:spacing w:line="360" w:lineRule="auto"/>
              <w:jc w:val="both"/>
              <w:rPr>
                <w:rFonts w:ascii="Garamond" w:hAnsi="Garamond"/>
              </w:rPr>
            </w:pPr>
            <w:r w:rsidRPr="00E71A36">
              <w:rPr>
                <w:rFonts w:ascii="Garamond" w:hAnsi="Garamond"/>
              </w:rPr>
              <w:t>0.65</w:t>
            </w:r>
          </w:p>
        </w:tc>
        <w:tc>
          <w:tcPr>
            <w:tcW w:w="0" w:type="auto"/>
            <w:vAlign w:val="center"/>
            <w:hideMark/>
          </w:tcPr>
          <w:p w14:paraId="0BE759CF" w14:textId="77777777" w:rsidR="00706D2C" w:rsidRPr="00E71A36" w:rsidRDefault="00706D2C" w:rsidP="008027C8">
            <w:pPr>
              <w:spacing w:line="360" w:lineRule="auto"/>
              <w:jc w:val="both"/>
              <w:rPr>
                <w:rFonts w:ascii="Garamond" w:hAnsi="Garamond"/>
              </w:rPr>
            </w:pPr>
            <w:r w:rsidRPr="00E71A36">
              <w:rPr>
                <w:rFonts w:ascii="Garamond" w:hAnsi="Garamond"/>
              </w:rPr>
              <w:t>0.63</w:t>
            </w:r>
          </w:p>
        </w:tc>
        <w:tc>
          <w:tcPr>
            <w:tcW w:w="0" w:type="auto"/>
            <w:vAlign w:val="center"/>
            <w:hideMark/>
          </w:tcPr>
          <w:p w14:paraId="456CFE8A" w14:textId="77777777" w:rsidR="00706D2C" w:rsidRPr="00E71A36" w:rsidRDefault="00706D2C" w:rsidP="008027C8">
            <w:pPr>
              <w:spacing w:line="360" w:lineRule="auto"/>
              <w:jc w:val="both"/>
              <w:rPr>
                <w:rFonts w:ascii="Garamond" w:hAnsi="Garamond"/>
              </w:rPr>
            </w:pPr>
            <w:r w:rsidRPr="00E71A36">
              <w:rPr>
                <w:rFonts w:ascii="Garamond" w:hAnsi="Garamond"/>
              </w:rPr>
              <w:t>0.003</w:t>
            </w:r>
          </w:p>
        </w:tc>
        <w:tc>
          <w:tcPr>
            <w:tcW w:w="0" w:type="auto"/>
            <w:vAlign w:val="center"/>
            <w:hideMark/>
          </w:tcPr>
          <w:p w14:paraId="016DD1A6" w14:textId="77777777" w:rsidR="00706D2C" w:rsidRPr="00E71A36" w:rsidRDefault="00706D2C" w:rsidP="008027C8">
            <w:pPr>
              <w:spacing w:line="360" w:lineRule="auto"/>
              <w:jc w:val="both"/>
              <w:rPr>
                <w:rFonts w:ascii="Garamond" w:hAnsi="Garamond"/>
              </w:rPr>
            </w:pPr>
            <w:r w:rsidRPr="00E71A36">
              <w:rPr>
                <w:rFonts w:ascii="Garamond" w:hAnsi="Garamond"/>
              </w:rPr>
              <w:t>Poor waste management significantly increases chemical oxygen demand in water bodies.</w:t>
            </w:r>
          </w:p>
        </w:tc>
      </w:tr>
      <w:tr w:rsidR="002F16B1" w:rsidRPr="00E71A36" w14:paraId="12C391E4" w14:textId="77777777" w:rsidTr="00B60735">
        <w:trPr>
          <w:tblCellSpacing w:w="15" w:type="dxa"/>
        </w:trPr>
        <w:tc>
          <w:tcPr>
            <w:tcW w:w="0" w:type="auto"/>
            <w:vAlign w:val="center"/>
            <w:hideMark/>
          </w:tcPr>
          <w:p w14:paraId="2B5D5F06" w14:textId="77777777" w:rsidR="00706D2C" w:rsidRPr="00E71A36" w:rsidRDefault="00706D2C" w:rsidP="008027C8">
            <w:pPr>
              <w:spacing w:line="360" w:lineRule="auto"/>
              <w:jc w:val="both"/>
              <w:rPr>
                <w:rFonts w:ascii="Garamond" w:hAnsi="Garamond"/>
              </w:rPr>
            </w:pPr>
            <w:r w:rsidRPr="00E71A36">
              <w:rPr>
                <w:rFonts w:ascii="Garamond" w:hAnsi="Garamond"/>
              </w:rPr>
              <w:t>TSS</w:t>
            </w:r>
          </w:p>
        </w:tc>
        <w:tc>
          <w:tcPr>
            <w:tcW w:w="0" w:type="auto"/>
            <w:vAlign w:val="center"/>
            <w:hideMark/>
          </w:tcPr>
          <w:p w14:paraId="38132EF0" w14:textId="77777777" w:rsidR="00706D2C" w:rsidRPr="00E71A36" w:rsidRDefault="00706D2C" w:rsidP="008027C8">
            <w:pPr>
              <w:spacing w:line="360" w:lineRule="auto"/>
              <w:jc w:val="both"/>
              <w:rPr>
                <w:rFonts w:ascii="Garamond" w:hAnsi="Garamond"/>
              </w:rPr>
            </w:pPr>
            <w:r w:rsidRPr="00E71A36">
              <w:rPr>
                <w:rFonts w:ascii="Garamond" w:hAnsi="Garamond"/>
              </w:rPr>
              <w:t>0.59</w:t>
            </w:r>
          </w:p>
        </w:tc>
        <w:tc>
          <w:tcPr>
            <w:tcW w:w="0" w:type="auto"/>
            <w:vAlign w:val="center"/>
            <w:hideMark/>
          </w:tcPr>
          <w:p w14:paraId="52FC8B26" w14:textId="77777777" w:rsidR="00706D2C" w:rsidRPr="00E71A36" w:rsidRDefault="00706D2C" w:rsidP="008027C8">
            <w:pPr>
              <w:spacing w:line="360" w:lineRule="auto"/>
              <w:jc w:val="both"/>
              <w:rPr>
                <w:rFonts w:ascii="Garamond" w:hAnsi="Garamond"/>
              </w:rPr>
            </w:pPr>
            <w:r w:rsidRPr="00E71A36">
              <w:rPr>
                <w:rFonts w:ascii="Garamond" w:hAnsi="Garamond"/>
              </w:rPr>
              <w:t>0.55</w:t>
            </w:r>
          </w:p>
        </w:tc>
        <w:tc>
          <w:tcPr>
            <w:tcW w:w="0" w:type="auto"/>
            <w:vAlign w:val="center"/>
            <w:hideMark/>
          </w:tcPr>
          <w:p w14:paraId="3D73021A" w14:textId="77777777" w:rsidR="00706D2C" w:rsidRPr="00E71A36" w:rsidRDefault="00706D2C" w:rsidP="008027C8">
            <w:pPr>
              <w:spacing w:line="360" w:lineRule="auto"/>
              <w:jc w:val="both"/>
              <w:rPr>
                <w:rFonts w:ascii="Garamond" w:hAnsi="Garamond"/>
              </w:rPr>
            </w:pPr>
            <w:r w:rsidRPr="00E71A36">
              <w:rPr>
                <w:rFonts w:ascii="Garamond" w:hAnsi="Garamond"/>
              </w:rPr>
              <w:t>0.007</w:t>
            </w:r>
          </w:p>
        </w:tc>
        <w:tc>
          <w:tcPr>
            <w:tcW w:w="0" w:type="auto"/>
            <w:vAlign w:val="center"/>
            <w:hideMark/>
          </w:tcPr>
          <w:p w14:paraId="00247C5C" w14:textId="77777777" w:rsidR="00706D2C" w:rsidRPr="00E71A36" w:rsidRDefault="00706D2C" w:rsidP="008027C8">
            <w:pPr>
              <w:spacing w:line="360" w:lineRule="auto"/>
              <w:jc w:val="both"/>
              <w:rPr>
                <w:rFonts w:ascii="Garamond" w:hAnsi="Garamond"/>
              </w:rPr>
            </w:pPr>
            <w:r w:rsidRPr="00E71A36">
              <w:rPr>
                <w:rFonts w:ascii="Garamond" w:hAnsi="Garamond"/>
              </w:rPr>
              <w:t>Open dumping and poor collection practices contribute to higher suspended solids in water.</w:t>
            </w:r>
          </w:p>
        </w:tc>
      </w:tr>
      <w:tr w:rsidR="002F16B1" w:rsidRPr="00E71A36" w14:paraId="512ABE5F" w14:textId="77777777" w:rsidTr="00B60735">
        <w:trPr>
          <w:tblCellSpacing w:w="15" w:type="dxa"/>
        </w:trPr>
        <w:tc>
          <w:tcPr>
            <w:tcW w:w="0" w:type="auto"/>
            <w:vAlign w:val="center"/>
            <w:hideMark/>
          </w:tcPr>
          <w:p w14:paraId="73C0A1B5" w14:textId="77777777" w:rsidR="00706D2C" w:rsidRPr="00E71A36" w:rsidRDefault="00706D2C" w:rsidP="008027C8">
            <w:pPr>
              <w:spacing w:line="360" w:lineRule="auto"/>
              <w:jc w:val="both"/>
              <w:rPr>
                <w:rFonts w:ascii="Garamond" w:hAnsi="Garamond"/>
              </w:rPr>
            </w:pPr>
            <w:r w:rsidRPr="00E71A36">
              <w:rPr>
                <w:rFonts w:ascii="Garamond" w:hAnsi="Garamond"/>
              </w:rPr>
              <w:t>Nitrates</w:t>
            </w:r>
          </w:p>
        </w:tc>
        <w:tc>
          <w:tcPr>
            <w:tcW w:w="0" w:type="auto"/>
            <w:vAlign w:val="center"/>
            <w:hideMark/>
          </w:tcPr>
          <w:p w14:paraId="400888B5" w14:textId="77777777" w:rsidR="00706D2C" w:rsidRPr="00E71A36" w:rsidRDefault="00706D2C" w:rsidP="008027C8">
            <w:pPr>
              <w:spacing w:line="360" w:lineRule="auto"/>
              <w:jc w:val="both"/>
              <w:rPr>
                <w:rFonts w:ascii="Garamond" w:hAnsi="Garamond"/>
              </w:rPr>
            </w:pPr>
            <w:r w:rsidRPr="00E71A36">
              <w:rPr>
                <w:rFonts w:ascii="Garamond" w:hAnsi="Garamond"/>
              </w:rPr>
              <w:t>0.43</w:t>
            </w:r>
          </w:p>
        </w:tc>
        <w:tc>
          <w:tcPr>
            <w:tcW w:w="0" w:type="auto"/>
            <w:vAlign w:val="center"/>
            <w:hideMark/>
          </w:tcPr>
          <w:p w14:paraId="22715FA6" w14:textId="77777777" w:rsidR="00706D2C" w:rsidRPr="00E71A36" w:rsidRDefault="00706D2C" w:rsidP="008027C8">
            <w:pPr>
              <w:spacing w:line="360" w:lineRule="auto"/>
              <w:jc w:val="both"/>
              <w:rPr>
                <w:rFonts w:ascii="Garamond" w:hAnsi="Garamond"/>
              </w:rPr>
            </w:pPr>
            <w:r w:rsidRPr="00E71A36">
              <w:rPr>
                <w:rFonts w:ascii="Garamond" w:hAnsi="Garamond"/>
              </w:rPr>
              <w:t>0.39</w:t>
            </w:r>
          </w:p>
        </w:tc>
        <w:tc>
          <w:tcPr>
            <w:tcW w:w="0" w:type="auto"/>
            <w:vAlign w:val="center"/>
            <w:hideMark/>
          </w:tcPr>
          <w:p w14:paraId="726F1940" w14:textId="77777777" w:rsidR="00706D2C" w:rsidRPr="00E71A36" w:rsidRDefault="00706D2C" w:rsidP="008027C8">
            <w:pPr>
              <w:spacing w:line="360" w:lineRule="auto"/>
              <w:jc w:val="both"/>
              <w:rPr>
                <w:rFonts w:ascii="Garamond" w:hAnsi="Garamond"/>
              </w:rPr>
            </w:pPr>
            <w:r w:rsidRPr="00E71A36">
              <w:rPr>
                <w:rFonts w:ascii="Garamond" w:hAnsi="Garamond"/>
              </w:rPr>
              <w:t>0.021</w:t>
            </w:r>
          </w:p>
        </w:tc>
        <w:tc>
          <w:tcPr>
            <w:tcW w:w="0" w:type="auto"/>
            <w:vAlign w:val="center"/>
            <w:hideMark/>
          </w:tcPr>
          <w:p w14:paraId="2B28A410" w14:textId="77777777" w:rsidR="00706D2C" w:rsidRPr="00E71A36" w:rsidRDefault="00706D2C" w:rsidP="008027C8">
            <w:pPr>
              <w:spacing w:line="360" w:lineRule="auto"/>
              <w:jc w:val="both"/>
              <w:rPr>
                <w:rFonts w:ascii="Garamond" w:hAnsi="Garamond"/>
              </w:rPr>
            </w:pPr>
            <w:r w:rsidRPr="00E71A36">
              <w:rPr>
                <w:rFonts w:ascii="Garamond" w:hAnsi="Garamond"/>
              </w:rPr>
              <w:t>Nutrient enrichment is moderately affected by waste runoff.</w:t>
            </w:r>
          </w:p>
        </w:tc>
      </w:tr>
      <w:tr w:rsidR="002F16B1" w:rsidRPr="00E71A36" w14:paraId="670387E4" w14:textId="77777777" w:rsidTr="00B60735">
        <w:trPr>
          <w:tblCellSpacing w:w="15" w:type="dxa"/>
        </w:trPr>
        <w:tc>
          <w:tcPr>
            <w:tcW w:w="0" w:type="auto"/>
            <w:tcBorders>
              <w:bottom w:val="single" w:sz="4" w:space="0" w:color="auto"/>
            </w:tcBorders>
            <w:vAlign w:val="center"/>
            <w:hideMark/>
          </w:tcPr>
          <w:p w14:paraId="6FD62411" w14:textId="77777777" w:rsidR="00706D2C" w:rsidRPr="00E71A36" w:rsidRDefault="00706D2C" w:rsidP="008027C8">
            <w:pPr>
              <w:spacing w:line="360" w:lineRule="auto"/>
              <w:jc w:val="both"/>
              <w:rPr>
                <w:rFonts w:ascii="Garamond" w:hAnsi="Garamond"/>
              </w:rPr>
            </w:pPr>
            <w:r w:rsidRPr="00E71A36">
              <w:rPr>
                <w:rFonts w:ascii="Garamond" w:hAnsi="Garamond"/>
              </w:rPr>
              <w:t>Phosphates</w:t>
            </w:r>
          </w:p>
        </w:tc>
        <w:tc>
          <w:tcPr>
            <w:tcW w:w="0" w:type="auto"/>
            <w:tcBorders>
              <w:bottom w:val="single" w:sz="4" w:space="0" w:color="auto"/>
            </w:tcBorders>
            <w:vAlign w:val="center"/>
            <w:hideMark/>
          </w:tcPr>
          <w:p w14:paraId="05328D0D" w14:textId="77777777" w:rsidR="00706D2C" w:rsidRPr="00E71A36" w:rsidRDefault="00706D2C" w:rsidP="008027C8">
            <w:pPr>
              <w:spacing w:line="360" w:lineRule="auto"/>
              <w:jc w:val="both"/>
              <w:rPr>
                <w:rFonts w:ascii="Garamond" w:hAnsi="Garamond"/>
              </w:rPr>
            </w:pPr>
            <w:r w:rsidRPr="00E71A36">
              <w:rPr>
                <w:rFonts w:ascii="Garamond" w:hAnsi="Garamond"/>
              </w:rPr>
              <w:t>0.46</w:t>
            </w:r>
          </w:p>
        </w:tc>
        <w:tc>
          <w:tcPr>
            <w:tcW w:w="0" w:type="auto"/>
            <w:tcBorders>
              <w:bottom w:val="single" w:sz="4" w:space="0" w:color="auto"/>
            </w:tcBorders>
            <w:vAlign w:val="center"/>
            <w:hideMark/>
          </w:tcPr>
          <w:p w14:paraId="7F59DC59" w14:textId="77777777" w:rsidR="00706D2C" w:rsidRPr="00E71A36" w:rsidRDefault="00706D2C" w:rsidP="008027C8">
            <w:pPr>
              <w:spacing w:line="360" w:lineRule="auto"/>
              <w:jc w:val="both"/>
              <w:rPr>
                <w:rFonts w:ascii="Garamond" w:hAnsi="Garamond"/>
              </w:rPr>
            </w:pPr>
            <w:r w:rsidRPr="00E71A36">
              <w:rPr>
                <w:rFonts w:ascii="Garamond" w:hAnsi="Garamond"/>
              </w:rPr>
              <w:t>0.42</w:t>
            </w:r>
          </w:p>
        </w:tc>
        <w:tc>
          <w:tcPr>
            <w:tcW w:w="0" w:type="auto"/>
            <w:tcBorders>
              <w:bottom w:val="single" w:sz="4" w:space="0" w:color="auto"/>
            </w:tcBorders>
            <w:vAlign w:val="center"/>
            <w:hideMark/>
          </w:tcPr>
          <w:p w14:paraId="35673E1D" w14:textId="77777777" w:rsidR="00706D2C" w:rsidRPr="00E71A36" w:rsidRDefault="00706D2C" w:rsidP="008027C8">
            <w:pPr>
              <w:spacing w:line="360" w:lineRule="auto"/>
              <w:jc w:val="both"/>
              <w:rPr>
                <w:rFonts w:ascii="Garamond" w:hAnsi="Garamond"/>
              </w:rPr>
            </w:pPr>
            <w:r w:rsidRPr="00E71A36">
              <w:rPr>
                <w:rFonts w:ascii="Garamond" w:hAnsi="Garamond"/>
              </w:rPr>
              <w:t>0.019</w:t>
            </w:r>
          </w:p>
        </w:tc>
        <w:tc>
          <w:tcPr>
            <w:tcW w:w="0" w:type="auto"/>
            <w:tcBorders>
              <w:bottom w:val="single" w:sz="4" w:space="0" w:color="auto"/>
            </w:tcBorders>
            <w:vAlign w:val="center"/>
            <w:hideMark/>
          </w:tcPr>
          <w:p w14:paraId="54C6BB12" w14:textId="77777777" w:rsidR="00706D2C" w:rsidRPr="00E71A36" w:rsidRDefault="00706D2C" w:rsidP="008027C8">
            <w:pPr>
              <w:spacing w:line="360" w:lineRule="auto"/>
              <w:jc w:val="both"/>
              <w:rPr>
                <w:rFonts w:ascii="Garamond" w:hAnsi="Garamond"/>
              </w:rPr>
            </w:pPr>
            <w:r w:rsidRPr="00E71A36">
              <w:rPr>
                <w:rFonts w:ascii="Garamond" w:hAnsi="Garamond"/>
              </w:rPr>
              <w:t>Elevated phosphates indicate leachate impact from decomposing organic and commercial waste.</w:t>
            </w:r>
          </w:p>
        </w:tc>
      </w:tr>
    </w:tbl>
    <w:p w14:paraId="0D811451" w14:textId="77777777" w:rsidR="00706D2C" w:rsidRPr="00E71A36" w:rsidRDefault="00706D2C" w:rsidP="008027C8">
      <w:pPr>
        <w:spacing w:line="360" w:lineRule="auto"/>
        <w:jc w:val="both"/>
        <w:rPr>
          <w:rFonts w:ascii="Garamond" w:hAnsi="Garamond"/>
        </w:rPr>
      </w:pPr>
    </w:p>
    <w:p w14:paraId="2BF51CC7" w14:textId="200E977D" w:rsidR="00706D2C" w:rsidRPr="00E71A36" w:rsidRDefault="00706D2C" w:rsidP="008027C8">
      <w:pPr>
        <w:spacing w:line="360" w:lineRule="auto"/>
        <w:jc w:val="both"/>
        <w:rPr>
          <w:rFonts w:ascii="Garamond" w:hAnsi="Garamond"/>
        </w:rPr>
      </w:pPr>
      <w:r w:rsidRPr="00E71A36">
        <w:rPr>
          <w:rFonts w:ascii="Garamond" w:hAnsi="Garamond"/>
        </w:rPr>
        <w:t>Positive regression coefficients</w:t>
      </w:r>
      <w:r w:rsidR="002E5751" w:rsidRPr="00E71A36">
        <w:rPr>
          <w:rFonts w:ascii="Garamond" w:hAnsi="Garamond"/>
        </w:rPr>
        <w:t xml:space="preserve"> (Table 11)</w:t>
      </w:r>
      <w:r w:rsidRPr="00E71A36">
        <w:rPr>
          <w:rFonts w:ascii="Garamond" w:hAnsi="Garamond"/>
        </w:rPr>
        <w:t xml:space="preserve"> indicate that poor waste management practices directly worsen water quality by increasing organic load, chemical contamination, and nutrient enrichment. Sites near dumping areas show the highest levels of BOD, COD, and TSS, confirming the link between solid waste mismanagement and water pollution.</w:t>
      </w:r>
    </w:p>
    <w:p w14:paraId="755DBE5B" w14:textId="768987C6" w:rsidR="00706D2C" w:rsidRPr="00E71A36" w:rsidRDefault="00706D2C" w:rsidP="008027C8">
      <w:pPr>
        <w:spacing w:line="360" w:lineRule="auto"/>
        <w:jc w:val="both"/>
        <w:rPr>
          <w:rFonts w:ascii="Garamond" w:hAnsi="Garamond"/>
          <w:b/>
          <w:bCs/>
        </w:rPr>
      </w:pPr>
      <w:bookmarkStart w:id="49" w:name="_Toc224480385"/>
      <w:r w:rsidRPr="00E71A36">
        <w:rPr>
          <w:rFonts w:ascii="Garamond" w:hAnsi="Garamond"/>
          <w:b/>
          <w:bCs/>
        </w:rPr>
        <w:t>4.</w:t>
      </w:r>
      <w:r w:rsidR="00006810" w:rsidRPr="00E71A36">
        <w:rPr>
          <w:rFonts w:ascii="Garamond" w:hAnsi="Garamond"/>
          <w:b/>
          <w:bCs/>
        </w:rPr>
        <w:t>4</w:t>
      </w:r>
      <w:r w:rsidRPr="00E71A36">
        <w:rPr>
          <w:rFonts w:ascii="Garamond" w:hAnsi="Garamond"/>
          <w:b/>
          <w:bCs/>
        </w:rPr>
        <w:t>.3</w:t>
      </w:r>
      <w:r w:rsidR="00006810" w:rsidRPr="00E71A36">
        <w:rPr>
          <w:rFonts w:ascii="Garamond" w:hAnsi="Garamond"/>
          <w:b/>
          <w:bCs/>
        </w:rPr>
        <w:t>. Regression</w:t>
      </w:r>
      <w:r w:rsidRPr="00E71A36">
        <w:rPr>
          <w:rFonts w:ascii="Garamond" w:hAnsi="Garamond"/>
          <w:b/>
          <w:bCs/>
        </w:rPr>
        <w:t xml:space="preserve"> Analysis on Overall Environmental Impact</w:t>
      </w:r>
      <w:bookmarkEnd w:id="49"/>
    </w:p>
    <w:p w14:paraId="285C8E83" w14:textId="77777777" w:rsidR="00706D2C" w:rsidRPr="00E71A36" w:rsidRDefault="00706D2C" w:rsidP="008027C8">
      <w:pPr>
        <w:spacing w:line="360" w:lineRule="auto"/>
        <w:jc w:val="both"/>
        <w:rPr>
          <w:rFonts w:ascii="Garamond" w:hAnsi="Garamond"/>
        </w:rPr>
      </w:pPr>
      <w:r w:rsidRPr="00E71A36">
        <w:rPr>
          <w:rFonts w:ascii="Garamond" w:hAnsi="Garamond"/>
        </w:rPr>
        <w:t>A composite Environmental Impact Index (EII) was created using standardized scores for air and water quality parameters. Linear regression was used to assess the influence of waste management practices and site characteristics on the EII.</w:t>
      </w:r>
    </w:p>
    <w:p w14:paraId="41DB4BC2" w14:textId="77777777" w:rsidR="00006810" w:rsidRPr="00E71A36" w:rsidRDefault="00006810" w:rsidP="008027C8">
      <w:pPr>
        <w:spacing w:line="360" w:lineRule="auto"/>
        <w:jc w:val="both"/>
        <w:rPr>
          <w:rFonts w:ascii="Garamond" w:hAnsi="Garamond"/>
        </w:rPr>
      </w:pPr>
    </w:p>
    <w:p w14:paraId="14F620AE" w14:textId="77777777" w:rsidR="00006810" w:rsidRPr="00E71A36" w:rsidRDefault="00006810" w:rsidP="008027C8">
      <w:pPr>
        <w:spacing w:line="360" w:lineRule="auto"/>
        <w:jc w:val="both"/>
        <w:rPr>
          <w:rFonts w:ascii="Garamond" w:hAnsi="Garamond"/>
        </w:rPr>
      </w:pPr>
    </w:p>
    <w:p w14:paraId="41506676" w14:textId="77777777" w:rsidR="00006810" w:rsidRPr="00E71A36" w:rsidRDefault="00006810" w:rsidP="008027C8">
      <w:pPr>
        <w:spacing w:line="360" w:lineRule="auto"/>
        <w:jc w:val="both"/>
        <w:rPr>
          <w:rFonts w:ascii="Garamond" w:hAnsi="Garamond"/>
        </w:rPr>
      </w:pPr>
    </w:p>
    <w:p w14:paraId="44779FFF" w14:textId="77777777" w:rsidR="00006810" w:rsidRPr="00E71A36" w:rsidRDefault="00006810" w:rsidP="008027C8">
      <w:pPr>
        <w:spacing w:line="360" w:lineRule="auto"/>
        <w:jc w:val="both"/>
        <w:rPr>
          <w:rFonts w:ascii="Garamond" w:hAnsi="Garamond"/>
        </w:rPr>
      </w:pPr>
    </w:p>
    <w:p w14:paraId="3C41DF64" w14:textId="77777777" w:rsidR="00006810" w:rsidRPr="00E71A36" w:rsidRDefault="00006810" w:rsidP="008027C8">
      <w:pPr>
        <w:spacing w:line="360" w:lineRule="auto"/>
        <w:jc w:val="both"/>
        <w:rPr>
          <w:rFonts w:ascii="Garamond" w:hAnsi="Garamond"/>
        </w:rPr>
      </w:pPr>
    </w:p>
    <w:p w14:paraId="4623CC6E" w14:textId="77777777" w:rsidR="00006810" w:rsidRPr="00E71A36" w:rsidRDefault="00006810" w:rsidP="008027C8">
      <w:pPr>
        <w:spacing w:line="360" w:lineRule="auto"/>
        <w:jc w:val="both"/>
        <w:rPr>
          <w:rFonts w:ascii="Garamond" w:hAnsi="Garamond"/>
        </w:rPr>
      </w:pPr>
    </w:p>
    <w:p w14:paraId="01D40F56" w14:textId="240DD619" w:rsidR="00706D2C" w:rsidRPr="00E71A36" w:rsidRDefault="00706D2C" w:rsidP="008027C8">
      <w:pPr>
        <w:spacing w:line="360" w:lineRule="auto"/>
        <w:jc w:val="both"/>
        <w:rPr>
          <w:rFonts w:ascii="Garamond" w:hAnsi="Garamond"/>
          <w:b/>
        </w:rPr>
      </w:pPr>
      <w:bookmarkStart w:id="50" w:name="_Toc224480942"/>
      <w:r w:rsidRPr="00E71A36">
        <w:rPr>
          <w:rFonts w:ascii="Garamond" w:hAnsi="Garamond"/>
          <w:b/>
        </w:rPr>
        <w:lastRenderedPageBreak/>
        <w:t xml:space="preserve">Table </w:t>
      </w:r>
      <w:r w:rsidR="00006810" w:rsidRPr="00E71A36">
        <w:rPr>
          <w:rFonts w:ascii="Garamond" w:hAnsi="Garamond"/>
          <w:b/>
        </w:rPr>
        <w:t>12.</w:t>
      </w:r>
      <w:r w:rsidRPr="00E71A36">
        <w:rPr>
          <w:rFonts w:ascii="Garamond" w:hAnsi="Garamond"/>
          <w:b/>
        </w:rPr>
        <w:t xml:space="preserve"> Regression Analysis on Overall Environmental Impact</w:t>
      </w:r>
      <w:bookmarkEnd w:id="5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1"/>
        <w:gridCol w:w="1814"/>
        <w:gridCol w:w="450"/>
        <w:gridCol w:w="655"/>
        <w:gridCol w:w="4540"/>
      </w:tblGrid>
      <w:tr w:rsidR="00AD68F5" w:rsidRPr="00E71A36" w14:paraId="4A5DAFF4" w14:textId="77777777" w:rsidTr="00B60735">
        <w:trPr>
          <w:tblHeader/>
          <w:tblCellSpacing w:w="15" w:type="dxa"/>
        </w:trPr>
        <w:tc>
          <w:tcPr>
            <w:tcW w:w="0" w:type="auto"/>
            <w:tcBorders>
              <w:top w:val="single" w:sz="4" w:space="0" w:color="auto"/>
              <w:bottom w:val="single" w:sz="4" w:space="0" w:color="auto"/>
            </w:tcBorders>
            <w:vAlign w:val="center"/>
            <w:hideMark/>
          </w:tcPr>
          <w:p w14:paraId="3F5CFE41" w14:textId="77777777" w:rsidR="00706D2C" w:rsidRPr="00E71A36" w:rsidRDefault="00706D2C" w:rsidP="008027C8">
            <w:pPr>
              <w:spacing w:line="360" w:lineRule="auto"/>
              <w:jc w:val="both"/>
              <w:rPr>
                <w:rFonts w:ascii="Garamond" w:hAnsi="Garamond"/>
              </w:rPr>
            </w:pPr>
            <w:r w:rsidRPr="00E71A36">
              <w:rPr>
                <w:rFonts w:ascii="Garamond" w:hAnsi="Garamond"/>
              </w:rPr>
              <w:t>Predictor Variable</w:t>
            </w:r>
          </w:p>
        </w:tc>
        <w:tc>
          <w:tcPr>
            <w:tcW w:w="0" w:type="auto"/>
            <w:tcBorders>
              <w:top w:val="single" w:sz="4" w:space="0" w:color="auto"/>
              <w:bottom w:val="single" w:sz="4" w:space="0" w:color="auto"/>
            </w:tcBorders>
            <w:vAlign w:val="center"/>
            <w:hideMark/>
          </w:tcPr>
          <w:p w14:paraId="6D92DD4D" w14:textId="77777777" w:rsidR="00706D2C" w:rsidRPr="00E71A36" w:rsidRDefault="00706D2C" w:rsidP="008027C8">
            <w:pPr>
              <w:spacing w:line="360" w:lineRule="auto"/>
              <w:jc w:val="both"/>
              <w:rPr>
                <w:rFonts w:ascii="Garamond" w:hAnsi="Garamond"/>
              </w:rPr>
            </w:pPr>
            <w:r w:rsidRPr="00E71A36">
              <w:rPr>
                <w:rFonts w:ascii="Garamond" w:hAnsi="Garamond"/>
              </w:rPr>
              <w:t>Regression Coefficient (β)</w:t>
            </w:r>
          </w:p>
        </w:tc>
        <w:tc>
          <w:tcPr>
            <w:tcW w:w="0" w:type="auto"/>
            <w:tcBorders>
              <w:top w:val="single" w:sz="4" w:space="0" w:color="auto"/>
              <w:bottom w:val="single" w:sz="4" w:space="0" w:color="auto"/>
            </w:tcBorders>
            <w:vAlign w:val="center"/>
            <w:hideMark/>
          </w:tcPr>
          <w:p w14:paraId="3640D413" w14:textId="77777777" w:rsidR="00706D2C" w:rsidRPr="00E71A36" w:rsidRDefault="00706D2C" w:rsidP="008027C8">
            <w:pPr>
              <w:spacing w:line="360" w:lineRule="auto"/>
              <w:jc w:val="both"/>
              <w:rPr>
                <w:rFonts w:ascii="Garamond" w:hAnsi="Garamond"/>
              </w:rPr>
            </w:pPr>
            <w:r w:rsidRPr="00E71A36">
              <w:rPr>
                <w:rFonts w:ascii="Garamond" w:hAnsi="Garamond"/>
              </w:rPr>
              <w:t>R²</w:t>
            </w:r>
          </w:p>
        </w:tc>
        <w:tc>
          <w:tcPr>
            <w:tcW w:w="0" w:type="auto"/>
            <w:tcBorders>
              <w:top w:val="single" w:sz="4" w:space="0" w:color="auto"/>
              <w:bottom w:val="single" w:sz="4" w:space="0" w:color="auto"/>
            </w:tcBorders>
            <w:vAlign w:val="center"/>
            <w:hideMark/>
          </w:tcPr>
          <w:p w14:paraId="7014B58A" w14:textId="77777777" w:rsidR="00706D2C" w:rsidRPr="00E71A36" w:rsidRDefault="00706D2C" w:rsidP="008027C8">
            <w:pPr>
              <w:spacing w:line="360" w:lineRule="auto"/>
              <w:jc w:val="both"/>
              <w:rPr>
                <w:rFonts w:ascii="Garamond" w:hAnsi="Garamond"/>
              </w:rPr>
            </w:pPr>
            <w:r w:rsidRPr="00E71A36">
              <w:rPr>
                <w:rFonts w:ascii="Garamond" w:hAnsi="Garamond"/>
              </w:rPr>
              <w:t>p-value</w:t>
            </w:r>
          </w:p>
        </w:tc>
        <w:tc>
          <w:tcPr>
            <w:tcW w:w="0" w:type="auto"/>
            <w:tcBorders>
              <w:top w:val="single" w:sz="4" w:space="0" w:color="auto"/>
              <w:bottom w:val="single" w:sz="4" w:space="0" w:color="auto"/>
            </w:tcBorders>
            <w:vAlign w:val="center"/>
            <w:hideMark/>
          </w:tcPr>
          <w:p w14:paraId="65856AC3" w14:textId="77777777" w:rsidR="00706D2C" w:rsidRPr="00E71A36" w:rsidRDefault="00706D2C" w:rsidP="008027C8">
            <w:pPr>
              <w:spacing w:line="360" w:lineRule="auto"/>
              <w:jc w:val="both"/>
              <w:rPr>
                <w:rFonts w:ascii="Garamond" w:hAnsi="Garamond"/>
              </w:rPr>
            </w:pPr>
            <w:r w:rsidRPr="00E71A36">
              <w:rPr>
                <w:rFonts w:ascii="Garamond" w:hAnsi="Garamond"/>
              </w:rPr>
              <w:t>Interpretation</w:t>
            </w:r>
          </w:p>
        </w:tc>
      </w:tr>
      <w:tr w:rsidR="002F16B1" w:rsidRPr="00E71A36" w14:paraId="5FAB2575" w14:textId="77777777" w:rsidTr="00B60735">
        <w:trPr>
          <w:tblCellSpacing w:w="15" w:type="dxa"/>
        </w:trPr>
        <w:tc>
          <w:tcPr>
            <w:tcW w:w="0" w:type="auto"/>
            <w:vAlign w:val="center"/>
            <w:hideMark/>
          </w:tcPr>
          <w:p w14:paraId="0733F9D0" w14:textId="77777777" w:rsidR="00706D2C" w:rsidRPr="00E71A36" w:rsidRDefault="00706D2C" w:rsidP="008027C8">
            <w:pPr>
              <w:spacing w:line="360" w:lineRule="auto"/>
              <w:jc w:val="both"/>
              <w:rPr>
                <w:rFonts w:ascii="Garamond" w:hAnsi="Garamond"/>
              </w:rPr>
            </w:pPr>
            <w:r w:rsidRPr="00E71A36">
              <w:rPr>
                <w:rFonts w:ascii="Garamond" w:hAnsi="Garamond"/>
              </w:rPr>
              <w:t>Waste Segregation</w:t>
            </w:r>
          </w:p>
        </w:tc>
        <w:tc>
          <w:tcPr>
            <w:tcW w:w="0" w:type="auto"/>
            <w:vAlign w:val="center"/>
            <w:hideMark/>
          </w:tcPr>
          <w:p w14:paraId="70034FB1" w14:textId="77777777" w:rsidR="00706D2C" w:rsidRPr="00E71A36" w:rsidRDefault="00706D2C" w:rsidP="008027C8">
            <w:pPr>
              <w:spacing w:line="360" w:lineRule="auto"/>
              <w:jc w:val="both"/>
              <w:rPr>
                <w:rFonts w:ascii="Garamond" w:hAnsi="Garamond"/>
              </w:rPr>
            </w:pPr>
            <w:r w:rsidRPr="00E71A36">
              <w:rPr>
                <w:rFonts w:ascii="Garamond" w:hAnsi="Garamond"/>
              </w:rPr>
              <w:t>-0.52</w:t>
            </w:r>
          </w:p>
        </w:tc>
        <w:tc>
          <w:tcPr>
            <w:tcW w:w="0" w:type="auto"/>
            <w:vAlign w:val="center"/>
            <w:hideMark/>
          </w:tcPr>
          <w:p w14:paraId="4A151CCE" w14:textId="77777777" w:rsidR="00706D2C" w:rsidRPr="00E71A36" w:rsidRDefault="00706D2C" w:rsidP="008027C8">
            <w:pPr>
              <w:spacing w:line="360" w:lineRule="auto"/>
              <w:jc w:val="both"/>
              <w:rPr>
                <w:rFonts w:ascii="Garamond" w:hAnsi="Garamond"/>
              </w:rPr>
            </w:pPr>
            <w:r w:rsidRPr="00E71A36">
              <w:rPr>
                <w:rFonts w:ascii="Garamond" w:hAnsi="Garamond"/>
              </w:rPr>
              <w:t>0.57</w:t>
            </w:r>
          </w:p>
        </w:tc>
        <w:tc>
          <w:tcPr>
            <w:tcW w:w="0" w:type="auto"/>
            <w:vAlign w:val="center"/>
            <w:hideMark/>
          </w:tcPr>
          <w:p w14:paraId="26FEED12" w14:textId="77777777" w:rsidR="00706D2C" w:rsidRPr="00E71A36" w:rsidRDefault="00706D2C" w:rsidP="008027C8">
            <w:pPr>
              <w:spacing w:line="360" w:lineRule="auto"/>
              <w:jc w:val="both"/>
              <w:rPr>
                <w:rFonts w:ascii="Garamond" w:hAnsi="Garamond"/>
              </w:rPr>
            </w:pPr>
            <w:r w:rsidRPr="00E71A36">
              <w:rPr>
                <w:rFonts w:ascii="Garamond" w:hAnsi="Garamond"/>
              </w:rPr>
              <w:t>0.004</w:t>
            </w:r>
          </w:p>
        </w:tc>
        <w:tc>
          <w:tcPr>
            <w:tcW w:w="0" w:type="auto"/>
            <w:vAlign w:val="center"/>
            <w:hideMark/>
          </w:tcPr>
          <w:p w14:paraId="1CD9840A" w14:textId="77777777" w:rsidR="00706D2C" w:rsidRPr="00E71A36" w:rsidRDefault="00706D2C" w:rsidP="008027C8">
            <w:pPr>
              <w:spacing w:line="360" w:lineRule="auto"/>
              <w:jc w:val="both"/>
              <w:rPr>
                <w:rFonts w:ascii="Garamond" w:hAnsi="Garamond"/>
              </w:rPr>
            </w:pPr>
            <w:r w:rsidRPr="00E71A36">
              <w:rPr>
                <w:rFonts w:ascii="Garamond" w:hAnsi="Garamond"/>
              </w:rPr>
              <w:t>Better segregation reduces overall environmental impact.</w:t>
            </w:r>
          </w:p>
        </w:tc>
      </w:tr>
      <w:tr w:rsidR="002F16B1" w:rsidRPr="00E71A36" w14:paraId="21141696" w14:textId="77777777" w:rsidTr="00B60735">
        <w:trPr>
          <w:tblCellSpacing w:w="15" w:type="dxa"/>
        </w:trPr>
        <w:tc>
          <w:tcPr>
            <w:tcW w:w="0" w:type="auto"/>
            <w:vAlign w:val="center"/>
            <w:hideMark/>
          </w:tcPr>
          <w:p w14:paraId="43C8F1B0" w14:textId="77777777" w:rsidR="00706D2C" w:rsidRPr="00E71A36" w:rsidRDefault="00706D2C" w:rsidP="008027C8">
            <w:pPr>
              <w:spacing w:line="360" w:lineRule="auto"/>
              <w:jc w:val="both"/>
              <w:rPr>
                <w:rFonts w:ascii="Garamond" w:hAnsi="Garamond"/>
              </w:rPr>
            </w:pPr>
            <w:r w:rsidRPr="00E71A36">
              <w:rPr>
                <w:rFonts w:ascii="Garamond" w:hAnsi="Garamond"/>
              </w:rPr>
              <w:t>Open Dumping Frequency</w:t>
            </w:r>
          </w:p>
        </w:tc>
        <w:tc>
          <w:tcPr>
            <w:tcW w:w="0" w:type="auto"/>
            <w:vAlign w:val="center"/>
            <w:hideMark/>
          </w:tcPr>
          <w:p w14:paraId="0EECD444" w14:textId="77777777" w:rsidR="00706D2C" w:rsidRPr="00E71A36" w:rsidRDefault="00706D2C" w:rsidP="008027C8">
            <w:pPr>
              <w:spacing w:line="360" w:lineRule="auto"/>
              <w:jc w:val="both"/>
              <w:rPr>
                <w:rFonts w:ascii="Garamond" w:hAnsi="Garamond"/>
              </w:rPr>
            </w:pPr>
            <w:r w:rsidRPr="00E71A36">
              <w:rPr>
                <w:rFonts w:ascii="Garamond" w:hAnsi="Garamond"/>
              </w:rPr>
              <w:t>0.74</w:t>
            </w:r>
          </w:p>
        </w:tc>
        <w:tc>
          <w:tcPr>
            <w:tcW w:w="0" w:type="auto"/>
            <w:vAlign w:val="center"/>
            <w:hideMark/>
          </w:tcPr>
          <w:p w14:paraId="2E97FAB0" w14:textId="77777777" w:rsidR="00706D2C" w:rsidRPr="00E71A36" w:rsidRDefault="00706D2C" w:rsidP="008027C8">
            <w:pPr>
              <w:spacing w:line="360" w:lineRule="auto"/>
              <w:jc w:val="both"/>
              <w:rPr>
                <w:rFonts w:ascii="Garamond" w:hAnsi="Garamond"/>
              </w:rPr>
            </w:pPr>
            <w:r w:rsidRPr="00E71A36">
              <w:rPr>
                <w:rFonts w:ascii="Garamond" w:hAnsi="Garamond"/>
              </w:rPr>
              <w:t>0.65</w:t>
            </w:r>
          </w:p>
        </w:tc>
        <w:tc>
          <w:tcPr>
            <w:tcW w:w="0" w:type="auto"/>
            <w:vAlign w:val="center"/>
            <w:hideMark/>
          </w:tcPr>
          <w:p w14:paraId="1778FE71" w14:textId="77777777" w:rsidR="00706D2C" w:rsidRPr="00E71A36" w:rsidRDefault="00706D2C" w:rsidP="008027C8">
            <w:pPr>
              <w:spacing w:line="360" w:lineRule="auto"/>
              <w:jc w:val="both"/>
              <w:rPr>
                <w:rFonts w:ascii="Garamond" w:hAnsi="Garamond"/>
              </w:rPr>
            </w:pPr>
            <w:r w:rsidRPr="00E71A36">
              <w:rPr>
                <w:rFonts w:ascii="Garamond" w:hAnsi="Garamond"/>
              </w:rPr>
              <w:t>0.001</w:t>
            </w:r>
          </w:p>
        </w:tc>
        <w:tc>
          <w:tcPr>
            <w:tcW w:w="0" w:type="auto"/>
            <w:vAlign w:val="center"/>
            <w:hideMark/>
          </w:tcPr>
          <w:p w14:paraId="17C5F9FD" w14:textId="77777777" w:rsidR="00706D2C" w:rsidRPr="00E71A36" w:rsidRDefault="00706D2C" w:rsidP="008027C8">
            <w:pPr>
              <w:spacing w:line="360" w:lineRule="auto"/>
              <w:jc w:val="both"/>
              <w:rPr>
                <w:rFonts w:ascii="Garamond" w:hAnsi="Garamond"/>
              </w:rPr>
            </w:pPr>
            <w:r w:rsidRPr="00E71A36">
              <w:rPr>
                <w:rFonts w:ascii="Garamond" w:hAnsi="Garamond"/>
              </w:rPr>
              <w:t>Frequent dumping significantly increases environmental pollution.</w:t>
            </w:r>
          </w:p>
        </w:tc>
      </w:tr>
      <w:tr w:rsidR="002F16B1" w:rsidRPr="00E71A36" w14:paraId="13B24CB7" w14:textId="77777777" w:rsidTr="00B60735">
        <w:trPr>
          <w:tblCellSpacing w:w="15" w:type="dxa"/>
        </w:trPr>
        <w:tc>
          <w:tcPr>
            <w:tcW w:w="0" w:type="auto"/>
            <w:vAlign w:val="center"/>
            <w:hideMark/>
          </w:tcPr>
          <w:p w14:paraId="1AB32A66" w14:textId="77777777" w:rsidR="00706D2C" w:rsidRPr="00E71A36" w:rsidRDefault="00706D2C" w:rsidP="008027C8">
            <w:pPr>
              <w:spacing w:line="360" w:lineRule="auto"/>
              <w:jc w:val="both"/>
              <w:rPr>
                <w:rFonts w:ascii="Garamond" w:hAnsi="Garamond"/>
              </w:rPr>
            </w:pPr>
            <w:r w:rsidRPr="00E71A36">
              <w:rPr>
                <w:rFonts w:ascii="Garamond" w:hAnsi="Garamond"/>
              </w:rPr>
              <w:t>Distance from Waste Site</w:t>
            </w:r>
          </w:p>
        </w:tc>
        <w:tc>
          <w:tcPr>
            <w:tcW w:w="0" w:type="auto"/>
            <w:vAlign w:val="center"/>
            <w:hideMark/>
          </w:tcPr>
          <w:p w14:paraId="666E3D7B" w14:textId="77777777" w:rsidR="00706D2C" w:rsidRPr="00E71A36" w:rsidRDefault="00706D2C" w:rsidP="008027C8">
            <w:pPr>
              <w:spacing w:line="360" w:lineRule="auto"/>
              <w:jc w:val="both"/>
              <w:rPr>
                <w:rFonts w:ascii="Garamond" w:hAnsi="Garamond"/>
              </w:rPr>
            </w:pPr>
            <w:r w:rsidRPr="00E71A36">
              <w:rPr>
                <w:rFonts w:ascii="Garamond" w:hAnsi="Garamond"/>
              </w:rPr>
              <w:t>-0.61</w:t>
            </w:r>
          </w:p>
        </w:tc>
        <w:tc>
          <w:tcPr>
            <w:tcW w:w="0" w:type="auto"/>
            <w:vAlign w:val="center"/>
            <w:hideMark/>
          </w:tcPr>
          <w:p w14:paraId="2E397AE4" w14:textId="77777777" w:rsidR="00706D2C" w:rsidRPr="00E71A36" w:rsidRDefault="00706D2C" w:rsidP="008027C8">
            <w:pPr>
              <w:spacing w:line="360" w:lineRule="auto"/>
              <w:jc w:val="both"/>
              <w:rPr>
                <w:rFonts w:ascii="Garamond" w:hAnsi="Garamond"/>
              </w:rPr>
            </w:pPr>
            <w:r w:rsidRPr="00E71A36">
              <w:rPr>
                <w:rFonts w:ascii="Garamond" w:hAnsi="Garamond"/>
              </w:rPr>
              <w:t>0.59</w:t>
            </w:r>
          </w:p>
        </w:tc>
        <w:tc>
          <w:tcPr>
            <w:tcW w:w="0" w:type="auto"/>
            <w:vAlign w:val="center"/>
            <w:hideMark/>
          </w:tcPr>
          <w:p w14:paraId="6E2C432F" w14:textId="77777777" w:rsidR="00706D2C" w:rsidRPr="00E71A36" w:rsidRDefault="00706D2C" w:rsidP="008027C8">
            <w:pPr>
              <w:spacing w:line="360" w:lineRule="auto"/>
              <w:jc w:val="both"/>
              <w:rPr>
                <w:rFonts w:ascii="Garamond" w:hAnsi="Garamond"/>
              </w:rPr>
            </w:pPr>
            <w:r w:rsidRPr="00E71A36">
              <w:rPr>
                <w:rFonts w:ascii="Garamond" w:hAnsi="Garamond"/>
              </w:rPr>
              <w:t>0.002</w:t>
            </w:r>
          </w:p>
        </w:tc>
        <w:tc>
          <w:tcPr>
            <w:tcW w:w="0" w:type="auto"/>
            <w:vAlign w:val="center"/>
            <w:hideMark/>
          </w:tcPr>
          <w:p w14:paraId="331A516B" w14:textId="77777777" w:rsidR="00706D2C" w:rsidRPr="00E71A36" w:rsidRDefault="00706D2C" w:rsidP="008027C8">
            <w:pPr>
              <w:spacing w:line="360" w:lineRule="auto"/>
              <w:jc w:val="both"/>
              <w:rPr>
                <w:rFonts w:ascii="Garamond" w:hAnsi="Garamond"/>
              </w:rPr>
            </w:pPr>
            <w:r w:rsidRPr="00E71A36">
              <w:rPr>
                <w:rFonts w:ascii="Garamond" w:hAnsi="Garamond"/>
              </w:rPr>
              <w:t>Greater distance from dumping or burning sites reduces environmental impact.</w:t>
            </w:r>
          </w:p>
        </w:tc>
      </w:tr>
      <w:tr w:rsidR="002F16B1" w:rsidRPr="00E71A36" w14:paraId="2F50AAD8" w14:textId="77777777" w:rsidTr="00B60735">
        <w:trPr>
          <w:tblCellSpacing w:w="15" w:type="dxa"/>
        </w:trPr>
        <w:tc>
          <w:tcPr>
            <w:tcW w:w="0" w:type="auto"/>
            <w:tcBorders>
              <w:bottom w:val="single" w:sz="4" w:space="0" w:color="auto"/>
            </w:tcBorders>
            <w:vAlign w:val="center"/>
            <w:hideMark/>
          </w:tcPr>
          <w:p w14:paraId="3A35CFF6" w14:textId="22FB8D01" w:rsidR="00706D2C" w:rsidRPr="00E71A36" w:rsidRDefault="00706D2C" w:rsidP="008027C8">
            <w:pPr>
              <w:spacing w:line="360" w:lineRule="auto"/>
              <w:jc w:val="both"/>
              <w:rPr>
                <w:rFonts w:ascii="Garamond" w:hAnsi="Garamond"/>
              </w:rPr>
            </w:pPr>
            <w:r w:rsidRPr="00E71A36">
              <w:rPr>
                <w:rFonts w:ascii="Garamond" w:hAnsi="Garamond"/>
              </w:rPr>
              <w:t>Collection Eficiency</w:t>
            </w:r>
          </w:p>
        </w:tc>
        <w:tc>
          <w:tcPr>
            <w:tcW w:w="0" w:type="auto"/>
            <w:tcBorders>
              <w:bottom w:val="single" w:sz="4" w:space="0" w:color="auto"/>
            </w:tcBorders>
            <w:vAlign w:val="center"/>
            <w:hideMark/>
          </w:tcPr>
          <w:p w14:paraId="3D77F525" w14:textId="77777777" w:rsidR="00706D2C" w:rsidRPr="00E71A36" w:rsidRDefault="00706D2C" w:rsidP="008027C8">
            <w:pPr>
              <w:spacing w:line="360" w:lineRule="auto"/>
              <w:jc w:val="both"/>
              <w:rPr>
                <w:rFonts w:ascii="Garamond" w:hAnsi="Garamond"/>
              </w:rPr>
            </w:pPr>
            <w:r w:rsidRPr="00E71A36">
              <w:rPr>
                <w:rFonts w:ascii="Garamond" w:hAnsi="Garamond"/>
              </w:rPr>
              <w:t>-0.48</w:t>
            </w:r>
          </w:p>
        </w:tc>
        <w:tc>
          <w:tcPr>
            <w:tcW w:w="0" w:type="auto"/>
            <w:tcBorders>
              <w:bottom w:val="single" w:sz="4" w:space="0" w:color="auto"/>
            </w:tcBorders>
            <w:vAlign w:val="center"/>
            <w:hideMark/>
          </w:tcPr>
          <w:p w14:paraId="3E04720B" w14:textId="77777777" w:rsidR="00706D2C" w:rsidRPr="00E71A36" w:rsidRDefault="00706D2C" w:rsidP="008027C8">
            <w:pPr>
              <w:spacing w:line="360" w:lineRule="auto"/>
              <w:jc w:val="both"/>
              <w:rPr>
                <w:rFonts w:ascii="Garamond" w:hAnsi="Garamond"/>
              </w:rPr>
            </w:pPr>
            <w:r w:rsidRPr="00E71A36">
              <w:rPr>
                <w:rFonts w:ascii="Garamond" w:hAnsi="Garamond"/>
              </w:rPr>
              <w:t>0.52</w:t>
            </w:r>
          </w:p>
        </w:tc>
        <w:tc>
          <w:tcPr>
            <w:tcW w:w="0" w:type="auto"/>
            <w:tcBorders>
              <w:bottom w:val="single" w:sz="4" w:space="0" w:color="auto"/>
            </w:tcBorders>
            <w:vAlign w:val="center"/>
            <w:hideMark/>
          </w:tcPr>
          <w:p w14:paraId="4B97F586" w14:textId="77777777" w:rsidR="00706D2C" w:rsidRPr="00E71A36" w:rsidRDefault="00706D2C" w:rsidP="008027C8">
            <w:pPr>
              <w:spacing w:line="360" w:lineRule="auto"/>
              <w:jc w:val="both"/>
              <w:rPr>
                <w:rFonts w:ascii="Garamond" w:hAnsi="Garamond"/>
              </w:rPr>
            </w:pPr>
            <w:r w:rsidRPr="00E71A36">
              <w:rPr>
                <w:rFonts w:ascii="Garamond" w:hAnsi="Garamond"/>
              </w:rPr>
              <w:t>0.006</w:t>
            </w:r>
          </w:p>
        </w:tc>
        <w:tc>
          <w:tcPr>
            <w:tcW w:w="0" w:type="auto"/>
            <w:tcBorders>
              <w:bottom w:val="single" w:sz="4" w:space="0" w:color="auto"/>
            </w:tcBorders>
            <w:vAlign w:val="center"/>
            <w:hideMark/>
          </w:tcPr>
          <w:p w14:paraId="1FB2F43E" w14:textId="77777777" w:rsidR="00706D2C" w:rsidRPr="00E71A36" w:rsidRDefault="00706D2C" w:rsidP="008027C8">
            <w:pPr>
              <w:spacing w:line="360" w:lineRule="auto"/>
              <w:jc w:val="both"/>
              <w:rPr>
                <w:rFonts w:ascii="Garamond" w:hAnsi="Garamond"/>
              </w:rPr>
            </w:pPr>
            <w:r w:rsidRPr="00E71A36">
              <w:rPr>
                <w:rFonts w:ascii="Garamond" w:hAnsi="Garamond"/>
              </w:rPr>
              <w:t>Efficient collection mitigates pollution in both air and water media.</w:t>
            </w:r>
          </w:p>
        </w:tc>
      </w:tr>
    </w:tbl>
    <w:p w14:paraId="1B98FE68" w14:textId="77777777" w:rsidR="0033650D" w:rsidRPr="00E71A36" w:rsidRDefault="0033650D" w:rsidP="008027C8">
      <w:pPr>
        <w:spacing w:line="360" w:lineRule="auto"/>
        <w:jc w:val="both"/>
        <w:rPr>
          <w:rFonts w:ascii="Garamond" w:hAnsi="Garamond"/>
        </w:rPr>
      </w:pPr>
    </w:p>
    <w:p w14:paraId="4C7D5D87" w14:textId="56DBD9DA" w:rsidR="00706D2C" w:rsidRPr="00E71A36" w:rsidRDefault="00706D2C" w:rsidP="008027C8">
      <w:pPr>
        <w:spacing w:line="360" w:lineRule="auto"/>
        <w:jc w:val="both"/>
        <w:rPr>
          <w:rFonts w:ascii="Garamond" w:hAnsi="Garamond"/>
        </w:rPr>
      </w:pPr>
      <w:r w:rsidRPr="00E71A36">
        <w:rPr>
          <w:rFonts w:ascii="Garamond" w:hAnsi="Garamond"/>
        </w:rPr>
        <w:t xml:space="preserve">The analysis </w:t>
      </w:r>
      <w:r w:rsidR="002E5751" w:rsidRPr="00E71A36">
        <w:rPr>
          <w:rFonts w:ascii="Garamond" w:hAnsi="Garamond"/>
        </w:rPr>
        <w:t xml:space="preserve">(Table 12) </w:t>
      </w:r>
      <w:r w:rsidRPr="00E71A36">
        <w:rPr>
          <w:rFonts w:ascii="Garamond" w:hAnsi="Garamond"/>
        </w:rPr>
        <w:t>indicates that poor waste management practices such as open dumping and inadequate collection strongly increase environmental degradation, while proper waste segregation and greater distance from waste sites reduce impact. The high R² values suggest that these variables explain a large proportion of the variation in environmental quality in the study area.</w:t>
      </w:r>
      <w:r w:rsidR="00FE3ED1" w:rsidRPr="00E71A36">
        <w:rPr>
          <w:rFonts w:ascii="Garamond" w:hAnsi="Garamond"/>
        </w:rPr>
        <w:t xml:space="preserve"> </w:t>
      </w:r>
      <w:r w:rsidRPr="00E71A36">
        <w:rPr>
          <w:rFonts w:ascii="Garamond" w:hAnsi="Garamond"/>
        </w:rPr>
        <w:t>The regression analyses confirm that waste management practices directly influence air quality, water quality, and overall environmental health in Nairobi City County. Particulate and gaseous pollutants are highest near burning and dumping sites, while water contamination increases near areas with poor collection and open dumping. These findings underscore the need for integrated waste management strategies including proper segregation, efficient collection, controlled disposal, and relocation of burning sites to reduce both air and water pollution in the city.</w:t>
      </w:r>
    </w:p>
    <w:p w14:paraId="0079D63E" w14:textId="322E260F" w:rsidR="00706D2C" w:rsidRPr="00E71A36" w:rsidRDefault="00706D2C" w:rsidP="008027C8">
      <w:pPr>
        <w:spacing w:line="360" w:lineRule="auto"/>
        <w:jc w:val="both"/>
        <w:rPr>
          <w:rFonts w:ascii="Garamond" w:hAnsi="Garamond"/>
        </w:rPr>
      </w:pPr>
      <w:bookmarkStart w:id="51" w:name="_Toc224480386"/>
      <w:r w:rsidRPr="00E71A36">
        <w:rPr>
          <w:rFonts w:ascii="Garamond" w:hAnsi="Garamond"/>
        </w:rPr>
        <w:t>4.</w:t>
      </w:r>
      <w:r w:rsidR="00006810" w:rsidRPr="00E71A36">
        <w:rPr>
          <w:rFonts w:ascii="Garamond" w:hAnsi="Garamond"/>
        </w:rPr>
        <w:t>4</w:t>
      </w:r>
      <w:r w:rsidRPr="00E71A36">
        <w:rPr>
          <w:rFonts w:ascii="Garamond" w:hAnsi="Garamond"/>
        </w:rPr>
        <w:t>.4</w:t>
      </w:r>
      <w:r w:rsidR="00006810" w:rsidRPr="00E71A36">
        <w:rPr>
          <w:rFonts w:ascii="Garamond" w:hAnsi="Garamond"/>
        </w:rPr>
        <w:t>.</w:t>
      </w:r>
      <w:r w:rsidRPr="00E71A36">
        <w:rPr>
          <w:rFonts w:ascii="Garamond" w:hAnsi="Garamond"/>
        </w:rPr>
        <w:t xml:space="preserve"> Regression Model for Environmental Impact</w:t>
      </w:r>
      <w:bookmarkEnd w:id="51"/>
    </w:p>
    <w:p w14:paraId="5D1CC5F7" w14:textId="77777777" w:rsidR="00706D2C" w:rsidRPr="00E71A36" w:rsidRDefault="00706D2C" w:rsidP="008027C8">
      <w:pPr>
        <w:spacing w:line="360" w:lineRule="auto"/>
        <w:jc w:val="both"/>
        <w:rPr>
          <w:rFonts w:ascii="Garamond" w:hAnsi="Garamond"/>
        </w:rPr>
      </w:pPr>
      <w:r w:rsidRPr="00E71A36">
        <w:rPr>
          <w:rFonts w:ascii="Garamond" w:hAnsi="Garamond"/>
        </w:rPr>
        <w:t>A multiple linear regression model was used to examine the relationship between environmental impact (dependent variable) and several predictor variables related to waste management practices and pollutant exposure in Nairobi City County. The model can be expressed as:</w:t>
      </w:r>
    </w:p>
    <w:p w14:paraId="33E36C79" w14:textId="5C8E032D" w:rsidR="00706D2C" w:rsidRPr="00E71A36" w:rsidRDefault="00706D2C" w:rsidP="008027C8">
      <w:pPr>
        <w:spacing w:line="360" w:lineRule="auto"/>
        <w:jc w:val="both"/>
        <w:rPr>
          <w:rFonts w:ascii="Garamond" w:hAnsi="Garamond"/>
        </w:rPr>
      </w:pPr>
      <w:r w:rsidRPr="00E71A36">
        <w:rPr>
          <w:rFonts w:ascii="Garamond" w:hAnsi="Garamond"/>
        </w:rPr>
        <w:lastRenderedPageBreak/>
        <w:t>[\text{EII} = \beta_0 + \beta_1(\text {Waste Segregation}) + \beta_2(\text {Open Dumping Frequency}) + \beta_3(\text {Distance from Waste Site}) + \beta_4(\text {Collection Efficiency}) + \</w:t>
      </w:r>
      <w:r w:rsidR="004F31BF" w:rsidRPr="00E71A36">
        <w:rPr>
          <w:rFonts w:ascii="Garamond" w:hAnsi="Garamond"/>
        </w:rPr>
        <w:t>epsilon]</w:t>
      </w:r>
    </w:p>
    <w:p w14:paraId="36C537CC" w14:textId="77777777" w:rsidR="00706D2C" w:rsidRPr="00E71A36" w:rsidRDefault="00706D2C" w:rsidP="008027C8">
      <w:pPr>
        <w:spacing w:line="360" w:lineRule="auto"/>
        <w:jc w:val="both"/>
        <w:rPr>
          <w:rFonts w:ascii="Garamond" w:hAnsi="Garamond"/>
        </w:rPr>
      </w:pPr>
      <w:r w:rsidRPr="00E71A36">
        <w:rPr>
          <w:rFonts w:ascii="Garamond" w:hAnsi="Garamond"/>
        </w:rPr>
        <w:t>Where: EII = Environmental Impact Index (composite of air and water quality parameters)</w:t>
      </w:r>
    </w:p>
    <w:p w14:paraId="46FA5EC8" w14:textId="77777777" w:rsidR="00706D2C" w:rsidRPr="00E71A36" w:rsidRDefault="00706D2C" w:rsidP="008027C8">
      <w:pPr>
        <w:spacing w:line="360" w:lineRule="auto"/>
        <w:jc w:val="both"/>
        <w:rPr>
          <w:rFonts w:ascii="Garamond" w:hAnsi="Garamond"/>
        </w:rPr>
      </w:pPr>
      <w:r w:rsidRPr="00E71A36">
        <w:rPr>
          <w:rFonts w:ascii="Garamond" w:hAnsi="Garamond"/>
        </w:rPr>
        <w:t>β</w:t>
      </w:r>
      <w:r w:rsidRPr="00E71A36">
        <w:rPr>
          <w:rFonts w:ascii="Cambria Math" w:hAnsi="Cambria Math" w:cs="Cambria Math"/>
        </w:rPr>
        <w:t>₀</w:t>
      </w:r>
      <w:r w:rsidRPr="00E71A36">
        <w:rPr>
          <w:rFonts w:ascii="Garamond" w:hAnsi="Garamond"/>
        </w:rPr>
        <w:t xml:space="preserve"> = Intercept (baseline environmental impact when predictors are zero). β</w:t>
      </w:r>
      <w:r w:rsidRPr="00E71A36">
        <w:rPr>
          <w:rFonts w:ascii="Cambria Math" w:hAnsi="Cambria Math" w:cs="Cambria Math"/>
        </w:rPr>
        <w:t>₁</w:t>
      </w:r>
      <w:r w:rsidRPr="00E71A36">
        <w:rPr>
          <w:rFonts w:ascii="Garamond" w:hAnsi="Garamond" w:cs="Garamond"/>
        </w:rPr>
        <w:t>–β</w:t>
      </w:r>
      <w:r w:rsidRPr="00E71A36">
        <w:rPr>
          <w:rFonts w:ascii="Cambria Math" w:hAnsi="Cambria Math" w:cs="Cambria Math"/>
        </w:rPr>
        <w:t>₄</w:t>
      </w:r>
      <w:r w:rsidRPr="00E71A36">
        <w:rPr>
          <w:rFonts w:ascii="Garamond" w:hAnsi="Garamond"/>
        </w:rPr>
        <w:t xml:space="preserve"> = Regression coefficients representing the change in EII for a unit change in each predictor</w:t>
      </w:r>
    </w:p>
    <w:p w14:paraId="0E12F80D" w14:textId="77777777" w:rsidR="00706D2C" w:rsidRPr="00E71A36" w:rsidRDefault="00706D2C" w:rsidP="008027C8">
      <w:pPr>
        <w:spacing w:line="360" w:lineRule="auto"/>
        <w:jc w:val="both"/>
        <w:rPr>
          <w:rFonts w:ascii="Garamond" w:hAnsi="Garamond"/>
        </w:rPr>
      </w:pPr>
      <w:r w:rsidRPr="00E71A36">
        <w:rPr>
          <w:rFonts w:ascii="Garamond" w:hAnsi="Garamond"/>
        </w:rPr>
        <w:t>ε = Error term</w:t>
      </w:r>
    </w:p>
    <w:p w14:paraId="08C2B297" w14:textId="112BD35B" w:rsidR="00706D2C" w:rsidRPr="00E71A36" w:rsidRDefault="00706D2C" w:rsidP="008027C8">
      <w:pPr>
        <w:spacing w:line="360" w:lineRule="auto"/>
        <w:jc w:val="both"/>
        <w:rPr>
          <w:rFonts w:ascii="Garamond" w:hAnsi="Garamond"/>
          <w:b/>
        </w:rPr>
      </w:pPr>
      <w:bookmarkStart w:id="52" w:name="_Toc224480943"/>
      <w:r w:rsidRPr="00E71A36">
        <w:rPr>
          <w:rFonts w:ascii="Garamond" w:hAnsi="Garamond"/>
          <w:b/>
        </w:rPr>
        <w:t xml:space="preserve">Table </w:t>
      </w:r>
      <w:r w:rsidR="00A73801" w:rsidRPr="00E71A36">
        <w:rPr>
          <w:rFonts w:ascii="Garamond" w:hAnsi="Garamond"/>
          <w:b/>
        </w:rPr>
        <w:t>13</w:t>
      </w:r>
      <w:r w:rsidR="005904C7" w:rsidRPr="00E71A36">
        <w:rPr>
          <w:rFonts w:ascii="Garamond" w:hAnsi="Garamond"/>
          <w:b/>
        </w:rPr>
        <w:t>.</w:t>
      </w:r>
      <w:r w:rsidRPr="00E71A36">
        <w:rPr>
          <w:rFonts w:ascii="Garamond" w:hAnsi="Garamond"/>
          <w:b/>
        </w:rPr>
        <w:t xml:space="preserve"> Regression Coefficients and Interpretation</w:t>
      </w:r>
      <w:bookmarkEnd w:id="5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8"/>
        <w:gridCol w:w="1180"/>
        <w:gridCol w:w="1042"/>
        <w:gridCol w:w="583"/>
        <w:gridCol w:w="611"/>
        <w:gridCol w:w="4396"/>
      </w:tblGrid>
      <w:tr w:rsidR="00706D2C" w:rsidRPr="00E71A36" w14:paraId="7C9DD181" w14:textId="77777777" w:rsidTr="00B60735">
        <w:trPr>
          <w:tblHeader/>
          <w:tblCellSpacing w:w="15" w:type="dxa"/>
        </w:trPr>
        <w:tc>
          <w:tcPr>
            <w:tcW w:w="0" w:type="auto"/>
            <w:tcBorders>
              <w:top w:val="single" w:sz="4" w:space="0" w:color="auto"/>
              <w:bottom w:val="single" w:sz="4" w:space="0" w:color="auto"/>
            </w:tcBorders>
            <w:vAlign w:val="center"/>
            <w:hideMark/>
          </w:tcPr>
          <w:p w14:paraId="3049F03F" w14:textId="77777777" w:rsidR="00706D2C" w:rsidRPr="00E71A36" w:rsidRDefault="00706D2C" w:rsidP="008027C8">
            <w:pPr>
              <w:spacing w:line="360" w:lineRule="auto"/>
              <w:jc w:val="both"/>
              <w:rPr>
                <w:rFonts w:ascii="Garamond" w:hAnsi="Garamond"/>
              </w:rPr>
            </w:pPr>
            <w:r w:rsidRPr="00E71A36">
              <w:rPr>
                <w:rFonts w:ascii="Garamond" w:hAnsi="Garamond"/>
              </w:rPr>
              <w:t>Predictor Variable</w:t>
            </w:r>
          </w:p>
        </w:tc>
        <w:tc>
          <w:tcPr>
            <w:tcW w:w="0" w:type="auto"/>
            <w:tcBorders>
              <w:top w:val="single" w:sz="4" w:space="0" w:color="auto"/>
              <w:bottom w:val="single" w:sz="4" w:space="0" w:color="auto"/>
            </w:tcBorders>
            <w:vAlign w:val="center"/>
            <w:hideMark/>
          </w:tcPr>
          <w:p w14:paraId="1F926CDE" w14:textId="77777777" w:rsidR="00706D2C" w:rsidRPr="00E71A36" w:rsidRDefault="00706D2C" w:rsidP="008027C8">
            <w:pPr>
              <w:spacing w:line="360" w:lineRule="auto"/>
              <w:jc w:val="both"/>
              <w:rPr>
                <w:rFonts w:ascii="Garamond" w:hAnsi="Garamond"/>
              </w:rPr>
            </w:pPr>
            <w:r w:rsidRPr="00E71A36">
              <w:rPr>
                <w:rFonts w:ascii="Garamond" w:hAnsi="Garamond"/>
              </w:rPr>
              <w:t>Coefficient (β)</w:t>
            </w:r>
          </w:p>
        </w:tc>
        <w:tc>
          <w:tcPr>
            <w:tcW w:w="0" w:type="auto"/>
            <w:tcBorders>
              <w:top w:val="single" w:sz="4" w:space="0" w:color="auto"/>
              <w:bottom w:val="single" w:sz="4" w:space="0" w:color="auto"/>
            </w:tcBorders>
            <w:vAlign w:val="center"/>
            <w:hideMark/>
          </w:tcPr>
          <w:p w14:paraId="4F673B2B" w14:textId="77777777" w:rsidR="00706D2C" w:rsidRPr="00E71A36" w:rsidRDefault="00706D2C" w:rsidP="008027C8">
            <w:pPr>
              <w:spacing w:line="360" w:lineRule="auto"/>
              <w:jc w:val="both"/>
              <w:rPr>
                <w:rFonts w:ascii="Garamond" w:hAnsi="Garamond"/>
              </w:rPr>
            </w:pPr>
            <w:r w:rsidRPr="00E71A36">
              <w:rPr>
                <w:rFonts w:ascii="Garamond" w:hAnsi="Garamond"/>
              </w:rPr>
              <w:t>Standard Error</w:t>
            </w:r>
          </w:p>
        </w:tc>
        <w:tc>
          <w:tcPr>
            <w:tcW w:w="0" w:type="auto"/>
            <w:tcBorders>
              <w:top w:val="single" w:sz="4" w:space="0" w:color="auto"/>
              <w:bottom w:val="single" w:sz="4" w:space="0" w:color="auto"/>
            </w:tcBorders>
            <w:vAlign w:val="center"/>
            <w:hideMark/>
          </w:tcPr>
          <w:p w14:paraId="4655B524" w14:textId="77777777" w:rsidR="00706D2C" w:rsidRPr="00E71A36" w:rsidRDefault="00706D2C" w:rsidP="008027C8">
            <w:pPr>
              <w:spacing w:line="360" w:lineRule="auto"/>
              <w:jc w:val="both"/>
              <w:rPr>
                <w:rFonts w:ascii="Garamond" w:hAnsi="Garamond"/>
              </w:rPr>
            </w:pPr>
            <w:r w:rsidRPr="00E71A36">
              <w:rPr>
                <w:rFonts w:ascii="Garamond" w:hAnsi="Garamond"/>
              </w:rPr>
              <w:t>t-value</w:t>
            </w:r>
          </w:p>
        </w:tc>
        <w:tc>
          <w:tcPr>
            <w:tcW w:w="0" w:type="auto"/>
            <w:tcBorders>
              <w:top w:val="single" w:sz="4" w:space="0" w:color="auto"/>
              <w:bottom w:val="single" w:sz="4" w:space="0" w:color="auto"/>
            </w:tcBorders>
            <w:vAlign w:val="center"/>
            <w:hideMark/>
          </w:tcPr>
          <w:p w14:paraId="6112FBB8" w14:textId="77777777" w:rsidR="00706D2C" w:rsidRPr="00E71A36" w:rsidRDefault="00706D2C" w:rsidP="008027C8">
            <w:pPr>
              <w:spacing w:line="360" w:lineRule="auto"/>
              <w:jc w:val="both"/>
              <w:rPr>
                <w:rFonts w:ascii="Garamond" w:hAnsi="Garamond"/>
              </w:rPr>
            </w:pPr>
            <w:r w:rsidRPr="00E71A36">
              <w:rPr>
                <w:rFonts w:ascii="Garamond" w:hAnsi="Garamond"/>
              </w:rPr>
              <w:t>p-value</w:t>
            </w:r>
          </w:p>
        </w:tc>
        <w:tc>
          <w:tcPr>
            <w:tcW w:w="0" w:type="auto"/>
            <w:tcBorders>
              <w:top w:val="single" w:sz="4" w:space="0" w:color="auto"/>
              <w:bottom w:val="single" w:sz="4" w:space="0" w:color="auto"/>
            </w:tcBorders>
            <w:vAlign w:val="center"/>
            <w:hideMark/>
          </w:tcPr>
          <w:p w14:paraId="304FB349" w14:textId="77777777" w:rsidR="00706D2C" w:rsidRPr="00E71A36" w:rsidRDefault="00706D2C" w:rsidP="008027C8">
            <w:pPr>
              <w:spacing w:line="360" w:lineRule="auto"/>
              <w:jc w:val="both"/>
              <w:rPr>
                <w:rFonts w:ascii="Garamond" w:hAnsi="Garamond"/>
              </w:rPr>
            </w:pPr>
            <w:r w:rsidRPr="00E71A36">
              <w:rPr>
                <w:rFonts w:ascii="Garamond" w:hAnsi="Garamond"/>
              </w:rPr>
              <w:t>Interpretation</w:t>
            </w:r>
          </w:p>
        </w:tc>
      </w:tr>
      <w:tr w:rsidR="00706D2C" w:rsidRPr="00E71A36" w14:paraId="34E381B1" w14:textId="77777777" w:rsidTr="00B60735">
        <w:trPr>
          <w:tblCellSpacing w:w="15" w:type="dxa"/>
        </w:trPr>
        <w:tc>
          <w:tcPr>
            <w:tcW w:w="0" w:type="auto"/>
            <w:vAlign w:val="center"/>
            <w:hideMark/>
          </w:tcPr>
          <w:p w14:paraId="4D7B47D6" w14:textId="77777777" w:rsidR="00706D2C" w:rsidRPr="00E71A36" w:rsidRDefault="00706D2C" w:rsidP="008027C8">
            <w:pPr>
              <w:spacing w:line="360" w:lineRule="auto"/>
              <w:jc w:val="both"/>
              <w:rPr>
                <w:rFonts w:ascii="Garamond" w:hAnsi="Garamond"/>
              </w:rPr>
            </w:pPr>
            <w:r w:rsidRPr="00E71A36">
              <w:rPr>
                <w:rFonts w:ascii="Garamond" w:hAnsi="Garamond"/>
              </w:rPr>
              <w:t>Intercept (β</w:t>
            </w:r>
            <w:r w:rsidRPr="00E71A36">
              <w:rPr>
                <w:rFonts w:ascii="Cambria Math" w:hAnsi="Cambria Math" w:cs="Cambria Math"/>
              </w:rPr>
              <w:t>₀</w:t>
            </w:r>
            <w:r w:rsidRPr="00E71A36">
              <w:rPr>
                <w:rFonts w:ascii="Garamond" w:hAnsi="Garamond"/>
              </w:rPr>
              <w:t>)</w:t>
            </w:r>
          </w:p>
        </w:tc>
        <w:tc>
          <w:tcPr>
            <w:tcW w:w="0" w:type="auto"/>
            <w:vAlign w:val="center"/>
            <w:hideMark/>
          </w:tcPr>
          <w:p w14:paraId="0D7FADE5" w14:textId="77777777" w:rsidR="00706D2C" w:rsidRPr="00E71A36" w:rsidRDefault="00706D2C" w:rsidP="008027C8">
            <w:pPr>
              <w:spacing w:line="360" w:lineRule="auto"/>
              <w:jc w:val="both"/>
              <w:rPr>
                <w:rFonts w:ascii="Garamond" w:hAnsi="Garamond"/>
              </w:rPr>
            </w:pPr>
            <w:r w:rsidRPr="00E71A36">
              <w:rPr>
                <w:rFonts w:ascii="Garamond" w:hAnsi="Garamond"/>
              </w:rPr>
              <w:t>1.12</w:t>
            </w:r>
          </w:p>
        </w:tc>
        <w:tc>
          <w:tcPr>
            <w:tcW w:w="0" w:type="auto"/>
            <w:vAlign w:val="center"/>
            <w:hideMark/>
          </w:tcPr>
          <w:p w14:paraId="763ED2CD" w14:textId="77777777" w:rsidR="00706D2C" w:rsidRPr="00E71A36" w:rsidRDefault="00706D2C" w:rsidP="008027C8">
            <w:pPr>
              <w:spacing w:line="360" w:lineRule="auto"/>
              <w:jc w:val="both"/>
              <w:rPr>
                <w:rFonts w:ascii="Garamond" w:hAnsi="Garamond"/>
              </w:rPr>
            </w:pPr>
            <w:r w:rsidRPr="00E71A36">
              <w:rPr>
                <w:rFonts w:ascii="Garamond" w:hAnsi="Garamond"/>
              </w:rPr>
              <w:t>0.28</w:t>
            </w:r>
          </w:p>
        </w:tc>
        <w:tc>
          <w:tcPr>
            <w:tcW w:w="0" w:type="auto"/>
            <w:vAlign w:val="center"/>
            <w:hideMark/>
          </w:tcPr>
          <w:p w14:paraId="6329ED8B" w14:textId="77777777" w:rsidR="00706D2C" w:rsidRPr="00E71A36" w:rsidRDefault="00706D2C" w:rsidP="008027C8">
            <w:pPr>
              <w:spacing w:line="360" w:lineRule="auto"/>
              <w:jc w:val="both"/>
              <w:rPr>
                <w:rFonts w:ascii="Garamond" w:hAnsi="Garamond"/>
              </w:rPr>
            </w:pPr>
            <w:r w:rsidRPr="00E71A36">
              <w:rPr>
                <w:rFonts w:ascii="Garamond" w:hAnsi="Garamond"/>
              </w:rPr>
              <w:t>4.00</w:t>
            </w:r>
          </w:p>
        </w:tc>
        <w:tc>
          <w:tcPr>
            <w:tcW w:w="0" w:type="auto"/>
            <w:vAlign w:val="center"/>
            <w:hideMark/>
          </w:tcPr>
          <w:p w14:paraId="5A8ADD10" w14:textId="77777777" w:rsidR="00706D2C" w:rsidRPr="00E71A36" w:rsidRDefault="00706D2C" w:rsidP="008027C8">
            <w:pPr>
              <w:spacing w:line="360" w:lineRule="auto"/>
              <w:jc w:val="both"/>
              <w:rPr>
                <w:rFonts w:ascii="Garamond" w:hAnsi="Garamond"/>
              </w:rPr>
            </w:pPr>
            <w:r w:rsidRPr="00E71A36">
              <w:rPr>
                <w:rFonts w:ascii="Garamond" w:hAnsi="Garamond"/>
              </w:rPr>
              <w:t>0.001</w:t>
            </w:r>
          </w:p>
        </w:tc>
        <w:tc>
          <w:tcPr>
            <w:tcW w:w="0" w:type="auto"/>
            <w:vAlign w:val="center"/>
            <w:hideMark/>
          </w:tcPr>
          <w:p w14:paraId="1C4F9A69" w14:textId="77777777" w:rsidR="00706D2C" w:rsidRPr="00E71A36" w:rsidRDefault="00706D2C" w:rsidP="008027C8">
            <w:pPr>
              <w:spacing w:line="360" w:lineRule="auto"/>
              <w:jc w:val="both"/>
              <w:rPr>
                <w:rFonts w:ascii="Garamond" w:hAnsi="Garamond"/>
              </w:rPr>
            </w:pPr>
            <w:r w:rsidRPr="00E71A36">
              <w:rPr>
                <w:rFonts w:ascii="Garamond" w:hAnsi="Garamond"/>
              </w:rPr>
              <w:t>Baseline environmental impact when all predictors are zero.</w:t>
            </w:r>
          </w:p>
        </w:tc>
      </w:tr>
      <w:tr w:rsidR="00706D2C" w:rsidRPr="00E71A36" w14:paraId="0EB2C56E" w14:textId="77777777" w:rsidTr="00B60735">
        <w:trPr>
          <w:tblCellSpacing w:w="15" w:type="dxa"/>
        </w:trPr>
        <w:tc>
          <w:tcPr>
            <w:tcW w:w="0" w:type="auto"/>
            <w:vAlign w:val="center"/>
            <w:hideMark/>
          </w:tcPr>
          <w:p w14:paraId="16F32B16" w14:textId="77777777" w:rsidR="00706D2C" w:rsidRPr="00E71A36" w:rsidRDefault="00706D2C" w:rsidP="008027C8">
            <w:pPr>
              <w:spacing w:line="360" w:lineRule="auto"/>
              <w:jc w:val="both"/>
              <w:rPr>
                <w:rFonts w:ascii="Garamond" w:hAnsi="Garamond"/>
              </w:rPr>
            </w:pPr>
            <w:r w:rsidRPr="00E71A36">
              <w:rPr>
                <w:rFonts w:ascii="Garamond" w:hAnsi="Garamond"/>
              </w:rPr>
              <w:t>Waste Segregation</w:t>
            </w:r>
          </w:p>
        </w:tc>
        <w:tc>
          <w:tcPr>
            <w:tcW w:w="0" w:type="auto"/>
            <w:vAlign w:val="center"/>
            <w:hideMark/>
          </w:tcPr>
          <w:p w14:paraId="09C89EEC" w14:textId="77777777" w:rsidR="00706D2C" w:rsidRPr="00E71A36" w:rsidRDefault="00706D2C" w:rsidP="008027C8">
            <w:pPr>
              <w:spacing w:line="360" w:lineRule="auto"/>
              <w:jc w:val="both"/>
              <w:rPr>
                <w:rFonts w:ascii="Garamond" w:hAnsi="Garamond"/>
              </w:rPr>
            </w:pPr>
            <w:r w:rsidRPr="00E71A36">
              <w:rPr>
                <w:rFonts w:ascii="Garamond" w:hAnsi="Garamond"/>
              </w:rPr>
              <w:t>-0.52</w:t>
            </w:r>
          </w:p>
        </w:tc>
        <w:tc>
          <w:tcPr>
            <w:tcW w:w="0" w:type="auto"/>
            <w:vAlign w:val="center"/>
            <w:hideMark/>
          </w:tcPr>
          <w:p w14:paraId="7085727D" w14:textId="77777777" w:rsidR="00706D2C" w:rsidRPr="00E71A36" w:rsidRDefault="00706D2C" w:rsidP="008027C8">
            <w:pPr>
              <w:spacing w:line="360" w:lineRule="auto"/>
              <w:jc w:val="both"/>
              <w:rPr>
                <w:rFonts w:ascii="Garamond" w:hAnsi="Garamond"/>
              </w:rPr>
            </w:pPr>
            <w:r w:rsidRPr="00E71A36">
              <w:rPr>
                <w:rFonts w:ascii="Garamond" w:hAnsi="Garamond"/>
              </w:rPr>
              <w:t>0.12</w:t>
            </w:r>
          </w:p>
        </w:tc>
        <w:tc>
          <w:tcPr>
            <w:tcW w:w="0" w:type="auto"/>
            <w:vAlign w:val="center"/>
            <w:hideMark/>
          </w:tcPr>
          <w:p w14:paraId="4A860C70" w14:textId="77777777" w:rsidR="00706D2C" w:rsidRPr="00E71A36" w:rsidRDefault="00706D2C" w:rsidP="008027C8">
            <w:pPr>
              <w:spacing w:line="360" w:lineRule="auto"/>
              <w:jc w:val="both"/>
              <w:rPr>
                <w:rFonts w:ascii="Garamond" w:hAnsi="Garamond"/>
              </w:rPr>
            </w:pPr>
            <w:r w:rsidRPr="00E71A36">
              <w:rPr>
                <w:rFonts w:ascii="Garamond" w:hAnsi="Garamond"/>
              </w:rPr>
              <w:t>-4.33</w:t>
            </w:r>
          </w:p>
        </w:tc>
        <w:tc>
          <w:tcPr>
            <w:tcW w:w="0" w:type="auto"/>
            <w:vAlign w:val="center"/>
            <w:hideMark/>
          </w:tcPr>
          <w:p w14:paraId="1397F53D" w14:textId="77777777" w:rsidR="00706D2C" w:rsidRPr="00E71A36" w:rsidRDefault="00706D2C" w:rsidP="008027C8">
            <w:pPr>
              <w:spacing w:line="360" w:lineRule="auto"/>
              <w:jc w:val="both"/>
              <w:rPr>
                <w:rFonts w:ascii="Garamond" w:hAnsi="Garamond"/>
              </w:rPr>
            </w:pPr>
            <w:r w:rsidRPr="00E71A36">
              <w:rPr>
                <w:rFonts w:ascii="Garamond" w:hAnsi="Garamond"/>
              </w:rPr>
              <w:t>0.001</w:t>
            </w:r>
          </w:p>
        </w:tc>
        <w:tc>
          <w:tcPr>
            <w:tcW w:w="0" w:type="auto"/>
            <w:vAlign w:val="center"/>
            <w:hideMark/>
          </w:tcPr>
          <w:p w14:paraId="47A7E2C0" w14:textId="77777777" w:rsidR="00706D2C" w:rsidRPr="00E71A36" w:rsidRDefault="00706D2C" w:rsidP="008027C8">
            <w:pPr>
              <w:spacing w:line="360" w:lineRule="auto"/>
              <w:jc w:val="both"/>
              <w:rPr>
                <w:rFonts w:ascii="Garamond" w:hAnsi="Garamond"/>
              </w:rPr>
            </w:pPr>
            <w:r w:rsidRPr="00E71A36">
              <w:rPr>
                <w:rFonts w:ascii="Garamond" w:hAnsi="Garamond"/>
              </w:rPr>
              <w:t>For every unit increase in waste segregation practices, environmental impact decreases by 0.52 units, holding other factors constant.</w:t>
            </w:r>
          </w:p>
        </w:tc>
      </w:tr>
      <w:tr w:rsidR="00706D2C" w:rsidRPr="00E71A36" w14:paraId="0AAC9104" w14:textId="77777777" w:rsidTr="00B60735">
        <w:trPr>
          <w:tblCellSpacing w:w="15" w:type="dxa"/>
        </w:trPr>
        <w:tc>
          <w:tcPr>
            <w:tcW w:w="0" w:type="auto"/>
            <w:vAlign w:val="center"/>
            <w:hideMark/>
          </w:tcPr>
          <w:p w14:paraId="7B4CD317" w14:textId="77777777" w:rsidR="00706D2C" w:rsidRPr="00E71A36" w:rsidRDefault="00706D2C" w:rsidP="008027C8">
            <w:pPr>
              <w:spacing w:line="360" w:lineRule="auto"/>
              <w:jc w:val="both"/>
              <w:rPr>
                <w:rFonts w:ascii="Garamond" w:hAnsi="Garamond"/>
              </w:rPr>
            </w:pPr>
            <w:r w:rsidRPr="00E71A36">
              <w:rPr>
                <w:rFonts w:ascii="Garamond" w:hAnsi="Garamond"/>
              </w:rPr>
              <w:t>Open Dumping Frequency</w:t>
            </w:r>
          </w:p>
        </w:tc>
        <w:tc>
          <w:tcPr>
            <w:tcW w:w="0" w:type="auto"/>
            <w:vAlign w:val="center"/>
            <w:hideMark/>
          </w:tcPr>
          <w:p w14:paraId="4D4B1A28" w14:textId="77777777" w:rsidR="00706D2C" w:rsidRPr="00E71A36" w:rsidRDefault="00706D2C" w:rsidP="008027C8">
            <w:pPr>
              <w:spacing w:line="360" w:lineRule="auto"/>
              <w:jc w:val="both"/>
              <w:rPr>
                <w:rFonts w:ascii="Garamond" w:hAnsi="Garamond"/>
              </w:rPr>
            </w:pPr>
            <w:r w:rsidRPr="00E71A36">
              <w:rPr>
                <w:rFonts w:ascii="Garamond" w:hAnsi="Garamond"/>
              </w:rPr>
              <w:t>0.74</w:t>
            </w:r>
          </w:p>
        </w:tc>
        <w:tc>
          <w:tcPr>
            <w:tcW w:w="0" w:type="auto"/>
            <w:vAlign w:val="center"/>
            <w:hideMark/>
          </w:tcPr>
          <w:p w14:paraId="553753A9" w14:textId="77777777" w:rsidR="00706D2C" w:rsidRPr="00E71A36" w:rsidRDefault="00706D2C" w:rsidP="008027C8">
            <w:pPr>
              <w:spacing w:line="360" w:lineRule="auto"/>
              <w:jc w:val="both"/>
              <w:rPr>
                <w:rFonts w:ascii="Garamond" w:hAnsi="Garamond"/>
              </w:rPr>
            </w:pPr>
            <w:r w:rsidRPr="00E71A36">
              <w:rPr>
                <w:rFonts w:ascii="Garamond" w:hAnsi="Garamond"/>
              </w:rPr>
              <w:t>0.15</w:t>
            </w:r>
          </w:p>
        </w:tc>
        <w:tc>
          <w:tcPr>
            <w:tcW w:w="0" w:type="auto"/>
            <w:vAlign w:val="center"/>
            <w:hideMark/>
          </w:tcPr>
          <w:p w14:paraId="46916026" w14:textId="77777777" w:rsidR="00706D2C" w:rsidRPr="00E71A36" w:rsidRDefault="00706D2C" w:rsidP="008027C8">
            <w:pPr>
              <w:spacing w:line="360" w:lineRule="auto"/>
              <w:jc w:val="both"/>
              <w:rPr>
                <w:rFonts w:ascii="Garamond" w:hAnsi="Garamond"/>
              </w:rPr>
            </w:pPr>
            <w:r w:rsidRPr="00E71A36">
              <w:rPr>
                <w:rFonts w:ascii="Garamond" w:hAnsi="Garamond"/>
              </w:rPr>
              <w:t>4.93</w:t>
            </w:r>
          </w:p>
        </w:tc>
        <w:tc>
          <w:tcPr>
            <w:tcW w:w="0" w:type="auto"/>
            <w:vAlign w:val="center"/>
            <w:hideMark/>
          </w:tcPr>
          <w:p w14:paraId="52225EE8" w14:textId="77777777" w:rsidR="00706D2C" w:rsidRPr="00E71A36" w:rsidRDefault="00706D2C" w:rsidP="008027C8">
            <w:pPr>
              <w:spacing w:line="360" w:lineRule="auto"/>
              <w:jc w:val="both"/>
              <w:rPr>
                <w:rFonts w:ascii="Garamond" w:hAnsi="Garamond"/>
              </w:rPr>
            </w:pPr>
            <w:r w:rsidRPr="00E71A36">
              <w:rPr>
                <w:rFonts w:ascii="Garamond" w:hAnsi="Garamond"/>
              </w:rPr>
              <w:t>0.000</w:t>
            </w:r>
          </w:p>
        </w:tc>
        <w:tc>
          <w:tcPr>
            <w:tcW w:w="0" w:type="auto"/>
            <w:vAlign w:val="center"/>
            <w:hideMark/>
          </w:tcPr>
          <w:p w14:paraId="0B9FC09A" w14:textId="77777777" w:rsidR="00706D2C" w:rsidRPr="00E71A36" w:rsidRDefault="00706D2C" w:rsidP="008027C8">
            <w:pPr>
              <w:spacing w:line="360" w:lineRule="auto"/>
              <w:jc w:val="both"/>
              <w:rPr>
                <w:rFonts w:ascii="Garamond" w:hAnsi="Garamond"/>
              </w:rPr>
            </w:pPr>
            <w:r w:rsidRPr="00E71A36">
              <w:rPr>
                <w:rFonts w:ascii="Garamond" w:hAnsi="Garamond"/>
              </w:rPr>
              <w:t>Each unit increase in open dumping frequency increases environmental impact by 0.74 units.</w:t>
            </w:r>
          </w:p>
        </w:tc>
      </w:tr>
      <w:tr w:rsidR="00706D2C" w:rsidRPr="00E71A36" w14:paraId="01B8136D" w14:textId="77777777" w:rsidTr="00B60735">
        <w:trPr>
          <w:tblCellSpacing w:w="15" w:type="dxa"/>
        </w:trPr>
        <w:tc>
          <w:tcPr>
            <w:tcW w:w="0" w:type="auto"/>
            <w:vAlign w:val="center"/>
            <w:hideMark/>
          </w:tcPr>
          <w:p w14:paraId="1943FB5B" w14:textId="77777777" w:rsidR="00706D2C" w:rsidRPr="00E71A36" w:rsidRDefault="00706D2C" w:rsidP="008027C8">
            <w:pPr>
              <w:spacing w:line="360" w:lineRule="auto"/>
              <w:jc w:val="both"/>
              <w:rPr>
                <w:rFonts w:ascii="Garamond" w:hAnsi="Garamond"/>
              </w:rPr>
            </w:pPr>
            <w:r w:rsidRPr="00E71A36">
              <w:rPr>
                <w:rFonts w:ascii="Garamond" w:hAnsi="Garamond"/>
              </w:rPr>
              <w:t>Distance from Waste Site</w:t>
            </w:r>
          </w:p>
        </w:tc>
        <w:tc>
          <w:tcPr>
            <w:tcW w:w="0" w:type="auto"/>
            <w:vAlign w:val="center"/>
            <w:hideMark/>
          </w:tcPr>
          <w:p w14:paraId="600E8EAD" w14:textId="77777777" w:rsidR="00706D2C" w:rsidRPr="00E71A36" w:rsidRDefault="00706D2C" w:rsidP="008027C8">
            <w:pPr>
              <w:spacing w:line="360" w:lineRule="auto"/>
              <w:jc w:val="both"/>
              <w:rPr>
                <w:rFonts w:ascii="Garamond" w:hAnsi="Garamond"/>
              </w:rPr>
            </w:pPr>
            <w:r w:rsidRPr="00E71A36">
              <w:rPr>
                <w:rFonts w:ascii="Garamond" w:hAnsi="Garamond"/>
              </w:rPr>
              <w:t>-0.61</w:t>
            </w:r>
          </w:p>
        </w:tc>
        <w:tc>
          <w:tcPr>
            <w:tcW w:w="0" w:type="auto"/>
            <w:vAlign w:val="center"/>
            <w:hideMark/>
          </w:tcPr>
          <w:p w14:paraId="29845AAA" w14:textId="77777777" w:rsidR="00706D2C" w:rsidRPr="00E71A36" w:rsidRDefault="00706D2C" w:rsidP="008027C8">
            <w:pPr>
              <w:spacing w:line="360" w:lineRule="auto"/>
              <w:jc w:val="both"/>
              <w:rPr>
                <w:rFonts w:ascii="Garamond" w:hAnsi="Garamond"/>
              </w:rPr>
            </w:pPr>
            <w:r w:rsidRPr="00E71A36">
              <w:rPr>
                <w:rFonts w:ascii="Garamond" w:hAnsi="Garamond"/>
              </w:rPr>
              <w:t>0.13</w:t>
            </w:r>
          </w:p>
        </w:tc>
        <w:tc>
          <w:tcPr>
            <w:tcW w:w="0" w:type="auto"/>
            <w:vAlign w:val="center"/>
            <w:hideMark/>
          </w:tcPr>
          <w:p w14:paraId="5597011A" w14:textId="77777777" w:rsidR="00706D2C" w:rsidRPr="00E71A36" w:rsidRDefault="00706D2C" w:rsidP="008027C8">
            <w:pPr>
              <w:spacing w:line="360" w:lineRule="auto"/>
              <w:jc w:val="both"/>
              <w:rPr>
                <w:rFonts w:ascii="Garamond" w:hAnsi="Garamond"/>
              </w:rPr>
            </w:pPr>
            <w:r w:rsidRPr="00E71A36">
              <w:rPr>
                <w:rFonts w:ascii="Garamond" w:hAnsi="Garamond"/>
              </w:rPr>
              <w:t>-4.69</w:t>
            </w:r>
          </w:p>
        </w:tc>
        <w:tc>
          <w:tcPr>
            <w:tcW w:w="0" w:type="auto"/>
            <w:vAlign w:val="center"/>
            <w:hideMark/>
          </w:tcPr>
          <w:p w14:paraId="1D121804" w14:textId="77777777" w:rsidR="00706D2C" w:rsidRPr="00E71A36" w:rsidRDefault="00706D2C" w:rsidP="008027C8">
            <w:pPr>
              <w:spacing w:line="360" w:lineRule="auto"/>
              <w:jc w:val="both"/>
              <w:rPr>
                <w:rFonts w:ascii="Garamond" w:hAnsi="Garamond"/>
              </w:rPr>
            </w:pPr>
            <w:r w:rsidRPr="00E71A36">
              <w:rPr>
                <w:rFonts w:ascii="Garamond" w:hAnsi="Garamond"/>
              </w:rPr>
              <w:t>0.000</w:t>
            </w:r>
          </w:p>
        </w:tc>
        <w:tc>
          <w:tcPr>
            <w:tcW w:w="0" w:type="auto"/>
            <w:vAlign w:val="center"/>
            <w:hideMark/>
          </w:tcPr>
          <w:p w14:paraId="5A301590" w14:textId="77777777" w:rsidR="00706D2C" w:rsidRPr="00E71A36" w:rsidRDefault="00706D2C" w:rsidP="008027C8">
            <w:pPr>
              <w:spacing w:line="360" w:lineRule="auto"/>
              <w:jc w:val="both"/>
              <w:rPr>
                <w:rFonts w:ascii="Garamond" w:hAnsi="Garamond"/>
              </w:rPr>
            </w:pPr>
            <w:r w:rsidRPr="00E71A36">
              <w:rPr>
                <w:rFonts w:ascii="Garamond" w:hAnsi="Garamond"/>
              </w:rPr>
              <w:t>Increasing distance from waste sites reduces environmental impact by 0.61 units per unit distance.</w:t>
            </w:r>
          </w:p>
        </w:tc>
      </w:tr>
      <w:tr w:rsidR="00706D2C" w:rsidRPr="00E71A36" w14:paraId="46963B81" w14:textId="77777777" w:rsidTr="00B60735">
        <w:trPr>
          <w:tblCellSpacing w:w="15" w:type="dxa"/>
        </w:trPr>
        <w:tc>
          <w:tcPr>
            <w:tcW w:w="0" w:type="auto"/>
            <w:tcBorders>
              <w:bottom w:val="single" w:sz="4" w:space="0" w:color="auto"/>
            </w:tcBorders>
            <w:vAlign w:val="center"/>
            <w:hideMark/>
          </w:tcPr>
          <w:p w14:paraId="0DCDF579" w14:textId="77777777" w:rsidR="00706D2C" w:rsidRPr="00E71A36" w:rsidRDefault="00706D2C" w:rsidP="008027C8">
            <w:pPr>
              <w:spacing w:line="360" w:lineRule="auto"/>
              <w:jc w:val="both"/>
              <w:rPr>
                <w:rFonts w:ascii="Garamond" w:hAnsi="Garamond"/>
              </w:rPr>
            </w:pPr>
            <w:r w:rsidRPr="00E71A36">
              <w:rPr>
                <w:rFonts w:ascii="Garamond" w:hAnsi="Garamond"/>
              </w:rPr>
              <w:t>Collection Efficiency</w:t>
            </w:r>
          </w:p>
        </w:tc>
        <w:tc>
          <w:tcPr>
            <w:tcW w:w="0" w:type="auto"/>
            <w:tcBorders>
              <w:bottom w:val="single" w:sz="4" w:space="0" w:color="auto"/>
            </w:tcBorders>
            <w:vAlign w:val="center"/>
            <w:hideMark/>
          </w:tcPr>
          <w:p w14:paraId="314ED144" w14:textId="77777777" w:rsidR="00706D2C" w:rsidRPr="00E71A36" w:rsidRDefault="00706D2C" w:rsidP="008027C8">
            <w:pPr>
              <w:spacing w:line="360" w:lineRule="auto"/>
              <w:jc w:val="both"/>
              <w:rPr>
                <w:rFonts w:ascii="Garamond" w:hAnsi="Garamond"/>
              </w:rPr>
            </w:pPr>
            <w:r w:rsidRPr="00E71A36">
              <w:rPr>
                <w:rFonts w:ascii="Garamond" w:hAnsi="Garamond"/>
              </w:rPr>
              <w:t>-0.48</w:t>
            </w:r>
          </w:p>
        </w:tc>
        <w:tc>
          <w:tcPr>
            <w:tcW w:w="0" w:type="auto"/>
            <w:tcBorders>
              <w:bottom w:val="single" w:sz="4" w:space="0" w:color="auto"/>
            </w:tcBorders>
            <w:vAlign w:val="center"/>
            <w:hideMark/>
          </w:tcPr>
          <w:p w14:paraId="37BEF1EC" w14:textId="77777777" w:rsidR="00706D2C" w:rsidRPr="00E71A36" w:rsidRDefault="00706D2C" w:rsidP="008027C8">
            <w:pPr>
              <w:spacing w:line="360" w:lineRule="auto"/>
              <w:jc w:val="both"/>
              <w:rPr>
                <w:rFonts w:ascii="Garamond" w:hAnsi="Garamond"/>
              </w:rPr>
            </w:pPr>
            <w:r w:rsidRPr="00E71A36">
              <w:rPr>
                <w:rFonts w:ascii="Garamond" w:hAnsi="Garamond"/>
              </w:rPr>
              <w:t>0.14</w:t>
            </w:r>
          </w:p>
        </w:tc>
        <w:tc>
          <w:tcPr>
            <w:tcW w:w="0" w:type="auto"/>
            <w:tcBorders>
              <w:bottom w:val="single" w:sz="4" w:space="0" w:color="auto"/>
            </w:tcBorders>
            <w:vAlign w:val="center"/>
            <w:hideMark/>
          </w:tcPr>
          <w:p w14:paraId="3353CADE" w14:textId="77777777" w:rsidR="00706D2C" w:rsidRPr="00E71A36" w:rsidRDefault="00706D2C" w:rsidP="008027C8">
            <w:pPr>
              <w:spacing w:line="360" w:lineRule="auto"/>
              <w:jc w:val="both"/>
              <w:rPr>
                <w:rFonts w:ascii="Garamond" w:hAnsi="Garamond"/>
              </w:rPr>
            </w:pPr>
            <w:r w:rsidRPr="00E71A36">
              <w:rPr>
                <w:rFonts w:ascii="Garamond" w:hAnsi="Garamond"/>
              </w:rPr>
              <w:t>-3.43</w:t>
            </w:r>
          </w:p>
        </w:tc>
        <w:tc>
          <w:tcPr>
            <w:tcW w:w="0" w:type="auto"/>
            <w:tcBorders>
              <w:bottom w:val="single" w:sz="4" w:space="0" w:color="auto"/>
            </w:tcBorders>
            <w:vAlign w:val="center"/>
            <w:hideMark/>
          </w:tcPr>
          <w:p w14:paraId="309A8236" w14:textId="77777777" w:rsidR="00706D2C" w:rsidRPr="00E71A36" w:rsidRDefault="00706D2C" w:rsidP="008027C8">
            <w:pPr>
              <w:spacing w:line="360" w:lineRule="auto"/>
              <w:jc w:val="both"/>
              <w:rPr>
                <w:rFonts w:ascii="Garamond" w:hAnsi="Garamond"/>
              </w:rPr>
            </w:pPr>
            <w:r w:rsidRPr="00E71A36">
              <w:rPr>
                <w:rFonts w:ascii="Garamond" w:hAnsi="Garamond"/>
              </w:rPr>
              <w:t>0.002</w:t>
            </w:r>
          </w:p>
        </w:tc>
        <w:tc>
          <w:tcPr>
            <w:tcW w:w="0" w:type="auto"/>
            <w:tcBorders>
              <w:bottom w:val="single" w:sz="4" w:space="0" w:color="auto"/>
            </w:tcBorders>
            <w:vAlign w:val="center"/>
            <w:hideMark/>
          </w:tcPr>
          <w:p w14:paraId="32822A1C" w14:textId="77777777" w:rsidR="00706D2C" w:rsidRPr="00E71A36" w:rsidRDefault="00706D2C" w:rsidP="008027C8">
            <w:pPr>
              <w:spacing w:line="360" w:lineRule="auto"/>
              <w:jc w:val="both"/>
              <w:rPr>
                <w:rFonts w:ascii="Garamond" w:hAnsi="Garamond"/>
              </w:rPr>
            </w:pPr>
            <w:r w:rsidRPr="00E71A36">
              <w:rPr>
                <w:rFonts w:ascii="Garamond" w:hAnsi="Garamond"/>
              </w:rPr>
              <w:t>More efficient waste collection reduces environmental impact by 0.48 units.</w:t>
            </w:r>
          </w:p>
        </w:tc>
      </w:tr>
    </w:tbl>
    <w:p w14:paraId="0C759AB5" w14:textId="77777777" w:rsidR="00706D2C" w:rsidRPr="00E71A36" w:rsidRDefault="00706D2C" w:rsidP="008027C8">
      <w:pPr>
        <w:spacing w:line="360" w:lineRule="auto"/>
        <w:jc w:val="both"/>
        <w:rPr>
          <w:rFonts w:ascii="Garamond" w:hAnsi="Garamond"/>
        </w:rPr>
      </w:pPr>
    </w:p>
    <w:p w14:paraId="16BCD93D" w14:textId="77777777" w:rsidR="00706D2C" w:rsidRPr="00E71A36" w:rsidRDefault="00706D2C" w:rsidP="008027C8">
      <w:pPr>
        <w:spacing w:line="360" w:lineRule="auto"/>
        <w:jc w:val="both"/>
        <w:rPr>
          <w:rFonts w:ascii="Garamond" w:hAnsi="Garamond"/>
        </w:rPr>
      </w:pPr>
      <w:r w:rsidRPr="00E71A36">
        <w:rPr>
          <w:rFonts w:ascii="Garamond" w:hAnsi="Garamond"/>
        </w:rPr>
        <w:t>Model Fit: R² = 0.65 → 65% of the variation in environmental impact is explained by the model.</w:t>
      </w:r>
    </w:p>
    <w:p w14:paraId="65E6B793" w14:textId="77777777" w:rsidR="00706D2C" w:rsidRPr="00E71A36" w:rsidRDefault="00706D2C" w:rsidP="008027C8">
      <w:pPr>
        <w:spacing w:line="360" w:lineRule="auto"/>
        <w:jc w:val="both"/>
        <w:rPr>
          <w:rFonts w:ascii="Garamond" w:hAnsi="Garamond"/>
        </w:rPr>
      </w:pPr>
      <w:r w:rsidRPr="00E71A36">
        <w:rPr>
          <w:rFonts w:ascii="Garamond" w:hAnsi="Garamond"/>
        </w:rPr>
        <w:t>F-statistic = 27.4, p &lt; 0.001 → The overall model is statistically significant.</w:t>
      </w:r>
    </w:p>
    <w:p w14:paraId="5F1D6801" w14:textId="111A92A6" w:rsidR="00706D2C" w:rsidRPr="00E71A36" w:rsidRDefault="00706D2C" w:rsidP="008027C8">
      <w:pPr>
        <w:spacing w:line="360" w:lineRule="auto"/>
        <w:jc w:val="both"/>
        <w:rPr>
          <w:rFonts w:ascii="Garamond" w:hAnsi="Garamond"/>
        </w:rPr>
      </w:pPr>
      <w:r w:rsidRPr="00E71A36">
        <w:rPr>
          <w:rFonts w:ascii="Garamond" w:hAnsi="Garamond"/>
        </w:rPr>
        <w:lastRenderedPageBreak/>
        <w:t xml:space="preserve">The regression results </w:t>
      </w:r>
      <w:r w:rsidR="002E5751" w:rsidRPr="00E71A36">
        <w:rPr>
          <w:rFonts w:ascii="Garamond" w:hAnsi="Garamond"/>
        </w:rPr>
        <w:t xml:space="preserve">(Table 13) </w:t>
      </w:r>
      <w:r w:rsidRPr="00E71A36">
        <w:rPr>
          <w:rFonts w:ascii="Garamond" w:hAnsi="Garamond"/>
        </w:rPr>
        <w:t>indicate that waste management practices significantly influence environmental quality in Nairobi City County. Specifically: Open dumping has the strongest positive impact on environmental degradation, confirming that frequent improper disposal is the main driver of pollution. Waste segregation and collection efficiency both have negative coefficients, showing that proper management practices reduce environmental impact.</w:t>
      </w:r>
    </w:p>
    <w:p w14:paraId="5A6CB063" w14:textId="1DEE6F98" w:rsidR="00706D2C" w:rsidRPr="00E71A36" w:rsidRDefault="00706D2C" w:rsidP="008027C8">
      <w:pPr>
        <w:spacing w:line="360" w:lineRule="auto"/>
        <w:jc w:val="both"/>
        <w:rPr>
          <w:rFonts w:ascii="Garamond" w:hAnsi="Garamond"/>
        </w:rPr>
      </w:pPr>
      <w:r w:rsidRPr="00E71A36">
        <w:rPr>
          <w:rFonts w:ascii="Garamond" w:hAnsi="Garamond"/>
        </w:rPr>
        <w:t xml:space="preserve">Distance from waste sites is inversely related to environmental impact, highlighting spatial variability in pollution exposure, with nearby communities experiencing higher </w:t>
      </w:r>
      <w:r w:rsidR="00CB4D5A" w:rsidRPr="00E71A36">
        <w:rPr>
          <w:rFonts w:ascii="Garamond" w:hAnsi="Garamond"/>
        </w:rPr>
        <w:t>risks. The</w:t>
      </w:r>
      <w:r w:rsidRPr="00E71A36">
        <w:rPr>
          <w:rFonts w:ascii="Garamond" w:hAnsi="Garamond"/>
        </w:rPr>
        <w:t xml:space="preserve"> model demonstrates that integrated interventions targeting segregation, collection efficiency, and control of dumping sites can substantially mitigate both air and water pollution, providing a quantitative basis for policy and urban planning decisions.</w:t>
      </w:r>
    </w:p>
    <w:p w14:paraId="58086C5F" w14:textId="5F34E152" w:rsidR="0046707E" w:rsidRPr="00E71A36" w:rsidRDefault="0046707E" w:rsidP="008027C8">
      <w:pPr>
        <w:spacing w:line="360" w:lineRule="auto"/>
        <w:jc w:val="both"/>
        <w:rPr>
          <w:rFonts w:ascii="Garamond" w:hAnsi="Garamond"/>
        </w:rPr>
      </w:pPr>
      <w:r w:rsidRPr="00E71A36">
        <w:rPr>
          <w:rFonts w:ascii="Garamond" w:hAnsi="Garamond"/>
        </w:rPr>
        <w:t>Here is a diagram showing how pollutant concentrations decrease with distance from a dumping site in Kibera, Kenya. 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xml:space="preserve"> and SO</w:t>
      </w:r>
      <w:r w:rsidRPr="00E71A36">
        <w:rPr>
          <w:rFonts w:ascii="Cambria Math" w:hAnsi="Cambria Math" w:cs="Cambria Math"/>
        </w:rPr>
        <w:t>₂</w:t>
      </w:r>
      <w:r w:rsidRPr="00E71A36">
        <w:rPr>
          <w:rFonts w:ascii="Garamond" w:hAnsi="Garamond"/>
        </w:rPr>
        <w:t xml:space="preserve"> show the steepest declines, while CO</w:t>
      </w:r>
      <w:r w:rsidRPr="00E71A36">
        <w:rPr>
          <w:rFonts w:ascii="Cambria Math" w:hAnsi="Cambria Math" w:cs="Cambria Math"/>
        </w:rPr>
        <w:t>₂</w:t>
      </w:r>
      <w:r w:rsidRPr="00E71A36">
        <w:rPr>
          <w:rFonts w:ascii="Garamond" w:hAnsi="Garamond"/>
        </w:rPr>
        <w:t xml:space="preserve"> and CH</w:t>
      </w:r>
      <w:r w:rsidRPr="00E71A36">
        <w:rPr>
          <w:rFonts w:ascii="Cambria Math" w:hAnsi="Cambria Math" w:cs="Cambria Math"/>
        </w:rPr>
        <w:t>₄</w:t>
      </w:r>
      <w:r w:rsidRPr="00E71A36">
        <w:rPr>
          <w:rFonts w:ascii="Garamond" w:hAnsi="Garamond"/>
        </w:rPr>
        <w:t xml:space="preserve"> decrease more gradually, illustrating both localized health risks and greenhouse gas contributions.</w:t>
      </w:r>
    </w:p>
    <w:p w14:paraId="457CF27A" w14:textId="038D4C12" w:rsidR="0046707E" w:rsidRPr="00E71A36" w:rsidRDefault="0046707E" w:rsidP="008027C8">
      <w:pPr>
        <w:spacing w:line="360" w:lineRule="auto"/>
        <w:jc w:val="both"/>
        <w:rPr>
          <w:rFonts w:ascii="Garamond" w:hAnsi="Garamond"/>
        </w:rPr>
      </w:pPr>
      <w:r w:rsidRPr="00E71A36">
        <w:rPr>
          <w:rFonts w:ascii="Garamond" w:hAnsi="Garamond"/>
          <w:noProof/>
        </w:rPr>
        <mc:AlternateContent>
          <mc:Choice Requires="wps">
            <w:drawing>
              <wp:inline distT="0" distB="0" distL="0" distR="0" wp14:anchorId="3EFE2C61" wp14:editId="690F439D">
                <wp:extent cx="304800" cy="304800"/>
                <wp:effectExtent l="0" t="0" r="0" b="0"/>
                <wp:docPr id="8" name="Rectangle 8"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7A1EC7" id="Rectangle 8"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hfe77A&#10;AgAAzAUAAA4AAAAAAAAAAAAAAAAALgIAAGRycy9lMm9Eb2MueG1sUEsBAi0AFAAGAAgAAAAhAEyg&#10;6SzYAAAAAwEAAA8AAAAAAAAAAAAAAAAAGgUAAGRycy9kb3ducmV2LnhtbFBLBQYAAAAABAAEAPMA&#10;AAAfBgAAAAA=&#10;" filled="f" stroked="f">
                <o:lock v:ext="edit" aspectratio="t"/>
                <w10:anchorlock/>
              </v:rect>
            </w:pict>
          </mc:Fallback>
        </mc:AlternateContent>
      </w:r>
      <w:r w:rsidRPr="00E71A36">
        <w:rPr>
          <w:rFonts w:ascii="Garamond" w:hAnsi="Garamond"/>
        </w:rPr>
        <w:t xml:space="preserve"> </w:t>
      </w:r>
      <w:r w:rsidRPr="00E71A36">
        <w:rPr>
          <w:rFonts w:ascii="Garamond" w:hAnsi="Garamond"/>
          <w:noProof/>
        </w:rPr>
        <w:drawing>
          <wp:inline distT="0" distB="0" distL="0" distR="0" wp14:anchorId="2CE1D74E" wp14:editId="606DC486">
            <wp:extent cx="5305425" cy="2695512"/>
            <wp:effectExtent l="19050" t="19050" r="9525" b="10160"/>
            <wp:docPr id="9" name="Picture 9" descr="C:\Users\henry.joseph\Desktop\47b94bb2-43a0-4039-ba9c-16dd81c66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enry.joseph\Desktop\47b94bb2-43a0-4039-ba9c-16dd81c6691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252" cy="2699997"/>
                    </a:xfrm>
                    <a:prstGeom prst="rect">
                      <a:avLst/>
                    </a:prstGeom>
                    <a:noFill/>
                    <a:ln w="19050">
                      <a:solidFill>
                        <a:schemeClr val="tx1"/>
                      </a:solidFill>
                    </a:ln>
                  </pic:spPr>
                </pic:pic>
              </a:graphicData>
            </a:graphic>
          </wp:inline>
        </w:drawing>
      </w:r>
    </w:p>
    <w:p w14:paraId="26DAE6B3" w14:textId="5B0799F2" w:rsidR="00CB4D5A" w:rsidRPr="00E71A36" w:rsidRDefault="0046707E" w:rsidP="008027C8">
      <w:pPr>
        <w:spacing w:line="360" w:lineRule="auto"/>
        <w:jc w:val="both"/>
        <w:rPr>
          <w:rFonts w:ascii="Garamond" w:hAnsi="Garamond"/>
          <w:b/>
          <w:bCs/>
        </w:rPr>
      </w:pPr>
      <w:r w:rsidRPr="00E71A36">
        <w:rPr>
          <w:rFonts w:ascii="Garamond" w:hAnsi="Garamond"/>
          <w:noProof/>
        </w:rPr>
        <mc:AlternateContent>
          <mc:Choice Requires="wps">
            <w:drawing>
              <wp:inline distT="0" distB="0" distL="0" distR="0" wp14:anchorId="589D50FE" wp14:editId="07D95DFE">
                <wp:extent cx="304800" cy="304800"/>
                <wp:effectExtent l="0" t="0" r="0" b="0"/>
                <wp:docPr id="1" name="Rectangle 1"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4904C" id="Rectangle 1"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Vq4fT78C&#10;AADMBQAADgAAAAAAAAAAAAAAAAAuAgAAZHJzL2Uyb0RvYy54bWxQSwECLQAUAAYACAAAACEATKDp&#10;LNgAAAADAQAADwAAAAAAAAAAAAAAAAAZBQAAZHJzL2Rvd25yZXYueG1sUEsFBgAAAAAEAAQA8wAA&#10;AB4GAAAAAA==&#10;" filled="f" stroked="f">
                <o:lock v:ext="edit" aspectratio="t"/>
                <w10:anchorlock/>
              </v:rect>
            </w:pict>
          </mc:Fallback>
        </mc:AlternateContent>
      </w:r>
      <w:r w:rsidR="00CB4D5A" w:rsidRPr="00E71A36">
        <w:rPr>
          <w:rFonts w:ascii="Garamond" w:hAnsi="Garamond"/>
          <w:b/>
          <w:bCs/>
        </w:rPr>
        <w:t xml:space="preserve">Figure </w:t>
      </w:r>
      <w:r w:rsidR="005904C7" w:rsidRPr="00E71A36">
        <w:rPr>
          <w:rFonts w:ascii="Garamond" w:hAnsi="Garamond"/>
          <w:b/>
          <w:bCs/>
        </w:rPr>
        <w:t>7</w:t>
      </w:r>
      <w:r w:rsidR="00CB4D5A" w:rsidRPr="00E71A36">
        <w:rPr>
          <w:rFonts w:ascii="Garamond" w:hAnsi="Garamond"/>
          <w:b/>
          <w:bCs/>
        </w:rPr>
        <w:t xml:space="preserve">. Pollutant Concentration Vs Distance from Dumping Site </w:t>
      </w:r>
    </w:p>
    <w:p w14:paraId="36D13207" w14:textId="02D0E110" w:rsidR="00CB4D5A" w:rsidRPr="00E71A36" w:rsidRDefault="00CB4D5A" w:rsidP="008027C8">
      <w:pPr>
        <w:spacing w:line="360" w:lineRule="auto"/>
        <w:jc w:val="both"/>
        <w:rPr>
          <w:rFonts w:ascii="Garamond" w:hAnsi="Garamond"/>
        </w:rPr>
      </w:pPr>
      <w:r w:rsidRPr="00E71A36">
        <w:rPr>
          <w:rFonts w:ascii="Garamond" w:hAnsi="Garamond"/>
        </w:rPr>
        <w:t xml:space="preserve">The line graph </w:t>
      </w:r>
      <w:r w:rsidR="0046707E" w:rsidRPr="00E71A36">
        <w:rPr>
          <w:rFonts w:ascii="Garamond" w:hAnsi="Garamond"/>
        </w:rPr>
        <w:t>(Figure</w:t>
      </w:r>
      <w:r w:rsidRPr="00E71A36">
        <w:rPr>
          <w:rFonts w:ascii="Garamond" w:hAnsi="Garamond"/>
        </w:rPr>
        <w:t xml:space="preserve"> </w:t>
      </w:r>
      <w:r w:rsidR="005904C7" w:rsidRPr="00E71A36">
        <w:rPr>
          <w:rFonts w:ascii="Garamond" w:hAnsi="Garamond"/>
        </w:rPr>
        <w:t>7</w:t>
      </w:r>
      <w:r w:rsidRPr="00E71A36">
        <w:rPr>
          <w:rFonts w:ascii="Garamond" w:hAnsi="Garamond"/>
        </w:rPr>
        <w:t>) illustrates how concentrations of 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CO</w:t>
      </w:r>
      <w:r w:rsidRPr="00E71A36">
        <w:rPr>
          <w:rFonts w:ascii="Cambria Math" w:hAnsi="Cambria Math" w:cs="Cambria Math"/>
        </w:rPr>
        <w:t>₂</w:t>
      </w:r>
      <w:r w:rsidRPr="00E71A36">
        <w:rPr>
          <w:rFonts w:ascii="Garamond" w:hAnsi="Garamond"/>
        </w:rPr>
        <w:t>, SO</w:t>
      </w:r>
      <w:r w:rsidRPr="00E71A36">
        <w:rPr>
          <w:rFonts w:ascii="Cambria Math" w:hAnsi="Cambria Math" w:cs="Cambria Math"/>
        </w:rPr>
        <w:t>₂</w:t>
      </w:r>
      <w:r w:rsidRPr="00E71A36">
        <w:rPr>
          <w:rFonts w:ascii="Garamond" w:hAnsi="Garamond"/>
        </w:rPr>
        <w:t>, and CH</w:t>
      </w:r>
      <w:r w:rsidRPr="00E71A36">
        <w:rPr>
          <w:rFonts w:ascii="Cambria Math" w:hAnsi="Cambria Math" w:cs="Cambria Math"/>
        </w:rPr>
        <w:t>₄</w:t>
      </w:r>
      <w:r w:rsidRPr="00E71A36">
        <w:rPr>
          <w:rFonts w:ascii="Garamond" w:hAnsi="Garamond"/>
        </w:rPr>
        <w:t xml:space="preserve"> vary with distance from dumping sites in Nairobi County. All four pollutants show a clear declining trend as distance increases, indicating that proximity to open waste burning is a strong determinant of exposure.</w:t>
      </w:r>
    </w:p>
    <w:p w14:paraId="1278F795" w14:textId="77777777" w:rsidR="00CB4D5A" w:rsidRPr="00E71A36" w:rsidRDefault="00CB4D5A" w:rsidP="008027C8">
      <w:pPr>
        <w:spacing w:line="360" w:lineRule="auto"/>
        <w:jc w:val="both"/>
        <w:rPr>
          <w:rFonts w:ascii="Garamond" w:hAnsi="Garamond"/>
        </w:rPr>
      </w:pPr>
      <w:r w:rsidRPr="00E71A36">
        <w:rPr>
          <w:rFonts w:ascii="Garamond" w:hAnsi="Garamond"/>
        </w:rPr>
        <w:lastRenderedPageBreak/>
        <w:t>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xml:space="preserve"> (red line) shows the steepest decline, dropping from 145 µg/m³ at 0–500 m to 45 µg/m³ beyond 1000 m, highlighting its high local impact and immediate health risk for residents living near dumpsites. SO</w:t>
      </w:r>
      <w:r w:rsidRPr="00E71A36">
        <w:rPr>
          <w:rFonts w:ascii="Cambria Math" w:hAnsi="Cambria Math" w:cs="Cambria Math"/>
        </w:rPr>
        <w:t>₂</w:t>
      </w:r>
      <w:r w:rsidRPr="00E71A36">
        <w:rPr>
          <w:rFonts w:ascii="Garamond" w:hAnsi="Garamond"/>
        </w:rPr>
        <w:t xml:space="preserve"> (green line) follows a similar steep gradient, decreasing from 55 ppb at 0–500 m to 18 ppb at &gt;1000 m, emphasizing the risk of respiratory irritation and acid rain formation close to the source. </w:t>
      </w:r>
    </w:p>
    <w:p w14:paraId="45BEDC15" w14:textId="77777777" w:rsidR="00CB4D5A" w:rsidRPr="00E71A36" w:rsidRDefault="00CB4D5A" w:rsidP="008027C8">
      <w:pPr>
        <w:spacing w:line="360" w:lineRule="auto"/>
        <w:jc w:val="both"/>
        <w:rPr>
          <w:rFonts w:ascii="Garamond" w:hAnsi="Garamond"/>
        </w:rPr>
      </w:pPr>
      <w:r w:rsidRPr="00E71A36">
        <w:rPr>
          <w:rFonts w:ascii="Garamond" w:hAnsi="Garamond"/>
        </w:rPr>
        <w:t>CO</w:t>
      </w:r>
      <w:r w:rsidRPr="00E71A36">
        <w:rPr>
          <w:rFonts w:ascii="Cambria Math" w:hAnsi="Cambria Math" w:cs="Cambria Math"/>
        </w:rPr>
        <w:t>₂</w:t>
      </w:r>
      <w:r w:rsidRPr="00E71A36">
        <w:rPr>
          <w:rFonts w:ascii="Garamond" w:hAnsi="Garamond"/>
        </w:rPr>
        <w:t xml:space="preserve"> (blue line) and CH</w:t>
      </w:r>
      <w:r w:rsidRPr="00E71A36">
        <w:rPr>
          <w:rFonts w:ascii="Cambria Math" w:hAnsi="Cambria Math" w:cs="Cambria Math"/>
        </w:rPr>
        <w:t>₄</w:t>
      </w:r>
      <w:r w:rsidRPr="00E71A36">
        <w:rPr>
          <w:rFonts w:ascii="Garamond" w:hAnsi="Garamond"/>
        </w:rPr>
        <w:t xml:space="preserve"> (orange line) also decrease with distance, though more gradually. CO</w:t>
      </w:r>
      <w:r w:rsidRPr="00E71A36">
        <w:rPr>
          <w:rFonts w:ascii="Cambria Math" w:hAnsi="Cambria Math" w:cs="Cambria Math"/>
        </w:rPr>
        <w:t>₂</w:t>
      </w:r>
      <w:r w:rsidRPr="00E71A36">
        <w:rPr>
          <w:rFonts w:ascii="Garamond" w:hAnsi="Garamond"/>
        </w:rPr>
        <w:t xml:space="preserve"> declines from 720 ppm to 580 ppm, and CH</w:t>
      </w:r>
      <w:r w:rsidRPr="00E71A36">
        <w:rPr>
          <w:rFonts w:ascii="Cambria Math" w:hAnsi="Cambria Math" w:cs="Cambria Math"/>
        </w:rPr>
        <w:t>₄</w:t>
      </w:r>
      <w:r w:rsidRPr="00E71A36">
        <w:rPr>
          <w:rFonts w:ascii="Garamond" w:hAnsi="Garamond"/>
        </w:rPr>
        <w:t xml:space="preserve"> from 2.1 ppm to 1.2 ppm, reflecting their contribution to greenhouse gas emissions and climate change, with less immediate localized health impact compared to PM</w:t>
      </w:r>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r w:rsidRPr="00E71A36">
        <w:rPr>
          <w:rFonts w:ascii="Garamond" w:hAnsi="Garamond"/>
        </w:rPr>
        <w:t xml:space="preserve"> and SO</w:t>
      </w:r>
      <w:r w:rsidRPr="00E71A36">
        <w:rPr>
          <w:rFonts w:ascii="Cambria Math" w:hAnsi="Cambria Math" w:cs="Cambria Math"/>
        </w:rPr>
        <w:t>₂</w:t>
      </w:r>
      <w:r w:rsidRPr="00E71A36">
        <w:rPr>
          <w:rFonts w:ascii="Garamond" w:hAnsi="Garamond"/>
        </w:rPr>
        <w:t xml:space="preserve">. </w:t>
      </w:r>
    </w:p>
    <w:p w14:paraId="460DDA02" w14:textId="50908C5D" w:rsidR="00CB4D5A" w:rsidRDefault="00CB4D5A" w:rsidP="008027C8">
      <w:pPr>
        <w:spacing w:line="360" w:lineRule="auto"/>
        <w:jc w:val="both"/>
        <w:rPr>
          <w:rFonts w:ascii="Garamond" w:hAnsi="Garamond"/>
        </w:rPr>
      </w:pPr>
      <w:r w:rsidRPr="00E71A36">
        <w:rPr>
          <w:rFonts w:ascii="Garamond" w:hAnsi="Garamond"/>
        </w:rPr>
        <w:t>The graph demonstrates a distance-dependent decay, confirming that pollutant concentrations are highest near the source and reduce progressively, supporting the need for buffer zones and exposure mitigation strategies. The steep gradients for PM</w:t>
      </w:r>
      <w:proofErr w:type="gramStart"/>
      <w:r w:rsidRPr="00E71A36">
        <w:rPr>
          <w:rFonts w:ascii="Cambria Math" w:hAnsi="Cambria Math" w:cs="Cambria Math"/>
        </w:rPr>
        <w:t>₂</w:t>
      </w:r>
      <w:r w:rsidRPr="00E71A36">
        <w:rPr>
          <w:rFonts w:ascii="Garamond" w:hAnsi="Garamond"/>
        </w:rPr>
        <w:t>.</w:t>
      </w:r>
      <w:r w:rsidRPr="00E71A36">
        <w:rPr>
          <w:rFonts w:ascii="Cambria Math" w:hAnsi="Cambria Math" w:cs="Cambria Math"/>
        </w:rPr>
        <w:t>₅</w:t>
      </w:r>
      <w:proofErr w:type="gramEnd"/>
      <w:r w:rsidRPr="00E71A36">
        <w:rPr>
          <w:rFonts w:ascii="Garamond" w:hAnsi="Garamond"/>
        </w:rPr>
        <w:t xml:space="preserve"> and SO</w:t>
      </w:r>
      <w:r w:rsidRPr="00E71A36">
        <w:rPr>
          <w:rFonts w:ascii="Cambria Math" w:hAnsi="Cambria Math" w:cs="Cambria Math"/>
        </w:rPr>
        <w:t>₂</w:t>
      </w:r>
      <w:r w:rsidRPr="00E71A36">
        <w:rPr>
          <w:rFonts w:ascii="Garamond" w:hAnsi="Garamond"/>
        </w:rPr>
        <w:t xml:space="preserve"> underscore the urgency of monitoring and protecting populations living within 500 m of dumpsites.</w:t>
      </w:r>
    </w:p>
    <w:p w14:paraId="5465B223" w14:textId="6C2A6701" w:rsidR="00615A8B" w:rsidRPr="00E71A36" w:rsidRDefault="004E0130" w:rsidP="008027C8">
      <w:pPr>
        <w:spacing w:line="360" w:lineRule="auto"/>
        <w:jc w:val="both"/>
        <w:rPr>
          <w:rFonts w:ascii="Garamond" w:hAnsi="Garamond"/>
        </w:rPr>
      </w:pPr>
      <w:r w:rsidRPr="001D0A71">
        <w:rPr>
          <w:rFonts w:ascii="Garamond" w:hAnsi="Garamond"/>
          <w:b/>
        </w:rPr>
        <w:t xml:space="preserve">Figure 8: pollution Concentration Vs Distance from the Dumping site </w:t>
      </w:r>
      <w:r w:rsidR="00615A8B" w:rsidRPr="002F16B1">
        <w:rPr>
          <w:rFonts w:ascii="Garamond" w:hAnsi="Garamond"/>
          <w:noProof/>
        </w:rPr>
        <w:drawing>
          <wp:inline distT="0" distB="0" distL="0" distR="0" wp14:anchorId="4739CB3D" wp14:editId="0B9CF1B1">
            <wp:extent cx="5943600" cy="3250037"/>
            <wp:effectExtent l="19050" t="19050" r="19050" b="26670"/>
            <wp:docPr id="1018258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229"/>
                    <a:stretch>
                      <a:fillRect/>
                    </a:stretch>
                  </pic:blipFill>
                  <pic:spPr bwMode="auto">
                    <a:xfrm>
                      <a:off x="0" y="0"/>
                      <a:ext cx="5943600" cy="3250037"/>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E5970A" w14:textId="10668299" w:rsidR="001D0A71" w:rsidRPr="00E71A36" w:rsidRDefault="001D0A71" w:rsidP="008027C8">
      <w:pPr>
        <w:spacing w:line="360" w:lineRule="auto"/>
        <w:jc w:val="both"/>
        <w:rPr>
          <w:rFonts w:ascii="Garamond" w:hAnsi="Garamond"/>
          <w:b/>
        </w:rPr>
      </w:pPr>
      <w:r w:rsidRPr="00E71A36">
        <w:rPr>
          <w:rFonts w:ascii="Garamond" w:hAnsi="Garamond"/>
          <w:b/>
        </w:rPr>
        <w:t xml:space="preserve">Figure </w:t>
      </w:r>
      <w:r w:rsidR="0020320A">
        <w:rPr>
          <w:rFonts w:ascii="Garamond" w:hAnsi="Garamond"/>
          <w:b/>
        </w:rPr>
        <w:t>8</w:t>
      </w:r>
      <w:r w:rsidRPr="00E71A36">
        <w:rPr>
          <w:rFonts w:ascii="Garamond" w:hAnsi="Garamond"/>
          <w:b/>
        </w:rPr>
        <w:t xml:space="preserve">: pollution Concentration Vs Distance from the Dumping site </w:t>
      </w:r>
    </w:p>
    <w:p w14:paraId="0BE572B1" w14:textId="032163AA" w:rsidR="00C2056A" w:rsidRPr="00E71A36" w:rsidRDefault="00C2056A" w:rsidP="008027C8">
      <w:pPr>
        <w:spacing w:line="360" w:lineRule="auto"/>
        <w:jc w:val="both"/>
        <w:rPr>
          <w:rFonts w:ascii="Garamond" w:hAnsi="Garamond"/>
        </w:rPr>
      </w:pPr>
      <w:r w:rsidRPr="00E71A36">
        <w:rPr>
          <w:rFonts w:ascii="Garamond" w:hAnsi="Garamond"/>
        </w:rPr>
        <w:lastRenderedPageBreak/>
        <w:t xml:space="preserve">The diagram of “Pollutant Concentration vs. Distance from Dumping Site” </w:t>
      </w:r>
      <w:proofErr w:type="gramStart"/>
      <w:r w:rsidR="00FB5C3E" w:rsidRPr="00E71A36">
        <w:rPr>
          <w:rFonts w:ascii="Garamond" w:hAnsi="Garamond"/>
        </w:rPr>
        <w:t>( Figure</w:t>
      </w:r>
      <w:proofErr w:type="gramEnd"/>
      <w:r w:rsidR="00FB5C3E" w:rsidRPr="00E71A36">
        <w:rPr>
          <w:rFonts w:ascii="Garamond" w:hAnsi="Garamond"/>
        </w:rPr>
        <w:t xml:space="preserve"> </w:t>
      </w:r>
      <w:r w:rsidR="00782C3B">
        <w:rPr>
          <w:rFonts w:ascii="Garamond" w:hAnsi="Garamond"/>
        </w:rPr>
        <w:t>8</w:t>
      </w:r>
      <w:r w:rsidR="00FB5C3E" w:rsidRPr="00E71A36">
        <w:rPr>
          <w:rFonts w:ascii="Garamond" w:hAnsi="Garamond"/>
        </w:rPr>
        <w:t xml:space="preserve">) </w:t>
      </w:r>
      <w:r w:rsidRPr="00E71A36">
        <w:rPr>
          <w:rFonts w:ascii="Garamond" w:hAnsi="Garamond"/>
        </w:rPr>
        <w:t>visually illustrates how the concentrations of four key air pollutants—PM2.5 (µg/m³), CO2 (ppm), SO2 (ppb), and CH4 (ppm)—change as one moves farther from an open burning dumpsite.</w:t>
      </w:r>
    </w:p>
    <w:p w14:paraId="7C6DB8E4" w14:textId="7B2983EF" w:rsidR="00C2056A" w:rsidRPr="00E71A36" w:rsidRDefault="00C2056A" w:rsidP="008027C8">
      <w:pPr>
        <w:spacing w:line="360" w:lineRule="auto"/>
        <w:jc w:val="both"/>
        <w:rPr>
          <w:rFonts w:ascii="Garamond" w:hAnsi="Garamond"/>
          <w:b/>
          <w:bCs/>
        </w:rPr>
      </w:pPr>
      <w:r w:rsidRPr="00E71A36">
        <w:rPr>
          <w:rFonts w:ascii="Garamond" w:hAnsi="Garamond"/>
          <w:b/>
          <w:bCs/>
        </w:rPr>
        <w:t>4.</w:t>
      </w:r>
      <w:r w:rsidR="00006810" w:rsidRPr="00E71A36">
        <w:rPr>
          <w:rFonts w:ascii="Garamond" w:hAnsi="Garamond"/>
          <w:b/>
          <w:bCs/>
        </w:rPr>
        <w:t>5. Highest</w:t>
      </w:r>
      <w:r w:rsidRPr="00E71A36">
        <w:rPr>
          <w:rFonts w:ascii="Garamond" w:hAnsi="Garamond"/>
          <w:b/>
          <w:bCs/>
        </w:rPr>
        <w:t xml:space="preserve"> Pollutant Levels </w:t>
      </w:r>
      <w:r w:rsidR="00006810" w:rsidRPr="00E71A36">
        <w:rPr>
          <w:rFonts w:ascii="Garamond" w:hAnsi="Garamond"/>
          <w:b/>
          <w:bCs/>
        </w:rPr>
        <w:t>near</w:t>
      </w:r>
      <w:r w:rsidRPr="00E71A36">
        <w:rPr>
          <w:rFonts w:ascii="Garamond" w:hAnsi="Garamond"/>
          <w:b/>
          <w:bCs/>
        </w:rPr>
        <w:t xml:space="preserve"> the Source</w:t>
      </w:r>
    </w:p>
    <w:p w14:paraId="76A2CAC6" w14:textId="2D51598E" w:rsidR="00C2056A" w:rsidRPr="00E71A36" w:rsidRDefault="00C2056A" w:rsidP="008027C8">
      <w:pPr>
        <w:spacing w:line="360" w:lineRule="auto"/>
        <w:jc w:val="both"/>
        <w:rPr>
          <w:rFonts w:ascii="Garamond" w:hAnsi="Garamond"/>
        </w:rPr>
      </w:pPr>
      <w:r w:rsidRPr="00E71A36">
        <w:rPr>
          <w:rFonts w:ascii="Garamond" w:hAnsi="Garamond"/>
        </w:rPr>
        <w:t>All four pollutants are at their highest concentrations right at the burning dumpsite (0 m). PM2.5 shows particularly high values (~120–150</w:t>
      </w:r>
      <w:r w:rsidRPr="00E71A36">
        <w:rPr>
          <w:rFonts w:ascii="Times New Roman" w:hAnsi="Times New Roman" w:cs="Times New Roman"/>
        </w:rPr>
        <w:t> </w:t>
      </w:r>
      <w:r w:rsidRPr="00E71A36">
        <w:rPr>
          <w:rFonts w:ascii="Garamond" w:hAnsi="Garamond" w:cs="Garamond"/>
        </w:rPr>
        <w:t>µ</w:t>
      </w:r>
      <w:r w:rsidRPr="00E71A36">
        <w:rPr>
          <w:rFonts w:ascii="Garamond" w:hAnsi="Garamond"/>
        </w:rPr>
        <w:t>g/m</w:t>
      </w:r>
      <w:r w:rsidRPr="00E71A36">
        <w:rPr>
          <w:rFonts w:ascii="Garamond" w:hAnsi="Garamond" w:cs="Garamond"/>
        </w:rPr>
        <w:t>³</w:t>
      </w:r>
      <w:r w:rsidRPr="00E71A36">
        <w:rPr>
          <w:rFonts w:ascii="Garamond" w:hAnsi="Garamond"/>
        </w:rPr>
        <w:t>), indicating intense particulate release from combustion. Gaseous pollutants—CO2, SO2, and CH4—are also significantly elevated near the source, reflecting incomplete combustion and waste decomposition.</w:t>
      </w:r>
    </w:p>
    <w:p w14:paraId="5E49F661" w14:textId="46D1C96C" w:rsidR="00C2056A" w:rsidRPr="00E71A36" w:rsidRDefault="00006810" w:rsidP="008027C8">
      <w:pPr>
        <w:spacing w:line="360" w:lineRule="auto"/>
        <w:jc w:val="both"/>
        <w:rPr>
          <w:rFonts w:ascii="Garamond" w:hAnsi="Garamond"/>
          <w:b/>
          <w:bCs/>
        </w:rPr>
      </w:pPr>
      <w:r w:rsidRPr="00E71A36">
        <w:rPr>
          <w:rFonts w:ascii="Garamond" w:hAnsi="Garamond"/>
          <w:b/>
          <w:bCs/>
        </w:rPr>
        <w:t>4.5.1.</w:t>
      </w:r>
      <w:r w:rsidR="00C2056A" w:rsidRPr="00E71A36">
        <w:rPr>
          <w:rFonts w:ascii="Garamond" w:hAnsi="Garamond"/>
          <w:b/>
          <w:bCs/>
        </w:rPr>
        <w:t xml:space="preserve"> Steep Decrease with Distance</w:t>
      </w:r>
    </w:p>
    <w:p w14:paraId="567DC92B" w14:textId="77777777" w:rsidR="00C2056A" w:rsidRPr="00E71A36" w:rsidRDefault="00C2056A" w:rsidP="008027C8">
      <w:pPr>
        <w:spacing w:line="360" w:lineRule="auto"/>
        <w:jc w:val="both"/>
        <w:rPr>
          <w:rFonts w:ascii="Garamond" w:hAnsi="Garamond"/>
        </w:rPr>
      </w:pPr>
      <w:r w:rsidRPr="00E71A36">
        <w:rPr>
          <w:rFonts w:ascii="Garamond" w:hAnsi="Garamond"/>
        </w:rPr>
        <w:t>As distance increases (0 to ~500</w:t>
      </w:r>
      <w:r w:rsidRPr="00E71A36">
        <w:rPr>
          <w:rFonts w:ascii="Times New Roman" w:hAnsi="Times New Roman" w:cs="Times New Roman"/>
        </w:rPr>
        <w:t> </w:t>
      </w:r>
      <w:r w:rsidRPr="00E71A36">
        <w:rPr>
          <w:rFonts w:ascii="Garamond" w:hAnsi="Garamond"/>
        </w:rPr>
        <w:t>m), there is a sharp decline in all pollutant concentrations. PM2.5 drops significantly, often reaching near-background levels by &gt;1200</w:t>
      </w:r>
      <w:r w:rsidRPr="00E71A36">
        <w:rPr>
          <w:rFonts w:ascii="Times New Roman" w:hAnsi="Times New Roman" w:cs="Times New Roman"/>
        </w:rPr>
        <w:t> </w:t>
      </w:r>
      <w:r w:rsidRPr="00E71A36">
        <w:rPr>
          <w:rFonts w:ascii="Garamond" w:hAnsi="Garamond"/>
        </w:rPr>
        <w:t>m. CO2 and CH4 also decline but more gradually than PM2.5, reflecting broader atmospheric dispersion and SO2 declines rapidly, similar to PM2.5, illustrating that its high levels are highly localized around burning points.</w:t>
      </w:r>
    </w:p>
    <w:p w14:paraId="329B5FF9" w14:textId="253A2C69" w:rsidR="00C2056A" w:rsidRPr="00E71A36" w:rsidRDefault="00C2056A" w:rsidP="008027C8">
      <w:pPr>
        <w:spacing w:line="360" w:lineRule="auto"/>
        <w:jc w:val="both"/>
        <w:rPr>
          <w:rFonts w:ascii="Garamond" w:hAnsi="Garamond"/>
          <w:b/>
          <w:bCs/>
        </w:rPr>
      </w:pPr>
      <w:r w:rsidRPr="00E71A36">
        <w:rPr>
          <w:rFonts w:ascii="Garamond" w:hAnsi="Garamond"/>
          <w:b/>
          <w:bCs/>
        </w:rPr>
        <w:t>4.</w:t>
      </w:r>
      <w:r w:rsidR="00006810" w:rsidRPr="00E71A36">
        <w:rPr>
          <w:rFonts w:ascii="Garamond" w:hAnsi="Garamond"/>
          <w:b/>
          <w:bCs/>
        </w:rPr>
        <w:t>5</w:t>
      </w:r>
      <w:r w:rsidRPr="00E71A36">
        <w:rPr>
          <w:rFonts w:ascii="Garamond" w:hAnsi="Garamond"/>
          <w:b/>
          <w:bCs/>
        </w:rPr>
        <w:t>.2</w:t>
      </w:r>
      <w:r w:rsidR="00006810" w:rsidRPr="00E71A36">
        <w:rPr>
          <w:rFonts w:ascii="Garamond" w:hAnsi="Garamond"/>
          <w:b/>
          <w:bCs/>
        </w:rPr>
        <w:t>.</w:t>
      </w:r>
      <w:r w:rsidRPr="00E71A36">
        <w:rPr>
          <w:rFonts w:ascii="Garamond" w:hAnsi="Garamond"/>
          <w:b/>
          <w:bCs/>
        </w:rPr>
        <w:t xml:space="preserve"> Plateau or Background Levels at Greater Distances</w:t>
      </w:r>
    </w:p>
    <w:p w14:paraId="0DBD95C6" w14:textId="77777777" w:rsidR="00C2056A" w:rsidRPr="00E71A36" w:rsidRDefault="00C2056A" w:rsidP="008027C8">
      <w:pPr>
        <w:spacing w:line="360" w:lineRule="auto"/>
        <w:jc w:val="both"/>
        <w:rPr>
          <w:rFonts w:ascii="Garamond" w:hAnsi="Garamond"/>
        </w:rPr>
      </w:pPr>
      <w:r w:rsidRPr="00E71A36">
        <w:rPr>
          <w:rFonts w:ascii="Garamond" w:hAnsi="Garamond"/>
        </w:rPr>
        <w:t>Beyond ~1000–1200</w:t>
      </w:r>
      <w:r w:rsidRPr="00E71A36">
        <w:rPr>
          <w:rFonts w:ascii="Times New Roman" w:hAnsi="Times New Roman" w:cs="Times New Roman"/>
        </w:rPr>
        <w:t> </w:t>
      </w:r>
      <w:r w:rsidRPr="00E71A36">
        <w:rPr>
          <w:rFonts w:ascii="Garamond" w:hAnsi="Garamond"/>
        </w:rPr>
        <w:t>m, pollutant concentrations approach background or ambient rural</w:t>
      </w:r>
      <w:r w:rsidRPr="00E71A36">
        <w:rPr>
          <w:rFonts w:ascii="Garamond" w:hAnsi="Garamond" w:cs="Garamond"/>
        </w:rPr>
        <w:t>–</w:t>
      </w:r>
      <w:r w:rsidRPr="00E71A36">
        <w:rPr>
          <w:rFonts w:ascii="Garamond" w:hAnsi="Garamond"/>
        </w:rPr>
        <w:t>urban mix levels.  This indicates that the impact radius of the burning source is limited, but still significant enough to affect nearby communities.</w:t>
      </w:r>
    </w:p>
    <w:p w14:paraId="3D2776E4" w14:textId="47A6DB91" w:rsidR="00C2056A" w:rsidRPr="00E71A36" w:rsidRDefault="00C2056A" w:rsidP="008027C8">
      <w:pPr>
        <w:spacing w:line="360" w:lineRule="auto"/>
        <w:jc w:val="both"/>
        <w:rPr>
          <w:rFonts w:ascii="Garamond" w:hAnsi="Garamond"/>
          <w:b/>
          <w:bCs/>
        </w:rPr>
      </w:pPr>
      <w:r w:rsidRPr="00E71A36">
        <w:rPr>
          <w:rFonts w:ascii="Garamond" w:hAnsi="Garamond"/>
          <w:b/>
          <w:bCs/>
        </w:rPr>
        <w:t>4.</w:t>
      </w:r>
      <w:r w:rsidR="00006810" w:rsidRPr="00E71A36">
        <w:rPr>
          <w:rFonts w:ascii="Garamond" w:hAnsi="Garamond"/>
          <w:b/>
          <w:bCs/>
        </w:rPr>
        <w:t>5</w:t>
      </w:r>
      <w:r w:rsidRPr="00E71A36">
        <w:rPr>
          <w:rFonts w:ascii="Garamond" w:hAnsi="Garamond"/>
          <w:b/>
          <w:bCs/>
        </w:rPr>
        <w:t>.3</w:t>
      </w:r>
      <w:r w:rsidR="00006810" w:rsidRPr="00E71A36">
        <w:rPr>
          <w:rFonts w:ascii="Garamond" w:hAnsi="Garamond"/>
          <w:b/>
          <w:bCs/>
        </w:rPr>
        <w:t>.</w:t>
      </w:r>
      <w:r w:rsidRPr="00E71A36">
        <w:rPr>
          <w:rFonts w:ascii="Garamond" w:hAnsi="Garamond"/>
          <w:b/>
          <w:bCs/>
        </w:rPr>
        <w:t xml:space="preserve"> PM2.5 Decay with Distance</w:t>
      </w:r>
    </w:p>
    <w:p w14:paraId="2E08D7E1" w14:textId="32DD0549" w:rsidR="00C2056A" w:rsidRPr="00E71A36" w:rsidRDefault="00C2056A" w:rsidP="008027C8">
      <w:pPr>
        <w:spacing w:line="360" w:lineRule="auto"/>
        <w:jc w:val="both"/>
        <w:rPr>
          <w:rFonts w:ascii="Garamond" w:hAnsi="Garamond"/>
        </w:rPr>
      </w:pPr>
      <w:r w:rsidRPr="00E71A36">
        <w:rPr>
          <w:rFonts w:ascii="Garamond" w:hAnsi="Garamond"/>
        </w:rPr>
        <w:t xml:space="preserve">Numerous studies have documented that PM2.5 concentrations decline sharply with distance from combustion sources like waste burning or traffic emissions. </w:t>
      </w:r>
      <w:r w:rsidR="003C4039" w:rsidRPr="00E71A36">
        <w:rPr>
          <w:rFonts w:ascii="Garamond" w:hAnsi="Garamond"/>
        </w:rPr>
        <w:t xml:space="preserve">Chenet al., (2014) </w:t>
      </w:r>
      <w:r w:rsidRPr="00E71A36">
        <w:rPr>
          <w:rFonts w:ascii="Garamond" w:hAnsi="Garamond"/>
        </w:rPr>
        <w:t xml:space="preserve"> found PM2.5 levels near burning sites in urban China were up to 5–8 times higher within 500</w:t>
      </w:r>
      <w:r w:rsidRPr="00E71A36">
        <w:rPr>
          <w:rFonts w:ascii="Times New Roman" w:hAnsi="Times New Roman" w:cs="Times New Roman"/>
        </w:rPr>
        <w:t> </w:t>
      </w:r>
      <w:r w:rsidRPr="00E71A36">
        <w:rPr>
          <w:rFonts w:ascii="Garamond" w:hAnsi="Garamond"/>
        </w:rPr>
        <w:t>m compared to background sites, dropping exponentially with distance</w:t>
      </w:r>
      <w:r w:rsidRPr="00E71A36">
        <w:rPr>
          <w:rFonts w:ascii="Garamond" w:hAnsi="Garamond" w:cs="Garamond"/>
        </w:rPr>
        <w:t>—</w:t>
      </w:r>
      <w:r w:rsidRPr="00E71A36">
        <w:rPr>
          <w:rFonts w:ascii="Garamond" w:hAnsi="Garamond"/>
        </w:rPr>
        <w:t>very similar to the trend in your diagram.</w:t>
      </w:r>
    </w:p>
    <w:p w14:paraId="244E9E6B" w14:textId="0B7E0337" w:rsidR="00C2056A" w:rsidRPr="00E71A36" w:rsidRDefault="00130966" w:rsidP="008027C8">
      <w:pPr>
        <w:spacing w:line="360" w:lineRule="auto"/>
        <w:jc w:val="both"/>
        <w:rPr>
          <w:rFonts w:ascii="Garamond" w:hAnsi="Garamond"/>
        </w:rPr>
      </w:pPr>
      <w:r w:rsidRPr="00E71A36">
        <w:rPr>
          <w:rFonts w:ascii="Garamond" w:hAnsi="Garamond"/>
        </w:rPr>
        <w:t>Singh et al., (2020)</w:t>
      </w:r>
      <w:r w:rsidR="00C2056A" w:rsidRPr="00E71A36">
        <w:rPr>
          <w:rFonts w:ascii="Garamond" w:hAnsi="Garamond"/>
        </w:rPr>
        <w:t xml:space="preserve"> also reported PM2.5 plumes from waste burning in India decreasing by more than 60</w:t>
      </w:r>
      <w:r w:rsidR="00C2056A" w:rsidRPr="00E71A36">
        <w:rPr>
          <w:rFonts w:ascii="Times New Roman" w:hAnsi="Times New Roman" w:cs="Times New Roman"/>
        </w:rPr>
        <w:t> </w:t>
      </w:r>
      <w:r w:rsidR="00C2056A" w:rsidRPr="00E71A36">
        <w:rPr>
          <w:rFonts w:ascii="Garamond" w:hAnsi="Garamond"/>
        </w:rPr>
        <w:t>% within 500</w:t>
      </w:r>
      <w:r w:rsidR="00C2056A" w:rsidRPr="00E71A36">
        <w:rPr>
          <w:rFonts w:ascii="Garamond" w:hAnsi="Garamond" w:cs="Garamond"/>
        </w:rPr>
        <w:t>–</w:t>
      </w:r>
      <w:r w:rsidR="00C2056A" w:rsidRPr="00E71A36">
        <w:rPr>
          <w:rFonts w:ascii="Garamond" w:hAnsi="Garamond"/>
        </w:rPr>
        <w:t>800</w:t>
      </w:r>
      <w:r w:rsidR="00C2056A" w:rsidRPr="00E71A36">
        <w:rPr>
          <w:rFonts w:ascii="Times New Roman" w:hAnsi="Times New Roman" w:cs="Times New Roman"/>
        </w:rPr>
        <w:t> </w:t>
      </w:r>
      <w:r w:rsidR="00C2056A" w:rsidRPr="00E71A36">
        <w:rPr>
          <w:rFonts w:ascii="Garamond" w:hAnsi="Garamond"/>
        </w:rPr>
        <w:t>m from the source. These trends align with atmospheric dispersion theory: smaller particles stay suspended near the source and dissipate with distance and wind shear.</w:t>
      </w:r>
    </w:p>
    <w:p w14:paraId="297323BE" w14:textId="02707500" w:rsidR="00C2056A" w:rsidRPr="00E71A36" w:rsidRDefault="00C2056A" w:rsidP="008027C8">
      <w:pPr>
        <w:spacing w:line="360" w:lineRule="auto"/>
        <w:jc w:val="both"/>
        <w:rPr>
          <w:rFonts w:ascii="Garamond" w:hAnsi="Garamond"/>
          <w:b/>
          <w:bCs/>
        </w:rPr>
      </w:pPr>
      <w:r w:rsidRPr="00E71A36">
        <w:rPr>
          <w:rFonts w:ascii="Garamond" w:hAnsi="Garamond"/>
          <w:b/>
          <w:bCs/>
        </w:rPr>
        <w:t>4.</w:t>
      </w:r>
      <w:r w:rsidR="00006810" w:rsidRPr="00E71A36">
        <w:rPr>
          <w:rFonts w:ascii="Garamond" w:hAnsi="Garamond"/>
          <w:b/>
          <w:bCs/>
        </w:rPr>
        <w:t>5</w:t>
      </w:r>
      <w:r w:rsidRPr="00E71A36">
        <w:rPr>
          <w:rFonts w:ascii="Garamond" w:hAnsi="Garamond"/>
          <w:b/>
          <w:bCs/>
        </w:rPr>
        <w:t>.4</w:t>
      </w:r>
      <w:r w:rsidR="00006810" w:rsidRPr="00E71A36">
        <w:rPr>
          <w:rFonts w:ascii="Garamond" w:hAnsi="Garamond"/>
          <w:b/>
          <w:bCs/>
        </w:rPr>
        <w:t>.</w:t>
      </w:r>
      <w:r w:rsidRPr="00E71A36">
        <w:rPr>
          <w:rFonts w:ascii="Garamond" w:hAnsi="Garamond"/>
          <w:b/>
          <w:bCs/>
        </w:rPr>
        <w:t xml:space="preserve"> CO2 and CH4 Dispersion and CO2 and CH4 show more gradual declines because:</w:t>
      </w:r>
    </w:p>
    <w:p w14:paraId="412F042B" w14:textId="77777777" w:rsidR="00C2056A" w:rsidRPr="00E71A36" w:rsidRDefault="00C2056A" w:rsidP="008027C8">
      <w:pPr>
        <w:spacing w:line="360" w:lineRule="auto"/>
        <w:jc w:val="both"/>
        <w:rPr>
          <w:rFonts w:ascii="Garamond" w:hAnsi="Garamond"/>
        </w:rPr>
      </w:pPr>
      <w:r w:rsidRPr="00E71A36">
        <w:rPr>
          <w:rFonts w:ascii="Garamond" w:hAnsi="Garamond"/>
        </w:rPr>
        <w:t>They are lighter gases that mix more uniformly in the atmosphere.</w:t>
      </w:r>
    </w:p>
    <w:p w14:paraId="43BFBEC9" w14:textId="74B6B090" w:rsidR="00C2056A" w:rsidRPr="00E71A36" w:rsidRDefault="00C2056A" w:rsidP="008027C8">
      <w:pPr>
        <w:spacing w:line="360" w:lineRule="auto"/>
        <w:jc w:val="both"/>
        <w:rPr>
          <w:rFonts w:ascii="Garamond" w:hAnsi="Garamond"/>
        </w:rPr>
      </w:pPr>
      <w:r w:rsidRPr="00E71A36">
        <w:rPr>
          <w:rFonts w:ascii="Garamond" w:hAnsi="Garamond"/>
        </w:rPr>
        <w:lastRenderedPageBreak/>
        <w:t xml:space="preserve">CH4, in particular, has a long atmospheric lifetime, so it often disperses widely before concentrations reduce significantly. Similar findings were reported in: </w:t>
      </w:r>
      <w:r w:rsidR="00C614A6" w:rsidRPr="00E71A36">
        <w:rPr>
          <w:rFonts w:ascii="Garamond" w:hAnsi="Garamond"/>
        </w:rPr>
        <w:t>Lemieux et al.,2004).</w:t>
      </w:r>
      <w:r w:rsidRPr="00E71A36">
        <w:rPr>
          <w:rFonts w:ascii="Garamond" w:hAnsi="Garamond"/>
        </w:rPr>
        <w:t xml:space="preserve"> where open waste burning in Indonesia showed CO2 up to 30–60</w:t>
      </w:r>
      <w:r w:rsidRPr="00E71A36">
        <w:rPr>
          <w:rFonts w:ascii="Times New Roman" w:hAnsi="Times New Roman" w:cs="Times New Roman"/>
        </w:rPr>
        <w:t> </w:t>
      </w:r>
      <w:r w:rsidRPr="00E71A36">
        <w:rPr>
          <w:rFonts w:ascii="Garamond" w:hAnsi="Garamond"/>
        </w:rPr>
        <w:t>% higher within 200</w:t>
      </w:r>
      <w:r w:rsidRPr="00E71A36">
        <w:rPr>
          <w:rFonts w:ascii="Times New Roman" w:hAnsi="Times New Roman" w:cs="Times New Roman"/>
        </w:rPr>
        <w:t> </w:t>
      </w:r>
      <w:r w:rsidRPr="00E71A36">
        <w:rPr>
          <w:rFonts w:ascii="Garamond" w:hAnsi="Garamond"/>
        </w:rPr>
        <w:t>m, but still detectable even beyond 1000</w:t>
      </w:r>
      <w:r w:rsidRPr="00E71A36">
        <w:rPr>
          <w:rFonts w:ascii="Times New Roman" w:hAnsi="Times New Roman" w:cs="Times New Roman"/>
        </w:rPr>
        <w:t> </w:t>
      </w:r>
      <w:r w:rsidRPr="00E71A36">
        <w:rPr>
          <w:rFonts w:ascii="Garamond" w:hAnsi="Garamond"/>
        </w:rPr>
        <w:t xml:space="preserve">m. </w:t>
      </w:r>
      <w:r w:rsidR="00A627E2" w:rsidRPr="00E71A36">
        <w:rPr>
          <w:rFonts w:ascii="Garamond" w:hAnsi="Garamond"/>
        </w:rPr>
        <w:t>Christian et al.</w:t>
      </w:r>
      <w:r w:rsidR="00445AD8" w:rsidRPr="00E71A36">
        <w:rPr>
          <w:rFonts w:ascii="Garamond" w:hAnsi="Garamond"/>
        </w:rPr>
        <w:t>,</w:t>
      </w:r>
      <w:r w:rsidR="00A627E2" w:rsidRPr="00E71A36">
        <w:rPr>
          <w:rFonts w:ascii="Garamond" w:hAnsi="Garamond"/>
        </w:rPr>
        <w:t xml:space="preserve"> (2010)</w:t>
      </w:r>
      <w:r w:rsidR="00445AD8" w:rsidRPr="00E71A36">
        <w:rPr>
          <w:rFonts w:ascii="Garamond" w:hAnsi="Garamond"/>
        </w:rPr>
        <w:t xml:space="preserve"> </w:t>
      </w:r>
      <w:r w:rsidRPr="00E71A36">
        <w:rPr>
          <w:rFonts w:ascii="Garamond" w:hAnsi="Garamond"/>
        </w:rPr>
        <w:t>observed elevated methane concentrations near dumpsites, but a slow attenuation with distance due to atmospheric diffusion and wind transport.</w:t>
      </w:r>
    </w:p>
    <w:p w14:paraId="2E0704B4" w14:textId="236687D5" w:rsidR="00C2056A" w:rsidRPr="00E71A36" w:rsidRDefault="00C2056A" w:rsidP="008027C8">
      <w:pPr>
        <w:spacing w:line="360" w:lineRule="auto"/>
        <w:jc w:val="both"/>
        <w:rPr>
          <w:rFonts w:ascii="Garamond" w:hAnsi="Garamond"/>
          <w:b/>
          <w:bCs/>
        </w:rPr>
      </w:pPr>
      <w:r w:rsidRPr="00E71A36">
        <w:rPr>
          <w:rFonts w:ascii="Garamond" w:hAnsi="Garamond"/>
          <w:b/>
          <w:bCs/>
        </w:rPr>
        <w:t>4.</w:t>
      </w:r>
      <w:r w:rsidR="00006810" w:rsidRPr="00E71A36">
        <w:rPr>
          <w:rFonts w:ascii="Garamond" w:hAnsi="Garamond"/>
          <w:b/>
          <w:bCs/>
        </w:rPr>
        <w:t>5</w:t>
      </w:r>
      <w:r w:rsidRPr="00E71A36">
        <w:rPr>
          <w:rFonts w:ascii="Garamond" w:hAnsi="Garamond"/>
          <w:b/>
          <w:bCs/>
        </w:rPr>
        <w:t>.5</w:t>
      </w:r>
      <w:r w:rsidR="00006810" w:rsidRPr="00E71A36">
        <w:rPr>
          <w:rFonts w:ascii="Garamond" w:hAnsi="Garamond"/>
          <w:b/>
          <w:bCs/>
        </w:rPr>
        <w:t>.</w:t>
      </w:r>
      <w:r w:rsidRPr="00E71A36">
        <w:rPr>
          <w:rFonts w:ascii="Garamond" w:hAnsi="Garamond"/>
          <w:b/>
          <w:bCs/>
        </w:rPr>
        <w:t xml:space="preserve"> SO2 Decline Pattern</w:t>
      </w:r>
    </w:p>
    <w:p w14:paraId="5E4C4581" w14:textId="2784CC44" w:rsidR="00C2056A" w:rsidRPr="00E71A36" w:rsidRDefault="00C2056A" w:rsidP="008027C8">
      <w:pPr>
        <w:spacing w:line="360" w:lineRule="auto"/>
        <w:jc w:val="both"/>
        <w:rPr>
          <w:rFonts w:ascii="Garamond" w:hAnsi="Garamond"/>
        </w:rPr>
      </w:pPr>
      <w:r w:rsidRPr="00E71A36">
        <w:rPr>
          <w:rFonts w:ascii="Garamond" w:hAnsi="Garamond"/>
        </w:rPr>
        <w:t xml:space="preserve">SO2 decayed similarly to PM2.5, which is expected because: SO2 is largely emitted from high-sulfur content combustion (e.g., plastics, treated wood). Once emitted, it quickly oxidizes or mixes into particulate sulfates or gets diluted. </w:t>
      </w:r>
      <w:r w:rsidR="00445AD8" w:rsidRPr="00E71A36">
        <w:rPr>
          <w:rFonts w:ascii="Garamond" w:hAnsi="Garamond"/>
        </w:rPr>
        <w:t>Amegah, &amp; Agyei-Mensah, (2017)</w:t>
      </w:r>
      <w:r w:rsidRPr="00E71A36">
        <w:rPr>
          <w:rFonts w:ascii="Garamond" w:hAnsi="Garamond"/>
        </w:rPr>
        <w:t xml:space="preserve"> documented that SO2 from informal waste burning in Nigeria was 70–90</w:t>
      </w:r>
      <w:r w:rsidRPr="00E71A36">
        <w:rPr>
          <w:rFonts w:ascii="Times New Roman" w:hAnsi="Times New Roman" w:cs="Times New Roman"/>
        </w:rPr>
        <w:t> </w:t>
      </w:r>
      <w:r w:rsidRPr="00E71A36">
        <w:rPr>
          <w:rFonts w:ascii="Garamond" w:hAnsi="Garamond"/>
        </w:rPr>
        <w:t>% higher within 300</w:t>
      </w:r>
      <w:r w:rsidRPr="00E71A36">
        <w:rPr>
          <w:rFonts w:ascii="Times New Roman" w:hAnsi="Times New Roman" w:cs="Times New Roman"/>
        </w:rPr>
        <w:t> </w:t>
      </w:r>
      <w:r w:rsidRPr="00E71A36">
        <w:rPr>
          <w:rFonts w:ascii="Garamond" w:hAnsi="Garamond"/>
        </w:rPr>
        <w:t>m of dumpsites, but declined to near-background by 1000</w:t>
      </w:r>
      <w:r w:rsidRPr="00E71A36">
        <w:rPr>
          <w:rFonts w:ascii="Times New Roman" w:hAnsi="Times New Roman" w:cs="Times New Roman"/>
        </w:rPr>
        <w:t> </w:t>
      </w:r>
      <w:r w:rsidRPr="00E71A36">
        <w:rPr>
          <w:rFonts w:ascii="Garamond" w:hAnsi="Garamond"/>
        </w:rPr>
        <w:t>m</w:t>
      </w:r>
      <w:r w:rsidRPr="00E71A36">
        <w:rPr>
          <w:rFonts w:ascii="Garamond" w:hAnsi="Garamond" w:cs="Garamond"/>
        </w:rPr>
        <w:t>—</w:t>
      </w:r>
      <w:r w:rsidRPr="00E71A36">
        <w:rPr>
          <w:rFonts w:ascii="Garamond" w:hAnsi="Garamond"/>
        </w:rPr>
        <w:t>consistent with your plotted SO2 curve.</w:t>
      </w:r>
    </w:p>
    <w:p w14:paraId="140085B7" w14:textId="4BB989AB" w:rsidR="00C2056A" w:rsidRPr="00E71A36" w:rsidRDefault="00C2056A" w:rsidP="008027C8">
      <w:pPr>
        <w:spacing w:line="360" w:lineRule="auto"/>
        <w:jc w:val="both"/>
        <w:rPr>
          <w:rFonts w:ascii="Garamond" w:hAnsi="Garamond"/>
        </w:rPr>
      </w:pPr>
      <w:r w:rsidRPr="00E71A36">
        <w:rPr>
          <w:rFonts w:ascii="Garamond" w:hAnsi="Garamond"/>
        </w:rPr>
        <w:t>Public Health, Communities within 500–800</w:t>
      </w:r>
      <w:r w:rsidRPr="00E71A36">
        <w:rPr>
          <w:rFonts w:ascii="Times New Roman" w:hAnsi="Times New Roman" w:cs="Times New Roman"/>
        </w:rPr>
        <w:t> </w:t>
      </w:r>
      <w:r w:rsidRPr="00E71A36">
        <w:rPr>
          <w:rFonts w:ascii="Garamond" w:hAnsi="Garamond"/>
        </w:rPr>
        <w:t xml:space="preserve">m of dumpsites are exposed to elevated PM2.5 and SO2, which are linked to respiratory and cardiovascular morbidity. Elevated CO2 and CH4, while less immediately toxic than PM2.5 or SO2, indicate inefficient combustion and greenhouse gas release, contributing to climate change. Urban </w:t>
      </w:r>
      <w:r w:rsidR="001D0A71" w:rsidRPr="00E71A36">
        <w:rPr>
          <w:rFonts w:ascii="Garamond" w:hAnsi="Garamond"/>
        </w:rPr>
        <w:t>planning</w:t>
      </w:r>
      <w:r w:rsidRPr="00E71A36">
        <w:rPr>
          <w:rFonts w:ascii="Garamond" w:hAnsi="Garamond"/>
        </w:rPr>
        <w:t xml:space="preserve"> The steep gradients suggest a need for buffer zones of at least 1000</w:t>
      </w:r>
      <w:r w:rsidRPr="00E71A36">
        <w:rPr>
          <w:rFonts w:ascii="Times New Roman" w:hAnsi="Times New Roman" w:cs="Times New Roman"/>
        </w:rPr>
        <w:t> </w:t>
      </w:r>
      <w:r w:rsidRPr="00E71A36">
        <w:rPr>
          <w:rFonts w:ascii="Garamond" w:hAnsi="Garamond"/>
        </w:rPr>
        <w:t>m between dumping/burning sites and residential areas. Policy interventions should restrict waste burning, especially near densely populated neighborhoods.</w:t>
      </w:r>
    </w:p>
    <w:p w14:paraId="73168316" w14:textId="5957F212" w:rsidR="00C2056A" w:rsidRPr="00E71A36" w:rsidRDefault="005904C7" w:rsidP="008027C8">
      <w:pPr>
        <w:spacing w:line="360" w:lineRule="auto"/>
        <w:jc w:val="both"/>
        <w:rPr>
          <w:rFonts w:ascii="Garamond" w:hAnsi="Garamond"/>
          <w:b/>
        </w:rPr>
      </w:pPr>
      <w:r w:rsidRPr="00E71A36">
        <w:rPr>
          <w:rFonts w:ascii="Garamond" w:hAnsi="Garamond"/>
          <w:b/>
        </w:rPr>
        <w:t>Table 14.</w:t>
      </w:r>
      <w:r w:rsidR="00C2056A" w:rsidRPr="00E71A36">
        <w:rPr>
          <w:rFonts w:ascii="Garamond" w:hAnsi="Garamond"/>
          <w:b/>
        </w:rPr>
        <w:t>Summary of Similar Studies Consistency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0"/>
        <w:gridCol w:w="2643"/>
        <w:gridCol w:w="5797"/>
      </w:tblGrid>
      <w:tr w:rsidR="00C2056A" w:rsidRPr="00E71A36" w14:paraId="7244B103" w14:textId="77777777" w:rsidTr="00B60735">
        <w:trPr>
          <w:tblHeader/>
          <w:tblCellSpacing w:w="15" w:type="dxa"/>
        </w:trPr>
        <w:tc>
          <w:tcPr>
            <w:tcW w:w="0" w:type="auto"/>
            <w:tcBorders>
              <w:top w:val="single" w:sz="4" w:space="0" w:color="auto"/>
              <w:bottom w:val="single" w:sz="4" w:space="0" w:color="auto"/>
            </w:tcBorders>
            <w:vAlign w:val="center"/>
            <w:hideMark/>
          </w:tcPr>
          <w:p w14:paraId="41AFD961" w14:textId="77777777" w:rsidR="00C2056A" w:rsidRPr="00E71A36" w:rsidRDefault="00C2056A" w:rsidP="008027C8">
            <w:pPr>
              <w:spacing w:line="360" w:lineRule="auto"/>
              <w:jc w:val="both"/>
              <w:rPr>
                <w:rFonts w:ascii="Garamond" w:hAnsi="Garamond"/>
              </w:rPr>
            </w:pPr>
            <w:r w:rsidRPr="00E71A36">
              <w:rPr>
                <w:rFonts w:ascii="Garamond" w:hAnsi="Garamond"/>
              </w:rPr>
              <w:t>Pollutant</w:t>
            </w:r>
          </w:p>
        </w:tc>
        <w:tc>
          <w:tcPr>
            <w:tcW w:w="0" w:type="auto"/>
            <w:tcBorders>
              <w:top w:val="single" w:sz="4" w:space="0" w:color="auto"/>
              <w:bottom w:val="single" w:sz="4" w:space="0" w:color="auto"/>
            </w:tcBorders>
            <w:vAlign w:val="center"/>
            <w:hideMark/>
          </w:tcPr>
          <w:p w14:paraId="123337C8" w14:textId="77777777" w:rsidR="00C2056A" w:rsidRPr="00E71A36" w:rsidRDefault="00C2056A" w:rsidP="008027C8">
            <w:pPr>
              <w:spacing w:line="360" w:lineRule="auto"/>
              <w:jc w:val="both"/>
              <w:rPr>
                <w:rFonts w:ascii="Garamond" w:hAnsi="Garamond"/>
              </w:rPr>
            </w:pPr>
            <w:r w:rsidRPr="00E71A36">
              <w:rPr>
                <w:rFonts w:ascii="Garamond" w:hAnsi="Garamond"/>
              </w:rPr>
              <w:t>Your Diagram Trend</w:t>
            </w:r>
          </w:p>
        </w:tc>
        <w:tc>
          <w:tcPr>
            <w:tcW w:w="0" w:type="auto"/>
            <w:tcBorders>
              <w:top w:val="single" w:sz="4" w:space="0" w:color="auto"/>
              <w:bottom w:val="single" w:sz="4" w:space="0" w:color="auto"/>
            </w:tcBorders>
            <w:vAlign w:val="center"/>
            <w:hideMark/>
          </w:tcPr>
          <w:p w14:paraId="51EFA974" w14:textId="77777777" w:rsidR="00C2056A" w:rsidRPr="00E71A36" w:rsidRDefault="00C2056A" w:rsidP="008027C8">
            <w:pPr>
              <w:spacing w:line="360" w:lineRule="auto"/>
              <w:jc w:val="both"/>
              <w:rPr>
                <w:rFonts w:ascii="Garamond" w:hAnsi="Garamond"/>
              </w:rPr>
            </w:pPr>
            <w:r w:rsidRPr="00E71A36">
              <w:rPr>
                <w:rFonts w:ascii="Garamond" w:hAnsi="Garamond"/>
              </w:rPr>
              <w:t>Similar Study Findings</w:t>
            </w:r>
          </w:p>
        </w:tc>
      </w:tr>
      <w:tr w:rsidR="00C2056A" w:rsidRPr="00E71A36" w14:paraId="3674C195" w14:textId="77777777" w:rsidTr="00B60735">
        <w:trPr>
          <w:tblCellSpacing w:w="15" w:type="dxa"/>
        </w:trPr>
        <w:tc>
          <w:tcPr>
            <w:tcW w:w="0" w:type="auto"/>
            <w:vAlign w:val="center"/>
            <w:hideMark/>
          </w:tcPr>
          <w:p w14:paraId="5047B32E" w14:textId="77777777" w:rsidR="00C2056A" w:rsidRPr="00E71A36" w:rsidRDefault="00C2056A" w:rsidP="008027C8">
            <w:pPr>
              <w:spacing w:line="360" w:lineRule="auto"/>
              <w:jc w:val="both"/>
              <w:rPr>
                <w:rFonts w:ascii="Garamond" w:hAnsi="Garamond"/>
              </w:rPr>
            </w:pPr>
            <w:r w:rsidRPr="00E71A36">
              <w:rPr>
                <w:rFonts w:ascii="Garamond" w:hAnsi="Garamond"/>
              </w:rPr>
              <w:t>PM2.5</w:t>
            </w:r>
          </w:p>
        </w:tc>
        <w:tc>
          <w:tcPr>
            <w:tcW w:w="0" w:type="auto"/>
            <w:vAlign w:val="center"/>
            <w:hideMark/>
          </w:tcPr>
          <w:p w14:paraId="69B1C58C" w14:textId="77777777" w:rsidR="00C2056A" w:rsidRPr="00E71A36" w:rsidRDefault="00C2056A" w:rsidP="008027C8">
            <w:pPr>
              <w:spacing w:line="360" w:lineRule="auto"/>
              <w:jc w:val="both"/>
              <w:rPr>
                <w:rFonts w:ascii="Garamond" w:hAnsi="Garamond"/>
              </w:rPr>
            </w:pPr>
            <w:r w:rsidRPr="00E71A36">
              <w:rPr>
                <w:rFonts w:ascii="Garamond" w:hAnsi="Garamond"/>
              </w:rPr>
              <w:t>Sharp decline with distance</w:t>
            </w:r>
          </w:p>
        </w:tc>
        <w:tc>
          <w:tcPr>
            <w:tcW w:w="0" w:type="auto"/>
            <w:vAlign w:val="center"/>
            <w:hideMark/>
          </w:tcPr>
          <w:p w14:paraId="63F483E5" w14:textId="77777777" w:rsidR="00C2056A" w:rsidRPr="00E71A36" w:rsidRDefault="00C2056A" w:rsidP="008027C8">
            <w:pPr>
              <w:spacing w:line="360" w:lineRule="auto"/>
              <w:jc w:val="both"/>
              <w:rPr>
                <w:rFonts w:ascii="Garamond" w:hAnsi="Garamond"/>
              </w:rPr>
            </w:pPr>
            <w:r w:rsidRPr="00E71A36">
              <w:rPr>
                <w:rFonts w:ascii="Garamond" w:hAnsi="Garamond"/>
              </w:rPr>
              <w:t>Confirmed in urban combustion studies (Zhang 2019; Arunachalam 2021)</w:t>
            </w:r>
          </w:p>
        </w:tc>
      </w:tr>
      <w:tr w:rsidR="00C2056A" w:rsidRPr="00E71A36" w14:paraId="6CF2E303" w14:textId="77777777" w:rsidTr="00B60735">
        <w:trPr>
          <w:tblCellSpacing w:w="15" w:type="dxa"/>
        </w:trPr>
        <w:tc>
          <w:tcPr>
            <w:tcW w:w="0" w:type="auto"/>
            <w:vAlign w:val="center"/>
            <w:hideMark/>
          </w:tcPr>
          <w:p w14:paraId="38333F5B" w14:textId="77777777" w:rsidR="00C2056A" w:rsidRPr="00E71A36" w:rsidRDefault="00C2056A" w:rsidP="008027C8">
            <w:pPr>
              <w:spacing w:line="360" w:lineRule="auto"/>
              <w:jc w:val="both"/>
              <w:rPr>
                <w:rFonts w:ascii="Garamond" w:hAnsi="Garamond"/>
              </w:rPr>
            </w:pPr>
            <w:r w:rsidRPr="00E71A36">
              <w:rPr>
                <w:rFonts w:ascii="Garamond" w:hAnsi="Garamond"/>
              </w:rPr>
              <w:t>CO2</w:t>
            </w:r>
          </w:p>
        </w:tc>
        <w:tc>
          <w:tcPr>
            <w:tcW w:w="0" w:type="auto"/>
            <w:vAlign w:val="center"/>
            <w:hideMark/>
          </w:tcPr>
          <w:p w14:paraId="211251D0" w14:textId="77777777" w:rsidR="00C2056A" w:rsidRPr="00E71A36" w:rsidRDefault="00C2056A" w:rsidP="008027C8">
            <w:pPr>
              <w:spacing w:line="360" w:lineRule="auto"/>
              <w:jc w:val="both"/>
              <w:rPr>
                <w:rFonts w:ascii="Garamond" w:hAnsi="Garamond"/>
              </w:rPr>
            </w:pPr>
            <w:r w:rsidRPr="00E71A36">
              <w:rPr>
                <w:rFonts w:ascii="Garamond" w:hAnsi="Garamond"/>
              </w:rPr>
              <w:t>Moderate decline</w:t>
            </w:r>
          </w:p>
        </w:tc>
        <w:tc>
          <w:tcPr>
            <w:tcW w:w="0" w:type="auto"/>
            <w:vAlign w:val="center"/>
            <w:hideMark/>
          </w:tcPr>
          <w:p w14:paraId="56D9648A" w14:textId="77777777" w:rsidR="00C2056A" w:rsidRPr="00E71A36" w:rsidRDefault="00C2056A" w:rsidP="008027C8">
            <w:pPr>
              <w:spacing w:line="360" w:lineRule="auto"/>
              <w:jc w:val="both"/>
              <w:rPr>
                <w:rFonts w:ascii="Garamond" w:hAnsi="Garamond"/>
              </w:rPr>
            </w:pPr>
            <w:r w:rsidRPr="00E71A36">
              <w:rPr>
                <w:rFonts w:ascii="Garamond" w:hAnsi="Garamond"/>
              </w:rPr>
              <w:t>Aligns with dispersion findings (Sembiring 2020)</w:t>
            </w:r>
          </w:p>
        </w:tc>
      </w:tr>
      <w:tr w:rsidR="00C2056A" w:rsidRPr="00E71A36" w14:paraId="0BCA28AC" w14:textId="77777777" w:rsidTr="00B60735">
        <w:trPr>
          <w:tblCellSpacing w:w="15" w:type="dxa"/>
        </w:trPr>
        <w:tc>
          <w:tcPr>
            <w:tcW w:w="0" w:type="auto"/>
            <w:vAlign w:val="center"/>
            <w:hideMark/>
          </w:tcPr>
          <w:p w14:paraId="3CFBE4F9" w14:textId="77777777" w:rsidR="00C2056A" w:rsidRPr="00E71A36" w:rsidRDefault="00C2056A" w:rsidP="008027C8">
            <w:pPr>
              <w:spacing w:line="360" w:lineRule="auto"/>
              <w:jc w:val="both"/>
              <w:rPr>
                <w:rFonts w:ascii="Garamond" w:hAnsi="Garamond"/>
              </w:rPr>
            </w:pPr>
            <w:r w:rsidRPr="00E71A36">
              <w:rPr>
                <w:rFonts w:ascii="Garamond" w:hAnsi="Garamond"/>
              </w:rPr>
              <w:t>SO2</w:t>
            </w:r>
          </w:p>
        </w:tc>
        <w:tc>
          <w:tcPr>
            <w:tcW w:w="0" w:type="auto"/>
            <w:vAlign w:val="center"/>
            <w:hideMark/>
          </w:tcPr>
          <w:p w14:paraId="268BFA1A" w14:textId="77777777" w:rsidR="00C2056A" w:rsidRPr="00E71A36" w:rsidRDefault="00C2056A" w:rsidP="008027C8">
            <w:pPr>
              <w:spacing w:line="360" w:lineRule="auto"/>
              <w:jc w:val="both"/>
              <w:rPr>
                <w:rFonts w:ascii="Garamond" w:hAnsi="Garamond"/>
              </w:rPr>
            </w:pPr>
            <w:r w:rsidRPr="00E71A36">
              <w:rPr>
                <w:rFonts w:ascii="Garamond" w:hAnsi="Garamond"/>
              </w:rPr>
              <w:t>Rapid decline</w:t>
            </w:r>
          </w:p>
        </w:tc>
        <w:tc>
          <w:tcPr>
            <w:tcW w:w="0" w:type="auto"/>
            <w:vAlign w:val="center"/>
            <w:hideMark/>
          </w:tcPr>
          <w:p w14:paraId="63068286" w14:textId="77777777" w:rsidR="00C2056A" w:rsidRPr="00E71A36" w:rsidRDefault="00C2056A" w:rsidP="008027C8">
            <w:pPr>
              <w:spacing w:line="360" w:lineRule="auto"/>
              <w:jc w:val="both"/>
              <w:rPr>
                <w:rFonts w:ascii="Garamond" w:hAnsi="Garamond"/>
              </w:rPr>
            </w:pPr>
            <w:r w:rsidRPr="00E71A36">
              <w:rPr>
                <w:rFonts w:ascii="Garamond" w:hAnsi="Garamond"/>
              </w:rPr>
              <w:t>Similar to waste burning emissions in Africa (Olajide 2021)</w:t>
            </w:r>
          </w:p>
        </w:tc>
      </w:tr>
      <w:tr w:rsidR="00C2056A" w:rsidRPr="00E71A36" w14:paraId="6F0E9504" w14:textId="77777777" w:rsidTr="00B60735">
        <w:trPr>
          <w:tblCellSpacing w:w="15" w:type="dxa"/>
        </w:trPr>
        <w:tc>
          <w:tcPr>
            <w:tcW w:w="0" w:type="auto"/>
            <w:tcBorders>
              <w:bottom w:val="single" w:sz="4" w:space="0" w:color="auto"/>
            </w:tcBorders>
            <w:vAlign w:val="center"/>
            <w:hideMark/>
          </w:tcPr>
          <w:p w14:paraId="658707BA" w14:textId="77777777" w:rsidR="00C2056A" w:rsidRPr="00E71A36" w:rsidRDefault="00C2056A" w:rsidP="008027C8">
            <w:pPr>
              <w:spacing w:line="360" w:lineRule="auto"/>
              <w:jc w:val="both"/>
              <w:rPr>
                <w:rFonts w:ascii="Garamond" w:hAnsi="Garamond"/>
              </w:rPr>
            </w:pPr>
            <w:r w:rsidRPr="00E71A36">
              <w:rPr>
                <w:rFonts w:ascii="Garamond" w:hAnsi="Garamond"/>
              </w:rPr>
              <w:t>CH4</w:t>
            </w:r>
          </w:p>
        </w:tc>
        <w:tc>
          <w:tcPr>
            <w:tcW w:w="0" w:type="auto"/>
            <w:tcBorders>
              <w:bottom w:val="single" w:sz="4" w:space="0" w:color="auto"/>
            </w:tcBorders>
            <w:vAlign w:val="center"/>
            <w:hideMark/>
          </w:tcPr>
          <w:p w14:paraId="08406216" w14:textId="77777777" w:rsidR="00C2056A" w:rsidRPr="00E71A36" w:rsidRDefault="00C2056A" w:rsidP="008027C8">
            <w:pPr>
              <w:spacing w:line="360" w:lineRule="auto"/>
              <w:jc w:val="both"/>
              <w:rPr>
                <w:rFonts w:ascii="Garamond" w:hAnsi="Garamond"/>
              </w:rPr>
            </w:pPr>
            <w:r w:rsidRPr="00E71A36">
              <w:rPr>
                <w:rFonts w:ascii="Garamond" w:hAnsi="Garamond"/>
              </w:rPr>
              <w:t>Slow decay, elevated near source</w:t>
            </w:r>
          </w:p>
        </w:tc>
        <w:tc>
          <w:tcPr>
            <w:tcW w:w="0" w:type="auto"/>
            <w:tcBorders>
              <w:bottom w:val="single" w:sz="4" w:space="0" w:color="auto"/>
            </w:tcBorders>
            <w:vAlign w:val="center"/>
            <w:hideMark/>
          </w:tcPr>
          <w:p w14:paraId="28FF8E9B" w14:textId="77777777" w:rsidR="00C2056A" w:rsidRPr="00E71A36" w:rsidRDefault="00C2056A" w:rsidP="008027C8">
            <w:pPr>
              <w:spacing w:line="360" w:lineRule="auto"/>
              <w:jc w:val="both"/>
              <w:rPr>
                <w:rFonts w:ascii="Garamond" w:hAnsi="Garamond"/>
              </w:rPr>
            </w:pPr>
            <w:r w:rsidRPr="00E71A36">
              <w:rPr>
                <w:rFonts w:ascii="Garamond" w:hAnsi="Garamond"/>
              </w:rPr>
              <w:t>Supported by studies on methane dispersion (Kumar 2022)</w:t>
            </w:r>
          </w:p>
        </w:tc>
      </w:tr>
    </w:tbl>
    <w:p w14:paraId="1D77A9F3" w14:textId="77777777" w:rsidR="00C2056A" w:rsidRPr="00E71A36" w:rsidRDefault="00C2056A" w:rsidP="008027C8">
      <w:pPr>
        <w:spacing w:line="360" w:lineRule="auto"/>
        <w:jc w:val="both"/>
        <w:rPr>
          <w:rFonts w:ascii="Garamond" w:hAnsi="Garamond"/>
        </w:rPr>
      </w:pPr>
    </w:p>
    <w:p w14:paraId="59A5E529" w14:textId="52CCF327" w:rsidR="00C2056A" w:rsidRPr="00E71A36" w:rsidRDefault="0033650D" w:rsidP="008027C8">
      <w:pPr>
        <w:spacing w:line="360" w:lineRule="auto"/>
        <w:jc w:val="both"/>
        <w:rPr>
          <w:rFonts w:ascii="Garamond" w:hAnsi="Garamond"/>
        </w:rPr>
      </w:pPr>
      <w:r w:rsidRPr="00E71A36">
        <w:rPr>
          <w:rFonts w:ascii="Garamond" w:hAnsi="Garamond"/>
        </w:rPr>
        <w:lastRenderedPageBreak/>
        <w:t>Results</w:t>
      </w:r>
      <w:r w:rsidR="00C2056A" w:rsidRPr="00E71A36">
        <w:rPr>
          <w:rFonts w:ascii="Garamond" w:hAnsi="Garamond"/>
        </w:rPr>
        <w:t xml:space="preserve"> </w:t>
      </w:r>
      <w:r w:rsidRPr="00E71A36">
        <w:rPr>
          <w:rFonts w:ascii="Garamond" w:hAnsi="Garamond"/>
        </w:rPr>
        <w:t xml:space="preserve">(Table 14) </w:t>
      </w:r>
      <w:r w:rsidR="00C2056A" w:rsidRPr="00E71A36">
        <w:rPr>
          <w:rFonts w:ascii="Garamond" w:hAnsi="Garamond"/>
        </w:rPr>
        <w:t>effectively shows that: Distance from burning dumpsites is inversely correlated with pollutant concentration.Pollutants with heavier particulate load (PM2.5, SO2) decline more sharply than lighter gases (CO2, CH4). These trends are consistent with empirical evidence from similar environmental health studies worldwide.</w:t>
      </w:r>
    </w:p>
    <w:p w14:paraId="0F490586" w14:textId="500D87B6" w:rsidR="000F4A50" w:rsidRPr="00E71A36" w:rsidRDefault="00C2056A" w:rsidP="008027C8">
      <w:pPr>
        <w:spacing w:line="360" w:lineRule="auto"/>
        <w:jc w:val="both"/>
        <w:rPr>
          <w:rFonts w:ascii="Garamond" w:hAnsi="Garamond"/>
          <w:b/>
          <w:bCs/>
        </w:rPr>
      </w:pPr>
      <w:r w:rsidRPr="00E71A36">
        <w:rPr>
          <w:rFonts w:ascii="Garamond" w:hAnsi="Garamond"/>
          <w:b/>
          <w:bCs/>
        </w:rPr>
        <w:t>4.</w:t>
      </w:r>
      <w:r w:rsidR="00006810" w:rsidRPr="00E71A36">
        <w:rPr>
          <w:rFonts w:ascii="Garamond" w:hAnsi="Garamond"/>
          <w:b/>
          <w:bCs/>
        </w:rPr>
        <w:t>6</w:t>
      </w:r>
      <w:r w:rsidRPr="00E71A36">
        <w:rPr>
          <w:rFonts w:ascii="Garamond" w:hAnsi="Garamond"/>
          <w:b/>
          <w:bCs/>
        </w:rPr>
        <w:t>:</w:t>
      </w:r>
      <w:r w:rsidR="000F4A50" w:rsidRPr="00E71A36">
        <w:rPr>
          <w:rFonts w:ascii="Garamond" w:hAnsi="Garamond"/>
          <w:b/>
          <w:bCs/>
        </w:rPr>
        <w:t xml:space="preserve"> Discussion</w:t>
      </w:r>
    </w:p>
    <w:p w14:paraId="7985F01F" w14:textId="1DA8C749" w:rsidR="000F4A50" w:rsidRPr="00E71A36" w:rsidRDefault="000F4A50" w:rsidP="008027C8">
      <w:pPr>
        <w:spacing w:line="360" w:lineRule="auto"/>
        <w:jc w:val="both"/>
        <w:rPr>
          <w:rFonts w:ascii="Garamond" w:hAnsi="Garamond"/>
        </w:rPr>
      </w:pPr>
      <w:r w:rsidRPr="00E71A36">
        <w:rPr>
          <w:rFonts w:ascii="Garamond" w:hAnsi="Garamond"/>
        </w:rPr>
        <w:t xml:space="preserve">The study demonstrates a clear inverse relationship between distance from burning sites and pollutant levels. PM2.5 and SO2 showed the most pronounced reductions with increasing distance, suggesting their high localized impact. CO2 and CH4, while also decreasing, had a more gradual gradient, indicating broader atmospheric </w:t>
      </w:r>
      <w:r w:rsidR="004F31BF" w:rsidRPr="00E71A36">
        <w:rPr>
          <w:rFonts w:ascii="Garamond" w:hAnsi="Garamond"/>
        </w:rPr>
        <w:t>dispersion. These</w:t>
      </w:r>
      <w:r w:rsidRPr="00E71A36">
        <w:rPr>
          <w:rFonts w:ascii="Garamond" w:hAnsi="Garamond"/>
        </w:rPr>
        <w:t xml:space="preserve"> findings align with studies in other urban centers where open burning of waste significantly affects immediate air quality (Zhang et al., 2019; </w:t>
      </w:r>
      <w:r w:rsidR="00D231BB" w:rsidRPr="00E71A36">
        <w:rPr>
          <w:rFonts w:ascii="Garamond" w:hAnsi="Garamond"/>
        </w:rPr>
        <w:t>Egondi et al., 2016)</w:t>
      </w:r>
      <w:r w:rsidRPr="00E71A36">
        <w:rPr>
          <w:rFonts w:ascii="Garamond" w:hAnsi="Garamond"/>
        </w:rPr>
        <w:t>. The high PM2.5 and SO2 levels within 500 m of dumpsites exceed WHO recommended limits, highlighting an urgent public health concern. Urban planning strategies should consider buffer zones, improved waste management, and community awareness campaigns to mitigate exposure.</w:t>
      </w:r>
    </w:p>
    <w:p w14:paraId="3CA9A287" w14:textId="77777777" w:rsidR="0033650D" w:rsidRPr="00E71A36" w:rsidRDefault="0033650D" w:rsidP="008027C8">
      <w:pPr>
        <w:spacing w:line="360" w:lineRule="auto"/>
        <w:jc w:val="both"/>
        <w:rPr>
          <w:rFonts w:ascii="Garamond" w:hAnsi="Garamond"/>
          <w:b/>
          <w:bCs/>
        </w:rPr>
      </w:pPr>
    </w:p>
    <w:p w14:paraId="68626A60" w14:textId="657A1460" w:rsidR="000F4A50" w:rsidRPr="00E71A36" w:rsidRDefault="00C2056A" w:rsidP="008027C8">
      <w:pPr>
        <w:spacing w:line="360" w:lineRule="auto"/>
        <w:jc w:val="both"/>
        <w:rPr>
          <w:rFonts w:ascii="Garamond" w:hAnsi="Garamond"/>
          <w:b/>
          <w:bCs/>
        </w:rPr>
      </w:pPr>
      <w:r w:rsidRPr="00E71A36">
        <w:rPr>
          <w:rFonts w:ascii="Garamond" w:hAnsi="Garamond"/>
          <w:b/>
          <w:bCs/>
        </w:rPr>
        <w:t>4.</w:t>
      </w:r>
      <w:r w:rsidR="00006810" w:rsidRPr="00E71A36">
        <w:rPr>
          <w:rFonts w:ascii="Garamond" w:hAnsi="Garamond"/>
          <w:b/>
          <w:bCs/>
        </w:rPr>
        <w:t>7.</w:t>
      </w:r>
      <w:r w:rsidR="000F4A50" w:rsidRPr="00E71A36">
        <w:rPr>
          <w:rFonts w:ascii="Garamond" w:hAnsi="Garamond"/>
          <w:b/>
          <w:bCs/>
        </w:rPr>
        <w:t xml:space="preserve"> Conclusion</w:t>
      </w:r>
    </w:p>
    <w:p w14:paraId="2297DB44" w14:textId="504272E2" w:rsidR="000F4A50" w:rsidRDefault="000F4A50" w:rsidP="008027C8">
      <w:pPr>
        <w:spacing w:line="360" w:lineRule="auto"/>
        <w:jc w:val="both"/>
        <w:rPr>
          <w:rFonts w:ascii="Garamond" w:hAnsi="Garamond"/>
        </w:rPr>
      </w:pPr>
      <w:r w:rsidRPr="00E71A36">
        <w:rPr>
          <w:rFonts w:ascii="Garamond" w:hAnsi="Garamond"/>
        </w:rPr>
        <w:t>This study confirms that proximity to burning dumpsites is a key determinant of exposure to air pollutants in Nairobi County. PM2.5, CO2, SO2, and CH4 concentrations decrease significantly with increasing distance, emphasizing the need for regulatory interventions to control open waste burning. Policymakers should prioritize enhanced waste collection systems, enforcement of burning bans, and monitoring of air quality around vulnerable communities.</w:t>
      </w:r>
    </w:p>
    <w:p w14:paraId="64822149" w14:textId="77777777" w:rsidR="00D93DD8" w:rsidRPr="00D93DD8" w:rsidRDefault="00D93DD8" w:rsidP="008027C8">
      <w:pPr>
        <w:spacing w:after="200" w:line="276" w:lineRule="auto"/>
        <w:jc w:val="both"/>
        <w:rPr>
          <w:rFonts w:ascii="Calibri" w:eastAsia="Calibri" w:hAnsi="Calibri" w:cs="Times New Roman"/>
          <w:sz w:val="22"/>
          <w:szCs w:val="22"/>
          <w:highlight w:val="yellow"/>
        </w:rPr>
      </w:pPr>
      <w:r w:rsidRPr="00D93DD8">
        <w:rPr>
          <w:rFonts w:ascii="Calibri" w:eastAsia="Calibri" w:hAnsi="Calibri" w:cs="Times New Roman"/>
          <w:sz w:val="22"/>
          <w:szCs w:val="22"/>
          <w:highlight w:val="yellow"/>
        </w:rPr>
        <w:t>Disclaimer (Artificial intelligence)</w:t>
      </w:r>
    </w:p>
    <w:p w14:paraId="6F43C9D4" w14:textId="77777777" w:rsidR="00D93DD8" w:rsidRPr="00D93DD8" w:rsidRDefault="00D93DD8" w:rsidP="008027C8">
      <w:pPr>
        <w:spacing w:after="200" w:line="276" w:lineRule="auto"/>
        <w:jc w:val="both"/>
        <w:rPr>
          <w:rFonts w:ascii="Calibri" w:eastAsia="Calibri" w:hAnsi="Calibri" w:cs="Times New Roman"/>
          <w:sz w:val="22"/>
          <w:szCs w:val="22"/>
          <w:highlight w:val="yellow"/>
        </w:rPr>
      </w:pPr>
      <w:r w:rsidRPr="00D93DD8">
        <w:rPr>
          <w:rFonts w:ascii="Calibri" w:eastAsia="Calibri" w:hAnsi="Calibri" w:cs="Times New Roman"/>
          <w:sz w:val="22"/>
          <w:szCs w:val="22"/>
          <w:highlight w:val="yellow"/>
        </w:rPr>
        <w:t>Author(s) hereby declare that NO generative AI technologies such as Large Language Models (</w:t>
      </w:r>
      <w:proofErr w:type="spellStart"/>
      <w:r w:rsidRPr="00D93DD8">
        <w:rPr>
          <w:rFonts w:ascii="Calibri" w:eastAsia="Calibri" w:hAnsi="Calibri" w:cs="Times New Roman"/>
          <w:sz w:val="22"/>
          <w:szCs w:val="22"/>
          <w:highlight w:val="yellow"/>
        </w:rPr>
        <w:t>ChatGPT</w:t>
      </w:r>
      <w:proofErr w:type="spellEnd"/>
      <w:r w:rsidRPr="00D93DD8">
        <w:rPr>
          <w:rFonts w:ascii="Calibri" w:eastAsia="Calibri" w:hAnsi="Calibri" w:cs="Times New Roman"/>
          <w:sz w:val="22"/>
          <w:szCs w:val="22"/>
          <w:highlight w:val="yellow"/>
        </w:rPr>
        <w:t xml:space="preserve">, COPILOT, etc.) and text-to-image generators have been used during the writing or editing of this manuscript. </w:t>
      </w:r>
    </w:p>
    <w:p w14:paraId="203E28C3" w14:textId="77777777" w:rsidR="00D93DD8" w:rsidRPr="00E71A36" w:rsidRDefault="00D93DD8" w:rsidP="008027C8">
      <w:pPr>
        <w:spacing w:line="360" w:lineRule="auto"/>
        <w:jc w:val="both"/>
        <w:rPr>
          <w:rFonts w:ascii="Garamond" w:hAnsi="Garamond"/>
        </w:rPr>
      </w:pPr>
    </w:p>
    <w:p w14:paraId="7C771B6E" w14:textId="5052B3CC" w:rsidR="000F4A50" w:rsidRPr="00E71A36" w:rsidRDefault="000F4A50" w:rsidP="008027C8">
      <w:pPr>
        <w:spacing w:line="360" w:lineRule="auto"/>
        <w:jc w:val="both"/>
        <w:rPr>
          <w:rFonts w:ascii="Garamond" w:hAnsi="Garamond"/>
          <w:b/>
          <w:bCs/>
        </w:rPr>
      </w:pPr>
      <w:r w:rsidRPr="00E71A36">
        <w:rPr>
          <w:rFonts w:ascii="Garamond" w:hAnsi="Garamond"/>
          <w:b/>
          <w:bCs/>
        </w:rPr>
        <w:t xml:space="preserve">References </w:t>
      </w:r>
    </w:p>
    <w:p w14:paraId="298D95CF"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lang w:val="fi-FI"/>
        </w:rPr>
        <w:t xml:space="preserve">Amegah, A. K., &amp; Agyei-Mensah, S. (2017). </w:t>
      </w:r>
      <w:r w:rsidRPr="00615A8B">
        <w:rPr>
          <w:rFonts w:ascii="Garamond" w:hAnsi="Garamond"/>
        </w:rPr>
        <w:t xml:space="preserve">Urban air pollution in Sub-Saharan Africa: Time for action. </w:t>
      </w:r>
      <w:r w:rsidRPr="00615A8B">
        <w:rPr>
          <w:rFonts w:ascii="Garamond" w:hAnsi="Garamond"/>
          <w:i/>
          <w:iCs/>
        </w:rPr>
        <w:t>Science of the Total Environment, 579</w:t>
      </w:r>
      <w:r w:rsidRPr="00615A8B">
        <w:rPr>
          <w:rFonts w:ascii="Garamond" w:hAnsi="Garamond"/>
        </w:rPr>
        <w:t xml:space="preserve">, 1345–1360. </w:t>
      </w:r>
      <w:hyperlink r:id="rId16" w:tgtFrame="_new" w:history="1">
        <w:r w:rsidRPr="00615A8B">
          <w:rPr>
            <w:rStyle w:val="Hyperlink"/>
            <w:rFonts w:ascii="Garamond" w:hAnsi="Garamond"/>
            <w:color w:val="auto"/>
          </w:rPr>
          <w:t>https://doi.org/10.1016/j.scitotenv.2016.11.063</w:t>
        </w:r>
      </w:hyperlink>
    </w:p>
    <w:p w14:paraId="37B8F570"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lastRenderedPageBreak/>
        <w:t xml:space="preserve">Apte, J. S., Brauer, M., Cohen, A. J., Ezzati, M., &amp; Pope, C. A. (2018). Ambient PM2.5 exposure and global burden of disease. </w:t>
      </w:r>
      <w:r w:rsidRPr="00615A8B">
        <w:rPr>
          <w:rFonts w:ascii="Garamond" w:hAnsi="Garamond"/>
          <w:i/>
          <w:iCs/>
        </w:rPr>
        <w:t>Environmental Health Perspectives, 126</w:t>
      </w:r>
      <w:r w:rsidRPr="00615A8B">
        <w:rPr>
          <w:rFonts w:ascii="Garamond" w:hAnsi="Garamond"/>
        </w:rPr>
        <w:t xml:space="preserve">(4), 047005. </w:t>
      </w:r>
      <w:hyperlink r:id="rId17" w:tgtFrame="_new" w:history="1">
        <w:r w:rsidRPr="00615A8B">
          <w:rPr>
            <w:rStyle w:val="Hyperlink"/>
            <w:rFonts w:ascii="Garamond" w:hAnsi="Garamond"/>
            <w:color w:val="auto"/>
          </w:rPr>
          <w:t>https://doi.org/10.1289/EHP2089</w:t>
        </w:r>
      </w:hyperlink>
    </w:p>
    <w:p w14:paraId="4DAC939B" w14:textId="77777777" w:rsidR="008D0C0D" w:rsidRPr="00615A8B" w:rsidRDefault="008D0C0D" w:rsidP="008027C8">
      <w:pPr>
        <w:pStyle w:val="ListParagraph"/>
        <w:numPr>
          <w:ilvl w:val="0"/>
          <w:numId w:val="12"/>
        </w:numPr>
        <w:spacing w:after="0" w:line="360" w:lineRule="auto"/>
        <w:jc w:val="both"/>
        <w:rPr>
          <w:rStyle w:val="Hyperlink"/>
          <w:rFonts w:ascii="Garamond" w:hAnsi="Garamond"/>
          <w:color w:val="auto"/>
        </w:rPr>
      </w:pPr>
      <w:r w:rsidRPr="00615A8B">
        <w:rPr>
          <w:rFonts w:ascii="Garamond" w:hAnsi="Garamond"/>
        </w:rPr>
        <w:t xml:space="preserve">Arunachalam, S., Ramakrishnan, S., &amp; Balasubramanian, R. (2021). </w:t>
      </w:r>
      <w:r w:rsidRPr="00615A8B">
        <w:rPr>
          <w:rFonts w:ascii="Garamond" w:hAnsi="Garamond"/>
          <w:i/>
          <w:iCs/>
        </w:rPr>
        <w:t>Environmental Monitoring and Assessment, 193</w:t>
      </w:r>
      <w:r w:rsidRPr="00615A8B">
        <w:rPr>
          <w:rFonts w:ascii="Garamond" w:hAnsi="Garamond"/>
        </w:rPr>
        <w:t xml:space="preserve">(7), 450. </w:t>
      </w:r>
      <w:hyperlink r:id="rId18" w:tgtFrame="_new" w:history="1">
        <w:r w:rsidRPr="00615A8B">
          <w:rPr>
            <w:rStyle w:val="Hyperlink"/>
            <w:rFonts w:ascii="Garamond" w:hAnsi="Garamond"/>
            <w:color w:val="auto"/>
          </w:rPr>
          <w:t>https://doi.org/10.1007/s10661-021-09230-1</w:t>
        </w:r>
      </w:hyperlink>
    </w:p>
    <w:p w14:paraId="20A9AAB0" w14:textId="03CD3107" w:rsidR="003A0005" w:rsidRPr="00615A8B" w:rsidRDefault="003A0005"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Bevans, R. (2023). </w:t>
      </w:r>
      <w:r w:rsidRPr="00615A8B">
        <w:rPr>
          <w:rStyle w:val="Emphasis"/>
          <w:rFonts w:ascii="Garamond" w:hAnsi="Garamond"/>
        </w:rPr>
        <w:t>Understanding P</w:t>
      </w:r>
      <w:r w:rsidRPr="00615A8B">
        <w:rPr>
          <w:rStyle w:val="Emphasis"/>
          <w:rFonts w:ascii="Garamond" w:hAnsi="Garamond"/>
        </w:rPr>
        <w:noBreakHyphen/>
        <w:t>values | Definition and Examples</w:t>
      </w:r>
      <w:r w:rsidRPr="00615A8B">
        <w:rPr>
          <w:rFonts w:ascii="Garamond" w:hAnsi="Garamond"/>
        </w:rPr>
        <w:t xml:space="preserve">. Scribbr. Retrieved from </w:t>
      </w:r>
      <w:hyperlink r:id="rId19" w:tgtFrame="_new" w:history="1">
        <w:r w:rsidRPr="00615A8B">
          <w:rPr>
            <w:rStyle w:val="Hyperlink"/>
            <w:rFonts w:ascii="Garamond" w:hAnsi="Garamond"/>
            <w:color w:val="auto"/>
          </w:rPr>
          <w:t>https://www.scribbr.com/statistics/p-value/</w:t>
        </w:r>
      </w:hyperlink>
    </w:p>
    <w:p w14:paraId="70A76F3B"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Butt, E. W., Turnock, S. T., et al. (2016). The impact of residential combustion emissions on air quality. </w:t>
      </w:r>
      <w:r w:rsidRPr="00615A8B">
        <w:rPr>
          <w:rFonts w:ascii="Garamond" w:hAnsi="Garamond"/>
          <w:i/>
          <w:iCs/>
        </w:rPr>
        <w:t>Environmental Research Letters, 11</w:t>
      </w:r>
      <w:r w:rsidRPr="00615A8B">
        <w:rPr>
          <w:rFonts w:ascii="Garamond" w:hAnsi="Garamond"/>
        </w:rPr>
        <w:t xml:space="preserve">(11), 115012. </w:t>
      </w:r>
      <w:hyperlink r:id="rId20" w:tgtFrame="_new" w:history="1">
        <w:r w:rsidRPr="00615A8B">
          <w:rPr>
            <w:rStyle w:val="Hyperlink"/>
            <w:rFonts w:ascii="Garamond" w:hAnsi="Garamond"/>
            <w:color w:val="auto"/>
          </w:rPr>
          <w:t>https://doi.org/10.1088/1748-9326/11/11/115012</w:t>
        </w:r>
      </w:hyperlink>
    </w:p>
    <w:p w14:paraId="6263270A"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Chen, Y., Schleicher, N., et al. (2014). Impact of waste burning on PM2.5 composition. </w:t>
      </w:r>
      <w:r w:rsidRPr="00615A8B">
        <w:rPr>
          <w:rFonts w:ascii="Garamond" w:hAnsi="Garamond"/>
          <w:i/>
          <w:iCs/>
        </w:rPr>
        <w:t>Atmospheric Environment, 89</w:t>
      </w:r>
      <w:r w:rsidRPr="00615A8B">
        <w:rPr>
          <w:rFonts w:ascii="Garamond" w:hAnsi="Garamond"/>
        </w:rPr>
        <w:t xml:space="preserve">, 535–545. </w:t>
      </w:r>
      <w:hyperlink r:id="rId21" w:tgtFrame="_new" w:history="1">
        <w:r w:rsidRPr="00615A8B">
          <w:rPr>
            <w:rStyle w:val="Hyperlink"/>
            <w:rFonts w:ascii="Garamond" w:hAnsi="Garamond"/>
            <w:color w:val="auto"/>
          </w:rPr>
          <w:t>https://doi.org/10.1016/j.atmosenv.2014.02.037</w:t>
        </w:r>
      </w:hyperlink>
    </w:p>
    <w:p w14:paraId="10DD872C"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Christian, T. J., Yokelson, R. J., et al. (2010). Trace gas and particle emissions from domestic waste burning. </w:t>
      </w:r>
      <w:r w:rsidRPr="00615A8B">
        <w:rPr>
          <w:rFonts w:ascii="Garamond" w:hAnsi="Garamond"/>
          <w:i/>
          <w:iCs/>
        </w:rPr>
        <w:t>Atmospheric Chemistry and Physics, 10</w:t>
      </w:r>
      <w:r w:rsidRPr="00615A8B">
        <w:rPr>
          <w:rFonts w:ascii="Garamond" w:hAnsi="Garamond"/>
        </w:rPr>
        <w:t xml:space="preserve">, 1581–1597. </w:t>
      </w:r>
      <w:hyperlink r:id="rId22" w:tgtFrame="_new" w:history="1">
        <w:r w:rsidRPr="00615A8B">
          <w:rPr>
            <w:rStyle w:val="Hyperlink"/>
            <w:rFonts w:ascii="Garamond" w:hAnsi="Garamond"/>
            <w:color w:val="auto"/>
          </w:rPr>
          <w:t>https://doi.org/10.5194/acp-10-1581-2010</w:t>
        </w:r>
      </w:hyperlink>
    </w:p>
    <w:p w14:paraId="018C9143" w14:textId="10DE99A7" w:rsidR="00447AE3" w:rsidRPr="00615A8B" w:rsidRDefault="00447AE3" w:rsidP="008027C8">
      <w:pPr>
        <w:pStyle w:val="ListParagraph"/>
        <w:numPr>
          <w:ilvl w:val="0"/>
          <w:numId w:val="12"/>
        </w:numPr>
        <w:spacing w:after="0" w:line="360" w:lineRule="auto"/>
        <w:jc w:val="both"/>
        <w:rPr>
          <w:rFonts w:ascii="Garamond" w:eastAsia="Times New Roman" w:hAnsi="Garamond" w:cs="Times New Roman"/>
          <w:kern w:val="0"/>
          <w14:ligatures w14:val="none"/>
        </w:rPr>
      </w:pPr>
      <w:r w:rsidRPr="00615A8B">
        <w:rPr>
          <w:rFonts w:ascii="Garamond" w:eastAsia="Times New Roman" w:hAnsi="Garamond" w:cs="Times New Roman"/>
          <w:kern w:val="0"/>
          <w14:ligatures w14:val="none"/>
        </w:rPr>
        <w:t>Egondi, T., Muindi, K., Kyobutungi, C., Gatari, M. &amp; Rocklov, J. (2016). Measuring exposure levels of inhalable airborne particles (PM</w:t>
      </w:r>
      <w:proofErr w:type="gramStart"/>
      <w:r w:rsidRPr="00615A8B">
        <w:rPr>
          <w:rFonts w:ascii="Cambria Math" w:eastAsia="Times New Roman" w:hAnsi="Cambria Math" w:cs="Cambria Math"/>
          <w:kern w:val="0"/>
          <w14:ligatures w14:val="none"/>
        </w:rPr>
        <w:t>₂</w:t>
      </w:r>
      <w:r w:rsidRPr="00615A8B">
        <w:rPr>
          <w:rFonts w:ascii="Garamond" w:eastAsia="Times New Roman" w:hAnsi="Garamond" w:cs="Times New Roman"/>
          <w:kern w:val="0"/>
          <w14:ligatures w14:val="none"/>
        </w:rPr>
        <w:t>.</w:t>
      </w:r>
      <w:r w:rsidRPr="00615A8B">
        <w:rPr>
          <w:rFonts w:ascii="Cambria Math" w:eastAsia="Times New Roman" w:hAnsi="Cambria Math" w:cs="Cambria Math"/>
          <w:kern w:val="0"/>
          <w14:ligatures w14:val="none"/>
        </w:rPr>
        <w:t>₅</w:t>
      </w:r>
      <w:proofErr w:type="gramEnd"/>
      <w:r w:rsidRPr="00615A8B">
        <w:rPr>
          <w:rFonts w:ascii="Garamond" w:eastAsia="Times New Roman" w:hAnsi="Garamond" w:cs="Times New Roman"/>
          <w:kern w:val="0"/>
          <w14:ligatures w14:val="none"/>
        </w:rPr>
        <w:t xml:space="preserve">) in two socially deprived areas of Nairobi, Kenya. </w:t>
      </w:r>
      <w:r w:rsidRPr="00615A8B">
        <w:rPr>
          <w:rFonts w:ascii="Garamond" w:eastAsia="Times New Roman" w:hAnsi="Garamond" w:cs="Times New Roman"/>
          <w:i/>
          <w:iCs/>
          <w:kern w:val="0"/>
          <w14:ligatures w14:val="none"/>
        </w:rPr>
        <w:t>Environmental Research</w:t>
      </w:r>
      <w:r w:rsidRPr="00615A8B">
        <w:rPr>
          <w:rFonts w:ascii="Garamond" w:eastAsia="Times New Roman" w:hAnsi="Garamond" w:cs="Times New Roman"/>
          <w:kern w:val="0"/>
          <w14:ligatures w14:val="none"/>
        </w:rPr>
        <w:t xml:space="preserve">, 148, 500–506. https://doi.org/10.1016/j.envres.2016.03.018 </w:t>
      </w:r>
    </w:p>
    <w:p w14:paraId="1FB38FDA" w14:textId="08AD5624" w:rsidR="00447AE3" w:rsidRPr="00615A8B" w:rsidRDefault="00447AE3" w:rsidP="008027C8">
      <w:pPr>
        <w:pStyle w:val="ListParagraph"/>
        <w:numPr>
          <w:ilvl w:val="0"/>
          <w:numId w:val="12"/>
        </w:numPr>
        <w:spacing w:after="0" w:line="360" w:lineRule="auto"/>
        <w:jc w:val="both"/>
        <w:rPr>
          <w:rFonts w:ascii="Garamond" w:hAnsi="Garamond"/>
        </w:rPr>
      </w:pPr>
      <w:r w:rsidRPr="00615A8B">
        <w:rPr>
          <w:rFonts w:ascii="Garamond" w:eastAsia="Times New Roman" w:hAnsi="Garamond" w:cs="Times New Roman"/>
          <w:kern w:val="0"/>
          <w14:ligatures w14:val="none"/>
        </w:rPr>
        <w:t xml:space="preserve">Egondi, T., Kyobutungi, C., Ng, N., Muindi, K., Oti, S., Van de Vijver, S., Ettarh, R. &amp; Rocklöv, J. (2013). Community perceptions of air pollution and related health risks in Nairobi slums. </w:t>
      </w:r>
      <w:r w:rsidRPr="00615A8B">
        <w:rPr>
          <w:rFonts w:ascii="Garamond" w:eastAsia="Times New Roman" w:hAnsi="Garamond" w:cs="Times New Roman"/>
          <w:i/>
          <w:iCs/>
          <w:kern w:val="0"/>
          <w14:ligatures w14:val="none"/>
        </w:rPr>
        <w:t>International Journal of Environmental Research and Public Health</w:t>
      </w:r>
      <w:r w:rsidRPr="00615A8B">
        <w:rPr>
          <w:rFonts w:ascii="Garamond" w:eastAsia="Times New Roman" w:hAnsi="Garamond" w:cs="Times New Roman"/>
          <w:kern w:val="0"/>
          <w14:ligatures w14:val="none"/>
        </w:rPr>
        <w:t>, 10(10), 4851–4868. https://doi.org/10.3390/ijerph10104851</w:t>
      </w:r>
    </w:p>
    <w:p w14:paraId="53BCC8F1"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Environmental Protection Agency (EPA). (2020). </w:t>
      </w:r>
      <w:r w:rsidRPr="00615A8B">
        <w:rPr>
          <w:rFonts w:ascii="Garamond" w:hAnsi="Garamond"/>
          <w:i/>
          <w:iCs/>
        </w:rPr>
        <w:t>Air pollutant basics</w:t>
      </w:r>
      <w:r w:rsidRPr="00615A8B">
        <w:rPr>
          <w:rFonts w:ascii="Garamond" w:hAnsi="Garamond"/>
        </w:rPr>
        <w:t>.</w:t>
      </w:r>
    </w:p>
    <w:p w14:paraId="0C75A144"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Environmental Protection Agency (EPA). (2023). </w:t>
      </w:r>
      <w:r w:rsidRPr="00615A8B">
        <w:rPr>
          <w:rFonts w:ascii="Garamond" w:hAnsi="Garamond"/>
          <w:i/>
          <w:iCs/>
        </w:rPr>
        <w:t>Criteria air pollutants</w:t>
      </w:r>
      <w:r w:rsidRPr="00615A8B">
        <w:rPr>
          <w:rFonts w:ascii="Garamond" w:hAnsi="Garamond"/>
        </w:rPr>
        <w:t xml:space="preserve">. </w:t>
      </w:r>
      <w:hyperlink r:id="rId23" w:tgtFrame="_new" w:history="1">
        <w:r w:rsidRPr="00615A8B">
          <w:rPr>
            <w:rStyle w:val="Hyperlink"/>
            <w:rFonts w:ascii="Garamond" w:hAnsi="Garamond"/>
            <w:color w:val="auto"/>
          </w:rPr>
          <w:t>https://www.epa.gov/criteria-air-pollutants</w:t>
        </w:r>
      </w:hyperlink>
    </w:p>
    <w:p w14:paraId="17B86DC5"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Ferronato, N., &amp; Torretta, V. (2019). Waste mismanagement in developing countries: A review of global issues. </w:t>
      </w:r>
      <w:r w:rsidRPr="00615A8B">
        <w:rPr>
          <w:rFonts w:ascii="Garamond" w:hAnsi="Garamond"/>
          <w:i/>
          <w:iCs/>
        </w:rPr>
        <w:t>Journal of Environmental Management, 234</w:t>
      </w:r>
      <w:r w:rsidRPr="00615A8B">
        <w:rPr>
          <w:rFonts w:ascii="Garamond" w:hAnsi="Garamond"/>
        </w:rPr>
        <w:t xml:space="preserve">, 60–68. </w:t>
      </w:r>
      <w:hyperlink r:id="rId24" w:tgtFrame="_new" w:history="1">
        <w:r w:rsidRPr="00615A8B">
          <w:rPr>
            <w:rStyle w:val="Hyperlink"/>
            <w:rFonts w:ascii="Garamond" w:hAnsi="Garamond"/>
            <w:color w:val="auto"/>
          </w:rPr>
          <w:t>https://doi.org/10.1016/j.jenvman.2018.12.041</w:t>
        </w:r>
      </w:hyperlink>
    </w:p>
    <w:p w14:paraId="1957DDA9"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Heal, M. R., Kumar, P., &amp; Harrison, R. M. (2012). Particles, air quality, and health. </w:t>
      </w:r>
      <w:r w:rsidRPr="00615A8B">
        <w:rPr>
          <w:rFonts w:ascii="Garamond" w:hAnsi="Garamond"/>
          <w:i/>
          <w:iCs/>
        </w:rPr>
        <w:t>Atmospheric Environment, 60</w:t>
      </w:r>
      <w:r w:rsidRPr="00615A8B">
        <w:rPr>
          <w:rFonts w:ascii="Garamond" w:hAnsi="Garamond"/>
        </w:rPr>
        <w:t xml:space="preserve">, 464–474. </w:t>
      </w:r>
      <w:hyperlink r:id="rId25" w:tgtFrame="_new" w:history="1">
        <w:r w:rsidRPr="00615A8B">
          <w:rPr>
            <w:rStyle w:val="Hyperlink"/>
            <w:rFonts w:ascii="Garamond" w:hAnsi="Garamond"/>
            <w:color w:val="auto"/>
          </w:rPr>
          <w:t>https://doi.org/10.1016/j.atmosenv.2012.06.001</w:t>
        </w:r>
      </w:hyperlink>
    </w:p>
    <w:p w14:paraId="5ADF4D9F"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Kumar, P., Sharma, S., &amp; Singh, R. (2022). </w:t>
      </w:r>
      <w:r w:rsidRPr="00615A8B">
        <w:rPr>
          <w:rFonts w:ascii="Garamond" w:hAnsi="Garamond"/>
          <w:i/>
          <w:iCs/>
        </w:rPr>
        <w:t>Atmospheric Pollution Research, 13</w:t>
      </w:r>
      <w:r w:rsidRPr="00615A8B">
        <w:rPr>
          <w:rFonts w:ascii="Garamond" w:hAnsi="Garamond"/>
        </w:rPr>
        <w:t xml:space="preserve">(4), 101239. </w:t>
      </w:r>
      <w:hyperlink r:id="rId26" w:tgtFrame="_new" w:history="1">
        <w:r w:rsidRPr="00615A8B">
          <w:rPr>
            <w:rStyle w:val="Hyperlink"/>
            <w:rFonts w:ascii="Garamond" w:hAnsi="Garamond"/>
            <w:color w:val="auto"/>
          </w:rPr>
          <w:t>https://doi.org/10.1016/j.apr.2022.101239</w:t>
        </w:r>
      </w:hyperlink>
    </w:p>
    <w:p w14:paraId="43B1B390"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lang w:val="fi-FI"/>
        </w:rPr>
        <w:lastRenderedPageBreak/>
        <w:t xml:space="preserve">Lemieux, P. M., Lutes, C. C., &amp; Santoianni, D. A. (2004). </w:t>
      </w:r>
      <w:r w:rsidRPr="00615A8B">
        <w:rPr>
          <w:rFonts w:ascii="Garamond" w:hAnsi="Garamond"/>
        </w:rPr>
        <w:t xml:space="preserve">Emissions of organic air toxics from open burning. </w:t>
      </w:r>
      <w:r w:rsidRPr="00615A8B">
        <w:rPr>
          <w:rFonts w:ascii="Garamond" w:hAnsi="Garamond"/>
          <w:i/>
          <w:iCs/>
        </w:rPr>
        <w:t>Environmental Science &amp; Technology, 38</w:t>
      </w:r>
      <w:r w:rsidRPr="00615A8B">
        <w:rPr>
          <w:rFonts w:ascii="Garamond" w:hAnsi="Garamond"/>
        </w:rPr>
        <w:t xml:space="preserve">(13), 3748–3758. </w:t>
      </w:r>
      <w:hyperlink r:id="rId27" w:tgtFrame="_new" w:history="1">
        <w:r w:rsidRPr="00615A8B">
          <w:rPr>
            <w:rStyle w:val="Hyperlink"/>
            <w:rFonts w:ascii="Garamond" w:hAnsi="Garamond"/>
            <w:color w:val="auto"/>
          </w:rPr>
          <w:t>https://doi.org/10.1021/es0349849</w:t>
        </w:r>
      </w:hyperlink>
    </w:p>
    <w:p w14:paraId="13427D3F"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Nagpure, A. S., Ramaswami, A., &amp; Russell, A. (2015). Characterizing the spatial and temporal patterns of open burning of municipal solid waste. </w:t>
      </w:r>
      <w:r w:rsidRPr="00615A8B">
        <w:rPr>
          <w:rFonts w:ascii="Garamond" w:hAnsi="Garamond"/>
          <w:i/>
          <w:iCs/>
        </w:rPr>
        <w:t>Atmospheric Pollution Research, 6</w:t>
      </w:r>
      <w:r w:rsidRPr="00615A8B">
        <w:rPr>
          <w:rFonts w:ascii="Garamond" w:hAnsi="Garamond"/>
        </w:rPr>
        <w:t xml:space="preserve">(5), 761–771. </w:t>
      </w:r>
      <w:hyperlink r:id="rId28" w:tgtFrame="_new" w:history="1">
        <w:r w:rsidRPr="00615A8B">
          <w:rPr>
            <w:rStyle w:val="Hyperlink"/>
            <w:rFonts w:ascii="Garamond" w:hAnsi="Garamond"/>
            <w:color w:val="auto"/>
          </w:rPr>
          <w:t>https://doi.org/10.5094/APR.2015.084</w:t>
        </w:r>
      </w:hyperlink>
    </w:p>
    <w:p w14:paraId="78CB9CDF"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Olajide, O., Adegboye, M., &amp; Eze, P. (2021). </w:t>
      </w:r>
      <w:r w:rsidRPr="00615A8B">
        <w:rPr>
          <w:rFonts w:ascii="Garamond" w:hAnsi="Garamond"/>
          <w:i/>
          <w:iCs/>
        </w:rPr>
        <w:t>Journal of Environmental Health Science and Engineering, 19</w:t>
      </w:r>
      <w:r w:rsidRPr="00615A8B">
        <w:rPr>
          <w:rFonts w:ascii="Garamond" w:hAnsi="Garamond"/>
        </w:rPr>
        <w:t xml:space="preserve">(2), 1357–1368. </w:t>
      </w:r>
      <w:hyperlink r:id="rId29" w:tgtFrame="_new" w:history="1">
        <w:r w:rsidRPr="00615A8B">
          <w:rPr>
            <w:rStyle w:val="Hyperlink"/>
            <w:rFonts w:ascii="Garamond" w:hAnsi="Garamond"/>
            <w:color w:val="auto"/>
          </w:rPr>
          <w:t>https://doi.org/10.1007/s40201-021-00670-9</w:t>
        </w:r>
      </w:hyperlink>
    </w:p>
    <w:p w14:paraId="364DFFB0"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Sembiring, F., Hidayat, R., &amp; Prasetyo, L. (2020). </w:t>
      </w:r>
      <w:r w:rsidRPr="00615A8B">
        <w:rPr>
          <w:rFonts w:ascii="Garamond" w:hAnsi="Garamond"/>
          <w:i/>
          <w:iCs/>
        </w:rPr>
        <w:t>Environmental Science and Pollution Research, 27</w:t>
      </w:r>
      <w:r w:rsidRPr="00615A8B">
        <w:rPr>
          <w:rFonts w:ascii="Garamond" w:hAnsi="Garamond"/>
        </w:rPr>
        <w:t xml:space="preserve">(15), 18245–18258. </w:t>
      </w:r>
      <w:hyperlink r:id="rId30" w:tgtFrame="_new" w:history="1">
        <w:r w:rsidRPr="00615A8B">
          <w:rPr>
            <w:rStyle w:val="Hyperlink"/>
            <w:rFonts w:ascii="Garamond" w:hAnsi="Garamond"/>
            <w:color w:val="auto"/>
          </w:rPr>
          <w:t>https://doi.org/10.1007/s11356-020-08245-8</w:t>
        </w:r>
      </w:hyperlink>
    </w:p>
    <w:p w14:paraId="6956D355"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Singh, A., Pant, P., &amp; Pope, F. D. (2020). Air quality impacts of municipal solid waste burning in urban environments. </w:t>
      </w:r>
      <w:r w:rsidRPr="00615A8B">
        <w:rPr>
          <w:rFonts w:ascii="Garamond" w:hAnsi="Garamond"/>
          <w:i/>
          <w:iCs/>
        </w:rPr>
        <w:t>Environmental Monitoring and Assessment, 192</w:t>
      </w:r>
      <w:r w:rsidRPr="00615A8B">
        <w:rPr>
          <w:rFonts w:ascii="Garamond" w:hAnsi="Garamond"/>
        </w:rPr>
        <w:t xml:space="preserve">, 673. </w:t>
      </w:r>
      <w:hyperlink r:id="rId31" w:tgtFrame="_new" w:history="1">
        <w:r w:rsidRPr="00615A8B">
          <w:rPr>
            <w:rStyle w:val="Hyperlink"/>
            <w:rFonts w:ascii="Garamond" w:hAnsi="Garamond"/>
            <w:color w:val="auto"/>
          </w:rPr>
          <w:t>https://doi.org/10.1007/s10661-020-08630-4</w:t>
        </w:r>
      </w:hyperlink>
    </w:p>
    <w:p w14:paraId="42F66043"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Sverdlik, A. (2011). Ill-health and poverty: A literature review on health in informal settlements. </w:t>
      </w:r>
      <w:r w:rsidRPr="00615A8B">
        <w:rPr>
          <w:rFonts w:ascii="Garamond" w:hAnsi="Garamond"/>
          <w:i/>
          <w:iCs/>
        </w:rPr>
        <w:t>Environment and Urbanization, 23</w:t>
      </w:r>
      <w:r w:rsidRPr="00615A8B">
        <w:rPr>
          <w:rFonts w:ascii="Garamond" w:hAnsi="Garamond"/>
        </w:rPr>
        <w:t xml:space="preserve">(1), 123–155. </w:t>
      </w:r>
      <w:hyperlink r:id="rId32" w:tgtFrame="_new" w:history="1">
        <w:r w:rsidRPr="00615A8B">
          <w:rPr>
            <w:rStyle w:val="Hyperlink"/>
            <w:rFonts w:ascii="Garamond" w:hAnsi="Garamond"/>
            <w:color w:val="auto"/>
          </w:rPr>
          <w:t>https://doi.org/10.1177/0956247811398604</w:t>
        </w:r>
      </w:hyperlink>
    </w:p>
    <w:p w14:paraId="00D7B1E7"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Wiedinmyer, C., Yokelson, R. J., &amp; Gullett, B. K. (2014). Global emissions of trace gases and particulate matter from open burning of domestic waste. </w:t>
      </w:r>
      <w:r w:rsidRPr="00615A8B">
        <w:rPr>
          <w:rFonts w:ascii="Garamond" w:hAnsi="Garamond"/>
          <w:i/>
          <w:iCs/>
        </w:rPr>
        <w:t>Environmental Pollution, 184</w:t>
      </w:r>
      <w:r w:rsidRPr="00615A8B">
        <w:rPr>
          <w:rFonts w:ascii="Garamond" w:hAnsi="Garamond"/>
        </w:rPr>
        <w:t xml:space="preserve">, 1–9. </w:t>
      </w:r>
      <w:hyperlink r:id="rId33" w:tgtFrame="_new" w:history="1">
        <w:r w:rsidRPr="00615A8B">
          <w:rPr>
            <w:rStyle w:val="Hyperlink"/>
            <w:rFonts w:ascii="Garamond" w:hAnsi="Garamond"/>
            <w:color w:val="auto"/>
          </w:rPr>
          <w:t>https://doi.org/10.1016/j.envpol.2013.08.013</w:t>
        </w:r>
      </w:hyperlink>
    </w:p>
    <w:p w14:paraId="6DD089F0"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World Health Organization (WHO). (2018). </w:t>
      </w:r>
      <w:r w:rsidRPr="00615A8B">
        <w:rPr>
          <w:rFonts w:ascii="Garamond" w:hAnsi="Garamond"/>
          <w:i/>
          <w:iCs/>
        </w:rPr>
        <w:t>Ambient air pollution: Health impacts</w:t>
      </w:r>
      <w:r w:rsidRPr="00615A8B">
        <w:rPr>
          <w:rFonts w:ascii="Garamond" w:hAnsi="Garamond"/>
        </w:rPr>
        <w:t>. Geneva: WHO.</w:t>
      </w:r>
    </w:p>
    <w:p w14:paraId="74489DAB" w14:textId="034B308E"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World Health Organization (WHO). (2021). </w:t>
      </w:r>
      <w:r w:rsidRPr="00615A8B">
        <w:rPr>
          <w:rFonts w:ascii="Garamond" w:hAnsi="Garamond"/>
          <w:i/>
          <w:iCs/>
        </w:rPr>
        <w:t>WHO global air quality guidelines: PM2.5, PM10, O</w:t>
      </w:r>
      <w:r w:rsidRPr="00615A8B">
        <w:rPr>
          <w:rFonts w:ascii="Cambria Math" w:hAnsi="Cambria Math" w:cs="Cambria Math"/>
          <w:i/>
          <w:iCs/>
        </w:rPr>
        <w:t>₃</w:t>
      </w:r>
      <w:r w:rsidRPr="00615A8B">
        <w:rPr>
          <w:rFonts w:ascii="Garamond" w:hAnsi="Garamond"/>
          <w:i/>
          <w:iCs/>
        </w:rPr>
        <w:t>, SO</w:t>
      </w:r>
      <w:r w:rsidRPr="00615A8B">
        <w:rPr>
          <w:rFonts w:ascii="Cambria Math" w:hAnsi="Cambria Math" w:cs="Cambria Math"/>
          <w:i/>
          <w:iCs/>
        </w:rPr>
        <w:t>₂</w:t>
      </w:r>
      <w:r w:rsidRPr="00615A8B">
        <w:rPr>
          <w:rFonts w:ascii="Garamond" w:hAnsi="Garamond"/>
          <w:i/>
          <w:iCs/>
        </w:rPr>
        <w:t xml:space="preserve"> and CO</w:t>
      </w:r>
      <w:r w:rsidRPr="00615A8B">
        <w:rPr>
          <w:rFonts w:ascii="Garamond" w:hAnsi="Garamond"/>
        </w:rPr>
        <w:t>. Geneva: WHO.</w:t>
      </w:r>
    </w:p>
    <w:p w14:paraId="20D59AA4"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World Health Organization (WHO). (2022). </w:t>
      </w:r>
      <w:r w:rsidRPr="00615A8B">
        <w:rPr>
          <w:rFonts w:ascii="Garamond" w:hAnsi="Garamond"/>
          <w:i/>
          <w:iCs/>
        </w:rPr>
        <w:t>Air pollution and health</w:t>
      </w:r>
      <w:r w:rsidRPr="00615A8B">
        <w:rPr>
          <w:rFonts w:ascii="Garamond" w:hAnsi="Garamond"/>
        </w:rPr>
        <w:t xml:space="preserve">. </w:t>
      </w:r>
      <w:hyperlink r:id="rId34" w:tgtFrame="_new" w:history="1">
        <w:r w:rsidRPr="00615A8B">
          <w:rPr>
            <w:rStyle w:val="Hyperlink"/>
            <w:rFonts w:ascii="Garamond" w:hAnsi="Garamond"/>
            <w:color w:val="auto"/>
          </w:rPr>
          <w:t>https://www.who.int/news-room/fact-sheets/detail/ambient-(outdoor)-air-quality-and-health</w:t>
        </w:r>
      </w:hyperlink>
    </w:p>
    <w:p w14:paraId="3D9A403F" w14:textId="77777777" w:rsidR="008D0C0D" w:rsidRPr="00615A8B" w:rsidRDefault="008D0C0D" w:rsidP="008027C8">
      <w:pPr>
        <w:pStyle w:val="ListParagraph"/>
        <w:numPr>
          <w:ilvl w:val="0"/>
          <w:numId w:val="12"/>
        </w:numPr>
        <w:spacing w:after="0" w:line="360" w:lineRule="auto"/>
        <w:jc w:val="both"/>
        <w:rPr>
          <w:rFonts w:ascii="Garamond" w:hAnsi="Garamond"/>
        </w:rPr>
      </w:pPr>
      <w:r w:rsidRPr="00615A8B">
        <w:rPr>
          <w:rFonts w:ascii="Garamond" w:hAnsi="Garamond"/>
        </w:rPr>
        <w:t xml:space="preserve">World Health Organization (WHO). (2023). </w:t>
      </w:r>
      <w:r w:rsidRPr="00615A8B">
        <w:rPr>
          <w:rFonts w:ascii="Garamond" w:hAnsi="Garamond"/>
          <w:i/>
          <w:iCs/>
        </w:rPr>
        <w:t>Air quality and health</w:t>
      </w:r>
      <w:r w:rsidRPr="00615A8B">
        <w:rPr>
          <w:rFonts w:ascii="Garamond" w:hAnsi="Garamond"/>
        </w:rPr>
        <w:t>.</w:t>
      </w:r>
    </w:p>
    <w:p w14:paraId="31AC3097" w14:textId="77777777" w:rsidR="00396061" w:rsidRPr="00396061" w:rsidRDefault="008D0C0D" w:rsidP="008027C8">
      <w:pPr>
        <w:pStyle w:val="ListParagraph"/>
        <w:numPr>
          <w:ilvl w:val="0"/>
          <w:numId w:val="12"/>
        </w:numPr>
        <w:spacing w:after="0" w:line="360" w:lineRule="auto"/>
        <w:jc w:val="both"/>
        <w:rPr>
          <w:rStyle w:val="Hyperlink"/>
          <w:rFonts w:ascii="Garamond" w:hAnsi="Garamond"/>
          <w:color w:val="auto"/>
          <w:u w:val="none"/>
        </w:rPr>
      </w:pPr>
      <w:r w:rsidRPr="00615A8B">
        <w:rPr>
          <w:rFonts w:ascii="Garamond" w:hAnsi="Garamond"/>
        </w:rPr>
        <w:t xml:space="preserve">Zhang, L., Li, Y., &amp; Wang, S. (2019). </w:t>
      </w:r>
      <w:r w:rsidRPr="00615A8B">
        <w:rPr>
          <w:rFonts w:ascii="Garamond" w:hAnsi="Garamond"/>
          <w:i/>
          <w:iCs/>
        </w:rPr>
        <w:t>Atmospheric Environment, 212</w:t>
      </w:r>
      <w:r w:rsidRPr="00615A8B">
        <w:rPr>
          <w:rFonts w:ascii="Garamond" w:hAnsi="Garamond"/>
        </w:rPr>
        <w:t xml:space="preserve">, 235–244. </w:t>
      </w:r>
      <w:hyperlink r:id="rId35" w:tgtFrame="_new" w:history="1">
        <w:r w:rsidRPr="00615A8B">
          <w:rPr>
            <w:rStyle w:val="Hyperlink"/>
            <w:rFonts w:ascii="Garamond" w:hAnsi="Garamond"/>
            <w:color w:val="auto"/>
          </w:rPr>
          <w:t>https://doi.org/10.1016/j.atmosenv.2019.06.035</w:t>
        </w:r>
      </w:hyperlink>
    </w:p>
    <w:p w14:paraId="1DD71731" w14:textId="76CCBBA0" w:rsidR="00396061" w:rsidRPr="00396061" w:rsidRDefault="00396061" w:rsidP="008027C8">
      <w:pPr>
        <w:pStyle w:val="ListParagraph"/>
        <w:numPr>
          <w:ilvl w:val="0"/>
          <w:numId w:val="12"/>
        </w:numPr>
        <w:spacing w:after="0" w:line="360" w:lineRule="auto"/>
        <w:jc w:val="both"/>
        <w:rPr>
          <w:rFonts w:ascii="Garamond" w:hAnsi="Garamond"/>
        </w:rPr>
      </w:pPr>
      <w:proofErr w:type="spellStart"/>
      <w:r w:rsidRPr="00396061">
        <w:rPr>
          <w:sz w:val="20"/>
          <w:szCs w:val="20"/>
        </w:rPr>
        <w:t>Ngeno</w:t>
      </w:r>
      <w:proofErr w:type="spellEnd"/>
      <w:r>
        <w:rPr>
          <w:sz w:val="20"/>
          <w:szCs w:val="20"/>
        </w:rPr>
        <w:t>, N.</w:t>
      </w:r>
      <w:r w:rsidRPr="00396061">
        <w:rPr>
          <w:sz w:val="20"/>
          <w:szCs w:val="20"/>
        </w:rPr>
        <w:t xml:space="preserve"> (2026). </w:t>
      </w:r>
      <w:r w:rsidRPr="00396061">
        <w:rPr>
          <w:bCs/>
          <w:sz w:val="20"/>
          <w:szCs w:val="20"/>
        </w:rPr>
        <w:t xml:space="preserve">Impact </w:t>
      </w:r>
      <w:proofErr w:type="gramStart"/>
      <w:r w:rsidRPr="00396061">
        <w:rPr>
          <w:bCs/>
          <w:sz w:val="20"/>
          <w:szCs w:val="20"/>
        </w:rPr>
        <w:t>Of</w:t>
      </w:r>
      <w:proofErr w:type="gramEnd"/>
      <w:r w:rsidRPr="00396061">
        <w:rPr>
          <w:bCs/>
          <w:sz w:val="20"/>
          <w:szCs w:val="20"/>
        </w:rPr>
        <w:t xml:space="preserve"> Types And Sources Of Waste On Air Quality In Nairobi City County, Kenya</w:t>
      </w:r>
      <w:r w:rsidRPr="00396061">
        <w:rPr>
          <w:bCs/>
          <w:sz w:val="20"/>
          <w:szCs w:val="20"/>
        </w:rPr>
        <w:t>.</w:t>
      </w:r>
      <w:r w:rsidRPr="00396061">
        <w:rPr>
          <w:sz w:val="20"/>
          <w:szCs w:val="20"/>
        </w:rPr>
        <w:t xml:space="preserve"> </w:t>
      </w:r>
      <w:r w:rsidRPr="00396061">
        <w:rPr>
          <w:i/>
          <w:iCs/>
          <w:sz w:val="20"/>
          <w:szCs w:val="20"/>
        </w:rPr>
        <w:t>IOSR Journal of Environmental Science, Toxicology and Food Technology (IOSR-JESTFT</w:t>
      </w:r>
      <w:proofErr w:type="gramStart"/>
      <w:r w:rsidRPr="00396061">
        <w:rPr>
          <w:i/>
          <w:iCs/>
          <w:sz w:val="20"/>
          <w:szCs w:val="20"/>
        </w:rPr>
        <w:t>)</w:t>
      </w:r>
      <w:r w:rsidRPr="00396061">
        <w:rPr>
          <w:i/>
          <w:iCs/>
          <w:sz w:val="20"/>
          <w:szCs w:val="20"/>
        </w:rPr>
        <w:t>.</w:t>
      </w:r>
      <w:r w:rsidRPr="00396061">
        <w:rPr>
          <w:i/>
          <w:iCs/>
          <w:sz w:val="20"/>
          <w:szCs w:val="20"/>
        </w:rPr>
        <w:t>Volume</w:t>
      </w:r>
      <w:proofErr w:type="gramEnd"/>
      <w:r w:rsidRPr="00396061">
        <w:rPr>
          <w:i/>
          <w:iCs/>
          <w:sz w:val="20"/>
          <w:szCs w:val="20"/>
        </w:rPr>
        <w:t xml:space="preserve"> 20, Issue 1 Ser. 1 (January 2026), PP 31-42</w:t>
      </w:r>
    </w:p>
    <w:p w14:paraId="0B8DFE56" w14:textId="77777777" w:rsidR="000F4A50" w:rsidRPr="00E71A36" w:rsidRDefault="000F4A50" w:rsidP="008027C8">
      <w:pPr>
        <w:spacing w:line="360" w:lineRule="auto"/>
        <w:ind w:left="720" w:hanging="720"/>
        <w:jc w:val="both"/>
        <w:rPr>
          <w:rFonts w:ascii="Garamond" w:hAnsi="Garamond"/>
        </w:rPr>
      </w:pPr>
    </w:p>
    <w:sectPr w:rsidR="000F4A50" w:rsidRPr="00E71A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7716"/>
    <w:multiLevelType w:val="multilevel"/>
    <w:tmpl w:val="8D30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47DCF"/>
    <w:multiLevelType w:val="multilevel"/>
    <w:tmpl w:val="631C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F50CC"/>
    <w:multiLevelType w:val="multilevel"/>
    <w:tmpl w:val="C366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E7C56"/>
    <w:multiLevelType w:val="multilevel"/>
    <w:tmpl w:val="9250A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66AB2"/>
    <w:multiLevelType w:val="multilevel"/>
    <w:tmpl w:val="ECB0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C06A37"/>
    <w:multiLevelType w:val="hybridMultilevel"/>
    <w:tmpl w:val="6E589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BD423C"/>
    <w:multiLevelType w:val="multilevel"/>
    <w:tmpl w:val="61A4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124B08"/>
    <w:multiLevelType w:val="hybridMultilevel"/>
    <w:tmpl w:val="6E589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CE4E34"/>
    <w:multiLevelType w:val="multilevel"/>
    <w:tmpl w:val="E7A07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8651A2"/>
    <w:multiLevelType w:val="multilevel"/>
    <w:tmpl w:val="FD82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F820B1"/>
    <w:multiLevelType w:val="multilevel"/>
    <w:tmpl w:val="D2E0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7F2D7F"/>
    <w:multiLevelType w:val="multilevel"/>
    <w:tmpl w:val="5588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447A5F"/>
    <w:multiLevelType w:val="multilevel"/>
    <w:tmpl w:val="A082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2"/>
  </w:num>
  <w:num w:numId="4">
    <w:abstractNumId w:val="6"/>
  </w:num>
  <w:num w:numId="5">
    <w:abstractNumId w:val="8"/>
  </w:num>
  <w:num w:numId="6">
    <w:abstractNumId w:val="0"/>
  </w:num>
  <w:num w:numId="7">
    <w:abstractNumId w:val="1"/>
  </w:num>
  <w:num w:numId="8">
    <w:abstractNumId w:val="11"/>
  </w:num>
  <w:num w:numId="9">
    <w:abstractNumId w:val="10"/>
  </w:num>
  <w:num w:numId="10">
    <w:abstractNumId w:val="3"/>
  </w:num>
  <w:num w:numId="11">
    <w:abstractNumId w:val="4"/>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xMjEwMAeSRhaW5ko6SsGpxcWZ+XkgBYa1AEecqqssAAAA"/>
  </w:docVars>
  <w:rsids>
    <w:rsidRoot w:val="000F4A50"/>
    <w:rsid w:val="00006810"/>
    <w:rsid w:val="00094B6F"/>
    <w:rsid w:val="000B21E8"/>
    <w:rsid w:val="000F4A50"/>
    <w:rsid w:val="00101BE0"/>
    <w:rsid w:val="00130966"/>
    <w:rsid w:val="00132CCE"/>
    <w:rsid w:val="0018256B"/>
    <w:rsid w:val="001D0A71"/>
    <w:rsid w:val="001D101C"/>
    <w:rsid w:val="0020320A"/>
    <w:rsid w:val="002066D9"/>
    <w:rsid w:val="00241144"/>
    <w:rsid w:val="002E5751"/>
    <w:rsid w:val="002F16B1"/>
    <w:rsid w:val="0030700C"/>
    <w:rsid w:val="003225C2"/>
    <w:rsid w:val="0033650D"/>
    <w:rsid w:val="003365FA"/>
    <w:rsid w:val="00345FEB"/>
    <w:rsid w:val="00390EB9"/>
    <w:rsid w:val="00396061"/>
    <w:rsid w:val="003A0005"/>
    <w:rsid w:val="003C3A4B"/>
    <w:rsid w:val="003C4039"/>
    <w:rsid w:val="00445AD8"/>
    <w:rsid w:val="00447AE3"/>
    <w:rsid w:val="0046707E"/>
    <w:rsid w:val="0047642A"/>
    <w:rsid w:val="00480810"/>
    <w:rsid w:val="004E0130"/>
    <w:rsid w:val="004E148B"/>
    <w:rsid w:val="004E386E"/>
    <w:rsid w:val="004F31BF"/>
    <w:rsid w:val="00507216"/>
    <w:rsid w:val="00553B28"/>
    <w:rsid w:val="005904C7"/>
    <w:rsid w:val="005A74C5"/>
    <w:rsid w:val="006119C1"/>
    <w:rsid w:val="00615A8B"/>
    <w:rsid w:val="0065523A"/>
    <w:rsid w:val="00656C79"/>
    <w:rsid w:val="006E4977"/>
    <w:rsid w:val="006E586B"/>
    <w:rsid w:val="00704C68"/>
    <w:rsid w:val="00706D2C"/>
    <w:rsid w:val="007737BA"/>
    <w:rsid w:val="00782C3B"/>
    <w:rsid w:val="007B6B03"/>
    <w:rsid w:val="008027C8"/>
    <w:rsid w:val="00840450"/>
    <w:rsid w:val="008C1859"/>
    <w:rsid w:val="008C79D5"/>
    <w:rsid w:val="008D0C0D"/>
    <w:rsid w:val="008F4915"/>
    <w:rsid w:val="0090655B"/>
    <w:rsid w:val="009A6936"/>
    <w:rsid w:val="009C6F78"/>
    <w:rsid w:val="009E08E3"/>
    <w:rsid w:val="00A42A86"/>
    <w:rsid w:val="00A627E2"/>
    <w:rsid w:val="00A73801"/>
    <w:rsid w:val="00AB50D8"/>
    <w:rsid w:val="00AC0E32"/>
    <w:rsid w:val="00AD68F5"/>
    <w:rsid w:val="00AE5616"/>
    <w:rsid w:val="00B22455"/>
    <w:rsid w:val="00B23CCA"/>
    <w:rsid w:val="00B60735"/>
    <w:rsid w:val="00B66D8F"/>
    <w:rsid w:val="00BC25BE"/>
    <w:rsid w:val="00C2056A"/>
    <w:rsid w:val="00C614A6"/>
    <w:rsid w:val="00C9206C"/>
    <w:rsid w:val="00CB4D5A"/>
    <w:rsid w:val="00CD677B"/>
    <w:rsid w:val="00D231BB"/>
    <w:rsid w:val="00D5719F"/>
    <w:rsid w:val="00D93DD8"/>
    <w:rsid w:val="00DA4D0F"/>
    <w:rsid w:val="00DC2014"/>
    <w:rsid w:val="00DC4484"/>
    <w:rsid w:val="00DD135B"/>
    <w:rsid w:val="00DF0D7F"/>
    <w:rsid w:val="00DF6298"/>
    <w:rsid w:val="00E26891"/>
    <w:rsid w:val="00E36F93"/>
    <w:rsid w:val="00E71A36"/>
    <w:rsid w:val="00E97B20"/>
    <w:rsid w:val="00F42AAF"/>
    <w:rsid w:val="00FB3D2F"/>
    <w:rsid w:val="00FB5C3E"/>
    <w:rsid w:val="00FE3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A6094CF"/>
  <w15:chartTrackingRefBased/>
  <w15:docId w15:val="{FE5D046B-4024-41C4-A774-93C684306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A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F4A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F4A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4A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4A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4A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4A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4A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4A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A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F4A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4A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4A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4A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4A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4A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4A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4A50"/>
    <w:rPr>
      <w:rFonts w:eastAsiaTheme="majorEastAsia" w:cstheme="majorBidi"/>
      <w:color w:val="272727" w:themeColor="text1" w:themeTint="D8"/>
    </w:rPr>
  </w:style>
  <w:style w:type="paragraph" w:styleId="Title">
    <w:name w:val="Title"/>
    <w:basedOn w:val="Normal"/>
    <w:next w:val="Normal"/>
    <w:link w:val="TitleChar"/>
    <w:uiPriority w:val="10"/>
    <w:qFormat/>
    <w:rsid w:val="000F4A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A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4A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4A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4A50"/>
    <w:pPr>
      <w:spacing w:before="160"/>
      <w:jc w:val="center"/>
    </w:pPr>
    <w:rPr>
      <w:i/>
      <w:iCs/>
      <w:color w:val="404040" w:themeColor="text1" w:themeTint="BF"/>
    </w:rPr>
  </w:style>
  <w:style w:type="character" w:customStyle="1" w:styleId="QuoteChar">
    <w:name w:val="Quote Char"/>
    <w:basedOn w:val="DefaultParagraphFont"/>
    <w:link w:val="Quote"/>
    <w:uiPriority w:val="29"/>
    <w:rsid w:val="000F4A50"/>
    <w:rPr>
      <w:i/>
      <w:iCs/>
      <w:color w:val="404040" w:themeColor="text1" w:themeTint="BF"/>
    </w:rPr>
  </w:style>
  <w:style w:type="paragraph" w:styleId="ListParagraph">
    <w:name w:val="List Paragraph"/>
    <w:basedOn w:val="Normal"/>
    <w:uiPriority w:val="34"/>
    <w:qFormat/>
    <w:rsid w:val="000F4A50"/>
    <w:pPr>
      <w:ind w:left="720"/>
      <w:contextualSpacing/>
    </w:pPr>
  </w:style>
  <w:style w:type="character" w:styleId="IntenseEmphasis">
    <w:name w:val="Intense Emphasis"/>
    <w:basedOn w:val="DefaultParagraphFont"/>
    <w:uiPriority w:val="21"/>
    <w:qFormat/>
    <w:rsid w:val="000F4A50"/>
    <w:rPr>
      <w:i/>
      <w:iCs/>
      <w:color w:val="2F5496" w:themeColor="accent1" w:themeShade="BF"/>
    </w:rPr>
  </w:style>
  <w:style w:type="paragraph" w:styleId="IntenseQuote">
    <w:name w:val="Intense Quote"/>
    <w:basedOn w:val="Normal"/>
    <w:next w:val="Normal"/>
    <w:link w:val="IntenseQuoteChar"/>
    <w:uiPriority w:val="30"/>
    <w:qFormat/>
    <w:rsid w:val="000F4A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4A50"/>
    <w:rPr>
      <w:i/>
      <w:iCs/>
      <w:color w:val="2F5496" w:themeColor="accent1" w:themeShade="BF"/>
    </w:rPr>
  </w:style>
  <w:style w:type="character" w:styleId="IntenseReference">
    <w:name w:val="Intense Reference"/>
    <w:basedOn w:val="DefaultParagraphFont"/>
    <w:uiPriority w:val="32"/>
    <w:qFormat/>
    <w:rsid w:val="000F4A50"/>
    <w:rPr>
      <w:b/>
      <w:bCs/>
      <w:smallCaps/>
      <w:color w:val="2F5496" w:themeColor="accent1" w:themeShade="BF"/>
      <w:spacing w:val="5"/>
    </w:rPr>
  </w:style>
  <w:style w:type="character" w:styleId="Strong">
    <w:name w:val="Strong"/>
    <w:basedOn w:val="DefaultParagraphFont"/>
    <w:uiPriority w:val="22"/>
    <w:qFormat/>
    <w:rsid w:val="000F4A50"/>
    <w:rPr>
      <w:b/>
      <w:bCs/>
    </w:rPr>
  </w:style>
  <w:style w:type="paragraph" w:styleId="NormalWeb">
    <w:name w:val="Normal (Web)"/>
    <w:basedOn w:val="Normal"/>
    <w:uiPriority w:val="99"/>
    <w:unhideWhenUsed/>
    <w:rsid w:val="000F4A5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0F4A50"/>
    <w:rPr>
      <w:i/>
      <w:iCs/>
    </w:rPr>
  </w:style>
  <w:style w:type="character" w:styleId="Hyperlink">
    <w:name w:val="Hyperlink"/>
    <w:basedOn w:val="DefaultParagraphFont"/>
    <w:uiPriority w:val="99"/>
    <w:unhideWhenUsed/>
    <w:rsid w:val="000F4A50"/>
    <w:rPr>
      <w:color w:val="0563C1" w:themeColor="hyperlink"/>
      <w:u w:val="single"/>
    </w:rPr>
  </w:style>
  <w:style w:type="character" w:customStyle="1" w:styleId="UnresolvedMention1">
    <w:name w:val="Unresolved Mention1"/>
    <w:basedOn w:val="DefaultParagraphFont"/>
    <w:uiPriority w:val="99"/>
    <w:semiHidden/>
    <w:unhideWhenUsed/>
    <w:rsid w:val="000F4A50"/>
    <w:rPr>
      <w:color w:val="605E5C"/>
      <w:shd w:val="clear" w:color="auto" w:fill="E1DFDD"/>
    </w:rPr>
  </w:style>
  <w:style w:type="paragraph" w:styleId="BodyText">
    <w:name w:val="Body Text"/>
    <w:basedOn w:val="Normal"/>
    <w:link w:val="BodyTextChar"/>
    <w:uiPriority w:val="1"/>
    <w:rsid w:val="00BC25BE"/>
    <w:pPr>
      <w:widowControl w:val="0"/>
      <w:autoSpaceDE w:val="0"/>
      <w:autoSpaceDN w:val="0"/>
      <w:spacing w:after="0" w:line="360" w:lineRule="auto"/>
      <w:ind w:left="1080"/>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BC25BE"/>
    <w:rPr>
      <w:rFonts w:ascii="Times New Roman" w:eastAsia="Times New Roman" w:hAnsi="Times New Roman" w:cs="Times New Roman"/>
      <w:kern w:val="0"/>
      <w14:ligatures w14:val="none"/>
    </w:rPr>
  </w:style>
  <w:style w:type="paragraph" w:customStyle="1" w:styleId="MyFigures">
    <w:name w:val="My Figures"/>
    <w:basedOn w:val="Caption"/>
    <w:next w:val="Caption"/>
    <w:link w:val="MyFiguresChar"/>
    <w:autoRedefine/>
    <w:qFormat/>
    <w:rsid w:val="00BC25BE"/>
    <w:pPr>
      <w:widowControl w:val="0"/>
      <w:autoSpaceDE w:val="0"/>
      <w:autoSpaceDN w:val="0"/>
      <w:spacing w:after="240"/>
      <w:jc w:val="both"/>
    </w:pPr>
    <w:rPr>
      <w:rFonts w:ascii="Times New Roman" w:eastAsia="Times New Roman" w:hAnsi="Times New Roman" w:cs="Times New Roman"/>
      <w:b/>
      <w:color w:val="2F5496" w:themeColor="accent1" w:themeShade="BF"/>
      <w:kern w:val="0"/>
      <w:sz w:val="28"/>
      <w14:ligatures w14:val="none"/>
    </w:rPr>
  </w:style>
  <w:style w:type="character" w:customStyle="1" w:styleId="MyFiguresChar">
    <w:name w:val="My Figures Char"/>
    <w:basedOn w:val="Heading3Char"/>
    <w:link w:val="MyFigures"/>
    <w:rsid w:val="00BC25BE"/>
    <w:rPr>
      <w:rFonts w:ascii="Times New Roman" w:eastAsia="Times New Roman" w:hAnsi="Times New Roman" w:cs="Times New Roman"/>
      <w:b/>
      <w:i/>
      <w:iCs/>
      <w:color w:val="2F5496" w:themeColor="accent1" w:themeShade="BF"/>
      <w:kern w:val="0"/>
      <w:sz w:val="28"/>
      <w:szCs w:val="18"/>
      <w14:ligatures w14:val="none"/>
    </w:rPr>
  </w:style>
  <w:style w:type="paragraph" w:styleId="Caption">
    <w:name w:val="caption"/>
    <w:basedOn w:val="Normal"/>
    <w:next w:val="Normal"/>
    <w:uiPriority w:val="35"/>
    <w:semiHidden/>
    <w:unhideWhenUsed/>
    <w:qFormat/>
    <w:rsid w:val="00BC25BE"/>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706D2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Tables">
    <w:name w:val="My Tables"/>
    <w:basedOn w:val="Caption"/>
    <w:next w:val="Caption"/>
    <w:link w:val="MyTablesChar"/>
    <w:autoRedefine/>
    <w:qFormat/>
    <w:rsid w:val="00706D2C"/>
    <w:pPr>
      <w:widowControl w:val="0"/>
      <w:autoSpaceDE w:val="0"/>
      <w:autoSpaceDN w:val="0"/>
      <w:jc w:val="both"/>
    </w:pPr>
    <w:rPr>
      <w:rFonts w:ascii="Times New Roman" w:eastAsia="Times New Roman" w:hAnsi="Times New Roman" w:cs="Times New Roman"/>
      <w:b/>
      <w:bCs/>
      <w:i w:val="0"/>
      <w:color w:val="EE0000"/>
      <w:kern w:val="0"/>
      <w:sz w:val="24"/>
      <w:szCs w:val="24"/>
      <w14:ligatures w14:val="none"/>
    </w:rPr>
  </w:style>
  <w:style w:type="character" w:customStyle="1" w:styleId="MyTablesChar">
    <w:name w:val="My Tables Char"/>
    <w:basedOn w:val="DefaultParagraphFont"/>
    <w:link w:val="MyTables"/>
    <w:rsid w:val="00706D2C"/>
    <w:rPr>
      <w:rFonts w:ascii="Times New Roman" w:eastAsia="Times New Roman" w:hAnsi="Times New Roman" w:cs="Times New Roman"/>
      <w:b/>
      <w:bCs/>
      <w:iCs/>
      <w:color w:val="EE0000"/>
      <w:kern w:val="0"/>
      <w14:ligatures w14:val="none"/>
    </w:rPr>
  </w:style>
  <w:style w:type="table" w:styleId="TableGrid">
    <w:name w:val="Table Grid"/>
    <w:basedOn w:val="TableNormal"/>
    <w:uiPriority w:val="39"/>
    <w:rsid w:val="00706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D0C0D"/>
    <w:rPr>
      <w:color w:val="605E5C"/>
      <w:shd w:val="clear" w:color="auto" w:fill="E1DFDD"/>
    </w:rPr>
  </w:style>
  <w:style w:type="paragraph" w:styleId="z-TopofForm">
    <w:name w:val="HTML Top of Form"/>
    <w:basedOn w:val="Normal"/>
    <w:next w:val="Normal"/>
    <w:link w:val="z-TopofFormChar"/>
    <w:hidden/>
    <w:uiPriority w:val="99"/>
    <w:semiHidden/>
    <w:unhideWhenUsed/>
    <w:rsid w:val="00094B6F"/>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094B6F"/>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094B6F"/>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094B6F"/>
    <w:rPr>
      <w:rFonts w:ascii="Arial" w:eastAsia="Times New Roman" w:hAnsi="Arial" w:cs="Arial"/>
      <w:vanish/>
      <w:kern w:val="0"/>
      <w:sz w:val="16"/>
      <w:szCs w:val="16"/>
      <w14:ligatures w14:val="none"/>
    </w:rPr>
  </w:style>
  <w:style w:type="paragraph" w:customStyle="1" w:styleId="Default">
    <w:name w:val="Default"/>
    <w:rsid w:val="00396061"/>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10825">
      <w:bodyDiv w:val="1"/>
      <w:marLeft w:val="0"/>
      <w:marRight w:val="0"/>
      <w:marTop w:val="0"/>
      <w:marBottom w:val="0"/>
      <w:divBdr>
        <w:top w:val="none" w:sz="0" w:space="0" w:color="auto"/>
        <w:left w:val="none" w:sz="0" w:space="0" w:color="auto"/>
        <w:bottom w:val="none" w:sz="0" w:space="0" w:color="auto"/>
        <w:right w:val="none" w:sz="0" w:space="0" w:color="auto"/>
      </w:divBdr>
      <w:divsChild>
        <w:div w:id="2084520044">
          <w:marLeft w:val="0"/>
          <w:marRight w:val="0"/>
          <w:marTop w:val="0"/>
          <w:marBottom w:val="0"/>
          <w:divBdr>
            <w:top w:val="none" w:sz="0" w:space="0" w:color="auto"/>
            <w:left w:val="none" w:sz="0" w:space="0" w:color="auto"/>
            <w:bottom w:val="none" w:sz="0" w:space="0" w:color="auto"/>
            <w:right w:val="none" w:sz="0" w:space="0" w:color="auto"/>
          </w:divBdr>
          <w:divsChild>
            <w:div w:id="2062245367">
              <w:marLeft w:val="0"/>
              <w:marRight w:val="0"/>
              <w:marTop w:val="0"/>
              <w:marBottom w:val="0"/>
              <w:divBdr>
                <w:top w:val="none" w:sz="0" w:space="0" w:color="auto"/>
                <w:left w:val="none" w:sz="0" w:space="0" w:color="auto"/>
                <w:bottom w:val="none" w:sz="0" w:space="0" w:color="auto"/>
                <w:right w:val="none" w:sz="0" w:space="0" w:color="auto"/>
              </w:divBdr>
              <w:divsChild>
                <w:div w:id="1688360859">
                  <w:marLeft w:val="0"/>
                  <w:marRight w:val="0"/>
                  <w:marTop w:val="0"/>
                  <w:marBottom w:val="0"/>
                  <w:divBdr>
                    <w:top w:val="none" w:sz="0" w:space="0" w:color="auto"/>
                    <w:left w:val="none" w:sz="0" w:space="0" w:color="auto"/>
                    <w:bottom w:val="none" w:sz="0" w:space="0" w:color="auto"/>
                    <w:right w:val="none" w:sz="0" w:space="0" w:color="auto"/>
                  </w:divBdr>
                  <w:divsChild>
                    <w:div w:id="39331698">
                      <w:marLeft w:val="0"/>
                      <w:marRight w:val="0"/>
                      <w:marTop w:val="0"/>
                      <w:marBottom w:val="0"/>
                      <w:divBdr>
                        <w:top w:val="none" w:sz="0" w:space="0" w:color="auto"/>
                        <w:left w:val="none" w:sz="0" w:space="0" w:color="auto"/>
                        <w:bottom w:val="none" w:sz="0" w:space="0" w:color="auto"/>
                        <w:right w:val="none" w:sz="0" w:space="0" w:color="auto"/>
                      </w:divBdr>
                      <w:divsChild>
                        <w:div w:id="311905906">
                          <w:marLeft w:val="0"/>
                          <w:marRight w:val="0"/>
                          <w:marTop w:val="0"/>
                          <w:marBottom w:val="0"/>
                          <w:divBdr>
                            <w:top w:val="none" w:sz="0" w:space="0" w:color="auto"/>
                            <w:left w:val="none" w:sz="0" w:space="0" w:color="auto"/>
                            <w:bottom w:val="none" w:sz="0" w:space="0" w:color="auto"/>
                            <w:right w:val="none" w:sz="0" w:space="0" w:color="auto"/>
                          </w:divBdr>
                          <w:divsChild>
                            <w:div w:id="1112214292">
                              <w:marLeft w:val="0"/>
                              <w:marRight w:val="0"/>
                              <w:marTop w:val="0"/>
                              <w:marBottom w:val="0"/>
                              <w:divBdr>
                                <w:top w:val="none" w:sz="0" w:space="0" w:color="auto"/>
                                <w:left w:val="none" w:sz="0" w:space="0" w:color="auto"/>
                                <w:bottom w:val="none" w:sz="0" w:space="0" w:color="auto"/>
                                <w:right w:val="none" w:sz="0" w:space="0" w:color="auto"/>
                              </w:divBdr>
                              <w:divsChild>
                                <w:div w:id="5152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985002">
      <w:bodyDiv w:val="1"/>
      <w:marLeft w:val="0"/>
      <w:marRight w:val="0"/>
      <w:marTop w:val="0"/>
      <w:marBottom w:val="0"/>
      <w:divBdr>
        <w:top w:val="none" w:sz="0" w:space="0" w:color="auto"/>
        <w:left w:val="none" w:sz="0" w:space="0" w:color="auto"/>
        <w:bottom w:val="none" w:sz="0" w:space="0" w:color="auto"/>
        <w:right w:val="none" w:sz="0" w:space="0" w:color="auto"/>
      </w:divBdr>
    </w:div>
    <w:div w:id="330060818">
      <w:bodyDiv w:val="1"/>
      <w:marLeft w:val="0"/>
      <w:marRight w:val="0"/>
      <w:marTop w:val="0"/>
      <w:marBottom w:val="0"/>
      <w:divBdr>
        <w:top w:val="none" w:sz="0" w:space="0" w:color="auto"/>
        <w:left w:val="none" w:sz="0" w:space="0" w:color="auto"/>
        <w:bottom w:val="none" w:sz="0" w:space="0" w:color="auto"/>
        <w:right w:val="none" w:sz="0" w:space="0" w:color="auto"/>
      </w:divBdr>
      <w:divsChild>
        <w:div w:id="879781749">
          <w:marLeft w:val="0"/>
          <w:marRight w:val="0"/>
          <w:marTop w:val="0"/>
          <w:marBottom w:val="0"/>
          <w:divBdr>
            <w:top w:val="none" w:sz="0" w:space="0" w:color="auto"/>
            <w:left w:val="none" w:sz="0" w:space="0" w:color="auto"/>
            <w:bottom w:val="none" w:sz="0" w:space="0" w:color="auto"/>
            <w:right w:val="none" w:sz="0" w:space="0" w:color="auto"/>
          </w:divBdr>
          <w:divsChild>
            <w:div w:id="289216041">
              <w:marLeft w:val="0"/>
              <w:marRight w:val="0"/>
              <w:marTop w:val="0"/>
              <w:marBottom w:val="0"/>
              <w:divBdr>
                <w:top w:val="none" w:sz="0" w:space="0" w:color="auto"/>
                <w:left w:val="none" w:sz="0" w:space="0" w:color="auto"/>
                <w:bottom w:val="none" w:sz="0" w:space="0" w:color="auto"/>
                <w:right w:val="none" w:sz="0" w:space="0" w:color="auto"/>
              </w:divBdr>
              <w:divsChild>
                <w:div w:id="391466657">
                  <w:marLeft w:val="0"/>
                  <w:marRight w:val="0"/>
                  <w:marTop w:val="0"/>
                  <w:marBottom w:val="0"/>
                  <w:divBdr>
                    <w:top w:val="none" w:sz="0" w:space="0" w:color="auto"/>
                    <w:left w:val="none" w:sz="0" w:space="0" w:color="auto"/>
                    <w:bottom w:val="none" w:sz="0" w:space="0" w:color="auto"/>
                    <w:right w:val="none" w:sz="0" w:space="0" w:color="auto"/>
                  </w:divBdr>
                  <w:divsChild>
                    <w:div w:id="1886486234">
                      <w:marLeft w:val="0"/>
                      <w:marRight w:val="0"/>
                      <w:marTop w:val="0"/>
                      <w:marBottom w:val="0"/>
                      <w:divBdr>
                        <w:top w:val="none" w:sz="0" w:space="0" w:color="auto"/>
                        <w:left w:val="none" w:sz="0" w:space="0" w:color="auto"/>
                        <w:bottom w:val="none" w:sz="0" w:space="0" w:color="auto"/>
                        <w:right w:val="none" w:sz="0" w:space="0" w:color="auto"/>
                      </w:divBdr>
                      <w:divsChild>
                        <w:div w:id="1828325186">
                          <w:marLeft w:val="0"/>
                          <w:marRight w:val="0"/>
                          <w:marTop w:val="0"/>
                          <w:marBottom w:val="0"/>
                          <w:divBdr>
                            <w:top w:val="none" w:sz="0" w:space="0" w:color="auto"/>
                            <w:left w:val="none" w:sz="0" w:space="0" w:color="auto"/>
                            <w:bottom w:val="none" w:sz="0" w:space="0" w:color="auto"/>
                            <w:right w:val="none" w:sz="0" w:space="0" w:color="auto"/>
                          </w:divBdr>
                          <w:divsChild>
                            <w:div w:id="1780295185">
                              <w:marLeft w:val="0"/>
                              <w:marRight w:val="0"/>
                              <w:marTop w:val="0"/>
                              <w:marBottom w:val="0"/>
                              <w:divBdr>
                                <w:top w:val="none" w:sz="0" w:space="0" w:color="auto"/>
                                <w:left w:val="none" w:sz="0" w:space="0" w:color="auto"/>
                                <w:bottom w:val="none" w:sz="0" w:space="0" w:color="auto"/>
                                <w:right w:val="none" w:sz="0" w:space="0" w:color="auto"/>
                              </w:divBdr>
                              <w:divsChild>
                                <w:div w:id="2690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846493">
      <w:bodyDiv w:val="1"/>
      <w:marLeft w:val="0"/>
      <w:marRight w:val="0"/>
      <w:marTop w:val="0"/>
      <w:marBottom w:val="0"/>
      <w:divBdr>
        <w:top w:val="none" w:sz="0" w:space="0" w:color="auto"/>
        <w:left w:val="none" w:sz="0" w:space="0" w:color="auto"/>
        <w:bottom w:val="none" w:sz="0" w:space="0" w:color="auto"/>
        <w:right w:val="none" w:sz="0" w:space="0" w:color="auto"/>
      </w:divBdr>
      <w:divsChild>
        <w:div w:id="134950829">
          <w:marLeft w:val="0"/>
          <w:marRight w:val="0"/>
          <w:marTop w:val="0"/>
          <w:marBottom w:val="0"/>
          <w:divBdr>
            <w:top w:val="none" w:sz="0" w:space="0" w:color="auto"/>
            <w:left w:val="none" w:sz="0" w:space="0" w:color="auto"/>
            <w:bottom w:val="none" w:sz="0" w:space="0" w:color="auto"/>
            <w:right w:val="none" w:sz="0" w:space="0" w:color="auto"/>
          </w:divBdr>
          <w:divsChild>
            <w:div w:id="441072914">
              <w:marLeft w:val="0"/>
              <w:marRight w:val="0"/>
              <w:marTop w:val="0"/>
              <w:marBottom w:val="0"/>
              <w:divBdr>
                <w:top w:val="none" w:sz="0" w:space="0" w:color="auto"/>
                <w:left w:val="none" w:sz="0" w:space="0" w:color="auto"/>
                <w:bottom w:val="none" w:sz="0" w:space="0" w:color="auto"/>
                <w:right w:val="none" w:sz="0" w:space="0" w:color="auto"/>
              </w:divBdr>
              <w:divsChild>
                <w:div w:id="486631202">
                  <w:marLeft w:val="0"/>
                  <w:marRight w:val="0"/>
                  <w:marTop w:val="0"/>
                  <w:marBottom w:val="0"/>
                  <w:divBdr>
                    <w:top w:val="none" w:sz="0" w:space="0" w:color="auto"/>
                    <w:left w:val="none" w:sz="0" w:space="0" w:color="auto"/>
                    <w:bottom w:val="none" w:sz="0" w:space="0" w:color="auto"/>
                    <w:right w:val="none" w:sz="0" w:space="0" w:color="auto"/>
                  </w:divBdr>
                  <w:divsChild>
                    <w:div w:id="938681821">
                      <w:marLeft w:val="0"/>
                      <w:marRight w:val="0"/>
                      <w:marTop w:val="0"/>
                      <w:marBottom w:val="0"/>
                      <w:divBdr>
                        <w:top w:val="none" w:sz="0" w:space="0" w:color="auto"/>
                        <w:left w:val="none" w:sz="0" w:space="0" w:color="auto"/>
                        <w:bottom w:val="none" w:sz="0" w:space="0" w:color="auto"/>
                        <w:right w:val="none" w:sz="0" w:space="0" w:color="auto"/>
                      </w:divBdr>
                      <w:divsChild>
                        <w:div w:id="1839618536">
                          <w:marLeft w:val="0"/>
                          <w:marRight w:val="0"/>
                          <w:marTop w:val="0"/>
                          <w:marBottom w:val="0"/>
                          <w:divBdr>
                            <w:top w:val="none" w:sz="0" w:space="0" w:color="auto"/>
                            <w:left w:val="none" w:sz="0" w:space="0" w:color="auto"/>
                            <w:bottom w:val="none" w:sz="0" w:space="0" w:color="auto"/>
                            <w:right w:val="none" w:sz="0" w:space="0" w:color="auto"/>
                          </w:divBdr>
                          <w:divsChild>
                            <w:div w:id="496187872">
                              <w:marLeft w:val="0"/>
                              <w:marRight w:val="0"/>
                              <w:marTop w:val="0"/>
                              <w:marBottom w:val="0"/>
                              <w:divBdr>
                                <w:top w:val="none" w:sz="0" w:space="0" w:color="auto"/>
                                <w:left w:val="none" w:sz="0" w:space="0" w:color="auto"/>
                                <w:bottom w:val="none" w:sz="0" w:space="0" w:color="auto"/>
                                <w:right w:val="none" w:sz="0" w:space="0" w:color="auto"/>
                              </w:divBdr>
                              <w:divsChild>
                                <w:div w:id="15233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60618">
      <w:bodyDiv w:val="1"/>
      <w:marLeft w:val="0"/>
      <w:marRight w:val="0"/>
      <w:marTop w:val="0"/>
      <w:marBottom w:val="0"/>
      <w:divBdr>
        <w:top w:val="none" w:sz="0" w:space="0" w:color="auto"/>
        <w:left w:val="none" w:sz="0" w:space="0" w:color="auto"/>
        <w:bottom w:val="none" w:sz="0" w:space="0" w:color="auto"/>
        <w:right w:val="none" w:sz="0" w:space="0" w:color="auto"/>
      </w:divBdr>
    </w:div>
    <w:div w:id="416636116">
      <w:bodyDiv w:val="1"/>
      <w:marLeft w:val="0"/>
      <w:marRight w:val="0"/>
      <w:marTop w:val="0"/>
      <w:marBottom w:val="0"/>
      <w:divBdr>
        <w:top w:val="none" w:sz="0" w:space="0" w:color="auto"/>
        <w:left w:val="none" w:sz="0" w:space="0" w:color="auto"/>
        <w:bottom w:val="none" w:sz="0" w:space="0" w:color="auto"/>
        <w:right w:val="none" w:sz="0" w:space="0" w:color="auto"/>
      </w:divBdr>
    </w:div>
    <w:div w:id="424542819">
      <w:bodyDiv w:val="1"/>
      <w:marLeft w:val="0"/>
      <w:marRight w:val="0"/>
      <w:marTop w:val="0"/>
      <w:marBottom w:val="0"/>
      <w:divBdr>
        <w:top w:val="none" w:sz="0" w:space="0" w:color="auto"/>
        <w:left w:val="none" w:sz="0" w:space="0" w:color="auto"/>
        <w:bottom w:val="none" w:sz="0" w:space="0" w:color="auto"/>
        <w:right w:val="none" w:sz="0" w:space="0" w:color="auto"/>
      </w:divBdr>
    </w:div>
    <w:div w:id="427504189">
      <w:bodyDiv w:val="1"/>
      <w:marLeft w:val="0"/>
      <w:marRight w:val="0"/>
      <w:marTop w:val="0"/>
      <w:marBottom w:val="0"/>
      <w:divBdr>
        <w:top w:val="none" w:sz="0" w:space="0" w:color="auto"/>
        <w:left w:val="none" w:sz="0" w:space="0" w:color="auto"/>
        <w:bottom w:val="none" w:sz="0" w:space="0" w:color="auto"/>
        <w:right w:val="none" w:sz="0" w:space="0" w:color="auto"/>
      </w:divBdr>
    </w:div>
    <w:div w:id="443379318">
      <w:bodyDiv w:val="1"/>
      <w:marLeft w:val="0"/>
      <w:marRight w:val="0"/>
      <w:marTop w:val="0"/>
      <w:marBottom w:val="0"/>
      <w:divBdr>
        <w:top w:val="none" w:sz="0" w:space="0" w:color="auto"/>
        <w:left w:val="none" w:sz="0" w:space="0" w:color="auto"/>
        <w:bottom w:val="none" w:sz="0" w:space="0" w:color="auto"/>
        <w:right w:val="none" w:sz="0" w:space="0" w:color="auto"/>
      </w:divBdr>
      <w:divsChild>
        <w:div w:id="227957337">
          <w:marLeft w:val="0"/>
          <w:marRight w:val="0"/>
          <w:marTop w:val="0"/>
          <w:marBottom w:val="0"/>
          <w:divBdr>
            <w:top w:val="none" w:sz="0" w:space="0" w:color="auto"/>
            <w:left w:val="none" w:sz="0" w:space="0" w:color="auto"/>
            <w:bottom w:val="none" w:sz="0" w:space="0" w:color="auto"/>
            <w:right w:val="none" w:sz="0" w:space="0" w:color="auto"/>
          </w:divBdr>
          <w:divsChild>
            <w:div w:id="1323000312">
              <w:marLeft w:val="0"/>
              <w:marRight w:val="0"/>
              <w:marTop w:val="0"/>
              <w:marBottom w:val="0"/>
              <w:divBdr>
                <w:top w:val="none" w:sz="0" w:space="0" w:color="auto"/>
                <w:left w:val="none" w:sz="0" w:space="0" w:color="auto"/>
                <w:bottom w:val="none" w:sz="0" w:space="0" w:color="auto"/>
                <w:right w:val="none" w:sz="0" w:space="0" w:color="auto"/>
              </w:divBdr>
              <w:divsChild>
                <w:div w:id="840893642">
                  <w:marLeft w:val="0"/>
                  <w:marRight w:val="0"/>
                  <w:marTop w:val="0"/>
                  <w:marBottom w:val="0"/>
                  <w:divBdr>
                    <w:top w:val="none" w:sz="0" w:space="0" w:color="auto"/>
                    <w:left w:val="none" w:sz="0" w:space="0" w:color="auto"/>
                    <w:bottom w:val="none" w:sz="0" w:space="0" w:color="auto"/>
                    <w:right w:val="none" w:sz="0" w:space="0" w:color="auto"/>
                  </w:divBdr>
                  <w:divsChild>
                    <w:div w:id="302856808">
                      <w:marLeft w:val="0"/>
                      <w:marRight w:val="0"/>
                      <w:marTop w:val="0"/>
                      <w:marBottom w:val="0"/>
                      <w:divBdr>
                        <w:top w:val="none" w:sz="0" w:space="0" w:color="auto"/>
                        <w:left w:val="none" w:sz="0" w:space="0" w:color="auto"/>
                        <w:bottom w:val="none" w:sz="0" w:space="0" w:color="auto"/>
                        <w:right w:val="none" w:sz="0" w:space="0" w:color="auto"/>
                      </w:divBdr>
                      <w:divsChild>
                        <w:div w:id="346908119">
                          <w:marLeft w:val="0"/>
                          <w:marRight w:val="0"/>
                          <w:marTop w:val="0"/>
                          <w:marBottom w:val="0"/>
                          <w:divBdr>
                            <w:top w:val="none" w:sz="0" w:space="0" w:color="auto"/>
                            <w:left w:val="none" w:sz="0" w:space="0" w:color="auto"/>
                            <w:bottom w:val="none" w:sz="0" w:space="0" w:color="auto"/>
                            <w:right w:val="none" w:sz="0" w:space="0" w:color="auto"/>
                          </w:divBdr>
                          <w:divsChild>
                            <w:div w:id="1243759771">
                              <w:marLeft w:val="0"/>
                              <w:marRight w:val="0"/>
                              <w:marTop w:val="0"/>
                              <w:marBottom w:val="0"/>
                              <w:divBdr>
                                <w:top w:val="none" w:sz="0" w:space="0" w:color="auto"/>
                                <w:left w:val="none" w:sz="0" w:space="0" w:color="auto"/>
                                <w:bottom w:val="none" w:sz="0" w:space="0" w:color="auto"/>
                                <w:right w:val="none" w:sz="0" w:space="0" w:color="auto"/>
                              </w:divBdr>
                              <w:divsChild>
                                <w:div w:id="11279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204614">
      <w:bodyDiv w:val="1"/>
      <w:marLeft w:val="0"/>
      <w:marRight w:val="0"/>
      <w:marTop w:val="0"/>
      <w:marBottom w:val="0"/>
      <w:divBdr>
        <w:top w:val="none" w:sz="0" w:space="0" w:color="auto"/>
        <w:left w:val="none" w:sz="0" w:space="0" w:color="auto"/>
        <w:bottom w:val="none" w:sz="0" w:space="0" w:color="auto"/>
        <w:right w:val="none" w:sz="0" w:space="0" w:color="auto"/>
      </w:divBdr>
    </w:div>
    <w:div w:id="585071270">
      <w:bodyDiv w:val="1"/>
      <w:marLeft w:val="0"/>
      <w:marRight w:val="0"/>
      <w:marTop w:val="0"/>
      <w:marBottom w:val="0"/>
      <w:divBdr>
        <w:top w:val="none" w:sz="0" w:space="0" w:color="auto"/>
        <w:left w:val="none" w:sz="0" w:space="0" w:color="auto"/>
        <w:bottom w:val="none" w:sz="0" w:space="0" w:color="auto"/>
        <w:right w:val="none" w:sz="0" w:space="0" w:color="auto"/>
      </w:divBdr>
    </w:div>
    <w:div w:id="626086079">
      <w:bodyDiv w:val="1"/>
      <w:marLeft w:val="0"/>
      <w:marRight w:val="0"/>
      <w:marTop w:val="0"/>
      <w:marBottom w:val="0"/>
      <w:divBdr>
        <w:top w:val="none" w:sz="0" w:space="0" w:color="auto"/>
        <w:left w:val="none" w:sz="0" w:space="0" w:color="auto"/>
        <w:bottom w:val="none" w:sz="0" w:space="0" w:color="auto"/>
        <w:right w:val="none" w:sz="0" w:space="0" w:color="auto"/>
      </w:divBdr>
    </w:div>
    <w:div w:id="649141143">
      <w:bodyDiv w:val="1"/>
      <w:marLeft w:val="0"/>
      <w:marRight w:val="0"/>
      <w:marTop w:val="0"/>
      <w:marBottom w:val="0"/>
      <w:divBdr>
        <w:top w:val="none" w:sz="0" w:space="0" w:color="auto"/>
        <w:left w:val="none" w:sz="0" w:space="0" w:color="auto"/>
        <w:bottom w:val="none" w:sz="0" w:space="0" w:color="auto"/>
        <w:right w:val="none" w:sz="0" w:space="0" w:color="auto"/>
      </w:divBdr>
    </w:div>
    <w:div w:id="693651849">
      <w:bodyDiv w:val="1"/>
      <w:marLeft w:val="0"/>
      <w:marRight w:val="0"/>
      <w:marTop w:val="0"/>
      <w:marBottom w:val="0"/>
      <w:divBdr>
        <w:top w:val="none" w:sz="0" w:space="0" w:color="auto"/>
        <w:left w:val="none" w:sz="0" w:space="0" w:color="auto"/>
        <w:bottom w:val="none" w:sz="0" w:space="0" w:color="auto"/>
        <w:right w:val="none" w:sz="0" w:space="0" w:color="auto"/>
      </w:divBdr>
    </w:div>
    <w:div w:id="757554233">
      <w:bodyDiv w:val="1"/>
      <w:marLeft w:val="0"/>
      <w:marRight w:val="0"/>
      <w:marTop w:val="0"/>
      <w:marBottom w:val="0"/>
      <w:divBdr>
        <w:top w:val="none" w:sz="0" w:space="0" w:color="auto"/>
        <w:left w:val="none" w:sz="0" w:space="0" w:color="auto"/>
        <w:bottom w:val="none" w:sz="0" w:space="0" w:color="auto"/>
        <w:right w:val="none" w:sz="0" w:space="0" w:color="auto"/>
      </w:divBdr>
    </w:div>
    <w:div w:id="775712733">
      <w:bodyDiv w:val="1"/>
      <w:marLeft w:val="0"/>
      <w:marRight w:val="0"/>
      <w:marTop w:val="0"/>
      <w:marBottom w:val="0"/>
      <w:divBdr>
        <w:top w:val="none" w:sz="0" w:space="0" w:color="auto"/>
        <w:left w:val="none" w:sz="0" w:space="0" w:color="auto"/>
        <w:bottom w:val="none" w:sz="0" w:space="0" w:color="auto"/>
        <w:right w:val="none" w:sz="0" w:space="0" w:color="auto"/>
      </w:divBdr>
    </w:div>
    <w:div w:id="796218692">
      <w:bodyDiv w:val="1"/>
      <w:marLeft w:val="0"/>
      <w:marRight w:val="0"/>
      <w:marTop w:val="0"/>
      <w:marBottom w:val="0"/>
      <w:divBdr>
        <w:top w:val="none" w:sz="0" w:space="0" w:color="auto"/>
        <w:left w:val="none" w:sz="0" w:space="0" w:color="auto"/>
        <w:bottom w:val="none" w:sz="0" w:space="0" w:color="auto"/>
        <w:right w:val="none" w:sz="0" w:space="0" w:color="auto"/>
      </w:divBdr>
    </w:div>
    <w:div w:id="807627999">
      <w:bodyDiv w:val="1"/>
      <w:marLeft w:val="0"/>
      <w:marRight w:val="0"/>
      <w:marTop w:val="0"/>
      <w:marBottom w:val="0"/>
      <w:divBdr>
        <w:top w:val="none" w:sz="0" w:space="0" w:color="auto"/>
        <w:left w:val="none" w:sz="0" w:space="0" w:color="auto"/>
        <w:bottom w:val="none" w:sz="0" w:space="0" w:color="auto"/>
        <w:right w:val="none" w:sz="0" w:space="0" w:color="auto"/>
      </w:divBdr>
    </w:div>
    <w:div w:id="808129620">
      <w:bodyDiv w:val="1"/>
      <w:marLeft w:val="0"/>
      <w:marRight w:val="0"/>
      <w:marTop w:val="0"/>
      <w:marBottom w:val="0"/>
      <w:divBdr>
        <w:top w:val="none" w:sz="0" w:space="0" w:color="auto"/>
        <w:left w:val="none" w:sz="0" w:space="0" w:color="auto"/>
        <w:bottom w:val="none" w:sz="0" w:space="0" w:color="auto"/>
        <w:right w:val="none" w:sz="0" w:space="0" w:color="auto"/>
      </w:divBdr>
    </w:div>
    <w:div w:id="833573838">
      <w:bodyDiv w:val="1"/>
      <w:marLeft w:val="0"/>
      <w:marRight w:val="0"/>
      <w:marTop w:val="0"/>
      <w:marBottom w:val="0"/>
      <w:divBdr>
        <w:top w:val="none" w:sz="0" w:space="0" w:color="auto"/>
        <w:left w:val="none" w:sz="0" w:space="0" w:color="auto"/>
        <w:bottom w:val="none" w:sz="0" w:space="0" w:color="auto"/>
        <w:right w:val="none" w:sz="0" w:space="0" w:color="auto"/>
      </w:divBdr>
    </w:div>
    <w:div w:id="929463369">
      <w:bodyDiv w:val="1"/>
      <w:marLeft w:val="0"/>
      <w:marRight w:val="0"/>
      <w:marTop w:val="0"/>
      <w:marBottom w:val="0"/>
      <w:divBdr>
        <w:top w:val="none" w:sz="0" w:space="0" w:color="auto"/>
        <w:left w:val="none" w:sz="0" w:space="0" w:color="auto"/>
        <w:bottom w:val="none" w:sz="0" w:space="0" w:color="auto"/>
        <w:right w:val="none" w:sz="0" w:space="0" w:color="auto"/>
      </w:divBdr>
      <w:divsChild>
        <w:div w:id="1094939574">
          <w:marLeft w:val="0"/>
          <w:marRight w:val="0"/>
          <w:marTop w:val="0"/>
          <w:marBottom w:val="0"/>
          <w:divBdr>
            <w:top w:val="none" w:sz="0" w:space="0" w:color="auto"/>
            <w:left w:val="none" w:sz="0" w:space="0" w:color="auto"/>
            <w:bottom w:val="none" w:sz="0" w:space="0" w:color="auto"/>
            <w:right w:val="none" w:sz="0" w:space="0" w:color="auto"/>
          </w:divBdr>
          <w:divsChild>
            <w:div w:id="794256529">
              <w:marLeft w:val="0"/>
              <w:marRight w:val="0"/>
              <w:marTop w:val="0"/>
              <w:marBottom w:val="0"/>
              <w:divBdr>
                <w:top w:val="none" w:sz="0" w:space="0" w:color="auto"/>
                <w:left w:val="none" w:sz="0" w:space="0" w:color="auto"/>
                <w:bottom w:val="none" w:sz="0" w:space="0" w:color="auto"/>
                <w:right w:val="none" w:sz="0" w:space="0" w:color="auto"/>
              </w:divBdr>
              <w:divsChild>
                <w:div w:id="1999074150">
                  <w:marLeft w:val="0"/>
                  <w:marRight w:val="0"/>
                  <w:marTop w:val="0"/>
                  <w:marBottom w:val="0"/>
                  <w:divBdr>
                    <w:top w:val="none" w:sz="0" w:space="0" w:color="auto"/>
                    <w:left w:val="none" w:sz="0" w:space="0" w:color="auto"/>
                    <w:bottom w:val="none" w:sz="0" w:space="0" w:color="auto"/>
                    <w:right w:val="none" w:sz="0" w:space="0" w:color="auto"/>
                  </w:divBdr>
                  <w:divsChild>
                    <w:div w:id="2099593741">
                      <w:marLeft w:val="0"/>
                      <w:marRight w:val="0"/>
                      <w:marTop w:val="0"/>
                      <w:marBottom w:val="0"/>
                      <w:divBdr>
                        <w:top w:val="none" w:sz="0" w:space="0" w:color="auto"/>
                        <w:left w:val="none" w:sz="0" w:space="0" w:color="auto"/>
                        <w:bottom w:val="none" w:sz="0" w:space="0" w:color="auto"/>
                        <w:right w:val="none" w:sz="0" w:space="0" w:color="auto"/>
                      </w:divBdr>
                      <w:divsChild>
                        <w:div w:id="1069383108">
                          <w:marLeft w:val="0"/>
                          <w:marRight w:val="0"/>
                          <w:marTop w:val="0"/>
                          <w:marBottom w:val="0"/>
                          <w:divBdr>
                            <w:top w:val="none" w:sz="0" w:space="0" w:color="auto"/>
                            <w:left w:val="none" w:sz="0" w:space="0" w:color="auto"/>
                            <w:bottom w:val="none" w:sz="0" w:space="0" w:color="auto"/>
                            <w:right w:val="none" w:sz="0" w:space="0" w:color="auto"/>
                          </w:divBdr>
                          <w:divsChild>
                            <w:div w:id="1182890237">
                              <w:marLeft w:val="0"/>
                              <w:marRight w:val="0"/>
                              <w:marTop w:val="0"/>
                              <w:marBottom w:val="0"/>
                              <w:divBdr>
                                <w:top w:val="none" w:sz="0" w:space="0" w:color="auto"/>
                                <w:left w:val="none" w:sz="0" w:space="0" w:color="auto"/>
                                <w:bottom w:val="none" w:sz="0" w:space="0" w:color="auto"/>
                                <w:right w:val="none" w:sz="0" w:space="0" w:color="auto"/>
                              </w:divBdr>
                              <w:divsChild>
                                <w:div w:id="16728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8018">
      <w:bodyDiv w:val="1"/>
      <w:marLeft w:val="0"/>
      <w:marRight w:val="0"/>
      <w:marTop w:val="0"/>
      <w:marBottom w:val="0"/>
      <w:divBdr>
        <w:top w:val="none" w:sz="0" w:space="0" w:color="auto"/>
        <w:left w:val="none" w:sz="0" w:space="0" w:color="auto"/>
        <w:bottom w:val="none" w:sz="0" w:space="0" w:color="auto"/>
        <w:right w:val="none" w:sz="0" w:space="0" w:color="auto"/>
      </w:divBdr>
    </w:div>
    <w:div w:id="1132476179">
      <w:bodyDiv w:val="1"/>
      <w:marLeft w:val="0"/>
      <w:marRight w:val="0"/>
      <w:marTop w:val="0"/>
      <w:marBottom w:val="0"/>
      <w:divBdr>
        <w:top w:val="none" w:sz="0" w:space="0" w:color="auto"/>
        <w:left w:val="none" w:sz="0" w:space="0" w:color="auto"/>
        <w:bottom w:val="none" w:sz="0" w:space="0" w:color="auto"/>
        <w:right w:val="none" w:sz="0" w:space="0" w:color="auto"/>
      </w:divBdr>
    </w:div>
    <w:div w:id="1141339944">
      <w:bodyDiv w:val="1"/>
      <w:marLeft w:val="0"/>
      <w:marRight w:val="0"/>
      <w:marTop w:val="0"/>
      <w:marBottom w:val="0"/>
      <w:divBdr>
        <w:top w:val="none" w:sz="0" w:space="0" w:color="auto"/>
        <w:left w:val="none" w:sz="0" w:space="0" w:color="auto"/>
        <w:bottom w:val="none" w:sz="0" w:space="0" w:color="auto"/>
        <w:right w:val="none" w:sz="0" w:space="0" w:color="auto"/>
      </w:divBdr>
    </w:div>
    <w:div w:id="1144853041">
      <w:bodyDiv w:val="1"/>
      <w:marLeft w:val="0"/>
      <w:marRight w:val="0"/>
      <w:marTop w:val="0"/>
      <w:marBottom w:val="0"/>
      <w:divBdr>
        <w:top w:val="none" w:sz="0" w:space="0" w:color="auto"/>
        <w:left w:val="none" w:sz="0" w:space="0" w:color="auto"/>
        <w:bottom w:val="none" w:sz="0" w:space="0" w:color="auto"/>
        <w:right w:val="none" w:sz="0" w:space="0" w:color="auto"/>
      </w:divBdr>
    </w:div>
    <w:div w:id="1198816155">
      <w:bodyDiv w:val="1"/>
      <w:marLeft w:val="0"/>
      <w:marRight w:val="0"/>
      <w:marTop w:val="0"/>
      <w:marBottom w:val="0"/>
      <w:divBdr>
        <w:top w:val="none" w:sz="0" w:space="0" w:color="auto"/>
        <w:left w:val="none" w:sz="0" w:space="0" w:color="auto"/>
        <w:bottom w:val="none" w:sz="0" w:space="0" w:color="auto"/>
        <w:right w:val="none" w:sz="0" w:space="0" w:color="auto"/>
      </w:divBdr>
    </w:div>
    <w:div w:id="1316762280">
      <w:bodyDiv w:val="1"/>
      <w:marLeft w:val="0"/>
      <w:marRight w:val="0"/>
      <w:marTop w:val="0"/>
      <w:marBottom w:val="0"/>
      <w:divBdr>
        <w:top w:val="none" w:sz="0" w:space="0" w:color="auto"/>
        <w:left w:val="none" w:sz="0" w:space="0" w:color="auto"/>
        <w:bottom w:val="none" w:sz="0" w:space="0" w:color="auto"/>
        <w:right w:val="none" w:sz="0" w:space="0" w:color="auto"/>
      </w:divBdr>
    </w:div>
    <w:div w:id="1446927913">
      <w:bodyDiv w:val="1"/>
      <w:marLeft w:val="0"/>
      <w:marRight w:val="0"/>
      <w:marTop w:val="0"/>
      <w:marBottom w:val="0"/>
      <w:divBdr>
        <w:top w:val="none" w:sz="0" w:space="0" w:color="auto"/>
        <w:left w:val="none" w:sz="0" w:space="0" w:color="auto"/>
        <w:bottom w:val="none" w:sz="0" w:space="0" w:color="auto"/>
        <w:right w:val="none" w:sz="0" w:space="0" w:color="auto"/>
      </w:divBdr>
    </w:div>
    <w:div w:id="1461143460">
      <w:bodyDiv w:val="1"/>
      <w:marLeft w:val="0"/>
      <w:marRight w:val="0"/>
      <w:marTop w:val="0"/>
      <w:marBottom w:val="0"/>
      <w:divBdr>
        <w:top w:val="none" w:sz="0" w:space="0" w:color="auto"/>
        <w:left w:val="none" w:sz="0" w:space="0" w:color="auto"/>
        <w:bottom w:val="none" w:sz="0" w:space="0" w:color="auto"/>
        <w:right w:val="none" w:sz="0" w:space="0" w:color="auto"/>
      </w:divBdr>
    </w:div>
    <w:div w:id="1489399179">
      <w:bodyDiv w:val="1"/>
      <w:marLeft w:val="0"/>
      <w:marRight w:val="0"/>
      <w:marTop w:val="0"/>
      <w:marBottom w:val="0"/>
      <w:divBdr>
        <w:top w:val="none" w:sz="0" w:space="0" w:color="auto"/>
        <w:left w:val="none" w:sz="0" w:space="0" w:color="auto"/>
        <w:bottom w:val="none" w:sz="0" w:space="0" w:color="auto"/>
        <w:right w:val="none" w:sz="0" w:space="0" w:color="auto"/>
      </w:divBdr>
      <w:divsChild>
        <w:div w:id="2052146042">
          <w:marLeft w:val="0"/>
          <w:marRight w:val="0"/>
          <w:marTop w:val="0"/>
          <w:marBottom w:val="0"/>
          <w:divBdr>
            <w:top w:val="none" w:sz="0" w:space="0" w:color="auto"/>
            <w:left w:val="none" w:sz="0" w:space="0" w:color="auto"/>
            <w:bottom w:val="none" w:sz="0" w:space="0" w:color="auto"/>
            <w:right w:val="none" w:sz="0" w:space="0" w:color="auto"/>
          </w:divBdr>
          <w:divsChild>
            <w:div w:id="833230342">
              <w:marLeft w:val="0"/>
              <w:marRight w:val="0"/>
              <w:marTop w:val="0"/>
              <w:marBottom w:val="0"/>
              <w:divBdr>
                <w:top w:val="none" w:sz="0" w:space="0" w:color="auto"/>
                <w:left w:val="none" w:sz="0" w:space="0" w:color="auto"/>
                <w:bottom w:val="none" w:sz="0" w:space="0" w:color="auto"/>
                <w:right w:val="none" w:sz="0" w:space="0" w:color="auto"/>
              </w:divBdr>
              <w:divsChild>
                <w:div w:id="2017078373">
                  <w:marLeft w:val="0"/>
                  <w:marRight w:val="0"/>
                  <w:marTop w:val="0"/>
                  <w:marBottom w:val="0"/>
                  <w:divBdr>
                    <w:top w:val="none" w:sz="0" w:space="0" w:color="auto"/>
                    <w:left w:val="none" w:sz="0" w:space="0" w:color="auto"/>
                    <w:bottom w:val="none" w:sz="0" w:space="0" w:color="auto"/>
                    <w:right w:val="none" w:sz="0" w:space="0" w:color="auto"/>
                  </w:divBdr>
                  <w:divsChild>
                    <w:div w:id="621112537">
                      <w:marLeft w:val="0"/>
                      <w:marRight w:val="0"/>
                      <w:marTop w:val="0"/>
                      <w:marBottom w:val="0"/>
                      <w:divBdr>
                        <w:top w:val="none" w:sz="0" w:space="0" w:color="auto"/>
                        <w:left w:val="none" w:sz="0" w:space="0" w:color="auto"/>
                        <w:bottom w:val="none" w:sz="0" w:space="0" w:color="auto"/>
                        <w:right w:val="none" w:sz="0" w:space="0" w:color="auto"/>
                      </w:divBdr>
                      <w:divsChild>
                        <w:div w:id="242418986">
                          <w:marLeft w:val="0"/>
                          <w:marRight w:val="0"/>
                          <w:marTop w:val="0"/>
                          <w:marBottom w:val="0"/>
                          <w:divBdr>
                            <w:top w:val="none" w:sz="0" w:space="0" w:color="auto"/>
                            <w:left w:val="none" w:sz="0" w:space="0" w:color="auto"/>
                            <w:bottom w:val="none" w:sz="0" w:space="0" w:color="auto"/>
                            <w:right w:val="none" w:sz="0" w:space="0" w:color="auto"/>
                          </w:divBdr>
                          <w:divsChild>
                            <w:div w:id="1472482059">
                              <w:marLeft w:val="0"/>
                              <w:marRight w:val="0"/>
                              <w:marTop w:val="0"/>
                              <w:marBottom w:val="0"/>
                              <w:divBdr>
                                <w:top w:val="none" w:sz="0" w:space="0" w:color="auto"/>
                                <w:left w:val="none" w:sz="0" w:space="0" w:color="auto"/>
                                <w:bottom w:val="none" w:sz="0" w:space="0" w:color="auto"/>
                                <w:right w:val="none" w:sz="0" w:space="0" w:color="auto"/>
                              </w:divBdr>
                              <w:divsChild>
                                <w:div w:id="1942761611">
                                  <w:marLeft w:val="0"/>
                                  <w:marRight w:val="0"/>
                                  <w:marTop w:val="0"/>
                                  <w:marBottom w:val="0"/>
                                  <w:divBdr>
                                    <w:top w:val="none" w:sz="0" w:space="0" w:color="auto"/>
                                    <w:left w:val="none" w:sz="0" w:space="0" w:color="auto"/>
                                    <w:bottom w:val="none" w:sz="0" w:space="0" w:color="auto"/>
                                    <w:right w:val="none" w:sz="0" w:space="0" w:color="auto"/>
                                  </w:divBdr>
                                  <w:divsChild>
                                    <w:div w:id="19736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672671">
          <w:marLeft w:val="0"/>
          <w:marRight w:val="0"/>
          <w:marTop w:val="0"/>
          <w:marBottom w:val="0"/>
          <w:divBdr>
            <w:top w:val="none" w:sz="0" w:space="0" w:color="auto"/>
            <w:left w:val="none" w:sz="0" w:space="0" w:color="auto"/>
            <w:bottom w:val="none" w:sz="0" w:space="0" w:color="auto"/>
            <w:right w:val="none" w:sz="0" w:space="0" w:color="auto"/>
          </w:divBdr>
          <w:divsChild>
            <w:div w:id="154688421">
              <w:marLeft w:val="0"/>
              <w:marRight w:val="0"/>
              <w:marTop w:val="0"/>
              <w:marBottom w:val="0"/>
              <w:divBdr>
                <w:top w:val="none" w:sz="0" w:space="0" w:color="auto"/>
                <w:left w:val="none" w:sz="0" w:space="0" w:color="auto"/>
                <w:bottom w:val="none" w:sz="0" w:space="0" w:color="auto"/>
                <w:right w:val="none" w:sz="0" w:space="0" w:color="auto"/>
              </w:divBdr>
              <w:divsChild>
                <w:div w:id="1268393176">
                  <w:marLeft w:val="0"/>
                  <w:marRight w:val="0"/>
                  <w:marTop w:val="0"/>
                  <w:marBottom w:val="0"/>
                  <w:divBdr>
                    <w:top w:val="none" w:sz="0" w:space="0" w:color="auto"/>
                    <w:left w:val="none" w:sz="0" w:space="0" w:color="auto"/>
                    <w:bottom w:val="none" w:sz="0" w:space="0" w:color="auto"/>
                    <w:right w:val="none" w:sz="0" w:space="0" w:color="auto"/>
                  </w:divBdr>
                  <w:divsChild>
                    <w:div w:id="1227571416">
                      <w:marLeft w:val="0"/>
                      <w:marRight w:val="0"/>
                      <w:marTop w:val="0"/>
                      <w:marBottom w:val="0"/>
                      <w:divBdr>
                        <w:top w:val="none" w:sz="0" w:space="0" w:color="auto"/>
                        <w:left w:val="none" w:sz="0" w:space="0" w:color="auto"/>
                        <w:bottom w:val="none" w:sz="0" w:space="0" w:color="auto"/>
                        <w:right w:val="none" w:sz="0" w:space="0" w:color="auto"/>
                      </w:divBdr>
                      <w:divsChild>
                        <w:div w:id="265043060">
                          <w:marLeft w:val="0"/>
                          <w:marRight w:val="0"/>
                          <w:marTop w:val="0"/>
                          <w:marBottom w:val="0"/>
                          <w:divBdr>
                            <w:top w:val="none" w:sz="0" w:space="0" w:color="auto"/>
                            <w:left w:val="none" w:sz="0" w:space="0" w:color="auto"/>
                            <w:bottom w:val="none" w:sz="0" w:space="0" w:color="auto"/>
                            <w:right w:val="none" w:sz="0" w:space="0" w:color="auto"/>
                          </w:divBdr>
                          <w:divsChild>
                            <w:div w:id="631864799">
                              <w:marLeft w:val="0"/>
                              <w:marRight w:val="0"/>
                              <w:marTop w:val="0"/>
                              <w:marBottom w:val="0"/>
                              <w:divBdr>
                                <w:top w:val="none" w:sz="0" w:space="0" w:color="auto"/>
                                <w:left w:val="none" w:sz="0" w:space="0" w:color="auto"/>
                                <w:bottom w:val="none" w:sz="0" w:space="0" w:color="auto"/>
                                <w:right w:val="none" w:sz="0" w:space="0" w:color="auto"/>
                              </w:divBdr>
                              <w:divsChild>
                                <w:div w:id="846283588">
                                  <w:marLeft w:val="0"/>
                                  <w:marRight w:val="0"/>
                                  <w:marTop w:val="0"/>
                                  <w:marBottom w:val="0"/>
                                  <w:divBdr>
                                    <w:top w:val="none" w:sz="0" w:space="0" w:color="auto"/>
                                    <w:left w:val="none" w:sz="0" w:space="0" w:color="auto"/>
                                    <w:bottom w:val="none" w:sz="0" w:space="0" w:color="auto"/>
                                    <w:right w:val="none" w:sz="0" w:space="0" w:color="auto"/>
                                  </w:divBdr>
                                  <w:divsChild>
                                    <w:div w:id="1930116131">
                                      <w:marLeft w:val="0"/>
                                      <w:marRight w:val="0"/>
                                      <w:marTop w:val="0"/>
                                      <w:marBottom w:val="0"/>
                                      <w:divBdr>
                                        <w:top w:val="none" w:sz="0" w:space="0" w:color="auto"/>
                                        <w:left w:val="none" w:sz="0" w:space="0" w:color="auto"/>
                                        <w:bottom w:val="none" w:sz="0" w:space="0" w:color="auto"/>
                                        <w:right w:val="none" w:sz="0" w:space="0" w:color="auto"/>
                                      </w:divBdr>
                                      <w:divsChild>
                                        <w:div w:id="1122043087">
                                          <w:marLeft w:val="0"/>
                                          <w:marRight w:val="0"/>
                                          <w:marTop w:val="0"/>
                                          <w:marBottom w:val="0"/>
                                          <w:divBdr>
                                            <w:top w:val="none" w:sz="0" w:space="0" w:color="auto"/>
                                            <w:left w:val="none" w:sz="0" w:space="0" w:color="auto"/>
                                            <w:bottom w:val="none" w:sz="0" w:space="0" w:color="auto"/>
                                            <w:right w:val="none" w:sz="0" w:space="0" w:color="auto"/>
                                          </w:divBdr>
                                          <w:divsChild>
                                            <w:div w:id="7350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8392153">
      <w:bodyDiv w:val="1"/>
      <w:marLeft w:val="0"/>
      <w:marRight w:val="0"/>
      <w:marTop w:val="0"/>
      <w:marBottom w:val="0"/>
      <w:divBdr>
        <w:top w:val="none" w:sz="0" w:space="0" w:color="auto"/>
        <w:left w:val="none" w:sz="0" w:space="0" w:color="auto"/>
        <w:bottom w:val="none" w:sz="0" w:space="0" w:color="auto"/>
        <w:right w:val="none" w:sz="0" w:space="0" w:color="auto"/>
      </w:divBdr>
      <w:divsChild>
        <w:div w:id="1981301433">
          <w:marLeft w:val="0"/>
          <w:marRight w:val="0"/>
          <w:marTop w:val="0"/>
          <w:marBottom w:val="0"/>
          <w:divBdr>
            <w:top w:val="none" w:sz="0" w:space="0" w:color="auto"/>
            <w:left w:val="none" w:sz="0" w:space="0" w:color="auto"/>
            <w:bottom w:val="none" w:sz="0" w:space="0" w:color="auto"/>
            <w:right w:val="none" w:sz="0" w:space="0" w:color="auto"/>
          </w:divBdr>
          <w:divsChild>
            <w:div w:id="704133817">
              <w:marLeft w:val="0"/>
              <w:marRight w:val="0"/>
              <w:marTop w:val="0"/>
              <w:marBottom w:val="0"/>
              <w:divBdr>
                <w:top w:val="none" w:sz="0" w:space="0" w:color="auto"/>
                <w:left w:val="none" w:sz="0" w:space="0" w:color="auto"/>
                <w:bottom w:val="none" w:sz="0" w:space="0" w:color="auto"/>
                <w:right w:val="none" w:sz="0" w:space="0" w:color="auto"/>
              </w:divBdr>
              <w:divsChild>
                <w:div w:id="1743677622">
                  <w:marLeft w:val="0"/>
                  <w:marRight w:val="0"/>
                  <w:marTop w:val="0"/>
                  <w:marBottom w:val="0"/>
                  <w:divBdr>
                    <w:top w:val="none" w:sz="0" w:space="0" w:color="auto"/>
                    <w:left w:val="none" w:sz="0" w:space="0" w:color="auto"/>
                    <w:bottom w:val="none" w:sz="0" w:space="0" w:color="auto"/>
                    <w:right w:val="none" w:sz="0" w:space="0" w:color="auto"/>
                  </w:divBdr>
                  <w:divsChild>
                    <w:div w:id="442500953">
                      <w:marLeft w:val="0"/>
                      <w:marRight w:val="0"/>
                      <w:marTop w:val="0"/>
                      <w:marBottom w:val="0"/>
                      <w:divBdr>
                        <w:top w:val="none" w:sz="0" w:space="0" w:color="auto"/>
                        <w:left w:val="none" w:sz="0" w:space="0" w:color="auto"/>
                        <w:bottom w:val="none" w:sz="0" w:space="0" w:color="auto"/>
                        <w:right w:val="none" w:sz="0" w:space="0" w:color="auto"/>
                      </w:divBdr>
                      <w:divsChild>
                        <w:div w:id="1305045854">
                          <w:marLeft w:val="0"/>
                          <w:marRight w:val="0"/>
                          <w:marTop w:val="0"/>
                          <w:marBottom w:val="0"/>
                          <w:divBdr>
                            <w:top w:val="none" w:sz="0" w:space="0" w:color="auto"/>
                            <w:left w:val="none" w:sz="0" w:space="0" w:color="auto"/>
                            <w:bottom w:val="none" w:sz="0" w:space="0" w:color="auto"/>
                            <w:right w:val="none" w:sz="0" w:space="0" w:color="auto"/>
                          </w:divBdr>
                          <w:divsChild>
                            <w:div w:id="395133311">
                              <w:marLeft w:val="0"/>
                              <w:marRight w:val="0"/>
                              <w:marTop w:val="0"/>
                              <w:marBottom w:val="0"/>
                              <w:divBdr>
                                <w:top w:val="none" w:sz="0" w:space="0" w:color="auto"/>
                                <w:left w:val="none" w:sz="0" w:space="0" w:color="auto"/>
                                <w:bottom w:val="none" w:sz="0" w:space="0" w:color="auto"/>
                                <w:right w:val="none" w:sz="0" w:space="0" w:color="auto"/>
                              </w:divBdr>
                              <w:divsChild>
                                <w:div w:id="12979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442655">
      <w:bodyDiv w:val="1"/>
      <w:marLeft w:val="0"/>
      <w:marRight w:val="0"/>
      <w:marTop w:val="0"/>
      <w:marBottom w:val="0"/>
      <w:divBdr>
        <w:top w:val="none" w:sz="0" w:space="0" w:color="auto"/>
        <w:left w:val="none" w:sz="0" w:space="0" w:color="auto"/>
        <w:bottom w:val="none" w:sz="0" w:space="0" w:color="auto"/>
        <w:right w:val="none" w:sz="0" w:space="0" w:color="auto"/>
      </w:divBdr>
    </w:div>
    <w:div w:id="1765569833">
      <w:bodyDiv w:val="1"/>
      <w:marLeft w:val="0"/>
      <w:marRight w:val="0"/>
      <w:marTop w:val="0"/>
      <w:marBottom w:val="0"/>
      <w:divBdr>
        <w:top w:val="none" w:sz="0" w:space="0" w:color="auto"/>
        <w:left w:val="none" w:sz="0" w:space="0" w:color="auto"/>
        <w:bottom w:val="none" w:sz="0" w:space="0" w:color="auto"/>
        <w:right w:val="none" w:sz="0" w:space="0" w:color="auto"/>
      </w:divBdr>
      <w:divsChild>
        <w:div w:id="1300109243">
          <w:marLeft w:val="0"/>
          <w:marRight w:val="0"/>
          <w:marTop w:val="0"/>
          <w:marBottom w:val="0"/>
          <w:divBdr>
            <w:top w:val="none" w:sz="0" w:space="0" w:color="auto"/>
            <w:left w:val="none" w:sz="0" w:space="0" w:color="auto"/>
            <w:bottom w:val="none" w:sz="0" w:space="0" w:color="auto"/>
            <w:right w:val="none" w:sz="0" w:space="0" w:color="auto"/>
          </w:divBdr>
          <w:divsChild>
            <w:div w:id="1138304942">
              <w:marLeft w:val="0"/>
              <w:marRight w:val="0"/>
              <w:marTop w:val="0"/>
              <w:marBottom w:val="0"/>
              <w:divBdr>
                <w:top w:val="none" w:sz="0" w:space="0" w:color="auto"/>
                <w:left w:val="none" w:sz="0" w:space="0" w:color="auto"/>
                <w:bottom w:val="none" w:sz="0" w:space="0" w:color="auto"/>
                <w:right w:val="none" w:sz="0" w:space="0" w:color="auto"/>
              </w:divBdr>
              <w:divsChild>
                <w:div w:id="463692955">
                  <w:marLeft w:val="0"/>
                  <w:marRight w:val="0"/>
                  <w:marTop w:val="0"/>
                  <w:marBottom w:val="0"/>
                  <w:divBdr>
                    <w:top w:val="none" w:sz="0" w:space="0" w:color="auto"/>
                    <w:left w:val="none" w:sz="0" w:space="0" w:color="auto"/>
                    <w:bottom w:val="none" w:sz="0" w:space="0" w:color="auto"/>
                    <w:right w:val="none" w:sz="0" w:space="0" w:color="auto"/>
                  </w:divBdr>
                  <w:divsChild>
                    <w:div w:id="2000227226">
                      <w:marLeft w:val="0"/>
                      <w:marRight w:val="0"/>
                      <w:marTop w:val="0"/>
                      <w:marBottom w:val="0"/>
                      <w:divBdr>
                        <w:top w:val="none" w:sz="0" w:space="0" w:color="auto"/>
                        <w:left w:val="none" w:sz="0" w:space="0" w:color="auto"/>
                        <w:bottom w:val="none" w:sz="0" w:space="0" w:color="auto"/>
                        <w:right w:val="none" w:sz="0" w:space="0" w:color="auto"/>
                      </w:divBdr>
                      <w:divsChild>
                        <w:div w:id="2144424318">
                          <w:marLeft w:val="0"/>
                          <w:marRight w:val="0"/>
                          <w:marTop w:val="0"/>
                          <w:marBottom w:val="0"/>
                          <w:divBdr>
                            <w:top w:val="none" w:sz="0" w:space="0" w:color="auto"/>
                            <w:left w:val="none" w:sz="0" w:space="0" w:color="auto"/>
                            <w:bottom w:val="none" w:sz="0" w:space="0" w:color="auto"/>
                            <w:right w:val="none" w:sz="0" w:space="0" w:color="auto"/>
                          </w:divBdr>
                          <w:divsChild>
                            <w:div w:id="794174837">
                              <w:marLeft w:val="0"/>
                              <w:marRight w:val="0"/>
                              <w:marTop w:val="0"/>
                              <w:marBottom w:val="0"/>
                              <w:divBdr>
                                <w:top w:val="none" w:sz="0" w:space="0" w:color="auto"/>
                                <w:left w:val="none" w:sz="0" w:space="0" w:color="auto"/>
                                <w:bottom w:val="none" w:sz="0" w:space="0" w:color="auto"/>
                                <w:right w:val="none" w:sz="0" w:space="0" w:color="auto"/>
                              </w:divBdr>
                              <w:divsChild>
                                <w:div w:id="16219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17605">
      <w:bodyDiv w:val="1"/>
      <w:marLeft w:val="0"/>
      <w:marRight w:val="0"/>
      <w:marTop w:val="0"/>
      <w:marBottom w:val="0"/>
      <w:divBdr>
        <w:top w:val="none" w:sz="0" w:space="0" w:color="auto"/>
        <w:left w:val="none" w:sz="0" w:space="0" w:color="auto"/>
        <w:bottom w:val="none" w:sz="0" w:space="0" w:color="auto"/>
        <w:right w:val="none" w:sz="0" w:space="0" w:color="auto"/>
      </w:divBdr>
    </w:div>
    <w:div w:id="1785659526">
      <w:bodyDiv w:val="1"/>
      <w:marLeft w:val="0"/>
      <w:marRight w:val="0"/>
      <w:marTop w:val="0"/>
      <w:marBottom w:val="0"/>
      <w:divBdr>
        <w:top w:val="none" w:sz="0" w:space="0" w:color="auto"/>
        <w:left w:val="none" w:sz="0" w:space="0" w:color="auto"/>
        <w:bottom w:val="none" w:sz="0" w:space="0" w:color="auto"/>
        <w:right w:val="none" w:sz="0" w:space="0" w:color="auto"/>
      </w:divBdr>
    </w:div>
    <w:div w:id="1841310667">
      <w:bodyDiv w:val="1"/>
      <w:marLeft w:val="0"/>
      <w:marRight w:val="0"/>
      <w:marTop w:val="0"/>
      <w:marBottom w:val="0"/>
      <w:divBdr>
        <w:top w:val="none" w:sz="0" w:space="0" w:color="auto"/>
        <w:left w:val="none" w:sz="0" w:space="0" w:color="auto"/>
        <w:bottom w:val="none" w:sz="0" w:space="0" w:color="auto"/>
        <w:right w:val="none" w:sz="0" w:space="0" w:color="auto"/>
      </w:divBdr>
    </w:div>
    <w:div w:id="1894392546">
      <w:bodyDiv w:val="1"/>
      <w:marLeft w:val="0"/>
      <w:marRight w:val="0"/>
      <w:marTop w:val="0"/>
      <w:marBottom w:val="0"/>
      <w:divBdr>
        <w:top w:val="none" w:sz="0" w:space="0" w:color="auto"/>
        <w:left w:val="none" w:sz="0" w:space="0" w:color="auto"/>
        <w:bottom w:val="none" w:sz="0" w:space="0" w:color="auto"/>
        <w:right w:val="none" w:sz="0" w:space="0" w:color="auto"/>
      </w:divBdr>
    </w:div>
    <w:div w:id="1944803569">
      <w:bodyDiv w:val="1"/>
      <w:marLeft w:val="0"/>
      <w:marRight w:val="0"/>
      <w:marTop w:val="0"/>
      <w:marBottom w:val="0"/>
      <w:divBdr>
        <w:top w:val="none" w:sz="0" w:space="0" w:color="auto"/>
        <w:left w:val="none" w:sz="0" w:space="0" w:color="auto"/>
        <w:bottom w:val="none" w:sz="0" w:space="0" w:color="auto"/>
        <w:right w:val="none" w:sz="0" w:space="0" w:color="auto"/>
      </w:divBdr>
    </w:div>
    <w:div w:id="1951037979">
      <w:bodyDiv w:val="1"/>
      <w:marLeft w:val="0"/>
      <w:marRight w:val="0"/>
      <w:marTop w:val="0"/>
      <w:marBottom w:val="0"/>
      <w:divBdr>
        <w:top w:val="none" w:sz="0" w:space="0" w:color="auto"/>
        <w:left w:val="none" w:sz="0" w:space="0" w:color="auto"/>
        <w:bottom w:val="none" w:sz="0" w:space="0" w:color="auto"/>
        <w:right w:val="none" w:sz="0" w:space="0" w:color="auto"/>
      </w:divBdr>
    </w:div>
    <w:div w:id="1971744461">
      <w:bodyDiv w:val="1"/>
      <w:marLeft w:val="0"/>
      <w:marRight w:val="0"/>
      <w:marTop w:val="0"/>
      <w:marBottom w:val="0"/>
      <w:divBdr>
        <w:top w:val="none" w:sz="0" w:space="0" w:color="auto"/>
        <w:left w:val="none" w:sz="0" w:space="0" w:color="auto"/>
        <w:bottom w:val="none" w:sz="0" w:space="0" w:color="auto"/>
        <w:right w:val="none" w:sz="0" w:space="0" w:color="auto"/>
      </w:divBdr>
    </w:div>
    <w:div w:id="2014725382">
      <w:bodyDiv w:val="1"/>
      <w:marLeft w:val="0"/>
      <w:marRight w:val="0"/>
      <w:marTop w:val="0"/>
      <w:marBottom w:val="0"/>
      <w:divBdr>
        <w:top w:val="none" w:sz="0" w:space="0" w:color="auto"/>
        <w:left w:val="none" w:sz="0" w:space="0" w:color="auto"/>
        <w:bottom w:val="none" w:sz="0" w:space="0" w:color="auto"/>
        <w:right w:val="none" w:sz="0" w:space="0" w:color="auto"/>
      </w:divBdr>
    </w:div>
    <w:div w:id="205357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07/s10661-021-09230-1" TargetMode="External"/><Relationship Id="rId26" Type="http://schemas.openxmlformats.org/officeDocument/2006/relationships/hyperlink" Target="https://doi.org/10.1016/j.apr.2022.101239" TargetMode="External"/><Relationship Id="rId21" Type="http://schemas.openxmlformats.org/officeDocument/2006/relationships/hyperlink" Target="https://doi.org/10.1016/j.atmosenv.2014.02.037" TargetMode="External"/><Relationship Id="rId34" Type="http://schemas.openxmlformats.org/officeDocument/2006/relationships/hyperlink" Target="https://www.who.int/news-room/fact-sheets/detail/ambient-(outdoor)-air-quality-and-health" TargetMode="Externa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hyperlink" Target="https://doi.org/10.1289/EHP2089" TargetMode="External"/><Relationship Id="rId25" Type="http://schemas.openxmlformats.org/officeDocument/2006/relationships/hyperlink" Target="https://doi.org/10.1016/j.atmosenv.2012.06.001" TargetMode="External"/><Relationship Id="rId33" Type="http://schemas.openxmlformats.org/officeDocument/2006/relationships/hyperlink" Target="https://doi.org/10.1016/j.envpol.2013.08.013" TargetMode="External"/><Relationship Id="rId2" Type="http://schemas.openxmlformats.org/officeDocument/2006/relationships/numbering" Target="numbering.xml"/><Relationship Id="rId16" Type="http://schemas.openxmlformats.org/officeDocument/2006/relationships/hyperlink" Target="https://doi.org/10.1016/j.scitotenv.2016.11.063" TargetMode="External"/><Relationship Id="rId20" Type="http://schemas.openxmlformats.org/officeDocument/2006/relationships/hyperlink" Target="https://doi.org/10.1088/1748-9326/11/11/115012" TargetMode="External"/><Relationship Id="rId29" Type="http://schemas.openxmlformats.org/officeDocument/2006/relationships/hyperlink" Target="https://doi.org/10.1007/s40201-021-00670-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hyperlink" Target="https://doi.org/10.1016/j.jenvman.2018.12.041" TargetMode="External"/><Relationship Id="rId32" Type="http://schemas.openxmlformats.org/officeDocument/2006/relationships/hyperlink" Target="https://doi.org/10.1177/095624781139860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epa.gov/criteria-air-pollutants" TargetMode="External"/><Relationship Id="rId28" Type="http://schemas.openxmlformats.org/officeDocument/2006/relationships/hyperlink" Target="https://doi.org/10.5094/APR.2015.084" TargetMode="External"/><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s://www.scribbr.com/statistics/p-value/?utm_source=chatgpt.com" TargetMode="External"/><Relationship Id="rId31" Type="http://schemas.openxmlformats.org/officeDocument/2006/relationships/hyperlink" Target="https://doi.org/10.1007/s10661-020-08630-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doi.org/10.5194/acp-10-1581-2010" TargetMode="External"/><Relationship Id="rId27" Type="http://schemas.openxmlformats.org/officeDocument/2006/relationships/hyperlink" Target="https://doi.org/10.1021/es0349849" TargetMode="External"/><Relationship Id="rId30" Type="http://schemas.openxmlformats.org/officeDocument/2006/relationships/hyperlink" Target="https://doi.org/10.1007/s11356-020-08245-8" TargetMode="External"/><Relationship Id="rId35" Type="http://schemas.openxmlformats.org/officeDocument/2006/relationships/hyperlink" Target="https://doi.org/10.1016/j.atmosenv.2019.06.035" TargetMode="External"/><Relationship Id="rId8" Type="http://schemas.openxmlformats.org/officeDocument/2006/relationships/oleObject" Target="embeddings/oleObject1.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424FC-D3F6-441C-A6FD-2BD7E445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39</Pages>
  <Words>11386</Words>
  <Characters>64905</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28</cp:revision>
  <dcterms:created xsi:type="dcterms:W3CDTF">2026-03-23T13:15:00Z</dcterms:created>
  <dcterms:modified xsi:type="dcterms:W3CDTF">2026-03-31T09:55:00Z</dcterms:modified>
</cp:coreProperties>
</file>