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762DB" w14:textId="77777777" w:rsidR="00736DEB" w:rsidRPr="002B0E12" w:rsidRDefault="00736DEB" w:rsidP="001370D9">
      <w:pPr>
        <w:spacing w:after="0" w:line="360" w:lineRule="auto"/>
        <w:jc w:val="right"/>
        <w:rPr>
          <w:rFonts w:ascii="Times New Roman" w:hAnsi="Times New Roman"/>
          <w:b/>
          <w:bCs/>
          <w:sz w:val="24"/>
          <w:szCs w:val="24"/>
        </w:rPr>
      </w:pPr>
      <w:r w:rsidRPr="002B0E12">
        <w:rPr>
          <w:rFonts w:ascii="Times New Roman" w:hAnsi="Times New Roman"/>
          <w:b/>
          <w:bCs/>
          <w:sz w:val="24"/>
          <w:szCs w:val="24"/>
        </w:rPr>
        <w:t xml:space="preserve">Original Research Article </w:t>
      </w:r>
    </w:p>
    <w:p w14:paraId="396C53F6" w14:textId="77777777" w:rsidR="00D7220E" w:rsidRPr="002B0E12" w:rsidRDefault="00D7220E" w:rsidP="001370D9">
      <w:pPr>
        <w:spacing w:after="0" w:line="360" w:lineRule="auto"/>
        <w:jc w:val="right"/>
        <w:rPr>
          <w:rFonts w:ascii="Times New Roman" w:hAnsi="Times New Roman"/>
          <w:b/>
          <w:bCs/>
          <w:sz w:val="24"/>
          <w:szCs w:val="24"/>
        </w:rPr>
      </w:pPr>
    </w:p>
    <w:p w14:paraId="147FFF39" w14:textId="233F314E" w:rsidR="00C83CC1" w:rsidRPr="002B0E12" w:rsidRDefault="004B71D0" w:rsidP="001370D9">
      <w:pPr>
        <w:spacing w:after="0" w:line="360" w:lineRule="auto"/>
        <w:jc w:val="right"/>
        <w:rPr>
          <w:rFonts w:ascii="Times New Roman" w:hAnsi="Times New Roman"/>
          <w:b/>
          <w:bCs/>
          <w:sz w:val="24"/>
          <w:szCs w:val="24"/>
        </w:rPr>
      </w:pPr>
      <w:r w:rsidRPr="002B0E12">
        <w:rPr>
          <w:rFonts w:ascii="Times New Roman" w:hAnsi="Times New Roman"/>
          <w:b/>
          <w:bCs/>
          <w:sz w:val="24"/>
          <w:szCs w:val="24"/>
        </w:rPr>
        <w:t xml:space="preserve">Insufficient Intake Of N-3 Polyunsaturated Fatty Acids Is Associated </w:t>
      </w:r>
      <w:proofErr w:type="gramStart"/>
      <w:r w:rsidRPr="002B0E12">
        <w:rPr>
          <w:rFonts w:ascii="Times New Roman" w:hAnsi="Times New Roman"/>
          <w:b/>
          <w:bCs/>
          <w:sz w:val="24"/>
          <w:szCs w:val="24"/>
        </w:rPr>
        <w:t>With</w:t>
      </w:r>
      <w:proofErr w:type="gramEnd"/>
      <w:r w:rsidRPr="002B0E12">
        <w:rPr>
          <w:rFonts w:ascii="Times New Roman" w:hAnsi="Times New Roman"/>
          <w:b/>
          <w:bCs/>
          <w:sz w:val="24"/>
          <w:szCs w:val="24"/>
        </w:rPr>
        <w:t xml:space="preserve"> Higher Prevalence Of Metabolic Syndrome Among Urban And Rural Adults In Punjab, India</w:t>
      </w:r>
    </w:p>
    <w:p w14:paraId="165A2BB9" w14:textId="77777777" w:rsidR="00E63A77" w:rsidRPr="002B0E12" w:rsidRDefault="00E63A77" w:rsidP="001370D9">
      <w:pPr>
        <w:spacing w:after="0" w:line="360" w:lineRule="auto"/>
        <w:jc w:val="right"/>
        <w:rPr>
          <w:rFonts w:ascii="Times New Roman" w:hAnsi="Times New Roman"/>
          <w:b/>
          <w:bCs/>
          <w:sz w:val="24"/>
          <w:szCs w:val="24"/>
        </w:rPr>
      </w:pPr>
    </w:p>
    <w:p w14:paraId="536DA2AD" w14:textId="171D3129"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3E2DBE2C"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489CA8A6"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72A1B4A5"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3A59A00B"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2CEA7DDB"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36C475EC" w14:textId="77777777" w:rsidR="004A1B95" w:rsidRPr="002B0E12" w:rsidRDefault="004A1B95" w:rsidP="001370D9">
      <w:pPr>
        <w:pStyle w:val="ListParagraph"/>
        <w:tabs>
          <w:tab w:val="left" w:pos="426"/>
        </w:tabs>
        <w:spacing w:after="0"/>
        <w:ind w:left="284"/>
        <w:jc w:val="right"/>
        <w:rPr>
          <w:rFonts w:ascii="Times New Roman" w:hAnsi="Times New Roman"/>
          <w:bCs/>
          <w:sz w:val="24"/>
          <w:szCs w:val="24"/>
        </w:rPr>
      </w:pPr>
    </w:p>
    <w:p w14:paraId="4C690BE8" w14:textId="77777777" w:rsidR="00C83CC1" w:rsidRPr="002B0E12" w:rsidRDefault="00C83CC1" w:rsidP="00C07C9E">
      <w:pPr>
        <w:spacing w:after="0" w:line="360" w:lineRule="auto"/>
        <w:jc w:val="both"/>
        <w:rPr>
          <w:rFonts w:ascii="Arial" w:hAnsi="Arial" w:cs="Arial"/>
        </w:rPr>
      </w:pPr>
      <w:r w:rsidRPr="002B0E12">
        <w:rPr>
          <w:rFonts w:ascii="Arial" w:hAnsi="Arial" w:cs="Arial"/>
          <w:b/>
        </w:rPr>
        <w:t>ABSTRACT</w:t>
      </w:r>
    </w:p>
    <w:p w14:paraId="3DFB4B5F" w14:textId="08FE2DF6" w:rsidR="00C07C9E" w:rsidRPr="002B0E12" w:rsidRDefault="00C07C9E" w:rsidP="00C07C9E">
      <w:pPr>
        <w:spacing w:after="0" w:line="360" w:lineRule="auto"/>
        <w:jc w:val="both"/>
        <w:rPr>
          <w:rFonts w:ascii="Arial" w:eastAsia="Times New Roman" w:hAnsi="Arial" w:cs="Arial"/>
          <w:lang w:val="en-GB" w:eastAsia="en-GB"/>
        </w:rPr>
      </w:pPr>
      <w:proofErr w:type="spellStart"/>
      <w:r w:rsidRPr="002B0E12">
        <w:rPr>
          <w:rFonts w:ascii="Arial" w:eastAsia="Times New Roman" w:hAnsi="Arial" w:cs="Arial"/>
          <w:b/>
          <w:bCs/>
          <w:lang w:val="en-GB" w:eastAsia="en-GB"/>
        </w:rPr>
        <w:t>Aims:</w:t>
      </w:r>
      <w:r w:rsidRPr="002B0E12">
        <w:rPr>
          <w:rFonts w:ascii="Arial" w:eastAsia="Times New Roman" w:hAnsi="Arial" w:cs="Arial"/>
          <w:lang w:val="en-GB" w:eastAsia="en-GB"/>
        </w:rPr>
        <w:t>To</w:t>
      </w:r>
      <w:proofErr w:type="spellEnd"/>
      <w:r w:rsidRPr="002B0E12">
        <w:rPr>
          <w:rFonts w:ascii="Arial" w:eastAsia="Times New Roman" w:hAnsi="Arial" w:cs="Arial"/>
          <w:lang w:val="en-GB" w:eastAsia="en-GB"/>
        </w:rPr>
        <w:t xml:space="preserve"> assess the association between omega-3 (n-3) polyunsaturated fatty acid (PUFA) intake and the risk factors of metabolic syndrome (</w:t>
      </w:r>
      <w:proofErr w:type="spellStart"/>
      <w:r w:rsidRPr="002B0E12">
        <w:rPr>
          <w:rFonts w:ascii="Arial" w:eastAsia="Times New Roman" w:hAnsi="Arial" w:cs="Arial"/>
          <w:lang w:val="en-GB" w:eastAsia="en-GB"/>
        </w:rPr>
        <w:t>MetS</w:t>
      </w:r>
      <w:proofErr w:type="spellEnd"/>
      <w:r w:rsidRPr="002B0E12">
        <w:rPr>
          <w:rFonts w:ascii="Arial" w:eastAsia="Times New Roman" w:hAnsi="Arial" w:cs="Arial"/>
          <w:lang w:val="en-GB" w:eastAsia="en-GB"/>
        </w:rPr>
        <w:t>) among urban and rural populations of Punjab, North India.</w:t>
      </w:r>
    </w:p>
    <w:p w14:paraId="6C8749E2" w14:textId="2E0C17E5" w:rsidR="00C07C9E" w:rsidRPr="002B0E12" w:rsidRDefault="00C07C9E" w:rsidP="00C07C9E">
      <w:pPr>
        <w:spacing w:after="0" w:line="360" w:lineRule="auto"/>
        <w:jc w:val="both"/>
        <w:rPr>
          <w:rFonts w:ascii="Arial" w:eastAsia="Times New Roman" w:hAnsi="Arial" w:cs="Arial"/>
          <w:lang w:val="en-GB" w:eastAsia="en-GB"/>
        </w:rPr>
      </w:pPr>
      <w:r w:rsidRPr="002B0E12">
        <w:rPr>
          <w:rFonts w:ascii="Arial" w:eastAsia="Times New Roman" w:hAnsi="Arial" w:cs="Arial"/>
          <w:b/>
          <w:lang w:val="en-GB" w:eastAsia="en-GB"/>
        </w:rPr>
        <w:t>Study design:</w:t>
      </w:r>
      <w:r w:rsidRPr="002B0E12">
        <w:rPr>
          <w:rFonts w:ascii="Arial" w:eastAsia="Times New Roman" w:hAnsi="Arial" w:cs="Arial"/>
          <w:lang w:val="en-GB" w:eastAsia="en-GB"/>
        </w:rPr>
        <w:t xml:space="preserve"> Cross-sectional comparative study.</w:t>
      </w:r>
    </w:p>
    <w:p w14:paraId="1D2A6328" w14:textId="1DB6CDB4" w:rsidR="00C07C9E" w:rsidRPr="002B0E12" w:rsidRDefault="00C07C9E" w:rsidP="00C07C9E">
      <w:pPr>
        <w:spacing w:after="0" w:line="360" w:lineRule="auto"/>
        <w:jc w:val="both"/>
        <w:rPr>
          <w:rFonts w:ascii="Arial" w:eastAsia="Times New Roman" w:hAnsi="Arial" w:cs="Arial"/>
          <w:lang w:val="en-GB" w:eastAsia="en-GB"/>
        </w:rPr>
      </w:pPr>
      <w:r w:rsidRPr="002B0E12">
        <w:rPr>
          <w:rFonts w:ascii="Arial" w:eastAsia="Times New Roman" w:hAnsi="Arial" w:cs="Arial"/>
          <w:b/>
          <w:lang w:val="en-GB" w:eastAsia="en-GB"/>
        </w:rPr>
        <w:t>Place of the Study:</w:t>
      </w:r>
      <w:r w:rsidRPr="002B0E12">
        <w:rPr>
          <w:rFonts w:ascii="Arial" w:eastAsia="Times New Roman" w:hAnsi="Arial" w:cs="Arial"/>
          <w:lang w:val="en-GB" w:eastAsia="en-GB"/>
        </w:rPr>
        <w:t xml:space="preserve"> Urban and rural areas of Punjab, India, among individuals aged 25–65 years. </w:t>
      </w:r>
    </w:p>
    <w:p w14:paraId="7E2AB956" w14:textId="7CADC641" w:rsidR="00C07C9E" w:rsidRPr="002B0E12" w:rsidRDefault="00C07C9E" w:rsidP="00C07C9E">
      <w:pPr>
        <w:spacing w:after="0" w:line="360" w:lineRule="auto"/>
        <w:jc w:val="both"/>
        <w:rPr>
          <w:rFonts w:ascii="Arial" w:eastAsia="Times New Roman" w:hAnsi="Arial" w:cs="Arial"/>
          <w:lang w:val="en-GB" w:eastAsia="en-GB"/>
        </w:rPr>
      </w:pPr>
      <w:r w:rsidRPr="002B0E12">
        <w:rPr>
          <w:rFonts w:ascii="Arial" w:eastAsia="Times New Roman" w:hAnsi="Arial" w:cs="Arial"/>
          <w:b/>
          <w:bCs/>
          <w:lang w:val="en-GB" w:eastAsia="en-GB"/>
        </w:rPr>
        <w:t>Methodology:</w:t>
      </w:r>
      <w:r w:rsidR="007B0C80" w:rsidRPr="002B0E12">
        <w:rPr>
          <w:rFonts w:ascii="Arial" w:eastAsia="Times New Roman" w:hAnsi="Arial" w:cs="Arial"/>
          <w:b/>
          <w:bCs/>
          <w:lang w:val="en-GB" w:eastAsia="en-GB"/>
        </w:rPr>
        <w:t xml:space="preserve"> </w:t>
      </w:r>
      <w:r w:rsidR="00034C16" w:rsidRPr="002D5481">
        <w:rPr>
          <w:rFonts w:ascii="Arial" w:eastAsia="Times New Roman" w:hAnsi="Arial" w:cs="Arial"/>
          <w:lang w:val="en-GB" w:eastAsia="en-GB"/>
        </w:rPr>
        <w:t xml:space="preserve">The study included 101 adults (54 men and 46 women) aged 25–65 years. Metabolic syndrome was diagnosed using the NCEP ATP-III (2001) criteria. Dietary intake was assessed to estimate the consumption of omega-3 and omega-6 fatty acids. Key health parameters such as blood pressure, fasting blood glucose, lipid profile, and body measurements were recorded. In addition, the fatty acid composition of plasma red blood cells, including DHA and EPA, was </w:t>
      </w:r>
      <w:proofErr w:type="spellStart"/>
      <w:r w:rsidR="00034C16" w:rsidRPr="002D5481">
        <w:rPr>
          <w:rFonts w:ascii="Arial" w:eastAsia="Times New Roman" w:hAnsi="Arial" w:cs="Arial"/>
          <w:lang w:val="en-GB" w:eastAsia="en-GB"/>
        </w:rPr>
        <w:t>analyzed</w:t>
      </w:r>
      <w:proofErr w:type="spellEnd"/>
      <w:r w:rsidR="00034C16" w:rsidRPr="002D5481">
        <w:rPr>
          <w:rFonts w:ascii="Arial" w:eastAsia="Times New Roman" w:hAnsi="Arial" w:cs="Arial"/>
          <w:lang w:val="en-GB" w:eastAsia="en-GB"/>
        </w:rPr>
        <w:t>. Correlation analysis was carried out to explore the relationship between n-3 PUFA intake and metabolic risk factors.</w:t>
      </w:r>
    </w:p>
    <w:p w14:paraId="4ABB3072" w14:textId="77777777" w:rsidR="00034C16" w:rsidRPr="002D5481" w:rsidRDefault="00C07C9E" w:rsidP="00034C16">
      <w:pPr>
        <w:spacing w:after="0" w:line="360" w:lineRule="auto"/>
        <w:jc w:val="both"/>
        <w:rPr>
          <w:rFonts w:ascii="Arial" w:eastAsia="Times New Roman" w:hAnsi="Arial" w:cs="Arial"/>
          <w:lang w:val="en-GB" w:eastAsia="en-GB"/>
        </w:rPr>
      </w:pPr>
      <w:r w:rsidRPr="002B0E12">
        <w:rPr>
          <w:rFonts w:ascii="Arial" w:eastAsia="Times New Roman" w:hAnsi="Arial" w:cs="Arial"/>
          <w:b/>
          <w:bCs/>
          <w:lang w:val="en-GB" w:eastAsia="en-GB"/>
        </w:rPr>
        <w:t>Results:</w:t>
      </w:r>
      <w:r w:rsidR="007B0C80" w:rsidRPr="002B0E12">
        <w:rPr>
          <w:rFonts w:ascii="Arial" w:eastAsia="Times New Roman" w:hAnsi="Arial" w:cs="Arial"/>
          <w:b/>
          <w:bCs/>
          <w:lang w:val="en-GB" w:eastAsia="en-GB"/>
        </w:rPr>
        <w:t xml:space="preserve"> </w:t>
      </w:r>
      <w:r w:rsidR="00034C16" w:rsidRPr="002D5481">
        <w:rPr>
          <w:rFonts w:ascii="Arial" w:eastAsia="Times New Roman" w:hAnsi="Arial" w:cs="Arial"/>
          <w:lang w:val="en-GB" w:eastAsia="en-GB"/>
        </w:rPr>
        <w:t xml:space="preserve">The findings revealed that rural participants had a higher prevalence of elevated blood pressure and fasting blood glucose (34% men and 26% women) compared to urban participants (7% men and 10% women). Dietary analysis showed almost negligible intake of DHA and EPA among all participants, while the intake of linoleic acid (LA) and alpha-linolenic acid (ALA) was also below recommended levels. Despite this, urban participants had significantly higher levels of DHA and EPA in their red blood cells than rural individuals. Importantly, higher consumption of n-3 PUFA–rich foods was associated with better health outcomes—it was linked to lower BMI, waist circumference, blood pressure, LDL cholesterol, and </w:t>
      </w:r>
      <w:proofErr w:type="spellStart"/>
      <w:r w:rsidR="00034C16" w:rsidRPr="002D5481">
        <w:rPr>
          <w:rFonts w:ascii="Arial" w:eastAsia="Times New Roman" w:hAnsi="Arial" w:cs="Arial"/>
          <w:lang w:val="en-GB" w:eastAsia="en-GB"/>
        </w:rPr>
        <w:t>cholesterol:HDL</w:t>
      </w:r>
      <w:proofErr w:type="spellEnd"/>
      <w:r w:rsidR="00034C16" w:rsidRPr="002D5481">
        <w:rPr>
          <w:rFonts w:ascii="Arial" w:eastAsia="Times New Roman" w:hAnsi="Arial" w:cs="Arial"/>
          <w:lang w:val="en-GB" w:eastAsia="en-GB"/>
        </w:rPr>
        <w:t xml:space="preserve"> ratio, and higher levels of protective HDL cholesterol.</w:t>
      </w:r>
    </w:p>
    <w:p w14:paraId="5237A735" w14:textId="77777777" w:rsidR="00034C16" w:rsidRPr="002D5481" w:rsidRDefault="00C07C9E" w:rsidP="00034C16">
      <w:pPr>
        <w:spacing w:after="0" w:line="360" w:lineRule="auto"/>
        <w:jc w:val="both"/>
        <w:rPr>
          <w:rFonts w:ascii="Arial" w:eastAsia="Times New Roman" w:hAnsi="Arial" w:cs="Arial"/>
          <w:lang w:val="en-GB" w:eastAsia="en-GB"/>
        </w:rPr>
      </w:pPr>
      <w:r w:rsidRPr="002B0E12">
        <w:rPr>
          <w:rFonts w:ascii="Arial" w:eastAsia="Times New Roman" w:hAnsi="Arial" w:cs="Arial"/>
          <w:b/>
          <w:bCs/>
          <w:lang w:val="en-GB" w:eastAsia="en-GB"/>
        </w:rPr>
        <w:t>Conclusion:</w:t>
      </w:r>
      <w:r w:rsidR="007B0C80" w:rsidRPr="002B0E12">
        <w:rPr>
          <w:rFonts w:ascii="Arial" w:eastAsia="Times New Roman" w:hAnsi="Arial" w:cs="Arial"/>
          <w:b/>
          <w:bCs/>
          <w:lang w:val="en-GB" w:eastAsia="en-GB"/>
        </w:rPr>
        <w:t xml:space="preserve"> </w:t>
      </w:r>
      <w:r w:rsidR="00034C16" w:rsidRPr="002D5481">
        <w:rPr>
          <w:rFonts w:ascii="Arial" w:eastAsia="Times New Roman" w:hAnsi="Arial" w:cs="Arial"/>
          <w:lang w:val="en-GB" w:eastAsia="en-GB"/>
        </w:rPr>
        <w:t xml:space="preserve">The study suggests that low intake of n-3 PUFAs may be an important contributor to the rising risk of metabolic syndrome, especially in rural populations. </w:t>
      </w:r>
      <w:r w:rsidR="00034C16" w:rsidRPr="002D5481">
        <w:rPr>
          <w:rFonts w:ascii="Arial" w:eastAsia="Times New Roman" w:hAnsi="Arial" w:cs="Arial"/>
          <w:lang w:val="en-GB" w:eastAsia="en-GB"/>
        </w:rPr>
        <w:lastRenderedPageBreak/>
        <w:t>Encouraging the inclusion of n-3 rich foods in daily diets could be an effective strategy to reduce this risk. However, further research is needed to confirm and expand upon these findings.</w:t>
      </w:r>
    </w:p>
    <w:p w14:paraId="4F4D6A35" w14:textId="3BBC31D6" w:rsidR="00C83CC1" w:rsidRPr="002B0E12" w:rsidRDefault="00C83CC1" w:rsidP="00C07C9E">
      <w:pPr>
        <w:spacing w:after="0" w:line="360" w:lineRule="auto"/>
        <w:jc w:val="both"/>
        <w:rPr>
          <w:rFonts w:ascii="Arial" w:hAnsi="Arial" w:cs="Arial"/>
        </w:rPr>
      </w:pPr>
      <w:r w:rsidRPr="002B0E12">
        <w:rPr>
          <w:rFonts w:ascii="Arial" w:hAnsi="Arial" w:cs="Arial"/>
          <w:b/>
        </w:rPr>
        <w:t xml:space="preserve">Key words: </w:t>
      </w:r>
      <w:r w:rsidRPr="002B0E12">
        <w:rPr>
          <w:rFonts w:ascii="Arial" w:hAnsi="Arial" w:cs="Arial"/>
        </w:rPr>
        <w:t xml:space="preserve">Metabolic syndrome, omega-3 fatty acids, </w:t>
      </w:r>
      <w:r w:rsidR="00A1223B" w:rsidRPr="002B0E12">
        <w:rPr>
          <w:rFonts w:ascii="Arial" w:eastAsia="Times New Roman" w:hAnsi="Arial" w:cs="Arial"/>
          <w:lang w:val="en-GB" w:eastAsia="en-GB"/>
        </w:rPr>
        <w:t xml:space="preserve">linoleic acid (LA) and alpha-linolenic acid (ALA), </w:t>
      </w:r>
      <w:r w:rsidRPr="002B0E12">
        <w:rPr>
          <w:rFonts w:ascii="Arial" w:hAnsi="Arial" w:cs="Arial"/>
        </w:rPr>
        <w:t>rural population, urban population,</w:t>
      </w:r>
      <w:r w:rsidR="00232D06" w:rsidRPr="002B0E12">
        <w:rPr>
          <w:rFonts w:ascii="Arial" w:hAnsi="Arial" w:cs="Arial"/>
        </w:rPr>
        <w:t xml:space="preserve"> </w:t>
      </w:r>
    </w:p>
    <w:p w14:paraId="13DB3764" w14:textId="77777777" w:rsidR="00A35E7C" w:rsidRPr="002B0E12" w:rsidRDefault="00A35E7C" w:rsidP="00C07C9E">
      <w:pPr>
        <w:spacing w:after="0" w:line="360" w:lineRule="auto"/>
        <w:jc w:val="both"/>
        <w:rPr>
          <w:rFonts w:ascii="Arial" w:hAnsi="Arial" w:cs="Arial"/>
          <w:b/>
        </w:rPr>
      </w:pPr>
    </w:p>
    <w:p w14:paraId="0879E704" w14:textId="07F7BFAD" w:rsidR="00C83CC1" w:rsidRPr="002B0E12" w:rsidRDefault="00C83CC1" w:rsidP="00D461F2">
      <w:pPr>
        <w:pStyle w:val="ListParagraph"/>
        <w:widowControl w:val="0"/>
        <w:numPr>
          <w:ilvl w:val="0"/>
          <w:numId w:val="7"/>
        </w:numPr>
        <w:spacing w:after="0" w:line="360" w:lineRule="auto"/>
        <w:ind w:left="426" w:hanging="426"/>
        <w:jc w:val="both"/>
        <w:rPr>
          <w:rFonts w:ascii="Arial" w:hAnsi="Arial" w:cs="Arial"/>
          <w:b/>
        </w:rPr>
      </w:pPr>
      <w:r w:rsidRPr="002B0E12">
        <w:rPr>
          <w:rFonts w:ascii="Arial" w:hAnsi="Arial" w:cs="Arial"/>
          <w:b/>
        </w:rPr>
        <w:t>INTRODUCTION</w:t>
      </w:r>
    </w:p>
    <w:p w14:paraId="3C3BC743" w14:textId="77777777" w:rsidR="006C72DC" w:rsidRPr="006C72DC" w:rsidRDefault="006C72DC" w:rsidP="004112D6">
      <w:pPr>
        <w:widowControl w:val="0"/>
        <w:spacing w:after="0" w:line="360" w:lineRule="auto"/>
        <w:ind w:firstLine="720"/>
        <w:jc w:val="both"/>
        <w:rPr>
          <w:rFonts w:ascii="Arial" w:hAnsi="Arial" w:cs="Arial"/>
        </w:rPr>
      </w:pPr>
      <w:r w:rsidRPr="006C72DC">
        <w:rPr>
          <w:rFonts w:ascii="Arial" w:hAnsi="Arial" w:cs="Arial"/>
        </w:rPr>
        <w:t>In recent decades, the global burden of disease has shifted markedly, with non-communicable diseases (NCDs) emerging as the leading cause of morbidity and mortality, while communicable diseases have declined (</w:t>
      </w:r>
      <w:proofErr w:type="spellStart"/>
      <w:r w:rsidRPr="006C72DC">
        <w:rPr>
          <w:rFonts w:ascii="Arial" w:hAnsi="Arial" w:cs="Arial"/>
        </w:rPr>
        <w:t>Boutayeb</w:t>
      </w:r>
      <w:proofErr w:type="spellEnd"/>
      <w:r w:rsidRPr="006C72DC">
        <w:rPr>
          <w:rFonts w:ascii="Arial" w:hAnsi="Arial" w:cs="Arial"/>
        </w:rPr>
        <w:t>, 2006). This transition is clearly evident in India, where NCDs accounted for 62.7% of all deaths in 2016, a large proportion of which are linked to Metabolic Syndrome (</w:t>
      </w:r>
      <w:proofErr w:type="spellStart"/>
      <w:r w:rsidRPr="006C72DC">
        <w:rPr>
          <w:rFonts w:ascii="Arial" w:hAnsi="Arial" w:cs="Arial"/>
        </w:rPr>
        <w:t>MetS</w:t>
      </w:r>
      <w:proofErr w:type="spellEnd"/>
      <w:r w:rsidRPr="006C72DC">
        <w:rPr>
          <w:rFonts w:ascii="Arial" w:hAnsi="Arial" w:cs="Arial"/>
        </w:rPr>
        <w:t xml:space="preserve">) (GBD, 2019). </w:t>
      </w:r>
      <w:proofErr w:type="spellStart"/>
      <w:r w:rsidRPr="006C72DC">
        <w:rPr>
          <w:rFonts w:ascii="Arial" w:hAnsi="Arial" w:cs="Arial"/>
        </w:rPr>
        <w:t>MetS</w:t>
      </w:r>
      <w:proofErr w:type="spellEnd"/>
      <w:r w:rsidRPr="006C72DC">
        <w:rPr>
          <w:rFonts w:ascii="Arial" w:hAnsi="Arial" w:cs="Arial"/>
        </w:rPr>
        <w:t xml:space="preserve"> represents a cluster of interrelated metabolic abnormalities, including central obesity, hypertension, insulin resistance, and atherogenic dyslipidemia, all of which significantly increase the risk of cardiovascular diseases and stroke (Krishnamoorthy et al., 2020; Brant et al., 2012; </w:t>
      </w:r>
      <w:proofErr w:type="spellStart"/>
      <w:r w:rsidRPr="006C72DC">
        <w:rPr>
          <w:rFonts w:ascii="Arial" w:hAnsi="Arial" w:cs="Arial"/>
        </w:rPr>
        <w:t>Carpentier</w:t>
      </w:r>
      <w:proofErr w:type="spellEnd"/>
      <w:r w:rsidRPr="006C72DC">
        <w:rPr>
          <w:rFonts w:ascii="Arial" w:hAnsi="Arial" w:cs="Arial"/>
        </w:rPr>
        <w:t xml:space="preserve"> et al., 2006 and Turner-</w:t>
      </w:r>
      <w:proofErr w:type="spellStart"/>
      <w:r w:rsidRPr="006C72DC">
        <w:rPr>
          <w:rFonts w:ascii="Arial" w:hAnsi="Arial" w:cs="Arial"/>
        </w:rPr>
        <w:t>McGrievy</w:t>
      </w:r>
      <w:proofErr w:type="spellEnd"/>
      <w:r w:rsidRPr="006C72DC">
        <w:rPr>
          <w:rFonts w:ascii="Arial" w:hAnsi="Arial" w:cs="Arial"/>
        </w:rPr>
        <w:t xml:space="preserve"> and Harris, 2014). Its rising prevalence has been attributed to factors such as ageing, physical inactivity, genetic predisposition, ethnicity, dietary habits, and rapid economic growth in low- and middle-income countries (Gupta et al., 2004 and Ranasinghe et al., 2017). In India, dietary factors play a particularly dominant role, as traditional eating patterns are increasingly being replaced due to westernization and urbanization. This transition has resulted in greater consumption of processed foods and a decline in nutrient-rich traditional diets, especially those providing essential omega (n)-3 polyunsaturated fatty acids (PUFA) (Shetty, 2002 and Barik et al., 2017).</w:t>
      </w:r>
    </w:p>
    <w:p w14:paraId="6888B764" w14:textId="5C581673" w:rsidR="004D1D55" w:rsidRPr="002B0E12" w:rsidRDefault="00C83CC1" w:rsidP="004112D6">
      <w:pPr>
        <w:widowControl w:val="0"/>
        <w:spacing w:after="0" w:line="360" w:lineRule="auto"/>
        <w:ind w:firstLine="720"/>
        <w:jc w:val="both"/>
        <w:rPr>
          <w:rFonts w:ascii="Arial" w:eastAsia="Times New Roman" w:hAnsi="Arial" w:cs="Arial"/>
          <w:lang w:val="en-IN" w:eastAsia="en-IN"/>
        </w:rPr>
      </w:pPr>
      <w:r w:rsidRPr="002B0E12">
        <w:rPr>
          <w:rFonts w:ascii="Arial" w:eastAsia="Times New Roman" w:hAnsi="Arial" w:cs="Arial"/>
          <w:lang w:val="en-IN" w:eastAsia="en-IN"/>
        </w:rPr>
        <w:t>Essential fatty acids play</w:t>
      </w:r>
      <w:r w:rsidR="000F1BFB" w:rsidRPr="002B0E12">
        <w:rPr>
          <w:rFonts w:ascii="Arial" w:eastAsia="Times New Roman" w:hAnsi="Arial" w:cs="Arial"/>
          <w:lang w:val="en-IN" w:eastAsia="en-IN"/>
        </w:rPr>
        <w:t xml:space="preserve"> an</w:t>
      </w:r>
      <w:r w:rsidRPr="002B0E12">
        <w:rPr>
          <w:rFonts w:ascii="Arial" w:eastAsia="Times New Roman" w:hAnsi="Arial" w:cs="Arial"/>
          <w:lang w:val="en-IN" w:eastAsia="en-IN"/>
        </w:rPr>
        <w:t xml:space="preserve"> important physiological role, including prostaglandin production, cell membrane regulation, organ protection, and brain function (</w:t>
      </w:r>
      <w:proofErr w:type="spellStart"/>
      <w:r w:rsidR="000C2EB3" w:rsidRPr="002B0E12">
        <w:rPr>
          <w:rStyle w:val="author"/>
          <w:rFonts w:ascii="Arial" w:hAnsi="Arial" w:cs="Arial"/>
          <w:shd w:val="clear" w:color="auto" w:fill="FFFFFF"/>
        </w:rPr>
        <w:t>Bodur</w:t>
      </w:r>
      <w:proofErr w:type="spellEnd"/>
      <w:r w:rsidR="000C2EB3" w:rsidRPr="002B0E12">
        <w:rPr>
          <w:rFonts w:ascii="Arial" w:eastAsia="Times New Roman" w:hAnsi="Arial" w:cs="Arial"/>
          <w:lang w:val="en-IN" w:eastAsia="en-IN"/>
        </w:rPr>
        <w:t xml:space="preserve"> </w:t>
      </w:r>
      <w:r w:rsidRPr="002B0E12">
        <w:rPr>
          <w:rFonts w:ascii="Arial" w:eastAsia="Times New Roman" w:hAnsi="Arial" w:cs="Arial"/>
          <w:lang w:val="en-IN" w:eastAsia="en-IN"/>
        </w:rPr>
        <w:t>et al</w:t>
      </w:r>
      <w:r w:rsidR="000C2EB3" w:rsidRPr="002B0E12">
        <w:rPr>
          <w:rFonts w:ascii="Arial" w:eastAsia="Times New Roman" w:hAnsi="Arial" w:cs="Arial"/>
          <w:lang w:val="en-IN" w:eastAsia="en-IN"/>
        </w:rPr>
        <w:t>.</w:t>
      </w:r>
      <w:r w:rsidRPr="002B0E12">
        <w:rPr>
          <w:rFonts w:ascii="Arial" w:eastAsia="Times New Roman" w:hAnsi="Arial" w:cs="Arial"/>
          <w:lang w:val="en-IN" w:eastAsia="en-IN"/>
        </w:rPr>
        <w:t>,</w:t>
      </w:r>
      <w:r w:rsidR="000C2EB3" w:rsidRPr="002B0E12">
        <w:rPr>
          <w:rFonts w:ascii="Arial" w:eastAsia="Times New Roman" w:hAnsi="Arial" w:cs="Arial"/>
          <w:lang w:val="en-IN" w:eastAsia="en-IN"/>
        </w:rPr>
        <w:t xml:space="preserve"> 2025).</w:t>
      </w:r>
      <w:r w:rsidRPr="002B0E12">
        <w:rPr>
          <w:rFonts w:ascii="Arial" w:eastAsia="Times New Roman" w:hAnsi="Arial" w:cs="Arial"/>
          <w:lang w:val="en-IN" w:eastAsia="en-IN"/>
        </w:rPr>
        <w:t xml:space="preserve"> Linoleic acid (LA), an n-6 PUFA</w:t>
      </w:r>
      <w:r w:rsidR="0031268E" w:rsidRPr="002B0E12">
        <w:rPr>
          <w:rFonts w:ascii="Arial" w:eastAsia="Times New Roman" w:hAnsi="Arial" w:cs="Arial"/>
          <w:lang w:val="en-IN" w:eastAsia="en-IN"/>
        </w:rPr>
        <w:t>,</w:t>
      </w:r>
      <w:r w:rsidRPr="002B0E12">
        <w:rPr>
          <w:rFonts w:ascii="Arial" w:eastAsia="Times New Roman" w:hAnsi="Arial" w:cs="Arial"/>
          <w:lang w:val="en-IN" w:eastAsia="en-IN"/>
        </w:rPr>
        <w:t xml:space="preserve"> and alpha-linolenic acid (ALA), an n-3 PUFA</w:t>
      </w:r>
      <w:r w:rsidR="0031268E" w:rsidRPr="002B0E12">
        <w:rPr>
          <w:rFonts w:ascii="Arial" w:eastAsia="Times New Roman" w:hAnsi="Arial" w:cs="Arial"/>
          <w:lang w:val="en-IN" w:eastAsia="en-IN"/>
        </w:rPr>
        <w:t>,</w:t>
      </w:r>
      <w:r w:rsidRPr="002B0E12">
        <w:rPr>
          <w:rFonts w:ascii="Arial" w:eastAsia="Times New Roman" w:hAnsi="Arial" w:cs="Arial"/>
          <w:lang w:val="en-IN" w:eastAsia="en-IN"/>
        </w:rPr>
        <w:t xml:space="preserve"> are the two essential fatty acids that must be consumed in diet to make respective longer chain PUFA essential for </w:t>
      </w:r>
      <w:r w:rsidR="00D04F0C" w:rsidRPr="002B0E12">
        <w:rPr>
          <w:rFonts w:ascii="Arial" w:eastAsia="Times New Roman" w:hAnsi="Arial" w:cs="Arial"/>
          <w:lang w:val="en-IN" w:eastAsia="en-IN"/>
        </w:rPr>
        <w:t xml:space="preserve">maintaining </w:t>
      </w:r>
      <w:r w:rsidRPr="002B0E12">
        <w:rPr>
          <w:rFonts w:ascii="Arial" w:eastAsia="Times New Roman" w:hAnsi="Arial" w:cs="Arial"/>
          <w:lang w:val="en-IN" w:eastAsia="en-IN"/>
        </w:rPr>
        <w:t xml:space="preserve">metabolic functions </w:t>
      </w:r>
      <w:r w:rsidR="00E801BA" w:rsidRPr="002B0E12">
        <w:rPr>
          <w:rFonts w:ascii="Arial" w:hAnsi="Arial" w:cs="Arial"/>
        </w:rPr>
        <w:t>(</w:t>
      </w:r>
      <w:proofErr w:type="spellStart"/>
      <w:r w:rsidR="00E801BA" w:rsidRPr="002B0E12">
        <w:rPr>
          <w:rFonts w:ascii="Arial" w:hAnsi="Arial" w:cs="Arial"/>
        </w:rPr>
        <w:t>Simopolous</w:t>
      </w:r>
      <w:proofErr w:type="spellEnd"/>
      <w:r w:rsidR="00E801BA" w:rsidRPr="002B0E12">
        <w:rPr>
          <w:rFonts w:ascii="Arial" w:hAnsi="Arial" w:cs="Arial"/>
        </w:rPr>
        <w:t xml:space="preserve"> 2</w:t>
      </w:r>
      <w:r w:rsidRPr="002B0E12">
        <w:rPr>
          <w:rFonts w:ascii="Arial" w:hAnsi="Arial" w:cs="Arial"/>
        </w:rPr>
        <w:t>002).</w:t>
      </w:r>
      <w:r w:rsidRPr="002B0E12">
        <w:rPr>
          <w:rFonts w:ascii="Arial" w:eastAsia="Times New Roman" w:hAnsi="Arial" w:cs="Arial"/>
          <w:lang w:val="en-IN" w:eastAsia="en-IN"/>
        </w:rPr>
        <w:t xml:space="preserve"> In Western diets, n-6 PUFA are abundant, while the intake of n-3 PUFA has declined, disrupting the ideal balance of n-3 to n-6 PUFAs that is critical in maintaining metabolic homeostasis</w:t>
      </w:r>
      <w:r w:rsidR="00593DA9" w:rsidRPr="002B0E12">
        <w:rPr>
          <w:rFonts w:ascii="Arial" w:eastAsia="Times New Roman" w:hAnsi="Arial" w:cs="Arial"/>
          <w:lang w:val="en-IN" w:eastAsia="en-IN"/>
        </w:rPr>
        <w:t xml:space="preserve"> (</w:t>
      </w:r>
      <w:proofErr w:type="spellStart"/>
      <w:r w:rsidR="00593DA9" w:rsidRPr="002B0E12">
        <w:rPr>
          <w:rFonts w:ascii="Arial" w:hAnsi="Arial" w:cs="Arial"/>
          <w:shd w:val="clear" w:color="auto" w:fill="FFFFFF"/>
        </w:rPr>
        <w:t>Mariamenatu</w:t>
      </w:r>
      <w:proofErr w:type="spellEnd"/>
      <w:r w:rsidR="00593DA9" w:rsidRPr="002B0E12">
        <w:rPr>
          <w:rFonts w:ascii="Arial" w:hAnsi="Arial" w:cs="Arial"/>
          <w:shd w:val="clear" w:color="auto" w:fill="FFFFFF"/>
        </w:rPr>
        <w:t xml:space="preserve"> </w:t>
      </w:r>
      <w:r w:rsidR="00676845" w:rsidRPr="002B0E12">
        <w:rPr>
          <w:rFonts w:ascii="Arial" w:hAnsi="Arial" w:cs="Arial"/>
          <w:shd w:val="clear" w:color="auto" w:fill="FFFFFF"/>
        </w:rPr>
        <w:t>and Abdu</w:t>
      </w:r>
      <w:r w:rsidR="00593DA9" w:rsidRPr="002B0E12">
        <w:rPr>
          <w:rFonts w:ascii="Arial" w:hAnsi="Arial" w:cs="Arial"/>
          <w:shd w:val="clear" w:color="auto" w:fill="FFFFFF"/>
        </w:rPr>
        <w:t xml:space="preserve"> 2021)</w:t>
      </w:r>
      <w:r w:rsidRPr="002B0E12">
        <w:rPr>
          <w:rFonts w:ascii="Arial" w:eastAsia="Times New Roman" w:hAnsi="Arial" w:cs="Arial"/>
          <w:lang w:val="en-IN" w:eastAsia="en-IN"/>
        </w:rPr>
        <w:t>.</w:t>
      </w:r>
      <w:r w:rsidR="00D04F0C" w:rsidRPr="002B0E12">
        <w:rPr>
          <w:rFonts w:ascii="Arial" w:eastAsia="Times New Roman" w:hAnsi="Arial" w:cs="Arial"/>
          <w:lang w:val="en-IN" w:eastAsia="en-IN"/>
        </w:rPr>
        <w:t xml:space="preserve"> </w:t>
      </w:r>
      <w:r w:rsidR="004D1D55" w:rsidRPr="002B0E12">
        <w:rPr>
          <w:rFonts w:ascii="Arial" w:eastAsia="Times New Roman" w:hAnsi="Arial" w:cs="Arial"/>
          <w:lang w:val="en-IN" w:eastAsia="en-IN"/>
        </w:rPr>
        <w:t>Historically, the ratio of n-3 to n-6 fatty acids was nearly 1:1 in human diets due to higher consumption of marine foods (</w:t>
      </w:r>
      <w:proofErr w:type="spellStart"/>
      <w:r w:rsidR="004D1D55" w:rsidRPr="002B0E12">
        <w:rPr>
          <w:rFonts w:ascii="Arial" w:eastAsia="Times New Roman" w:hAnsi="Arial" w:cs="Arial"/>
          <w:lang w:val="en-IN" w:eastAsia="en-IN"/>
        </w:rPr>
        <w:t>Simopolous</w:t>
      </w:r>
      <w:proofErr w:type="spellEnd"/>
      <w:r w:rsidR="004D1D55" w:rsidRPr="002B0E12">
        <w:rPr>
          <w:rFonts w:ascii="Arial" w:eastAsia="Times New Roman" w:hAnsi="Arial" w:cs="Arial"/>
          <w:lang w:val="en-IN" w:eastAsia="en-IN"/>
        </w:rPr>
        <w:t xml:space="preserve">, 2016). However, </w:t>
      </w:r>
      <w:r w:rsidR="00617200" w:rsidRPr="002B0E12">
        <w:rPr>
          <w:rFonts w:ascii="Arial" w:hAnsi="Arial" w:cs="Arial"/>
        </w:rPr>
        <w:t>r</w:t>
      </w:r>
      <w:r w:rsidR="004D1D55" w:rsidRPr="002B0E12">
        <w:rPr>
          <w:rFonts w:ascii="Arial" w:hAnsi="Arial" w:cs="Arial"/>
        </w:rPr>
        <w:t xml:space="preserve">ecent increases in the consumption of </w:t>
      </w:r>
      <w:r w:rsidR="00D04F0C" w:rsidRPr="002B0E12">
        <w:rPr>
          <w:rFonts w:ascii="Arial" w:hAnsi="Arial" w:cs="Arial"/>
        </w:rPr>
        <w:t>n-</w:t>
      </w:r>
      <w:r w:rsidR="004D1D55" w:rsidRPr="002B0E12">
        <w:rPr>
          <w:rFonts w:ascii="Arial" w:hAnsi="Arial" w:cs="Arial"/>
        </w:rPr>
        <w:t>6 PUFA</w:t>
      </w:r>
      <w:r w:rsidR="00D04F0C" w:rsidRPr="002B0E12">
        <w:rPr>
          <w:rFonts w:ascii="Arial" w:hAnsi="Arial" w:cs="Arial"/>
        </w:rPr>
        <w:t xml:space="preserve"> rich oils</w:t>
      </w:r>
      <w:r w:rsidR="004D1D55" w:rsidRPr="002B0E12">
        <w:rPr>
          <w:rFonts w:ascii="Arial" w:hAnsi="Arial" w:cs="Arial"/>
        </w:rPr>
        <w:t xml:space="preserve"> in Indian diets have led to a </w:t>
      </w:r>
      <w:r w:rsidR="00617200" w:rsidRPr="002B0E12">
        <w:rPr>
          <w:rFonts w:ascii="Arial" w:hAnsi="Arial" w:cs="Arial"/>
        </w:rPr>
        <w:t>disturbance in</w:t>
      </w:r>
      <w:r w:rsidR="004D1D55" w:rsidRPr="002B0E12">
        <w:rPr>
          <w:rFonts w:ascii="Arial" w:hAnsi="Arial" w:cs="Arial"/>
        </w:rPr>
        <w:t xml:space="preserve"> </w:t>
      </w:r>
      <w:r w:rsidR="0033144F" w:rsidRPr="002B0E12">
        <w:rPr>
          <w:rFonts w:ascii="Arial" w:hAnsi="Arial" w:cs="Arial"/>
        </w:rPr>
        <w:t>n</w:t>
      </w:r>
      <w:r w:rsidR="004D1D55" w:rsidRPr="002B0E12">
        <w:rPr>
          <w:rFonts w:ascii="Arial" w:hAnsi="Arial" w:cs="Arial"/>
        </w:rPr>
        <w:t>-3</w:t>
      </w:r>
      <w:r w:rsidR="007956D6" w:rsidRPr="002B0E12">
        <w:rPr>
          <w:rFonts w:ascii="Arial" w:hAnsi="Arial" w:cs="Arial"/>
        </w:rPr>
        <w:t xml:space="preserve"> </w:t>
      </w:r>
      <w:r w:rsidR="004536C1" w:rsidRPr="002B0E12">
        <w:rPr>
          <w:rFonts w:ascii="Arial" w:hAnsi="Arial" w:cs="Arial"/>
        </w:rPr>
        <w:t>to</w:t>
      </w:r>
      <w:r w:rsidR="006F6F48" w:rsidRPr="002B0E12">
        <w:rPr>
          <w:rFonts w:ascii="Arial" w:hAnsi="Arial" w:cs="Arial"/>
        </w:rPr>
        <w:t xml:space="preserve"> n</w:t>
      </w:r>
      <w:r w:rsidR="004D1D55" w:rsidRPr="002B0E12">
        <w:rPr>
          <w:rFonts w:ascii="Arial" w:hAnsi="Arial" w:cs="Arial"/>
        </w:rPr>
        <w:t xml:space="preserve">-6 intake ratio </w:t>
      </w:r>
      <w:r w:rsidR="00617200" w:rsidRPr="002B0E12">
        <w:rPr>
          <w:rFonts w:ascii="Arial" w:hAnsi="Arial" w:cs="Arial"/>
        </w:rPr>
        <w:t xml:space="preserve">to </w:t>
      </w:r>
      <w:r w:rsidR="00D04F0C" w:rsidRPr="002B0E12">
        <w:rPr>
          <w:rFonts w:ascii="Arial" w:hAnsi="Arial" w:cs="Arial"/>
        </w:rPr>
        <w:t xml:space="preserve">approximately </w:t>
      </w:r>
      <w:r w:rsidR="004D1D55" w:rsidRPr="002B0E12">
        <w:rPr>
          <w:rFonts w:ascii="Arial" w:hAnsi="Arial" w:cs="Arial"/>
        </w:rPr>
        <w:t>1:30-70. This ratio significantly exceeds the recommended</w:t>
      </w:r>
      <w:r w:rsidR="00D04F0C" w:rsidRPr="002B0E12">
        <w:rPr>
          <w:rFonts w:ascii="Arial" w:hAnsi="Arial" w:cs="Arial"/>
        </w:rPr>
        <w:t xml:space="preserve"> n-3</w:t>
      </w:r>
      <w:r w:rsidR="004536C1" w:rsidRPr="002B0E12">
        <w:rPr>
          <w:rFonts w:ascii="Arial" w:hAnsi="Arial" w:cs="Arial"/>
        </w:rPr>
        <w:t xml:space="preserve"> to </w:t>
      </w:r>
      <w:r w:rsidR="00D04F0C" w:rsidRPr="002B0E12">
        <w:rPr>
          <w:rFonts w:ascii="Arial" w:hAnsi="Arial" w:cs="Arial"/>
        </w:rPr>
        <w:t>n-6 PUFA ratio of</w:t>
      </w:r>
      <w:r w:rsidR="004D1D55" w:rsidRPr="002B0E12">
        <w:rPr>
          <w:rFonts w:ascii="Arial" w:hAnsi="Arial" w:cs="Arial"/>
        </w:rPr>
        <w:t xml:space="preserve"> 1:5-10 for optimal health benefits </w:t>
      </w:r>
      <w:r w:rsidR="004D1D55" w:rsidRPr="002B0E12">
        <w:rPr>
          <w:rFonts w:ascii="Arial" w:eastAsia="Times New Roman" w:hAnsi="Arial" w:cs="Arial"/>
          <w:lang w:val="en-IN" w:eastAsia="en-IN"/>
        </w:rPr>
        <w:t>(</w:t>
      </w:r>
      <w:proofErr w:type="spellStart"/>
      <w:r w:rsidR="004D1D55" w:rsidRPr="002B0E12">
        <w:rPr>
          <w:rFonts w:ascii="Arial" w:hAnsi="Arial" w:cs="Arial"/>
        </w:rPr>
        <w:t>Dwarkanath</w:t>
      </w:r>
      <w:proofErr w:type="spellEnd"/>
      <w:r w:rsidR="004D1D55" w:rsidRPr="002B0E12">
        <w:rPr>
          <w:rFonts w:ascii="Arial" w:hAnsi="Arial" w:cs="Arial"/>
        </w:rPr>
        <w:t xml:space="preserve"> et al., 2009</w:t>
      </w:r>
      <w:r w:rsidR="00214C10" w:rsidRPr="002B0E12">
        <w:rPr>
          <w:rFonts w:ascii="Arial" w:hAnsi="Arial" w:cs="Arial"/>
        </w:rPr>
        <w:t>)</w:t>
      </w:r>
      <w:r w:rsidR="004D1D55" w:rsidRPr="002B0E12">
        <w:rPr>
          <w:rFonts w:ascii="Arial" w:hAnsi="Arial" w:cs="Arial"/>
        </w:rPr>
        <w:t>.</w:t>
      </w:r>
      <w:r w:rsidR="004D1D55" w:rsidRPr="002B0E12">
        <w:rPr>
          <w:rFonts w:ascii="Arial" w:eastAsia="Times New Roman" w:hAnsi="Arial" w:cs="Arial"/>
          <w:lang w:val="en-IN" w:eastAsia="en-IN"/>
        </w:rPr>
        <w:t xml:space="preserve"> </w:t>
      </w:r>
      <w:r w:rsidR="004D1D55" w:rsidRPr="002B0E12">
        <w:rPr>
          <w:rFonts w:ascii="Arial" w:eastAsia="Times New Roman" w:hAnsi="Arial" w:cs="Arial"/>
          <w:vanish/>
          <w:lang w:val="en-IN" w:eastAsia="en-IN"/>
        </w:rPr>
        <w:t>Top of Form</w:t>
      </w:r>
    </w:p>
    <w:p w14:paraId="5FF058F5" w14:textId="77777777" w:rsidR="00D04F0C" w:rsidRPr="002B0E12" w:rsidRDefault="00D04F0C" w:rsidP="004112D6">
      <w:pPr>
        <w:widowControl w:val="0"/>
        <w:spacing w:after="0" w:line="360" w:lineRule="auto"/>
        <w:ind w:firstLine="720"/>
        <w:jc w:val="both"/>
        <w:rPr>
          <w:rFonts w:ascii="Arial" w:eastAsia="Times New Roman" w:hAnsi="Arial" w:cs="Arial"/>
          <w:vanish/>
          <w:lang w:val="en-IN" w:eastAsia="en-IN"/>
        </w:rPr>
      </w:pPr>
    </w:p>
    <w:p w14:paraId="74F4C692" w14:textId="46F8E254" w:rsidR="00A814B8" w:rsidRPr="002B0E12" w:rsidRDefault="004D1D55" w:rsidP="00A814B8">
      <w:pPr>
        <w:pStyle w:val="NormalWeb"/>
        <w:spacing w:before="0" w:beforeAutospacing="0" w:after="0" w:afterAutospacing="0" w:line="360" w:lineRule="auto"/>
        <w:jc w:val="both"/>
        <w:rPr>
          <w:rFonts w:ascii="Arial" w:hAnsi="Arial" w:cs="Arial"/>
          <w:sz w:val="22"/>
          <w:szCs w:val="22"/>
          <w:lang w:val="en-GB" w:eastAsia="en-GB"/>
        </w:rPr>
      </w:pPr>
      <w:r w:rsidRPr="002B0E12">
        <w:rPr>
          <w:rFonts w:ascii="Arial" w:hAnsi="Arial" w:cs="Arial"/>
          <w:sz w:val="22"/>
          <w:szCs w:val="22"/>
        </w:rPr>
        <w:t>In a typical Indian diet, fats mainly come from vegetable oils, dairy, and clarified butter (ghee)</w:t>
      </w:r>
      <w:r w:rsidRPr="002B0E12">
        <w:rPr>
          <w:rFonts w:ascii="Arial" w:hAnsi="Arial" w:cs="Arial"/>
          <w:sz w:val="22"/>
          <w:szCs w:val="22"/>
          <w:lang w:val="en-IN" w:eastAsia="en-IN"/>
        </w:rPr>
        <w:t xml:space="preserve"> (Mani and </w:t>
      </w:r>
      <w:proofErr w:type="spellStart"/>
      <w:r w:rsidRPr="002B0E12">
        <w:rPr>
          <w:rFonts w:ascii="Arial" w:hAnsi="Arial" w:cs="Arial"/>
          <w:sz w:val="22"/>
          <w:szCs w:val="22"/>
          <w:lang w:val="en-IN" w:eastAsia="en-IN"/>
        </w:rPr>
        <w:t>Kurpad</w:t>
      </w:r>
      <w:proofErr w:type="spellEnd"/>
      <w:r w:rsidRPr="002B0E12">
        <w:rPr>
          <w:rFonts w:ascii="Arial" w:hAnsi="Arial" w:cs="Arial"/>
          <w:sz w:val="22"/>
          <w:szCs w:val="22"/>
          <w:lang w:val="en-IN" w:eastAsia="en-IN"/>
        </w:rPr>
        <w:t>, 2016)</w:t>
      </w:r>
      <w:r w:rsidRPr="002B0E12">
        <w:rPr>
          <w:rFonts w:ascii="Arial" w:hAnsi="Arial" w:cs="Arial"/>
          <w:sz w:val="22"/>
          <w:szCs w:val="22"/>
        </w:rPr>
        <w:t>. Notably, there</w:t>
      </w:r>
      <w:r w:rsidR="004536C1" w:rsidRPr="002B0E12">
        <w:rPr>
          <w:rFonts w:ascii="Arial" w:hAnsi="Arial" w:cs="Arial"/>
          <w:sz w:val="22"/>
          <w:szCs w:val="22"/>
        </w:rPr>
        <w:t xml:space="preserve"> has</w:t>
      </w:r>
      <w:r w:rsidRPr="002B0E12">
        <w:rPr>
          <w:rFonts w:ascii="Arial" w:hAnsi="Arial" w:cs="Arial"/>
          <w:sz w:val="22"/>
          <w:szCs w:val="22"/>
        </w:rPr>
        <w:t xml:space="preserve"> been an increase in the consumption of refined oils at the expense of healthier options, raising concerns about the quality of fats in </w:t>
      </w:r>
      <w:r w:rsidR="00D04F0C" w:rsidRPr="002B0E12">
        <w:rPr>
          <w:rFonts w:ascii="Arial" w:hAnsi="Arial" w:cs="Arial"/>
          <w:sz w:val="22"/>
          <w:szCs w:val="22"/>
        </w:rPr>
        <w:t xml:space="preserve">Indian </w:t>
      </w:r>
      <w:r w:rsidRPr="002B0E12">
        <w:rPr>
          <w:rFonts w:ascii="Arial" w:hAnsi="Arial" w:cs="Arial"/>
          <w:sz w:val="22"/>
          <w:szCs w:val="22"/>
        </w:rPr>
        <w:t xml:space="preserve">diets (Jha et al. 2012). The </w:t>
      </w:r>
      <w:r w:rsidR="00312BC8" w:rsidRPr="002B0E12">
        <w:rPr>
          <w:rFonts w:ascii="Arial" w:hAnsi="Arial" w:cs="Arial"/>
          <w:sz w:val="22"/>
          <w:szCs w:val="22"/>
        </w:rPr>
        <w:t>intake of n-3 PUFA levels in a typical Indian diet is</w:t>
      </w:r>
      <w:r w:rsidR="00D04F0C" w:rsidRPr="002B0E12">
        <w:rPr>
          <w:rFonts w:ascii="Arial" w:hAnsi="Arial" w:cs="Arial"/>
          <w:sz w:val="22"/>
          <w:szCs w:val="22"/>
        </w:rPr>
        <w:t xml:space="preserve"> around </w:t>
      </w:r>
      <w:r w:rsidRPr="002B0E12">
        <w:rPr>
          <w:rFonts w:ascii="Arial" w:hAnsi="Arial" w:cs="Arial"/>
          <w:sz w:val="22"/>
          <w:szCs w:val="22"/>
          <w:shd w:val="clear" w:color="auto" w:fill="FFFFFF"/>
        </w:rPr>
        <w:t xml:space="preserve">20-50 mg per day, </w:t>
      </w:r>
      <w:r w:rsidR="00D04F0C" w:rsidRPr="002B0E12">
        <w:rPr>
          <w:rFonts w:ascii="Arial" w:hAnsi="Arial" w:cs="Arial"/>
          <w:sz w:val="22"/>
          <w:szCs w:val="22"/>
          <w:shd w:val="clear" w:color="auto" w:fill="FFFFFF"/>
        </w:rPr>
        <w:t xml:space="preserve">which is </w:t>
      </w:r>
      <w:r w:rsidRPr="002B0E12">
        <w:rPr>
          <w:rFonts w:ascii="Arial" w:hAnsi="Arial" w:cs="Arial"/>
          <w:sz w:val="22"/>
          <w:szCs w:val="22"/>
        </w:rPr>
        <w:t>significantly short of recommended levels</w:t>
      </w:r>
      <w:r w:rsidR="00D04F0C" w:rsidRPr="002B0E12">
        <w:rPr>
          <w:rFonts w:ascii="Arial" w:hAnsi="Arial" w:cs="Arial"/>
          <w:sz w:val="22"/>
          <w:szCs w:val="22"/>
        </w:rPr>
        <w:t>. F</w:t>
      </w:r>
      <w:r w:rsidRPr="002B0E12">
        <w:rPr>
          <w:rFonts w:ascii="Arial" w:hAnsi="Arial" w:cs="Arial"/>
          <w:sz w:val="22"/>
          <w:szCs w:val="22"/>
        </w:rPr>
        <w:t>laxseed</w:t>
      </w:r>
      <w:r w:rsidR="00D04F0C" w:rsidRPr="002B0E12">
        <w:rPr>
          <w:rFonts w:ascii="Arial" w:hAnsi="Arial" w:cs="Arial"/>
          <w:sz w:val="22"/>
          <w:szCs w:val="22"/>
        </w:rPr>
        <w:t xml:space="preserve"> is a rich source of ALA, and used to be consumed in a traditional diet in Punjab, India. However, the consumption of flaxseed has gone down significantly due to </w:t>
      </w:r>
      <w:r w:rsidRPr="002B0E12">
        <w:rPr>
          <w:rFonts w:ascii="Arial" w:hAnsi="Arial" w:cs="Arial"/>
          <w:sz w:val="22"/>
          <w:szCs w:val="22"/>
        </w:rPr>
        <w:t>globalization and modernization</w:t>
      </w:r>
      <w:r w:rsidR="00D04F0C" w:rsidRPr="002B0E12">
        <w:rPr>
          <w:rFonts w:ascii="Arial" w:hAnsi="Arial" w:cs="Arial"/>
          <w:sz w:val="22"/>
          <w:szCs w:val="22"/>
        </w:rPr>
        <w:t>.</w:t>
      </w:r>
      <w:r w:rsidRPr="002B0E12">
        <w:rPr>
          <w:rFonts w:ascii="Arial" w:hAnsi="Arial" w:cs="Arial"/>
          <w:sz w:val="22"/>
          <w:szCs w:val="22"/>
        </w:rPr>
        <w:t xml:space="preserve"> Factors such as increased access to new technologies, the influence of modern supermarkets, and aggressive food marketi</w:t>
      </w:r>
      <w:r w:rsidR="001F494E" w:rsidRPr="002B0E12">
        <w:rPr>
          <w:rFonts w:ascii="Arial" w:hAnsi="Arial" w:cs="Arial"/>
          <w:sz w:val="22"/>
          <w:szCs w:val="22"/>
        </w:rPr>
        <w:t xml:space="preserve">ng play a role in these shifts. </w:t>
      </w:r>
      <w:r w:rsidRPr="002B0E12">
        <w:rPr>
          <w:rFonts w:ascii="Arial" w:hAnsi="Arial" w:cs="Arial"/>
          <w:sz w:val="22"/>
          <w:szCs w:val="22"/>
        </w:rPr>
        <w:t xml:space="preserve">Thus, the increasing prevalence of </w:t>
      </w:r>
      <w:proofErr w:type="spellStart"/>
      <w:r w:rsidRPr="002B0E12">
        <w:rPr>
          <w:rFonts w:ascii="Arial" w:hAnsi="Arial" w:cs="Arial"/>
          <w:sz w:val="22"/>
          <w:szCs w:val="22"/>
        </w:rPr>
        <w:t>MetS</w:t>
      </w:r>
      <w:proofErr w:type="spellEnd"/>
      <w:r w:rsidRPr="002B0E12">
        <w:rPr>
          <w:rFonts w:ascii="Arial" w:hAnsi="Arial" w:cs="Arial"/>
          <w:sz w:val="22"/>
          <w:szCs w:val="22"/>
        </w:rPr>
        <w:t xml:space="preserve"> in </w:t>
      </w:r>
      <w:r w:rsidR="00D04F0C" w:rsidRPr="002B0E12">
        <w:rPr>
          <w:rFonts w:ascii="Arial" w:hAnsi="Arial" w:cs="Arial"/>
          <w:sz w:val="22"/>
          <w:szCs w:val="22"/>
        </w:rPr>
        <w:t>India</w:t>
      </w:r>
      <w:r w:rsidRPr="002B0E12">
        <w:rPr>
          <w:rFonts w:ascii="Arial" w:hAnsi="Arial" w:cs="Arial"/>
          <w:sz w:val="22"/>
          <w:szCs w:val="22"/>
        </w:rPr>
        <w:t xml:space="preserve"> is likely linked to dietary shifts (</w:t>
      </w:r>
      <w:r w:rsidR="002B2B36" w:rsidRPr="002B0E12">
        <w:rPr>
          <w:rFonts w:ascii="Arial" w:hAnsi="Arial" w:cs="Arial"/>
          <w:sz w:val="22"/>
          <w:szCs w:val="22"/>
          <w:shd w:val="clear" w:color="auto" w:fill="FFFFFF"/>
        </w:rPr>
        <w:t xml:space="preserve">Prasad </w:t>
      </w:r>
      <w:proofErr w:type="spellStart"/>
      <w:r w:rsidR="002B2B36" w:rsidRPr="002B0E12">
        <w:rPr>
          <w:rFonts w:ascii="Arial" w:hAnsi="Arial" w:cs="Arial"/>
          <w:sz w:val="22"/>
          <w:szCs w:val="22"/>
          <w:shd w:val="clear" w:color="auto" w:fill="FFFFFF"/>
        </w:rPr>
        <w:t>Bidhu</w:t>
      </w:r>
      <w:proofErr w:type="spellEnd"/>
      <w:r w:rsidR="002B2B36" w:rsidRPr="002B0E12">
        <w:rPr>
          <w:rFonts w:ascii="Arial" w:hAnsi="Arial" w:cs="Arial"/>
          <w:sz w:val="22"/>
          <w:szCs w:val="22"/>
          <w:shd w:val="clear" w:color="auto" w:fill="FFFFFF"/>
        </w:rPr>
        <w:t xml:space="preserve"> et al., 2025;</w:t>
      </w:r>
      <w:r w:rsidR="00B6583F" w:rsidRPr="002B0E12">
        <w:rPr>
          <w:rFonts w:ascii="Arial" w:hAnsi="Arial" w:cs="Arial"/>
          <w:sz w:val="22"/>
          <w:szCs w:val="22"/>
        </w:rPr>
        <w:t xml:space="preserve"> Selvaraj and </w:t>
      </w:r>
      <w:proofErr w:type="spellStart"/>
      <w:r w:rsidR="00B6583F" w:rsidRPr="002B0E12">
        <w:rPr>
          <w:rFonts w:ascii="Arial" w:hAnsi="Arial" w:cs="Arial"/>
          <w:sz w:val="22"/>
          <w:szCs w:val="22"/>
        </w:rPr>
        <w:t>Muthunarayanan</w:t>
      </w:r>
      <w:proofErr w:type="spellEnd"/>
      <w:r w:rsidR="00B6583F" w:rsidRPr="002B0E12">
        <w:rPr>
          <w:rFonts w:ascii="Arial" w:hAnsi="Arial" w:cs="Arial"/>
          <w:sz w:val="22"/>
          <w:szCs w:val="22"/>
        </w:rPr>
        <w:t xml:space="preserve">, 2019; </w:t>
      </w:r>
      <w:r w:rsidR="00FA1DB0">
        <w:rPr>
          <w:rFonts w:ascii="Arial" w:hAnsi="Arial" w:cs="Arial"/>
          <w:sz w:val="22"/>
          <w:szCs w:val="22"/>
        </w:rPr>
        <w:t>Zafar et al.,</w:t>
      </w:r>
      <w:r w:rsidR="000C209E">
        <w:rPr>
          <w:rFonts w:ascii="Arial" w:hAnsi="Arial" w:cs="Arial"/>
          <w:sz w:val="22"/>
          <w:szCs w:val="22"/>
        </w:rPr>
        <w:t xml:space="preserve"> 2017</w:t>
      </w:r>
      <w:r w:rsidRPr="002B0E12">
        <w:rPr>
          <w:rFonts w:ascii="Arial" w:hAnsi="Arial" w:cs="Arial"/>
          <w:sz w:val="22"/>
          <w:szCs w:val="22"/>
        </w:rPr>
        <w:t xml:space="preserve">). </w:t>
      </w:r>
      <w:r w:rsidR="00A814B8" w:rsidRPr="002B0E12">
        <w:rPr>
          <w:rFonts w:ascii="Arial" w:hAnsi="Arial" w:cs="Arial"/>
          <w:sz w:val="22"/>
          <w:szCs w:val="22"/>
          <w:lang w:val="en-GB" w:eastAsia="en-GB"/>
        </w:rPr>
        <w:t xml:space="preserve">Moreover, the dietary habits of rural and urban populations in Punjab differ considerably, potentially influencing their metabolic health outcomes. However, there is a clear lack of region-specific evidence examining the n-3 PUFA status of these populations and its relationship with </w:t>
      </w:r>
      <w:proofErr w:type="spellStart"/>
      <w:r w:rsidR="00A814B8" w:rsidRPr="002B0E12">
        <w:rPr>
          <w:rFonts w:ascii="Arial" w:hAnsi="Arial" w:cs="Arial"/>
          <w:sz w:val="22"/>
          <w:szCs w:val="22"/>
          <w:lang w:val="en-GB" w:eastAsia="en-GB"/>
        </w:rPr>
        <w:t>MetS</w:t>
      </w:r>
      <w:proofErr w:type="spellEnd"/>
      <w:r w:rsidR="00A814B8" w:rsidRPr="002B0E12">
        <w:rPr>
          <w:rFonts w:ascii="Arial" w:hAnsi="Arial" w:cs="Arial"/>
          <w:sz w:val="22"/>
          <w:szCs w:val="22"/>
          <w:lang w:val="en-GB" w:eastAsia="en-GB"/>
        </w:rPr>
        <w:t>.</w:t>
      </w:r>
    </w:p>
    <w:p w14:paraId="6D72D6CF" w14:textId="77777777" w:rsidR="00A814B8" w:rsidRPr="00A814B8" w:rsidRDefault="00A814B8" w:rsidP="00A814B8">
      <w:pPr>
        <w:spacing w:after="0" w:line="360" w:lineRule="auto"/>
        <w:ind w:firstLine="720"/>
        <w:jc w:val="both"/>
        <w:rPr>
          <w:rFonts w:ascii="Times New Roman" w:eastAsia="Times New Roman" w:hAnsi="Times New Roman"/>
          <w:sz w:val="24"/>
          <w:szCs w:val="24"/>
          <w:lang w:val="en-GB" w:eastAsia="en-GB"/>
        </w:rPr>
      </w:pPr>
      <w:r w:rsidRPr="002B0E12">
        <w:rPr>
          <w:rFonts w:ascii="Arial" w:eastAsia="Times New Roman" w:hAnsi="Arial" w:cs="Arial"/>
          <w:bCs/>
          <w:lang w:val="en-GB" w:eastAsia="en-GB"/>
        </w:rPr>
        <w:t>Therefore, the present study was undertaken to assess and compare the dietary intake and blood levels of n-3 polyunsaturated fatty acids among rural and urban adults in Punjab, and to examine their association</w:t>
      </w:r>
      <w:r w:rsidRPr="002B0E12">
        <w:rPr>
          <w:rFonts w:ascii="Times New Roman" w:eastAsia="Times New Roman" w:hAnsi="Times New Roman"/>
          <w:bCs/>
          <w:sz w:val="24"/>
          <w:szCs w:val="24"/>
          <w:lang w:val="en-GB" w:eastAsia="en-GB"/>
        </w:rPr>
        <w:t xml:space="preserve"> with metabolic syndrome and its risk factors.</w:t>
      </w:r>
    </w:p>
    <w:p w14:paraId="02A7434D" w14:textId="1FF77FF6" w:rsidR="00450D0F" w:rsidRPr="002B0E12" w:rsidRDefault="00B72A9F" w:rsidP="00A814B8">
      <w:pPr>
        <w:pStyle w:val="NormalWeb"/>
        <w:spacing w:before="0" w:beforeAutospacing="0" w:after="0" w:afterAutospacing="0" w:line="360" w:lineRule="auto"/>
        <w:jc w:val="both"/>
        <w:rPr>
          <w:rFonts w:ascii="Arial" w:hAnsi="Arial" w:cs="Arial"/>
          <w:b/>
        </w:rPr>
      </w:pPr>
      <w:r w:rsidRPr="002B0E12">
        <w:rPr>
          <w:rFonts w:ascii="Arial" w:hAnsi="Arial" w:cs="Arial"/>
          <w:b/>
          <w:bCs/>
        </w:rPr>
        <w:t>MATERIAL</w:t>
      </w:r>
      <w:r w:rsidR="00E61671" w:rsidRPr="002B0E12">
        <w:rPr>
          <w:rFonts w:ascii="Arial" w:hAnsi="Arial" w:cs="Arial"/>
          <w:b/>
          <w:bCs/>
        </w:rPr>
        <w:t>S</w:t>
      </w:r>
      <w:r w:rsidRPr="002B0E12">
        <w:rPr>
          <w:rFonts w:ascii="Arial" w:hAnsi="Arial" w:cs="Arial"/>
          <w:b/>
          <w:bCs/>
        </w:rPr>
        <w:t xml:space="preserve"> AND METHODS</w:t>
      </w:r>
    </w:p>
    <w:p w14:paraId="58915AEF" w14:textId="042A015C" w:rsidR="00B72A9F" w:rsidRPr="002B0E12" w:rsidRDefault="00D461F2" w:rsidP="004112D6">
      <w:pPr>
        <w:widowControl w:val="0"/>
        <w:spacing w:after="0" w:line="360" w:lineRule="auto"/>
        <w:jc w:val="both"/>
        <w:rPr>
          <w:rFonts w:ascii="Arial" w:hAnsi="Arial" w:cs="Arial"/>
          <w:b/>
          <w:bCs/>
          <w:iCs/>
        </w:rPr>
      </w:pPr>
      <w:r w:rsidRPr="002B0E12">
        <w:rPr>
          <w:rFonts w:ascii="Arial" w:hAnsi="Arial" w:cs="Arial"/>
          <w:b/>
          <w:bCs/>
          <w:iCs/>
        </w:rPr>
        <w:t>2.</w:t>
      </w:r>
      <w:r w:rsidR="0048694B">
        <w:rPr>
          <w:rFonts w:ascii="Arial" w:hAnsi="Arial" w:cs="Arial"/>
          <w:b/>
          <w:bCs/>
          <w:iCs/>
        </w:rPr>
        <w:t>1</w:t>
      </w:r>
      <w:r w:rsidRPr="002B0E12">
        <w:rPr>
          <w:rFonts w:ascii="Arial" w:hAnsi="Arial" w:cs="Arial"/>
          <w:b/>
          <w:bCs/>
          <w:iCs/>
        </w:rPr>
        <w:t xml:space="preserve"> </w:t>
      </w:r>
      <w:r w:rsidR="00B72A9F" w:rsidRPr="002B0E12">
        <w:rPr>
          <w:rFonts w:ascii="Arial" w:hAnsi="Arial" w:cs="Arial"/>
          <w:b/>
          <w:bCs/>
          <w:iCs/>
        </w:rPr>
        <w:t xml:space="preserve">Selection of </w:t>
      </w:r>
      <w:r w:rsidR="00431ED7" w:rsidRPr="002B0E12">
        <w:rPr>
          <w:rFonts w:ascii="Arial" w:hAnsi="Arial" w:cs="Arial"/>
          <w:b/>
          <w:bCs/>
          <w:iCs/>
        </w:rPr>
        <w:t>participants</w:t>
      </w:r>
    </w:p>
    <w:p w14:paraId="5B5A7371" w14:textId="31D9CCAC" w:rsidR="00A060E8" w:rsidRPr="002B0E12" w:rsidRDefault="00D14B5F" w:rsidP="004112D6">
      <w:pPr>
        <w:widowControl w:val="0"/>
        <w:spacing w:after="0" w:line="360" w:lineRule="auto"/>
        <w:ind w:firstLine="720"/>
        <w:jc w:val="both"/>
        <w:rPr>
          <w:rFonts w:ascii="Arial" w:hAnsi="Arial" w:cs="Arial"/>
          <w:spacing w:val="-4"/>
        </w:rPr>
      </w:pPr>
      <w:r w:rsidRPr="002B0E12">
        <w:rPr>
          <w:rFonts w:ascii="Arial" w:hAnsi="Arial" w:cs="Arial"/>
        </w:rPr>
        <w:t>The study was conducted in urban wards and rural blocks of Ludhiana district, Punjab, India, with a total sample of 101 participants (5</w:t>
      </w:r>
      <w:r w:rsidR="00373EE4" w:rsidRPr="002B0E12">
        <w:rPr>
          <w:rFonts w:ascii="Arial" w:hAnsi="Arial" w:cs="Arial"/>
        </w:rPr>
        <w:t>4</w:t>
      </w:r>
      <w:r w:rsidRPr="002B0E12">
        <w:rPr>
          <w:rFonts w:ascii="Arial" w:hAnsi="Arial" w:cs="Arial"/>
        </w:rPr>
        <w:t xml:space="preserve"> men and </w:t>
      </w:r>
      <w:r w:rsidR="00373EE4" w:rsidRPr="002B0E12">
        <w:rPr>
          <w:rFonts w:ascii="Arial" w:hAnsi="Arial" w:cs="Arial"/>
        </w:rPr>
        <w:t>46</w:t>
      </w:r>
      <w:r w:rsidRPr="002B0E12">
        <w:rPr>
          <w:rFonts w:ascii="Arial" w:hAnsi="Arial" w:cs="Arial"/>
        </w:rPr>
        <w:t xml:space="preserve"> women) aged 25–65 years, maintaining an urban-to-rural ratio of 50:50. </w:t>
      </w:r>
      <w:r w:rsidR="00B72A9F" w:rsidRPr="002B0E12">
        <w:rPr>
          <w:rFonts w:ascii="Arial" w:hAnsi="Arial" w:cs="Arial"/>
        </w:rPr>
        <w:t>The data for basic information, anthropometry</w:t>
      </w:r>
      <w:r w:rsidR="00A060E8" w:rsidRPr="002B0E12">
        <w:rPr>
          <w:rFonts w:ascii="Arial" w:hAnsi="Arial" w:cs="Arial"/>
        </w:rPr>
        <w:t>,</w:t>
      </w:r>
      <w:r w:rsidR="00B72A9F" w:rsidRPr="002B0E12">
        <w:rPr>
          <w:rFonts w:ascii="Arial" w:hAnsi="Arial" w:cs="Arial"/>
        </w:rPr>
        <w:t xml:space="preserve"> and fasting blood glucose was collected in the period from July, 2021 to October, 202</w:t>
      </w:r>
      <w:r w:rsidR="003A0855" w:rsidRPr="002B0E12">
        <w:rPr>
          <w:rFonts w:ascii="Arial" w:hAnsi="Arial" w:cs="Arial"/>
        </w:rPr>
        <w:t>1</w:t>
      </w:r>
      <w:r w:rsidR="00B72A9F" w:rsidRPr="002B0E12">
        <w:rPr>
          <w:rFonts w:ascii="Arial" w:hAnsi="Arial" w:cs="Arial"/>
        </w:rPr>
        <w:t xml:space="preserve">. </w:t>
      </w:r>
      <w:r w:rsidR="00B72A9F" w:rsidRPr="002B0E12">
        <w:rPr>
          <w:rFonts w:ascii="Arial" w:hAnsi="Arial" w:cs="Arial"/>
          <w:spacing w:val="-4"/>
        </w:rPr>
        <w:t>A well-structured interview schedule was prepared to elicit general information</w:t>
      </w:r>
      <w:r w:rsidR="00B72A9F" w:rsidRPr="002B0E12">
        <w:rPr>
          <w:rFonts w:ascii="Arial" w:hAnsi="Arial" w:cs="Arial"/>
        </w:rPr>
        <w:t xml:space="preserve"> </w:t>
      </w:r>
      <w:r w:rsidR="00A060E8" w:rsidRPr="002B0E12">
        <w:rPr>
          <w:rFonts w:ascii="Arial" w:hAnsi="Arial" w:cs="Arial"/>
        </w:rPr>
        <w:t xml:space="preserve">such as </w:t>
      </w:r>
      <w:r w:rsidR="00B72A9F" w:rsidRPr="002B0E12">
        <w:rPr>
          <w:rFonts w:ascii="Arial" w:hAnsi="Arial" w:cs="Arial"/>
        </w:rPr>
        <w:t>religion, age, caste, type and size of family, education, monthly income and occupation of the family</w:t>
      </w:r>
      <w:r w:rsidR="00B72A9F" w:rsidRPr="002B0E12">
        <w:rPr>
          <w:rFonts w:ascii="Arial" w:hAnsi="Arial" w:cs="Arial"/>
          <w:spacing w:val="-4"/>
        </w:rPr>
        <w:t xml:space="preserve">. Dietary pattern of the participants was collected using 24-hour </w:t>
      </w:r>
      <w:r w:rsidR="00A060E8" w:rsidRPr="002B0E12">
        <w:rPr>
          <w:rFonts w:ascii="Arial" w:hAnsi="Arial" w:cs="Arial"/>
          <w:spacing w:val="-4"/>
        </w:rPr>
        <w:t xml:space="preserve">diet </w:t>
      </w:r>
      <w:r w:rsidR="00B72A9F" w:rsidRPr="002B0E12">
        <w:rPr>
          <w:rFonts w:ascii="Arial" w:hAnsi="Arial" w:cs="Arial"/>
          <w:spacing w:val="-4"/>
        </w:rPr>
        <w:t>recall method for three consecutive days.</w:t>
      </w:r>
    </w:p>
    <w:p w14:paraId="2EA48F1D" w14:textId="678C8E22" w:rsidR="00B72A9F" w:rsidRPr="002B0E12" w:rsidRDefault="00D461F2" w:rsidP="004112D6">
      <w:pPr>
        <w:widowControl w:val="0"/>
        <w:spacing w:after="0" w:line="360" w:lineRule="auto"/>
        <w:jc w:val="both"/>
        <w:rPr>
          <w:rFonts w:ascii="Arial" w:hAnsi="Arial" w:cs="Arial"/>
          <w:b/>
          <w:iCs/>
        </w:rPr>
      </w:pPr>
      <w:r w:rsidRPr="002B0E12">
        <w:rPr>
          <w:rFonts w:ascii="Arial" w:hAnsi="Arial" w:cs="Arial"/>
          <w:b/>
          <w:iCs/>
        </w:rPr>
        <w:t>2.</w:t>
      </w:r>
      <w:r w:rsidR="0048694B">
        <w:rPr>
          <w:rFonts w:ascii="Arial" w:hAnsi="Arial" w:cs="Arial"/>
          <w:b/>
          <w:iCs/>
        </w:rPr>
        <w:t>2</w:t>
      </w:r>
      <w:r w:rsidRPr="002B0E12">
        <w:rPr>
          <w:rFonts w:ascii="Arial" w:hAnsi="Arial" w:cs="Arial"/>
          <w:b/>
          <w:iCs/>
        </w:rPr>
        <w:t xml:space="preserve"> </w:t>
      </w:r>
      <w:r w:rsidR="00B72A9F" w:rsidRPr="002B0E12">
        <w:rPr>
          <w:rFonts w:ascii="Arial" w:hAnsi="Arial" w:cs="Arial"/>
          <w:b/>
          <w:iCs/>
        </w:rPr>
        <w:t xml:space="preserve">Measurement of </w:t>
      </w:r>
      <w:proofErr w:type="spellStart"/>
      <w:r w:rsidR="00B72A9F" w:rsidRPr="002B0E12">
        <w:rPr>
          <w:rFonts w:ascii="Arial" w:hAnsi="Arial" w:cs="Arial"/>
          <w:b/>
          <w:iCs/>
        </w:rPr>
        <w:t>MetS</w:t>
      </w:r>
      <w:proofErr w:type="spellEnd"/>
      <w:r w:rsidR="00B72A9F" w:rsidRPr="002B0E12">
        <w:rPr>
          <w:rFonts w:ascii="Arial" w:hAnsi="Arial" w:cs="Arial"/>
          <w:b/>
          <w:iCs/>
        </w:rPr>
        <w:t xml:space="preserve"> risk factors prevalence</w:t>
      </w:r>
    </w:p>
    <w:p w14:paraId="7A13188F" w14:textId="4FA2AFF1" w:rsidR="00B72A9F" w:rsidRPr="002B0E12" w:rsidRDefault="00B72A9F" w:rsidP="004112D6">
      <w:pPr>
        <w:widowControl w:val="0"/>
        <w:spacing w:after="0" w:line="360" w:lineRule="auto"/>
        <w:jc w:val="both"/>
        <w:rPr>
          <w:rFonts w:ascii="Arial" w:eastAsia="Times New Roman" w:hAnsi="Arial" w:cs="Arial"/>
          <w:bCs/>
        </w:rPr>
      </w:pPr>
      <w:r w:rsidRPr="002B0E12">
        <w:rPr>
          <w:rFonts w:ascii="Arial" w:hAnsi="Arial" w:cs="Arial"/>
          <w:b/>
          <w:i/>
          <w:iCs/>
        </w:rPr>
        <w:t xml:space="preserve"> </w:t>
      </w:r>
      <w:r w:rsidRPr="002B0E12">
        <w:rPr>
          <w:rFonts w:ascii="Arial" w:hAnsi="Arial" w:cs="Arial"/>
          <w:b/>
          <w:i/>
          <w:iCs/>
        </w:rPr>
        <w:tab/>
      </w:r>
      <w:r w:rsidRPr="002B0E12">
        <w:rPr>
          <w:rFonts w:ascii="Arial" w:hAnsi="Arial" w:cs="Arial"/>
          <w:shd w:val="clear" w:color="auto" w:fill="FFFFFF"/>
        </w:rPr>
        <w:t xml:space="preserve">To identify </w:t>
      </w:r>
      <w:r w:rsidR="00431ED7" w:rsidRPr="002B0E12">
        <w:rPr>
          <w:rFonts w:ascii="Arial" w:hAnsi="Arial" w:cs="Arial"/>
          <w:shd w:val="clear" w:color="auto" w:fill="FFFFFF"/>
        </w:rPr>
        <w:t xml:space="preserve">the participants with </w:t>
      </w:r>
      <w:proofErr w:type="spellStart"/>
      <w:r w:rsidRPr="002B0E12">
        <w:rPr>
          <w:rFonts w:ascii="Arial" w:hAnsi="Arial" w:cs="Arial"/>
          <w:shd w:val="clear" w:color="auto" w:fill="FFFFFF"/>
        </w:rPr>
        <w:t>MetS</w:t>
      </w:r>
      <w:proofErr w:type="spellEnd"/>
      <w:r w:rsidRPr="002B0E12">
        <w:rPr>
          <w:rFonts w:ascii="Arial" w:hAnsi="Arial" w:cs="Arial"/>
          <w:shd w:val="clear" w:color="auto" w:fill="FFFFFF"/>
        </w:rPr>
        <w:t xml:space="preserve">, </w:t>
      </w:r>
      <w:r w:rsidR="00776821" w:rsidRPr="002B0E12">
        <w:rPr>
          <w:rFonts w:ascii="Arial" w:hAnsi="Arial" w:cs="Arial"/>
          <w:shd w:val="clear" w:color="auto" w:fill="FFFFFF"/>
        </w:rPr>
        <w:t>National Chol</w:t>
      </w:r>
      <w:r w:rsidR="00BC18B6" w:rsidRPr="002B0E12">
        <w:rPr>
          <w:rFonts w:ascii="Arial" w:hAnsi="Arial" w:cs="Arial"/>
          <w:shd w:val="clear" w:color="auto" w:fill="FFFFFF"/>
        </w:rPr>
        <w:t>esterol Education Program</w:t>
      </w:r>
      <w:r w:rsidR="00776821" w:rsidRPr="002B0E12">
        <w:rPr>
          <w:rFonts w:ascii="Arial" w:hAnsi="Arial" w:cs="Arial"/>
          <w:shd w:val="clear" w:color="auto" w:fill="FFFFFF"/>
        </w:rPr>
        <w:t> </w:t>
      </w:r>
      <w:r w:rsidR="00776821" w:rsidRPr="002B0E12">
        <w:rPr>
          <w:rFonts w:ascii="Arial" w:hAnsi="Arial" w:cs="Arial"/>
        </w:rPr>
        <w:t>Adult Treatment Panel III</w:t>
      </w:r>
      <w:r w:rsidR="00BC18B6" w:rsidRPr="002B0E12">
        <w:rPr>
          <w:rFonts w:ascii="Arial" w:hAnsi="Arial" w:cs="Arial"/>
          <w:shd w:val="clear" w:color="auto" w:fill="FFFFFF"/>
        </w:rPr>
        <w:t> </w:t>
      </w:r>
      <w:r w:rsidR="00C42319" w:rsidRPr="002B0E12">
        <w:rPr>
          <w:rFonts w:ascii="Arial" w:hAnsi="Arial" w:cs="Arial"/>
          <w:shd w:val="clear" w:color="auto" w:fill="FFFFFF"/>
        </w:rPr>
        <w:t xml:space="preserve">guidelines </w:t>
      </w:r>
      <w:r w:rsidR="00BC18B6" w:rsidRPr="002B0E12">
        <w:rPr>
          <w:rFonts w:ascii="Arial" w:hAnsi="Arial" w:cs="Arial"/>
          <w:shd w:val="clear" w:color="auto" w:fill="FFFFFF"/>
        </w:rPr>
        <w:t>(</w:t>
      </w:r>
      <w:r w:rsidR="00C42319" w:rsidRPr="002B0E12">
        <w:rPr>
          <w:rFonts w:ascii="Arial" w:hAnsi="Arial" w:cs="Arial"/>
          <w:shd w:val="clear" w:color="auto" w:fill="FFFFFF"/>
        </w:rPr>
        <w:t xml:space="preserve">NCEP </w:t>
      </w:r>
      <w:r w:rsidR="00776821" w:rsidRPr="002B0E12">
        <w:rPr>
          <w:rFonts w:ascii="Arial" w:hAnsi="Arial" w:cs="Arial"/>
          <w:shd w:val="clear" w:color="auto" w:fill="FFFFFF"/>
        </w:rPr>
        <w:t>ATP III</w:t>
      </w:r>
      <w:r w:rsidR="00C42319" w:rsidRPr="002B0E12">
        <w:rPr>
          <w:rFonts w:ascii="Arial" w:hAnsi="Arial" w:cs="Arial"/>
          <w:shd w:val="clear" w:color="auto" w:fill="FFFFFF"/>
        </w:rPr>
        <w:t xml:space="preserve"> 2001</w:t>
      </w:r>
      <w:r w:rsidR="00776821" w:rsidRPr="002B0E12">
        <w:rPr>
          <w:rFonts w:ascii="Arial" w:hAnsi="Arial" w:cs="Arial"/>
          <w:shd w:val="clear" w:color="auto" w:fill="FFFFFF"/>
        </w:rPr>
        <w:t>) </w:t>
      </w:r>
      <w:r w:rsidRPr="002B0E12">
        <w:rPr>
          <w:rFonts w:ascii="Arial" w:hAnsi="Arial" w:cs="Arial"/>
          <w:shd w:val="clear" w:color="auto" w:fill="FFFFFF"/>
        </w:rPr>
        <w:t xml:space="preserve">were used. </w:t>
      </w:r>
      <w:r w:rsidRPr="002B0E12">
        <w:rPr>
          <w:rFonts w:ascii="Arial" w:hAnsi="Arial" w:cs="Arial"/>
        </w:rPr>
        <w:t xml:space="preserve">The three risk factors used to identify </w:t>
      </w:r>
      <w:r w:rsidR="00431ED7" w:rsidRPr="002B0E12">
        <w:rPr>
          <w:rFonts w:ascii="Arial" w:hAnsi="Arial" w:cs="Arial"/>
        </w:rPr>
        <w:t xml:space="preserve">participants with </w:t>
      </w:r>
      <w:proofErr w:type="spellStart"/>
      <w:r w:rsidRPr="002B0E12">
        <w:rPr>
          <w:rFonts w:ascii="Arial" w:hAnsi="Arial" w:cs="Arial"/>
        </w:rPr>
        <w:t>MetS</w:t>
      </w:r>
      <w:proofErr w:type="spellEnd"/>
      <w:r w:rsidRPr="002B0E12">
        <w:rPr>
          <w:rFonts w:ascii="Arial" w:hAnsi="Arial" w:cs="Arial"/>
        </w:rPr>
        <w:t xml:space="preserve"> were: high fa</w:t>
      </w:r>
      <w:r w:rsidRPr="002B0E12">
        <w:rPr>
          <w:rFonts w:ascii="Arial" w:hAnsi="Arial" w:cs="Arial"/>
          <w:shd w:val="clear" w:color="auto" w:fill="FFFFFF"/>
        </w:rPr>
        <w:t>sting blood glucose (FBG) ≥100 mg/dl, Systolic (SBP)/Diastolic Blood Pressure (DBP) ≥130/85 mmHg, and Waist Circumference (WC)&gt;102cm (men)/88cm (women).</w:t>
      </w:r>
      <w:r w:rsidRPr="002B0E12">
        <w:rPr>
          <w:rFonts w:ascii="Arial" w:eastAsia="Times New Roman" w:hAnsi="Arial" w:cs="Arial"/>
          <w:bCs/>
        </w:rPr>
        <w:t xml:space="preserve">One hundred </w:t>
      </w:r>
      <w:r w:rsidR="00431ED7" w:rsidRPr="002B0E12">
        <w:rPr>
          <w:rFonts w:ascii="Arial" w:eastAsia="Times New Roman" w:hAnsi="Arial" w:cs="Arial"/>
          <w:bCs/>
        </w:rPr>
        <w:t xml:space="preserve">participants with </w:t>
      </w:r>
      <w:proofErr w:type="spellStart"/>
      <w:r w:rsidR="00776821" w:rsidRPr="002B0E12">
        <w:rPr>
          <w:rFonts w:ascii="Arial" w:eastAsia="Times New Roman" w:hAnsi="Arial" w:cs="Arial"/>
          <w:bCs/>
        </w:rPr>
        <w:t>MetS</w:t>
      </w:r>
      <w:proofErr w:type="spellEnd"/>
      <w:r w:rsidR="00373EE4" w:rsidRPr="002B0E12">
        <w:rPr>
          <w:rFonts w:ascii="Arial" w:eastAsia="Times New Roman" w:hAnsi="Arial" w:cs="Arial"/>
          <w:bCs/>
        </w:rPr>
        <w:t xml:space="preserve"> </w:t>
      </w:r>
      <w:r w:rsidRPr="002B0E12">
        <w:rPr>
          <w:rFonts w:ascii="Arial" w:eastAsia="Times New Roman" w:hAnsi="Arial" w:cs="Arial"/>
          <w:bCs/>
        </w:rPr>
        <w:t>(</w:t>
      </w:r>
      <w:r w:rsidR="00163FD8" w:rsidRPr="002B0E12">
        <w:rPr>
          <w:rFonts w:ascii="Arial" w:eastAsia="Times New Roman" w:hAnsi="Arial" w:cs="Arial"/>
          <w:bCs/>
        </w:rPr>
        <w:t>54</w:t>
      </w:r>
      <w:r w:rsidRPr="002B0E12">
        <w:rPr>
          <w:rFonts w:ascii="Arial" w:eastAsia="Times New Roman" w:hAnsi="Arial" w:cs="Arial"/>
          <w:bCs/>
        </w:rPr>
        <w:t xml:space="preserve"> men and </w:t>
      </w:r>
      <w:r w:rsidR="00163FD8" w:rsidRPr="002B0E12">
        <w:rPr>
          <w:rFonts w:ascii="Arial" w:eastAsia="Times New Roman" w:hAnsi="Arial" w:cs="Arial"/>
          <w:bCs/>
        </w:rPr>
        <w:t>46</w:t>
      </w:r>
      <w:r w:rsidRPr="002B0E12">
        <w:rPr>
          <w:rFonts w:ascii="Arial" w:eastAsia="Times New Roman" w:hAnsi="Arial" w:cs="Arial"/>
          <w:bCs/>
        </w:rPr>
        <w:t xml:space="preserve"> women) </w:t>
      </w:r>
      <w:r w:rsidR="00776821" w:rsidRPr="002B0E12">
        <w:rPr>
          <w:rFonts w:ascii="Arial" w:eastAsia="Times New Roman" w:hAnsi="Arial" w:cs="Arial"/>
          <w:bCs/>
        </w:rPr>
        <w:t>were selected for the study</w:t>
      </w:r>
      <w:r w:rsidRPr="002B0E12">
        <w:rPr>
          <w:rFonts w:ascii="Arial" w:eastAsia="Times New Roman" w:hAnsi="Arial" w:cs="Arial"/>
          <w:bCs/>
        </w:rPr>
        <w:t>.</w:t>
      </w:r>
    </w:p>
    <w:p w14:paraId="6B0C0A05" w14:textId="1FDEA428" w:rsidR="00B72A9F" w:rsidRPr="002B0E12" w:rsidRDefault="00D461F2" w:rsidP="004112D6">
      <w:pPr>
        <w:widowControl w:val="0"/>
        <w:spacing w:after="0" w:line="360" w:lineRule="auto"/>
        <w:jc w:val="both"/>
        <w:rPr>
          <w:rFonts w:ascii="Arial" w:eastAsia="Times New Roman" w:hAnsi="Arial" w:cs="Arial"/>
          <w:b/>
          <w:iCs/>
        </w:rPr>
      </w:pPr>
      <w:r w:rsidRPr="002B0E12">
        <w:rPr>
          <w:rFonts w:ascii="Arial" w:eastAsia="Times New Roman" w:hAnsi="Arial" w:cs="Arial"/>
          <w:b/>
          <w:iCs/>
        </w:rPr>
        <w:t>2.</w:t>
      </w:r>
      <w:r w:rsidR="0048694B">
        <w:rPr>
          <w:rFonts w:ascii="Arial" w:eastAsia="Times New Roman" w:hAnsi="Arial" w:cs="Arial"/>
          <w:b/>
          <w:iCs/>
        </w:rPr>
        <w:t>3</w:t>
      </w:r>
      <w:r w:rsidRPr="002B0E12">
        <w:rPr>
          <w:rFonts w:ascii="Arial" w:eastAsia="Times New Roman" w:hAnsi="Arial" w:cs="Arial"/>
          <w:b/>
          <w:iCs/>
        </w:rPr>
        <w:t xml:space="preserve"> </w:t>
      </w:r>
      <w:r w:rsidR="00B72A9F" w:rsidRPr="002B0E12">
        <w:rPr>
          <w:rFonts w:ascii="Arial" w:eastAsia="Times New Roman" w:hAnsi="Arial" w:cs="Arial"/>
          <w:b/>
          <w:iCs/>
        </w:rPr>
        <w:t>Dietary Survey</w:t>
      </w:r>
    </w:p>
    <w:p w14:paraId="5ECB6DD2" w14:textId="6389712A" w:rsidR="00B72A9F" w:rsidRPr="002B0E12" w:rsidRDefault="00B72A9F" w:rsidP="004112D6">
      <w:pPr>
        <w:widowControl w:val="0"/>
        <w:spacing w:after="0" w:line="360" w:lineRule="auto"/>
        <w:ind w:firstLine="720"/>
        <w:jc w:val="both"/>
        <w:rPr>
          <w:rFonts w:ascii="Arial" w:eastAsia="Times New Roman" w:hAnsi="Arial" w:cs="Arial"/>
        </w:rPr>
      </w:pPr>
      <w:r w:rsidRPr="002B0E12">
        <w:rPr>
          <w:rFonts w:ascii="Arial" w:hAnsi="Arial" w:cs="Arial"/>
        </w:rPr>
        <w:t xml:space="preserve">The daily food intake of selected </w:t>
      </w:r>
      <w:r w:rsidR="00431ED7" w:rsidRPr="002B0E12">
        <w:rPr>
          <w:rFonts w:ascii="Arial" w:hAnsi="Arial" w:cs="Arial"/>
        </w:rPr>
        <w:t xml:space="preserve">participants with </w:t>
      </w:r>
      <w:proofErr w:type="spellStart"/>
      <w:r w:rsidRPr="002B0E12">
        <w:rPr>
          <w:rFonts w:ascii="Arial" w:hAnsi="Arial" w:cs="Arial"/>
        </w:rPr>
        <w:t>MetS</w:t>
      </w:r>
      <w:proofErr w:type="spellEnd"/>
      <w:r w:rsidRPr="002B0E12">
        <w:rPr>
          <w:rFonts w:ascii="Arial" w:hAnsi="Arial" w:cs="Arial"/>
        </w:rPr>
        <w:t xml:space="preserve"> was assessed during winter </w:t>
      </w:r>
      <w:r w:rsidR="00C231F5" w:rsidRPr="002B0E12">
        <w:rPr>
          <w:rFonts w:ascii="Arial" w:hAnsi="Arial" w:cs="Arial"/>
        </w:rPr>
        <w:lastRenderedPageBreak/>
        <w:t xml:space="preserve">season </w:t>
      </w:r>
      <w:r w:rsidRPr="002B0E12">
        <w:rPr>
          <w:rFonts w:ascii="Arial" w:hAnsi="Arial" w:cs="Arial"/>
        </w:rPr>
        <w:t>(December, 2021–January, 2022)</w:t>
      </w:r>
      <w:r w:rsidR="00431ED7" w:rsidRPr="002B0E12">
        <w:rPr>
          <w:rFonts w:ascii="Arial" w:hAnsi="Arial" w:cs="Arial"/>
        </w:rPr>
        <w:t xml:space="preserve"> because nuts and oilseeds such as flaxseed and walnuts are generally not consumed in the summer months</w:t>
      </w:r>
      <w:r w:rsidRPr="002B0E12">
        <w:rPr>
          <w:rFonts w:ascii="Arial" w:hAnsi="Arial" w:cs="Arial"/>
        </w:rPr>
        <w:t xml:space="preserve">. </w:t>
      </w:r>
      <w:r w:rsidRPr="002B0E12">
        <w:rPr>
          <w:rFonts w:ascii="Arial" w:hAnsi="Arial" w:cs="Arial"/>
          <w:bCs/>
        </w:rPr>
        <w:t>The daily food intake was assessed by 24 Hour Recall method for three consecutive days. The food intake was compared with the suggested intakes</w:t>
      </w:r>
      <w:r w:rsidR="003A0855" w:rsidRPr="002B0E12">
        <w:rPr>
          <w:rFonts w:ascii="Arial" w:hAnsi="Arial" w:cs="Arial"/>
          <w:bCs/>
        </w:rPr>
        <w:t>.</w:t>
      </w:r>
      <w:r w:rsidRPr="002B0E12">
        <w:rPr>
          <w:rFonts w:ascii="Arial" w:hAnsi="Arial" w:cs="Arial"/>
          <w:bCs/>
        </w:rPr>
        <w:t xml:space="preserve"> </w:t>
      </w:r>
      <w:r w:rsidR="003A0855" w:rsidRPr="002B0E12">
        <w:rPr>
          <w:rFonts w:ascii="Arial" w:hAnsi="Arial" w:cs="Arial"/>
          <w:bCs/>
        </w:rPr>
        <w:t>T</w:t>
      </w:r>
      <w:r w:rsidR="003A0855" w:rsidRPr="002B0E12">
        <w:rPr>
          <w:rFonts w:ascii="Arial" w:hAnsi="Arial" w:cs="Arial"/>
        </w:rPr>
        <w:t xml:space="preserve">he nutrient intake was determined using Diet Cal software (Kaur 2017). </w:t>
      </w:r>
      <w:r w:rsidRPr="002B0E12">
        <w:rPr>
          <w:rFonts w:ascii="Arial" w:hAnsi="Arial" w:cs="Arial"/>
        </w:rPr>
        <w:t>The c</w:t>
      </w:r>
      <w:r w:rsidRPr="002B0E12">
        <w:rPr>
          <w:rFonts w:ascii="Arial" w:hAnsi="Arial" w:cs="Arial"/>
          <w:bCs/>
        </w:rPr>
        <w:t>onsumption frequency pattern of</w:t>
      </w:r>
      <w:r w:rsidR="003A0855" w:rsidRPr="002B0E12">
        <w:rPr>
          <w:rFonts w:ascii="Arial" w:hAnsi="Arial" w:cs="Arial"/>
          <w:bCs/>
        </w:rPr>
        <w:t xml:space="preserve"> various foods including</w:t>
      </w:r>
      <w:r w:rsidRPr="002B0E12">
        <w:rPr>
          <w:rFonts w:ascii="Arial" w:hAnsi="Arial" w:cs="Arial"/>
          <w:bCs/>
        </w:rPr>
        <w:t xml:space="preserve"> fats and oils, nuts and oilseeds, green leafy vegetables and pickles </w:t>
      </w:r>
      <w:r w:rsidRPr="002B0E12">
        <w:rPr>
          <w:rFonts w:ascii="Arial" w:hAnsi="Arial" w:cs="Arial"/>
        </w:rPr>
        <w:t xml:space="preserve">was </w:t>
      </w:r>
      <w:r w:rsidR="00CA4149" w:rsidRPr="002B0E12">
        <w:rPr>
          <w:rFonts w:ascii="Arial" w:hAnsi="Arial" w:cs="Arial"/>
        </w:rPr>
        <w:t xml:space="preserve">also </w:t>
      </w:r>
      <w:r w:rsidRPr="002B0E12">
        <w:rPr>
          <w:rFonts w:ascii="Arial" w:hAnsi="Arial" w:cs="Arial"/>
        </w:rPr>
        <w:t>recorded</w:t>
      </w:r>
      <w:r w:rsidR="00CA4149" w:rsidRPr="002B0E12">
        <w:rPr>
          <w:rFonts w:ascii="Arial" w:hAnsi="Arial" w:cs="Arial"/>
        </w:rPr>
        <w:t xml:space="preserve"> </w:t>
      </w:r>
      <w:r w:rsidRPr="002B0E12">
        <w:rPr>
          <w:rFonts w:ascii="Arial" w:hAnsi="Arial" w:cs="Arial"/>
          <w:bCs/>
        </w:rPr>
        <w:t xml:space="preserve">using a food frequency questionnaire (FFQ). </w:t>
      </w:r>
      <w:r w:rsidRPr="002B0E12">
        <w:rPr>
          <w:rFonts w:ascii="Arial" w:hAnsi="Arial" w:cs="Arial"/>
        </w:rPr>
        <w:t>The Consumption Frequency Scores (CFS) was calculated by the formula: Consumption days per week x consumption weeks / 365 x 100</w:t>
      </w:r>
      <w:r w:rsidR="0036008F" w:rsidRPr="002B0E12">
        <w:rPr>
          <w:rFonts w:ascii="Arial" w:hAnsi="Arial" w:cs="Arial"/>
        </w:rPr>
        <w:t xml:space="preserve">. </w:t>
      </w:r>
      <w:r w:rsidR="00CA4149" w:rsidRPr="002B0E12">
        <w:rPr>
          <w:rFonts w:ascii="Arial" w:hAnsi="Arial" w:cs="Arial"/>
          <w:bCs/>
        </w:rPr>
        <w:t xml:space="preserve">The </w:t>
      </w:r>
      <w:r w:rsidR="00CA4149" w:rsidRPr="002B0E12">
        <w:rPr>
          <w:rFonts w:ascii="Arial" w:eastAsia="Times New Roman" w:hAnsi="Arial" w:cs="Arial"/>
        </w:rPr>
        <w:t>per cent adequacy of nutrients was calculated by comparing their intake with Estimated Average Requirements (EAR) /Recommended Dietary Allowances (RDA)</w:t>
      </w:r>
      <w:r w:rsidR="00CA4149" w:rsidRPr="002B0E12">
        <w:rPr>
          <w:rFonts w:ascii="Arial" w:hAnsi="Arial" w:cs="Arial"/>
          <w:bCs/>
        </w:rPr>
        <w:t xml:space="preserve"> given by </w:t>
      </w:r>
      <w:r w:rsidR="00AD2D3F" w:rsidRPr="002B0E12">
        <w:rPr>
          <w:rFonts w:ascii="Arial" w:hAnsi="Arial" w:cs="Arial"/>
          <w:bCs/>
        </w:rPr>
        <w:t>ICMR</w:t>
      </w:r>
      <w:r w:rsidR="00CA4149" w:rsidRPr="002B0E12">
        <w:rPr>
          <w:rFonts w:ascii="Arial" w:hAnsi="Arial" w:cs="Arial"/>
          <w:bCs/>
        </w:rPr>
        <w:t>, 2020</w:t>
      </w:r>
      <w:r w:rsidR="00CA4149" w:rsidRPr="002B0E12">
        <w:rPr>
          <w:rFonts w:ascii="Arial" w:eastAsia="Times New Roman" w:hAnsi="Arial" w:cs="Arial"/>
        </w:rPr>
        <w:t>.</w:t>
      </w:r>
    </w:p>
    <w:p w14:paraId="01913FBF" w14:textId="77B67170" w:rsidR="00B72A9F" w:rsidRPr="002B0E12" w:rsidRDefault="00D461F2" w:rsidP="004112D6">
      <w:pPr>
        <w:widowControl w:val="0"/>
        <w:tabs>
          <w:tab w:val="left" w:pos="6663"/>
        </w:tabs>
        <w:spacing w:after="0" w:line="360" w:lineRule="auto"/>
        <w:jc w:val="both"/>
        <w:rPr>
          <w:rFonts w:ascii="Arial" w:hAnsi="Arial" w:cs="Arial"/>
          <w:b/>
          <w:iCs/>
        </w:rPr>
      </w:pPr>
      <w:r w:rsidRPr="002B0E12">
        <w:rPr>
          <w:rFonts w:ascii="Arial" w:hAnsi="Arial" w:cs="Arial"/>
          <w:b/>
          <w:iCs/>
        </w:rPr>
        <w:t>2.</w:t>
      </w:r>
      <w:r w:rsidR="0048694B">
        <w:rPr>
          <w:rFonts w:ascii="Arial" w:hAnsi="Arial" w:cs="Arial"/>
          <w:b/>
          <w:iCs/>
        </w:rPr>
        <w:t>4</w:t>
      </w:r>
      <w:r w:rsidRPr="002B0E12">
        <w:rPr>
          <w:rFonts w:ascii="Arial" w:hAnsi="Arial" w:cs="Arial"/>
          <w:b/>
          <w:iCs/>
        </w:rPr>
        <w:t xml:space="preserve"> </w:t>
      </w:r>
      <w:r w:rsidR="00B72A9F" w:rsidRPr="002B0E12">
        <w:rPr>
          <w:rFonts w:ascii="Arial" w:hAnsi="Arial" w:cs="Arial"/>
          <w:b/>
          <w:iCs/>
        </w:rPr>
        <w:t>Anthropometric profile</w:t>
      </w:r>
    </w:p>
    <w:p w14:paraId="3C473543" w14:textId="17A92F6A" w:rsidR="00B72A9F" w:rsidRPr="002B0E12" w:rsidRDefault="00B72A9F" w:rsidP="004112D6">
      <w:pPr>
        <w:widowControl w:val="0"/>
        <w:spacing w:after="0" w:line="360" w:lineRule="auto"/>
        <w:ind w:firstLine="720"/>
        <w:jc w:val="both"/>
        <w:rPr>
          <w:rFonts w:ascii="Arial" w:hAnsi="Arial" w:cs="Arial"/>
        </w:rPr>
      </w:pPr>
      <w:r w:rsidRPr="002B0E12">
        <w:rPr>
          <w:rFonts w:ascii="Arial" w:hAnsi="Arial" w:cs="Arial"/>
        </w:rPr>
        <w:t>Basic anthropometric parameters such as weight, height, hip circumference and waist circumference were taken using standard methods (</w:t>
      </w:r>
      <w:proofErr w:type="spellStart"/>
      <w:r w:rsidRPr="002B0E12">
        <w:rPr>
          <w:rFonts w:ascii="Arial" w:hAnsi="Arial" w:cs="Arial"/>
        </w:rPr>
        <w:t>Jelliffe</w:t>
      </w:r>
      <w:proofErr w:type="spellEnd"/>
      <w:r w:rsidRPr="002B0E12">
        <w:rPr>
          <w:rFonts w:ascii="Arial" w:hAnsi="Arial" w:cs="Arial"/>
        </w:rPr>
        <w:t xml:space="preserve">, 1966). </w:t>
      </w:r>
      <w:r w:rsidRPr="002B0E12">
        <w:rPr>
          <w:rFonts w:ascii="Arial" w:hAnsi="Arial" w:cs="Arial"/>
          <w:bCs/>
          <w:shd w:val="clear" w:color="auto" w:fill="FFFFFF"/>
        </w:rPr>
        <w:t xml:space="preserve">The derived indicators </w:t>
      </w:r>
      <w:r w:rsidRPr="002B0E12">
        <w:rPr>
          <w:rFonts w:ascii="Arial" w:hAnsi="Arial" w:cs="Arial"/>
        </w:rPr>
        <w:t xml:space="preserve">of general and abdominal obesity </w:t>
      </w:r>
      <w:r w:rsidRPr="002B0E12">
        <w:rPr>
          <w:rFonts w:ascii="Arial" w:hAnsi="Arial" w:cs="Arial"/>
          <w:bCs/>
          <w:shd w:val="clear" w:color="auto" w:fill="FFFFFF"/>
        </w:rPr>
        <w:t>viz Body Mass Index (BMI) (</w:t>
      </w:r>
      <w:r w:rsidRPr="002B0E12">
        <w:rPr>
          <w:rFonts w:ascii="Arial" w:hAnsi="Arial" w:cs="Arial"/>
        </w:rPr>
        <w:t xml:space="preserve">WHO, 2004); </w:t>
      </w:r>
      <w:r w:rsidRPr="002B0E12">
        <w:rPr>
          <w:rFonts w:ascii="Arial" w:hAnsi="Arial" w:cs="Arial"/>
          <w:bCs/>
          <w:shd w:val="clear" w:color="auto" w:fill="FFFFFF"/>
        </w:rPr>
        <w:t>w</w:t>
      </w:r>
      <w:r w:rsidR="00D578BD" w:rsidRPr="002B0E12">
        <w:rPr>
          <w:rFonts w:ascii="Arial" w:hAnsi="Arial" w:cs="Arial"/>
          <w:bCs/>
          <w:shd w:val="clear" w:color="auto" w:fill="FFFFFF"/>
        </w:rPr>
        <w:t>aist</w:t>
      </w:r>
      <w:r w:rsidRPr="002B0E12">
        <w:rPr>
          <w:rFonts w:ascii="Arial" w:hAnsi="Arial" w:cs="Arial"/>
          <w:bCs/>
          <w:shd w:val="clear" w:color="auto" w:fill="FFFFFF"/>
        </w:rPr>
        <w:t xml:space="preserve"> and </w:t>
      </w:r>
      <w:r w:rsidR="003E4F8F" w:rsidRPr="002B0E12">
        <w:rPr>
          <w:rFonts w:ascii="Arial" w:hAnsi="Arial" w:cs="Arial"/>
          <w:bCs/>
          <w:shd w:val="clear" w:color="auto" w:fill="FFFFFF"/>
        </w:rPr>
        <w:t>Hip</w:t>
      </w:r>
      <w:r w:rsidRPr="002B0E12">
        <w:rPr>
          <w:rFonts w:ascii="Arial" w:hAnsi="Arial" w:cs="Arial"/>
          <w:bCs/>
          <w:shd w:val="clear" w:color="auto" w:fill="FFFFFF"/>
        </w:rPr>
        <w:t xml:space="preserve"> circumference</w:t>
      </w:r>
      <w:r w:rsidR="00EC20E3" w:rsidRPr="002B0E12">
        <w:rPr>
          <w:rFonts w:ascii="Arial" w:hAnsi="Arial" w:cs="Arial"/>
          <w:bCs/>
          <w:shd w:val="clear" w:color="auto" w:fill="FFFFFF"/>
        </w:rPr>
        <w:t xml:space="preserve"> (</w:t>
      </w:r>
      <w:r w:rsidR="00EC20E3" w:rsidRPr="002B0E12">
        <w:rPr>
          <w:rFonts w:ascii="Arial" w:hAnsi="Arial" w:cs="Arial"/>
        </w:rPr>
        <w:t>WHO, 2008);</w:t>
      </w:r>
      <w:r w:rsidRPr="002B0E12">
        <w:rPr>
          <w:rFonts w:ascii="Arial" w:hAnsi="Arial" w:cs="Arial"/>
          <w:bCs/>
          <w:shd w:val="clear" w:color="auto" w:fill="FFFFFF"/>
        </w:rPr>
        <w:t xml:space="preserve"> w</w:t>
      </w:r>
      <w:r w:rsidRPr="002B0E12">
        <w:rPr>
          <w:rFonts w:ascii="Arial" w:hAnsi="Arial" w:cs="Arial"/>
          <w:bCs/>
        </w:rPr>
        <w:t xml:space="preserve">aist and hip ratio </w:t>
      </w:r>
      <w:r w:rsidR="00D578BD" w:rsidRPr="002B0E12">
        <w:rPr>
          <w:rFonts w:ascii="Arial" w:hAnsi="Arial" w:cs="Arial"/>
          <w:bCs/>
        </w:rPr>
        <w:t>(WHR</w:t>
      </w:r>
      <w:proofErr w:type="gramStart"/>
      <w:r w:rsidR="00D578BD" w:rsidRPr="002B0E12">
        <w:rPr>
          <w:rFonts w:ascii="Arial" w:hAnsi="Arial" w:cs="Arial"/>
          <w:bCs/>
        </w:rPr>
        <w:t>)</w:t>
      </w:r>
      <w:r w:rsidRPr="002B0E12">
        <w:rPr>
          <w:rFonts w:ascii="Arial" w:hAnsi="Arial" w:cs="Arial"/>
          <w:bCs/>
        </w:rPr>
        <w:t>(</w:t>
      </w:r>
      <w:proofErr w:type="gramEnd"/>
      <w:r w:rsidRPr="002B0E12">
        <w:rPr>
          <w:rFonts w:ascii="Arial" w:hAnsi="Arial" w:cs="Arial"/>
          <w:bCs/>
        </w:rPr>
        <w:t xml:space="preserve">ICMR, 2010); and waist and height ratio </w:t>
      </w:r>
      <w:r w:rsidR="00D578BD" w:rsidRPr="002B0E12">
        <w:rPr>
          <w:rFonts w:ascii="Arial" w:hAnsi="Arial" w:cs="Arial"/>
          <w:bCs/>
        </w:rPr>
        <w:t>(</w:t>
      </w:r>
      <w:proofErr w:type="spellStart"/>
      <w:r w:rsidR="00D578BD" w:rsidRPr="002B0E12">
        <w:rPr>
          <w:rFonts w:ascii="Arial" w:hAnsi="Arial" w:cs="Arial"/>
          <w:bCs/>
        </w:rPr>
        <w:t>WHtR</w:t>
      </w:r>
      <w:proofErr w:type="spellEnd"/>
      <w:r w:rsidR="00D578BD" w:rsidRPr="002B0E12">
        <w:rPr>
          <w:rFonts w:ascii="Arial" w:hAnsi="Arial" w:cs="Arial"/>
          <w:bCs/>
        </w:rPr>
        <w:t xml:space="preserve">) </w:t>
      </w:r>
      <w:r w:rsidRPr="002B0E12">
        <w:rPr>
          <w:rFonts w:ascii="Arial" w:hAnsi="Arial" w:cs="Arial"/>
          <w:bCs/>
          <w:shd w:val="clear" w:color="auto" w:fill="FFFFFF"/>
        </w:rPr>
        <w:t>(</w:t>
      </w:r>
      <w:r w:rsidRPr="002B0E12">
        <w:rPr>
          <w:rFonts w:ascii="Arial" w:hAnsi="Arial" w:cs="Arial"/>
          <w:shd w:val="clear" w:color="auto" w:fill="FFFFFF"/>
        </w:rPr>
        <w:t xml:space="preserve">Browning </w:t>
      </w:r>
      <w:r w:rsidRPr="002B0E12">
        <w:rPr>
          <w:rFonts w:ascii="Arial" w:hAnsi="Arial" w:cs="Arial"/>
          <w:iCs/>
          <w:shd w:val="clear" w:color="auto" w:fill="FFFFFF"/>
        </w:rPr>
        <w:t>et al.,</w:t>
      </w:r>
      <w:r w:rsidRPr="002B0E12">
        <w:rPr>
          <w:rFonts w:ascii="Arial" w:hAnsi="Arial" w:cs="Arial"/>
          <w:i/>
          <w:iCs/>
          <w:shd w:val="clear" w:color="auto" w:fill="FFFFFF"/>
        </w:rPr>
        <w:t xml:space="preserve"> </w:t>
      </w:r>
      <w:r w:rsidRPr="002B0E12">
        <w:rPr>
          <w:rFonts w:ascii="Arial" w:hAnsi="Arial" w:cs="Arial"/>
          <w:shd w:val="clear" w:color="auto" w:fill="FFFFFF"/>
        </w:rPr>
        <w:t xml:space="preserve">2010); </w:t>
      </w:r>
      <w:r w:rsidR="002932FA" w:rsidRPr="002B0E12">
        <w:rPr>
          <w:rFonts w:ascii="Arial" w:hAnsi="Arial" w:cs="Arial"/>
          <w:shd w:val="clear" w:color="auto" w:fill="FFFFFF"/>
        </w:rPr>
        <w:t>c</w:t>
      </w:r>
      <w:r w:rsidRPr="002B0E12">
        <w:rPr>
          <w:rFonts w:ascii="Arial" w:hAnsi="Arial" w:cs="Arial"/>
          <w:bCs/>
          <w:shd w:val="clear" w:color="auto" w:fill="FFFFFF"/>
        </w:rPr>
        <w:t xml:space="preserve">onicity Index </w:t>
      </w:r>
      <w:r w:rsidRPr="002B0E12">
        <w:rPr>
          <w:rFonts w:ascii="Arial" w:hAnsi="Arial" w:cs="Arial"/>
        </w:rPr>
        <w:t>(</w:t>
      </w:r>
      <w:proofErr w:type="spellStart"/>
      <w:r w:rsidRPr="002B0E12">
        <w:rPr>
          <w:rFonts w:ascii="Arial" w:hAnsi="Arial" w:cs="Arial"/>
          <w:shd w:val="clear" w:color="auto" w:fill="FFFFFF"/>
        </w:rPr>
        <w:t>Pintanga</w:t>
      </w:r>
      <w:proofErr w:type="spellEnd"/>
      <w:r w:rsidRPr="002B0E12">
        <w:rPr>
          <w:rFonts w:ascii="Arial" w:hAnsi="Arial" w:cs="Arial"/>
          <w:shd w:val="clear" w:color="auto" w:fill="FFFFFF"/>
        </w:rPr>
        <w:t xml:space="preserve"> and </w:t>
      </w:r>
      <w:proofErr w:type="spellStart"/>
      <w:r w:rsidRPr="002B0E12">
        <w:rPr>
          <w:rFonts w:ascii="Arial" w:hAnsi="Arial" w:cs="Arial"/>
          <w:shd w:val="clear" w:color="auto" w:fill="FFFFFF"/>
        </w:rPr>
        <w:t>Lessa</w:t>
      </w:r>
      <w:proofErr w:type="spellEnd"/>
      <w:r w:rsidRPr="002B0E12">
        <w:rPr>
          <w:rFonts w:ascii="Arial" w:hAnsi="Arial" w:cs="Arial"/>
          <w:shd w:val="clear" w:color="auto" w:fill="FFFFFF"/>
        </w:rPr>
        <w:t>, 2005)</w:t>
      </w:r>
      <w:r w:rsidR="006F5FC2" w:rsidRPr="002B0E12">
        <w:rPr>
          <w:rFonts w:ascii="Arial" w:hAnsi="Arial" w:cs="Arial"/>
          <w:shd w:val="clear" w:color="auto" w:fill="FFFFFF"/>
        </w:rPr>
        <w:t>,</w:t>
      </w:r>
      <w:r w:rsidRPr="002B0E12">
        <w:rPr>
          <w:rFonts w:ascii="Arial" w:hAnsi="Arial" w:cs="Arial"/>
          <w:shd w:val="clear" w:color="auto" w:fill="FFFFFF"/>
        </w:rPr>
        <w:t xml:space="preserve"> </w:t>
      </w:r>
      <w:r w:rsidRPr="002B0E12">
        <w:rPr>
          <w:rFonts w:ascii="Arial" w:hAnsi="Arial" w:cs="Arial"/>
          <w:bCs/>
          <w:shd w:val="clear" w:color="auto" w:fill="FFFFFF"/>
        </w:rPr>
        <w:t xml:space="preserve">and Abdominal Volume Index </w:t>
      </w:r>
      <w:r w:rsidRPr="002B0E12">
        <w:rPr>
          <w:rFonts w:ascii="Arial" w:hAnsi="Arial" w:cs="Arial"/>
        </w:rPr>
        <w:t>(Wang et al.,</w:t>
      </w:r>
      <w:r w:rsidRPr="002B0E12">
        <w:rPr>
          <w:rFonts w:ascii="Arial" w:hAnsi="Arial" w:cs="Arial"/>
          <w:i/>
        </w:rPr>
        <w:t xml:space="preserve"> </w:t>
      </w:r>
      <w:r w:rsidRPr="002B0E12">
        <w:rPr>
          <w:rFonts w:ascii="Arial" w:hAnsi="Arial" w:cs="Arial"/>
        </w:rPr>
        <w:t xml:space="preserve">2017) were calculated using </w:t>
      </w:r>
      <w:r w:rsidR="000A4EB2" w:rsidRPr="002B0E12">
        <w:rPr>
          <w:rFonts w:ascii="Arial" w:hAnsi="Arial" w:cs="Arial"/>
        </w:rPr>
        <w:t xml:space="preserve">the </w:t>
      </w:r>
      <w:r w:rsidR="00E1549C" w:rsidRPr="002B0E12">
        <w:rPr>
          <w:rFonts w:ascii="Arial" w:hAnsi="Arial" w:cs="Arial"/>
        </w:rPr>
        <w:t>standard formulas.</w:t>
      </w:r>
    </w:p>
    <w:p w14:paraId="1481DD7F" w14:textId="6061F1E1" w:rsidR="00B72A9F" w:rsidRPr="002B0E12" w:rsidRDefault="00D461F2" w:rsidP="004112D6">
      <w:pPr>
        <w:widowControl w:val="0"/>
        <w:spacing w:after="0" w:line="360" w:lineRule="auto"/>
        <w:jc w:val="both"/>
        <w:rPr>
          <w:rFonts w:ascii="Arial" w:hAnsi="Arial" w:cs="Arial"/>
          <w:b/>
          <w:iCs/>
        </w:rPr>
      </w:pPr>
      <w:r w:rsidRPr="002B0E12">
        <w:rPr>
          <w:rFonts w:ascii="Arial" w:hAnsi="Arial" w:cs="Arial"/>
          <w:b/>
          <w:iCs/>
        </w:rPr>
        <w:t>2.</w:t>
      </w:r>
      <w:r w:rsidR="0048694B">
        <w:rPr>
          <w:rFonts w:ascii="Arial" w:hAnsi="Arial" w:cs="Arial"/>
          <w:b/>
          <w:iCs/>
        </w:rPr>
        <w:t>5</w:t>
      </w:r>
      <w:r w:rsidRPr="002B0E12">
        <w:rPr>
          <w:rFonts w:ascii="Arial" w:hAnsi="Arial" w:cs="Arial"/>
          <w:b/>
          <w:iCs/>
        </w:rPr>
        <w:t xml:space="preserve"> </w:t>
      </w:r>
      <w:r w:rsidR="00B72A9F" w:rsidRPr="002B0E12">
        <w:rPr>
          <w:rFonts w:ascii="Arial" w:hAnsi="Arial" w:cs="Arial"/>
          <w:b/>
          <w:iCs/>
        </w:rPr>
        <w:t>Systolic and diastolic blood pressure</w:t>
      </w:r>
    </w:p>
    <w:p w14:paraId="551B0044" w14:textId="02BC64C5" w:rsidR="00B72A9F" w:rsidRPr="002B0E12" w:rsidRDefault="00B72A9F" w:rsidP="004112D6">
      <w:pPr>
        <w:widowControl w:val="0"/>
        <w:spacing w:after="0" w:line="360" w:lineRule="auto"/>
        <w:jc w:val="both"/>
        <w:rPr>
          <w:rFonts w:ascii="Arial" w:hAnsi="Arial" w:cs="Arial"/>
        </w:rPr>
      </w:pPr>
      <w:r w:rsidRPr="002B0E12">
        <w:rPr>
          <w:rFonts w:ascii="Arial" w:hAnsi="Arial" w:cs="Arial"/>
        </w:rPr>
        <w:tab/>
        <w:t xml:space="preserve">Diastolic and systolic blood pressure of the </w:t>
      </w:r>
      <w:r w:rsidR="00526BF5" w:rsidRPr="002B0E12">
        <w:rPr>
          <w:rFonts w:ascii="Arial" w:hAnsi="Arial" w:cs="Arial"/>
        </w:rPr>
        <w:t xml:space="preserve">participants </w:t>
      </w:r>
      <w:r w:rsidRPr="002B0E12">
        <w:rPr>
          <w:rFonts w:ascii="Arial" w:hAnsi="Arial" w:cs="Arial"/>
        </w:rPr>
        <w:t>was measured using electronic blood pressure monitor (</w:t>
      </w:r>
      <w:r w:rsidRPr="002B0E12">
        <w:rPr>
          <w:rFonts w:ascii="Arial" w:hAnsi="Arial" w:cs="Arial"/>
          <w:shd w:val="clear" w:color="auto" w:fill="FFFFFF"/>
        </w:rPr>
        <w:t xml:space="preserve">Dr </w:t>
      </w:r>
      <w:proofErr w:type="spellStart"/>
      <w:r w:rsidRPr="002B0E12">
        <w:rPr>
          <w:rFonts w:ascii="Arial" w:hAnsi="Arial" w:cs="Arial"/>
          <w:shd w:val="clear" w:color="auto" w:fill="FFFFFF"/>
        </w:rPr>
        <w:t>Morepen</w:t>
      </w:r>
      <w:proofErr w:type="spellEnd"/>
      <w:r w:rsidRPr="002B0E12">
        <w:rPr>
          <w:rFonts w:ascii="Arial" w:hAnsi="Arial" w:cs="Arial"/>
          <w:shd w:val="clear" w:color="auto" w:fill="FFFFFF"/>
        </w:rPr>
        <w:t xml:space="preserve"> BP ONE BP02 Automatic Blood Pressure Monitor)</w:t>
      </w:r>
      <w:r w:rsidRPr="002B0E12">
        <w:rPr>
          <w:rFonts w:ascii="Arial" w:hAnsi="Arial" w:cs="Arial"/>
        </w:rPr>
        <w:t xml:space="preserve">. The cut off value of 130 mm Hg as systolic blood pressure and 85 mmHg as diastolic blood pressure was taken to assess hypertension in the </w:t>
      </w:r>
      <w:r w:rsidR="008D4758" w:rsidRPr="002B0E12">
        <w:rPr>
          <w:rFonts w:ascii="Arial" w:hAnsi="Arial" w:cs="Arial"/>
        </w:rPr>
        <w:t>participants</w:t>
      </w:r>
      <w:r w:rsidRPr="002B0E12">
        <w:rPr>
          <w:rFonts w:ascii="Arial" w:hAnsi="Arial" w:cs="Arial"/>
        </w:rPr>
        <w:t>.</w:t>
      </w:r>
    </w:p>
    <w:p w14:paraId="20A2177D" w14:textId="32B6DF4A" w:rsidR="009B35DA" w:rsidRPr="002B0E12" w:rsidRDefault="00D461F2" w:rsidP="004112D6">
      <w:pPr>
        <w:widowControl w:val="0"/>
        <w:spacing w:after="0" w:line="360" w:lineRule="auto"/>
        <w:jc w:val="both"/>
        <w:rPr>
          <w:rFonts w:ascii="Arial" w:hAnsi="Arial" w:cs="Arial"/>
          <w:b/>
          <w:iCs/>
        </w:rPr>
      </w:pPr>
      <w:r w:rsidRPr="002B0E12">
        <w:rPr>
          <w:rFonts w:ascii="Arial" w:hAnsi="Arial" w:cs="Arial"/>
          <w:b/>
          <w:iCs/>
        </w:rPr>
        <w:t>2.</w:t>
      </w:r>
      <w:r w:rsidR="0048694B">
        <w:rPr>
          <w:rFonts w:ascii="Arial" w:hAnsi="Arial" w:cs="Arial"/>
          <w:b/>
          <w:iCs/>
        </w:rPr>
        <w:t>6</w:t>
      </w:r>
      <w:r w:rsidRPr="002B0E12">
        <w:rPr>
          <w:rFonts w:ascii="Arial" w:hAnsi="Arial" w:cs="Arial"/>
          <w:b/>
          <w:iCs/>
        </w:rPr>
        <w:t xml:space="preserve"> </w:t>
      </w:r>
      <w:r w:rsidR="009B35DA" w:rsidRPr="002B0E12">
        <w:rPr>
          <w:rFonts w:ascii="Arial" w:hAnsi="Arial" w:cs="Arial"/>
          <w:b/>
          <w:iCs/>
        </w:rPr>
        <w:t xml:space="preserve">Biochemical analysis </w:t>
      </w:r>
    </w:p>
    <w:p w14:paraId="056BCEE9" w14:textId="249D979F" w:rsidR="00B72A9F" w:rsidRPr="002B0E12" w:rsidRDefault="00B72A9F" w:rsidP="004112D6">
      <w:pPr>
        <w:widowControl w:val="0"/>
        <w:spacing w:after="0" w:line="360" w:lineRule="auto"/>
        <w:ind w:firstLine="720"/>
        <w:jc w:val="both"/>
        <w:rPr>
          <w:rFonts w:ascii="Arial" w:hAnsi="Arial" w:cs="Arial"/>
          <w:bCs/>
          <w:lang w:eastAsia="en-IN"/>
        </w:rPr>
      </w:pPr>
      <w:r w:rsidRPr="002B0E12">
        <w:rPr>
          <w:rFonts w:ascii="Arial" w:hAnsi="Arial" w:cs="Arial"/>
          <w:bCs/>
          <w:lang w:eastAsia="en-IN"/>
        </w:rPr>
        <w:t xml:space="preserve">A qualified clinical technician took blood samples for biochemical analysis. Before the blood was drawn, the </w:t>
      </w:r>
      <w:r w:rsidR="00526BF5" w:rsidRPr="002B0E12">
        <w:rPr>
          <w:rFonts w:ascii="Arial" w:hAnsi="Arial" w:cs="Arial"/>
          <w:bCs/>
          <w:lang w:eastAsia="en-IN"/>
        </w:rPr>
        <w:t>participants’</w:t>
      </w:r>
      <w:r w:rsidRPr="002B0E12">
        <w:rPr>
          <w:rFonts w:ascii="Arial" w:hAnsi="Arial" w:cs="Arial"/>
          <w:bCs/>
          <w:lang w:eastAsia="en-IN"/>
        </w:rPr>
        <w:t xml:space="preserve"> names were recorded. </w:t>
      </w:r>
      <w:r w:rsidRPr="002B0E12">
        <w:rPr>
          <w:rFonts w:ascii="Arial" w:hAnsi="Arial" w:cs="Arial"/>
        </w:rPr>
        <w:t xml:space="preserve"> </w:t>
      </w:r>
      <w:r w:rsidRPr="002B0E12">
        <w:rPr>
          <w:rFonts w:ascii="Arial" w:hAnsi="Arial" w:cs="Arial"/>
          <w:bCs/>
          <w:lang w:eastAsia="en-IN"/>
        </w:rPr>
        <w:t xml:space="preserve">Venous blood (10 ml) was collected using plain gel and EDTA </w:t>
      </w:r>
      <w:proofErr w:type="spellStart"/>
      <w:r w:rsidRPr="002B0E12">
        <w:rPr>
          <w:rFonts w:ascii="Arial" w:hAnsi="Arial" w:cs="Arial"/>
          <w:bCs/>
          <w:lang w:eastAsia="en-IN"/>
        </w:rPr>
        <w:t>vaccutainer</w:t>
      </w:r>
      <w:proofErr w:type="spellEnd"/>
      <w:r w:rsidRPr="002B0E12">
        <w:rPr>
          <w:rFonts w:ascii="Arial" w:hAnsi="Arial" w:cs="Arial"/>
          <w:bCs/>
          <w:lang w:eastAsia="en-IN"/>
        </w:rPr>
        <w:t xml:space="preserve"> dried tubes.  Subsequently, 5 ml of the blood was transferred into a separate vial containing a film of anticoagulation agent. </w:t>
      </w:r>
      <w:r w:rsidR="00526BF5" w:rsidRPr="002B0E12">
        <w:rPr>
          <w:rFonts w:ascii="Arial" w:hAnsi="Arial" w:cs="Arial"/>
        </w:rPr>
        <w:t>F</w:t>
      </w:r>
      <w:r w:rsidR="00547E4B" w:rsidRPr="002B0E12">
        <w:rPr>
          <w:rFonts w:ascii="Arial" w:hAnsi="Arial" w:cs="Arial"/>
        </w:rPr>
        <w:t>asting blood glucose (FBG) (</w:t>
      </w:r>
      <w:proofErr w:type="spellStart"/>
      <w:r w:rsidR="00547E4B" w:rsidRPr="002B0E12">
        <w:rPr>
          <w:rFonts w:ascii="Arial" w:hAnsi="Arial" w:cs="Arial"/>
        </w:rPr>
        <w:t>Oser</w:t>
      </w:r>
      <w:proofErr w:type="spellEnd"/>
      <w:r w:rsidR="00547E4B" w:rsidRPr="002B0E12">
        <w:rPr>
          <w:rFonts w:ascii="Arial" w:hAnsi="Arial" w:cs="Arial"/>
        </w:rPr>
        <w:t xml:space="preserve"> 1976) and </w:t>
      </w:r>
      <w:r w:rsidR="00526BF5" w:rsidRPr="002B0E12">
        <w:rPr>
          <w:rFonts w:ascii="Arial" w:hAnsi="Arial" w:cs="Arial"/>
        </w:rPr>
        <w:t>triglycerides (TG) were</w:t>
      </w:r>
      <w:r w:rsidR="00547E4B" w:rsidRPr="002B0E12">
        <w:rPr>
          <w:rFonts w:ascii="Arial" w:hAnsi="Arial" w:cs="Arial"/>
          <w:bCs/>
          <w:lang w:eastAsia="en-IN"/>
        </w:rPr>
        <w:t xml:space="preserve"> analyzed using </w:t>
      </w:r>
      <w:proofErr w:type="spellStart"/>
      <w:r w:rsidR="00547E4B" w:rsidRPr="002B0E12">
        <w:rPr>
          <w:rFonts w:ascii="Arial" w:hAnsi="Arial" w:cs="Arial"/>
          <w:bCs/>
          <w:lang w:eastAsia="en-IN"/>
        </w:rPr>
        <w:t>autopack</w:t>
      </w:r>
      <w:proofErr w:type="spellEnd"/>
      <w:r w:rsidR="00547E4B" w:rsidRPr="002B0E12">
        <w:rPr>
          <w:rFonts w:ascii="Arial" w:hAnsi="Arial" w:cs="Arial"/>
          <w:bCs/>
          <w:lang w:eastAsia="en-IN"/>
        </w:rPr>
        <w:t xml:space="preserve"> reagent kit (</w:t>
      </w:r>
      <w:proofErr w:type="spellStart"/>
      <w:r w:rsidR="00547E4B" w:rsidRPr="002B0E12">
        <w:rPr>
          <w:rFonts w:ascii="Arial" w:hAnsi="Arial" w:cs="Arial"/>
          <w:bCs/>
          <w:lang w:eastAsia="en-IN"/>
        </w:rPr>
        <w:t>Fossati</w:t>
      </w:r>
      <w:proofErr w:type="spellEnd"/>
      <w:r w:rsidR="00547E4B" w:rsidRPr="002B0E12">
        <w:rPr>
          <w:rFonts w:ascii="Arial" w:hAnsi="Arial" w:cs="Arial"/>
          <w:bCs/>
          <w:lang w:eastAsia="en-IN"/>
        </w:rPr>
        <w:t xml:space="preserve"> and Principe, 1982)</w:t>
      </w:r>
      <w:r w:rsidR="00526BF5" w:rsidRPr="002B0E12">
        <w:rPr>
          <w:rFonts w:ascii="Arial" w:hAnsi="Arial" w:cs="Arial"/>
          <w:bCs/>
          <w:lang w:eastAsia="en-IN"/>
        </w:rPr>
        <w:t xml:space="preserve">. </w:t>
      </w:r>
      <w:r w:rsidR="00526BF5" w:rsidRPr="002B0E12">
        <w:rPr>
          <w:rFonts w:ascii="Arial" w:hAnsi="Arial" w:cs="Arial"/>
        </w:rPr>
        <w:t>T</w:t>
      </w:r>
      <w:r w:rsidR="00547E4B" w:rsidRPr="002B0E12">
        <w:rPr>
          <w:rFonts w:ascii="Arial" w:hAnsi="Arial" w:cs="Arial"/>
        </w:rPr>
        <w:t xml:space="preserve">otal cholesterol </w:t>
      </w:r>
      <w:r w:rsidR="00526BF5" w:rsidRPr="002B0E12">
        <w:rPr>
          <w:rFonts w:ascii="Arial" w:hAnsi="Arial" w:cs="Arial"/>
        </w:rPr>
        <w:t xml:space="preserve">was analyzed </w:t>
      </w:r>
      <w:r w:rsidR="00547E4B" w:rsidRPr="002B0E12">
        <w:rPr>
          <w:rFonts w:ascii="Arial" w:hAnsi="Arial" w:cs="Arial"/>
        </w:rPr>
        <w:t xml:space="preserve">by </w:t>
      </w:r>
      <w:proofErr w:type="spellStart"/>
      <w:r w:rsidR="00547E4B" w:rsidRPr="002B0E12">
        <w:rPr>
          <w:rFonts w:ascii="Arial" w:hAnsi="Arial" w:cs="Arial"/>
          <w:bCs/>
          <w:lang w:eastAsia="en-IN"/>
        </w:rPr>
        <w:t>Biotron</w:t>
      </w:r>
      <w:proofErr w:type="spellEnd"/>
      <w:r w:rsidR="00547E4B" w:rsidRPr="002B0E12">
        <w:rPr>
          <w:rFonts w:ascii="Arial" w:hAnsi="Arial" w:cs="Arial"/>
          <w:bCs/>
          <w:lang w:eastAsia="en-IN"/>
        </w:rPr>
        <w:t xml:space="preserve"> BTR 820 Auto Blood Analyzer (via enzymatic technique)</w:t>
      </w:r>
      <w:r w:rsidR="00547E4B" w:rsidRPr="002B0E12">
        <w:rPr>
          <w:rFonts w:ascii="Arial" w:hAnsi="Arial" w:cs="Arial"/>
        </w:rPr>
        <w:t xml:space="preserve"> (Richmond 1973)</w:t>
      </w:r>
      <w:r w:rsidR="001C6DD7" w:rsidRPr="002B0E12">
        <w:rPr>
          <w:rFonts w:ascii="Arial" w:hAnsi="Arial" w:cs="Arial"/>
        </w:rPr>
        <w:t>. L</w:t>
      </w:r>
      <w:r w:rsidR="00547E4B" w:rsidRPr="002B0E12">
        <w:rPr>
          <w:rFonts w:ascii="Arial" w:hAnsi="Arial" w:cs="Arial"/>
        </w:rPr>
        <w:t xml:space="preserve">ow-density lipoproteins-cholesterol (LDL-C) and very low-density lipoprotein-cholesterol (VLDL) </w:t>
      </w:r>
      <w:r w:rsidR="00547E4B" w:rsidRPr="002B0E12">
        <w:rPr>
          <w:rFonts w:ascii="Arial" w:hAnsi="Arial" w:cs="Arial"/>
          <w:bCs/>
          <w:lang w:eastAsia="en-IN"/>
        </w:rPr>
        <w:t xml:space="preserve">were computed based on the </w:t>
      </w:r>
      <w:proofErr w:type="spellStart"/>
      <w:r w:rsidR="00547E4B" w:rsidRPr="002B0E12">
        <w:rPr>
          <w:rFonts w:ascii="Arial" w:hAnsi="Arial" w:cs="Arial"/>
          <w:bCs/>
          <w:lang w:eastAsia="en-IN"/>
        </w:rPr>
        <w:t>Friedwald’s</w:t>
      </w:r>
      <w:proofErr w:type="spellEnd"/>
      <w:r w:rsidR="00547E4B" w:rsidRPr="002B0E12">
        <w:rPr>
          <w:rFonts w:ascii="Arial" w:hAnsi="Arial" w:cs="Arial"/>
          <w:bCs/>
          <w:lang w:eastAsia="en-IN"/>
        </w:rPr>
        <w:t xml:space="preserve"> equation </w:t>
      </w:r>
      <w:r w:rsidR="00547E4B" w:rsidRPr="002B0E12">
        <w:rPr>
          <w:rFonts w:ascii="Arial" w:hAnsi="Arial" w:cs="Arial"/>
        </w:rPr>
        <w:t>(</w:t>
      </w:r>
      <w:proofErr w:type="spellStart"/>
      <w:r w:rsidR="00547E4B" w:rsidRPr="002B0E12">
        <w:rPr>
          <w:rFonts w:ascii="Arial" w:hAnsi="Arial" w:cs="Arial"/>
        </w:rPr>
        <w:t>Friedwald</w:t>
      </w:r>
      <w:proofErr w:type="spellEnd"/>
      <w:r w:rsidR="00547E4B" w:rsidRPr="002B0E12">
        <w:rPr>
          <w:rFonts w:ascii="Arial" w:hAnsi="Arial" w:cs="Arial"/>
        </w:rPr>
        <w:t xml:space="preserve"> et al. 1972)</w:t>
      </w:r>
      <w:r w:rsidR="001C6DD7" w:rsidRPr="002B0E12">
        <w:rPr>
          <w:rFonts w:ascii="Arial" w:hAnsi="Arial" w:cs="Arial"/>
        </w:rPr>
        <w:t xml:space="preserve">, while </w:t>
      </w:r>
      <w:r w:rsidR="00547E4B" w:rsidRPr="002B0E12">
        <w:rPr>
          <w:rFonts w:ascii="Arial" w:hAnsi="Arial" w:cs="Arial"/>
        </w:rPr>
        <w:t xml:space="preserve">high-density lipoproteins-cholesterol (HDL-C) </w:t>
      </w:r>
      <w:r w:rsidR="001C6DD7" w:rsidRPr="002B0E12">
        <w:rPr>
          <w:rFonts w:ascii="Arial" w:hAnsi="Arial" w:cs="Arial"/>
        </w:rPr>
        <w:t xml:space="preserve">was measured </w:t>
      </w:r>
      <w:r w:rsidR="00DE7A05" w:rsidRPr="002B0E12">
        <w:rPr>
          <w:rFonts w:ascii="Arial" w:hAnsi="Arial" w:cs="Arial"/>
        </w:rPr>
        <w:t>u</w:t>
      </w:r>
      <w:r w:rsidR="00547E4B" w:rsidRPr="002B0E12">
        <w:rPr>
          <w:rFonts w:ascii="Arial" w:hAnsi="Arial" w:cs="Arial"/>
          <w:bCs/>
          <w:lang w:eastAsia="en-IN"/>
        </w:rPr>
        <w:t xml:space="preserve">sing </w:t>
      </w:r>
      <w:proofErr w:type="spellStart"/>
      <w:r w:rsidR="00547E4B" w:rsidRPr="002B0E12">
        <w:rPr>
          <w:rFonts w:ascii="Arial" w:hAnsi="Arial" w:cs="Arial"/>
          <w:bCs/>
          <w:lang w:eastAsia="en-IN"/>
        </w:rPr>
        <w:t>Phosphotungstate</w:t>
      </w:r>
      <w:proofErr w:type="spellEnd"/>
      <w:r w:rsidR="00547E4B" w:rsidRPr="002B0E12">
        <w:rPr>
          <w:rFonts w:ascii="Arial" w:hAnsi="Arial" w:cs="Arial"/>
          <w:bCs/>
          <w:lang w:eastAsia="en-IN"/>
        </w:rPr>
        <w:t xml:space="preserve"> method</w:t>
      </w:r>
      <w:r w:rsidR="00547E4B" w:rsidRPr="002B0E12">
        <w:rPr>
          <w:rFonts w:ascii="Arial" w:hAnsi="Arial" w:cs="Arial"/>
        </w:rPr>
        <w:t xml:space="preserve"> with </w:t>
      </w:r>
      <w:proofErr w:type="spellStart"/>
      <w:r w:rsidR="00547E4B" w:rsidRPr="002B0E12">
        <w:rPr>
          <w:rFonts w:ascii="Arial" w:hAnsi="Arial" w:cs="Arial"/>
          <w:bCs/>
          <w:lang w:eastAsia="en-IN"/>
        </w:rPr>
        <w:t>Biotron</w:t>
      </w:r>
      <w:proofErr w:type="spellEnd"/>
      <w:r w:rsidR="00547E4B" w:rsidRPr="002B0E12">
        <w:rPr>
          <w:rFonts w:ascii="Arial" w:hAnsi="Arial" w:cs="Arial"/>
          <w:bCs/>
          <w:lang w:eastAsia="en-IN"/>
        </w:rPr>
        <w:t xml:space="preserve"> BTR 820 </w:t>
      </w:r>
      <w:r w:rsidR="00547E4B" w:rsidRPr="002B0E12">
        <w:rPr>
          <w:rFonts w:ascii="Arial" w:hAnsi="Arial" w:cs="Arial"/>
        </w:rPr>
        <w:t>(Lopes-</w:t>
      </w:r>
      <w:proofErr w:type="spellStart"/>
      <w:r w:rsidR="00547E4B" w:rsidRPr="002B0E12">
        <w:rPr>
          <w:rFonts w:ascii="Arial" w:hAnsi="Arial" w:cs="Arial"/>
        </w:rPr>
        <w:t>virella</w:t>
      </w:r>
      <w:proofErr w:type="spellEnd"/>
      <w:r w:rsidR="00547E4B" w:rsidRPr="002B0E12">
        <w:rPr>
          <w:rFonts w:ascii="Arial" w:hAnsi="Arial" w:cs="Arial"/>
        </w:rPr>
        <w:t xml:space="preserve"> et al. 1977). </w:t>
      </w:r>
    </w:p>
    <w:p w14:paraId="13ED727A" w14:textId="31AAE04F" w:rsidR="00B72A9F" w:rsidRPr="002B0E12" w:rsidRDefault="00D461F2" w:rsidP="004112D6">
      <w:pPr>
        <w:widowControl w:val="0"/>
        <w:spacing w:after="0" w:line="360" w:lineRule="auto"/>
        <w:jc w:val="both"/>
        <w:rPr>
          <w:rFonts w:ascii="Arial" w:hAnsi="Arial" w:cs="Arial"/>
          <w:b/>
          <w:iCs/>
        </w:rPr>
      </w:pPr>
      <w:r w:rsidRPr="002B0E12">
        <w:rPr>
          <w:rFonts w:ascii="Arial" w:hAnsi="Arial" w:cs="Arial"/>
          <w:b/>
          <w:iCs/>
        </w:rPr>
        <w:t>2.</w:t>
      </w:r>
      <w:r w:rsidR="0048694B">
        <w:rPr>
          <w:rFonts w:ascii="Arial" w:hAnsi="Arial" w:cs="Arial"/>
          <w:b/>
          <w:iCs/>
        </w:rPr>
        <w:t>7</w:t>
      </w:r>
      <w:r w:rsidRPr="002B0E12">
        <w:rPr>
          <w:rFonts w:ascii="Arial" w:hAnsi="Arial" w:cs="Arial"/>
          <w:b/>
          <w:iCs/>
        </w:rPr>
        <w:t xml:space="preserve"> </w:t>
      </w:r>
      <w:r w:rsidR="00B72A9F" w:rsidRPr="002B0E12">
        <w:rPr>
          <w:rFonts w:ascii="Arial" w:hAnsi="Arial" w:cs="Arial"/>
          <w:b/>
          <w:iCs/>
        </w:rPr>
        <w:t>R</w:t>
      </w:r>
      <w:r w:rsidR="001C6DD7" w:rsidRPr="002B0E12">
        <w:rPr>
          <w:rFonts w:ascii="Arial" w:hAnsi="Arial" w:cs="Arial"/>
          <w:b/>
          <w:iCs/>
        </w:rPr>
        <w:t xml:space="preserve">ed blood cells (RBC) </w:t>
      </w:r>
      <w:r w:rsidR="00B72A9F" w:rsidRPr="002B0E12">
        <w:rPr>
          <w:rFonts w:ascii="Arial" w:hAnsi="Arial" w:cs="Arial"/>
          <w:b/>
          <w:iCs/>
        </w:rPr>
        <w:t>fatty acids profile</w:t>
      </w:r>
    </w:p>
    <w:p w14:paraId="0E13829F" w14:textId="7349CC66" w:rsidR="001C6DD7" w:rsidRPr="002B0E12" w:rsidRDefault="00B72A9F" w:rsidP="004112D6">
      <w:pPr>
        <w:widowControl w:val="0"/>
        <w:tabs>
          <w:tab w:val="left" w:pos="709"/>
          <w:tab w:val="left" w:pos="7230"/>
        </w:tabs>
        <w:spacing w:after="0" w:line="360" w:lineRule="auto"/>
        <w:jc w:val="both"/>
        <w:rPr>
          <w:rFonts w:ascii="Arial" w:hAnsi="Arial" w:cs="Arial"/>
          <w:shd w:val="clear" w:color="auto" w:fill="FFFFFF"/>
        </w:rPr>
      </w:pPr>
      <w:r w:rsidRPr="002B0E12">
        <w:rPr>
          <w:rFonts w:ascii="Arial" w:hAnsi="Arial" w:cs="Arial"/>
          <w:shd w:val="clear" w:color="auto" w:fill="FFFFFF"/>
        </w:rPr>
        <w:tab/>
      </w:r>
      <w:r w:rsidR="006D150B" w:rsidRPr="002B0E12">
        <w:rPr>
          <w:rFonts w:ascii="Arial" w:hAnsi="Arial" w:cs="Arial"/>
          <w:shd w:val="clear" w:color="auto" w:fill="FFFFFF"/>
        </w:rPr>
        <w:t>RBCs for fatty acid profile were done</w:t>
      </w:r>
      <w:r w:rsidR="004E4297" w:rsidRPr="002B0E12">
        <w:rPr>
          <w:rFonts w:ascii="Arial" w:hAnsi="Arial" w:cs="Arial"/>
          <w:shd w:val="clear" w:color="auto" w:fill="FFFFFF"/>
        </w:rPr>
        <w:t>.</w:t>
      </w:r>
      <w:r w:rsidR="006D150B" w:rsidRPr="002B0E12">
        <w:rPr>
          <w:rFonts w:ascii="Arial" w:hAnsi="Arial" w:cs="Arial"/>
          <w:shd w:val="clear" w:color="auto" w:fill="FFFFFF"/>
        </w:rPr>
        <w:t xml:space="preserve"> RBCs </w:t>
      </w:r>
      <w:r w:rsidR="001C6DD7" w:rsidRPr="002B0E12">
        <w:rPr>
          <w:rFonts w:ascii="Arial" w:hAnsi="Arial" w:cs="Arial"/>
          <w:shd w:val="clear" w:color="auto" w:fill="FFFFFF"/>
        </w:rPr>
        <w:t xml:space="preserve">were separated from the blood samples and kept at -20°C till further analysis. </w:t>
      </w:r>
      <w:r w:rsidRPr="002B0E12">
        <w:rPr>
          <w:rFonts w:ascii="Arial" w:hAnsi="Arial" w:cs="Arial"/>
          <w:shd w:val="clear" w:color="auto" w:fill="FFFFFF"/>
        </w:rPr>
        <w:t>Total lipids were extracted from RBCs (</w:t>
      </w:r>
      <w:proofErr w:type="spellStart"/>
      <w:r w:rsidR="00EE17D6" w:rsidRPr="002B0E12">
        <w:rPr>
          <w:rFonts w:ascii="Arial" w:hAnsi="Arial" w:cs="Arial"/>
          <w:shd w:val="clear" w:color="auto" w:fill="FFFFFF"/>
        </w:rPr>
        <w:t>Peuchant</w:t>
      </w:r>
      <w:proofErr w:type="spellEnd"/>
      <w:r w:rsidRPr="002B0E12">
        <w:rPr>
          <w:rFonts w:ascii="Arial" w:hAnsi="Arial" w:cs="Arial"/>
          <w:shd w:val="clear" w:color="auto" w:fill="FFFFFF"/>
        </w:rPr>
        <w:t xml:space="preserve"> et al. </w:t>
      </w:r>
      <w:r w:rsidR="00EE17D6" w:rsidRPr="002B0E12">
        <w:rPr>
          <w:rFonts w:ascii="Arial" w:hAnsi="Arial" w:cs="Arial"/>
          <w:shd w:val="clear" w:color="auto" w:fill="FFFFFF"/>
        </w:rPr>
        <w:lastRenderedPageBreak/>
        <w:t>1989</w:t>
      </w:r>
      <w:r w:rsidRPr="002B0E12">
        <w:rPr>
          <w:rFonts w:ascii="Arial" w:hAnsi="Arial" w:cs="Arial"/>
          <w:shd w:val="clear" w:color="auto" w:fill="FFFFFF"/>
        </w:rPr>
        <w:t xml:space="preserve">) and fatty acid analysis was </w:t>
      </w:r>
      <w:r w:rsidR="001C6DD7" w:rsidRPr="002B0E12">
        <w:rPr>
          <w:rFonts w:ascii="Arial" w:hAnsi="Arial" w:cs="Arial"/>
          <w:shd w:val="clear" w:color="auto" w:fill="FFFFFF"/>
        </w:rPr>
        <w:t xml:space="preserve">performed </w:t>
      </w:r>
      <w:r w:rsidRPr="002B0E12">
        <w:rPr>
          <w:rFonts w:ascii="Arial" w:hAnsi="Arial" w:cs="Arial"/>
          <w:shd w:val="clear" w:color="auto" w:fill="FFFFFF"/>
        </w:rPr>
        <w:t>using Gas Liquid Chromatograph with Flame Ionization Detector (GC-FID-Shimadzu, 2010 Plus AF model)</w:t>
      </w:r>
      <w:r w:rsidR="001C6DD7" w:rsidRPr="002B0E12">
        <w:rPr>
          <w:rFonts w:ascii="Arial" w:hAnsi="Arial" w:cs="Arial"/>
          <w:shd w:val="clear" w:color="auto" w:fill="FFFFFF"/>
        </w:rPr>
        <w:t xml:space="preserve"> at </w:t>
      </w:r>
      <w:r w:rsidRPr="002B0E12">
        <w:rPr>
          <w:rFonts w:ascii="Arial" w:hAnsi="Arial" w:cs="Arial"/>
          <w:shd w:val="clear" w:color="auto" w:fill="FFFFFF"/>
        </w:rPr>
        <w:t xml:space="preserve">New Delhi-based </w:t>
      </w:r>
      <w:proofErr w:type="spellStart"/>
      <w:r w:rsidRPr="002B0E12">
        <w:rPr>
          <w:rFonts w:ascii="Arial" w:hAnsi="Arial" w:cs="Arial"/>
          <w:shd w:val="clear" w:color="auto" w:fill="FFFFFF"/>
        </w:rPr>
        <w:t>Lipomic</w:t>
      </w:r>
      <w:proofErr w:type="spellEnd"/>
      <w:r w:rsidRPr="002B0E12">
        <w:rPr>
          <w:rFonts w:ascii="Arial" w:hAnsi="Arial" w:cs="Arial"/>
          <w:shd w:val="clear" w:color="auto" w:fill="FFFFFF"/>
        </w:rPr>
        <w:t xml:space="preserve"> Healthcare Pvt. Ltd.</w:t>
      </w:r>
    </w:p>
    <w:p w14:paraId="01CA27B1" w14:textId="1278B1E3" w:rsidR="00A670F0" w:rsidRPr="002B0E12" w:rsidRDefault="00A670F0" w:rsidP="004112D6">
      <w:pPr>
        <w:widowControl w:val="0"/>
        <w:tabs>
          <w:tab w:val="left" w:pos="709"/>
          <w:tab w:val="left" w:pos="7230"/>
        </w:tabs>
        <w:spacing w:after="0" w:line="360" w:lineRule="auto"/>
        <w:jc w:val="both"/>
        <w:rPr>
          <w:rFonts w:ascii="Arial" w:hAnsi="Arial" w:cs="Arial"/>
          <w:shd w:val="clear" w:color="auto" w:fill="FFFFFF"/>
        </w:rPr>
      </w:pPr>
      <w:r w:rsidRPr="002B0E12">
        <w:rPr>
          <w:rFonts w:ascii="Arial" w:hAnsi="Arial" w:cs="Arial"/>
          <w:shd w:val="clear" w:color="auto" w:fill="FFFFFF"/>
        </w:rPr>
        <w:tab/>
      </w:r>
      <w:r w:rsidRPr="002B0E12">
        <w:rPr>
          <w:rFonts w:ascii="Arial" w:hAnsi="Arial" w:cs="Arial"/>
        </w:rPr>
        <w:t xml:space="preserve">The Omega-3 Index was calculated as the sum of </w:t>
      </w:r>
      <w:proofErr w:type="spellStart"/>
      <w:r w:rsidRPr="002B0E12">
        <w:rPr>
          <w:rFonts w:ascii="Arial" w:hAnsi="Arial" w:cs="Arial"/>
        </w:rPr>
        <w:t>eicosapentaenoic</w:t>
      </w:r>
      <w:proofErr w:type="spellEnd"/>
      <w:r w:rsidRPr="002B0E12">
        <w:rPr>
          <w:rFonts w:ascii="Arial" w:hAnsi="Arial" w:cs="Arial"/>
        </w:rPr>
        <w:t xml:space="preserve"> acid (EPA) and docosahexaenoic acid (DHA) expressed as a percentage of total fatty acids in red blood cell</w:t>
      </w:r>
      <w:r w:rsidR="0007780B" w:rsidRPr="002B0E12">
        <w:rPr>
          <w:rFonts w:ascii="Arial" w:hAnsi="Arial" w:cs="Arial"/>
        </w:rPr>
        <w:t>s</w:t>
      </w:r>
      <w:r w:rsidRPr="002B0E12">
        <w:rPr>
          <w:rFonts w:ascii="Arial" w:hAnsi="Arial" w:cs="Arial"/>
        </w:rPr>
        <w:t xml:space="preserve">.  The activity of Δ-5 desaturase (D5D) and Δ-6 desaturase (D6D) were </w:t>
      </w:r>
      <w:r w:rsidR="0007780B" w:rsidRPr="002B0E12">
        <w:rPr>
          <w:rFonts w:ascii="Arial" w:hAnsi="Arial" w:cs="Arial"/>
        </w:rPr>
        <w:t xml:space="preserve">calculated </w:t>
      </w:r>
      <w:r w:rsidRPr="002B0E12">
        <w:rPr>
          <w:rFonts w:ascii="Arial" w:hAnsi="Arial" w:cs="Arial"/>
        </w:rPr>
        <w:t xml:space="preserve">indirectly by measuring the precursor-to-product ratios of fatty acids. The activity of D5D was estimated as the ratio of arachidonic acid (AA) to </w:t>
      </w:r>
      <w:proofErr w:type="spellStart"/>
      <w:r w:rsidRPr="002B0E12">
        <w:rPr>
          <w:rFonts w:ascii="Arial" w:hAnsi="Arial" w:cs="Arial"/>
        </w:rPr>
        <w:t>dihomo</w:t>
      </w:r>
      <w:proofErr w:type="spellEnd"/>
      <w:r w:rsidRPr="002B0E12">
        <w:rPr>
          <w:rFonts w:ascii="Arial" w:hAnsi="Arial" w:cs="Arial"/>
        </w:rPr>
        <w:t xml:space="preserve">-gamma-linolenic acid (DGLA), while the activity of D6D was </w:t>
      </w:r>
      <w:r w:rsidR="0007780B" w:rsidRPr="002B0E12">
        <w:rPr>
          <w:rFonts w:ascii="Arial" w:hAnsi="Arial" w:cs="Arial"/>
        </w:rPr>
        <w:t xml:space="preserve">calculated </w:t>
      </w:r>
      <w:r w:rsidRPr="002B0E12">
        <w:rPr>
          <w:rFonts w:ascii="Arial" w:hAnsi="Arial" w:cs="Arial"/>
        </w:rPr>
        <w:t>as the ratio of gamma-linolenic acid (GLA) to linoleic acid (LA).</w:t>
      </w:r>
    </w:p>
    <w:p w14:paraId="1D86D3BF" w14:textId="61310D6B" w:rsidR="00B72A9F" w:rsidRPr="002B0E12" w:rsidRDefault="00D461F2" w:rsidP="004112D6">
      <w:pPr>
        <w:widowControl w:val="0"/>
        <w:tabs>
          <w:tab w:val="left" w:pos="993"/>
        </w:tabs>
        <w:spacing w:after="0" w:line="360" w:lineRule="auto"/>
        <w:jc w:val="both"/>
        <w:rPr>
          <w:rFonts w:ascii="Arial" w:hAnsi="Arial" w:cs="Arial"/>
          <w:b/>
          <w:iCs/>
        </w:rPr>
      </w:pPr>
      <w:r w:rsidRPr="002B0E12">
        <w:rPr>
          <w:rFonts w:ascii="Arial" w:hAnsi="Arial" w:cs="Arial"/>
          <w:b/>
          <w:iCs/>
        </w:rPr>
        <w:t>2.</w:t>
      </w:r>
      <w:r w:rsidR="0048694B">
        <w:rPr>
          <w:rFonts w:ascii="Arial" w:hAnsi="Arial" w:cs="Arial"/>
          <w:b/>
          <w:iCs/>
        </w:rPr>
        <w:t>8</w:t>
      </w:r>
      <w:r w:rsidRPr="002B0E12">
        <w:rPr>
          <w:rFonts w:ascii="Arial" w:hAnsi="Arial" w:cs="Arial"/>
          <w:b/>
          <w:iCs/>
        </w:rPr>
        <w:t xml:space="preserve"> </w:t>
      </w:r>
      <w:r w:rsidR="00B72A9F" w:rsidRPr="002B0E12">
        <w:rPr>
          <w:rFonts w:ascii="Arial" w:hAnsi="Arial" w:cs="Arial"/>
          <w:b/>
          <w:iCs/>
        </w:rPr>
        <w:t>Statistical analysis</w:t>
      </w:r>
    </w:p>
    <w:p w14:paraId="404A2351" w14:textId="576F151B" w:rsidR="00EB5E06" w:rsidRPr="002B0E12" w:rsidRDefault="00F253E5" w:rsidP="004112D6">
      <w:pPr>
        <w:tabs>
          <w:tab w:val="left" w:pos="0"/>
        </w:tabs>
        <w:spacing w:after="0" w:line="360" w:lineRule="auto"/>
        <w:jc w:val="both"/>
        <w:rPr>
          <w:rFonts w:ascii="Arial" w:hAnsi="Arial" w:cs="Arial"/>
        </w:rPr>
      </w:pPr>
      <w:r w:rsidRPr="002B0E12">
        <w:rPr>
          <w:rFonts w:ascii="Arial" w:hAnsi="Arial" w:cs="Arial"/>
        </w:rPr>
        <w:tab/>
      </w:r>
      <w:r w:rsidR="009C39CD" w:rsidRPr="002B0E12">
        <w:rPr>
          <w:rFonts w:ascii="Arial" w:hAnsi="Arial" w:cs="Arial"/>
        </w:rPr>
        <w:t>O</w:t>
      </w:r>
      <w:r w:rsidR="00B72A9F" w:rsidRPr="002B0E12">
        <w:rPr>
          <w:rFonts w:ascii="Arial" w:hAnsi="Arial" w:cs="Arial"/>
        </w:rPr>
        <w:t>ne</w:t>
      </w:r>
      <w:r w:rsidR="006F20CD" w:rsidRPr="002B0E12">
        <w:rPr>
          <w:rFonts w:ascii="Arial" w:hAnsi="Arial" w:cs="Arial"/>
        </w:rPr>
        <w:t>-</w:t>
      </w:r>
      <w:r w:rsidR="00B72A9F" w:rsidRPr="002B0E12">
        <w:rPr>
          <w:rFonts w:ascii="Arial" w:hAnsi="Arial" w:cs="Arial"/>
        </w:rPr>
        <w:t>way ANOVA</w:t>
      </w:r>
      <w:r w:rsidR="009C39CD" w:rsidRPr="002B0E12">
        <w:rPr>
          <w:rFonts w:ascii="Arial" w:hAnsi="Arial" w:cs="Arial"/>
        </w:rPr>
        <w:t xml:space="preserve"> was </w:t>
      </w:r>
      <w:r w:rsidR="00B72A9F" w:rsidRPr="002B0E12">
        <w:rPr>
          <w:rFonts w:ascii="Arial" w:hAnsi="Arial" w:cs="Arial"/>
        </w:rPr>
        <w:t>used to determine</w:t>
      </w:r>
      <w:r w:rsidR="006F20CD" w:rsidRPr="002B0E12">
        <w:rPr>
          <w:rFonts w:ascii="Arial" w:hAnsi="Arial" w:cs="Arial"/>
        </w:rPr>
        <w:t xml:space="preserve"> significant </w:t>
      </w:r>
      <w:r w:rsidR="00B72A9F" w:rsidRPr="002B0E12">
        <w:rPr>
          <w:rFonts w:ascii="Arial" w:hAnsi="Arial" w:cs="Arial"/>
        </w:rPr>
        <w:t xml:space="preserve">differences in </w:t>
      </w:r>
      <w:r w:rsidR="006F20CD" w:rsidRPr="002B0E12">
        <w:rPr>
          <w:rFonts w:ascii="Arial" w:hAnsi="Arial" w:cs="Arial"/>
        </w:rPr>
        <w:t xml:space="preserve">the tested parameters. </w:t>
      </w:r>
      <w:r w:rsidR="00B72A9F" w:rsidRPr="002B0E12">
        <w:rPr>
          <w:rFonts w:ascii="Arial" w:hAnsi="Arial" w:cs="Arial"/>
        </w:rPr>
        <w:t>The mean and standard deviations for the different parameters were calculated using Microsoft Excel-2010 version. Student</w:t>
      </w:r>
      <w:r w:rsidR="00AE14B8" w:rsidRPr="002B0E12">
        <w:rPr>
          <w:rFonts w:ascii="Arial" w:hAnsi="Arial" w:cs="Arial"/>
        </w:rPr>
        <w:t>’</w:t>
      </w:r>
      <w:r w:rsidR="00B72A9F" w:rsidRPr="002B0E12">
        <w:rPr>
          <w:rFonts w:ascii="Arial" w:hAnsi="Arial" w:cs="Arial"/>
        </w:rPr>
        <w:t xml:space="preserve">s t-test (un-paired) was utilized to compare the </w:t>
      </w:r>
      <w:proofErr w:type="spellStart"/>
      <w:r w:rsidR="00B72A9F" w:rsidRPr="002B0E12">
        <w:rPr>
          <w:rFonts w:ascii="Arial" w:hAnsi="Arial" w:cs="Arial"/>
        </w:rPr>
        <w:t>MetS</w:t>
      </w:r>
      <w:proofErr w:type="spellEnd"/>
      <w:r w:rsidR="00B72A9F" w:rsidRPr="002B0E12">
        <w:rPr>
          <w:rFonts w:ascii="Arial" w:hAnsi="Arial" w:cs="Arial"/>
        </w:rPr>
        <w:t xml:space="preserve"> of men and women from urban and rural areas for anthropometric parameters, dietary intake, nutrient intake, lipid profile, and fasting blood glucose. The </w:t>
      </w:r>
      <w:r w:rsidR="0000023D" w:rsidRPr="002B0E12">
        <w:rPr>
          <w:rFonts w:ascii="Arial" w:hAnsi="Arial" w:cs="Arial"/>
        </w:rPr>
        <w:t xml:space="preserve">Pearson </w:t>
      </w:r>
      <w:r w:rsidR="00B72A9F" w:rsidRPr="002B0E12">
        <w:rPr>
          <w:rFonts w:ascii="Arial" w:hAnsi="Arial" w:cs="Arial"/>
        </w:rPr>
        <w:t xml:space="preserve">correlation coefficients </w:t>
      </w:r>
      <w:r w:rsidR="00AE14B8" w:rsidRPr="002B0E12">
        <w:rPr>
          <w:rFonts w:ascii="Arial" w:hAnsi="Arial" w:cs="Arial"/>
        </w:rPr>
        <w:t>I</w:t>
      </w:r>
      <w:r w:rsidR="00B72A9F" w:rsidRPr="002B0E12">
        <w:rPr>
          <w:rFonts w:ascii="Arial" w:hAnsi="Arial" w:cs="Arial"/>
        </w:rPr>
        <w:t xml:space="preserve"> were calculated to ascertain the associations between different parameters.</w:t>
      </w:r>
    </w:p>
    <w:p w14:paraId="00AF0BE1" w14:textId="60938CC0" w:rsidR="001A4ADA" w:rsidRPr="002B0E12" w:rsidRDefault="001A4ADA" w:rsidP="00D461F2">
      <w:pPr>
        <w:pStyle w:val="ListParagraph"/>
        <w:numPr>
          <w:ilvl w:val="0"/>
          <w:numId w:val="7"/>
        </w:numPr>
        <w:tabs>
          <w:tab w:val="left" w:pos="6521"/>
        </w:tabs>
        <w:spacing w:after="0" w:line="360" w:lineRule="auto"/>
        <w:ind w:left="426"/>
        <w:jc w:val="both"/>
        <w:rPr>
          <w:rFonts w:ascii="Arial" w:hAnsi="Arial" w:cs="Arial"/>
          <w:b/>
        </w:rPr>
      </w:pPr>
      <w:r w:rsidRPr="002B0E12">
        <w:rPr>
          <w:rFonts w:ascii="Arial" w:hAnsi="Arial" w:cs="Arial"/>
          <w:b/>
        </w:rPr>
        <w:t xml:space="preserve">RESULTS </w:t>
      </w:r>
      <w:r w:rsidR="0015682B" w:rsidRPr="002B0E12">
        <w:rPr>
          <w:rFonts w:ascii="Arial" w:hAnsi="Arial" w:cs="Arial"/>
          <w:b/>
        </w:rPr>
        <w:t>AND DISCUSSION</w:t>
      </w:r>
    </w:p>
    <w:p w14:paraId="566768A4" w14:textId="3D29BC8D" w:rsidR="001A4ADA" w:rsidRPr="002B0E12" w:rsidRDefault="0072112D" w:rsidP="004112D6">
      <w:pPr>
        <w:autoSpaceDE w:val="0"/>
        <w:autoSpaceDN w:val="0"/>
        <w:adjustRightInd w:val="0"/>
        <w:spacing w:after="0" w:line="360" w:lineRule="auto"/>
        <w:ind w:firstLine="720"/>
        <w:jc w:val="both"/>
        <w:rPr>
          <w:rFonts w:ascii="Arial" w:hAnsi="Arial" w:cs="Arial"/>
          <w:shd w:val="clear" w:color="auto" w:fill="FFFFFF"/>
        </w:rPr>
      </w:pPr>
      <w:r w:rsidRPr="002B0E12">
        <w:rPr>
          <w:rFonts w:ascii="Arial" w:hAnsi="Arial" w:cs="Arial"/>
        </w:rPr>
        <w:t xml:space="preserve">The prevalence of risk factors for </w:t>
      </w:r>
      <w:proofErr w:type="spellStart"/>
      <w:r w:rsidRPr="002B0E12">
        <w:rPr>
          <w:rFonts w:ascii="Arial" w:hAnsi="Arial" w:cs="Arial"/>
        </w:rPr>
        <w:t>MetS</w:t>
      </w:r>
      <w:proofErr w:type="spellEnd"/>
      <w:r w:rsidRPr="002B0E12">
        <w:rPr>
          <w:rFonts w:ascii="Arial" w:hAnsi="Arial" w:cs="Arial"/>
        </w:rPr>
        <w:t xml:space="preserve"> was conducted from a random survey of one hundred and one urban and rural participants (</w:t>
      </w:r>
      <w:r w:rsidR="00163FD8" w:rsidRPr="002B0E12">
        <w:rPr>
          <w:rFonts w:ascii="Arial" w:hAnsi="Arial" w:cs="Arial"/>
        </w:rPr>
        <w:t>54</w:t>
      </w:r>
      <w:r w:rsidRPr="002B0E12">
        <w:rPr>
          <w:rFonts w:ascii="Arial" w:hAnsi="Arial" w:cs="Arial"/>
        </w:rPr>
        <w:t xml:space="preserve"> men and </w:t>
      </w:r>
      <w:r w:rsidR="00163FD8" w:rsidRPr="002B0E12">
        <w:rPr>
          <w:rFonts w:ascii="Arial" w:hAnsi="Arial" w:cs="Arial"/>
        </w:rPr>
        <w:t>46</w:t>
      </w:r>
      <w:r w:rsidRPr="002B0E12">
        <w:rPr>
          <w:rFonts w:ascii="Arial" w:hAnsi="Arial" w:cs="Arial"/>
        </w:rPr>
        <w:t xml:space="preserve"> women). The average age of all the participants, both urban and rural </w:t>
      </w:r>
      <w:r w:rsidR="001A4ADA" w:rsidRPr="002B0E12">
        <w:rPr>
          <w:rFonts w:ascii="Arial" w:hAnsi="Arial" w:cs="Arial"/>
        </w:rPr>
        <w:t>ranged from 43</w:t>
      </w:r>
      <w:r w:rsidR="001563F2" w:rsidRPr="002B0E12">
        <w:rPr>
          <w:rFonts w:ascii="Arial" w:hAnsi="Arial" w:cs="Arial"/>
        </w:rPr>
        <w:t>.36 to 47.56 years.</w:t>
      </w:r>
      <w:r w:rsidR="001A4ADA" w:rsidRPr="002B0E12">
        <w:rPr>
          <w:rFonts w:ascii="Arial" w:hAnsi="Arial" w:cs="Arial"/>
          <w:shd w:val="clear" w:color="auto" w:fill="FFFFFF"/>
        </w:rPr>
        <w:t xml:space="preserve"> </w:t>
      </w:r>
      <w:r w:rsidR="002D5DD9" w:rsidRPr="002B0E12">
        <w:rPr>
          <w:rFonts w:ascii="Arial" w:hAnsi="Arial" w:cs="Arial"/>
          <w:shd w:val="clear" w:color="auto" w:fill="FFFFFF"/>
        </w:rPr>
        <w:t>T</w:t>
      </w:r>
      <w:r w:rsidR="001A4ADA" w:rsidRPr="002B0E12">
        <w:rPr>
          <w:rFonts w:ascii="Arial" w:hAnsi="Arial" w:cs="Arial"/>
          <w:shd w:val="clear" w:color="auto" w:fill="FFFFFF"/>
        </w:rPr>
        <w:t>he NCEP-ATP</w:t>
      </w:r>
      <w:r w:rsidR="001563F2" w:rsidRPr="002B0E12">
        <w:rPr>
          <w:rFonts w:ascii="Arial" w:hAnsi="Arial" w:cs="Arial"/>
          <w:shd w:val="clear" w:color="auto" w:fill="FFFFFF"/>
        </w:rPr>
        <w:t xml:space="preserve"> III (2001) criteria based on </w:t>
      </w:r>
      <w:r w:rsidR="002D5DD9" w:rsidRPr="002B0E12">
        <w:rPr>
          <w:rFonts w:ascii="Arial" w:hAnsi="Arial" w:cs="Arial"/>
          <w:shd w:val="clear" w:color="auto" w:fill="FFFFFF"/>
        </w:rPr>
        <w:t>three</w:t>
      </w:r>
      <w:r w:rsidR="001563F2" w:rsidRPr="002B0E12">
        <w:rPr>
          <w:rFonts w:ascii="Arial" w:hAnsi="Arial" w:cs="Arial"/>
          <w:shd w:val="clear" w:color="auto" w:fill="FFFFFF"/>
        </w:rPr>
        <w:t xml:space="preserve"> metabolic risk factors </w:t>
      </w:r>
      <w:r w:rsidR="008C4DE8" w:rsidRPr="002B0E12">
        <w:rPr>
          <w:rFonts w:ascii="Arial" w:hAnsi="Arial" w:cs="Arial"/>
          <w:shd w:val="clear" w:color="auto" w:fill="FFFFFF"/>
        </w:rPr>
        <w:t xml:space="preserve">was used </w:t>
      </w:r>
      <w:r w:rsidR="001563F2" w:rsidRPr="002B0E12">
        <w:rPr>
          <w:rFonts w:ascii="Arial" w:hAnsi="Arial" w:cs="Arial"/>
          <w:shd w:val="clear" w:color="auto" w:fill="FFFFFF"/>
        </w:rPr>
        <w:t>to select random</w:t>
      </w:r>
      <w:r w:rsidR="001A4ADA" w:rsidRPr="002B0E12">
        <w:rPr>
          <w:rFonts w:ascii="Arial" w:hAnsi="Arial" w:cs="Arial"/>
          <w:shd w:val="clear" w:color="auto" w:fill="FFFFFF"/>
        </w:rPr>
        <w:t xml:space="preserve"> population of 100 </w:t>
      </w:r>
      <w:r w:rsidR="008C4DE8" w:rsidRPr="002B0E12">
        <w:rPr>
          <w:rFonts w:ascii="Arial" w:hAnsi="Arial" w:cs="Arial"/>
          <w:shd w:val="clear" w:color="auto" w:fill="FFFFFF"/>
        </w:rPr>
        <w:t>participants (</w:t>
      </w:r>
      <w:r w:rsidR="001563F2" w:rsidRPr="002B0E12">
        <w:rPr>
          <w:rFonts w:ascii="Arial" w:hAnsi="Arial" w:cs="Arial"/>
          <w:shd w:val="clear" w:color="auto" w:fill="FFFFFF"/>
        </w:rPr>
        <w:t>54 men and 46 women</w:t>
      </w:r>
      <w:r w:rsidR="008C4DE8" w:rsidRPr="002B0E12">
        <w:rPr>
          <w:rFonts w:ascii="Arial" w:hAnsi="Arial" w:cs="Arial"/>
          <w:shd w:val="clear" w:color="auto" w:fill="FFFFFF"/>
        </w:rPr>
        <w:t>)</w:t>
      </w:r>
      <w:r w:rsidR="001563F2" w:rsidRPr="002B0E12">
        <w:rPr>
          <w:rFonts w:ascii="Arial" w:hAnsi="Arial" w:cs="Arial"/>
          <w:shd w:val="clear" w:color="auto" w:fill="FFFFFF"/>
        </w:rPr>
        <w:t xml:space="preserve"> </w:t>
      </w:r>
      <w:r w:rsidR="001A4ADA" w:rsidRPr="002B0E12">
        <w:rPr>
          <w:rFonts w:ascii="Arial" w:hAnsi="Arial" w:cs="Arial"/>
          <w:shd w:val="clear" w:color="auto" w:fill="FFFFFF"/>
        </w:rPr>
        <w:t xml:space="preserve">with </w:t>
      </w:r>
      <w:proofErr w:type="spellStart"/>
      <w:r w:rsidR="001A4ADA" w:rsidRPr="002B0E12">
        <w:rPr>
          <w:rFonts w:ascii="Arial" w:hAnsi="Arial" w:cs="Arial"/>
          <w:shd w:val="clear" w:color="auto" w:fill="FFFFFF"/>
        </w:rPr>
        <w:t>MetS</w:t>
      </w:r>
      <w:proofErr w:type="spellEnd"/>
      <w:r w:rsidR="001A4ADA" w:rsidRPr="002B0E12">
        <w:rPr>
          <w:rFonts w:ascii="Arial" w:hAnsi="Arial" w:cs="Arial"/>
          <w:shd w:val="clear" w:color="auto" w:fill="FFFFFF"/>
        </w:rPr>
        <w:t xml:space="preserve"> from </w:t>
      </w:r>
      <w:r w:rsidR="001563F2" w:rsidRPr="002B0E12">
        <w:rPr>
          <w:rFonts w:ascii="Arial" w:hAnsi="Arial" w:cs="Arial"/>
          <w:shd w:val="clear" w:color="auto" w:fill="FFFFFF"/>
        </w:rPr>
        <w:t xml:space="preserve">urban and rural areas of </w:t>
      </w:r>
      <w:r w:rsidR="001A4ADA" w:rsidRPr="002B0E12">
        <w:rPr>
          <w:rFonts w:ascii="Arial" w:hAnsi="Arial" w:cs="Arial"/>
          <w:shd w:val="clear" w:color="auto" w:fill="FFFFFF"/>
        </w:rPr>
        <w:t>Ludhiana district</w:t>
      </w:r>
      <w:r w:rsidR="001563F2" w:rsidRPr="002B0E12">
        <w:rPr>
          <w:rFonts w:ascii="Arial" w:hAnsi="Arial" w:cs="Arial"/>
          <w:shd w:val="clear" w:color="auto" w:fill="FFFFFF"/>
        </w:rPr>
        <w:t>.</w:t>
      </w:r>
    </w:p>
    <w:p w14:paraId="5826345E" w14:textId="0793B92F" w:rsidR="001A4ADA" w:rsidRPr="002B0E12" w:rsidRDefault="00D461F2" w:rsidP="004112D6">
      <w:pPr>
        <w:tabs>
          <w:tab w:val="left" w:pos="5954"/>
        </w:tabs>
        <w:spacing w:after="0" w:line="360" w:lineRule="auto"/>
        <w:jc w:val="both"/>
        <w:rPr>
          <w:rFonts w:ascii="Arial" w:hAnsi="Arial" w:cs="Arial"/>
          <w:b/>
        </w:rPr>
      </w:pPr>
      <w:r w:rsidRPr="002B0E12">
        <w:rPr>
          <w:rFonts w:ascii="Arial" w:hAnsi="Arial" w:cs="Arial"/>
          <w:b/>
        </w:rPr>
        <w:t xml:space="preserve">3.1 </w:t>
      </w:r>
      <w:r w:rsidR="001A4ADA" w:rsidRPr="002B0E12">
        <w:rPr>
          <w:rFonts w:ascii="Arial" w:hAnsi="Arial" w:cs="Arial"/>
          <w:b/>
        </w:rPr>
        <w:t>Overweight/Obesity</w:t>
      </w:r>
    </w:p>
    <w:p w14:paraId="4CB3E8D1" w14:textId="6AED6E02" w:rsidR="001A4ADA" w:rsidRPr="002B0E12" w:rsidRDefault="005C62DB" w:rsidP="004112D6">
      <w:pPr>
        <w:pStyle w:val="NormalWeb"/>
        <w:spacing w:before="0" w:beforeAutospacing="0" w:after="0" w:afterAutospacing="0" w:line="360" w:lineRule="auto"/>
        <w:ind w:firstLine="720"/>
        <w:jc w:val="both"/>
        <w:rPr>
          <w:rFonts w:ascii="Arial" w:hAnsi="Arial" w:cs="Arial"/>
          <w:sz w:val="22"/>
          <w:szCs w:val="22"/>
        </w:rPr>
      </w:pPr>
      <w:r w:rsidRPr="002B0E12">
        <w:rPr>
          <w:rFonts w:ascii="Arial" w:hAnsi="Arial" w:cs="Arial"/>
          <w:bCs/>
          <w:sz w:val="22"/>
          <w:szCs w:val="22"/>
        </w:rPr>
        <w:t xml:space="preserve">The </w:t>
      </w:r>
      <w:r w:rsidR="006A2891" w:rsidRPr="002B0E12">
        <w:rPr>
          <w:rFonts w:ascii="Arial" w:hAnsi="Arial" w:cs="Arial"/>
          <w:bCs/>
          <w:sz w:val="22"/>
          <w:szCs w:val="22"/>
        </w:rPr>
        <w:t xml:space="preserve">respective </w:t>
      </w:r>
      <w:r w:rsidRPr="002B0E12">
        <w:rPr>
          <w:rFonts w:ascii="Arial" w:hAnsi="Arial" w:cs="Arial"/>
          <w:bCs/>
          <w:sz w:val="22"/>
          <w:szCs w:val="22"/>
        </w:rPr>
        <w:t>w</w:t>
      </w:r>
      <w:r w:rsidR="006A2891" w:rsidRPr="002B0E12">
        <w:rPr>
          <w:rFonts w:ascii="Arial" w:hAnsi="Arial" w:cs="Arial"/>
          <w:bCs/>
          <w:sz w:val="22"/>
          <w:szCs w:val="22"/>
        </w:rPr>
        <w:t>aist</w:t>
      </w:r>
      <w:r w:rsidR="001A4ADA" w:rsidRPr="002B0E12">
        <w:rPr>
          <w:rFonts w:ascii="Arial" w:hAnsi="Arial" w:cs="Arial"/>
          <w:sz w:val="22"/>
          <w:szCs w:val="22"/>
        </w:rPr>
        <w:t xml:space="preserve"> circumferences for both urban </w:t>
      </w:r>
      <w:r w:rsidR="006A2891" w:rsidRPr="002B0E12">
        <w:rPr>
          <w:rFonts w:ascii="Arial" w:hAnsi="Arial" w:cs="Arial"/>
          <w:sz w:val="22"/>
          <w:szCs w:val="22"/>
        </w:rPr>
        <w:t>(102.14</w:t>
      </w:r>
      <w:r w:rsidR="0097426F" w:rsidRPr="002B0E12">
        <w:rPr>
          <w:rFonts w:ascii="Arial" w:hAnsi="Arial" w:cs="Arial"/>
          <w:sz w:val="22"/>
          <w:szCs w:val="22"/>
        </w:rPr>
        <w:t>±1.74</w:t>
      </w:r>
      <w:r w:rsidR="006A2891" w:rsidRPr="002B0E12">
        <w:rPr>
          <w:rFonts w:ascii="Arial" w:hAnsi="Arial" w:cs="Arial"/>
          <w:sz w:val="22"/>
          <w:szCs w:val="22"/>
        </w:rPr>
        <w:t xml:space="preserve"> cm) </w:t>
      </w:r>
      <w:r w:rsidR="001A4ADA" w:rsidRPr="002B0E12">
        <w:rPr>
          <w:rFonts w:ascii="Arial" w:hAnsi="Arial" w:cs="Arial"/>
          <w:sz w:val="22"/>
          <w:szCs w:val="22"/>
        </w:rPr>
        <w:t xml:space="preserve">and rural men </w:t>
      </w:r>
      <w:r w:rsidR="006A2891" w:rsidRPr="002B0E12">
        <w:rPr>
          <w:rFonts w:ascii="Arial" w:hAnsi="Arial" w:cs="Arial"/>
          <w:sz w:val="22"/>
          <w:szCs w:val="22"/>
        </w:rPr>
        <w:t>(</w:t>
      </w:r>
      <w:r w:rsidR="0097426F" w:rsidRPr="002B0E12">
        <w:rPr>
          <w:rFonts w:ascii="Arial" w:hAnsi="Arial" w:cs="Arial"/>
          <w:sz w:val="22"/>
          <w:szCs w:val="22"/>
        </w:rPr>
        <w:t>102</w:t>
      </w:r>
      <w:r w:rsidR="006A2891" w:rsidRPr="002B0E12">
        <w:rPr>
          <w:rFonts w:ascii="Arial" w:hAnsi="Arial" w:cs="Arial"/>
          <w:sz w:val="22"/>
          <w:szCs w:val="22"/>
        </w:rPr>
        <w:t>.0</w:t>
      </w:r>
      <w:r w:rsidR="0097426F" w:rsidRPr="002B0E12">
        <w:rPr>
          <w:rFonts w:ascii="Arial" w:hAnsi="Arial" w:cs="Arial"/>
          <w:sz w:val="22"/>
          <w:szCs w:val="22"/>
        </w:rPr>
        <w:t>2±1.85</w:t>
      </w:r>
      <w:r w:rsidR="006A2891" w:rsidRPr="002B0E12">
        <w:rPr>
          <w:rFonts w:ascii="Arial" w:hAnsi="Arial" w:cs="Arial"/>
          <w:sz w:val="22"/>
          <w:szCs w:val="22"/>
        </w:rPr>
        <w:t xml:space="preserve"> cm) </w:t>
      </w:r>
      <w:r w:rsidR="001A4ADA" w:rsidRPr="002B0E12">
        <w:rPr>
          <w:rFonts w:ascii="Arial" w:hAnsi="Arial" w:cs="Arial"/>
          <w:sz w:val="22"/>
          <w:szCs w:val="22"/>
        </w:rPr>
        <w:t xml:space="preserve">surpassed the reference value of 94 cm (WHO 2008). </w:t>
      </w:r>
      <w:r w:rsidR="006A2891" w:rsidRPr="002B0E12">
        <w:rPr>
          <w:rFonts w:ascii="Arial" w:hAnsi="Arial" w:cs="Arial"/>
          <w:sz w:val="22"/>
          <w:szCs w:val="22"/>
        </w:rPr>
        <w:t>Both rural (94.19</w:t>
      </w:r>
      <w:r w:rsidR="0097426F" w:rsidRPr="002B0E12">
        <w:rPr>
          <w:rFonts w:ascii="Arial" w:hAnsi="Arial" w:cs="Arial"/>
          <w:sz w:val="22"/>
          <w:szCs w:val="22"/>
        </w:rPr>
        <w:t>±2.46</w:t>
      </w:r>
      <w:r w:rsidR="006A2891" w:rsidRPr="002B0E12">
        <w:rPr>
          <w:rFonts w:ascii="Arial" w:hAnsi="Arial" w:cs="Arial"/>
          <w:sz w:val="22"/>
          <w:szCs w:val="22"/>
        </w:rPr>
        <w:t xml:space="preserve"> cm) and urban (92.83</w:t>
      </w:r>
      <w:r w:rsidR="0097426F" w:rsidRPr="002B0E12">
        <w:rPr>
          <w:rFonts w:ascii="Arial" w:hAnsi="Arial" w:cs="Arial"/>
          <w:sz w:val="22"/>
          <w:szCs w:val="22"/>
        </w:rPr>
        <w:t>±1.77</w:t>
      </w:r>
      <w:r w:rsidR="006A2891" w:rsidRPr="002B0E12">
        <w:rPr>
          <w:rFonts w:ascii="Arial" w:hAnsi="Arial" w:cs="Arial"/>
          <w:sz w:val="22"/>
          <w:szCs w:val="22"/>
        </w:rPr>
        <w:t xml:space="preserve"> cm)</w:t>
      </w:r>
      <w:r w:rsidR="0097426F" w:rsidRPr="002B0E12">
        <w:rPr>
          <w:rFonts w:ascii="Arial" w:hAnsi="Arial" w:cs="Arial"/>
          <w:sz w:val="22"/>
          <w:szCs w:val="22"/>
        </w:rPr>
        <w:t xml:space="preserve"> </w:t>
      </w:r>
      <w:r w:rsidR="006A2891" w:rsidRPr="002B0E12">
        <w:rPr>
          <w:rFonts w:ascii="Arial" w:hAnsi="Arial" w:cs="Arial"/>
          <w:sz w:val="22"/>
          <w:szCs w:val="22"/>
        </w:rPr>
        <w:t>w</w:t>
      </w:r>
      <w:r w:rsidR="001A4ADA" w:rsidRPr="002B0E12">
        <w:rPr>
          <w:rFonts w:ascii="Arial" w:hAnsi="Arial" w:cs="Arial"/>
          <w:sz w:val="22"/>
          <w:szCs w:val="22"/>
        </w:rPr>
        <w:t xml:space="preserve">omen also exceeded the </w:t>
      </w:r>
      <w:r w:rsidR="006A2891" w:rsidRPr="002B0E12">
        <w:rPr>
          <w:rFonts w:ascii="Arial" w:hAnsi="Arial" w:cs="Arial"/>
          <w:sz w:val="22"/>
          <w:szCs w:val="22"/>
        </w:rPr>
        <w:t xml:space="preserve">WHO </w:t>
      </w:r>
      <w:r w:rsidR="001A4ADA" w:rsidRPr="002B0E12">
        <w:rPr>
          <w:rFonts w:ascii="Arial" w:hAnsi="Arial" w:cs="Arial"/>
          <w:sz w:val="22"/>
          <w:szCs w:val="22"/>
        </w:rPr>
        <w:t>80 cm cutoff. Urban men had significantly higher hip circumferences (104.0</w:t>
      </w:r>
      <w:r w:rsidR="0097426F" w:rsidRPr="002B0E12">
        <w:rPr>
          <w:rFonts w:ascii="Arial" w:hAnsi="Arial" w:cs="Arial"/>
          <w:sz w:val="22"/>
          <w:szCs w:val="22"/>
        </w:rPr>
        <w:t>±1.69</w:t>
      </w:r>
      <w:r w:rsidR="001A4ADA" w:rsidRPr="002B0E12">
        <w:rPr>
          <w:rFonts w:ascii="Arial" w:hAnsi="Arial" w:cs="Arial"/>
          <w:sz w:val="22"/>
          <w:szCs w:val="22"/>
        </w:rPr>
        <w:t xml:space="preserve"> cm) than rural men (99.1</w:t>
      </w:r>
      <w:r w:rsidR="0097426F" w:rsidRPr="002B0E12">
        <w:rPr>
          <w:rFonts w:ascii="Arial" w:hAnsi="Arial" w:cs="Arial"/>
          <w:sz w:val="22"/>
          <w:szCs w:val="22"/>
        </w:rPr>
        <w:t>±1.76</w:t>
      </w:r>
      <w:r w:rsidR="001A4ADA" w:rsidRPr="002B0E12">
        <w:rPr>
          <w:rFonts w:ascii="Arial" w:hAnsi="Arial" w:cs="Arial"/>
          <w:sz w:val="22"/>
          <w:szCs w:val="22"/>
        </w:rPr>
        <w:t xml:space="preserve"> cm), but no significant difference was observed in hip circumferences between urban (101.6</w:t>
      </w:r>
      <w:r w:rsidR="0097426F" w:rsidRPr="002B0E12">
        <w:rPr>
          <w:rFonts w:ascii="Arial" w:hAnsi="Arial" w:cs="Arial"/>
          <w:sz w:val="22"/>
          <w:szCs w:val="22"/>
        </w:rPr>
        <w:t>±1.71</w:t>
      </w:r>
      <w:r w:rsidR="001A4ADA" w:rsidRPr="002B0E12">
        <w:rPr>
          <w:rFonts w:ascii="Arial" w:hAnsi="Arial" w:cs="Arial"/>
          <w:sz w:val="22"/>
          <w:szCs w:val="22"/>
        </w:rPr>
        <w:t xml:space="preserve"> cm) and rural women (102.34</w:t>
      </w:r>
      <w:r w:rsidR="0097426F" w:rsidRPr="002B0E12">
        <w:rPr>
          <w:rFonts w:ascii="Arial" w:hAnsi="Arial" w:cs="Arial"/>
          <w:sz w:val="22"/>
          <w:szCs w:val="22"/>
        </w:rPr>
        <w:t>±1.37</w:t>
      </w:r>
      <w:r w:rsidR="001A4ADA" w:rsidRPr="002B0E12">
        <w:rPr>
          <w:rFonts w:ascii="Arial" w:hAnsi="Arial" w:cs="Arial"/>
          <w:sz w:val="22"/>
          <w:szCs w:val="22"/>
        </w:rPr>
        <w:t xml:space="preserve"> cm)</w:t>
      </w:r>
      <w:r w:rsidR="00407986" w:rsidRPr="002B0E12">
        <w:rPr>
          <w:rFonts w:ascii="Arial" w:hAnsi="Arial" w:cs="Arial"/>
          <w:sz w:val="22"/>
          <w:szCs w:val="22"/>
        </w:rPr>
        <w:t xml:space="preserve"> (Table 1)</w:t>
      </w:r>
      <w:r w:rsidR="001A4ADA" w:rsidRPr="002B0E12">
        <w:rPr>
          <w:rFonts w:ascii="Arial" w:hAnsi="Arial" w:cs="Arial"/>
          <w:sz w:val="22"/>
          <w:szCs w:val="22"/>
        </w:rPr>
        <w:t>.</w:t>
      </w:r>
      <w:r w:rsidR="006A2891" w:rsidRPr="002B0E12">
        <w:rPr>
          <w:rFonts w:ascii="Arial" w:hAnsi="Arial" w:cs="Arial"/>
          <w:sz w:val="22"/>
          <w:szCs w:val="22"/>
        </w:rPr>
        <w:t xml:space="preserve"> </w:t>
      </w:r>
      <w:r w:rsidR="001A4ADA" w:rsidRPr="002B0E12">
        <w:rPr>
          <w:rFonts w:ascii="Arial" w:hAnsi="Arial" w:cs="Arial"/>
          <w:sz w:val="22"/>
          <w:szCs w:val="22"/>
        </w:rPr>
        <w:t>The average waist-hip ratio (WHR) for both rural and urban men (1.0</w:t>
      </w:r>
      <w:r w:rsidR="008B0F55" w:rsidRPr="002B0E12">
        <w:rPr>
          <w:rFonts w:ascii="Arial" w:hAnsi="Arial" w:cs="Arial"/>
          <w:sz w:val="22"/>
          <w:szCs w:val="22"/>
        </w:rPr>
        <w:t>3±0.01</w:t>
      </w:r>
      <w:r w:rsidR="001A4ADA" w:rsidRPr="002B0E12">
        <w:rPr>
          <w:rFonts w:ascii="Arial" w:hAnsi="Arial" w:cs="Arial"/>
          <w:sz w:val="22"/>
          <w:szCs w:val="22"/>
        </w:rPr>
        <w:t xml:space="preserve"> and 0.98</w:t>
      </w:r>
      <w:r w:rsidR="008B0F55" w:rsidRPr="002B0E12">
        <w:rPr>
          <w:rFonts w:ascii="Arial" w:hAnsi="Arial" w:cs="Arial"/>
          <w:sz w:val="22"/>
          <w:szCs w:val="22"/>
        </w:rPr>
        <w:t>±0.01</w:t>
      </w:r>
      <w:r w:rsidR="00481679" w:rsidRPr="002B0E12">
        <w:rPr>
          <w:rFonts w:ascii="Arial" w:hAnsi="Arial" w:cs="Arial"/>
          <w:sz w:val="22"/>
          <w:szCs w:val="22"/>
        </w:rPr>
        <w:t xml:space="preserve"> cm</w:t>
      </w:r>
      <w:r w:rsidR="001A4ADA" w:rsidRPr="002B0E12">
        <w:rPr>
          <w:rFonts w:ascii="Arial" w:hAnsi="Arial" w:cs="Arial"/>
          <w:sz w:val="22"/>
          <w:szCs w:val="22"/>
        </w:rPr>
        <w:t>, respectively) exceeded the reference value of 0.90 cm. Corresponding WHR values for urban and rural women (0.91</w:t>
      </w:r>
      <w:r w:rsidR="008B0F55" w:rsidRPr="002B0E12">
        <w:rPr>
          <w:rFonts w:ascii="Arial" w:hAnsi="Arial" w:cs="Arial"/>
          <w:sz w:val="22"/>
          <w:szCs w:val="22"/>
        </w:rPr>
        <w:t>±0.009</w:t>
      </w:r>
      <w:r w:rsidR="001A4ADA" w:rsidRPr="002B0E12">
        <w:rPr>
          <w:rFonts w:ascii="Arial" w:hAnsi="Arial" w:cs="Arial"/>
          <w:sz w:val="22"/>
          <w:szCs w:val="22"/>
        </w:rPr>
        <w:t xml:space="preserve"> and 0.92</w:t>
      </w:r>
      <w:r w:rsidR="008B0F55" w:rsidRPr="002B0E12">
        <w:rPr>
          <w:rFonts w:ascii="Arial" w:hAnsi="Arial" w:cs="Arial"/>
          <w:sz w:val="22"/>
          <w:szCs w:val="22"/>
        </w:rPr>
        <w:t>±0.017</w:t>
      </w:r>
      <w:r w:rsidR="00481679" w:rsidRPr="002B0E12">
        <w:rPr>
          <w:rFonts w:ascii="Arial" w:hAnsi="Arial" w:cs="Arial"/>
          <w:sz w:val="22"/>
          <w:szCs w:val="22"/>
        </w:rPr>
        <w:t xml:space="preserve"> cm</w:t>
      </w:r>
      <w:r w:rsidR="001A4ADA" w:rsidRPr="002B0E12">
        <w:rPr>
          <w:rFonts w:ascii="Arial" w:hAnsi="Arial" w:cs="Arial"/>
          <w:sz w:val="22"/>
          <w:szCs w:val="22"/>
        </w:rPr>
        <w:t xml:space="preserve">) were </w:t>
      </w:r>
      <w:r w:rsidRPr="002B0E12">
        <w:rPr>
          <w:rFonts w:ascii="Arial" w:hAnsi="Arial" w:cs="Arial"/>
          <w:sz w:val="22"/>
          <w:szCs w:val="22"/>
        </w:rPr>
        <w:t xml:space="preserve">also higher than </w:t>
      </w:r>
      <w:r w:rsidR="001A4ADA" w:rsidRPr="002B0E12">
        <w:rPr>
          <w:rFonts w:ascii="Arial" w:hAnsi="Arial" w:cs="Arial"/>
          <w:sz w:val="22"/>
          <w:szCs w:val="22"/>
        </w:rPr>
        <w:t xml:space="preserve">0.80 cm cutoff (ICMR 2010). </w:t>
      </w:r>
      <w:r w:rsidRPr="002B0E12">
        <w:rPr>
          <w:rFonts w:ascii="Arial" w:hAnsi="Arial" w:cs="Arial"/>
          <w:sz w:val="22"/>
          <w:szCs w:val="22"/>
        </w:rPr>
        <w:t>Similarly, w</w:t>
      </w:r>
      <w:r w:rsidR="001A4ADA" w:rsidRPr="002B0E12">
        <w:rPr>
          <w:rFonts w:ascii="Arial" w:hAnsi="Arial" w:cs="Arial"/>
          <w:sz w:val="22"/>
          <w:szCs w:val="22"/>
        </w:rPr>
        <w:t xml:space="preserve">eight-height ratios for </w:t>
      </w:r>
      <w:r w:rsidRPr="002B0E12">
        <w:rPr>
          <w:rFonts w:ascii="Arial" w:hAnsi="Arial" w:cs="Arial"/>
          <w:sz w:val="22"/>
          <w:szCs w:val="22"/>
        </w:rPr>
        <w:t xml:space="preserve">both </w:t>
      </w:r>
      <w:r w:rsidR="006A2891" w:rsidRPr="002B0E12">
        <w:rPr>
          <w:rFonts w:ascii="Arial" w:hAnsi="Arial" w:cs="Arial"/>
          <w:sz w:val="22"/>
          <w:szCs w:val="22"/>
        </w:rPr>
        <w:t>sexes</w:t>
      </w:r>
      <w:r w:rsidR="001A4ADA" w:rsidRPr="002B0E12">
        <w:rPr>
          <w:rFonts w:ascii="Arial" w:hAnsi="Arial" w:cs="Arial"/>
          <w:sz w:val="22"/>
          <w:szCs w:val="22"/>
        </w:rPr>
        <w:t xml:space="preserve"> (0.59</w:t>
      </w:r>
      <w:r w:rsidR="008B0F55" w:rsidRPr="002B0E12">
        <w:rPr>
          <w:rFonts w:ascii="Arial" w:hAnsi="Arial" w:cs="Arial"/>
          <w:sz w:val="22"/>
          <w:szCs w:val="22"/>
        </w:rPr>
        <w:t>±</w:t>
      </w:r>
      <w:r w:rsidR="00481679" w:rsidRPr="002B0E12">
        <w:rPr>
          <w:rFonts w:ascii="Arial" w:hAnsi="Arial" w:cs="Arial"/>
          <w:sz w:val="22"/>
          <w:szCs w:val="22"/>
        </w:rPr>
        <w:t>0.01</w:t>
      </w:r>
      <w:r w:rsidR="001A4ADA" w:rsidRPr="002B0E12">
        <w:rPr>
          <w:rFonts w:ascii="Arial" w:hAnsi="Arial" w:cs="Arial"/>
          <w:sz w:val="22"/>
          <w:szCs w:val="22"/>
        </w:rPr>
        <w:t xml:space="preserve"> and 0.60</w:t>
      </w:r>
      <w:r w:rsidR="00481679" w:rsidRPr="002B0E12">
        <w:rPr>
          <w:rFonts w:ascii="Arial" w:hAnsi="Arial" w:cs="Arial"/>
          <w:sz w:val="22"/>
          <w:szCs w:val="22"/>
        </w:rPr>
        <w:t>±0.013 cm</w:t>
      </w:r>
      <w:r w:rsidR="001A4ADA" w:rsidRPr="002B0E12">
        <w:rPr>
          <w:rFonts w:ascii="Arial" w:hAnsi="Arial" w:cs="Arial"/>
          <w:sz w:val="22"/>
          <w:szCs w:val="22"/>
        </w:rPr>
        <w:t>, respectively) were higher than the 0.50 cm cutoff (Browning et al. 2010).</w:t>
      </w:r>
      <w:r w:rsidRPr="002B0E12">
        <w:rPr>
          <w:rFonts w:ascii="Arial" w:hAnsi="Arial" w:cs="Arial"/>
          <w:sz w:val="22"/>
          <w:szCs w:val="22"/>
        </w:rPr>
        <w:t xml:space="preserve"> The average BMI for men and women was 27.25 kg/m², notably exceeding the normal BMI category (23 kg/m², WHO </w:t>
      </w:r>
      <w:r w:rsidRPr="002B0E12">
        <w:rPr>
          <w:rFonts w:ascii="Arial" w:hAnsi="Arial" w:cs="Arial"/>
          <w:sz w:val="22"/>
          <w:szCs w:val="22"/>
        </w:rPr>
        <w:lastRenderedPageBreak/>
        <w:t>2004). While urban and rural men showed similar BMI values (27.37</w:t>
      </w:r>
      <w:r w:rsidR="00481679" w:rsidRPr="002B0E12">
        <w:rPr>
          <w:rFonts w:ascii="Arial" w:hAnsi="Arial" w:cs="Arial"/>
          <w:sz w:val="22"/>
          <w:szCs w:val="22"/>
        </w:rPr>
        <w:t>±0.54</w:t>
      </w:r>
      <w:r w:rsidRPr="002B0E12">
        <w:rPr>
          <w:rFonts w:ascii="Arial" w:hAnsi="Arial" w:cs="Arial"/>
          <w:sz w:val="22"/>
          <w:szCs w:val="22"/>
        </w:rPr>
        <w:t xml:space="preserve"> vs. 27.12</w:t>
      </w:r>
      <w:r w:rsidR="00481679" w:rsidRPr="002B0E12">
        <w:rPr>
          <w:rFonts w:ascii="Arial" w:hAnsi="Arial" w:cs="Arial"/>
          <w:sz w:val="22"/>
          <w:szCs w:val="22"/>
        </w:rPr>
        <w:t>±0.738</w:t>
      </w:r>
      <w:r w:rsidRPr="002B0E12">
        <w:rPr>
          <w:rFonts w:ascii="Arial" w:hAnsi="Arial" w:cs="Arial"/>
          <w:sz w:val="22"/>
          <w:szCs w:val="22"/>
        </w:rPr>
        <w:t xml:space="preserve"> kg/m²), rural women exhibited a higher BMI compared to urban women (28.18</w:t>
      </w:r>
      <w:r w:rsidR="00481679" w:rsidRPr="002B0E12">
        <w:rPr>
          <w:rFonts w:ascii="Arial" w:hAnsi="Arial" w:cs="Arial"/>
          <w:sz w:val="22"/>
          <w:szCs w:val="22"/>
        </w:rPr>
        <w:t>±0.88</w:t>
      </w:r>
      <w:r w:rsidRPr="002B0E12">
        <w:rPr>
          <w:rFonts w:ascii="Arial" w:hAnsi="Arial" w:cs="Arial"/>
          <w:sz w:val="22"/>
          <w:szCs w:val="22"/>
        </w:rPr>
        <w:t xml:space="preserve"> vs. 26.24</w:t>
      </w:r>
      <w:r w:rsidR="00481679" w:rsidRPr="002B0E12">
        <w:rPr>
          <w:rFonts w:ascii="Arial" w:hAnsi="Arial" w:cs="Arial"/>
          <w:sz w:val="22"/>
          <w:szCs w:val="22"/>
        </w:rPr>
        <w:t>±0.81</w:t>
      </w:r>
      <w:r w:rsidRPr="002B0E12">
        <w:rPr>
          <w:rFonts w:ascii="Arial" w:hAnsi="Arial" w:cs="Arial"/>
          <w:sz w:val="22"/>
          <w:szCs w:val="22"/>
        </w:rPr>
        <w:t xml:space="preserve"> kg/m²)</w:t>
      </w:r>
      <w:r w:rsidR="00407986" w:rsidRPr="002B0E12">
        <w:rPr>
          <w:rFonts w:ascii="Arial" w:hAnsi="Arial" w:cs="Arial"/>
          <w:sz w:val="22"/>
          <w:szCs w:val="22"/>
        </w:rPr>
        <w:t xml:space="preserve"> (Table 1)</w:t>
      </w:r>
      <w:r w:rsidRPr="002B0E12">
        <w:rPr>
          <w:rFonts w:ascii="Arial" w:hAnsi="Arial" w:cs="Arial"/>
          <w:sz w:val="22"/>
          <w:szCs w:val="22"/>
        </w:rPr>
        <w:t>.</w:t>
      </w:r>
    </w:p>
    <w:p w14:paraId="2CF77EA2" w14:textId="49F05295" w:rsidR="001A4ADA" w:rsidRPr="002B0E12" w:rsidRDefault="001A4ADA" w:rsidP="004112D6">
      <w:pPr>
        <w:pStyle w:val="NormalWeb"/>
        <w:spacing w:before="0" w:beforeAutospacing="0" w:after="0" w:afterAutospacing="0" w:line="360" w:lineRule="auto"/>
        <w:ind w:firstLine="720"/>
        <w:jc w:val="both"/>
        <w:rPr>
          <w:rFonts w:ascii="Arial" w:hAnsi="Arial" w:cs="Arial"/>
          <w:sz w:val="22"/>
          <w:szCs w:val="22"/>
        </w:rPr>
      </w:pPr>
      <w:r w:rsidRPr="002B0E12">
        <w:rPr>
          <w:rFonts w:ascii="Arial" w:hAnsi="Arial" w:cs="Arial"/>
          <w:sz w:val="22"/>
          <w:szCs w:val="22"/>
        </w:rPr>
        <w:t>The Conicity Index (CI) and Abdominal Volume Index (AVI) for both men and women (CI: 1.36</w:t>
      </w:r>
      <w:r w:rsidR="003032AF" w:rsidRPr="002B0E12">
        <w:rPr>
          <w:rFonts w:ascii="Arial" w:hAnsi="Arial" w:cs="Arial"/>
          <w:sz w:val="22"/>
          <w:szCs w:val="22"/>
        </w:rPr>
        <w:t>±0.009</w:t>
      </w:r>
      <w:r w:rsidRPr="002B0E12">
        <w:rPr>
          <w:rFonts w:ascii="Arial" w:hAnsi="Arial" w:cs="Arial"/>
          <w:sz w:val="22"/>
          <w:szCs w:val="22"/>
        </w:rPr>
        <w:t xml:space="preserve"> and 1.32</w:t>
      </w:r>
      <w:r w:rsidR="003032AF" w:rsidRPr="002B0E12">
        <w:rPr>
          <w:rFonts w:ascii="Arial" w:hAnsi="Arial" w:cs="Arial"/>
          <w:sz w:val="22"/>
          <w:szCs w:val="22"/>
        </w:rPr>
        <w:t>±0.014</w:t>
      </w:r>
      <w:r w:rsidRPr="002B0E12">
        <w:rPr>
          <w:rFonts w:ascii="Arial" w:hAnsi="Arial" w:cs="Arial"/>
          <w:sz w:val="22"/>
          <w:szCs w:val="22"/>
        </w:rPr>
        <w:t>, AVI: 20.51</w:t>
      </w:r>
      <w:r w:rsidR="003032AF" w:rsidRPr="002B0E12">
        <w:rPr>
          <w:rFonts w:ascii="Arial" w:hAnsi="Arial" w:cs="Arial"/>
          <w:sz w:val="22"/>
          <w:szCs w:val="22"/>
        </w:rPr>
        <w:t>±0.49</w:t>
      </w:r>
      <w:r w:rsidRPr="002B0E12">
        <w:rPr>
          <w:rFonts w:ascii="Arial" w:hAnsi="Arial" w:cs="Arial"/>
          <w:sz w:val="22"/>
          <w:szCs w:val="22"/>
        </w:rPr>
        <w:t xml:space="preserve"> and 17.61</w:t>
      </w:r>
      <w:r w:rsidR="003032AF" w:rsidRPr="002B0E12">
        <w:rPr>
          <w:rFonts w:ascii="Arial" w:hAnsi="Arial" w:cs="Arial"/>
          <w:sz w:val="22"/>
          <w:szCs w:val="22"/>
        </w:rPr>
        <w:t>±0.56</w:t>
      </w:r>
      <w:r w:rsidRPr="002B0E12">
        <w:rPr>
          <w:rFonts w:ascii="Arial" w:hAnsi="Arial" w:cs="Arial"/>
          <w:sz w:val="22"/>
          <w:szCs w:val="22"/>
        </w:rPr>
        <w:t>, respectively) exceeded reference values (CI: 1.21 and 1.18, AVI: 14.25 and 13.03, respectively)</w:t>
      </w:r>
      <w:r w:rsidR="0055160A" w:rsidRPr="002B0E12">
        <w:rPr>
          <w:rFonts w:ascii="Arial" w:hAnsi="Arial" w:cs="Arial"/>
          <w:sz w:val="22"/>
          <w:szCs w:val="22"/>
        </w:rPr>
        <w:t xml:space="preserve"> (Table 1)</w:t>
      </w:r>
      <w:r w:rsidRPr="002B0E12">
        <w:rPr>
          <w:rFonts w:ascii="Arial" w:hAnsi="Arial" w:cs="Arial"/>
          <w:sz w:val="22"/>
          <w:szCs w:val="22"/>
        </w:rPr>
        <w:t xml:space="preserve">. Notably, no significant differences were observed in anthropometric parameters between urban and rural </w:t>
      </w:r>
      <w:r w:rsidR="008D4758" w:rsidRPr="002B0E12">
        <w:rPr>
          <w:rFonts w:ascii="Arial" w:hAnsi="Arial" w:cs="Arial"/>
          <w:sz w:val="22"/>
          <w:szCs w:val="22"/>
        </w:rPr>
        <w:t>participants</w:t>
      </w:r>
      <w:r w:rsidRPr="002B0E12">
        <w:rPr>
          <w:rFonts w:ascii="Arial" w:hAnsi="Arial" w:cs="Arial"/>
          <w:sz w:val="22"/>
          <w:szCs w:val="22"/>
        </w:rPr>
        <w:t>, except for men</w:t>
      </w:r>
      <w:r w:rsidR="00AE14B8" w:rsidRPr="002B0E12">
        <w:rPr>
          <w:rFonts w:ascii="Arial" w:hAnsi="Arial" w:cs="Arial"/>
          <w:sz w:val="22"/>
          <w:szCs w:val="22"/>
        </w:rPr>
        <w:t>’</w:t>
      </w:r>
      <w:r w:rsidRPr="002B0E12">
        <w:rPr>
          <w:rFonts w:ascii="Arial" w:hAnsi="Arial" w:cs="Arial"/>
          <w:sz w:val="22"/>
          <w:szCs w:val="22"/>
        </w:rPr>
        <w:t xml:space="preserve">s height. </w:t>
      </w:r>
    </w:p>
    <w:p w14:paraId="33FE4603" w14:textId="77777777" w:rsidR="009675B7" w:rsidRPr="002B0E12" w:rsidRDefault="009675B7" w:rsidP="009675B7">
      <w:pPr>
        <w:widowControl w:val="0"/>
        <w:spacing w:after="0"/>
        <w:jc w:val="both"/>
        <w:rPr>
          <w:rFonts w:ascii="Arial" w:hAnsi="Arial" w:cs="Arial"/>
          <w:b/>
        </w:rPr>
      </w:pPr>
      <w:r w:rsidRPr="002B0E12">
        <w:rPr>
          <w:rFonts w:ascii="Arial" w:hAnsi="Arial" w:cs="Arial"/>
          <w:b/>
        </w:rPr>
        <w:t xml:space="preserve">Table 1 Overweight/obesity among selected urban and rural Metabolic Syndrome men and women </w:t>
      </w:r>
    </w:p>
    <w:p w14:paraId="3CD0B130" w14:textId="77777777" w:rsidR="009675B7" w:rsidRPr="002B0E12" w:rsidRDefault="009675B7" w:rsidP="009675B7">
      <w:pPr>
        <w:widowControl w:val="0"/>
        <w:spacing w:after="0"/>
        <w:jc w:val="center"/>
        <w:rPr>
          <w:rFonts w:ascii="Arial" w:hAnsi="Arial" w:cs="Arial"/>
        </w:rPr>
      </w:pPr>
      <w:r w:rsidRPr="002B0E12">
        <w:rPr>
          <w:rFonts w:ascii="Arial" w:hAnsi="Arial" w:cs="Arial"/>
          <w:b/>
        </w:rPr>
        <w:t xml:space="preserve">            </w:t>
      </w:r>
    </w:p>
    <w:tbl>
      <w:tblPr>
        <w:tblW w:w="5000" w:type="pct"/>
        <w:jc w:val="center"/>
        <w:tblBorders>
          <w:top w:val="single" w:sz="4" w:space="0" w:color="auto"/>
          <w:bottom w:val="single" w:sz="4" w:space="0" w:color="auto"/>
        </w:tblBorders>
        <w:tblLook w:val="04A0" w:firstRow="1" w:lastRow="0" w:firstColumn="1" w:lastColumn="0" w:noHBand="0" w:noVBand="1"/>
      </w:tblPr>
      <w:tblGrid>
        <w:gridCol w:w="1619"/>
        <w:gridCol w:w="1516"/>
        <w:gridCol w:w="1639"/>
        <w:gridCol w:w="779"/>
        <w:gridCol w:w="1394"/>
        <w:gridCol w:w="1516"/>
        <w:gridCol w:w="779"/>
      </w:tblGrid>
      <w:tr w:rsidR="002B0E12" w:rsidRPr="002B0E12" w14:paraId="37C924ED" w14:textId="77777777" w:rsidTr="0048694B">
        <w:trPr>
          <w:trHeight w:val="20"/>
          <w:jc w:val="center"/>
        </w:trPr>
        <w:tc>
          <w:tcPr>
            <w:tcW w:w="1111" w:type="pct"/>
            <w:vMerge w:val="restart"/>
            <w:tcBorders>
              <w:top w:val="single" w:sz="4" w:space="0" w:color="auto"/>
              <w:left w:val="nil"/>
              <w:bottom w:val="single" w:sz="4" w:space="0" w:color="auto"/>
              <w:right w:val="nil"/>
            </w:tcBorders>
          </w:tcPr>
          <w:p w14:paraId="2D2A5EF2" w14:textId="77777777" w:rsidR="009675B7" w:rsidRPr="002B0E12" w:rsidRDefault="009675B7" w:rsidP="0048694B">
            <w:pPr>
              <w:widowControl w:val="0"/>
              <w:spacing w:after="0"/>
              <w:rPr>
                <w:rFonts w:ascii="Arial" w:hAnsi="Arial" w:cs="Arial"/>
                <w:b/>
                <w:kern w:val="2"/>
                <w:lang w:val="en-IN"/>
              </w:rPr>
            </w:pPr>
          </w:p>
          <w:p w14:paraId="4D8941F4" w14:textId="77777777" w:rsidR="009675B7" w:rsidRPr="002B0E12" w:rsidRDefault="009675B7" w:rsidP="0048694B">
            <w:pPr>
              <w:widowControl w:val="0"/>
              <w:spacing w:after="0"/>
              <w:rPr>
                <w:rFonts w:ascii="Arial" w:hAnsi="Arial" w:cs="Arial"/>
                <w:b/>
                <w:kern w:val="2"/>
                <w:lang w:val="en-IN"/>
              </w:rPr>
            </w:pPr>
            <w:r w:rsidRPr="002B0E12">
              <w:rPr>
                <w:rFonts w:ascii="Arial" w:hAnsi="Arial" w:cs="Arial"/>
                <w:b/>
                <w:kern w:val="2"/>
                <w:lang w:val="en-IN"/>
              </w:rPr>
              <w:t>Parameter</w:t>
            </w:r>
          </w:p>
        </w:tc>
        <w:tc>
          <w:tcPr>
            <w:tcW w:w="1905" w:type="pct"/>
            <w:gridSpan w:val="3"/>
            <w:tcBorders>
              <w:top w:val="single" w:sz="4" w:space="0" w:color="auto"/>
              <w:left w:val="nil"/>
              <w:bottom w:val="single" w:sz="4" w:space="0" w:color="auto"/>
              <w:right w:val="nil"/>
            </w:tcBorders>
            <w:hideMark/>
          </w:tcPr>
          <w:p w14:paraId="25B417E4"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Men</w:t>
            </w:r>
          </w:p>
        </w:tc>
        <w:tc>
          <w:tcPr>
            <w:tcW w:w="1349" w:type="pct"/>
            <w:gridSpan w:val="2"/>
            <w:tcBorders>
              <w:top w:val="single" w:sz="4" w:space="0" w:color="auto"/>
              <w:left w:val="nil"/>
              <w:bottom w:val="single" w:sz="4" w:space="0" w:color="auto"/>
              <w:right w:val="nil"/>
            </w:tcBorders>
            <w:hideMark/>
          </w:tcPr>
          <w:p w14:paraId="09054F09"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Women</w:t>
            </w:r>
          </w:p>
        </w:tc>
        <w:tc>
          <w:tcPr>
            <w:tcW w:w="634" w:type="pct"/>
            <w:vMerge w:val="restart"/>
            <w:tcBorders>
              <w:top w:val="single" w:sz="4" w:space="0" w:color="auto"/>
              <w:left w:val="nil"/>
              <w:bottom w:val="single" w:sz="4" w:space="0" w:color="auto"/>
              <w:right w:val="nil"/>
            </w:tcBorders>
          </w:tcPr>
          <w:p w14:paraId="2BB5D181" w14:textId="77777777" w:rsidR="009675B7" w:rsidRPr="002B0E12" w:rsidRDefault="009675B7" w:rsidP="0048694B">
            <w:pPr>
              <w:widowControl w:val="0"/>
              <w:spacing w:after="0"/>
              <w:jc w:val="center"/>
              <w:rPr>
                <w:rFonts w:ascii="Arial" w:hAnsi="Arial" w:cs="Arial"/>
                <w:b/>
                <w:i/>
                <w:iCs/>
                <w:kern w:val="2"/>
                <w:lang w:val="en-IN"/>
              </w:rPr>
            </w:pPr>
          </w:p>
          <w:p w14:paraId="79331568" w14:textId="77777777" w:rsidR="009675B7" w:rsidRPr="002B0E12" w:rsidRDefault="009675B7" w:rsidP="0048694B">
            <w:pPr>
              <w:widowControl w:val="0"/>
              <w:spacing w:after="0"/>
              <w:jc w:val="center"/>
              <w:rPr>
                <w:rFonts w:ascii="Arial" w:hAnsi="Arial" w:cs="Arial"/>
                <w:b/>
                <w:i/>
                <w:iCs/>
                <w:kern w:val="2"/>
                <w:lang w:val="en-IN"/>
              </w:rPr>
            </w:pPr>
            <w:r w:rsidRPr="002B0E12">
              <w:rPr>
                <w:rFonts w:ascii="Arial" w:hAnsi="Arial" w:cs="Arial"/>
                <w:b/>
                <w:i/>
                <w:iCs/>
                <w:kern w:val="2"/>
                <w:lang w:val="en-IN"/>
              </w:rPr>
              <w:t>p value</w:t>
            </w:r>
          </w:p>
        </w:tc>
      </w:tr>
      <w:tr w:rsidR="002B0E12" w:rsidRPr="002B0E12" w14:paraId="3B7AECD5" w14:textId="77777777" w:rsidTr="0048694B">
        <w:trPr>
          <w:trHeight w:val="20"/>
          <w:jc w:val="center"/>
        </w:trPr>
        <w:tc>
          <w:tcPr>
            <w:tcW w:w="0" w:type="auto"/>
            <w:vMerge/>
            <w:tcBorders>
              <w:top w:val="single" w:sz="4" w:space="0" w:color="auto"/>
              <w:left w:val="nil"/>
              <w:bottom w:val="single" w:sz="4" w:space="0" w:color="auto"/>
              <w:right w:val="nil"/>
            </w:tcBorders>
            <w:vAlign w:val="center"/>
            <w:hideMark/>
          </w:tcPr>
          <w:p w14:paraId="3A9A7263" w14:textId="77777777" w:rsidR="009675B7" w:rsidRPr="002B0E12" w:rsidRDefault="009675B7" w:rsidP="0048694B">
            <w:pPr>
              <w:spacing w:after="0"/>
              <w:rPr>
                <w:rFonts w:ascii="Arial" w:hAnsi="Arial" w:cs="Arial"/>
                <w:b/>
                <w:kern w:val="2"/>
                <w:lang w:val="en-IN"/>
              </w:rPr>
            </w:pPr>
          </w:p>
        </w:tc>
        <w:tc>
          <w:tcPr>
            <w:tcW w:w="713" w:type="pct"/>
            <w:tcBorders>
              <w:top w:val="single" w:sz="4" w:space="0" w:color="auto"/>
              <w:left w:val="nil"/>
              <w:bottom w:val="single" w:sz="4" w:space="0" w:color="auto"/>
              <w:right w:val="nil"/>
            </w:tcBorders>
            <w:hideMark/>
          </w:tcPr>
          <w:p w14:paraId="52231515"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Urban</w:t>
            </w:r>
          </w:p>
          <w:p w14:paraId="26ECADA8"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(n=28)</w:t>
            </w:r>
          </w:p>
        </w:tc>
        <w:tc>
          <w:tcPr>
            <w:tcW w:w="636" w:type="pct"/>
            <w:tcBorders>
              <w:top w:val="single" w:sz="4" w:space="0" w:color="auto"/>
              <w:left w:val="nil"/>
              <w:bottom w:val="single" w:sz="4" w:space="0" w:color="auto"/>
              <w:right w:val="nil"/>
            </w:tcBorders>
            <w:hideMark/>
          </w:tcPr>
          <w:p w14:paraId="60CED681"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Rural</w:t>
            </w:r>
          </w:p>
          <w:p w14:paraId="7A07EFD9"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(n=26)</w:t>
            </w:r>
          </w:p>
        </w:tc>
        <w:tc>
          <w:tcPr>
            <w:tcW w:w="556" w:type="pct"/>
            <w:tcBorders>
              <w:top w:val="single" w:sz="4" w:space="0" w:color="auto"/>
              <w:left w:val="nil"/>
              <w:bottom w:val="single" w:sz="4" w:space="0" w:color="auto"/>
              <w:right w:val="nil"/>
            </w:tcBorders>
            <w:hideMark/>
          </w:tcPr>
          <w:p w14:paraId="1D8941A2"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i/>
                <w:iCs/>
                <w:kern w:val="2"/>
                <w:lang w:val="en-IN"/>
              </w:rPr>
              <w:t>p value</w:t>
            </w:r>
          </w:p>
        </w:tc>
        <w:tc>
          <w:tcPr>
            <w:tcW w:w="636" w:type="pct"/>
            <w:tcBorders>
              <w:top w:val="single" w:sz="4" w:space="0" w:color="auto"/>
              <w:left w:val="nil"/>
              <w:bottom w:val="single" w:sz="4" w:space="0" w:color="auto"/>
              <w:right w:val="nil"/>
            </w:tcBorders>
            <w:hideMark/>
          </w:tcPr>
          <w:p w14:paraId="35A7A99C"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Urban</w:t>
            </w:r>
          </w:p>
          <w:p w14:paraId="7C22A3A1"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(n=22)</w:t>
            </w:r>
          </w:p>
        </w:tc>
        <w:tc>
          <w:tcPr>
            <w:tcW w:w="713" w:type="pct"/>
            <w:tcBorders>
              <w:top w:val="single" w:sz="4" w:space="0" w:color="auto"/>
              <w:left w:val="nil"/>
              <w:bottom w:val="single" w:sz="4" w:space="0" w:color="auto"/>
              <w:right w:val="nil"/>
            </w:tcBorders>
            <w:hideMark/>
          </w:tcPr>
          <w:p w14:paraId="57EC4F26"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Rural</w:t>
            </w:r>
          </w:p>
          <w:p w14:paraId="1FA541CB"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
                <w:kern w:val="2"/>
                <w:lang w:val="en-IN"/>
              </w:rPr>
              <w:t>(n=24)</w:t>
            </w:r>
          </w:p>
        </w:tc>
        <w:tc>
          <w:tcPr>
            <w:tcW w:w="0" w:type="auto"/>
            <w:vMerge/>
            <w:tcBorders>
              <w:top w:val="single" w:sz="4" w:space="0" w:color="auto"/>
              <w:left w:val="nil"/>
              <w:bottom w:val="single" w:sz="4" w:space="0" w:color="auto"/>
              <w:right w:val="nil"/>
            </w:tcBorders>
            <w:vAlign w:val="center"/>
            <w:hideMark/>
          </w:tcPr>
          <w:p w14:paraId="21D9CC2F" w14:textId="77777777" w:rsidR="009675B7" w:rsidRPr="002B0E12" w:rsidRDefault="009675B7" w:rsidP="0048694B">
            <w:pPr>
              <w:spacing w:after="0"/>
              <w:rPr>
                <w:rFonts w:ascii="Arial" w:hAnsi="Arial" w:cs="Arial"/>
                <w:b/>
                <w:i/>
                <w:iCs/>
                <w:kern w:val="2"/>
                <w:lang w:val="en-IN"/>
              </w:rPr>
            </w:pPr>
          </w:p>
        </w:tc>
      </w:tr>
      <w:tr w:rsidR="002B0E12" w:rsidRPr="002B0E12" w14:paraId="11874695" w14:textId="77777777" w:rsidTr="0048694B">
        <w:trPr>
          <w:trHeight w:val="20"/>
          <w:jc w:val="center"/>
        </w:trPr>
        <w:tc>
          <w:tcPr>
            <w:tcW w:w="1825" w:type="pct"/>
            <w:gridSpan w:val="2"/>
            <w:tcBorders>
              <w:top w:val="single" w:sz="4" w:space="0" w:color="auto"/>
              <w:left w:val="nil"/>
              <w:bottom w:val="nil"/>
              <w:right w:val="nil"/>
            </w:tcBorders>
            <w:hideMark/>
          </w:tcPr>
          <w:p w14:paraId="75DC8556"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
                <w:kern w:val="2"/>
                <w:lang w:val="en-IN"/>
              </w:rPr>
              <w:t>General Obesity</w:t>
            </w:r>
          </w:p>
        </w:tc>
        <w:tc>
          <w:tcPr>
            <w:tcW w:w="636" w:type="pct"/>
            <w:tcBorders>
              <w:top w:val="single" w:sz="4" w:space="0" w:color="auto"/>
              <w:left w:val="nil"/>
              <w:bottom w:val="nil"/>
              <w:right w:val="nil"/>
            </w:tcBorders>
          </w:tcPr>
          <w:p w14:paraId="27F42BE8" w14:textId="77777777" w:rsidR="009675B7" w:rsidRPr="002B0E12" w:rsidRDefault="009675B7" w:rsidP="0048694B">
            <w:pPr>
              <w:widowControl w:val="0"/>
              <w:spacing w:after="0"/>
              <w:jc w:val="center"/>
              <w:rPr>
                <w:rFonts w:ascii="Arial" w:hAnsi="Arial" w:cs="Arial"/>
                <w:bCs/>
                <w:kern w:val="2"/>
                <w:lang w:val="en-IN"/>
              </w:rPr>
            </w:pPr>
          </w:p>
        </w:tc>
        <w:tc>
          <w:tcPr>
            <w:tcW w:w="556" w:type="pct"/>
            <w:tcBorders>
              <w:top w:val="single" w:sz="4" w:space="0" w:color="auto"/>
              <w:left w:val="nil"/>
              <w:bottom w:val="nil"/>
              <w:right w:val="nil"/>
            </w:tcBorders>
          </w:tcPr>
          <w:p w14:paraId="5D4519E7" w14:textId="77777777" w:rsidR="009675B7" w:rsidRPr="002B0E12" w:rsidRDefault="009675B7" w:rsidP="0048694B">
            <w:pPr>
              <w:widowControl w:val="0"/>
              <w:spacing w:after="0"/>
              <w:jc w:val="center"/>
              <w:rPr>
                <w:rFonts w:ascii="Arial" w:hAnsi="Arial" w:cs="Arial"/>
                <w:bCs/>
                <w:kern w:val="2"/>
                <w:lang w:val="en-IN"/>
              </w:rPr>
            </w:pPr>
          </w:p>
        </w:tc>
        <w:tc>
          <w:tcPr>
            <w:tcW w:w="636" w:type="pct"/>
            <w:tcBorders>
              <w:top w:val="single" w:sz="4" w:space="0" w:color="auto"/>
              <w:left w:val="nil"/>
              <w:bottom w:val="nil"/>
              <w:right w:val="nil"/>
            </w:tcBorders>
          </w:tcPr>
          <w:p w14:paraId="3EFF9CB8" w14:textId="77777777" w:rsidR="009675B7" w:rsidRPr="002B0E12" w:rsidRDefault="009675B7" w:rsidP="0048694B">
            <w:pPr>
              <w:widowControl w:val="0"/>
              <w:spacing w:after="0"/>
              <w:jc w:val="center"/>
              <w:rPr>
                <w:rFonts w:ascii="Arial" w:hAnsi="Arial" w:cs="Arial"/>
                <w:bCs/>
                <w:kern w:val="2"/>
                <w:lang w:val="en-IN"/>
              </w:rPr>
            </w:pPr>
          </w:p>
        </w:tc>
        <w:tc>
          <w:tcPr>
            <w:tcW w:w="713" w:type="pct"/>
            <w:tcBorders>
              <w:top w:val="single" w:sz="4" w:space="0" w:color="auto"/>
              <w:left w:val="nil"/>
              <w:bottom w:val="nil"/>
              <w:right w:val="nil"/>
            </w:tcBorders>
          </w:tcPr>
          <w:p w14:paraId="6F2C0499" w14:textId="77777777" w:rsidR="009675B7" w:rsidRPr="002B0E12" w:rsidRDefault="009675B7" w:rsidP="0048694B">
            <w:pPr>
              <w:widowControl w:val="0"/>
              <w:spacing w:after="0"/>
              <w:jc w:val="center"/>
              <w:rPr>
                <w:rFonts w:ascii="Arial" w:hAnsi="Arial" w:cs="Arial"/>
                <w:bCs/>
                <w:kern w:val="2"/>
                <w:lang w:val="en-IN"/>
              </w:rPr>
            </w:pPr>
          </w:p>
        </w:tc>
        <w:tc>
          <w:tcPr>
            <w:tcW w:w="634" w:type="pct"/>
            <w:tcBorders>
              <w:top w:val="single" w:sz="4" w:space="0" w:color="auto"/>
              <w:left w:val="nil"/>
              <w:bottom w:val="nil"/>
              <w:right w:val="nil"/>
            </w:tcBorders>
          </w:tcPr>
          <w:p w14:paraId="06B965E9" w14:textId="77777777" w:rsidR="009675B7" w:rsidRPr="002B0E12" w:rsidRDefault="009675B7" w:rsidP="0048694B">
            <w:pPr>
              <w:widowControl w:val="0"/>
              <w:spacing w:after="0"/>
              <w:jc w:val="center"/>
              <w:rPr>
                <w:rFonts w:ascii="Arial" w:hAnsi="Arial" w:cs="Arial"/>
                <w:b/>
                <w:i/>
                <w:iCs/>
                <w:kern w:val="2"/>
                <w:lang w:val="en-IN"/>
              </w:rPr>
            </w:pPr>
          </w:p>
        </w:tc>
      </w:tr>
      <w:tr w:rsidR="002B0E12" w:rsidRPr="002B0E12" w14:paraId="084E59F9" w14:textId="77777777" w:rsidTr="0048694B">
        <w:trPr>
          <w:trHeight w:val="20"/>
          <w:jc w:val="center"/>
        </w:trPr>
        <w:tc>
          <w:tcPr>
            <w:tcW w:w="1111" w:type="pct"/>
            <w:tcBorders>
              <w:top w:val="nil"/>
              <w:left w:val="nil"/>
              <w:bottom w:val="nil"/>
              <w:right w:val="nil"/>
            </w:tcBorders>
            <w:hideMark/>
          </w:tcPr>
          <w:p w14:paraId="0DAB78AE"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Height (m)</w:t>
            </w:r>
          </w:p>
        </w:tc>
        <w:tc>
          <w:tcPr>
            <w:tcW w:w="713" w:type="pct"/>
            <w:tcBorders>
              <w:top w:val="nil"/>
              <w:left w:val="nil"/>
              <w:bottom w:val="nil"/>
              <w:right w:val="nil"/>
            </w:tcBorders>
            <w:hideMark/>
          </w:tcPr>
          <w:p w14:paraId="064167AF"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Cs/>
                <w:kern w:val="2"/>
                <w:lang w:val="en-IN"/>
              </w:rPr>
              <w:t>1.73</w:t>
            </w:r>
            <w:r w:rsidRPr="002B0E12">
              <w:rPr>
                <w:rFonts w:ascii="Arial" w:hAnsi="Arial" w:cs="Arial"/>
                <w:kern w:val="2"/>
                <w:vertAlign w:val="superscript"/>
                <w:lang w:val="en-IN"/>
              </w:rPr>
              <w:t>a</w:t>
            </w:r>
            <w:r w:rsidRPr="002B0E12">
              <w:rPr>
                <w:rFonts w:ascii="Arial" w:hAnsi="Arial" w:cs="Arial"/>
                <w:kern w:val="2"/>
                <w:lang w:val="en-IN"/>
              </w:rPr>
              <w:t>±1.12</w:t>
            </w:r>
          </w:p>
        </w:tc>
        <w:tc>
          <w:tcPr>
            <w:tcW w:w="636" w:type="pct"/>
            <w:tcBorders>
              <w:top w:val="nil"/>
              <w:left w:val="nil"/>
              <w:bottom w:val="nil"/>
              <w:right w:val="nil"/>
            </w:tcBorders>
            <w:hideMark/>
          </w:tcPr>
          <w:p w14:paraId="16334818"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Cs/>
                <w:kern w:val="2"/>
                <w:lang w:val="en-IN"/>
              </w:rPr>
              <w:t>1.69</w:t>
            </w:r>
            <w:r w:rsidRPr="002B0E12">
              <w:rPr>
                <w:rFonts w:ascii="Arial" w:hAnsi="Arial" w:cs="Arial"/>
                <w:bCs/>
                <w:kern w:val="2"/>
                <w:vertAlign w:val="superscript"/>
                <w:lang w:val="en-IN"/>
              </w:rPr>
              <w:t>b</w:t>
            </w:r>
            <w:r w:rsidRPr="002B0E12">
              <w:rPr>
                <w:rFonts w:ascii="Arial" w:hAnsi="Arial" w:cs="Arial"/>
                <w:kern w:val="2"/>
                <w:lang w:val="en-IN"/>
              </w:rPr>
              <w:t>±</w:t>
            </w:r>
            <w:r w:rsidRPr="002B0E12">
              <w:rPr>
                <w:rFonts w:ascii="Arial" w:hAnsi="Arial" w:cs="Arial"/>
                <w:bCs/>
                <w:kern w:val="2"/>
                <w:lang w:val="en-IN"/>
              </w:rPr>
              <w:t>0.016</w:t>
            </w:r>
          </w:p>
        </w:tc>
        <w:tc>
          <w:tcPr>
            <w:tcW w:w="556" w:type="pct"/>
            <w:tcBorders>
              <w:top w:val="nil"/>
              <w:left w:val="nil"/>
              <w:bottom w:val="nil"/>
              <w:right w:val="nil"/>
            </w:tcBorders>
            <w:hideMark/>
          </w:tcPr>
          <w:p w14:paraId="486177F1"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0.077</w:t>
            </w:r>
          </w:p>
        </w:tc>
        <w:tc>
          <w:tcPr>
            <w:tcW w:w="636" w:type="pct"/>
            <w:tcBorders>
              <w:top w:val="nil"/>
              <w:left w:val="nil"/>
              <w:bottom w:val="nil"/>
              <w:right w:val="nil"/>
            </w:tcBorders>
            <w:hideMark/>
          </w:tcPr>
          <w:p w14:paraId="5E432D5E"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Cs/>
                <w:kern w:val="2"/>
                <w:lang w:val="en-IN"/>
              </w:rPr>
              <w:t>1.57</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0.009</w:t>
            </w:r>
          </w:p>
        </w:tc>
        <w:tc>
          <w:tcPr>
            <w:tcW w:w="713" w:type="pct"/>
            <w:tcBorders>
              <w:top w:val="nil"/>
              <w:left w:val="nil"/>
              <w:bottom w:val="nil"/>
              <w:right w:val="nil"/>
            </w:tcBorders>
            <w:hideMark/>
          </w:tcPr>
          <w:p w14:paraId="523060AA" w14:textId="77777777" w:rsidR="009675B7" w:rsidRPr="002B0E12" w:rsidRDefault="009675B7" w:rsidP="0048694B">
            <w:pPr>
              <w:widowControl w:val="0"/>
              <w:spacing w:after="0"/>
              <w:jc w:val="center"/>
              <w:rPr>
                <w:rFonts w:ascii="Arial" w:hAnsi="Arial" w:cs="Arial"/>
                <w:b/>
                <w:kern w:val="2"/>
                <w:lang w:val="en-IN"/>
              </w:rPr>
            </w:pPr>
            <w:r w:rsidRPr="002B0E12">
              <w:rPr>
                <w:rFonts w:ascii="Arial" w:hAnsi="Arial" w:cs="Arial"/>
                <w:bCs/>
                <w:kern w:val="2"/>
                <w:lang w:val="en-IN"/>
              </w:rPr>
              <w:t>1.53</w:t>
            </w:r>
            <w:r w:rsidRPr="002B0E12">
              <w:rPr>
                <w:rFonts w:ascii="Arial" w:hAnsi="Arial" w:cs="Arial"/>
                <w:bCs/>
                <w:kern w:val="2"/>
                <w:vertAlign w:val="superscript"/>
                <w:lang w:val="en-IN"/>
              </w:rPr>
              <w:t>b</w:t>
            </w:r>
            <w:r w:rsidRPr="002B0E12">
              <w:rPr>
                <w:rFonts w:ascii="Arial" w:hAnsi="Arial" w:cs="Arial"/>
                <w:kern w:val="2"/>
                <w:lang w:val="en-IN"/>
              </w:rPr>
              <w:t xml:space="preserve">± </w:t>
            </w:r>
            <w:r w:rsidRPr="002B0E12">
              <w:rPr>
                <w:rFonts w:ascii="Arial" w:hAnsi="Arial" w:cs="Arial"/>
                <w:bCs/>
                <w:kern w:val="2"/>
                <w:lang w:val="en-IN"/>
              </w:rPr>
              <w:t>0.012</w:t>
            </w:r>
          </w:p>
        </w:tc>
        <w:tc>
          <w:tcPr>
            <w:tcW w:w="634" w:type="pct"/>
            <w:tcBorders>
              <w:top w:val="nil"/>
              <w:left w:val="nil"/>
              <w:bottom w:val="nil"/>
              <w:right w:val="nil"/>
            </w:tcBorders>
            <w:hideMark/>
          </w:tcPr>
          <w:p w14:paraId="24F93AB8" w14:textId="77777777" w:rsidR="009675B7" w:rsidRPr="002B0E12" w:rsidRDefault="009675B7" w:rsidP="0048694B">
            <w:pPr>
              <w:widowControl w:val="0"/>
              <w:spacing w:after="0"/>
              <w:jc w:val="center"/>
              <w:rPr>
                <w:rFonts w:ascii="Arial" w:hAnsi="Arial" w:cs="Arial"/>
                <w:iCs/>
                <w:kern w:val="2"/>
                <w:lang w:val="en-IN"/>
              </w:rPr>
            </w:pPr>
            <w:r w:rsidRPr="002B0E12">
              <w:rPr>
                <w:rFonts w:ascii="Arial" w:hAnsi="Arial" w:cs="Arial"/>
                <w:kern w:val="2"/>
                <w:lang w:val="en-IN"/>
              </w:rPr>
              <w:t>0.006</w:t>
            </w:r>
          </w:p>
        </w:tc>
      </w:tr>
      <w:tr w:rsidR="002B0E12" w:rsidRPr="002B0E12" w14:paraId="7C533F8B" w14:textId="77777777" w:rsidTr="0048694B">
        <w:trPr>
          <w:trHeight w:val="20"/>
          <w:jc w:val="center"/>
        </w:trPr>
        <w:tc>
          <w:tcPr>
            <w:tcW w:w="1111" w:type="pct"/>
            <w:tcBorders>
              <w:top w:val="nil"/>
              <w:left w:val="nil"/>
              <w:bottom w:val="nil"/>
              <w:right w:val="nil"/>
            </w:tcBorders>
            <w:hideMark/>
          </w:tcPr>
          <w:p w14:paraId="40DE509E"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Weight (Kg)</w:t>
            </w:r>
          </w:p>
        </w:tc>
        <w:tc>
          <w:tcPr>
            <w:tcW w:w="713" w:type="pct"/>
            <w:tcBorders>
              <w:top w:val="nil"/>
              <w:left w:val="nil"/>
              <w:bottom w:val="nil"/>
              <w:right w:val="nil"/>
            </w:tcBorders>
            <w:hideMark/>
          </w:tcPr>
          <w:p w14:paraId="2BC788DA"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81.78</w:t>
            </w:r>
            <w:r w:rsidRPr="002B0E12">
              <w:rPr>
                <w:rFonts w:ascii="Arial" w:hAnsi="Arial" w:cs="Arial"/>
                <w:bCs/>
                <w:kern w:val="2"/>
                <w:vertAlign w:val="superscript"/>
                <w:lang w:val="en-IN"/>
              </w:rPr>
              <w:t xml:space="preserve"> a</w:t>
            </w:r>
            <w:r w:rsidRPr="002B0E12">
              <w:rPr>
                <w:rFonts w:ascii="Arial" w:hAnsi="Arial" w:cs="Arial"/>
                <w:kern w:val="2"/>
                <w:lang w:val="en-IN"/>
              </w:rPr>
              <w:t>±</w:t>
            </w:r>
            <w:r w:rsidRPr="002B0E12">
              <w:rPr>
                <w:rFonts w:ascii="Arial" w:hAnsi="Arial" w:cs="Arial"/>
                <w:bCs/>
                <w:kern w:val="2"/>
                <w:lang w:val="en-IN"/>
              </w:rPr>
              <w:t>1.90</w:t>
            </w:r>
          </w:p>
        </w:tc>
        <w:tc>
          <w:tcPr>
            <w:tcW w:w="636" w:type="pct"/>
            <w:tcBorders>
              <w:top w:val="nil"/>
              <w:left w:val="nil"/>
              <w:bottom w:val="nil"/>
              <w:right w:val="nil"/>
            </w:tcBorders>
            <w:hideMark/>
          </w:tcPr>
          <w:p w14:paraId="20D9E9AA"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77.34</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1.90</w:t>
            </w:r>
          </w:p>
        </w:tc>
        <w:tc>
          <w:tcPr>
            <w:tcW w:w="556" w:type="pct"/>
            <w:tcBorders>
              <w:top w:val="nil"/>
              <w:left w:val="nil"/>
              <w:bottom w:val="nil"/>
              <w:right w:val="nil"/>
            </w:tcBorders>
            <w:hideMark/>
          </w:tcPr>
          <w:p w14:paraId="62E5E9C2"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0.114</w:t>
            </w:r>
          </w:p>
        </w:tc>
        <w:tc>
          <w:tcPr>
            <w:tcW w:w="636" w:type="pct"/>
            <w:tcBorders>
              <w:top w:val="nil"/>
              <w:left w:val="nil"/>
              <w:bottom w:val="nil"/>
              <w:right w:val="nil"/>
            </w:tcBorders>
            <w:hideMark/>
          </w:tcPr>
          <w:p w14:paraId="2945B0DD"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64.96</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1.87</w:t>
            </w:r>
          </w:p>
        </w:tc>
        <w:tc>
          <w:tcPr>
            <w:tcW w:w="713" w:type="pct"/>
            <w:tcBorders>
              <w:top w:val="nil"/>
              <w:left w:val="nil"/>
              <w:bottom w:val="nil"/>
              <w:right w:val="nil"/>
            </w:tcBorders>
            <w:hideMark/>
          </w:tcPr>
          <w:p w14:paraId="719ECBA6"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65.93</w:t>
            </w:r>
            <w:r w:rsidRPr="002B0E12">
              <w:rPr>
                <w:rFonts w:ascii="Arial" w:hAnsi="Arial" w:cs="Arial"/>
                <w:kern w:val="2"/>
                <w:vertAlign w:val="superscript"/>
                <w:lang w:val="en-IN"/>
              </w:rPr>
              <w:t>a</w:t>
            </w:r>
            <w:r w:rsidRPr="002B0E12">
              <w:rPr>
                <w:rFonts w:ascii="Arial" w:hAnsi="Arial" w:cs="Arial"/>
                <w:kern w:val="2"/>
                <w:lang w:val="en-IN"/>
              </w:rPr>
              <w:t>± 2.10</w:t>
            </w:r>
          </w:p>
        </w:tc>
        <w:tc>
          <w:tcPr>
            <w:tcW w:w="634" w:type="pct"/>
            <w:tcBorders>
              <w:top w:val="nil"/>
              <w:left w:val="nil"/>
              <w:bottom w:val="nil"/>
              <w:right w:val="nil"/>
            </w:tcBorders>
            <w:hideMark/>
          </w:tcPr>
          <w:p w14:paraId="73F79670"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0.734</w:t>
            </w:r>
          </w:p>
        </w:tc>
      </w:tr>
      <w:tr w:rsidR="002B0E12" w:rsidRPr="002B0E12" w14:paraId="16132EB5" w14:textId="77777777" w:rsidTr="0048694B">
        <w:trPr>
          <w:trHeight w:val="20"/>
          <w:jc w:val="center"/>
        </w:trPr>
        <w:tc>
          <w:tcPr>
            <w:tcW w:w="1111" w:type="pct"/>
            <w:tcBorders>
              <w:top w:val="nil"/>
              <w:left w:val="nil"/>
              <w:bottom w:val="nil"/>
              <w:right w:val="nil"/>
            </w:tcBorders>
            <w:hideMark/>
          </w:tcPr>
          <w:p w14:paraId="20B9B740"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BMI (kg/m</w:t>
            </w:r>
            <w:r w:rsidRPr="002B0E12">
              <w:rPr>
                <w:rFonts w:ascii="Arial" w:hAnsi="Arial" w:cs="Arial"/>
                <w:bCs/>
                <w:kern w:val="2"/>
                <w:vertAlign w:val="superscript"/>
                <w:lang w:val="en-IN"/>
              </w:rPr>
              <w:t>2</w:t>
            </w:r>
            <w:r w:rsidRPr="002B0E12">
              <w:rPr>
                <w:rFonts w:ascii="Arial" w:hAnsi="Arial" w:cs="Arial"/>
                <w:bCs/>
                <w:kern w:val="2"/>
                <w:lang w:val="en-IN"/>
              </w:rPr>
              <w:t>)</w:t>
            </w:r>
          </w:p>
        </w:tc>
        <w:tc>
          <w:tcPr>
            <w:tcW w:w="713" w:type="pct"/>
            <w:tcBorders>
              <w:top w:val="nil"/>
              <w:left w:val="nil"/>
              <w:bottom w:val="nil"/>
              <w:right w:val="nil"/>
            </w:tcBorders>
            <w:hideMark/>
          </w:tcPr>
          <w:p w14:paraId="0FB7E08E"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27.37</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0.54</w:t>
            </w:r>
          </w:p>
        </w:tc>
        <w:tc>
          <w:tcPr>
            <w:tcW w:w="636" w:type="pct"/>
            <w:tcBorders>
              <w:top w:val="nil"/>
              <w:left w:val="nil"/>
              <w:bottom w:val="nil"/>
              <w:right w:val="nil"/>
            </w:tcBorders>
            <w:hideMark/>
          </w:tcPr>
          <w:p w14:paraId="1C2E53F2"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27.12</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0.738</w:t>
            </w:r>
          </w:p>
        </w:tc>
        <w:tc>
          <w:tcPr>
            <w:tcW w:w="556" w:type="pct"/>
            <w:tcBorders>
              <w:top w:val="nil"/>
              <w:left w:val="nil"/>
              <w:bottom w:val="nil"/>
              <w:right w:val="nil"/>
            </w:tcBorders>
            <w:hideMark/>
          </w:tcPr>
          <w:p w14:paraId="385732C5"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0.787</w:t>
            </w:r>
          </w:p>
        </w:tc>
        <w:tc>
          <w:tcPr>
            <w:tcW w:w="636" w:type="pct"/>
            <w:tcBorders>
              <w:top w:val="nil"/>
              <w:left w:val="nil"/>
              <w:bottom w:val="nil"/>
              <w:right w:val="nil"/>
            </w:tcBorders>
            <w:hideMark/>
          </w:tcPr>
          <w:p w14:paraId="044390D4"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26.24</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0.81</w:t>
            </w:r>
          </w:p>
        </w:tc>
        <w:tc>
          <w:tcPr>
            <w:tcW w:w="713" w:type="pct"/>
            <w:tcBorders>
              <w:top w:val="nil"/>
              <w:left w:val="nil"/>
              <w:bottom w:val="nil"/>
              <w:right w:val="nil"/>
            </w:tcBorders>
            <w:hideMark/>
          </w:tcPr>
          <w:p w14:paraId="2F17BFA7"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28.18</w:t>
            </w:r>
            <w:r w:rsidRPr="002B0E12">
              <w:rPr>
                <w:rFonts w:ascii="Arial" w:hAnsi="Arial" w:cs="Arial"/>
                <w:bCs/>
                <w:kern w:val="2"/>
                <w:vertAlign w:val="superscript"/>
                <w:lang w:val="en-IN"/>
              </w:rPr>
              <w:t>a</w:t>
            </w:r>
            <w:r w:rsidRPr="002B0E12">
              <w:rPr>
                <w:rFonts w:ascii="Arial" w:hAnsi="Arial" w:cs="Arial"/>
                <w:kern w:val="2"/>
                <w:lang w:val="en-IN"/>
              </w:rPr>
              <w:t xml:space="preserve">± </w:t>
            </w:r>
            <w:r w:rsidRPr="002B0E12">
              <w:rPr>
                <w:rFonts w:ascii="Arial" w:hAnsi="Arial" w:cs="Arial"/>
                <w:bCs/>
                <w:kern w:val="2"/>
                <w:lang w:val="en-IN"/>
              </w:rPr>
              <w:t>0.88</w:t>
            </w:r>
          </w:p>
        </w:tc>
        <w:tc>
          <w:tcPr>
            <w:tcW w:w="634" w:type="pct"/>
            <w:tcBorders>
              <w:top w:val="nil"/>
              <w:left w:val="nil"/>
              <w:bottom w:val="nil"/>
              <w:right w:val="nil"/>
            </w:tcBorders>
            <w:hideMark/>
          </w:tcPr>
          <w:p w14:paraId="3D202AB5"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0.113</w:t>
            </w:r>
          </w:p>
        </w:tc>
      </w:tr>
      <w:tr w:rsidR="002B0E12" w:rsidRPr="002B0E12" w14:paraId="35066A06" w14:textId="77777777" w:rsidTr="0048694B">
        <w:trPr>
          <w:trHeight w:val="20"/>
          <w:jc w:val="center"/>
        </w:trPr>
        <w:tc>
          <w:tcPr>
            <w:tcW w:w="5000" w:type="pct"/>
            <w:gridSpan w:val="7"/>
            <w:tcBorders>
              <w:top w:val="nil"/>
              <w:left w:val="nil"/>
              <w:bottom w:val="nil"/>
              <w:right w:val="nil"/>
            </w:tcBorders>
            <w:hideMark/>
          </w:tcPr>
          <w:p w14:paraId="78F39E22"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
                <w:kern w:val="2"/>
                <w:lang w:val="en-IN"/>
              </w:rPr>
              <w:t>Abdominal Obesity</w:t>
            </w:r>
          </w:p>
        </w:tc>
      </w:tr>
      <w:tr w:rsidR="002B0E12" w:rsidRPr="002B0E12" w14:paraId="3188BB6B" w14:textId="77777777" w:rsidTr="0048694B">
        <w:trPr>
          <w:trHeight w:val="20"/>
          <w:jc w:val="center"/>
        </w:trPr>
        <w:tc>
          <w:tcPr>
            <w:tcW w:w="1111" w:type="pct"/>
            <w:tcBorders>
              <w:top w:val="nil"/>
              <w:left w:val="nil"/>
              <w:bottom w:val="nil"/>
              <w:right w:val="nil"/>
            </w:tcBorders>
            <w:hideMark/>
          </w:tcPr>
          <w:p w14:paraId="521E42C4"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Waist Circumference (cm)</w:t>
            </w:r>
          </w:p>
        </w:tc>
        <w:tc>
          <w:tcPr>
            <w:tcW w:w="713" w:type="pct"/>
            <w:tcBorders>
              <w:top w:val="nil"/>
              <w:left w:val="nil"/>
              <w:bottom w:val="nil"/>
              <w:right w:val="nil"/>
            </w:tcBorders>
            <w:hideMark/>
          </w:tcPr>
          <w:p w14:paraId="6DF44A31"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102.14</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1.74</w:t>
            </w:r>
          </w:p>
        </w:tc>
        <w:tc>
          <w:tcPr>
            <w:tcW w:w="636" w:type="pct"/>
            <w:tcBorders>
              <w:top w:val="nil"/>
              <w:left w:val="nil"/>
              <w:bottom w:val="nil"/>
              <w:right w:val="nil"/>
            </w:tcBorders>
            <w:hideMark/>
          </w:tcPr>
          <w:p w14:paraId="4FCF36B5"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102.02</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1.849</w:t>
            </w:r>
          </w:p>
        </w:tc>
        <w:tc>
          <w:tcPr>
            <w:tcW w:w="556" w:type="pct"/>
            <w:tcBorders>
              <w:top w:val="nil"/>
              <w:left w:val="nil"/>
              <w:bottom w:val="nil"/>
              <w:right w:val="nil"/>
            </w:tcBorders>
            <w:hideMark/>
          </w:tcPr>
          <w:p w14:paraId="5B728FCD"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0.227</w:t>
            </w:r>
          </w:p>
        </w:tc>
        <w:tc>
          <w:tcPr>
            <w:tcW w:w="636" w:type="pct"/>
            <w:tcBorders>
              <w:top w:val="nil"/>
              <w:left w:val="nil"/>
              <w:bottom w:val="nil"/>
              <w:right w:val="nil"/>
            </w:tcBorders>
            <w:hideMark/>
          </w:tcPr>
          <w:p w14:paraId="55038157"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92.83</w:t>
            </w:r>
            <w:r w:rsidRPr="002B0E12">
              <w:rPr>
                <w:rFonts w:ascii="Arial" w:hAnsi="Arial" w:cs="Arial"/>
                <w:kern w:val="2"/>
                <w:vertAlign w:val="superscript"/>
                <w:lang w:val="en-IN"/>
              </w:rPr>
              <w:t>a</w:t>
            </w:r>
            <w:r w:rsidRPr="002B0E12">
              <w:rPr>
                <w:rFonts w:ascii="Arial" w:hAnsi="Arial" w:cs="Arial"/>
                <w:kern w:val="2"/>
                <w:lang w:val="en-IN"/>
              </w:rPr>
              <w:t>±1.77</w:t>
            </w:r>
          </w:p>
        </w:tc>
        <w:tc>
          <w:tcPr>
            <w:tcW w:w="713" w:type="pct"/>
            <w:tcBorders>
              <w:top w:val="nil"/>
              <w:left w:val="nil"/>
              <w:bottom w:val="nil"/>
              <w:right w:val="nil"/>
            </w:tcBorders>
            <w:hideMark/>
          </w:tcPr>
          <w:p w14:paraId="0285C698"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94.19</w:t>
            </w:r>
            <w:r w:rsidRPr="002B0E12">
              <w:rPr>
                <w:rFonts w:ascii="Arial" w:hAnsi="Arial" w:cs="Arial"/>
                <w:kern w:val="2"/>
                <w:vertAlign w:val="superscript"/>
                <w:lang w:val="en-IN"/>
              </w:rPr>
              <w:t>a</w:t>
            </w:r>
            <w:r w:rsidRPr="002B0E12">
              <w:rPr>
                <w:rFonts w:ascii="Arial" w:hAnsi="Arial" w:cs="Arial"/>
                <w:kern w:val="2"/>
                <w:lang w:val="en-IN"/>
              </w:rPr>
              <w:t>± 2.46</w:t>
            </w:r>
          </w:p>
        </w:tc>
        <w:tc>
          <w:tcPr>
            <w:tcW w:w="634" w:type="pct"/>
            <w:tcBorders>
              <w:top w:val="nil"/>
              <w:left w:val="nil"/>
              <w:bottom w:val="nil"/>
              <w:right w:val="nil"/>
            </w:tcBorders>
            <w:hideMark/>
          </w:tcPr>
          <w:p w14:paraId="61205C7B"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0.655</w:t>
            </w:r>
          </w:p>
        </w:tc>
      </w:tr>
      <w:tr w:rsidR="002B0E12" w:rsidRPr="002B0E12" w14:paraId="2F1A517E" w14:textId="77777777" w:rsidTr="0048694B">
        <w:trPr>
          <w:trHeight w:val="20"/>
          <w:jc w:val="center"/>
        </w:trPr>
        <w:tc>
          <w:tcPr>
            <w:tcW w:w="1111" w:type="pct"/>
            <w:tcBorders>
              <w:top w:val="nil"/>
              <w:left w:val="nil"/>
              <w:bottom w:val="nil"/>
              <w:right w:val="nil"/>
            </w:tcBorders>
            <w:hideMark/>
          </w:tcPr>
          <w:p w14:paraId="658AD574"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Hip Circumference (cm)</w:t>
            </w:r>
          </w:p>
        </w:tc>
        <w:tc>
          <w:tcPr>
            <w:tcW w:w="713" w:type="pct"/>
            <w:tcBorders>
              <w:top w:val="nil"/>
              <w:left w:val="nil"/>
              <w:bottom w:val="nil"/>
              <w:right w:val="nil"/>
            </w:tcBorders>
            <w:hideMark/>
          </w:tcPr>
          <w:p w14:paraId="1A2BBE53"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104.0</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1.69</w:t>
            </w:r>
          </w:p>
        </w:tc>
        <w:tc>
          <w:tcPr>
            <w:tcW w:w="636" w:type="pct"/>
            <w:tcBorders>
              <w:top w:val="nil"/>
              <w:left w:val="nil"/>
              <w:bottom w:val="nil"/>
              <w:right w:val="nil"/>
            </w:tcBorders>
            <w:hideMark/>
          </w:tcPr>
          <w:p w14:paraId="1B31414F"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99.1</w:t>
            </w:r>
            <w:r w:rsidRPr="002B0E12">
              <w:rPr>
                <w:rFonts w:ascii="Arial" w:hAnsi="Arial" w:cs="Arial"/>
                <w:bCs/>
                <w:kern w:val="2"/>
                <w:vertAlign w:val="superscript"/>
                <w:lang w:val="en-IN"/>
              </w:rPr>
              <w:t xml:space="preserve"> b</w:t>
            </w:r>
            <w:r w:rsidRPr="002B0E12">
              <w:rPr>
                <w:rFonts w:ascii="Arial" w:hAnsi="Arial" w:cs="Arial"/>
                <w:kern w:val="2"/>
                <w:lang w:val="en-IN"/>
              </w:rPr>
              <w:t xml:space="preserve"> ±</w:t>
            </w:r>
            <w:r w:rsidRPr="002B0E12">
              <w:rPr>
                <w:rFonts w:ascii="Arial" w:hAnsi="Arial" w:cs="Arial"/>
                <w:bCs/>
                <w:kern w:val="2"/>
                <w:lang w:val="en-IN"/>
              </w:rPr>
              <w:t>1.763</w:t>
            </w:r>
          </w:p>
        </w:tc>
        <w:tc>
          <w:tcPr>
            <w:tcW w:w="556" w:type="pct"/>
            <w:tcBorders>
              <w:top w:val="nil"/>
              <w:left w:val="nil"/>
              <w:bottom w:val="nil"/>
              <w:right w:val="nil"/>
            </w:tcBorders>
            <w:hideMark/>
          </w:tcPr>
          <w:p w14:paraId="4BA32E4B"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0.052</w:t>
            </w:r>
          </w:p>
        </w:tc>
        <w:tc>
          <w:tcPr>
            <w:tcW w:w="636" w:type="pct"/>
            <w:tcBorders>
              <w:top w:val="nil"/>
              <w:left w:val="nil"/>
              <w:bottom w:val="nil"/>
              <w:right w:val="nil"/>
            </w:tcBorders>
            <w:hideMark/>
          </w:tcPr>
          <w:p w14:paraId="4E33CEBC"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101.6</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1.71</w:t>
            </w:r>
          </w:p>
        </w:tc>
        <w:tc>
          <w:tcPr>
            <w:tcW w:w="713" w:type="pct"/>
            <w:tcBorders>
              <w:top w:val="nil"/>
              <w:left w:val="nil"/>
              <w:bottom w:val="nil"/>
              <w:right w:val="nil"/>
            </w:tcBorders>
            <w:hideMark/>
          </w:tcPr>
          <w:p w14:paraId="348ED3D2"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102.34</w:t>
            </w:r>
            <w:r w:rsidRPr="002B0E12">
              <w:rPr>
                <w:rFonts w:ascii="Arial" w:hAnsi="Arial" w:cs="Arial"/>
                <w:kern w:val="2"/>
                <w:vertAlign w:val="superscript"/>
                <w:lang w:val="en-IN"/>
              </w:rPr>
              <w:t>a</w:t>
            </w:r>
            <w:r w:rsidRPr="002B0E12">
              <w:rPr>
                <w:rFonts w:ascii="Arial" w:hAnsi="Arial" w:cs="Arial"/>
                <w:kern w:val="2"/>
                <w:lang w:val="en-IN"/>
              </w:rPr>
              <w:t>±1.37</w:t>
            </w:r>
          </w:p>
        </w:tc>
        <w:tc>
          <w:tcPr>
            <w:tcW w:w="634" w:type="pct"/>
            <w:tcBorders>
              <w:top w:val="nil"/>
              <w:left w:val="nil"/>
              <w:bottom w:val="nil"/>
              <w:right w:val="nil"/>
            </w:tcBorders>
            <w:hideMark/>
          </w:tcPr>
          <w:p w14:paraId="6660EABD"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0.737</w:t>
            </w:r>
          </w:p>
        </w:tc>
      </w:tr>
      <w:tr w:rsidR="002B0E12" w:rsidRPr="002B0E12" w14:paraId="353964C3" w14:textId="77777777" w:rsidTr="0048694B">
        <w:trPr>
          <w:trHeight w:val="20"/>
          <w:jc w:val="center"/>
        </w:trPr>
        <w:tc>
          <w:tcPr>
            <w:tcW w:w="1111" w:type="pct"/>
            <w:tcBorders>
              <w:top w:val="nil"/>
              <w:left w:val="nil"/>
              <w:bottom w:val="nil"/>
              <w:right w:val="nil"/>
            </w:tcBorders>
            <w:hideMark/>
          </w:tcPr>
          <w:p w14:paraId="1FB519C7"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Waist-Hip Ratio (cm)</w:t>
            </w:r>
          </w:p>
        </w:tc>
        <w:tc>
          <w:tcPr>
            <w:tcW w:w="713" w:type="pct"/>
            <w:tcBorders>
              <w:top w:val="nil"/>
              <w:left w:val="nil"/>
              <w:bottom w:val="nil"/>
              <w:right w:val="nil"/>
            </w:tcBorders>
            <w:hideMark/>
          </w:tcPr>
          <w:p w14:paraId="01AABA51"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0.98</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0.01</w:t>
            </w:r>
          </w:p>
        </w:tc>
        <w:tc>
          <w:tcPr>
            <w:tcW w:w="636" w:type="pct"/>
            <w:tcBorders>
              <w:top w:val="nil"/>
              <w:left w:val="nil"/>
              <w:bottom w:val="nil"/>
              <w:right w:val="nil"/>
            </w:tcBorders>
            <w:hideMark/>
          </w:tcPr>
          <w:p w14:paraId="0DBA72CC"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1.03</w:t>
            </w:r>
            <w:r w:rsidRPr="002B0E12">
              <w:rPr>
                <w:rFonts w:ascii="Arial" w:hAnsi="Arial" w:cs="Arial"/>
                <w:bCs/>
                <w:kern w:val="2"/>
                <w:vertAlign w:val="superscript"/>
                <w:lang w:val="en-IN"/>
              </w:rPr>
              <w:t>a</w:t>
            </w:r>
            <w:r w:rsidRPr="002B0E12">
              <w:rPr>
                <w:rFonts w:ascii="Arial" w:hAnsi="Arial" w:cs="Arial"/>
                <w:kern w:val="2"/>
                <w:lang w:val="en-IN"/>
              </w:rPr>
              <w:t xml:space="preserve"> ±</w:t>
            </w:r>
            <w:r w:rsidRPr="002B0E12">
              <w:rPr>
                <w:rFonts w:ascii="Arial" w:hAnsi="Arial" w:cs="Arial"/>
                <w:bCs/>
                <w:kern w:val="2"/>
                <w:lang w:val="en-IN"/>
              </w:rPr>
              <w:t>0.015</w:t>
            </w:r>
          </w:p>
        </w:tc>
        <w:tc>
          <w:tcPr>
            <w:tcW w:w="556" w:type="pct"/>
            <w:tcBorders>
              <w:top w:val="nil"/>
              <w:left w:val="nil"/>
              <w:bottom w:val="nil"/>
              <w:right w:val="nil"/>
            </w:tcBorders>
            <w:hideMark/>
          </w:tcPr>
          <w:p w14:paraId="44D2A685"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0.329</w:t>
            </w:r>
          </w:p>
        </w:tc>
        <w:tc>
          <w:tcPr>
            <w:tcW w:w="636" w:type="pct"/>
            <w:tcBorders>
              <w:top w:val="nil"/>
              <w:left w:val="nil"/>
              <w:bottom w:val="nil"/>
              <w:right w:val="nil"/>
            </w:tcBorders>
            <w:hideMark/>
          </w:tcPr>
          <w:p w14:paraId="604B25D0"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0.91</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0.009</w:t>
            </w:r>
          </w:p>
        </w:tc>
        <w:tc>
          <w:tcPr>
            <w:tcW w:w="713" w:type="pct"/>
            <w:tcBorders>
              <w:top w:val="nil"/>
              <w:left w:val="nil"/>
              <w:bottom w:val="nil"/>
              <w:right w:val="nil"/>
            </w:tcBorders>
            <w:hideMark/>
          </w:tcPr>
          <w:p w14:paraId="3DF6932D"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0.92</w:t>
            </w:r>
            <w:r w:rsidRPr="002B0E12">
              <w:rPr>
                <w:rFonts w:ascii="Arial" w:hAnsi="Arial" w:cs="Arial"/>
                <w:bCs/>
                <w:kern w:val="2"/>
                <w:vertAlign w:val="superscript"/>
                <w:lang w:val="en-IN"/>
              </w:rPr>
              <w:t xml:space="preserve">a </w:t>
            </w:r>
            <w:r w:rsidRPr="002B0E12">
              <w:rPr>
                <w:rFonts w:ascii="Arial" w:hAnsi="Arial" w:cs="Arial"/>
                <w:kern w:val="2"/>
                <w:lang w:val="en-IN"/>
              </w:rPr>
              <w:t xml:space="preserve">± </w:t>
            </w:r>
            <w:r w:rsidRPr="002B0E12">
              <w:rPr>
                <w:rFonts w:ascii="Arial" w:hAnsi="Arial" w:cs="Arial"/>
                <w:bCs/>
                <w:kern w:val="2"/>
                <w:lang w:val="en-IN"/>
              </w:rPr>
              <w:t>0.017</w:t>
            </w:r>
          </w:p>
        </w:tc>
        <w:tc>
          <w:tcPr>
            <w:tcW w:w="634" w:type="pct"/>
            <w:tcBorders>
              <w:top w:val="nil"/>
              <w:left w:val="nil"/>
              <w:bottom w:val="nil"/>
              <w:right w:val="nil"/>
            </w:tcBorders>
            <w:hideMark/>
          </w:tcPr>
          <w:p w14:paraId="3778ED6E"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0.818</w:t>
            </w:r>
          </w:p>
        </w:tc>
      </w:tr>
      <w:tr w:rsidR="002B0E12" w:rsidRPr="002B0E12" w14:paraId="469E8CFE" w14:textId="77777777" w:rsidTr="0048694B">
        <w:trPr>
          <w:trHeight w:val="20"/>
          <w:jc w:val="center"/>
        </w:trPr>
        <w:tc>
          <w:tcPr>
            <w:tcW w:w="1111" w:type="pct"/>
            <w:tcBorders>
              <w:top w:val="nil"/>
              <w:left w:val="nil"/>
              <w:bottom w:val="nil"/>
              <w:right w:val="nil"/>
            </w:tcBorders>
            <w:hideMark/>
          </w:tcPr>
          <w:p w14:paraId="75DB5179"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Waist- Height Ratio (cm)</w:t>
            </w:r>
          </w:p>
        </w:tc>
        <w:tc>
          <w:tcPr>
            <w:tcW w:w="713" w:type="pct"/>
            <w:tcBorders>
              <w:top w:val="nil"/>
              <w:left w:val="nil"/>
              <w:bottom w:val="nil"/>
              <w:right w:val="nil"/>
            </w:tcBorders>
            <w:hideMark/>
          </w:tcPr>
          <w:p w14:paraId="79D1777B"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0.59</w:t>
            </w:r>
            <w:r w:rsidRPr="002B0E12">
              <w:rPr>
                <w:rFonts w:ascii="Arial" w:hAnsi="Arial" w:cs="Arial"/>
                <w:bCs/>
                <w:kern w:val="2"/>
                <w:vertAlign w:val="superscript"/>
                <w:lang w:val="en-IN"/>
              </w:rPr>
              <w:t xml:space="preserve"> a</w:t>
            </w:r>
            <w:r w:rsidRPr="002B0E12">
              <w:rPr>
                <w:rFonts w:ascii="Arial" w:hAnsi="Arial" w:cs="Arial"/>
                <w:kern w:val="2"/>
                <w:lang w:val="en-IN"/>
              </w:rPr>
              <w:t xml:space="preserve"> ± </w:t>
            </w:r>
            <w:r w:rsidRPr="002B0E12">
              <w:rPr>
                <w:rFonts w:ascii="Arial" w:hAnsi="Arial" w:cs="Arial"/>
                <w:bCs/>
                <w:kern w:val="2"/>
                <w:lang w:val="en-IN"/>
              </w:rPr>
              <w:t>0.01</w:t>
            </w:r>
          </w:p>
        </w:tc>
        <w:tc>
          <w:tcPr>
            <w:tcW w:w="636" w:type="pct"/>
            <w:tcBorders>
              <w:top w:val="nil"/>
              <w:left w:val="nil"/>
              <w:bottom w:val="nil"/>
              <w:right w:val="nil"/>
            </w:tcBorders>
            <w:hideMark/>
          </w:tcPr>
          <w:p w14:paraId="73E19281"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0.60</w:t>
            </w:r>
            <w:r w:rsidRPr="002B0E12">
              <w:rPr>
                <w:rFonts w:ascii="Arial" w:hAnsi="Arial" w:cs="Arial"/>
                <w:bCs/>
                <w:kern w:val="2"/>
                <w:vertAlign w:val="superscript"/>
                <w:lang w:val="en-IN"/>
              </w:rPr>
              <w:t>a</w:t>
            </w:r>
            <w:r w:rsidRPr="002B0E12">
              <w:rPr>
                <w:rFonts w:ascii="Arial" w:hAnsi="Arial" w:cs="Arial"/>
                <w:kern w:val="2"/>
                <w:lang w:val="en-IN"/>
              </w:rPr>
              <w:t xml:space="preserve"> ±</w:t>
            </w:r>
            <w:r w:rsidRPr="002B0E12">
              <w:rPr>
                <w:rFonts w:ascii="Arial" w:hAnsi="Arial" w:cs="Arial"/>
                <w:bCs/>
                <w:kern w:val="2"/>
                <w:lang w:val="en-IN"/>
              </w:rPr>
              <w:t>0.013</w:t>
            </w:r>
          </w:p>
        </w:tc>
        <w:tc>
          <w:tcPr>
            <w:tcW w:w="556" w:type="pct"/>
            <w:tcBorders>
              <w:top w:val="nil"/>
              <w:left w:val="nil"/>
              <w:bottom w:val="nil"/>
              <w:right w:val="nil"/>
            </w:tcBorders>
            <w:hideMark/>
          </w:tcPr>
          <w:p w14:paraId="2FBE6390"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0.795</w:t>
            </w:r>
          </w:p>
        </w:tc>
        <w:tc>
          <w:tcPr>
            <w:tcW w:w="636" w:type="pct"/>
            <w:tcBorders>
              <w:top w:val="nil"/>
              <w:left w:val="nil"/>
              <w:bottom w:val="nil"/>
              <w:right w:val="nil"/>
            </w:tcBorders>
            <w:hideMark/>
          </w:tcPr>
          <w:p w14:paraId="35FE592A"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0.59</w:t>
            </w:r>
            <w:r w:rsidRPr="002B0E12">
              <w:rPr>
                <w:rFonts w:ascii="Arial" w:hAnsi="Arial" w:cs="Arial"/>
                <w:bCs/>
                <w:kern w:val="2"/>
                <w:vertAlign w:val="superscript"/>
                <w:lang w:val="en-IN"/>
              </w:rPr>
              <w:t>a</w:t>
            </w:r>
            <w:r w:rsidRPr="002B0E12">
              <w:rPr>
                <w:rFonts w:ascii="Arial" w:hAnsi="Arial" w:cs="Arial"/>
                <w:kern w:val="2"/>
                <w:lang w:val="en-IN"/>
              </w:rPr>
              <w:t>±</w:t>
            </w:r>
            <w:r w:rsidRPr="002B0E12">
              <w:rPr>
                <w:rFonts w:ascii="Arial" w:hAnsi="Arial" w:cs="Arial"/>
                <w:bCs/>
                <w:kern w:val="2"/>
                <w:lang w:val="en-IN"/>
              </w:rPr>
              <w:t>0.013</w:t>
            </w:r>
          </w:p>
        </w:tc>
        <w:tc>
          <w:tcPr>
            <w:tcW w:w="713" w:type="pct"/>
            <w:tcBorders>
              <w:top w:val="nil"/>
              <w:left w:val="nil"/>
              <w:bottom w:val="nil"/>
              <w:right w:val="nil"/>
            </w:tcBorders>
            <w:hideMark/>
          </w:tcPr>
          <w:p w14:paraId="79AF6F87"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bCs/>
                <w:kern w:val="2"/>
                <w:lang w:val="en-IN"/>
              </w:rPr>
              <w:t>0.62</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0.016</w:t>
            </w:r>
          </w:p>
        </w:tc>
        <w:tc>
          <w:tcPr>
            <w:tcW w:w="634" w:type="pct"/>
            <w:tcBorders>
              <w:top w:val="nil"/>
              <w:left w:val="nil"/>
              <w:bottom w:val="nil"/>
              <w:right w:val="nil"/>
            </w:tcBorders>
            <w:hideMark/>
          </w:tcPr>
          <w:p w14:paraId="5A5694FD"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0.224</w:t>
            </w:r>
          </w:p>
        </w:tc>
      </w:tr>
      <w:tr w:rsidR="002B0E12" w:rsidRPr="002B0E12" w14:paraId="29F32846" w14:textId="77777777" w:rsidTr="0048694B">
        <w:trPr>
          <w:trHeight w:val="20"/>
          <w:jc w:val="center"/>
        </w:trPr>
        <w:tc>
          <w:tcPr>
            <w:tcW w:w="1111" w:type="pct"/>
            <w:tcBorders>
              <w:top w:val="nil"/>
              <w:left w:val="nil"/>
              <w:bottom w:val="nil"/>
              <w:right w:val="nil"/>
            </w:tcBorders>
            <w:hideMark/>
          </w:tcPr>
          <w:p w14:paraId="4B93D95E"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Conicity Index</w:t>
            </w:r>
          </w:p>
        </w:tc>
        <w:tc>
          <w:tcPr>
            <w:tcW w:w="713" w:type="pct"/>
            <w:tcBorders>
              <w:top w:val="nil"/>
              <w:left w:val="nil"/>
              <w:bottom w:val="nil"/>
              <w:right w:val="nil"/>
            </w:tcBorders>
            <w:hideMark/>
          </w:tcPr>
          <w:p w14:paraId="0206D6F9"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1.36</w:t>
            </w:r>
            <w:r w:rsidRPr="002B0E12">
              <w:rPr>
                <w:rFonts w:ascii="Arial" w:hAnsi="Arial" w:cs="Arial"/>
                <w:kern w:val="2"/>
                <w:vertAlign w:val="superscript"/>
                <w:lang w:val="en-IN"/>
              </w:rPr>
              <w:t xml:space="preserve"> a</w:t>
            </w:r>
            <w:r w:rsidRPr="002B0E12">
              <w:rPr>
                <w:rFonts w:ascii="Arial" w:hAnsi="Arial" w:cs="Arial"/>
                <w:kern w:val="2"/>
                <w:lang w:val="en-IN"/>
              </w:rPr>
              <w:t xml:space="preserve"> ± 0.01</w:t>
            </w:r>
          </w:p>
        </w:tc>
        <w:tc>
          <w:tcPr>
            <w:tcW w:w="636" w:type="pct"/>
            <w:tcBorders>
              <w:top w:val="nil"/>
              <w:left w:val="nil"/>
              <w:bottom w:val="nil"/>
              <w:right w:val="nil"/>
            </w:tcBorders>
            <w:hideMark/>
          </w:tcPr>
          <w:p w14:paraId="5B71D08B"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1.35</w:t>
            </w:r>
            <w:r w:rsidRPr="002B0E12">
              <w:rPr>
                <w:rFonts w:ascii="Arial" w:hAnsi="Arial" w:cs="Arial"/>
                <w:kern w:val="2"/>
                <w:vertAlign w:val="superscript"/>
                <w:lang w:val="en-IN"/>
              </w:rPr>
              <w:t>a</w:t>
            </w:r>
            <w:r w:rsidRPr="002B0E12">
              <w:rPr>
                <w:rFonts w:ascii="Arial" w:hAnsi="Arial" w:cs="Arial"/>
                <w:kern w:val="2"/>
                <w:lang w:val="en-IN"/>
              </w:rPr>
              <w:t xml:space="preserve"> ±0.014</w:t>
            </w:r>
          </w:p>
        </w:tc>
        <w:tc>
          <w:tcPr>
            <w:tcW w:w="556" w:type="pct"/>
            <w:tcBorders>
              <w:top w:val="nil"/>
              <w:left w:val="nil"/>
              <w:bottom w:val="nil"/>
              <w:right w:val="nil"/>
            </w:tcBorders>
            <w:hideMark/>
          </w:tcPr>
          <w:p w14:paraId="385A4648"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0.427</w:t>
            </w:r>
          </w:p>
        </w:tc>
        <w:tc>
          <w:tcPr>
            <w:tcW w:w="636" w:type="pct"/>
            <w:tcBorders>
              <w:top w:val="nil"/>
              <w:left w:val="nil"/>
              <w:bottom w:val="nil"/>
              <w:right w:val="nil"/>
            </w:tcBorders>
            <w:hideMark/>
          </w:tcPr>
          <w:p w14:paraId="7A470435"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1.32</w:t>
            </w:r>
            <w:r w:rsidRPr="002B0E12">
              <w:rPr>
                <w:rFonts w:ascii="Arial" w:hAnsi="Arial" w:cs="Arial"/>
                <w:kern w:val="2"/>
                <w:vertAlign w:val="superscript"/>
                <w:lang w:val="en-IN"/>
              </w:rPr>
              <w:t>a</w:t>
            </w:r>
            <w:r w:rsidRPr="002B0E12">
              <w:rPr>
                <w:rFonts w:ascii="Arial" w:hAnsi="Arial" w:cs="Arial"/>
                <w:kern w:val="2"/>
                <w:lang w:val="en-IN"/>
              </w:rPr>
              <w:t>±0.018</w:t>
            </w:r>
          </w:p>
        </w:tc>
        <w:tc>
          <w:tcPr>
            <w:tcW w:w="713" w:type="pct"/>
            <w:tcBorders>
              <w:top w:val="nil"/>
              <w:left w:val="nil"/>
              <w:bottom w:val="nil"/>
              <w:right w:val="nil"/>
            </w:tcBorders>
            <w:hideMark/>
          </w:tcPr>
          <w:p w14:paraId="11794D1C"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bCs/>
                <w:kern w:val="2"/>
                <w:lang w:val="en-IN"/>
              </w:rPr>
              <w:t>1.32</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0.019</w:t>
            </w:r>
          </w:p>
        </w:tc>
        <w:tc>
          <w:tcPr>
            <w:tcW w:w="634" w:type="pct"/>
            <w:tcBorders>
              <w:top w:val="nil"/>
              <w:left w:val="nil"/>
              <w:bottom w:val="nil"/>
              <w:right w:val="nil"/>
            </w:tcBorders>
            <w:hideMark/>
          </w:tcPr>
          <w:p w14:paraId="758FD534"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0.927</w:t>
            </w:r>
          </w:p>
        </w:tc>
      </w:tr>
      <w:tr w:rsidR="002B0E12" w:rsidRPr="002B0E12" w14:paraId="5F03F7D4" w14:textId="77777777" w:rsidTr="0048694B">
        <w:trPr>
          <w:trHeight w:val="20"/>
          <w:jc w:val="center"/>
        </w:trPr>
        <w:tc>
          <w:tcPr>
            <w:tcW w:w="1111" w:type="pct"/>
            <w:tcBorders>
              <w:top w:val="nil"/>
              <w:left w:val="nil"/>
              <w:bottom w:val="single" w:sz="4" w:space="0" w:color="auto"/>
              <w:right w:val="nil"/>
            </w:tcBorders>
            <w:hideMark/>
          </w:tcPr>
          <w:p w14:paraId="705CCCFC" w14:textId="77777777" w:rsidR="009675B7" w:rsidRPr="002B0E12" w:rsidRDefault="009675B7" w:rsidP="0048694B">
            <w:pPr>
              <w:widowControl w:val="0"/>
              <w:spacing w:after="0"/>
              <w:ind w:left="-49"/>
              <w:rPr>
                <w:rFonts w:ascii="Arial" w:hAnsi="Arial" w:cs="Arial"/>
                <w:bCs/>
                <w:kern w:val="2"/>
                <w:lang w:val="en-IN"/>
              </w:rPr>
            </w:pPr>
            <w:r w:rsidRPr="002B0E12">
              <w:rPr>
                <w:rFonts w:ascii="Arial" w:hAnsi="Arial" w:cs="Arial"/>
                <w:bCs/>
                <w:kern w:val="2"/>
                <w:lang w:val="en-IN"/>
              </w:rPr>
              <w:t>Abdominal Volume Index</w:t>
            </w:r>
          </w:p>
        </w:tc>
        <w:tc>
          <w:tcPr>
            <w:tcW w:w="713" w:type="pct"/>
            <w:tcBorders>
              <w:top w:val="nil"/>
              <w:left w:val="nil"/>
              <w:bottom w:val="single" w:sz="4" w:space="0" w:color="auto"/>
              <w:right w:val="nil"/>
            </w:tcBorders>
            <w:hideMark/>
          </w:tcPr>
          <w:p w14:paraId="3330CB4B"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21.05</w:t>
            </w:r>
            <w:r w:rsidRPr="002B0E12">
              <w:rPr>
                <w:rFonts w:ascii="Arial" w:hAnsi="Arial" w:cs="Arial"/>
                <w:kern w:val="2"/>
                <w:vertAlign w:val="superscript"/>
                <w:lang w:val="en-IN"/>
              </w:rPr>
              <w:t>a</w:t>
            </w:r>
            <w:r w:rsidRPr="002B0E12">
              <w:rPr>
                <w:rFonts w:ascii="Arial" w:hAnsi="Arial" w:cs="Arial"/>
                <w:kern w:val="2"/>
                <w:lang w:val="en-IN"/>
              </w:rPr>
              <w:t xml:space="preserve"> ± 0.71</w:t>
            </w:r>
          </w:p>
        </w:tc>
        <w:tc>
          <w:tcPr>
            <w:tcW w:w="636" w:type="pct"/>
            <w:tcBorders>
              <w:top w:val="nil"/>
              <w:left w:val="nil"/>
              <w:bottom w:val="single" w:sz="4" w:space="0" w:color="auto"/>
              <w:right w:val="nil"/>
            </w:tcBorders>
            <w:hideMark/>
          </w:tcPr>
          <w:p w14:paraId="71F3DDBA"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19.93</w:t>
            </w:r>
            <w:r w:rsidRPr="002B0E12">
              <w:rPr>
                <w:rFonts w:ascii="Arial" w:hAnsi="Arial" w:cs="Arial"/>
                <w:kern w:val="2"/>
                <w:vertAlign w:val="superscript"/>
                <w:lang w:val="en-IN"/>
              </w:rPr>
              <w:t>a</w:t>
            </w:r>
            <w:r w:rsidRPr="002B0E12">
              <w:rPr>
                <w:rFonts w:ascii="Arial" w:hAnsi="Arial" w:cs="Arial"/>
                <w:kern w:val="2"/>
                <w:lang w:val="en-IN"/>
              </w:rPr>
              <w:t>±0.680</w:t>
            </w:r>
          </w:p>
        </w:tc>
        <w:tc>
          <w:tcPr>
            <w:tcW w:w="556" w:type="pct"/>
            <w:tcBorders>
              <w:top w:val="nil"/>
              <w:left w:val="nil"/>
              <w:bottom w:val="single" w:sz="4" w:space="0" w:color="auto"/>
              <w:right w:val="nil"/>
            </w:tcBorders>
            <w:hideMark/>
          </w:tcPr>
          <w:p w14:paraId="338E0E79"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0.258</w:t>
            </w:r>
          </w:p>
        </w:tc>
        <w:tc>
          <w:tcPr>
            <w:tcW w:w="636" w:type="pct"/>
            <w:tcBorders>
              <w:top w:val="nil"/>
              <w:left w:val="nil"/>
              <w:bottom w:val="single" w:sz="4" w:space="0" w:color="auto"/>
              <w:right w:val="nil"/>
            </w:tcBorders>
            <w:hideMark/>
          </w:tcPr>
          <w:p w14:paraId="6BCE12FE" w14:textId="77777777" w:rsidR="009675B7" w:rsidRPr="002B0E12" w:rsidRDefault="009675B7" w:rsidP="0048694B">
            <w:pPr>
              <w:widowControl w:val="0"/>
              <w:spacing w:after="0"/>
              <w:jc w:val="center"/>
              <w:rPr>
                <w:rFonts w:ascii="Arial" w:hAnsi="Arial" w:cs="Arial"/>
                <w:kern w:val="2"/>
                <w:lang w:val="en-IN"/>
              </w:rPr>
            </w:pPr>
            <w:r w:rsidRPr="002B0E12">
              <w:rPr>
                <w:rFonts w:ascii="Arial" w:hAnsi="Arial" w:cs="Arial"/>
                <w:kern w:val="2"/>
                <w:lang w:val="en-IN"/>
              </w:rPr>
              <w:t>17.06</w:t>
            </w:r>
            <w:r w:rsidRPr="002B0E12">
              <w:rPr>
                <w:rFonts w:ascii="Arial" w:hAnsi="Arial" w:cs="Arial"/>
                <w:kern w:val="2"/>
                <w:vertAlign w:val="superscript"/>
                <w:lang w:val="en-IN"/>
              </w:rPr>
              <w:t>a</w:t>
            </w:r>
            <w:r w:rsidRPr="002B0E12">
              <w:rPr>
                <w:rFonts w:ascii="Arial" w:hAnsi="Arial" w:cs="Arial"/>
                <w:kern w:val="2"/>
                <w:lang w:val="en-IN"/>
              </w:rPr>
              <w:t>±0.57</w:t>
            </w:r>
          </w:p>
        </w:tc>
        <w:tc>
          <w:tcPr>
            <w:tcW w:w="713" w:type="pct"/>
            <w:tcBorders>
              <w:top w:val="nil"/>
              <w:left w:val="nil"/>
              <w:bottom w:val="single" w:sz="4" w:space="0" w:color="auto"/>
              <w:right w:val="nil"/>
            </w:tcBorders>
            <w:hideMark/>
          </w:tcPr>
          <w:p w14:paraId="5BBB8EB6"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bCs/>
                <w:kern w:val="2"/>
                <w:lang w:val="en-IN"/>
              </w:rPr>
              <w:t>18.11</w:t>
            </w:r>
            <w:r w:rsidRPr="002B0E12">
              <w:rPr>
                <w:rFonts w:ascii="Arial" w:hAnsi="Arial" w:cs="Arial"/>
                <w:bCs/>
                <w:kern w:val="2"/>
                <w:vertAlign w:val="superscript"/>
                <w:lang w:val="en-IN"/>
              </w:rPr>
              <w:t>a</w:t>
            </w:r>
            <w:r w:rsidRPr="002B0E12">
              <w:rPr>
                <w:rFonts w:ascii="Arial" w:hAnsi="Arial" w:cs="Arial"/>
                <w:kern w:val="2"/>
                <w:lang w:val="en-IN"/>
              </w:rPr>
              <w:t xml:space="preserve"> ± </w:t>
            </w:r>
            <w:r w:rsidRPr="002B0E12">
              <w:rPr>
                <w:rFonts w:ascii="Arial" w:hAnsi="Arial" w:cs="Arial"/>
                <w:bCs/>
                <w:kern w:val="2"/>
                <w:lang w:val="en-IN"/>
              </w:rPr>
              <w:t>0.93</w:t>
            </w:r>
          </w:p>
        </w:tc>
        <w:tc>
          <w:tcPr>
            <w:tcW w:w="634" w:type="pct"/>
            <w:tcBorders>
              <w:top w:val="nil"/>
              <w:left w:val="nil"/>
              <w:bottom w:val="single" w:sz="4" w:space="0" w:color="auto"/>
              <w:right w:val="nil"/>
            </w:tcBorders>
            <w:hideMark/>
          </w:tcPr>
          <w:p w14:paraId="455EC04C" w14:textId="77777777" w:rsidR="009675B7" w:rsidRPr="002B0E12" w:rsidRDefault="009675B7" w:rsidP="0048694B">
            <w:pPr>
              <w:widowControl w:val="0"/>
              <w:spacing w:after="0"/>
              <w:jc w:val="center"/>
              <w:rPr>
                <w:rFonts w:ascii="Arial" w:hAnsi="Arial" w:cs="Arial"/>
                <w:bCs/>
                <w:kern w:val="2"/>
                <w:lang w:val="en-IN"/>
              </w:rPr>
            </w:pPr>
            <w:r w:rsidRPr="002B0E12">
              <w:rPr>
                <w:rFonts w:ascii="Arial" w:hAnsi="Arial" w:cs="Arial"/>
                <w:kern w:val="2"/>
                <w:lang w:val="en-IN"/>
              </w:rPr>
              <w:t>0.340</w:t>
            </w:r>
          </w:p>
        </w:tc>
      </w:tr>
    </w:tbl>
    <w:p w14:paraId="36476026" w14:textId="77777777" w:rsidR="009675B7" w:rsidRPr="002B0E12" w:rsidRDefault="009675B7" w:rsidP="009675B7">
      <w:pPr>
        <w:widowControl w:val="0"/>
        <w:spacing w:after="0"/>
        <w:rPr>
          <w:rFonts w:ascii="Arial" w:hAnsi="Arial" w:cs="Arial"/>
        </w:rPr>
      </w:pPr>
      <w:r w:rsidRPr="002B0E12">
        <w:rPr>
          <w:rFonts w:ascii="Arial" w:hAnsi="Arial" w:cs="Arial"/>
        </w:rPr>
        <w:t>Values are presented as Mean ± SE; values with different alphabets in superscripts differ significantly with level of significance P&lt;0.05.</w:t>
      </w:r>
    </w:p>
    <w:p w14:paraId="6B406D5D" w14:textId="77777777" w:rsidR="009675B7" w:rsidRPr="002B0E12" w:rsidRDefault="009675B7" w:rsidP="009675B7">
      <w:pPr>
        <w:widowControl w:val="0"/>
        <w:spacing w:after="0"/>
        <w:jc w:val="both"/>
        <w:rPr>
          <w:rFonts w:ascii="Arial" w:hAnsi="Arial" w:cs="Arial"/>
        </w:rPr>
      </w:pPr>
      <w:r w:rsidRPr="002B0E12">
        <w:rPr>
          <w:rFonts w:ascii="Arial" w:hAnsi="Arial" w:cs="Arial"/>
        </w:rPr>
        <w:t>Cut-off values: Weight: men 65kg and women 55kg (ICMR (2010); Body mass index (BMI) 23kg/m</w:t>
      </w:r>
      <w:r w:rsidRPr="002B0E12">
        <w:rPr>
          <w:rFonts w:ascii="Arial" w:hAnsi="Arial" w:cs="Arial"/>
          <w:vertAlign w:val="superscript"/>
        </w:rPr>
        <w:t>2</w:t>
      </w:r>
      <w:r w:rsidRPr="002B0E12">
        <w:rPr>
          <w:rFonts w:ascii="Arial" w:hAnsi="Arial" w:cs="Arial"/>
        </w:rPr>
        <w:t xml:space="preserve"> (WHO 2004); Waist circumference: men ≥102cm and women ≥88 cm (NCEP-ATP III, 2001); Waist/hip ratio: men 0.90 and women 0.80 (ICMR 2010); Waist to height ratio  0.5 (Browning </w:t>
      </w:r>
      <w:r w:rsidRPr="002B0E12">
        <w:rPr>
          <w:rFonts w:ascii="Arial" w:hAnsi="Arial" w:cs="Arial"/>
          <w:iCs/>
        </w:rPr>
        <w:t>et al</w:t>
      </w:r>
      <w:r w:rsidRPr="002B0E12">
        <w:rPr>
          <w:rFonts w:ascii="Arial" w:hAnsi="Arial" w:cs="Arial"/>
          <w:i/>
        </w:rPr>
        <w:t xml:space="preserve">  </w:t>
      </w:r>
      <w:r w:rsidRPr="002B0E12">
        <w:rPr>
          <w:rFonts w:ascii="Arial" w:hAnsi="Arial" w:cs="Arial"/>
        </w:rPr>
        <w:t>2010), Conicity index: men 1.21 and women 1.18 (</w:t>
      </w:r>
      <w:proofErr w:type="spellStart"/>
      <w:r w:rsidRPr="002B0E12">
        <w:rPr>
          <w:rFonts w:ascii="Arial" w:hAnsi="Arial" w:cs="Arial"/>
          <w:shd w:val="clear" w:color="auto" w:fill="FFFFFF"/>
        </w:rPr>
        <w:t>Pintanga</w:t>
      </w:r>
      <w:proofErr w:type="spellEnd"/>
      <w:r w:rsidRPr="002B0E12">
        <w:rPr>
          <w:rFonts w:ascii="Arial" w:hAnsi="Arial" w:cs="Arial"/>
          <w:shd w:val="clear" w:color="auto" w:fill="FFFFFF"/>
        </w:rPr>
        <w:t xml:space="preserve"> and </w:t>
      </w:r>
      <w:proofErr w:type="spellStart"/>
      <w:r w:rsidRPr="002B0E12">
        <w:rPr>
          <w:rFonts w:ascii="Arial" w:hAnsi="Arial" w:cs="Arial"/>
          <w:shd w:val="clear" w:color="auto" w:fill="FFFFFF"/>
        </w:rPr>
        <w:t>Lessa</w:t>
      </w:r>
      <w:proofErr w:type="spellEnd"/>
      <w:r w:rsidRPr="002B0E12">
        <w:rPr>
          <w:rFonts w:ascii="Arial" w:hAnsi="Arial" w:cs="Arial"/>
          <w:shd w:val="clear" w:color="auto" w:fill="FFFFFF"/>
        </w:rPr>
        <w:t xml:space="preserve"> (2005)</w:t>
      </w:r>
      <w:r w:rsidRPr="002B0E12">
        <w:rPr>
          <w:rFonts w:ascii="Arial" w:hAnsi="Arial" w:cs="Arial"/>
        </w:rPr>
        <w:t>; Abdominal volume index: men 14.25 and women 13.03 (Wang et al</w:t>
      </w:r>
      <w:r w:rsidRPr="002B0E12">
        <w:rPr>
          <w:rFonts w:ascii="Arial" w:hAnsi="Arial" w:cs="Arial"/>
          <w:i/>
          <w:iCs/>
        </w:rPr>
        <w:t xml:space="preserve">  </w:t>
      </w:r>
      <w:r w:rsidRPr="002B0E12">
        <w:rPr>
          <w:rFonts w:ascii="Arial" w:hAnsi="Arial" w:cs="Arial"/>
        </w:rPr>
        <w:t>2017)</w:t>
      </w:r>
    </w:p>
    <w:p w14:paraId="3DA9BE82" w14:textId="77777777" w:rsidR="009675B7" w:rsidRPr="002B0E12" w:rsidRDefault="009675B7" w:rsidP="004112D6">
      <w:pPr>
        <w:pStyle w:val="NormalWeb"/>
        <w:spacing w:before="0" w:beforeAutospacing="0" w:after="0" w:afterAutospacing="0" w:line="360" w:lineRule="auto"/>
        <w:ind w:firstLine="720"/>
        <w:jc w:val="both"/>
        <w:rPr>
          <w:rFonts w:ascii="Arial" w:hAnsi="Arial" w:cs="Arial"/>
          <w:sz w:val="22"/>
          <w:szCs w:val="22"/>
        </w:rPr>
      </w:pPr>
    </w:p>
    <w:p w14:paraId="2DC1C520" w14:textId="4933F666" w:rsidR="008B6AD2" w:rsidRPr="002B0E12" w:rsidRDefault="00D461F2" w:rsidP="004112D6">
      <w:pPr>
        <w:widowControl w:val="0"/>
        <w:spacing w:after="0" w:line="360" w:lineRule="auto"/>
        <w:jc w:val="both"/>
        <w:rPr>
          <w:rFonts w:ascii="Arial" w:hAnsi="Arial" w:cs="Arial"/>
          <w:b/>
          <w:bCs/>
        </w:rPr>
      </w:pPr>
      <w:r w:rsidRPr="002B0E12">
        <w:rPr>
          <w:rFonts w:ascii="Arial" w:hAnsi="Arial" w:cs="Arial"/>
          <w:b/>
          <w:bCs/>
        </w:rPr>
        <w:t xml:space="preserve">3.2 </w:t>
      </w:r>
      <w:r w:rsidR="008B6AD2" w:rsidRPr="002B0E12">
        <w:rPr>
          <w:rFonts w:ascii="Arial" w:hAnsi="Arial" w:cs="Arial"/>
          <w:b/>
          <w:bCs/>
        </w:rPr>
        <w:t>Hyperglycemia, hypertension and hyperlipidemia</w:t>
      </w:r>
    </w:p>
    <w:p w14:paraId="08D028C4" w14:textId="5B3F1C3C" w:rsidR="005C04EE" w:rsidRPr="002B0E12" w:rsidRDefault="008B6AD2" w:rsidP="004112D6">
      <w:pPr>
        <w:widowControl w:val="0"/>
        <w:spacing w:after="0" w:line="360" w:lineRule="auto"/>
        <w:ind w:right="-127"/>
        <w:jc w:val="both"/>
        <w:rPr>
          <w:rFonts w:ascii="Arial" w:eastAsia="Times New Roman" w:hAnsi="Arial" w:cs="Arial"/>
          <w:lang w:val="en-GB" w:eastAsia="en-GB"/>
        </w:rPr>
      </w:pPr>
      <w:r w:rsidRPr="002B0E12">
        <w:rPr>
          <w:rFonts w:ascii="Arial" w:hAnsi="Arial" w:cs="Arial"/>
          <w:b/>
          <w:bCs/>
        </w:rPr>
        <w:tab/>
      </w:r>
      <w:r w:rsidR="005C04EE" w:rsidRPr="002B0E12">
        <w:rPr>
          <w:rFonts w:ascii="Arial" w:eastAsia="Times New Roman" w:hAnsi="Arial" w:cs="Arial"/>
          <w:lang w:val="en-GB" w:eastAsia="en-GB"/>
        </w:rPr>
        <w:t xml:space="preserve">Among </w:t>
      </w:r>
      <w:proofErr w:type="spellStart"/>
      <w:r w:rsidR="005C04EE" w:rsidRPr="002B0E12">
        <w:rPr>
          <w:rFonts w:ascii="Arial" w:eastAsia="Times New Roman" w:hAnsi="Arial" w:cs="Arial"/>
          <w:lang w:val="en-GB" w:eastAsia="en-GB"/>
        </w:rPr>
        <w:t>MetS</w:t>
      </w:r>
      <w:proofErr w:type="spellEnd"/>
      <w:r w:rsidR="005C04EE" w:rsidRPr="002B0E12">
        <w:rPr>
          <w:rFonts w:ascii="Arial" w:eastAsia="Times New Roman" w:hAnsi="Arial" w:cs="Arial"/>
          <w:lang w:val="en-GB" w:eastAsia="en-GB"/>
        </w:rPr>
        <w:t xml:space="preserve"> participants, mean fasting blood glucose (FBG) </w:t>
      </w:r>
      <w:r w:rsidR="005C04EE" w:rsidRPr="002B0E12">
        <w:rPr>
          <w:rFonts w:ascii="Arial" w:hAnsi="Arial" w:cs="Arial"/>
          <w:bCs/>
        </w:rPr>
        <w:t xml:space="preserve">(Table 2) </w:t>
      </w:r>
      <w:r w:rsidR="005C04EE" w:rsidRPr="002B0E12">
        <w:rPr>
          <w:rFonts w:ascii="Arial" w:eastAsia="Times New Roman" w:hAnsi="Arial" w:cs="Arial"/>
          <w:lang w:val="en-GB" w:eastAsia="en-GB"/>
        </w:rPr>
        <w:t xml:space="preserve">was higher in rural men (135.65 ± 14.75 mg/dL) and rural women (128.23 ± 15.76 mg/dL) compared to their urban counterparts (men: 114.18 ± 7.62 mg/dL; women: 107.75 ± 5.64 mg/dL), though the </w:t>
      </w:r>
      <w:r w:rsidR="005C04EE" w:rsidRPr="002B0E12">
        <w:rPr>
          <w:rFonts w:ascii="Arial" w:eastAsia="Times New Roman" w:hAnsi="Arial" w:cs="Arial"/>
          <w:lang w:val="en-GB" w:eastAsia="en-GB"/>
        </w:rPr>
        <w:lastRenderedPageBreak/>
        <w:t>differences were not statistically significant. In contrast, both systolic and diastolic blood pressures were significantly elevated (p ≤ 0.001) in rural participants of both sexes. Rural men had mean SBP and DBP values of 145.92 ± 3.33 and 100.50 ± 2.66 mmHg, respectively, compared to 124.46 ± 2.21 and 82.32 ± 1.44 mmHg in urban men. Similarly, rural women recorded SBP and DBP of 147.13 ± 4.41 and 96.83 ± 2.54 mmHg, versus 121.50 ± 2.84 and 84.32 ± 1.64 mmHg in urban women.</w:t>
      </w:r>
    </w:p>
    <w:p w14:paraId="34B8973C" w14:textId="4ECCD345" w:rsidR="005C04EE" w:rsidRPr="002B0E12" w:rsidRDefault="005C04EE" w:rsidP="004112D6">
      <w:pPr>
        <w:spacing w:after="0" w:line="360" w:lineRule="auto"/>
        <w:ind w:firstLine="720"/>
        <w:jc w:val="both"/>
        <w:rPr>
          <w:rFonts w:ascii="Arial" w:eastAsia="Times New Roman" w:hAnsi="Arial" w:cs="Arial"/>
          <w:lang w:val="en-GB" w:eastAsia="en-GB"/>
        </w:rPr>
      </w:pPr>
      <w:r w:rsidRPr="002B0E12">
        <w:rPr>
          <w:rFonts w:ascii="Arial" w:eastAsia="Times New Roman" w:hAnsi="Arial" w:cs="Arial"/>
          <w:lang w:val="en-GB" w:eastAsia="en-GB"/>
        </w:rPr>
        <w:t xml:space="preserve">For lipid profile, urban men had significantly higher total cholesterol (194.60 ± 5.93 mg/dL vs 165.53 ± 7.38 mg/dL; p = 0.004), HDL-C (48.91 ± 1.48 mg/dL vs 42.89 ± 1.51 mg/dL; p = 0.008), and LDL-C (112.08 ± 6.12 mg/dL vs 92.60 ± 6.44 mg/dL; p = 0.033) than rural men, while other lipid parameters showed no significant differences </w:t>
      </w:r>
      <w:r w:rsidRPr="002B0E12">
        <w:rPr>
          <w:rFonts w:ascii="Arial" w:hAnsi="Arial" w:cs="Arial"/>
          <w:bCs/>
        </w:rPr>
        <w:t>(Table 2).</w:t>
      </w:r>
      <w:r w:rsidRPr="002B0E12">
        <w:rPr>
          <w:rFonts w:ascii="Arial" w:eastAsia="Times New Roman" w:hAnsi="Arial" w:cs="Arial"/>
          <w:lang w:val="en-GB" w:eastAsia="en-GB"/>
        </w:rPr>
        <w:t xml:space="preserve"> Among women, urban participants had slightly higher total cholesterol (205.90 ± 0.88 mg/dL vs 198.86 ± 6.85 mg/dL) and HDL-C (48.54 ± 2.43 mg/dL vs 44.51 ± 1.91 mg/dL), whereas rural women had higher triglycerides (160.67 ± 15.39 mg/dL vs 183.21 ± 18.49 mg/dL in urban) — though none of these differences reached statistical significance. LDL-C was comparable between urban and rural women (120.72 ± 8.87 vs 122.23 ± 6.20 mg/dL), and VLDL-C and </w:t>
      </w:r>
      <w:proofErr w:type="gramStart"/>
      <w:r w:rsidRPr="002B0E12">
        <w:rPr>
          <w:rFonts w:ascii="Arial" w:eastAsia="Times New Roman" w:hAnsi="Arial" w:cs="Arial"/>
          <w:lang w:val="en-GB" w:eastAsia="en-GB"/>
        </w:rPr>
        <w:t>CH:HDL</w:t>
      </w:r>
      <w:proofErr w:type="gramEnd"/>
      <w:r w:rsidRPr="002B0E12">
        <w:rPr>
          <w:rFonts w:ascii="Arial" w:eastAsia="Times New Roman" w:hAnsi="Arial" w:cs="Arial"/>
          <w:lang w:val="en-GB" w:eastAsia="en-GB"/>
        </w:rPr>
        <w:t>-C ratio also did not differ significantly</w:t>
      </w:r>
      <w:r w:rsidR="0077398A" w:rsidRPr="002B0E12">
        <w:rPr>
          <w:rFonts w:ascii="Arial" w:eastAsia="Times New Roman" w:hAnsi="Arial" w:cs="Arial"/>
          <w:lang w:val="en-GB" w:eastAsia="en-GB"/>
        </w:rPr>
        <w:t xml:space="preserve"> </w:t>
      </w:r>
      <w:r w:rsidR="0077398A" w:rsidRPr="002B0E12">
        <w:rPr>
          <w:rFonts w:ascii="Arial" w:hAnsi="Arial" w:cs="Arial"/>
          <w:bCs/>
        </w:rPr>
        <w:t>(Table 2).</w:t>
      </w:r>
    </w:p>
    <w:p w14:paraId="6187AA4B" w14:textId="698074FA" w:rsidR="008B6AD2" w:rsidRPr="002B0E12" w:rsidRDefault="00D461F2" w:rsidP="004112D6">
      <w:pPr>
        <w:widowControl w:val="0"/>
        <w:spacing w:after="0" w:line="360" w:lineRule="auto"/>
        <w:jc w:val="both"/>
        <w:rPr>
          <w:rFonts w:ascii="Arial" w:hAnsi="Arial" w:cs="Arial"/>
          <w:b/>
          <w:bCs/>
          <w:iCs/>
        </w:rPr>
      </w:pPr>
      <w:r w:rsidRPr="002B0E12">
        <w:rPr>
          <w:rFonts w:ascii="Arial" w:hAnsi="Arial" w:cs="Arial"/>
          <w:b/>
          <w:bCs/>
          <w:iCs/>
        </w:rPr>
        <w:t xml:space="preserve">3.3 </w:t>
      </w:r>
      <w:r w:rsidR="008B6AD2" w:rsidRPr="002B0E12">
        <w:rPr>
          <w:rFonts w:ascii="Arial" w:hAnsi="Arial" w:cs="Arial"/>
          <w:b/>
          <w:bCs/>
          <w:iCs/>
        </w:rPr>
        <w:t xml:space="preserve">Prevalence of Metabolic syndrome </w:t>
      </w:r>
    </w:p>
    <w:p w14:paraId="23CC9CD2" w14:textId="5001F70D" w:rsidR="009675B7" w:rsidRPr="002B0E12" w:rsidRDefault="002514A9" w:rsidP="009675B7">
      <w:pPr>
        <w:spacing w:after="0" w:line="360" w:lineRule="auto"/>
        <w:ind w:firstLine="510"/>
        <w:jc w:val="both"/>
        <w:rPr>
          <w:rFonts w:ascii="Arial" w:hAnsi="Arial" w:cs="Arial"/>
        </w:rPr>
      </w:pPr>
      <w:r w:rsidRPr="002B0E12">
        <w:rPr>
          <w:rFonts w:ascii="Arial" w:hAnsi="Arial" w:cs="Arial"/>
        </w:rPr>
        <w:t>I</w:t>
      </w:r>
      <w:r w:rsidR="00BA601A" w:rsidRPr="002B0E12">
        <w:rPr>
          <w:rFonts w:ascii="Arial" w:hAnsi="Arial" w:cs="Arial"/>
        </w:rPr>
        <w:t xml:space="preserve">n accordance with the NCEP ATP </w:t>
      </w:r>
      <w:r w:rsidR="005F6954" w:rsidRPr="002B0E12">
        <w:rPr>
          <w:rFonts w:ascii="Arial" w:hAnsi="Arial" w:cs="Arial"/>
        </w:rPr>
        <w:t>III (2001), utilizing three key risk factors: high fasting blood glucose (FBG) ≥100 mg/dl, Systolic (SBP)/Diastolic Blood Pressure (DBP) ≥130/85 mmHg, and Waist Circumference (WC) &gt;102cm for men and &gt;88cm for women</w:t>
      </w:r>
      <w:r w:rsidR="00132045" w:rsidRPr="002B0E12">
        <w:rPr>
          <w:rFonts w:ascii="Arial" w:hAnsi="Arial" w:cs="Arial"/>
        </w:rPr>
        <w:t>, t</w:t>
      </w:r>
      <w:r w:rsidR="005F6954" w:rsidRPr="002B0E12">
        <w:rPr>
          <w:rFonts w:ascii="Arial" w:hAnsi="Arial" w:cs="Arial"/>
        </w:rPr>
        <w:t>he</w:t>
      </w:r>
      <w:r w:rsidR="009675B7" w:rsidRPr="002B0E12">
        <w:rPr>
          <w:rFonts w:ascii="Arial" w:hAnsi="Arial" w:cs="Arial"/>
        </w:rPr>
        <w:t xml:space="preserve"> </w:t>
      </w:r>
    </w:p>
    <w:p w14:paraId="1A332BCE" w14:textId="77777777" w:rsidR="009675B7" w:rsidRPr="002B0E12" w:rsidRDefault="009675B7" w:rsidP="009675B7">
      <w:pPr>
        <w:widowControl w:val="0"/>
        <w:spacing w:after="0"/>
        <w:ind w:left="510" w:hanging="510"/>
        <w:rPr>
          <w:rFonts w:ascii="Arial" w:hAnsi="Arial" w:cs="Arial"/>
        </w:rPr>
      </w:pPr>
    </w:p>
    <w:p w14:paraId="618444B6" w14:textId="77777777" w:rsidR="009675B7" w:rsidRPr="002B0E12" w:rsidRDefault="009675B7" w:rsidP="009675B7">
      <w:pPr>
        <w:widowControl w:val="0"/>
        <w:spacing w:after="0"/>
        <w:ind w:left="510" w:hanging="510"/>
        <w:rPr>
          <w:rFonts w:ascii="Arial" w:hAnsi="Arial" w:cs="Arial"/>
          <w:b/>
        </w:rPr>
        <w:sectPr w:rsidR="009675B7" w:rsidRPr="002B0E12" w:rsidSect="002F40D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9" w:footer="709" w:gutter="0"/>
          <w:cols w:space="708"/>
          <w:docGrid w:linePitch="360"/>
        </w:sectPr>
      </w:pPr>
    </w:p>
    <w:p w14:paraId="6C222FE7" w14:textId="38243EA6" w:rsidR="009675B7" w:rsidRPr="002B0E12" w:rsidRDefault="009675B7" w:rsidP="009675B7">
      <w:pPr>
        <w:widowControl w:val="0"/>
        <w:spacing w:after="0"/>
        <w:ind w:left="510" w:hanging="510"/>
        <w:rPr>
          <w:rFonts w:ascii="Arial" w:hAnsi="Arial" w:cs="Arial"/>
          <w:b/>
        </w:rPr>
      </w:pPr>
      <w:r w:rsidRPr="002B0E12">
        <w:rPr>
          <w:rFonts w:ascii="Arial" w:hAnsi="Arial" w:cs="Arial"/>
          <w:b/>
        </w:rPr>
        <w:t xml:space="preserve">Table 2 Hyperglycemia, hypertension and hyperlipidemia assessment among urban and rural Metabolic Syndrome men and women </w:t>
      </w:r>
    </w:p>
    <w:p w14:paraId="7694B3AA" w14:textId="77777777" w:rsidR="009675B7" w:rsidRPr="002B0E12" w:rsidRDefault="009675B7" w:rsidP="009675B7">
      <w:pPr>
        <w:widowControl w:val="0"/>
        <w:spacing w:after="0"/>
        <w:ind w:left="510" w:hanging="510"/>
        <w:jc w:val="right"/>
        <w:rPr>
          <w:rFonts w:ascii="Arial" w:hAnsi="Arial" w:cs="Arial"/>
          <w:b/>
        </w:rPr>
      </w:pPr>
      <w:r w:rsidRPr="002B0E12">
        <w:rPr>
          <w:rFonts w:ascii="Arial" w:hAnsi="Arial" w:cs="Arial"/>
          <w:b/>
        </w:rPr>
        <w:t xml:space="preserve"> </w:t>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r w:rsidRPr="002B0E12">
        <w:rPr>
          <w:rFonts w:ascii="Arial" w:hAnsi="Arial" w:cs="Arial"/>
          <w:b/>
        </w:rPr>
        <w:tab/>
      </w: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2154"/>
        <w:gridCol w:w="1499"/>
        <w:gridCol w:w="1499"/>
        <w:gridCol w:w="717"/>
        <w:gridCol w:w="1225"/>
        <w:gridCol w:w="1318"/>
        <w:gridCol w:w="830"/>
      </w:tblGrid>
      <w:tr w:rsidR="002B0E12" w:rsidRPr="002B0E12" w14:paraId="314BB6A6" w14:textId="77777777" w:rsidTr="0048694B">
        <w:trPr>
          <w:trHeight w:val="20"/>
          <w:jc w:val="center"/>
        </w:trPr>
        <w:tc>
          <w:tcPr>
            <w:tcW w:w="1165" w:type="pct"/>
            <w:vMerge w:val="restart"/>
            <w:tcBorders>
              <w:top w:val="single" w:sz="4" w:space="0" w:color="auto"/>
              <w:bottom w:val="nil"/>
            </w:tcBorders>
            <w:vAlign w:val="center"/>
          </w:tcPr>
          <w:p w14:paraId="41BD7F9D" w14:textId="77777777" w:rsidR="009675B7" w:rsidRPr="002B0E12" w:rsidRDefault="009675B7" w:rsidP="0048694B">
            <w:pPr>
              <w:widowControl w:val="0"/>
              <w:spacing w:after="0"/>
              <w:rPr>
                <w:rFonts w:ascii="Arial" w:hAnsi="Arial" w:cs="Arial"/>
                <w:b/>
              </w:rPr>
            </w:pPr>
            <w:r w:rsidRPr="002B0E12">
              <w:rPr>
                <w:rFonts w:ascii="Arial" w:hAnsi="Arial" w:cs="Arial"/>
                <w:b/>
              </w:rPr>
              <w:t>Parameter</w:t>
            </w:r>
          </w:p>
        </w:tc>
        <w:tc>
          <w:tcPr>
            <w:tcW w:w="2010" w:type="pct"/>
            <w:gridSpan w:val="3"/>
            <w:tcBorders>
              <w:top w:val="single" w:sz="4" w:space="0" w:color="auto"/>
              <w:bottom w:val="single" w:sz="4" w:space="0" w:color="auto"/>
            </w:tcBorders>
          </w:tcPr>
          <w:p w14:paraId="1DD57172"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Men</w:t>
            </w:r>
          </w:p>
        </w:tc>
        <w:tc>
          <w:tcPr>
            <w:tcW w:w="1825" w:type="pct"/>
            <w:gridSpan w:val="3"/>
            <w:tcBorders>
              <w:top w:val="single" w:sz="4" w:space="0" w:color="auto"/>
              <w:bottom w:val="single" w:sz="4" w:space="0" w:color="auto"/>
            </w:tcBorders>
          </w:tcPr>
          <w:p w14:paraId="206DD9DD"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Women</w:t>
            </w:r>
          </w:p>
        </w:tc>
      </w:tr>
      <w:tr w:rsidR="002B0E12" w:rsidRPr="002B0E12" w14:paraId="1CA4C360" w14:textId="77777777" w:rsidTr="0048694B">
        <w:trPr>
          <w:trHeight w:val="20"/>
          <w:jc w:val="center"/>
        </w:trPr>
        <w:tc>
          <w:tcPr>
            <w:tcW w:w="1165" w:type="pct"/>
            <w:vMerge/>
            <w:tcBorders>
              <w:top w:val="nil"/>
              <w:bottom w:val="single" w:sz="4" w:space="0" w:color="auto"/>
            </w:tcBorders>
          </w:tcPr>
          <w:p w14:paraId="40AABD18" w14:textId="77777777" w:rsidR="009675B7" w:rsidRPr="002B0E12" w:rsidRDefault="009675B7" w:rsidP="0048694B">
            <w:pPr>
              <w:widowControl w:val="0"/>
              <w:spacing w:after="0"/>
              <w:rPr>
                <w:rFonts w:ascii="Arial" w:hAnsi="Arial" w:cs="Arial"/>
                <w:b/>
              </w:rPr>
            </w:pPr>
          </w:p>
        </w:tc>
        <w:tc>
          <w:tcPr>
            <w:tcW w:w="811" w:type="pct"/>
            <w:tcBorders>
              <w:top w:val="single" w:sz="4" w:space="0" w:color="auto"/>
              <w:bottom w:val="single" w:sz="4" w:space="0" w:color="auto"/>
            </w:tcBorders>
          </w:tcPr>
          <w:p w14:paraId="712523CC"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Urban</w:t>
            </w:r>
          </w:p>
          <w:p w14:paraId="38DB4065"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(n=28)</w:t>
            </w:r>
          </w:p>
        </w:tc>
        <w:tc>
          <w:tcPr>
            <w:tcW w:w="811" w:type="pct"/>
            <w:tcBorders>
              <w:top w:val="single" w:sz="4" w:space="0" w:color="auto"/>
              <w:bottom w:val="single" w:sz="4" w:space="0" w:color="auto"/>
            </w:tcBorders>
          </w:tcPr>
          <w:p w14:paraId="4E424320"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Rural</w:t>
            </w:r>
          </w:p>
          <w:p w14:paraId="5F15F3B2"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(n=26)</w:t>
            </w:r>
          </w:p>
        </w:tc>
        <w:tc>
          <w:tcPr>
            <w:tcW w:w="388" w:type="pct"/>
            <w:tcBorders>
              <w:top w:val="single" w:sz="4" w:space="0" w:color="auto"/>
              <w:bottom w:val="single" w:sz="4" w:space="0" w:color="auto"/>
            </w:tcBorders>
          </w:tcPr>
          <w:p w14:paraId="6832E208" w14:textId="77777777" w:rsidR="009675B7" w:rsidRPr="002B0E12" w:rsidRDefault="009675B7" w:rsidP="0048694B">
            <w:pPr>
              <w:widowControl w:val="0"/>
              <w:spacing w:after="0"/>
              <w:jc w:val="center"/>
              <w:rPr>
                <w:rFonts w:ascii="Arial" w:hAnsi="Arial" w:cs="Arial"/>
                <w:b/>
                <w:i/>
                <w:iCs/>
              </w:rPr>
            </w:pPr>
            <w:r w:rsidRPr="002B0E12">
              <w:rPr>
                <w:rFonts w:ascii="Arial" w:hAnsi="Arial" w:cs="Arial"/>
                <w:b/>
                <w:i/>
                <w:iCs/>
              </w:rPr>
              <w:t>p value</w:t>
            </w:r>
          </w:p>
        </w:tc>
        <w:tc>
          <w:tcPr>
            <w:tcW w:w="663" w:type="pct"/>
            <w:tcBorders>
              <w:top w:val="single" w:sz="4" w:space="0" w:color="auto"/>
              <w:bottom w:val="single" w:sz="4" w:space="0" w:color="auto"/>
            </w:tcBorders>
          </w:tcPr>
          <w:p w14:paraId="03163C1B"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Urban</w:t>
            </w:r>
          </w:p>
          <w:p w14:paraId="070C7A34"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(n=22)</w:t>
            </w:r>
          </w:p>
        </w:tc>
        <w:tc>
          <w:tcPr>
            <w:tcW w:w="713" w:type="pct"/>
            <w:tcBorders>
              <w:top w:val="single" w:sz="4" w:space="0" w:color="auto"/>
              <w:bottom w:val="single" w:sz="4" w:space="0" w:color="auto"/>
            </w:tcBorders>
          </w:tcPr>
          <w:p w14:paraId="04B8DEAF"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Rural</w:t>
            </w:r>
          </w:p>
          <w:p w14:paraId="4343961D" w14:textId="77777777" w:rsidR="009675B7" w:rsidRPr="002B0E12" w:rsidRDefault="009675B7" w:rsidP="0048694B">
            <w:pPr>
              <w:widowControl w:val="0"/>
              <w:spacing w:after="0"/>
              <w:jc w:val="center"/>
              <w:rPr>
                <w:rFonts w:ascii="Arial" w:hAnsi="Arial" w:cs="Arial"/>
                <w:b/>
              </w:rPr>
            </w:pPr>
            <w:r w:rsidRPr="002B0E12">
              <w:rPr>
                <w:rFonts w:ascii="Arial" w:hAnsi="Arial" w:cs="Arial"/>
                <w:b/>
              </w:rPr>
              <w:t>(n=24)</w:t>
            </w:r>
          </w:p>
        </w:tc>
        <w:tc>
          <w:tcPr>
            <w:tcW w:w="449" w:type="pct"/>
            <w:tcBorders>
              <w:top w:val="single" w:sz="4" w:space="0" w:color="auto"/>
              <w:bottom w:val="single" w:sz="4" w:space="0" w:color="auto"/>
            </w:tcBorders>
          </w:tcPr>
          <w:p w14:paraId="12E2AA1D" w14:textId="77777777" w:rsidR="009675B7" w:rsidRPr="002B0E12" w:rsidRDefault="009675B7" w:rsidP="0048694B">
            <w:pPr>
              <w:widowControl w:val="0"/>
              <w:spacing w:after="0"/>
              <w:jc w:val="center"/>
              <w:rPr>
                <w:rFonts w:ascii="Arial" w:hAnsi="Arial" w:cs="Arial"/>
                <w:b/>
              </w:rPr>
            </w:pPr>
            <w:r w:rsidRPr="002B0E12">
              <w:rPr>
                <w:rFonts w:ascii="Arial" w:hAnsi="Arial" w:cs="Arial"/>
                <w:b/>
                <w:i/>
                <w:iCs/>
              </w:rPr>
              <w:t>p value</w:t>
            </w:r>
          </w:p>
        </w:tc>
      </w:tr>
      <w:tr w:rsidR="002B0E12" w:rsidRPr="002B0E12" w14:paraId="6F76ECF0" w14:textId="77777777" w:rsidTr="0048694B">
        <w:trPr>
          <w:trHeight w:val="20"/>
          <w:jc w:val="center"/>
        </w:trPr>
        <w:tc>
          <w:tcPr>
            <w:tcW w:w="1976" w:type="pct"/>
            <w:gridSpan w:val="2"/>
            <w:tcBorders>
              <w:top w:val="single" w:sz="4" w:space="0" w:color="auto"/>
            </w:tcBorders>
          </w:tcPr>
          <w:p w14:paraId="77E7ED1F" w14:textId="77777777" w:rsidR="009675B7" w:rsidRPr="002B0E12" w:rsidRDefault="009675B7" w:rsidP="0048694B">
            <w:pPr>
              <w:widowControl w:val="0"/>
              <w:spacing w:after="0"/>
              <w:rPr>
                <w:rFonts w:ascii="Arial" w:hAnsi="Arial" w:cs="Arial"/>
              </w:rPr>
            </w:pPr>
            <w:r w:rsidRPr="002B0E12">
              <w:rPr>
                <w:rFonts w:ascii="Arial" w:hAnsi="Arial" w:cs="Arial"/>
                <w:b/>
              </w:rPr>
              <w:t>Hyperglycemia</w:t>
            </w:r>
          </w:p>
        </w:tc>
        <w:tc>
          <w:tcPr>
            <w:tcW w:w="811" w:type="pct"/>
            <w:tcBorders>
              <w:top w:val="single" w:sz="4" w:space="0" w:color="auto"/>
            </w:tcBorders>
          </w:tcPr>
          <w:p w14:paraId="1780C7C2" w14:textId="77777777" w:rsidR="009675B7" w:rsidRPr="002B0E12" w:rsidRDefault="009675B7" w:rsidP="0048694B">
            <w:pPr>
              <w:widowControl w:val="0"/>
              <w:spacing w:after="0"/>
              <w:jc w:val="center"/>
              <w:rPr>
                <w:rFonts w:ascii="Arial" w:hAnsi="Arial" w:cs="Arial"/>
              </w:rPr>
            </w:pPr>
          </w:p>
        </w:tc>
        <w:tc>
          <w:tcPr>
            <w:tcW w:w="388" w:type="pct"/>
            <w:tcBorders>
              <w:top w:val="single" w:sz="4" w:space="0" w:color="auto"/>
            </w:tcBorders>
          </w:tcPr>
          <w:p w14:paraId="427C1CF1" w14:textId="77777777" w:rsidR="009675B7" w:rsidRPr="002B0E12" w:rsidRDefault="009675B7" w:rsidP="0048694B">
            <w:pPr>
              <w:widowControl w:val="0"/>
              <w:spacing w:after="0"/>
              <w:jc w:val="center"/>
              <w:rPr>
                <w:rFonts w:ascii="Arial" w:hAnsi="Arial" w:cs="Arial"/>
              </w:rPr>
            </w:pPr>
          </w:p>
        </w:tc>
        <w:tc>
          <w:tcPr>
            <w:tcW w:w="663" w:type="pct"/>
            <w:tcBorders>
              <w:top w:val="single" w:sz="4" w:space="0" w:color="auto"/>
            </w:tcBorders>
          </w:tcPr>
          <w:p w14:paraId="2E6F1D9F" w14:textId="77777777" w:rsidR="009675B7" w:rsidRPr="002B0E12" w:rsidRDefault="009675B7" w:rsidP="0048694B">
            <w:pPr>
              <w:widowControl w:val="0"/>
              <w:spacing w:after="0"/>
              <w:jc w:val="center"/>
              <w:rPr>
                <w:rFonts w:ascii="Arial" w:hAnsi="Arial" w:cs="Arial"/>
              </w:rPr>
            </w:pPr>
          </w:p>
        </w:tc>
        <w:tc>
          <w:tcPr>
            <w:tcW w:w="713" w:type="pct"/>
            <w:tcBorders>
              <w:top w:val="single" w:sz="4" w:space="0" w:color="auto"/>
            </w:tcBorders>
          </w:tcPr>
          <w:p w14:paraId="77D02EF4" w14:textId="77777777" w:rsidR="009675B7" w:rsidRPr="002B0E12" w:rsidRDefault="009675B7" w:rsidP="0048694B">
            <w:pPr>
              <w:widowControl w:val="0"/>
              <w:spacing w:after="0"/>
              <w:jc w:val="center"/>
              <w:rPr>
                <w:rFonts w:ascii="Arial" w:hAnsi="Arial" w:cs="Arial"/>
              </w:rPr>
            </w:pPr>
          </w:p>
        </w:tc>
        <w:tc>
          <w:tcPr>
            <w:tcW w:w="449" w:type="pct"/>
            <w:tcBorders>
              <w:top w:val="single" w:sz="4" w:space="0" w:color="auto"/>
            </w:tcBorders>
          </w:tcPr>
          <w:p w14:paraId="08A650D0" w14:textId="77777777" w:rsidR="009675B7" w:rsidRPr="002B0E12" w:rsidRDefault="009675B7" w:rsidP="0048694B">
            <w:pPr>
              <w:widowControl w:val="0"/>
              <w:spacing w:after="0"/>
              <w:jc w:val="center"/>
              <w:rPr>
                <w:rFonts w:ascii="Arial" w:hAnsi="Arial" w:cs="Arial"/>
              </w:rPr>
            </w:pPr>
          </w:p>
        </w:tc>
      </w:tr>
      <w:tr w:rsidR="002B0E12" w:rsidRPr="002B0E12" w14:paraId="07DB4740" w14:textId="77777777" w:rsidTr="0048694B">
        <w:trPr>
          <w:trHeight w:val="20"/>
          <w:jc w:val="center"/>
        </w:trPr>
        <w:tc>
          <w:tcPr>
            <w:tcW w:w="1165" w:type="pct"/>
          </w:tcPr>
          <w:p w14:paraId="406CA7ED" w14:textId="77777777" w:rsidR="009675B7" w:rsidRPr="002B0E12" w:rsidRDefault="009675B7" w:rsidP="0048694B">
            <w:pPr>
              <w:widowControl w:val="0"/>
              <w:spacing w:after="0"/>
              <w:rPr>
                <w:rFonts w:ascii="Arial" w:hAnsi="Arial" w:cs="Arial"/>
                <w:bCs/>
              </w:rPr>
            </w:pPr>
            <w:r w:rsidRPr="002B0E12">
              <w:rPr>
                <w:rFonts w:ascii="Arial" w:hAnsi="Arial" w:cs="Arial"/>
                <w:bCs/>
              </w:rPr>
              <w:t>Fasting Blood Glucose (mg/dl)</w:t>
            </w:r>
          </w:p>
        </w:tc>
        <w:tc>
          <w:tcPr>
            <w:tcW w:w="811" w:type="pct"/>
          </w:tcPr>
          <w:p w14:paraId="237308CA" w14:textId="77777777" w:rsidR="009675B7" w:rsidRPr="002B0E12" w:rsidRDefault="009675B7" w:rsidP="0048694B">
            <w:pPr>
              <w:widowControl w:val="0"/>
              <w:spacing w:after="0"/>
              <w:jc w:val="center"/>
              <w:rPr>
                <w:rFonts w:ascii="Arial" w:hAnsi="Arial" w:cs="Arial"/>
                <w:b/>
              </w:rPr>
            </w:pPr>
            <w:r w:rsidRPr="002B0E12">
              <w:rPr>
                <w:rFonts w:ascii="Arial" w:hAnsi="Arial" w:cs="Arial"/>
              </w:rPr>
              <w:t>114.18</w:t>
            </w:r>
            <w:r w:rsidRPr="002B0E12">
              <w:rPr>
                <w:rFonts w:ascii="Arial" w:hAnsi="Arial" w:cs="Arial"/>
                <w:vertAlign w:val="superscript"/>
              </w:rPr>
              <w:t xml:space="preserve"> a</w:t>
            </w:r>
            <w:r w:rsidRPr="002B0E12">
              <w:rPr>
                <w:rFonts w:ascii="Arial" w:hAnsi="Arial" w:cs="Arial"/>
              </w:rPr>
              <w:t xml:space="preserve"> ± 7.62</w:t>
            </w:r>
          </w:p>
        </w:tc>
        <w:tc>
          <w:tcPr>
            <w:tcW w:w="811" w:type="pct"/>
          </w:tcPr>
          <w:p w14:paraId="0F24F11F" w14:textId="77777777" w:rsidR="009675B7" w:rsidRPr="002B0E12" w:rsidRDefault="009675B7" w:rsidP="0048694B">
            <w:pPr>
              <w:widowControl w:val="0"/>
              <w:spacing w:after="0"/>
              <w:jc w:val="center"/>
              <w:rPr>
                <w:rFonts w:ascii="Arial" w:hAnsi="Arial" w:cs="Arial"/>
                <w:b/>
              </w:rPr>
            </w:pPr>
            <w:r w:rsidRPr="002B0E12">
              <w:rPr>
                <w:rFonts w:ascii="Arial" w:hAnsi="Arial" w:cs="Arial"/>
              </w:rPr>
              <w:t>135.65</w:t>
            </w:r>
            <w:r w:rsidRPr="002B0E12">
              <w:rPr>
                <w:rFonts w:ascii="Arial" w:hAnsi="Arial" w:cs="Arial"/>
                <w:vertAlign w:val="superscript"/>
              </w:rPr>
              <w:t>a</w:t>
            </w:r>
            <w:r w:rsidRPr="002B0E12">
              <w:rPr>
                <w:rFonts w:ascii="Arial" w:hAnsi="Arial" w:cs="Arial"/>
              </w:rPr>
              <w:t>±14.75</w:t>
            </w:r>
          </w:p>
        </w:tc>
        <w:tc>
          <w:tcPr>
            <w:tcW w:w="388" w:type="pct"/>
          </w:tcPr>
          <w:p w14:paraId="1742ED88" w14:textId="77777777" w:rsidR="009675B7" w:rsidRPr="002B0E12" w:rsidRDefault="009675B7" w:rsidP="0048694B">
            <w:pPr>
              <w:widowControl w:val="0"/>
              <w:spacing w:after="0"/>
              <w:jc w:val="center"/>
              <w:rPr>
                <w:rFonts w:ascii="Arial" w:hAnsi="Arial" w:cs="Arial"/>
              </w:rPr>
            </w:pPr>
            <w:r w:rsidRPr="002B0E12">
              <w:rPr>
                <w:rFonts w:ascii="Arial" w:hAnsi="Arial" w:cs="Arial"/>
              </w:rPr>
              <w:t>0.203</w:t>
            </w:r>
          </w:p>
        </w:tc>
        <w:tc>
          <w:tcPr>
            <w:tcW w:w="663" w:type="pct"/>
          </w:tcPr>
          <w:p w14:paraId="7D9F47E1" w14:textId="77777777" w:rsidR="009675B7" w:rsidRPr="002B0E12" w:rsidRDefault="009675B7" w:rsidP="0048694B">
            <w:pPr>
              <w:widowControl w:val="0"/>
              <w:spacing w:after="0"/>
              <w:jc w:val="center"/>
              <w:rPr>
                <w:rFonts w:ascii="Arial" w:hAnsi="Arial" w:cs="Arial"/>
                <w:b/>
              </w:rPr>
            </w:pPr>
            <w:r w:rsidRPr="002B0E12">
              <w:rPr>
                <w:rFonts w:ascii="Arial" w:hAnsi="Arial" w:cs="Arial"/>
              </w:rPr>
              <w:t>107.75</w:t>
            </w:r>
            <w:r w:rsidRPr="002B0E12">
              <w:rPr>
                <w:rFonts w:ascii="Arial" w:hAnsi="Arial" w:cs="Arial"/>
                <w:vertAlign w:val="superscript"/>
              </w:rPr>
              <w:t>a</w:t>
            </w:r>
            <w:r w:rsidRPr="002B0E12">
              <w:rPr>
                <w:rFonts w:ascii="Arial" w:hAnsi="Arial" w:cs="Arial"/>
              </w:rPr>
              <w:t>±5.64</w:t>
            </w:r>
          </w:p>
        </w:tc>
        <w:tc>
          <w:tcPr>
            <w:tcW w:w="713" w:type="pct"/>
          </w:tcPr>
          <w:p w14:paraId="62957BE5" w14:textId="77777777" w:rsidR="009675B7" w:rsidRPr="002B0E12" w:rsidRDefault="009675B7" w:rsidP="0048694B">
            <w:pPr>
              <w:widowControl w:val="0"/>
              <w:spacing w:after="0"/>
              <w:rPr>
                <w:rFonts w:ascii="Arial" w:hAnsi="Arial" w:cs="Arial"/>
                <w:b/>
              </w:rPr>
            </w:pPr>
            <w:r w:rsidRPr="002B0E12">
              <w:rPr>
                <w:rFonts w:ascii="Arial" w:hAnsi="Arial" w:cs="Arial"/>
              </w:rPr>
              <w:t>128.23</w:t>
            </w:r>
            <w:r w:rsidRPr="002B0E12">
              <w:rPr>
                <w:rFonts w:ascii="Arial" w:hAnsi="Arial" w:cs="Arial"/>
                <w:vertAlign w:val="superscript"/>
              </w:rPr>
              <w:t>a</w:t>
            </w:r>
            <w:r w:rsidRPr="002B0E12">
              <w:rPr>
                <w:rFonts w:ascii="Arial" w:hAnsi="Arial" w:cs="Arial"/>
              </w:rPr>
              <w:t>±15.76</w:t>
            </w:r>
          </w:p>
        </w:tc>
        <w:tc>
          <w:tcPr>
            <w:tcW w:w="449" w:type="pct"/>
          </w:tcPr>
          <w:p w14:paraId="1BBEF575" w14:textId="77777777" w:rsidR="009675B7" w:rsidRPr="002B0E12" w:rsidRDefault="009675B7" w:rsidP="0048694B">
            <w:pPr>
              <w:widowControl w:val="0"/>
              <w:spacing w:after="0"/>
              <w:jc w:val="center"/>
              <w:rPr>
                <w:rFonts w:ascii="Arial" w:hAnsi="Arial" w:cs="Arial"/>
              </w:rPr>
            </w:pPr>
            <w:r w:rsidRPr="002B0E12">
              <w:rPr>
                <w:rFonts w:ascii="Arial" w:hAnsi="Arial" w:cs="Arial"/>
              </w:rPr>
              <w:t>0.231</w:t>
            </w:r>
          </w:p>
        </w:tc>
      </w:tr>
      <w:tr w:rsidR="002B0E12" w:rsidRPr="002B0E12" w14:paraId="77255BB5" w14:textId="77777777" w:rsidTr="0048694B">
        <w:trPr>
          <w:trHeight w:val="20"/>
          <w:jc w:val="center"/>
        </w:trPr>
        <w:tc>
          <w:tcPr>
            <w:tcW w:w="1976" w:type="pct"/>
            <w:gridSpan w:val="2"/>
          </w:tcPr>
          <w:p w14:paraId="02490924" w14:textId="77777777" w:rsidR="009675B7" w:rsidRPr="002B0E12" w:rsidRDefault="009675B7" w:rsidP="0048694B">
            <w:pPr>
              <w:widowControl w:val="0"/>
              <w:spacing w:after="0"/>
              <w:rPr>
                <w:rFonts w:ascii="Arial" w:hAnsi="Arial" w:cs="Arial"/>
                <w:b/>
                <w:bCs/>
              </w:rPr>
            </w:pPr>
            <w:r w:rsidRPr="002B0E12">
              <w:rPr>
                <w:rFonts w:ascii="Arial" w:hAnsi="Arial" w:cs="Arial"/>
                <w:b/>
                <w:bCs/>
              </w:rPr>
              <w:t>Hypertension</w:t>
            </w:r>
          </w:p>
        </w:tc>
        <w:tc>
          <w:tcPr>
            <w:tcW w:w="811" w:type="pct"/>
          </w:tcPr>
          <w:p w14:paraId="46F067F8" w14:textId="77777777" w:rsidR="009675B7" w:rsidRPr="002B0E12" w:rsidRDefault="009675B7" w:rsidP="0048694B">
            <w:pPr>
              <w:widowControl w:val="0"/>
              <w:spacing w:after="0"/>
              <w:jc w:val="center"/>
              <w:rPr>
                <w:rFonts w:ascii="Arial" w:hAnsi="Arial" w:cs="Arial"/>
                <w:bCs/>
              </w:rPr>
            </w:pPr>
          </w:p>
        </w:tc>
        <w:tc>
          <w:tcPr>
            <w:tcW w:w="388" w:type="pct"/>
            <w:vAlign w:val="bottom"/>
          </w:tcPr>
          <w:p w14:paraId="0FD17049" w14:textId="77777777" w:rsidR="009675B7" w:rsidRPr="002B0E12" w:rsidRDefault="009675B7" w:rsidP="0048694B">
            <w:pPr>
              <w:widowControl w:val="0"/>
              <w:spacing w:after="0"/>
              <w:jc w:val="right"/>
              <w:rPr>
                <w:rFonts w:ascii="Arial" w:hAnsi="Arial" w:cs="Arial"/>
                <w:b/>
                <w:bCs/>
              </w:rPr>
            </w:pPr>
          </w:p>
        </w:tc>
        <w:tc>
          <w:tcPr>
            <w:tcW w:w="663" w:type="pct"/>
          </w:tcPr>
          <w:p w14:paraId="70CD6D2B" w14:textId="77777777" w:rsidR="009675B7" w:rsidRPr="002B0E12" w:rsidRDefault="009675B7" w:rsidP="0048694B">
            <w:pPr>
              <w:widowControl w:val="0"/>
              <w:spacing w:after="0"/>
              <w:jc w:val="center"/>
              <w:rPr>
                <w:rFonts w:ascii="Arial" w:hAnsi="Arial" w:cs="Arial"/>
                <w:bCs/>
              </w:rPr>
            </w:pPr>
          </w:p>
        </w:tc>
        <w:tc>
          <w:tcPr>
            <w:tcW w:w="713" w:type="pct"/>
          </w:tcPr>
          <w:p w14:paraId="13E203DC" w14:textId="77777777" w:rsidR="009675B7" w:rsidRPr="002B0E12" w:rsidRDefault="009675B7" w:rsidP="0048694B">
            <w:pPr>
              <w:widowControl w:val="0"/>
              <w:spacing w:after="0"/>
              <w:jc w:val="center"/>
              <w:rPr>
                <w:rFonts w:ascii="Arial" w:hAnsi="Arial" w:cs="Arial"/>
                <w:bCs/>
              </w:rPr>
            </w:pPr>
          </w:p>
        </w:tc>
        <w:tc>
          <w:tcPr>
            <w:tcW w:w="449" w:type="pct"/>
          </w:tcPr>
          <w:p w14:paraId="60BABE5A" w14:textId="77777777" w:rsidR="009675B7" w:rsidRPr="002B0E12" w:rsidRDefault="009675B7" w:rsidP="0048694B">
            <w:pPr>
              <w:widowControl w:val="0"/>
              <w:spacing w:after="0"/>
              <w:jc w:val="center"/>
              <w:rPr>
                <w:rFonts w:ascii="Arial" w:hAnsi="Arial" w:cs="Arial"/>
                <w:bCs/>
              </w:rPr>
            </w:pPr>
          </w:p>
        </w:tc>
      </w:tr>
      <w:tr w:rsidR="002B0E12" w:rsidRPr="002B0E12" w14:paraId="635C893D" w14:textId="77777777" w:rsidTr="0048694B">
        <w:trPr>
          <w:trHeight w:val="20"/>
          <w:jc w:val="center"/>
        </w:trPr>
        <w:tc>
          <w:tcPr>
            <w:tcW w:w="1165" w:type="pct"/>
          </w:tcPr>
          <w:p w14:paraId="6F3C26DD" w14:textId="77777777" w:rsidR="009675B7" w:rsidRPr="002B0E12" w:rsidRDefault="009675B7" w:rsidP="0048694B">
            <w:pPr>
              <w:widowControl w:val="0"/>
              <w:spacing w:after="0"/>
              <w:rPr>
                <w:rFonts w:ascii="Arial" w:hAnsi="Arial" w:cs="Arial"/>
                <w:bCs/>
              </w:rPr>
            </w:pPr>
            <w:r w:rsidRPr="002B0E12">
              <w:rPr>
                <w:rFonts w:ascii="Arial" w:hAnsi="Arial" w:cs="Arial"/>
                <w:bCs/>
              </w:rPr>
              <w:t>Systolic Blood Pressure (mmHg)</w:t>
            </w:r>
          </w:p>
        </w:tc>
        <w:tc>
          <w:tcPr>
            <w:tcW w:w="811" w:type="pct"/>
          </w:tcPr>
          <w:p w14:paraId="71ABCCB7"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124.46</w:t>
            </w:r>
            <w:r w:rsidRPr="002B0E12">
              <w:rPr>
                <w:rFonts w:ascii="Arial" w:hAnsi="Arial" w:cs="Arial"/>
                <w:vertAlign w:val="superscript"/>
              </w:rPr>
              <w:t xml:space="preserve"> a</w:t>
            </w:r>
            <w:r w:rsidRPr="002B0E12">
              <w:rPr>
                <w:rFonts w:ascii="Arial" w:hAnsi="Arial" w:cs="Arial"/>
              </w:rPr>
              <w:t xml:space="preserve"> ±2.21</w:t>
            </w:r>
          </w:p>
        </w:tc>
        <w:tc>
          <w:tcPr>
            <w:tcW w:w="811" w:type="pct"/>
          </w:tcPr>
          <w:p w14:paraId="66D97FFD"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145.92</w:t>
            </w:r>
            <w:r w:rsidRPr="002B0E12">
              <w:rPr>
                <w:rFonts w:ascii="Arial" w:hAnsi="Arial" w:cs="Arial"/>
                <w:bCs/>
                <w:vertAlign w:val="superscript"/>
              </w:rPr>
              <w:t>b</w:t>
            </w:r>
            <w:r w:rsidRPr="002B0E12">
              <w:rPr>
                <w:rFonts w:ascii="Arial" w:hAnsi="Arial" w:cs="Arial"/>
              </w:rPr>
              <w:t xml:space="preserve">± </w:t>
            </w:r>
            <w:r w:rsidRPr="002B0E12">
              <w:rPr>
                <w:rFonts w:ascii="Arial" w:hAnsi="Arial" w:cs="Arial"/>
                <w:bCs/>
              </w:rPr>
              <w:t>3.33</w:t>
            </w:r>
          </w:p>
        </w:tc>
        <w:tc>
          <w:tcPr>
            <w:tcW w:w="388" w:type="pct"/>
          </w:tcPr>
          <w:p w14:paraId="41100253" w14:textId="77777777" w:rsidR="009675B7" w:rsidRPr="002B0E12" w:rsidRDefault="009675B7" w:rsidP="0048694B">
            <w:pPr>
              <w:widowControl w:val="0"/>
              <w:spacing w:after="0"/>
              <w:jc w:val="center"/>
              <w:rPr>
                <w:rFonts w:ascii="Arial" w:hAnsi="Arial" w:cs="Arial"/>
                <w:bCs/>
              </w:rPr>
            </w:pPr>
            <w:r w:rsidRPr="002B0E12">
              <w:rPr>
                <w:rFonts w:ascii="Arial" w:hAnsi="Arial" w:cs="Arial"/>
              </w:rPr>
              <w:t>≤0.001</w:t>
            </w:r>
          </w:p>
        </w:tc>
        <w:tc>
          <w:tcPr>
            <w:tcW w:w="663" w:type="pct"/>
          </w:tcPr>
          <w:p w14:paraId="1E35F5D5"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121.5</w:t>
            </w:r>
            <w:r w:rsidRPr="002B0E12">
              <w:rPr>
                <w:rFonts w:ascii="Arial" w:hAnsi="Arial" w:cs="Arial"/>
                <w:vertAlign w:val="superscript"/>
              </w:rPr>
              <w:t>a</w:t>
            </w:r>
            <w:r w:rsidRPr="002B0E12">
              <w:rPr>
                <w:rFonts w:ascii="Arial" w:hAnsi="Arial" w:cs="Arial"/>
              </w:rPr>
              <w:t xml:space="preserve"> ± 2.84</w:t>
            </w:r>
          </w:p>
        </w:tc>
        <w:tc>
          <w:tcPr>
            <w:tcW w:w="713" w:type="pct"/>
          </w:tcPr>
          <w:p w14:paraId="1724B164"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147.13</w:t>
            </w:r>
            <w:r w:rsidRPr="002B0E12">
              <w:rPr>
                <w:rFonts w:ascii="Arial" w:hAnsi="Arial" w:cs="Arial"/>
                <w:bCs/>
                <w:vertAlign w:val="superscript"/>
              </w:rPr>
              <w:t xml:space="preserve"> b</w:t>
            </w:r>
            <w:r w:rsidRPr="002B0E12">
              <w:rPr>
                <w:rFonts w:ascii="Arial" w:hAnsi="Arial" w:cs="Arial"/>
              </w:rPr>
              <w:t xml:space="preserve">± </w:t>
            </w:r>
            <w:r w:rsidRPr="002B0E12">
              <w:rPr>
                <w:rFonts w:ascii="Arial" w:hAnsi="Arial" w:cs="Arial"/>
                <w:bCs/>
              </w:rPr>
              <w:t>4.41</w:t>
            </w:r>
          </w:p>
        </w:tc>
        <w:tc>
          <w:tcPr>
            <w:tcW w:w="449" w:type="pct"/>
          </w:tcPr>
          <w:p w14:paraId="75B607F7" w14:textId="77777777" w:rsidR="009675B7" w:rsidRPr="002B0E12" w:rsidRDefault="009675B7" w:rsidP="0048694B">
            <w:pPr>
              <w:widowControl w:val="0"/>
              <w:spacing w:after="0"/>
              <w:jc w:val="center"/>
              <w:rPr>
                <w:rFonts w:ascii="Arial" w:hAnsi="Arial" w:cs="Arial"/>
                <w:bCs/>
              </w:rPr>
            </w:pPr>
            <w:r w:rsidRPr="002B0E12">
              <w:rPr>
                <w:rFonts w:ascii="Arial" w:hAnsi="Arial" w:cs="Arial"/>
              </w:rPr>
              <w:t>≤0.001</w:t>
            </w:r>
          </w:p>
        </w:tc>
      </w:tr>
      <w:tr w:rsidR="002B0E12" w:rsidRPr="002B0E12" w14:paraId="356CC506" w14:textId="77777777" w:rsidTr="0048694B">
        <w:trPr>
          <w:trHeight w:val="20"/>
          <w:jc w:val="center"/>
        </w:trPr>
        <w:tc>
          <w:tcPr>
            <w:tcW w:w="1165" w:type="pct"/>
          </w:tcPr>
          <w:p w14:paraId="7009C266" w14:textId="77777777" w:rsidR="009675B7" w:rsidRPr="002B0E12" w:rsidRDefault="009675B7" w:rsidP="0048694B">
            <w:pPr>
              <w:widowControl w:val="0"/>
              <w:spacing w:after="0"/>
              <w:rPr>
                <w:rFonts w:ascii="Arial" w:hAnsi="Arial" w:cs="Arial"/>
                <w:bCs/>
              </w:rPr>
            </w:pPr>
            <w:r w:rsidRPr="002B0E12">
              <w:rPr>
                <w:rFonts w:ascii="Arial" w:hAnsi="Arial" w:cs="Arial"/>
                <w:bCs/>
              </w:rPr>
              <w:t>Diastolic Blood Pressure (mmHg)</w:t>
            </w:r>
          </w:p>
        </w:tc>
        <w:tc>
          <w:tcPr>
            <w:tcW w:w="811" w:type="pct"/>
          </w:tcPr>
          <w:p w14:paraId="4173A9B5" w14:textId="77777777" w:rsidR="009675B7" w:rsidRPr="002B0E12" w:rsidRDefault="009675B7" w:rsidP="0048694B">
            <w:pPr>
              <w:widowControl w:val="0"/>
              <w:spacing w:after="0"/>
              <w:jc w:val="center"/>
              <w:rPr>
                <w:rFonts w:ascii="Arial" w:hAnsi="Arial" w:cs="Arial"/>
              </w:rPr>
            </w:pPr>
            <w:r w:rsidRPr="002B0E12">
              <w:rPr>
                <w:rFonts w:ascii="Arial" w:hAnsi="Arial" w:cs="Arial"/>
                <w:bCs/>
              </w:rPr>
              <w:t>82.32</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1.44</w:t>
            </w:r>
          </w:p>
        </w:tc>
        <w:tc>
          <w:tcPr>
            <w:tcW w:w="811" w:type="pct"/>
          </w:tcPr>
          <w:p w14:paraId="0D4258C0"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100.5</w:t>
            </w:r>
            <w:r w:rsidRPr="002B0E12">
              <w:rPr>
                <w:rFonts w:ascii="Arial" w:hAnsi="Arial" w:cs="Arial"/>
                <w:bCs/>
                <w:vertAlign w:val="superscript"/>
              </w:rPr>
              <w:t xml:space="preserve"> b</w:t>
            </w:r>
            <w:r w:rsidRPr="002B0E12">
              <w:rPr>
                <w:rFonts w:ascii="Arial" w:hAnsi="Arial" w:cs="Arial"/>
              </w:rPr>
              <w:t xml:space="preserve"> ± </w:t>
            </w:r>
            <w:r w:rsidRPr="002B0E12">
              <w:rPr>
                <w:rFonts w:ascii="Arial" w:hAnsi="Arial" w:cs="Arial"/>
                <w:bCs/>
              </w:rPr>
              <w:t>2.66</w:t>
            </w:r>
          </w:p>
        </w:tc>
        <w:tc>
          <w:tcPr>
            <w:tcW w:w="388" w:type="pct"/>
          </w:tcPr>
          <w:p w14:paraId="455388FA" w14:textId="77777777" w:rsidR="009675B7" w:rsidRPr="002B0E12" w:rsidRDefault="009675B7" w:rsidP="0048694B">
            <w:pPr>
              <w:widowControl w:val="0"/>
              <w:spacing w:after="0"/>
              <w:jc w:val="center"/>
              <w:rPr>
                <w:rFonts w:ascii="Arial" w:hAnsi="Arial" w:cs="Arial"/>
                <w:bCs/>
              </w:rPr>
            </w:pPr>
            <w:r w:rsidRPr="002B0E12">
              <w:rPr>
                <w:rFonts w:ascii="Arial" w:hAnsi="Arial" w:cs="Arial"/>
              </w:rPr>
              <w:t>≤0.001</w:t>
            </w:r>
          </w:p>
        </w:tc>
        <w:tc>
          <w:tcPr>
            <w:tcW w:w="663" w:type="pct"/>
          </w:tcPr>
          <w:p w14:paraId="30BAC6BF" w14:textId="77777777" w:rsidR="009675B7" w:rsidRPr="002B0E12" w:rsidRDefault="009675B7" w:rsidP="0048694B">
            <w:pPr>
              <w:widowControl w:val="0"/>
              <w:spacing w:after="0"/>
              <w:jc w:val="center"/>
              <w:rPr>
                <w:rFonts w:ascii="Arial" w:hAnsi="Arial" w:cs="Arial"/>
              </w:rPr>
            </w:pPr>
            <w:r w:rsidRPr="002B0E12">
              <w:rPr>
                <w:rFonts w:ascii="Arial" w:hAnsi="Arial" w:cs="Arial"/>
                <w:bCs/>
              </w:rPr>
              <w:t>84.32</w:t>
            </w:r>
            <w:r w:rsidRPr="002B0E12">
              <w:rPr>
                <w:rFonts w:ascii="Arial" w:hAnsi="Arial" w:cs="Arial"/>
                <w:vertAlign w:val="superscript"/>
              </w:rPr>
              <w:t>a</w:t>
            </w:r>
            <w:r w:rsidRPr="002B0E12">
              <w:rPr>
                <w:rFonts w:ascii="Arial" w:hAnsi="Arial" w:cs="Arial"/>
              </w:rPr>
              <w:t xml:space="preserve"> ± </w:t>
            </w:r>
            <w:r w:rsidRPr="002B0E12">
              <w:rPr>
                <w:rFonts w:ascii="Arial" w:hAnsi="Arial" w:cs="Arial"/>
                <w:bCs/>
              </w:rPr>
              <w:t>1.64</w:t>
            </w:r>
          </w:p>
        </w:tc>
        <w:tc>
          <w:tcPr>
            <w:tcW w:w="713" w:type="pct"/>
          </w:tcPr>
          <w:p w14:paraId="086764C2" w14:textId="77777777" w:rsidR="009675B7" w:rsidRPr="002B0E12" w:rsidRDefault="009675B7" w:rsidP="0048694B">
            <w:pPr>
              <w:widowControl w:val="0"/>
              <w:spacing w:after="0"/>
              <w:jc w:val="center"/>
              <w:rPr>
                <w:rFonts w:ascii="Arial" w:hAnsi="Arial" w:cs="Arial"/>
              </w:rPr>
            </w:pPr>
            <w:r w:rsidRPr="002B0E12">
              <w:rPr>
                <w:rFonts w:ascii="Arial" w:hAnsi="Arial" w:cs="Arial"/>
                <w:bCs/>
              </w:rPr>
              <w:t>96.83</w:t>
            </w:r>
            <w:r w:rsidRPr="002B0E12">
              <w:rPr>
                <w:rFonts w:ascii="Arial" w:hAnsi="Arial" w:cs="Arial"/>
                <w:bCs/>
                <w:vertAlign w:val="superscript"/>
              </w:rPr>
              <w:t xml:space="preserve"> b</w:t>
            </w:r>
            <w:r w:rsidRPr="002B0E12">
              <w:rPr>
                <w:rFonts w:ascii="Arial" w:hAnsi="Arial" w:cs="Arial"/>
              </w:rPr>
              <w:t xml:space="preserve"> ± </w:t>
            </w:r>
            <w:r w:rsidRPr="002B0E12">
              <w:rPr>
                <w:rFonts w:ascii="Arial" w:hAnsi="Arial" w:cs="Arial"/>
                <w:bCs/>
              </w:rPr>
              <w:t>2.54</w:t>
            </w:r>
          </w:p>
        </w:tc>
        <w:tc>
          <w:tcPr>
            <w:tcW w:w="449" w:type="pct"/>
          </w:tcPr>
          <w:p w14:paraId="01911204" w14:textId="77777777" w:rsidR="009675B7" w:rsidRPr="002B0E12" w:rsidRDefault="009675B7" w:rsidP="0048694B">
            <w:pPr>
              <w:widowControl w:val="0"/>
              <w:spacing w:after="0"/>
              <w:jc w:val="center"/>
              <w:rPr>
                <w:rFonts w:ascii="Arial" w:hAnsi="Arial" w:cs="Arial"/>
                <w:bCs/>
              </w:rPr>
            </w:pPr>
            <w:r w:rsidRPr="002B0E12">
              <w:rPr>
                <w:rFonts w:ascii="Arial" w:hAnsi="Arial" w:cs="Arial"/>
              </w:rPr>
              <w:t>≤0.001</w:t>
            </w:r>
          </w:p>
        </w:tc>
      </w:tr>
      <w:tr w:rsidR="002B0E12" w:rsidRPr="002B0E12" w14:paraId="18ACCCFF" w14:textId="77777777" w:rsidTr="0048694B">
        <w:trPr>
          <w:trHeight w:val="20"/>
          <w:jc w:val="center"/>
        </w:trPr>
        <w:tc>
          <w:tcPr>
            <w:tcW w:w="1976" w:type="pct"/>
            <w:gridSpan w:val="2"/>
          </w:tcPr>
          <w:p w14:paraId="28CF390B" w14:textId="77777777" w:rsidR="009675B7" w:rsidRPr="002B0E12" w:rsidRDefault="009675B7" w:rsidP="0048694B">
            <w:pPr>
              <w:widowControl w:val="0"/>
              <w:spacing w:after="0"/>
              <w:rPr>
                <w:rFonts w:ascii="Arial" w:hAnsi="Arial" w:cs="Arial"/>
              </w:rPr>
            </w:pPr>
            <w:r w:rsidRPr="002B0E12">
              <w:rPr>
                <w:rFonts w:ascii="Arial" w:hAnsi="Arial" w:cs="Arial"/>
                <w:b/>
              </w:rPr>
              <w:t>Hyperlipidemia</w:t>
            </w:r>
          </w:p>
        </w:tc>
        <w:tc>
          <w:tcPr>
            <w:tcW w:w="811" w:type="pct"/>
          </w:tcPr>
          <w:p w14:paraId="30CC3356" w14:textId="77777777" w:rsidR="009675B7" w:rsidRPr="002B0E12" w:rsidRDefault="009675B7" w:rsidP="0048694B">
            <w:pPr>
              <w:widowControl w:val="0"/>
              <w:spacing w:after="0"/>
              <w:jc w:val="center"/>
              <w:rPr>
                <w:rFonts w:ascii="Arial" w:hAnsi="Arial" w:cs="Arial"/>
              </w:rPr>
            </w:pPr>
          </w:p>
        </w:tc>
        <w:tc>
          <w:tcPr>
            <w:tcW w:w="388" w:type="pct"/>
            <w:vAlign w:val="bottom"/>
          </w:tcPr>
          <w:p w14:paraId="24DA4A01" w14:textId="77777777" w:rsidR="009675B7" w:rsidRPr="002B0E12" w:rsidRDefault="009675B7" w:rsidP="0048694B">
            <w:pPr>
              <w:widowControl w:val="0"/>
              <w:spacing w:after="0"/>
              <w:jc w:val="right"/>
              <w:rPr>
                <w:rFonts w:ascii="Arial" w:hAnsi="Arial" w:cs="Arial"/>
                <w:b/>
                <w:bCs/>
              </w:rPr>
            </w:pPr>
          </w:p>
        </w:tc>
        <w:tc>
          <w:tcPr>
            <w:tcW w:w="663" w:type="pct"/>
          </w:tcPr>
          <w:p w14:paraId="6555C115" w14:textId="77777777" w:rsidR="009675B7" w:rsidRPr="002B0E12" w:rsidRDefault="009675B7" w:rsidP="0048694B">
            <w:pPr>
              <w:widowControl w:val="0"/>
              <w:spacing w:after="0"/>
              <w:jc w:val="center"/>
              <w:rPr>
                <w:rFonts w:ascii="Arial" w:hAnsi="Arial" w:cs="Arial"/>
              </w:rPr>
            </w:pPr>
          </w:p>
        </w:tc>
        <w:tc>
          <w:tcPr>
            <w:tcW w:w="713" w:type="pct"/>
          </w:tcPr>
          <w:p w14:paraId="25DD2FBA" w14:textId="77777777" w:rsidR="009675B7" w:rsidRPr="002B0E12" w:rsidRDefault="009675B7" w:rsidP="0048694B">
            <w:pPr>
              <w:widowControl w:val="0"/>
              <w:spacing w:after="0"/>
              <w:jc w:val="center"/>
              <w:rPr>
                <w:rFonts w:ascii="Arial" w:hAnsi="Arial" w:cs="Arial"/>
              </w:rPr>
            </w:pPr>
          </w:p>
        </w:tc>
        <w:tc>
          <w:tcPr>
            <w:tcW w:w="449" w:type="pct"/>
          </w:tcPr>
          <w:p w14:paraId="317CB808" w14:textId="77777777" w:rsidR="009675B7" w:rsidRPr="002B0E12" w:rsidRDefault="009675B7" w:rsidP="0048694B">
            <w:pPr>
              <w:widowControl w:val="0"/>
              <w:spacing w:after="0"/>
              <w:jc w:val="center"/>
              <w:rPr>
                <w:rFonts w:ascii="Arial" w:hAnsi="Arial" w:cs="Arial"/>
                <w:bCs/>
              </w:rPr>
            </w:pPr>
          </w:p>
        </w:tc>
      </w:tr>
      <w:tr w:rsidR="002B0E12" w:rsidRPr="002B0E12" w14:paraId="3E6F8465" w14:textId="77777777" w:rsidTr="0048694B">
        <w:trPr>
          <w:trHeight w:val="351"/>
          <w:jc w:val="center"/>
        </w:trPr>
        <w:tc>
          <w:tcPr>
            <w:tcW w:w="1165" w:type="pct"/>
          </w:tcPr>
          <w:p w14:paraId="38410E0E" w14:textId="77777777" w:rsidR="009675B7" w:rsidRPr="002B0E12" w:rsidRDefault="009675B7" w:rsidP="0048694B">
            <w:pPr>
              <w:widowControl w:val="0"/>
              <w:spacing w:after="0"/>
              <w:rPr>
                <w:rFonts w:ascii="Arial" w:hAnsi="Arial" w:cs="Arial"/>
                <w:bCs/>
              </w:rPr>
            </w:pPr>
            <w:r w:rsidRPr="002B0E12">
              <w:rPr>
                <w:rFonts w:ascii="Arial" w:hAnsi="Arial" w:cs="Arial"/>
                <w:bCs/>
              </w:rPr>
              <w:t>Total Cholesterol (mg/dl)</w:t>
            </w:r>
          </w:p>
        </w:tc>
        <w:tc>
          <w:tcPr>
            <w:tcW w:w="811" w:type="pct"/>
          </w:tcPr>
          <w:p w14:paraId="32C50A80" w14:textId="77777777" w:rsidR="009675B7" w:rsidRPr="002B0E12" w:rsidRDefault="009675B7" w:rsidP="0048694B">
            <w:pPr>
              <w:widowControl w:val="0"/>
              <w:spacing w:after="0"/>
              <w:jc w:val="center"/>
              <w:rPr>
                <w:rFonts w:ascii="Arial" w:hAnsi="Arial" w:cs="Arial"/>
                <w:b/>
              </w:rPr>
            </w:pPr>
            <w:r w:rsidRPr="002B0E12">
              <w:rPr>
                <w:rFonts w:ascii="Arial" w:hAnsi="Arial" w:cs="Arial"/>
              </w:rPr>
              <w:t>194.6</w:t>
            </w:r>
            <w:r w:rsidRPr="002B0E12">
              <w:rPr>
                <w:rFonts w:ascii="Arial" w:hAnsi="Arial" w:cs="Arial"/>
                <w:vertAlign w:val="superscript"/>
              </w:rPr>
              <w:t xml:space="preserve"> a</w:t>
            </w:r>
            <w:r w:rsidRPr="002B0E12">
              <w:rPr>
                <w:rFonts w:ascii="Arial" w:hAnsi="Arial" w:cs="Arial"/>
              </w:rPr>
              <w:t xml:space="preserve"> ± 5.93</w:t>
            </w:r>
          </w:p>
        </w:tc>
        <w:tc>
          <w:tcPr>
            <w:tcW w:w="811" w:type="pct"/>
          </w:tcPr>
          <w:p w14:paraId="4C309B0E" w14:textId="77777777" w:rsidR="009675B7" w:rsidRPr="002B0E12" w:rsidRDefault="009675B7" w:rsidP="0048694B">
            <w:pPr>
              <w:widowControl w:val="0"/>
              <w:spacing w:after="0"/>
              <w:jc w:val="center"/>
              <w:rPr>
                <w:rFonts w:ascii="Arial" w:hAnsi="Arial" w:cs="Arial"/>
                <w:b/>
              </w:rPr>
            </w:pPr>
            <w:r w:rsidRPr="002B0E12">
              <w:rPr>
                <w:rFonts w:ascii="Arial" w:hAnsi="Arial" w:cs="Arial"/>
              </w:rPr>
              <w:t>165.53</w:t>
            </w:r>
            <w:r w:rsidRPr="002B0E12">
              <w:rPr>
                <w:rFonts w:ascii="Arial" w:hAnsi="Arial" w:cs="Arial"/>
                <w:vertAlign w:val="superscript"/>
              </w:rPr>
              <w:t>b</w:t>
            </w:r>
            <w:r w:rsidRPr="002B0E12">
              <w:rPr>
                <w:rFonts w:ascii="Arial" w:hAnsi="Arial" w:cs="Arial"/>
              </w:rPr>
              <w:t>± 7.38</w:t>
            </w:r>
          </w:p>
        </w:tc>
        <w:tc>
          <w:tcPr>
            <w:tcW w:w="388" w:type="pct"/>
          </w:tcPr>
          <w:p w14:paraId="7FB937A8"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0.004</w:t>
            </w:r>
          </w:p>
        </w:tc>
        <w:tc>
          <w:tcPr>
            <w:tcW w:w="663" w:type="pct"/>
          </w:tcPr>
          <w:p w14:paraId="7F99247C" w14:textId="77777777" w:rsidR="009675B7" w:rsidRPr="002B0E12" w:rsidRDefault="009675B7" w:rsidP="0048694B">
            <w:pPr>
              <w:widowControl w:val="0"/>
              <w:spacing w:after="0"/>
              <w:rPr>
                <w:rFonts w:ascii="Arial" w:hAnsi="Arial" w:cs="Arial"/>
                <w:b/>
              </w:rPr>
            </w:pPr>
            <w:r w:rsidRPr="002B0E12">
              <w:rPr>
                <w:rFonts w:ascii="Arial" w:hAnsi="Arial" w:cs="Arial"/>
              </w:rPr>
              <w:t>205.90</w:t>
            </w:r>
            <w:r w:rsidRPr="002B0E12">
              <w:rPr>
                <w:rFonts w:ascii="Arial" w:hAnsi="Arial" w:cs="Arial"/>
                <w:vertAlign w:val="superscript"/>
              </w:rPr>
              <w:t>a</w:t>
            </w:r>
            <w:r w:rsidRPr="002B0E12">
              <w:rPr>
                <w:rFonts w:ascii="Arial" w:hAnsi="Arial" w:cs="Arial"/>
              </w:rPr>
              <w:t>±0.88</w:t>
            </w:r>
          </w:p>
        </w:tc>
        <w:tc>
          <w:tcPr>
            <w:tcW w:w="713" w:type="pct"/>
          </w:tcPr>
          <w:p w14:paraId="31199E03" w14:textId="77777777" w:rsidR="009675B7" w:rsidRPr="002B0E12" w:rsidRDefault="009675B7" w:rsidP="0048694B">
            <w:pPr>
              <w:widowControl w:val="0"/>
              <w:spacing w:after="0"/>
              <w:rPr>
                <w:rFonts w:ascii="Arial" w:hAnsi="Arial" w:cs="Arial"/>
                <w:b/>
              </w:rPr>
            </w:pPr>
            <w:r w:rsidRPr="002B0E12">
              <w:rPr>
                <w:rFonts w:ascii="Arial" w:hAnsi="Arial" w:cs="Arial"/>
              </w:rPr>
              <w:t>198.86</w:t>
            </w:r>
            <w:r w:rsidRPr="002B0E12">
              <w:rPr>
                <w:rFonts w:ascii="Arial" w:hAnsi="Arial" w:cs="Arial"/>
                <w:vertAlign w:val="superscript"/>
              </w:rPr>
              <w:t xml:space="preserve"> a</w:t>
            </w:r>
            <w:r w:rsidRPr="002B0E12">
              <w:rPr>
                <w:rFonts w:ascii="Arial" w:hAnsi="Arial" w:cs="Arial"/>
              </w:rPr>
              <w:t xml:space="preserve"> ±6.85</w:t>
            </w:r>
          </w:p>
        </w:tc>
        <w:tc>
          <w:tcPr>
            <w:tcW w:w="449" w:type="pct"/>
          </w:tcPr>
          <w:p w14:paraId="3ECFA165"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0.587</w:t>
            </w:r>
          </w:p>
        </w:tc>
      </w:tr>
      <w:tr w:rsidR="002B0E12" w:rsidRPr="002B0E12" w14:paraId="4C37F303" w14:textId="77777777" w:rsidTr="0048694B">
        <w:trPr>
          <w:trHeight w:val="270"/>
          <w:jc w:val="center"/>
        </w:trPr>
        <w:tc>
          <w:tcPr>
            <w:tcW w:w="1165" w:type="pct"/>
          </w:tcPr>
          <w:p w14:paraId="5736F553" w14:textId="77777777" w:rsidR="009675B7" w:rsidRPr="002B0E12" w:rsidRDefault="009675B7" w:rsidP="0048694B">
            <w:pPr>
              <w:widowControl w:val="0"/>
              <w:spacing w:after="0"/>
              <w:rPr>
                <w:rFonts w:ascii="Arial" w:hAnsi="Arial" w:cs="Arial"/>
                <w:bCs/>
              </w:rPr>
            </w:pPr>
            <w:r w:rsidRPr="002B0E12">
              <w:rPr>
                <w:rFonts w:ascii="Arial" w:hAnsi="Arial" w:cs="Arial"/>
                <w:bCs/>
              </w:rPr>
              <w:t>Triglyceride (mg/dl)</w:t>
            </w:r>
          </w:p>
        </w:tc>
        <w:tc>
          <w:tcPr>
            <w:tcW w:w="811" w:type="pct"/>
          </w:tcPr>
          <w:p w14:paraId="726E5ACC"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168.02</w:t>
            </w:r>
            <w:r w:rsidRPr="002B0E12">
              <w:rPr>
                <w:rFonts w:ascii="Arial" w:hAnsi="Arial" w:cs="Arial"/>
                <w:vertAlign w:val="superscript"/>
              </w:rPr>
              <w:t>a</w:t>
            </w:r>
            <w:r w:rsidRPr="002B0E12">
              <w:rPr>
                <w:rFonts w:ascii="Arial" w:hAnsi="Arial" w:cs="Arial"/>
              </w:rPr>
              <w:t>±</w:t>
            </w:r>
            <w:r w:rsidRPr="002B0E12">
              <w:rPr>
                <w:rFonts w:ascii="Arial" w:hAnsi="Arial" w:cs="Arial"/>
                <w:bCs/>
              </w:rPr>
              <w:t>14.82</w:t>
            </w:r>
          </w:p>
        </w:tc>
        <w:tc>
          <w:tcPr>
            <w:tcW w:w="811" w:type="pct"/>
          </w:tcPr>
          <w:p w14:paraId="0E9E48A9"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156.47</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9.05</w:t>
            </w:r>
          </w:p>
        </w:tc>
        <w:tc>
          <w:tcPr>
            <w:tcW w:w="388" w:type="pct"/>
          </w:tcPr>
          <w:p w14:paraId="69563B4E"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0.507</w:t>
            </w:r>
          </w:p>
        </w:tc>
        <w:tc>
          <w:tcPr>
            <w:tcW w:w="663" w:type="pct"/>
          </w:tcPr>
          <w:p w14:paraId="2C2E1D38" w14:textId="77777777" w:rsidR="009675B7" w:rsidRPr="002B0E12" w:rsidRDefault="009675B7" w:rsidP="0048694B">
            <w:pPr>
              <w:widowControl w:val="0"/>
              <w:spacing w:after="0"/>
              <w:jc w:val="center"/>
              <w:rPr>
                <w:rFonts w:ascii="Arial" w:hAnsi="Arial" w:cs="Arial"/>
              </w:rPr>
            </w:pPr>
            <w:r w:rsidRPr="002B0E12">
              <w:rPr>
                <w:rFonts w:ascii="Arial" w:hAnsi="Arial" w:cs="Arial"/>
                <w:bCs/>
              </w:rPr>
              <w:t>183.21</w:t>
            </w:r>
            <w:r w:rsidRPr="002B0E12">
              <w:rPr>
                <w:rFonts w:ascii="Arial" w:hAnsi="Arial" w:cs="Arial"/>
                <w:vertAlign w:val="superscript"/>
              </w:rPr>
              <w:t>a</w:t>
            </w:r>
            <w:r w:rsidRPr="002B0E12">
              <w:rPr>
                <w:rFonts w:ascii="Arial" w:hAnsi="Arial" w:cs="Arial"/>
              </w:rPr>
              <w:t>±</w:t>
            </w:r>
            <w:r w:rsidRPr="002B0E12">
              <w:rPr>
                <w:rFonts w:ascii="Arial" w:hAnsi="Arial" w:cs="Arial"/>
                <w:bCs/>
              </w:rPr>
              <w:t>18.49</w:t>
            </w:r>
          </w:p>
        </w:tc>
        <w:tc>
          <w:tcPr>
            <w:tcW w:w="713" w:type="pct"/>
          </w:tcPr>
          <w:p w14:paraId="0023A6D1" w14:textId="77777777" w:rsidR="009675B7" w:rsidRPr="002B0E12" w:rsidRDefault="009675B7" w:rsidP="0048694B">
            <w:pPr>
              <w:widowControl w:val="0"/>
              <w:spacing w:after="0"/>
              <w:rPr>
                <w:rFonts w:ascii="Arial" w:hAnsi="Arial" w:cs="Arial"/>
              </w:rPr>
            </w:pPr>
            <w:r w:rsidRPr="002B0E12">
              <w:rPr>
                <w:rFonts w:ascii="Arial" w:hAnsi="Arial" w:cs="Arial"/>
                <w:bCs/>
              </w:rPr>
              <w:t>160.67</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15.39</w:t>
            </w:r>
          </w:p>
        </w:tc>
        <w:tc>
          <w:tcPr>
            <w:tcW w:w="449" w:type="pct"/>
          </w:tcPr>
          <w:p w14:paraId="72C35F9D"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0.354</w:t>
            </w:r>
          </w:p>
        </w:tc>
      </w:tr>
      <w:tr w:rsidR="002B0E12" w:rsidRPr="002B0E12" w14:paraId="069BD5AB" w14:textId="77777777" w:rsidTr="0048694B">
        <w:trPr>
          <w:trHeight w:val="20"/>
          <w:jc w:val="center"/>
        </w:trPr>
        <w:tc>
          <w:tcPr>
            <w:tcW w:w="1165" w:type="pct"/>
          </w:tcPr>
          <w:p w14:paraId="19728E3D" w14:textId="77777777" w:rsidR="009675B7" w:rsidRPr="002B0E12" w:rsidRDefault="009675B7" w:rsidP="0048694B">
            <w:pPr>
              <w:widowControl w:val="0"/>
              <w:spacing w:after="0"/>
              <w:rPr>
                <w:rFonts w:ascii="Arial" w:hAnsi="Arial" w:cs="Arial"/>
                <w:bCs/>
              </w:rPr>
            </w:pPr>
            <w:r w:rsidRPr="002B0E12">
              <w:rPr>
                <w:rFonts w:ascii="Arial" w:hAnsi="Arial" w:cs="Arial"/>
                <w:bCs/>
              </w:rPr>
              <w:lastRenderedPageBreak/>
              <w:t>HDL-C (mg/dl)</w:t>
            </w:r>
          </w:p>
        </w:tc>
        <w:tc>
          <w:tcPr>
            <w:tcW w:w="811" w:type="pct"/>
          </w:tcPr>
          <w:p w14:paraId="5AC76CF6"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48.91</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1.48</w:t>
            </w:r>
          </w:p>
        </w:tc>
        <w:tc>
          <w:tcPr>
            <w:tcW w:w="811" w:type="pct"/>
          </w:tcPr>
          <w:p w14:paraId="2FABF90D"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42.89</w:t>
            </w:r>
            <w:r w:rsidRPr="002B0E12">
              <w:rPr>
                <w:rFonts w:ascii="Arial" w:hAnsi="Arial" w:cs="Arial"/>
                <w:bCs/>
                <w:vertAlign w:val="superscript"/>
              </w:rPr>
              <w:t xml:space="preserve"> b</w:t>
            </w:r>
            <w:r w:rsidRPr="002B0E12">
              <w:rPr>
                <w:rFonts w:ascii="Arial" w:hAnsi="Arial" w:cs="Arial"/>
              </w:rPr>
              <w:t xml:space="preserve"> ± </w:t>
            </w:r>
            <w:r w:rsidRPr="002B0E12">
              <w:rPr>
                <w:rFonts w:ascii="Arial" w:hAnsi="Arial" w:cs="Arial"/>
                <w:bCs/>
              </w:rPr>
              <w:t>1.51</w:t>
            </w:r>
          </w:p>
        </w:tc>
        <w:tc>
          <w:tcPr>
            <w:tcW w:w="388" w:type="pct"/>
          </w:tcPr>
          <w:p w14:paraId="737E3FD6"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0.008</w:t>
            </w:r>
          </w:p>
        </w:tc>
        <w:tc>
          <w:tcPr>
            <w:tcW w:w="663" w:type="pct"/>
          </w:tcPr>
          <w:p w14:paraId="4D63E5F5"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48.54</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2.43</w:t>
            </w:r>
          </w:p>
        </w:tc>
        <w:tc>
          <w:tcPr>
            <w:tcW w:w="713" w:type="pct"/>
          </w:tcPr>
          <w:p w14:paraId="0C79D388"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44.51</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1.91</w:t>
            </w:r>
          </w:p>
        </w:tc>
        <w:tc>
          <w:tcPr>
            <w:tcW w:w="449" w:type="pct"/>
          </w:tcPr>
          <w:p w14:paraId="38B4AE9F"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0.200</w:t>
            </w:r>
          </w:p>
        </w:tc>
      </w:tr>
      <w:tr w:rsidR="002B0E12" w:rsidRPr="002B0E12" w14:paraId="3129E1E2" w14:textId="77777777" w:rsidTr="0048694B">
        <w:trPr>
          <w:trHeight w:val="20"/>
          <w:jc w:val="center"/>
        </w:trPr>
        <w:tc>
          <w:tcPr>
            <w:tcW w:w="1165" w:type="pct"/>
          </w:tcPr>
          <w:p w14:paraId="2360B4AD" w14:textId="77777777" w:rsidR="009675B7" w:rsidRPr="002B0E12" w:rsidRDefault="009675B7" w:rsidP="0048694B">
            <w:pPr>
              <w:widowControl w:val="0"/>
              <w:spacing w:after="0"/>
              <w:rPr>
                <w:rFonts w:ascii="Arial" w:hAnsi="Arial" w:cs="Arial"/>
                <w:bCs/>
              </w:rPr>
            </w:pPr>
            <w:r w:rsidRPr="002B0E12">
              <w:rPr>
                <w:rFonts w:ascii="Arial" w:hAnsi="Arial" w:cs="Arial"/>
                <w:bCs/>
              </w:rPr>
              <w:t>LDL-C (mg/dl)</w:t>
            </w:r>
          </w:p>
        </w:tc>
        <w:tc>
          <w:tcPr>
            <w:tcW w:w="811" w:type="pct"/>
          </w:tcPr>
          <w:p w14:paraId="50000320" w14:textId="77777777" w:rsidR="009675B7" w:rsidRPr="002B0E12" w:rsidRDefault="009675B7" w:rsidP="0048694B">
            <w:pPr>
              <w:widowControl w:val="0"/>
              <w:spacing w:after="0"/>
              <w:jc w:val="center"/>
              <w:rPr>
                <w:rFonts w:ascii="Arial" w:hAnsi="Arial" w:cs="Arial"/>
                <w:b/>
              </w:rPr>
            </w:pPr>
            <w:r w:rsidRPr="002B0E12">
              <w:rPr>
                <w:rFonts w:ascii="Arial" w:hAnsi="Arial" w:cs="Arial"/>
              </w:rPr>
              <w:t>112.08</w:t>
            </w:r>
            <w:r w:rsidRPr="002B0E12">
              <w:rPr>
                <w:rFonts w:ascii="Arial" w:hAnsi="Arial" w:cs="Arial"/>
                <w:vertAlign w:val="superscript"/>
              </w:rPr>
              <w:t>a</w:t>
            </w:r>
            <w:r w:rsidRPr="002B0E12">
              <w:rPr>
                <w:rFonts w:ascii="Arial" w:hAnsi="Arial" w:cs="Arial"/>
              </w:rPr>
              <w:t xml:space="preserve"> ± 6.12</w:t>
            </w:r>
          </w:p>
        </w:tc>
        <w:tc>
          <w:tcPr>
            <w:tcW w:w="811" w:type="pct"/>
          </w:tcPr>
          <w:p w14:paraId="2B84B7E5" w14:textId="77777777" w:rsidR="009675B7" w:rsidRPr="002B0E12" w:rsidRDefault="009675B7" w:rsidP="0048694B">
            <w:pPr>
              <w:widowControl w:val="0"/>
              <w:spacing w:after="0"/>
              <w:jc w:val="center"/>
              <w:rPr>
                <w:rFonts w:ascii="Arial" w:hAnsi="Arial" w:cs="Arial"/>
                <w:b/>
              </w:rPr>
            </w:pPr>
            <w:r w:rsidRPr="002B0E12">
              <w:rPr>
                <w:rFonts w:ascii="Arial" w:hAnsi="Arial" w:cs="Arial"/>
              </w:rPr>
              <w:t>92.6</w:t>
            </w:r>
            <w:r w:rsidRPr="002B0E12">
              <w:rPr>
                <w:rFonts w:ascii="Arial" w:hAnsi="Arial" w:cs="Arial"/>
                <w:vertAlign w:val="superscript"/>
              </w:rPr>
              <w:t xml:space="preserve"> b</w:t>
            </w:r>
            <w:r w:rsidRPr="002B0E12">
              <w:rPr>
                <w:rFonts w:ascii="Arial" w:hAnsi="Arial" w:cs="Arial"/>
              </w:rPr>
              <w:t xml:space="preserve"> ± 6.44</w:t>
            </w:r>
          </w:p>
        </w:tc>
        <w:tc>
          <w:tcPr>
            <w:tcW w:w="388" w:type="pct"/>
          </w:tcPr>
          <w:p w14:paraId="1D8F9ACB"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0.033</w:t>
            </w:r>
          </w:p>
        </w:tc>
        <w:tc>
          <w:tcPr>
            <w:tcW w:w="663" w:type="pct"/>
          </w:tcPr>
          <w:p w14:paraId="293225FB" w14:textId="77777777" w:rsidR="009675B7" w:rsidRPr="002B0E12" w:rsidRDefault="009675B7" w:rsidP="0048694B">
            <w:pPr>
              <w:widowControl w:val="0"/>
              <w:spacing w:after="0"/>
              <w:jc w:val="center"/>
              <w:rPr>
                <w:rFonts w:ascii="Arial" w:hAnsi="Arial" w:cs="Arial"/>
                <w:b/>
              </w:rPr>
            </w:pPr>
            <w:r w:rsidRPr="002B0E12">
              <w:rPr>
                <w:rFonts w:ascii="Arial" w:hAnsi="Arial" w:cs="Arial"/>
              </w:rPr>
              <w:t>120.72</w:t>
            </w:r>
            <w:r w:rsidRPr="002B0E12">
              <w:rPr>
                <w:rFonts w:ascii="Arial" w:hAnsi="Arial" w:cs="Arial"/>
                <w:vertAlign w:val="superscript"/>
              </w:rPr>
              <w:t>a</w:t>
            </w:r>
            <w:r w:rsidRPr="002B0E12">
              <w:rPr>
                <w:rFonts w:ascii="Arial" w:hAnsi="Arial" w:cs="Arial"/>
              </w:rPr>
              <w:t xml:space="preserve"> ± 8.87</w:t>
            </w:r>
          </w:p>
        </w:tc>
        <w:tc>
          <w:tcPr>
            <w:tcW w:w="713" w:type="pct"/>
          </w:tcPr>
          <w:p w14:paraId="03E7C58F" w14:textId="77777777" w:rsidR="009675B7" w:rsidRPr="002B0E12" w:rsidRDefault="009675B7" w:rsidP="0048694B">
            <w:pPr>
              <w:widowControl w:val="0"/>
              <w:spacing w:after="0"/>
              <w:rPr>
                <w:rFonts w:ascii="Arial" w:hAnsi="Arial" w:cs="Arial"/>
                <w:b/>
              </w:rPr>
            </w:pPr>
            <w:r w:rsidRPr="002B0E12">
              <w:rPr>
                <w:rFonts w:ascii="Arial" w:hAnsi="Arial" w:cs="Arial"/>
              </w:rPr>
              <w:t>122.23</w:t>
            </w:r>
            <w:r w:rsidRPr="002B0E12">
              <w:rPr>
                <w:rFonts w:ascii="Arial" w:hAnsi="Arial" w:cs="Arial"/>
                <w:vertAlign w:val="superscript"/>
              </w:rPr>
              <w:t xml:space="preserve"> a</w:t>
            </w:r>
            <w:r w:rsidRPr="002B0E12">
              <w:rPr>
                <w:rFonts w:ascii="Arial" w:hAnsi="Arial" w:cs="Arial"/>
              </w:rPr>
              <w:t xml:space="preserve"> ±6.20</w:t>
            </w:r>
          </w:p>
        </w:tc>
        <w:tc>
          <w:tcPr>
            <w:tcW w:w="449" w:type="pct"/>
          </w:tcPr>
          <w:p w14:paraId="6D92BB57"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0.890</w:t>
            </w:r>
          </w:p>
        </w:tc>
      </w:tr>
      <w:tr w:rsidR="002B0E12" w:rsidRPr="002B0E12" w14:paraId="005AE579" w14:textId="77777777" w:rsidTr="0048694B">
        <w:trPr>
          <w:trHeight w:val="20"/>
          <w:jc w:val="center"/>
        </w:trPr>
        <w:tc>
          <w:tcPr>
            <w:tcW w:w="1165" w:type="pct"/>
          </w:tcPr>
          <w:p w14:paraId="2ECB5685" w14:textId="77777777" w:rsidR="009675B7" w:rsidRPr="002B0E12" w:rsidRDefault="009675B7" w:rsidP="0048694B">
            <w:pPr>
              <w:widowControl w:val="0"/>
              <w:spacing w:after="0"/>
              <w:rPr>
                <w:rFonts w:ascii="Arial" w:hAnsi="Arial" w:cs="Arial"/>
                <w:bCs/>
              </w:rPr>
            </w:pPr>
            <w:r w:rsidRPr="002B0E12">
              <w:rPr>
                <w:rFonts w:ascii="Arial" w:hAnsi="Arial" w:cs="Arial"/>
                <w:bCs/>
              </w:rPr>
              <w:t>VLDL-C (mg/dl)</w:t>
            </w:r>
          </w:p>
        </w:tc>
        <w:tc>
          <w:tcPr>
            <w:tcW w:w="811" w:type="pct"/>
          </w:tcPr>
          <w:p w14:paraId="49C307BB" w14:textId="77777777" w:rsidR="009675B7" w:rsidRPr="002B0E12" w:rsidRDefault="009675B7" w:rsidP="0048694B">
            <w:pPr>
              <w:widowControl w:val="0"/>
              <w:spacing w:after="0"/>
              <w:jc w:val="center"/>
              <w:rPr>
                <w:rFonts w:ascii="Arial" w:hAnsi="Arial" w:cs="Arial"/>
              </w:rPr>
            </w:pPr>
            <w:r w:rsidRPr="002B0E12">
              <w:rPr>
                <w:rFonts w:ascii="Arial" w:hAnsi="Arial" w:cs="Arial"/>
                <w:bCs/>
              </w:rPr>
              <w:t>32.43</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3.05</w:t>
            </w:r>
          </w:p>
        </w:tc>
        <w:tc>
          <w:tcPr>
            <w:tcW w:w="811" w:type="pct"/>
          </w:tcPr>
          <w:p w14:paraId="5A0C5B7C" w14:textId="77777777" w:rsidR="009675B7" w:rsidRPr="002B0E12" w:rsidRDefault="009675B7" w:rsidP="0048694B">
            <w:pPr>
              <w:widowControl w:val="0"/>
              <w:spacing w:after="0"/>
              <w:jc w:val="center"/>
              <w:rPr>
                <w:rFonts w:ascii="Arial" w:hAnsi="Arial" w:cs="Arial"/>
              </w:rPr>
            </w:pPr>
            <w:r w:rsidRPr="002B0E12">
              <w:rPr>
                <w:rFonts w:ascii="Arial" w:hAnsi="Arial" w:cs="Arial"/>
                <w:bCs/>
              </w:rPr>
              <w:t>30.69</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1.89</w:t>
            </w:r>
          </w:p>
        </w:tc>
        <w:tc>
          <w:tcPr>
            <w:tcW w:w="388" w:type="pct"/>
          </w:tcPr>
          <w:p w14:paraId="271E99FC"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0.629</w:t>
            </w:r>
          </w:p>
        </w:tc>
        <w:tc>
          <w:tcPr>
            <w:tcW w:w="663" w:type="pct"/>
          </w:tcPr>
          <w:p w14:paraId="5C062EA3" w14:textId="77777777" w:rsidR="009675B7" w:rsidRPr="002B0E12" w:rsidRDefault="009675B7" w:rsidP="0048694B">
            <w:pPr>
              <w:widowControl w:val="0"/>
              <w:spacing w:after="0"/>
              <w:jc w:val="center"/>
              <w:rPr>
                <w:rFonts w:ascii="Arial" w:hAnsi="Arial" w:cs="Arial"/>
              </w:rPr>
            </w:pPr>
            <w:r w:rsidRPr="002B0E12">
              <w:rPr>
                <w:rFonts w:ascii="Arial" w:hAnsi="Arial" w:cs="Arial"/>
                <w:bCs/>
              </w:rPr>
              <w:t>36.65</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3.69</w:t>
            </w:r>
          </w:p>
        </w:tc>
        <w:tc>
          <w:tcPr>
            <w:tcW w:w="713" w:type="pct"/>
          </w:tcPr>
          <w:p w14:paraId="7438181A" w14:textId="77777777" w:rsidR="009675B7" w:rsidRPr="002B0E12" w:rsidRDefault="009675B7" w:rsidP="0048694B">
            <w:pPr>
              <w:widowControl w:val="0"/>
              <w:spacing w:after="0"/>
              <w:jc w:val="center"/>
              <w:rPr>
                <w:rFonts w:ascii="Arial" w:hAnsi="Arial" w:cs="Arial"/>
              </w:rPr>
            </w:pPr>
            <w:r w:rsidRPr="002B0E12">
              <w:rPr>
                <w:rFonts w:ascii="Arial" w:hAnsi="Arial" w:cs="Arial"/>
                <w:bCs/>
              </w:rPr>
              <w:t>32.13</w:t>
            </w:r>
            <w:r w:rsidRPr="002B0E12">
              <w:rPr>
                <w:rFonts w:ascii="Arial" w:hAnsi="Arial" w:cs="Arial"/>
                <w:vertAlign w:val="superscript"/>
              </w:rPr>
              <w:t xml:space="preserve"> a</w:t>
            </w:r>
            <w:r w:rsidRPr="002B0E12">
              <w:rPr>
                <w:rFonts w:ascii="Arial" w:hAnsi="Arial" w:cs="Arial"/>
              </w:rPr>
              <w:t xml:space="preserve"> ±</w:t>
            </w:r>
            <w:r w:rsidRPr="002B0E12">
              <w:rPr>
                <w:rFonts w:ascii="Arial" w:hAnsi="Arial" w:cs="Arial"/>
                <w:bCs/>
              </w:rPr>
              <w:t>3.08</w:t>
            </w:r>
          </w:p>
        </w:tc>
        <w:tc>
          <w:tcPr>
            <w:tcW w:w="449" w:type="pct"/>
          </w:tcPr>
          <w:p w14:paraId="27018513"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0.353</w:t>
            </w:r>
          </w:p>
        </w:tc>
      </w:tr>
      <w:tr w:rsidR="002B0E12" w:rsidRPr="002B0E12" w14:paraId="1B95F6A2" w14:textId="77777777" w:rsidTr="0048694B">
        <w:trPr>
          <w:trHeight w:val="20"/>
          <w:jc w:val="center"/>
        </w:trPr>
        <w:tc>
          <w:tcPr>
            <w:tcW w:w="1165" w:type="pct"/>
          </w:tcPr>
          <w:p w14:paraId="3A2215F2" w14:textId="77777777" w:rsidR="009675B7" w:rsidRPr="002B0E12" w:rsidRDefault="009675B7" w:rsidP="0048694B">
            <w:pPr>
              <w:widowControl w:val="0"/>
              <w:spacing w:after="0"/>
              <w:rPr>
                <w:rFonts w:ascii="Arial" w:hAnsi="Arial" w:cs="Arial"/>
                <w:bCs/>
              </w:rPr>
            </w:pPr>
            <w:r w:rsidRPr="002B0E12">
              <w:rPr>
                <w:rFonts w:ascii="Arial" w:hAnsi="Arial" w:cs="Arial"/>
                <w:bCs/>
              </w:rPr>
              <w:t>CH:HDL ratio</w:t>
            </w:r>
          </w:p>
        </w:tc>
        <w:tc>
          <w:tcPr>
            <w:tcW w:w="811" w:type="pct"/>
          </w:tcPr>
          <w:p w14:paraId="48B0A73A"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4.05</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0.149</w:t>
            </w:r>
          </w:p>
        </w:tc>
        <w:tc>
          <w:tcPr>
            <w:tcW w:w="811" w:type="pct"/>
          </w:tcPr>
          <w:p w14:paraId="3C0C3AC8" w14:textId="77777777" w:rsidR="009675B7" w:rsidRPr="002B0E12" w:rsidRDefault="009675B7" w:rsidP="0048694B">
            <w:pPr>
              <w:widowControl w:val="0"/>
              <w:spacing w:after="0"/>
              <w:jc w:val="center"/>
              <w:rPr>
                <w:rFonts w:ascii="Arial" w:hAnsi="Arial" w:cs="Arial"/>
              </w:rPr>
            </w:pPr>
            <w:r w:rsidRPr="002B0E12">
              <w:rPr>
                <w:rFonts w:ascii="Arial" w:hAnsi="Arial" w:cs="Arial"/>
                <w:bCs/>
              </w:rPr>
              <w:t>3.89</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0.152</w:t>
            </w:r>
          </w:p>
        </w:tc>
        <w:tc>
          <w:tcPr>
            <w:tcW w:w="388" w:type="pct"/>
          </w:tcPr>
          <w:p w14:paraId="3C37D4E9"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0.464</w:t>
            </w:r>
          </w:p>
        </w:tc>
        <w:tc>
          <w:tcPr>
            <w:tcW w:w="663" w:type="pct"/>
          </w:tcPr>
          <w:p w14:paraId="44EFC8B5"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4.33</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0.190</w:t>
            </w:r>
          </w:p>
        </w:tc>
        <w:tc>
          <w:tcPr>
            <w:tcW w:w="713" w:type="pct"/>
          </w:tcPr>
          <w:p w14:paraId="3DF3AE55" w14:textId="77777777" w:rsidR="009675B7" w:rsidRPr="002B0E12" w:rsidRDefault="009675B7" w:rsidP="0048694B">
            <w:pPr>
              <w:widowControl w:val="0"/>
              <w:spacing w:after="0"/>
              <w:jc w:val="center"/>
              <w:rPr>
                <w:rFonts w:ascii="Arial" w:hAnsi="Arial" w:cs="Arial"/>
              </w:rPr>
            </w:pPr>
            <w:r w:rsidRPr="002B0E12">
              <w:rPr>
                <w:rFonts w:ascii="Arial" w:hAnsi="Arial" w:cs="Arial"/>
                <w:bCs/>
              </w:rPr>
              <w:t>4.57</w:t>
            </w:r>
            <w:r w:rsidRPr="002B0E12">
              <w:rPr>
                <w:rFonts w:ascii="Arial" w:hAnsi="Arial" w:cs="Arial"/>
                <w:vertAlign w:val="superscript"/>
              </w:rPr>
              <w:t xml:space="preserve"> a</w:t>
            </w:r>
            <w:r w:rsidRPr="002B0E12">
              <w:rPr>
                <w:rFonts w:ascii="Arial" w:hAnsi="Arial" w:cs="Arial"/>
              </w:rPr>
              <w:t xml:space="preserve"> ± </w:t>
            </w:r>
            <w:r w:rsidRPr="002B0E12">
              <w:rPr>
                <w:rFonts w:ascii="Arial" w:hAnsi="Arial" w:cs="Arial"/>
                <w:bCs/>
              </w:rPr>
              <w:t>0.175</w:t>
            </w:r>
          </w:p>
        </w:tc>
        <w:tc>
          <w:tcPr>
            <w:tcW w:w="449" w:type="pct"/>
          </w:tcPr>
          <w:p w14:paraId="4873BFE8" w14:textId="77777777" w:rsidR="009675B7" w:rsidRPr="002B0E12" w:rsidRDefault="009675B7" w:rsidP="0048694B">
            <w:pPr>
              <w:widowControl w:val="0"/>
              <w:spacing w:after="0"/>
              <w:jc w:val="center"/>
              <w:rPr>
                <w:rFonts w:ascii="Arial" w:hAnsi="Arial" w:cs="Arial"/>
                <w:bCs/>
              </w:rPr>
            </w:pPr>
            <w:r w:rsidRPr="002B0E12">
              <w:rPr>
                <w:rFonts w:ascii="Arial" w:hAnsi="Arial" w:cs="Arial"/>
                <w:bCs/>
              </w:rPr>
              <w:t>0.356</w:t>
            </w:r>
          </w:p>
        </w:tc>
      </w:tr>
    </w:tbl>
    <w:p w14:paraId="6323660A" w14:textId="77777777" w:rsidR="009675B7" w:rsidRPr="002B0E12" w:rsidRDefault="009675B7" w:rsidP="009675B7">
      <w:pPr>
        <w:widowControl w:val="0"/>
        <w:spacing w:after="0"/>
        <w:jc w:val="both"/>
        <w:rPr>
          <w:rFonts w:ascii="Arial" w:hAnsi="Arial" w:cs="Arial"/>
        </w:rPr>
      </w:pPr>
      <w:r w:rsidRPr="002B0E12">
        <w:rPr>
          <w:rFonts w:ascii="Arial" w:hAnsi="Arial" w:cs="Arial"/>
        </w:rPr>
        <w:t>Values are presented as Mean ± SE; v</w:t>
      </w:r>
      <w:r w:rsidRPr="002B0E12">
        <w:rPr>
          <w:rFonts w:ascii="Arial" w:hAnsi="Arial" w:cs="Arial"/>
          <w:spacing w:val="7"/>
          <w:shd w:val="clear" w:color="auto" w:fill="FFFFFF"/>
        </w:rPr>
        <w:t>alues with different superscripts differ significantly (P&lt;0.05).</w:t>
      </w:r>
      <w:r w:rsidRPr="002B0E12">
        <w:rPr>
          <w:rFonts w:ascii="Arial" w:hAnsi="Arial" w:cs="Arial"/>
        </w:rPr>
        <w:t xml:space="preserve"> </w:t>
      </w:r>
    </w:p>
    <w:p w14:paraId="600E6885" w14:textId="77777777" w:rsidR="009675B7" w:rsidRPr="002B0E12" w:rsidRDefault="009675B7" w:rsidP="009675B7">
      <w:pPr>
        <w:widowControl w:val="0"/>
        <w:spacing w:after="0"/>
        <w:jc w:val="both"/>
        <w:rPr>
          <w:rFonts w:ascii="Arial" w:hAnsi="Arial" w:cs="Arial"/>
        </w:rPr>
      </w:pPr>
      <w:r w:rsidRPr="002B0E12">
        <w:rPr>
          <w:rFonts w:ascii="Arial" w:hAnsi="Arial" w:cs="Arial"/>
        </w:rPr>
        <w:t xml:space="preserve">Cut-off values: Fasting blood glucose:&gt;100 mg/dL; Systolic blood pressure:≤130 mmHg; Diastolic blood pressure:≤85 mmHg; Total Cholesterol:&lt;150 mg/dL; </w:t>
      </w:r>
      <w:proofErr w:type="spellStart"/>
      <w:r w:rsidRPr="002B0E12">
        <w:rPr>
          <w:rFonts w:ascii="Arial" w:hAnsi="Arial" w:cs="Arial"/>
        </w:rPr>
        <w:t>HDL-C:men</w:t>
      </w:r>
      <w:proofErr w:type="spellEnd"/>
      <w:r w:rsidRPr="002B0E12">
        <w:rPr>
          <w:rFonts w:ascii="Arial" w:hAnsi="Arial" w:cs="Arial"/>
        </w:rPr>
        <w:t xml:space="preserve"> &gt;40 mg/dL, women&gt;50mg/dL; LDL-C:&lt;100mg/dL; Triglycerides:&lt;150mg/dL; VLDL:30mg/dL (NCEP-ATP III, 2001)</w:t>
      </w:r>
    </w:p>
    <w:p w14:paraId="2A4CF53A" w14:textId="77777777" w:rsidR="009675B7" w:rsidRPr="002B0E12" w:rsidRDefault="009675B7" w:rsidP="004112D6">
      <w:pPr>
        <w:spacing w:after="0" w:line="360" w:lineRule="auto"/>
        <w:ind w:firstLine="720"/>
        <w:jc w:val="both"/>
        <w:rPr>
          <w:rFonts w:ascii="Arial" w:hAnsi="Arial" w:cs="Arial"/>
        </w:rPr>
      </w:pPr>
    </w:p>
    <w:p w14:paraId="65687641" w14:textId="77777777" w:rsidR="009675B7" w:rsidRPr="002B0E12" w:rsidRDefault="009675B7" w:rsidP="004112D6">
      <w:pPr>
        <w:spacing w:after="0" w:line="360" w:lineRule="auto"/>
        <w:ind w:firstLine="720"/>
        <w:jc w:val="both"/>
        <w:rPr>
          <w:rFonts w:ascii="Arial" w:hAnsi="Arial" w:cs="Arial"/>
        </w:rPr>
      </w:pPr>
    </w:p>
    <w:p w14:paraId="738D80B0" w14:textId="77777777" w:rsidR="009675B7" w:rsidRPr="002B0E12" w:rsidRDefault="009675B7" w:rsidP="004112D6">
      <w:pPr>
        <w:spacing w:after="0" w:line="360" w:lineRule="auto"/>
        <w:ind w:firstLine="720"/>
        <w:jc w:val="both"/>
        <w:rPr>
          <w:rFonts w:ascii="Arial" w:hAnsi="Arial" w:cs="Arial"/>
        </w:rPr>
      </w:pPr>
    </w:p>
    <w:p w14:paraId="026A748E" w14:textId="77777777" w:rsidR="009675B7" w:rsidRPr="002B0E12" w:rsidRDefault="009675B7" w:rsidP="004112D6">
      <w:pPr>
        <w:spacing w:after="0" w:line="360" w:lineRule="auto"/>
        <w:ind w:firstLine="720"/>
        <w:jc w:val="both"/>
        <w:rPr>
          <w:rFonts w:ascii="Arial" w:hAnsi="Arial" w:cs="Arial"/>
        </w:rPr>
        <w:sectPr w:rsidR="009675B7" w:rsidRPr="002B0E12" w:rsidSect="002F40D7">
          <w:type w:val="continuous"/>
          <w:pgSz w:w="11906" w:h="16838" w:code="9"/>
          <w:pgMar w:top="1440" w:right="1440" w:bottom="1440" w:left="1440" w:header="709" w:footer="709" w:gutter="0"/>
          <w:cols w:space="708"/>
          <w:docGrid w:linePitch="360"/>
        </w:sectPr>
      </w:pPr>
    </w:p>
    <w:p w14:paraId="2C9CD6C4" w14:textId="168EE16B" w:rsidR="008B6AD2" w:rsidRPr="002B0E12" w:rsidRDefault="005F6954" w:rsidP="009675B7">
      <w:pPr>
        <w:spacing w:after="0" w:line="360" w:lineRule="auto"/>
        <w:jc w:val="both"/>
        <w:rPr>
          <w:rFonts w:ascii="Arial" w:hAnsi="Arial" w:cs="Arial"/>
          <w:bCs/>
        </w:rPr>
      </w:pPr>
      <w:r w:rsidRPr="002B0E12">
        <w:rPr>
          <w:rFonts w:ascii="Arial" w:hAnsi="Arial" w:cs="Arial"/>
        </w:rPr>
        <w:t xml:space="preserve">prevalence of </w:t>
      </w:r>
      <w:proofErr w:type="spellStart"/>
      <w:r w:rsidRPr="002B0E12">
        <w:rPr>
          <w:rFonts w:ascii="Arial" w:hAnsi="Arial" w:cs="Arial"/>
        </w:rPr>
        <w:t>MetS</w:t>
      </w:r>
      <w:proofErr w:type="spellEnd"/>
      <w:r w:rsidRPr="002B0E12">
        <w:rPr>
          <w:rFonts w:ascii="Arial" w:hAnsi="Arial" w:cs="Arial"/>
        </w:rPr>
        <w:t xml:space="preserve"> </w:t>
      </w:r>
      <w:r w:rsidR="00E447F9" w:rsidRPr="002B0E12">
        <w:rPr>
          <w:rFonts w:ascii="Arial" w:hAnsi="Arial" w:cs="Arial"/>
        </w:rPr>
        <w:t xml:space="preserve">was found higher in rural population </w:t>
      </w:r>
      <w:r w:rsidRPr="002B0E12">
        <w:rPr>
          <w:rFonts w:ascii="Arial" w:hAnsi="Arial" w:cs="Arial"/>
        </w:rPr>
        <w:t xml:space="preserve">with 34% and 26% among rural men and women, </w:t>
      </w:r>
      <w:r w:rsidR="00E447F9" w:rsidRPr="002B0E12">
        <w:rPr>
          <w:rFonts w:ascii="Arial" w:hAnsi="Arial" w:cs="Arial"/>
        </w:rPr>
        <w:t xml:space="preserve">while </w:t>
      </w:r>
      <w:r w:rsidRPr="002B0E12">
        <w:rPr>
          <w:rFonts w:ascii="Arial" w:hAnsi="Arial" w:cs="Arial"/>
        </w:rPr>
        <w:t>7% and 10% among urban men and women</w:t>
      </w:r>
      <w:r w:rsidR="00E447F9" w:rsidRPr="002B0E12">
        <w:rPr>
          <w:rFonts w:ascii="Arial" w:hAnsi="Arial" w:cs="Arial"/>
        </w:rPr>
        <w:t xml:space="preserve"> </w:t>
      </w:r>
      <w:r w:rsidR="008B6AD2" w:rsidRPr="002B0E12">
        <w:rPr>
          <w:rFonts w:ascii="Arial" w:hAnsi="Arial" w:cs="Arial"/>
          <w:bCs/>
        </w:rPr>
        <w:t xml:space="preserve">(Fig </w:t>
      </w:r>
      <w:r w:rsidR="00E447F9" w:rsidRPr="002B0E12">
        <w:rPr>
          <w:rFonts w:ascii="Arial" w:hAnsi="Arial" w:cs="Arial"/>
          <w:bCs/>
        </w:rPr>
        <w:t>1</w:t>
      </w:r>
      <w:r w:rsidR="008B6AD2" w:rsidRPr="002B0E12">
        <w:rPr>
          <w:rFonts w:ascii="Arial" w:hAnsi="Arial" w:cs="Arial"/>
          <w:bCs/>
        </w:rPr>
        <w:t>).</w:t>
      </w:r>
    </w:p>
    <w:p w14:paraId="17E7EDAE" w14:textId="0014976E" w:rsidR="0009315C" w:rsidRPr="002B0E12" w:rsidRDefault="00D461F2" w:rsidP="004112D6">
      <w:pPr>
        <w:widowControl w:val="0"/>
        <w:tabs>
          <w:tab w:val="center" w:pos="4513"/>
        </w:tabs>
        <w:spacing w:after="0" w:line="360" w:lineRule="auto"/>
        <w:jc w:val="both"/>
        <w:rPr>
          <w:rFonts w:ascii="Arial" w:hAnsi="Arial" w:cs="Arial"/>
          <w:b/>
        </w:rPr>
      </w:pPr>
      <w:r w:rsidRPr="002B0E12">
        <w:rPr>
          <w:rFonts w:ascii="Arial" w:hAnsi="Arial" w:cs="Arial"/>
          <w:b/>
        </w:rPr>
        <w:t xml:space="preserve">3.4 </w:t>
      </w:r>
      <w:r w:rsidR="0009315C" w:rsidRPr="002B0E12">
        <w:rPr>
          <w:rFonts w:ascii="Arial" w:hAnsi="Arial" w:cs="Arial"/>
          <w:b/>
        </w:rPr>
        <w:t xml:space="preserve">Dietary pattern of </w:t>
      </w:r>
      <w:proofErr w:type="spellStart"/>
      <w:r w:rsidR="0009315C" w:rsidRPr="002B0E12">
        <w:rPr>
          <w:rFonts w:ascii="Arial" w:hAnsi="Arial" w:cs="Arial"/>
          <w:b/>
        </w:rPr>
        <w:t>MetS</w:t>
      </w:r>
      <w:proofErr w:type="spellEnd"/>
      <w:r w:rsidR="0009315C" w:rsidRPr="002B0E12">
        <w:rPr>
          <w:rFonts w:ascii="Arial" w:hAnsi="Arial" w:cs="Arial"/>
          <w:b/>
        </w:rPr>
        <w:t xml:space="preserve"> </w:t>
      </w:r>
      <w:r w:rsidR="009E0843" w:rsidRPr="002B0E12">
        <w:rPr>
          <w:rFonts w:ascii="Arial" w:hAnsi="Arial" w:cs="Arial"/>
          <w:b/>
        </w:rPr>
        <w:t>participants</w:t>
      </w:r>
      <w:r w:rsidR="00174F32" w:rsidRPr="002B0E12">
        <w:rPr>
          <w:rFonts w:ascii="Arial" w:hAnsi="Arial" w:cs="Arial"/>
          <w:b/>
        </w:rPr>
        <w:tab/>
      </w:r>
    </w:p>
    <w:p w14:paraId="3795E2D6" w14:textId="34781884" w:rsidR="00E87519" w:rsidRPr="002B0E12" w:rsidRDefault="00E87519" w:rsidP="004112D6">
      <w:pPr>
        <w:widowControl w:val="0"/>
        <w:spacing w:after="0" w:line="360" w:lineRule="auto"/>
        <w:ind w:firstLine="720"/>
        <w:jc w:val="both"/>
        <w:rPr>
          <w:rFonts w:ascii="Arial" w:hAnsi="Arial" w:cs="Arial"/>
        </w:rPr>
      </w:pPr>
      <w:r w:rsidRPr="002B0E12">
        <w:rPr>
          <w:rFonts w:ascii="Arial" w:hAnsi="Arial" w:cs="Arial"/>
        </w:rPr>
        <w:t xml:space="preserve">Fig. </w:t>
      </w:r>
      <w:r w:rsidR="00877353" w:rsidRPr="002B0E12">
        <w:rPr>
          <w:rFonts w:ascii="Arial" w:hAnsi="Arial" w:cs="Arial"/>
        </w:rPr>
        <w:t>2</w:t>
      </w:r>
      <w:r w:rsidRPr="002B0E12">
        <w:rPr>
          <w:rFonts w:ascii="Arial" w:hAnsi="Arial" w:cs="Arial"/>
        </w:rPr>
        <w:t xml:space="preserve"> displays the percent adequacy </w:t>
      </w:r>
      <w:r w:rsidR="00031A20" w:rsidRPr="002B0E12">
        <w:rPr>
          <w:rFonts w:ascii="Arial" w:hAnsi="Arial" w:cs="Arial"/>
        </w:rPr>
        <w:t xml:space="preserve">of macronutrients </w:t>
      </w:r>
      <w:r w:rsidRPr="002B0E12">
        <w:rPr>
          <w:rFonts w:ascii="Arial" w:hAnsi="Arial" w:cs="Arial"/>
        </w:rPr>
        <w:t xml:space="preserve">in relation to the EAR/RDA of the ICMR (2020). </w:t>
      </w:r>
      <w:r w:rsidR="0094249B" w:rsidRPr="002B0E12">
        <w:rPr>
          <w:rFonts w:ascii="Arial" w:hAnsi="Arial" w:cs="Arial"/>
        </w:rPr>
        <w:t>B</w:t>
      </w:r>
      <w:r w:rsidR="009E0843" w:rsidRPr="002B0E12">
        <w:rPr>
          <w:rFonts w:ascii="Arial" w:hAnsi="Arial" w:cs="Arial"/>
        </w:rPr>
        <w:t xml:space="preserve">oth rural and urban </w:t>
      </w:r>
      <w:r w:rsidR="00D769DE" w:rsidRPr="002B0E12">
        <w:rPr>
          <w:rFonts w:ascii="Arial" w:hAnsi="Arial" w:cs="Arial"/>
        </w:rPr>
        <w:t xml:space="preserve">population </w:t>
      </w:r>
      <w:r w:rsidR="009E0843" w:rsidRPr="002B0E12">
        <w:rPr>
          <w:rFonts w:ascii="Arial" w:hAnsi="Arial" w:cs="Arial"/>
        </w:rPr>
        <w:t xml:space="preserve">consumed </w:t>
      </w:r>
      <w:r w:rsidR="00D769DE" w:rsidRPr="002B0E12">
        <w:rPr>
          <w:rFonts w:ascii="Arial" w:hAnsi="Arial" w:cs="Arial"/>
        </w:rPr>
        <w:t>diet</w:t>
      </w:r>
      <w:r w:rsidR="009E0843" w:rsidRPr="002B0E12">
        <w:rPr>
          <w:rFonts w:ascii="Arial" w:hAnsi="Arial" w:cs="Arial"/>
        </w:rPr>
        <w:t>s</w:t>
      </w:r>
      <w:r w:rsidR="00D769DE" w:rsidRPr="002B0E12">
        <w:rPr>
          <w:rFonts w:ascii="Arial" w:hAnsi="Arial" w:cs="Arial"/>
        </w:rPr>
        <w:t xml:space="preserve"> providing less energy with a percent adequacy of </w:t>
      </w:r>
      <w:r w:rsidRPr="002B0E12">
        <w:rPr>
          <w:rFonts w:ascii="Arial" w:hAnsi="Arial" w:cs="Arial"/>
        </w:rPr>
        <w:t>67 to 77%</w:t>
      </w:r>
      <w:r w:rsidR="00D769DE" w:rsidRPr="002B0E12">
        <w:rPr>
          <w:rFonts w:ascii="Arial" w:hAnsi="Arial" w:cs="Arial"/>
        </w:rPr>
        <w:t xml:space="preserve"> and 76 to 88%</w:t>
      </w:r>
      <w:r w:rsidR="009E0843" w:rsidRPr="002B0E12">
        <w:rPr>
          <w:rFonts w:ascii="Arial" w:hAnsi="Arial" w:cs="Arial"/>
        </w:rPr>
        <w:t xml:space="preserve">, and </w:t>
      </w:r>
      <w:r w:rsidRPr="002B0E12">
        <w:rPr>
          <w:rFonts w:ascii="Arial" w:hAnsi="Arial" w:cs="Arial"/>
        </w:rPr>
        <w:t xml:space="preserve">protein intake </w:t>
      </w:r>
      <w:r w:rsidR="00D769DE" w:rsidRPr="002B0E12">
        <w:rPr>
          <w:rFonts w:ascii="Arial" w:hAnsi="Arial" w:cs="Arial"/>
        </w:rPr>
        <w:t xml:space="preserve">was found to have the percent adequacy of </w:t>
      </w:r>
      <w:r w:rsidRPr="002B0E12">
        <w:rPr>
          <w:rFonts w:ascii="Arial" w:hAnsi="Arial" w:cs="Arial"/>
        </w:rPr>
        <w:t>87 to 98%</w:t>
      </w:r>
      <w:r w:rsidR="0094249B" w:rsidRPr="002B0E12">
        <w:rPr>
          <w:rFonts w:ascii="Arial" w:hAnsi="Arial" w:cs="Arial"/>
        </w:rPr>
        <w:t>,</w:t>
      </w:r>
      <w:r w:rsidRPr="002B0E12">
        <w:rPr>
          <w:rFonts w:ascii="Arial" w:hAnsi="Arial" w:cs="Arial"/>
        </w:rPr>
        <w:t xml:space="preserve"> </w:t>
      </w:r>
      <w:r w:rsidR="00D769DE" w:rsidRPr="002B0E12">
        <w:rPr>
          <w:rFonts w:ascii="Arial" w:hAnsi="Arial" w:cs="Arial"/>
        </w:rPr>
        <w:t>and</w:t>
      </w:r>
      <w:r w:rsidRPr="002B0E12">
        <w:rPr>
          <w:rFonts w:ascii="Arial" w:hAnsi="Arial" w:cs="Arial"/>
        </w:rPr>
        <w:t xml:space="preserve"> 86 and 99%.</w:t>
      </w:r>
    </w:p>
    <w:p w14:paraId="4A385D47" w14:textId="77777777" w:rsidR="002F3DFE" w:rsidRPr="002B0E12" w:rsidRDefault="002F3DFE" w:rsidP="002F3DFE">
      <w:pPr>
        <w:pStyle w:val="NormalWeb"/>
        <w:spacing w:before="0" w:beforeAutospacing="0" w:after="0" w:afterAutospacing="0" w:line="360" w:lineRule="auto"/>
        <w:ind w:firstLine="720"/>
        <w:jc w:val="both"/>
        <w:rPr>
          <w:rFonts w:ascii="Arial" w:hAnsi="Arial" w:cs="Arial"/>
          <w:sz w:val="22"/>
          <w:szCs w:val="22"/>
        </w:rPr>
      </w:pPr>
    </w:p>
    <w:p w14:paraId="6F5F377E" w14:textId="77777777" w:rsidR="002F3DFE" w:rsidRPr="002B0E12" w:rsidRDefault="002F3DFE" w:rsidP="002F3DFE">
      <w:pPr>
        <w:widowControl w:val="0"/>
        <w:autoSpaceDE w:val="0"/>
        <w:autoSpaceDN w:val="0"/>
        <w:adjustRightInd w:val="0"/>
        <w:spacing w:after="0" w:line="360" w:lineRule="auto"/>
        <w:ind w:right="-158"/>
        <w:jc w:val="both"/>
        <w:rPr>
          <w:rFonts w:ascii="Arial" w:hAnsi="Arial" w:cs="Arial"/>
          <w:noProof/>
        </w:rPr>
      </w:pPr>
      <w:r w:rsidRPr="002B0E12">
        <w:rPr>
          <w:rFonts w:ascii="Arial" w:hAnsi="Arial" w:cs="Arial"/>
          <w:noProof/>
        </w:rPr>
        <w:t xml:space="preserve">             </w:t>
      </w:r>
      <w:r w:rsidRPr="002B0E12">
        <w:rPr>
          <w:rFonts w:ascii="Arial" w:hAnsi="Arial" w:cs="Arial"/>
          <w:noProof/>
          <w:lang w:val="en-GB" w:eastAsia="en-GB"/>
        </w:rPr>
        <w:drawing>
          <wp:inline distT="0" distB="0" distL="0" distR="0" wp14:anchorId="58E113A2" wp14:editId="7D4F9313">
            <wp:extent cx="2394221" cy="1439186"/>
            <wp:effectExtent l="19050" t="0" r="607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9875" cy="1442585"/>
                    </a:xfrm>
                    <a:prstGeom prst="rect">
                      <a:avLst/>
                    </a:prstGeom>
                    <a:noFill/>
                    <a:ln>
                      <a:noFill/>
                    </a:ln>
                  </pic:spPr>
                </pic:pic>
              </a:graphicData>
            </a:graphic>
          </wp:inline>
        </w:drawing>
      </w:r>
      <w:r w:rsidRPr="002B0E12">
        <w:rPr>
          <w:rFonts w:ascii="Arial" w:hAnsi="Arial" w:cs="Arial"/>
          <w:noProof/>
        </w:rPr>
        <w:t xml:space="preserve">  </w:t>
      </w:r>
      <w:r w:rsidRPr="002B0E12">
        <w:rPr>
          <w:rFonts w:ascii="Arial" w:hAnsi="Arial" w:cs="Arial"/>
          <w:noProof/>
          <w:lang w:val="en-GB" w:eastAsia="en-GB"/>
        </w:rPr>
        <w:drawing>
          <wp:inline distT="0" distB="0" distL="0" distR="0" wp14:anchorId="1E841C0C" wp14:editId="367D3B10">
            <wp:extent cx="2367767" cy="1423284"/>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4041" cy="1445089"/>
                    </a:xfrm>
                    <a:prstGeom prst="rect">
                      <a:avLst/>
                    </a:prstGeom>
                    <a:noFill/>
                  </pic:spPr>
                </pic:pic>
              </a:graphicData>
            </a:graphic>
          </wp:inline>
        </w:drawing>
      </w:r>
      <w:r w:rsidRPr="002B0E12">
        <w:rPr>
          <w:rFonts w:ascii="Arial" w:hAnsi="Arial" w:cs="Arial"/>
          <w:noProof/>
        </w:rPr>
        <w:t xml:space="preserve">                  </w:t>
      </w:r>
    </w:p>
    <w:p w14:paraId="32E0E0A6" w14:textId="77777777" w:rsidR="002F3DFE" w:rsidRPr="002B0E12" w:rsidRDefault="002F3DFE" w:rsidP="002F3DFE">
      <w:pPr>
        <w:widowControl w:val="0"/>
        <w:autoSpaceDE w:val="0"/>
        <w:autoSpaceDN w:val="0"/>
        <w:adjustRightInd w:val="0"/>
        <w:spacing w:after="0" w:line="360" w:lineRule="auto"/>
        <w:ind w:right="-158"/>
        <w:jc w:val="both"/>
        <w:rPr>
          <w:rFonts w:ascii="Arial" w:hAnsi="Arial" w:cs="Arial"/>
          <w:noProof/>
        </w:rPr>
      </w:pPr>
      <w:r w:rsidRPr="002B0E12">
        <w:rPr>
          <w:rFonts w:ascii="Arial" w:hAnsi="Arial" w:cs="Arial"/>
          <w:noProof/>
        </w:rPr>
        <w:t xml:space="preserve">            </w:t>
      </w:r>
      <w:r w:rsidRPr="002B0E12">
        <w:rPr>
          <w:rFonts w:ascii="Arial" w:hAnsi="Arial" w:cs="Arial"/>
          <w:noProof/>
          <w:lang w:val="en-GB" w:eastAsia="en-GB"/>
        </w:rPr>
        <w:drawing>
          <wp:inline distT="0" distB="0" distL="0" distR="0" wp14:anchorId="7C73F716" wp14:editId="7DFB8DD6">
            <wp:extent cx="2461852" cy="139943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9283" cy="1409339"/>
                    </a:xfrm>
                    <a:prstGeom prst="rect">
                      <a:avLst/>
                    </a:prstGeom>
                    <a:noFill/>
                  </pic:spPr>
                </pic:pic>
              </a:graphicData>
            </a:graphic>
          </wp:inline>
        </w:drawing>
      </w:r>
      <w:r w:rsidRPr="002B0E12">
        <w:rPr>
          <w:rFonts w:ascii="Arial" w:hAnsi="Arial" w:cs="Arial"/>
          <w:noProof/>
        </w:rPr>
        <w:t xml:space="preserve">   </w:t>
      </w:r>
      <w:r w:rsidRPr="002B0E12">
        <w:rPr>
          <w:rFonts w:ascii="Arial" w:hAnsi="Arial" w:cs="Arial"/>
          <w:noProof/>
          <w:lang w:val="en-GB" w:eastAsia="en-GB"/>
        </w:rPr>
        <w:drawing>
          <wp:inline distT="0" distB="0" distL="0" distR="0" wp14:anchorId="78B2BAB4" wp14:editId="4DF653D9">
            <wp:extent cx="2328462" cy="1353044"/>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4551" cy="1362393"/>
                    </a:xfrm>
                    <a:prstGeom prst="rect">
                      <a:avLst/>
                    </a:prstGeom>
                    <a:noFill/>
                  </pic:spPr>
                </pic:pic>
              </a:graphicData>
            </a:graphic>
          </wp:inline>
        </w:drawing>
      </w:r>
      <w:r w:rsidRPr="002B0E12">
        <w:rPr>
          <w:rFonts w:ascii="Arial" w:hAnsi="Arial" w:cs="Arial"/>
          <w:noProof/>
        </w:rPr>
        <w:t xml:space="preserve">   </w:t>
      </w:r>
    </w:p>
    <w:p w14:paraId="78170E27" w14:textId="77777777" w:rsidR="002F3DFE" w:rsidRPr="002B0E12" w:rsidRDefault="002F3DFE" w:rsidP="002F3DFE">
      <w:pPr>
        <w:widowControl w:val="0"/>
        <w:autoSpaceDE w:val="0"/>
        <w:autoSpaceDN w:val="0"/>
        <w:adjustRightInd w:val="0"/>
        <w:spacing w:after="0" w:line="360" w:lineRule="auto"/>
        <w:ind w:right="-158"/>
        <w:jc w:val="center"/>
        <w:rPr>
          <w:rFonts w:ascii="Arial" w:hAnsi="Arial" w:cs="Arial"/>
          <w:b/>
          <w:bCs/>
        </w:rPr>
      </w:pPr>
      <w:r w:rsidRPr="002B0E12">
        <w:rPr>
          <w:rFonts w:ascii="Arial" w:hAnsi="Arial" w:cs="Arial"/>
          <w:b/>
          <w:bCs/>
          <w:noProof/>
          <w:lang w:val="en-GB" w:eastAsia="en-GB"/>
        </w:rPr>
        <mc:AlternateContent>
          <mc:Choice Requires="wps">
            <w:drawing>
              <wp:inline distT="0" distB="0" distL="0" distR="0" wp14:anchorId="6495BFC7" wp14:editId="5FEB23F6">
                <wp:extent cx="315595" cy="205105"/>
                <wp:effectExtent l="14605" t="10160" r="12700" b="13335"/>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205105"/>
                        </a:xfrm>
                        <a:prstGeom prst="rect">
                          <a:avLst/>
                        </a:prstGeom>
                        <a:solidFill>
                          <a:schemeClr val="tx1">
                            <a:lumMod val="100000"/>
                            <a:lumOff val="0"/>
                          </a:schemeClr>
                        </a:solidFill>
                        <a:ln w="12700">
                          <a:solidFill>
                            <a:schemeClr val="accent1">
                              <a:lumMod val="15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D5813EC" id="Rectangle 7" o:spid="_x0000_s1026" style="width:24.85pt;height:1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" fillcolor="black [3213]" strokecolor="#09101d [484]" strokeweight="1pt">
                <w10:anchorlock/>
              </v:rect>
            </w:pict>
          </mc:Fallback>
        </mc:AlternateContent>
      </w:r>
      <w:r w:rsidRPr="002B0E12">
        <w:rPr>
          <w:rFonts w:ascii="Arial" w:hAnsi="Arial" w:cs="Arial"/>
          <w:b/>
          <w:bCs/>
        </w:rPr>
        <w:t xml:space="preserve">   Prevalence rate (percentage)</w:t>
      </w:r>
    </w:p>
    <w:p w14:paraId="2786E3CF" w14:textId="77777777" w:rsidR="002F3DFE" w:rsidRPr="002B0E12" w:rsidRDefault="002F3DFE" w:rsidP="002F3DFE">
      <w:pPr>
        <w:widowControl w:val="0"/>
        <w:spacing w:after="0"/>
        <w:ind w:left="720" w:hanging="720"/>
        <w:jc w:val="both"/>
        <w:rPr>
          <w:rFonts w:ascii="Arial" w:hAnsi="Arial" w:cs="Arial"/>
          <w:b/>
          <w:bCs/>
        </w:rPr>
      </w:pPr>
      <w:r w:rsidRPr="002B0E12">
        <w:rPr>
          <w:rFonts w:ascii="Arial" w:hAnsi="Arial" w:cs="Arial"/>
          <w:b/>
          <w:bCs/>
        </w:rPr>
        <w:t xml:space="preserve">Fig. 1 Prevalence of Metabolic Syndrome among urban and rural men and women on </w:t>
      </w:r>
      <w:r w:rsidRPr="002B0E12">
        <w:rPr>
          <w:rFonts w:ascii="Arial" w:hAnsi="Arial" w:cs="Arial"/>
          <w:b/>
          <w:bCs/>
        </w:rPr>
        <w:lastRenderedPageBreak/>
        <w:t xml:space="preserve">the basis of elevated waist circumference, fasting blood glucose, and systolic and diastolic blood pressure (NCEP-ATP III 2001) </w:t>
      </w:r>
    </w:p>
    <w:p w14:paraId="7CDE366A" w14:textId="77777777" w:rsidR="002F3DFE" w:rsidRPr="002B0E12" w:rsidRDefault="002F3DFE" w:rsidP="002F3DFE">
      <w:pPr>
        <w:widowControl w:val="0"/>
        <w:spacing w:after="0"/>
        <w:ind w:left="720" w:hanging="720"/>
        <w:jc w:val="both"/>
        <w:rPr>
          <w:rFonts w:ascii="Arial" w:hAnsi="Arial" w:cs="Arial"/>
          <w:b/>
          <w:bCs/>
        </w:rPr>
      </w:pPr>
    </w:p>
    <w:p w14:paraId="73DA85E1" w14:textId="77777777" w:rsidR="002F3DFE" w:rsidRPr="002B0E12" w:rsidRDefault="002F3DFE" w:rsidP="002F3DFE">
      <w:pPr>
        <w:widowControl w:val="0"/>
        <w:spacing w:after="0"/>
        <w:ind w:left="720" w:hanging="720"/>
        <w:jc w:val="both"/>
        <w:rPr>
          <w:rFonts w:ascii="Arial" w:hAnsi="Arial" w:cs="Arial"/>
          <w:b/>
          <w:bCs/>
        </w:rPr>
      </w:pPr>
    </w:p>
    <w:p w14:paraId="214EEEDE" w14:textId="77777777" w:rsidR="002F3DFE" w:rsidRPr="002B0E12" w:rsidRDefault="002F3DFE" w:rsidP="002F3DFE">
      <w:pPr>
        <w:widowControl w:val="0"/>
        <w:spacing w:after="0"/>
        <w:ind w:left="720" w:hanging="720"/>
        <w:jc w:val="both"/>
        <w:rPr>
          <w:rFonts w:ascii="Arial" w:hAnsi="Arial" w:cs="Arial"/>
        </w:rPr>
      </w:pPr>
      <w:r w:rsidRPr="002B0E12">
        <w:rPr>
          <w:rFonts w:ascii="Arial" w:hAnsi="Arial" w:cs="Arial"/>
          <w:noProof/>
          <w:lang w:val="en-GB" w:eastAsia="en-GB"/>
        </w:rPr>
        <w:drawing>
          <wp:inline distT="0" distB="0" distL="0" distR="0" wp14:anchorId="5ACF7912" wp14:editId="0D4EB904">
            <wp:extent cx="4959350" cy="3200400"/>
            <wp:effectExtent l="0" t="0" r="1270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2E844D" w14:textId="77777777" w:rsidR="002F3DFE" w:rsidRPr="002B0E12" w:rsidRDefault="002F3DFE" w:rsidP="002F3DFE">
      <w:pPr>
        <w:widowControl w:val="0"/>
        <w:spacing w:after="0"/>
        <w:ind w:left="720" w:hanging="720"/>
        <w:jc w:val="both"/>
        <w:rPr>
          <w:rFonts w:ascii="Arial" w:hAnsi="Arial" w:cs="Arial"/>
        </w:rPr>
      </w:pPr>
    </w:p>
    <w:p w14:paraId="4F966D04" w14:textId="77777777" w:rsidR="002F3DFE" w:rsidRPr="002B0E12" w:rsidRDefault="002F3DFE" w:rsidP="002F3DFE">
      <w:pPr>
        <w:spacing w:after="0"/>
        <w:rPr>
          <w:rFonts w:ascii="Arial" w:hAnsi="Arial" w:cs="Arial"/>
          <w:b/>
        </w:rPr>
      </w:pPr>
      <w:r w:rsidRPr="002B0E12">
        <w:rPr>
          <w:rFonts w:ascii="Arial" w:hAnsi="Arial" w:cs="Arial"/>
          <w:b/>
          <w:bCs/>
        </w:rPr>
        <w:t>Fig 2. Percent adequacy of macronutrients intake among the selected Metabolic Syndrome Men and Women during winter months.</w:t>
      </w:r>
      <w:r w:rsidRPr="002B0E12">
        <w:rPr>
          <w:rFonts w:ascii="Arial" w:hAnsi="Arial" w:cs="Arial"/>
          <w:b/>
        </w:rPr>
        <w:t xml:space="preserve">     </w:t>
      </w:r>
    </w:p>
    <w:p w14:paraId="7F2851A9" w14:textId="77777777" w:rsidR="002F3DFE" w:rsidRPr="002B0E12" w:rsidRDefault="002F3DFE" w:rsidP="004112D6">
      <w:pPr>
        <w:widowControl w:val="0"/>
        <w:spacing w:after="0" w:line="360" w:lineRule="auto"/>
        <w:ind w:firstLine="720"/>
        <w:jc w:val="both"/>
        <w:rPr>
          <w:rFonts w:ascii="Arial" w:hAnsi="Arial" w:cs="Arial"/>
        </w:rPr>
      </w:pPr>
    </w:p>
    <w:p w14:paraId="0C2BEF2E" w14:textId="31020D0F" w:rsidR="00E87519" w:rsidRPr="002B0E12" w:rsidRDefault="00D461F2" w:rsidP="004112D6">
      <w:pPr>
        <w:pStyle w:val="ListParagraph"/>
        <w:widowControl w:val="0"/>
        <w:spacing w:after="0" w:line="360" w:lineRule="auto"/>
        <w:ind w:left="0"/>
        <w:jc w:val="both"/>
        <w:rPr>
          <w:rFonts w:ascii="Arial" w:hAnsi="Arial" w:cs="Arial"/>
        </w:rPr>
      </w:pPr>
      <w:bookmarkStart w:id="0" w:name="_Hlk170833093"/>
      <w:r w:rsidRPr="002B0E12">
        <w:rPr>
          <w:rFonts w:ascii="Arial" w:hAnsi="Arial" w:cs="Arial"/>
          <w:b/>
        </w:rPr>
        <w:t xml:space="preserve">3.5 </w:t>
      </w:r>
      <w:r w:rsidR="00E87519" w:rsidRPr="002B0E12">
        <w:rPr>
          <w:rFonts w:ascii="Arial" w:hAnsi="Arial" w:cs="Arial"/>
          <w:b/>
        </w:rPr>
        <w:t>Dietary intake of n-3 PUFA</w:t>
      </w:r>
      <w:r w:rsidR="002C7DC9" w:rsidRPr="002B0E12">
        <w:rPr>
          <w:rFonts w:ascii="Arial" w:hAnsi="Arial" w:cs="Arial"/>
          <w:b/>
        </w:rPr>
        <w:t xml:space="preserve"> </w:t>
      </w:r>
      <w:r w:rsidR="00E87519" w:rsidRPr="002B0E12">
        <w:rPr>
          <w:rFonts w:ascii="Arial" w:hAnsi="Arial" w:cs="Arial"/>
          <w:b/>
        </w:rPr>
        <w:t xml:space="preserve">of </w:t>
      </w:r>
      <w:proofErr w:type="spellStart"/>
      <w:r w:rsidR="00E87519" w:rsidRPr="002B0E12">
        <w:rPr>
          <w:rFonts w:ascii="Arial" w:hAnsi="Arial" w:cs="Arial"/>
          <w:b/>
        </w:rPr>
        <w:t>MetS</w:t>
      </w:r>
      <w:proofErr w:type="spellEnd"/>
      <w:r w:rsidR="00E87519" w:rsidRPr="002B0E12">
        <w:rPr>
          <w:rFonts w:ascii="Arial" w:hAnsi="Arial" w:cs="Arial"/>
          <w:b/>
        </w:rPr>
        <w:t xml:space="preserve"> </w:t>
      </w:r>
      <w:r w:rsidR="009E0843" w:rsidRPr="002B0E12">
        <w:rPr>
          <w:rFonts w:ascii="Arial" w:hAnsi="Arial" w:cs="Arial"/>
          <w:b/>
        </w:rPr>
        <w:t>participants</w:t>
      </w:r>
    </w:p>
    <w:bookmarkEnd w:id="0"/>
    <w:p w14:paraId="3701AFD5" w14:textId="402383D5" w:rsidR="009E0843" w:rsidRPr="002B0E12" w:rsidRDefault="00077133" w:rsidP="004112D6">
      <w:pPr>
        <w:pStyle w:val="NormalWeb"/>
        <w:tabs>
          <w:tab w:val="left" w:pos="993"/>
          <w:tab w:val="left" w:pos="5529"/>
        </w:tabs>
        <w:spacing w:before="0" w:beforeAutospacing="0" w:after="0" w:afterAutospacing="0" w:line="360" w:lineRule="auto"/>
        <w:jc w:val="both"/>
        <w:rPr>
          <w:rFonts w:ascii="Arial" w:hAnsi="Arial" w:cs="Arial"/>
          <w:sz w:val="22"/>
          <w:szCs w:val="22"/>
        </w:rPr>
      </w:pPr>
      <w:r w:rsidRPr="002B0E12">
        <w:rPr>
          <w:rFonts w:ascii="Arial" w:hAnsi="Arial" w:cs="Arial"/>
          <w:sz w:val="22"/>
          <w:szCs w:val="22"/>
        </w:rPr>
        <w:tab/>
      </w:r>
      <w:r w:rsidR="006B4AE9" w:rsidRPr="002B0E12">
        <w:rPr>
          <w:rFonts w:ascii="Arial" w:hAnsi="Arial" w:cs="Arial"/>
          <w:sz w:val="22"/>
          <w:szCs w:val="22"/>
        </w:rPr>
        <w:t xml:space="preserve">Consumption Frequency Scores (CFS) of n-3 PUFA rich foods by selected Metabolic Syndrome men and women are given in Table 3. </w:t>
      </w:r>
      <w:proofErr w:type="spellStart"/>
      <w:r w:rsidR="00292DE6" w:rsidRPr="002B0E12">
        <w:rPr>
          <w:rFonts w:ascii="Arial" w:hAnsi="Arial" w:cs="Arial"/>
          <w:sz w:val="22"/>
          <w:szCs w:val="22"/>
          <w:lang w:val="en-GB" w:eastAsia="en-GB"/>
        </w:rPr>
        <w:t>Uban</w:t>
      </w:r>
      <w:proofErr w:type="spellEnd"/>
      <w:r w:rsidR="00292DE6" w:rsidRPr="002B0E12">
        <w:rPr>
          <w:rFonts w:ascii="Arial" w:hAnsi="Arial" w:cs="Arial"/>
          <w:sz w:val="22"/>
          <w:szCs w:val="22"/>
          <w:lang w:val="en-GB" w:eastAsia="en-GB"/>
        </w:rPr>
        <w:t xml:space="preserve"> men and women tend to </w:t>
      </w:r>
      <w:r w:rsidR="00163FD8" w:rsidRPr="002B0E12">
        <w:rPr>
          <w:rFonts w:ascii="Arial" w:hAnsi="Arial" w:cs="Arial"/>
          <w:sz w:val="22"/>
          <w:szCs w:val="22"/>
          <w:lang w:val="en-GB" w:eastAsia="en-GB"/>
        </w:rPr>
        <w:t>f</w:t>
      </w:r>
      <w:r w:rsidR="00AE14B8" w:rsidRPr="002B0E12">
        <w:rPr>
          <w:rFonts w:ascii="Arial" w:hAnsi="Arial" w:cs="Arial"/>
          <w:sz w:val="22"/>
          <w:szCs w:val="22"/>
          <w:lang w:val="en-GB" w:eastAsia="en-GB"/>
        </w:rPr>
        <w:t>avour</w:t>
      </w:r>
      <w:r w:rsidR="00292DE6" w:rsidRPr="002B0E12">
        <w:rPr>
          <w:rFonts w:ascii="Arial" w:hAnsi="Arial" w:cs="Arial"/>
          <w:sz w:val="22"/>
          <w:szCs w:val="22"/>
          <w:lang w:val="en-GB" w:eastAsia="en-GB"/>
        </w:rPr>
        <w:t xml:space="preserve"> </w:t>
      </w:r>
      <w:r w:rsidR="00292DE6" w:rsidRPr="002B0E12">
        <w:rPr>
          <w:rFonts w:ascii="Arial" w:hAnsi="Arial" w:cs="Arial"/>
          <w:i/>
          <w:sz w:val="22"/>
          <w:szCs w:val="22"/>
          <w:lang w:val="en-GB" w:eastAsia="en-GB"/>
        </w:rPr>
        <w:t>desi</w:t>
      </w:r>
      <w:r w:rsidR="00292DE6" w:rsidRPr="002B0E12">
        <w:rPr>
          <w:rFonts w:ascii="Arial" w:hAnsi="Arial" w:cs="Arial"/>
          <w:sz w:val="22"/>
          <w:szCs w:val="22"/>
          <w:lang w:val="en-GB" w:eastAsia="en-GB"/>
        </w:rPr>
        <w:t xml:space="preserve"> ghee more (74.98</w:t>
      </w:r>
      <w:r w:rsidR="00292DE6" w:rsidRPr="002B0E12">
        <w:rPr>
          <w:rFonts w:ascii="Arial" w:hAnsi="Arial" w:cs="Arial"/>
          <w:sz w:val="22"/>
          <w:szCs w:val="22"/>
        </w:rPr>
        <w:t>±6.57</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 xml:space="preserve">for men, </w:t>
      </w:r>
      <w:r w:rsidR="00292DE6" w:rsidRPr="002B0E12">
        <w:rPr>
          <w:rFonts w:ascii="Arial" w:hAnsi="Arial" w:cs="Arial"/>
          <w:sz w:val="22"/>
          <w:szCs w:val="22"/>
          <w:lang w:val="en-GB" w:eastAsia="en-GB"/>
        </w:rPr>
        <w:t>77.05</w:t>
      </w:r>
      <w:r w:rsidR="00292DE6" w:rsidRPr="002B0E12">
        <w:rPr>
          <w:rFonts w:ascii="Arial" w:hAnsi="Arial" w:cs="Arial"/>
          <w:sz w:val="22"/>
          <w:szCs w:val="22"/>
        </w:rPr>
        <w:t>±7.26</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for women</w:t>
      </w:r>
      <w:r w:rsidR="00292DE6" w:rsidRPr="002B0E12">
        <w:rPr>
          <w:rFonts w:ascii="Arial" w:hAnsi="Arial" w:cs="Arial"/>
          <w:sz w:val="22"/>
          <w:szCs w:val="22"/>
          <w:lang w:val="en-GB" w:eastAsia="en-GB"/>
        </w:rPr>
        <w:t>) and showed less preference for mustard oil</w:t>
      </w:r>
      <w:r w:rsidR="00B47467" w:rsidRPr="002B0E12">
        <w:rPr>
          <w:rFonts w:ascii="Arial" w:hAnsi="Arial" w:cs="Arial"/>
          <w:sz w:val="22"/>
          <w:szCs w:val="22"/>
          <w:lang w:val="en-GB" w:eastAsia="en-GB"/>
        </w:rPr>
        <w:t xml:space="preserve"> (rapeseed)</w:t>
      </w:r>
      <w:r w:rsidR="00292DE6" w:rsidRPr="002B0E12">
        <w:rPr>
          <w:rFonts w:ascii="Arial" w:hAnsi="Arial" w:cs="Arial"/>
          <w:sz w:val="22"/>
          <w:szCs w:val="22"/>
          <w:lang w:val="en-GB" w:eastAsia="en-GB"/>
        </w:rPr>
        <w:t xml:space="preserve"> (29.32</w:t>
      </w:r>
      <w:r w:rsidR="00292DE6" w:rsidRPr="002B0E12">
        <w:rPr>
          <w:rFonts w:ascii="Arial" w:hAnsi="Arial" w:cs="Arial"/>
          <w:sz w:val="22"/>
          <w:szCs w:val="22"/>
        </w:rPr>
        <w:t>±8.03</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 xml:space="preserve">for men, </w:t>
      </w:r>
      <w:r w:rsidR="00292DE6" w:rsidRPr="002B0E12">
        <w:rPr>
          <w:rFonts w:ascii="Arial" w:hAnsi="Arial" w:cs="Arial"/>
          <w:sz w:val="22"/>
          <w:szCs w:val="22"/>
          <w:lang w:val="en-GB" w:eastAsia="en-GB"/>
        </w:rPr>
        <w:t>32.03</w:t>
      </w:r>
      <w:r w:rsidR="00292DE6" w:rsidRPr="002B0E12">
        <w:rPr>
          <w:rFonts w:ascii="Arial" w:hAnsi="Arial" w:cs="Arial"/>
          <w:sz w:val="22"/>
          <w:szCs w:val="22"/>
        </w:rPr>
        <w:t>±9.24</w:t>
      </w:r>
      <w:r w:rsidR="00F94F3F" w:rsidRPr="002B0E12">
        <w:rPr>
          <w:rFonts w:ascii="Arial" w:hAnsi="Arial" w:cs="Arial"/>
          <w:sz w:val="22"/>
          <w:szCs w:val="22"/>
        </w:rPr>
        <w:t xml:space="preserve"> </w:t>
      </w:r>
      <w:r w:rsidR="00F94F3F" w:rsidRPr="002B0E12">
        <w:rPr>
          <w:rFonts w:ascii="Arial" w:hAnsi="Arial" w:cs="Arial"/>
          <w:sz w:val="22"/>
          <w:szCs w:val="22"/>
          <w:lang w:val="en-GB" w:eastAsia="en-GB"/>
        </w:rPr>
        <w:t>for women</w:t>
      </w:r>
      <w:r w:rsidR="00292DE6" w:rsidRPr="002B0E12">
        <w:rPr>
          <w:rFonts w:ascii="Arial" w:hAnsi="Arial" w:cs="Arial"/>
          <w:sz w:val="22"/>
          <w:szCs w:val="22"/>
          <w:lang w:val="en-GB" w:eastAsia="en-GB"/>
        </w:rPr>
        <w:t>)</w:t>
      </w:r>
      <w:r w:rsidR="00B47467" w:rsidRPr="002B0E12">
        <w:rPr>
          <w:rFonts w:ascii="Arial" w:hAnsi="Arial" w:cs="Arial"/>
          <w:sz w:val="22"/>
          <w:szCs w:val="22"/>
          <w:lang w:val="en-GB" w:eastAsia="en-GB"/>
        </w:rPr>
        <w:t>,</w:t>
      </w:r>
      <w:r w:rsidR="00292DE6" w:rsidRPr="002B0E12">
        <w:rPr>
          <w:rFonts w:ascii="Arial" w:hAnsi="Arial" w:cs="Arial"/>
          <w:sz w:val="22"/>
          <w:szCs w:val="22"/>
          <w:lang w:val="en-GB" w:eastAsia="en-GB"/>
        </w:rPr>
        <w:t xml:space="preserve"> compared to their rural counterparts. Rural residents, on the other hand, consume less </w:t>
      </w:r>
      <w:r w:rsidR="00292DE6" w:rsidRPr="002B0E12">
        <w:rPr>
          <w:rFonts w:ascii="Arial" w:hAnsi="Arial" w:cs="Arial"/>
          <w:i/>
          <w:sz w:val="22"/>
          <w:szCs w:val="22"/>
          <w:lang w:val="en-GB" w:eastAsia="en-GB"/>
        </w:rPr>
        <w:t>desi</w:t>
      </w:r>
      <w:r w:rsidR="00292DE6" w:rsidRPr="002B0E12">
        <w:rPr>
          <w:rFonts w:ascii="Arial" w:hAnsi="Arial" w:cs="Arial"/>
          <w:sz w:val="22"/>
          <w:szCs w:val="22"/>
          <w:lang w:val="en-GB" w:eastAsia="en-GB"/>
        </w:rPr>
        <w:t xml:space="preserve"> ghee (56.17</w:t>
      </w:r>
      <w:r w:rsidR="00292DE6" w:rsidRPr="002B0E12">
        <w:rPr>
          <w:rFonts w:ascii="Arial" w:hAnsi="Arial" w:cs="Arial"/>
          <w:sz w:val="22"/>
          <w:szCs w:val="22"/>
        </w:rPr>
        <w:t>±6.83</w:t>
      </w:r>
      <w:r w:rsidR="00292DE6" w:rsidRPr="002B0E12">
        <w:rPr>
          <w:rFonts w:ascii="Arial" w:hAnsi="Arial" w:cs="Arial"/>
          <w:sz w:val="22"/>
          <w:szCs w:val="22"/>
          <w:lang w:val="en-GB" w:eastAsia="en-GB"/>
        </w:rPr>
        <w:t xml:space="preserve"> for men, 39.41</w:t>
      </w:r>
      <w:r w:rsidR="00292DE6" w:rsidRPr="002B0E12">
        <w:rPr>
          <w:rFonts w:ascii="Arial" w:hAnsi="Arial" w:cs="Arial"/>
          <w:sz w:val="22"/>
          <w:szCs w:val="22"/>
        </w:rPr>
        <w:t xml:space="preserve">±6.87 </w:t>
      </w:r>
      <w:r w:rsidR="00292DE6" w:rsidRPr="002B0E12">
        <w:rPr>
          <w:rFonts w:ascii="Arial" w:hAnsi="Arial" w:cs="Arial"/>
          <w:sz w:val="22"/>
          <w:szCs w:val="22"/>
          <w:lang w:val="en-GB" w:eastAsia="en-GB"/>
        </w:rPr>
        <w:t xml:space="preserve">for women) and </w:t>
      </w:r>
      <w:r w:rsidR="00AE14B8" w:rsidRPr="002B0E12">
        <w:rPr>
          <w:rFonts w:ascii="Arial" w:hAnsi="Arial" w:cs="Arial"/>
          <w:sz w:val="22"/>
          <w:szCs w:val="22"/>
          <w:lang w:val="en-GB" w:eastAsia="en-GB"/>
        </w:rPr>
        <w:pgNum/>
      </w:r>
      <w:r w:rsidR="00943F6B" w:rsidRPr="002B0E12">
        <w:rPr>
          <w:rFonts w:ascii="Arial" w:hAnsi="Arial" w:cs="Arial"/>
          <w:sz w:val="22"/>
          <w:szCs w:val="22"/>
          <w:lang w:val="en-GB" w:eastAsia="en-GB"/>
        </w:rPr>
        <w:t>f</w:t>
      </w:r>
      <w:r w:rsidR="00AE14B8" w:rsidRPr="002B0E12">
        <w:rPr>
          <w:rFonts w:ascii="Arial" w:hAnsi="Arial" w:cs="Arial"/>
          <w:sz w:val="22"/>
          <w:szCs w:val="22"/>
          <w:lang w:val="en-GB" w:eastAsia="en-GB"/>
        </w:rPr>
        <w:t>avour</w:t>
      </w:r>
      <w:r w:rsidR="00292DE6" w:rsidRPr="002B0E12">
        <w:rPr>
          <w:rFonts w:ascii="Arial" w:hAnsi="Arial" w:cs="Arial"/>
          <w:sz w:val="22"/>
          <w:szCs w:val="22"/>
          <w:lang w:val="en-GB" w:eastAsia="en-GB"/>
        </w:rPr>
        <w:t xml:space="preserve"> mustard oil (53.09</w:t>
      </w:r>
      <w:r w:rsidR="00297B63" w:rsidRPr="002B0E12">
        <w:rPr>
          <w:rFonts w:ascii="Arial" w:hAnsi="Arial" w:cs="Arial"/>
          <w:sz w:val="22"/>
          <w:szCs w:val="22"/>
        </w:rPr>
        <w:t>±7.68</w:t>
      </w:r>
      <w:r w:rsidR="00292DE6" w:rsidRPr="002B0E12">
        <w:rPr>
          <w:rFonts w:ascii="Arial" w:hAnsi="Arial" w:cs="Arial"/>
          <w:sz w:val="22"/>
          <w:szCs w:val="22"/>
          <w:lang w:val="en-GB" w:eastAsia="en-GB"/>
        </w:rPr>
        <w:t xml:space="preserve"> for men, 54.32</w:t>
      </w:r>
      <w:r w:rsidR="00F94F3F" w:rsidRPr="002B0E12">
        <w:rPr>
          <w:rFonts w:ascii="Arial" w:hAnsi="Arial" w:cs="Arial"/>
          <w:sz w:val="22"/>
          <w:szCs w:val="22"/>
        </w:rPr>
        <w:t>±7.42</w:t>
      </w:r>
      <w:r w:rsidR="00292DE6" w:rsidRPr="002B0E12">
        <w:rPr>
          <w:rFonts w:ascii="Arial" w:hAnsi="Arial" w:cs="Arial"/>
          <w:sz w:val="22"/>
          <w:szCs w:val="22"/>
          <w:lang w:val="en-GB" w:eastAsia="en-GB"/>
        </w:rPr>
        <w:t xml:space="preserve"> for </w:t>
      </w:r>
      <w:r w:rsidR="00F94F3F" w:rsidRPr="002B0E12">
        <w:rPr>
          <w:rFonts w:ascii="Arial" w:hAnsi="Arial" w:cs="Arial"/>
          <w:sz w:val="22"/>
          <w:szCs w:val="22"/>
          <w:lang w:val="en-GB" w:eastAsia="en-GB"/>
        </w:rPr>
        <w:t>wo</w:t>
      </w:r>
      <w:r w:rsidR="00292DE6" w:rsidRPr="002B0E12">
        <w:rPr>
          <w:rFonts w:ascii="Arial" w:hAnsi="Arial" w:cs="Arial"/>
          <w:sz w:val="22"/>
          <w:szCs w:val="22"/>
          <w:lang w:val="en-GB" w:eastAsia="en-GB"/>
        </w:rPr>
        <w:t>men), indicating a difference in cooking oil preferences between urban and rural populations</w:t>
      </w:r>
      <w:r w:rsidR="00B47467" w:rsidRPr="002B0E12">
        <w:rPr>
          <w:rFonts w:ascii="Arial" w:hAnsi="Arial" w:cs="Arial"/>
          <w:sz w:val="22"/>
          <w:szCs w:val="22"/>
          <w:lang w:val="en-GB" w:eastAsia="en-GB"/>
        </w:rPr>
        <w:t xml:space="preserve"> </w:t>
      </w:r>
      <w:r w:rsidR="00F94F3F" w:rsidRPr="002B0E12">
        <w:rPr>
          <w:rFonts w:ascii="Arial" w:hAnsi="Arial" w:cs="Arial"/>
          <w:sz w:val="22"/>
          <w:szCs w:val="22"/>
        </w:rPr>
        <w:t xml:space="preserve">(Table 3). </w:t>
      </w:r>
      <w:r w:rsidR="00292DE6" w:rsidRPr="002B0E12">
        <w:rPr>
          <w:rFonts w:ascii="Arial" w:hAnsi="Arial" w:cs="Arial"/>
          <w:vanish/>
          <w:sz w:val="22"/>
          <w:szCs w:val="22"/>
          <w:lang w:val="en-GB" w:eastAsia="en-GB"/>
        </w:rPr>
        <w:t>Top of Form</w:t>
      </w:r>
      <w:r w:rsidR="003B77DF" w:rsidRPr="002B0E12">
        <w:rPr>
          <w:rFonts w:ascii="Arial" w:hAnsi="Arial" w:cs="Arial"/>
          <w:sz w:val="22"/>
          <w:szCs w:val="22"/>
        </w:rPr>
        <w:t>The consumption of s</w:t>
      </w:r>
      <w:r w:rsidR="00EB1D3E" w:rsidRPr="002B0E12">
        <w:rPr>
          <w:rFonts w:ascii="Arial" w:hAnsi="Arial" w:cs="Arial"/>
          <w:sz w:val="22"/>
          <w:szCs w:val="22"/>
        </w:rPr>
        <w:t>oybean oil was higher in rural individuals (4.12</w:t>
      </w:r>
      <w:r w:rsidR="00EC58CD" w:rsidRPr="002B0E12">
        <w:rPr>
          <w:rFonts w:ascii="Arial" w:hAnsi="Arial" w:cs="Arial"/>
          <w:sz w:val="22"/>
          <w:szCs w:val="22"/>
        </w:rPr>
        <w:t>±4.00 for men,</w:t>
      </w:r>
      <w:r w:rsidR="00EB1D3E" w:rsidRPr="002B0E12">
        <w:rPr>
          <w:rFonts w:ascii="Arial" w:hAnsi="Arial" w:cs="Arial"/>
          <w:sz w:val="22"/>
          <w:szCs w:val="22"/>
        </w:rPr>
        <w:t xml:space="preserve"> 15.63</w:t>
      </w:r>
      <w:r w:rsidR="00EC58CD" w:rsidRPr="002B0E12">
        <w:rPr>
          <w:rFonts w:ascii="Arial" w:hAnsi="Arial" w:cs="Arial"/>
          <w:sz w:val="22"/>
          <w:szCs w:val="22"/>
        </w:rPr>
        <w:t>±6.57</w:t>
      </w:r>
      <w:r w:rsidR="00B707AE" w:rsidRPr="002B0E12">
        <w:rPr>
          <w:rFonts w:ascii="Arial" w:hAnsi="Arial" w:cs="Arial"/>
          <w:sz w:val="22"/>
          <w:szCs w:val="22"/>
        </w:rPr>
        <w:t xml:space="preserve"> for women</w:t>
      </w:r>
      <w:r w:rsidR="00EB1D3E" w:rsidRPr="002B0E12">
        <w:rPr>
          <w:rFonts w:ascii="Arial" w:hAnsi="Arial" w:cs="Arial"/>
          <w:sz w:val="22"/>
          <w:szCs w:val="22"/>
        </w:rPr>
        <w:t xml:space="preserve">), </w:t>
      </w:r>
      <w:r w:rsidR="003B77DF" w:rsidRPr="002B0E12">
        <w:rPr>
          <w:rFonts w:ascii="Arial" w:hAnsi="Arial" w:cs="Arial"/>
          <w:sz w:val="22"/>
          <w:szCs w:val="22"/>
        </w:rPr>
        <w:t>while</w:t>
      </w:r>
      <w:r w:rsidR="00EB1D3E" w:rsidRPr="002B0E12">
        <w:rPr>
          <w:rFonts w:ascii="Arial" w:hAnsi="Arial" w:cs="Arial"/>
          <w:sz w:val="22"/>
          <w:szCs w:val="22"/>
        </w:rPr>
        <w:t xml:space="preserve"> </w:t>
      </w:r>
      <w:r w:rsidR="003B77DF" w:rsidRPr="002B0E12">
        <w:rPr>
          <w:rFonts w:ascii="Arial" w:hAnsi="Arial" w:cs="Arial"/>
          <w:sz w:val="22"/>
          <w:szCs w:val="22"/>
        </w:rPr>
        <w:t>groundnut oil, sunflower oil, and rice bran oil was comparable and m</w:t>
      </w:r>
      <w:r w:rsidR="00EB1D3E" w:rsidRPr="002B0E12">
        <w:rPr>
          <w:rFonts w:ascii="Arial" w:hAnsi="Arial" w:cs="Arial"/>
          <w:sz w:val="22"/>
          <w:szCs w:val="22"/>
        </w:rPr>
        <w:t>inimal</w:t>
      </w:r>
      <w:r w:rsidR="003B77DF" w:rsidRPr="002B0E12">
        <w:rPr>
          <w:rFonts w:ascii="Arial" w:hAnsi="Arial" w:cs="Arial"/>
          <w:sz w:val="22"/>
          <w:szCs w:val="22"/>
        </w:rPr>
        <w:t xml:space="preserve"> </w:t>
      </w:r>
      <w:r w:rsidR="00EB1D3E" w:rsidRPr="002B0E12">
        <w:rPr>
          <w:rFonts w:ascii="Arial" w:hAnsi="Arial" w:cs="Arial"/>
          <w:sz w:val="22"/>
          <w:szCs w:val="22"/>
        </w:rPr>
        <w:t xml:space="preserve">in rural areas. </w:t>
      </w:r>
      <w:r w:rsidR="004619EF" w:rsidRPr="002B0E12">
        <w:rPr>
          <w:rFonts w:ascii="Arial" w:hAnsi="Arial" w:cs="Arial"/>
          <w:sz w:val="22"/>
          <w:szCs w:val="22"/>
        </w:rPr>
        <w:t>O</w:t>
      </w:r>
      <w:r w:rsidR="00D314C7" w:rsidRPr="002B0E12">
        <w:rPr>
          <w:rFonts w:ascii="Arial" w:hAnsi="Arial" w:cs="Arial"/>
          <w:sz w:val="22"/>
          <w:szCs w:val="22"/>
        </w:rPr>
        <w:t xml:space="preserve">ther sources of n-3 </w:t>
      </w:r>
      <w:r w:rsidR="009E0843" w:rsidRPr="002B0E12">
        <w:rPr>
          <w:rFonts w:ascii="Arial" w:hAnsi="Arial" w:cs="Arial"/>
          <w:sz w:val="22"/>
          <w:szCs w:val="22"/>
        </w:rPr>
        <w:t xml:space="preserve">PUFA </w:t>
      </w:r>
      <w:r w:rsidR="00716B13" w:rsidRPr="002B0E12">
        <w:rPr>
          <w:rFonts w:ascii="Arial" w:hAnsi="Arial" w:cs="Arial"/>
          <w:sz w:val="22"/>
          <w:szCs w:val="22"/>
        </w:rPr>
        <w:t xml:space="preserve">such as </w:t>
      </w:r>
      <w:r w:rsidR="00D314C7" w:rsidRPr="002B0E12">
        <w:rPr>
          <w:rFonts w:ascii="Arial" w:hAnsi="Arial" w:cs="Arial"/>
          <w:sz w:val="22"/>
          <w:szCs w:val="22"/>
        </w:rPr>
        <w:t xml:space="preserve">flaxseeds and walnuts were </w:t>
      </w:r>
      <w:r w:rsidR="004619EF" w:rsidRPr="002B0E12">
        <w:rPr>
          <w:rFonts w:ascii="Arial" w:hAnsi="Arial" w:cs="Arial"/>
          <w:sz w:val="22"/>
          <w:szCs w:val="22"/>
        </w:rPr>
        <w:t xml:space="preserve">negligibly </w:t>
      </w:r>
      <w:r w:rsidR="00D314C7" w:rsidRPr="002B0E12">
        <w:rPr>
          <w:rFonts w:ascii="Arial" w:hAnsi="Arial" w:cs="Arial"/>
          <w:sz w:val="22"/>
          <w:szCs w:val="22"/>
        </w:rPr>
        <w:t xml:space="preserve">consumed by the surveyed population. </w:t>
      </w:r>
      <w:r w:rsidR="00D57D5F" w:rsidRPr="002B0E12">
        <w:rPr>
          <w:rFonts w:ascii="Arial" w:hAnsi="Arial" w:cs="Arial"/>
          <w:sz w:val="22"/>
          <w:szCs w:val="22"/>
          <w:shd w:val="clear" w:color="auto" w:fill="FFFFFF"/>
        </w:rPr>
        <w:t>A notable proportion of surveyed individuals, particularly rural participants, reported not incorporating walnuts and flaxseeds into their diets.</w:t>
      </w:r>
      <w:r w:rsidR="00AA735A" w:rsidRPr="002B0E12">
        <w:rPr>
          <w:rFonts w:ascii="Arial" w:hAnsi="Arial" w:cs="Arial"/>
          <w:sz w:val="22"/>
          <w:szCs w:val="22"/>
        </w:rPr>
        <w:t xml:space="preserve"> </w:t>
      </w:r>
    </w:p>
    <w:p w14:paraId="6D9C0A74" w14:textId="459B8C93" w:rsidR="009E0843" w:rsidRPr="002B0E12" w:rsidRDefault="001D059D" w:rsidP="004112D6">
      <w:pPr>
        <w:widowControl w:val="0"/>
        <w:spacing w:after="0" w:line="360" w:lineRule="auto"/>
        <w:ind w:firstLine="720"/>
        <w:jc w:val="both"/>
        <w:rPr>
          <w:rFonts w:ascii="Arial" w:hAnsi="Arial" w:cs="Arial"/>
        </w:rPr>
      </w:pPr>
      <w:r w:rsidRPr="002B0E12">
        <w:rPr>
          <w:rFonts w:ascii="Arial" w:hAnsi="Arial" w:cs="Arial"/>
        </w:rPr>
        <w:t>Among gr</w:t>
      </w:r>
      <w:r w:rsidR="0079538F" w:rsidRPr="002B0E12">
        <w:rPr>
          <w:rFonts w:ascii="Arial" w:hAnsi="Arial" w:cs="Arial"/>
        </w:rPr>
        <w:t xml:space="preserve">een leafy vegetables (GLV), rich in vital minerals, vitamins, and </w:t>
      </w:r>
      <w:r w:rsidR="00844EA7" w:rsidRPr="002B0E12">
        <w:rPr>
          <w:rFonts w:ascii="Arial" w:hAnsi="Arial" w:cs="Arial"/>
        </w:rPr>
        <w:t>n</w:t>
      </w:r>
      <w:r w:rsidR="0079538F" w:rsidRPr="002B0E12">
        <w:rPr>
          <w:rFonts w:ascii="Arial" w:hAnsi="Arial" w:cs="Arial"/>
        </w:rPr>
        <w:t xml:space="preserve">-3 </w:t>
      </w:r>
      <w:r w:rsidR="009E0843" w:rsidRPr="002B0E12">
        <w:rPr>
          <w:rFonts w:ascii="Arial" w:hAnsi="Arial" w:cs="Arial"/>
        </w:rPr>
        <w:t>PUFA</w:t>
      </w:r>
      <w:r w:rsidR="0079538F" w:rsidRPr="002B0E12">
        <w:rPr>
          <w:rFonts w:ascii="Arial" w:hAnsi="Arial" w:cs="Arial"/>
        </w:rPr>
        <w:t xml:space="preserve">, </w:t>
      </w:r>
      <w:r w:rsidRPr="002B0E12">
        <w:rPr>
          <w:rFonts w:ascii="Arial" w:hAnsi="Arial" w:cs="Arial"/>
        </w:rPr>
        <w:t>m</w:t>
      </w:r>
      <w:r w:rsidR="0079538F" w:rsidRPr="002B0E12">
        <w:rPr>
          <w:rFonts w:ascii="Arial" w:hAnsi="Arial" w:cs="Arial"/>
        </w:rPr>
        <w:t>ustard leaves had the highest CFS, with rural men showing significantly higher intake (7.27</w:t>
      </w:r>
      <w:r w:rsidR="002D7F69" w:rsidRPr="002B0E12">
        <w:rPr>
          <w:rFonts w:ascii="Arial" w:hAnsi="Arial" w:cs="Arial"/>
        </w:rPr>
        <w:t>±0.81</w:t>
      </w:r>
      <w:r w:rsidR="0079538F" w:rsidRPr="002B0E12">
        <w:rPr>
          <w:rFonts w:ascii="Arial" w:hAnsi="Arial" w:cs="Arial"/>
        </w:rPr>
        <w:t>, p=0.011) compared to urban men (4.58</w:t>
      </w:r>
      <w:r w:rsidR="002D7F69" w:rsidRPr="002B0E12">
        <w:rPr>
          <w:rFonts w:ascii="Arial" w:hAnsi="Arial" w:cs="Arial"/>
        </w:rPr>
        <w:t>±0.66</w:t>
      </w:r>
      <w:r w:rsidR="0079538F" w:rsidRPr="002B0E12">
        <w:rPr>
          <w:rFonts w:ascii="Arial" w:hAnsi="Arial" w:cs="Arial"/>
        </w:rPr>
        <w:t xml:space="preserve">). Similarly, rural women exhibited </w:t>
      </w:r>
      <w:r w:rsidR="0079538F" w:rsidRPr="002B0E12">
        <w:rPr>
          <w:rFonts w:ascii="Arial" w:hAnsi="Arial" w:cs="Arial"/>
        </w:rPr>
        <w:lastRenderedPageBreak/>
        <w:t xml:space="preserve">significantly (p≤0.001) higher CFS for spinach than urban women. </w:t>
      </w:r>
      <w:r w:rsidR="00844EA7" w:rsidRPr="002B0E12">
        <w:rPr>
          <w:rFonts w:ascii="Arial" w:hAnsi="Arial" w:cs="Arial"/>
        </w:rPr>
        <w:t xml:space="preserve">Rural </w:t>
      </w:r>
      <w:r w:rsidR="008D4758" w:rsidRPr="002B0E12">
        <w:rPr>
          <w:rFonts w:ascii="Arial" w:hAnsi="Arial" w:cs="Arial"/>
        </w:rPr>
        <w:t>participants</w:t>
      </w:r>
      <w:r w:rsidR="00844EA7" w:rsidRPr="002B0E12">
        <w:rPr>
          <w:rFonts w:ascii="Arial" w:hAnsi="Arial" w:cs="Arial"/>
        </w:rPr>
        <w:t xml:space="preserve"> demonstrated higher overall consumption of GLVs, potentially influenced by increased accessibility and a larger proportion of women staying at home in rural areas. </w:t>
      </w:r>
    </w:p>
    <w:p w14:paraId="0709A426" w14:textId="77777777" w:rsidR="00F414BD" w:rsidRPr="002B0E12" w:rsidRDefault="00F414BD" w:rsidP="00F414BD">
      <w:pPr>
        <w:spacing w:after="0"/>
        <w:rPr>
          <w:rFonts w:ascii="Arial" w:hAnsi="Arial" w:cs="Arial"/>
          <w:b/>
        </w:rPr>
      </w:pPr>
      <w:r w:rsidRPr="002B0E12">
        <w:rPr>
          <w:rFonts w:ascii="Arial" w:hAnsi="Arial" w:cs="Arial"/>
          <w:b/>
        </w:rPr>
        <w:t>Table 3. Consumption Frequency Scores (CFS) of n-3 PUFA rich foods by selected Metabolic Syndrome men and women</w:t>
      </w:r>
    </w:p>
    <w:tbl>
      <w:tblPr>
        <w:tblW w:w="10036" w:type="dxa"/>
        <w:tblBorders>
          <w:top w:val="single" w:sz="4" w:space="0" w:color="auto"/>
          <w:bottom w:val="single" w:sz="4" w:space="0" w:color="auto"/>
        </w:tblBorders>
        <w:tblLook w:val="04A0" w:firstRow="1" w:lastRow="0" w:firstColumn="1" w:lastColumn="0" w:noHBand="0" w:noVBand="1"/>
      </w:tblPr>
      <w:tblGrid>
        <w:gridCol w:w="1673"/>
        <w:gridCol w:w="1670"/>
        <w:gridCol w:w="1649"/>
        <w:gridCol w:w="923"/>
        <w:gridCol w:w="1569"/>
        <w:gridCol w:w="1480"/>
        <w:gridCol w:w="1072"/>
      </w:tblGrid>
      <w:tr w:rsidR="002B0E12" w:rsidRPr="002B0E12" w14:paraId="0EE179B7" w14:textId="77777777" w:rsidTr="0048694B">
        <w:trPr>
          <w:trHeight w:val="19"/>
        </w:trPr>
        <w:tc>
          <w:tcPr>
            <w:tcW w:w="1673" w:type="dxa"/>
            <w:vMerge w:val="restart"/>
            <w:tcBorders>
              <w:top w:val="single" w:sz="4" w:space="0" w:color="auto"/>
            </w:tcBorders>
          </w:tcPr>
          <w:p w14:paraId="17EB02E0" w14:textId="77777777" w:rsidR="00F414BD" w:rsidRPr="002B0E12" w:rsidRDefault="00F414BD" w:rsidP="0048694B">
            <w:pPr>
              <w:widowControl w:val="0"/>
              <w:spacing w:after="0"/>
              <w:ind w:left="-86" w:right="-72"/>
              <w:rPr>
                <w:rFonts w:ascii="Arial" w:hAnsi="Arial" w:cs="Arial"/>
                <w:b/>
              </w:rPr>
            </w:pPr>
          </w:p>
          <w:p w14:paraId="2DDA0047" w14:textId="77777777" w:rsidR="00F414BD" w:rsidRPr="002B0E12" w:rsidRDefault="00F414BD" w:rsidP="0048694B">
            <w:pPr>
              <w:widowControl w:val="0"/>
              <w:spacing w:after="0"/>
              <w:ind w:left="-86" w:right="-72"/>
              <w:rPr>
                <w:rFonts w:ascii="Arial" w:hAnsi="Arial" w:cs="Arial"/>
                <w:b/>
              </w:rPr>
            </w:pPr>
            <w:r w:rsidRPr="002B0E12">
              <w:rPr>
                <w:rFonts w:ascii="Arial" w:hAnsi="Arial" w:cs="Arial"/>
                <w:b/>
              </w:rPr>
              <w:t>Food</w:t>
            </w:r>
          </w:p>
        </w:tc>
        <w:tc>
          <w:tcPr>
            <w:tcW w:w="4242" w:type="dxa"/>
            <w:gridSpan w:val="3"/>
            <w:tcBorders>
              <w:top w:val="single" w:sz="4" w:space="0" w:color="auto"/>
              <w:bottom w:val="single" w:sz="4" w:space="0" w:color="auto"/>
            </w:tcBorders>
          </w:tcPr>
          <w:p w14:paraId="1F49606A"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Men (54)</w:t>
            </w:r>
          </w:p>
        </w:tc>
        <w:tc>
          <w:tcPr>
            <w:tcW w:w="4120" w:type="dxa"/>
            <w:gridSpan w:val="3"/>
            <w:tcBorders>
              <w:top w:val="single" w:sz="4" w:space="0" w:color="auto"/>
              <w:bottom w:val="single" w:sz="4" w:space="0" w:color="auto"/>
            </w:tcBorders>
          </w:tcPr>
          <w:p w14:paraId="5D0473F6"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Women (46)</w:t>
            </w:r>
          </w:p>
        </w:tc>
      </w:tr>
      <w:tr w:rsidR="002B0E12" w:rsidRPr="002B0E12" w14:paraId="03A02B3B" w14:textId="77777777" w:rsidTr="0048694B">
        <w:trPr>
          <w:trHeight w:val="19"/>
        </w:trPr>
        <w:tc>
          <w:tcPr>
            <w:tcW w:w="1673" w:type="dxa"/>
            <w:vMerge/>
            <w:tcBorders>
              <w:bottom w:val="single" w:sz="4" w:space="0" w:color="auto"/>
            </w:tcBorders>
          </w:tcPr>
          <w:p w14:paraId="7B0710AF" w14:textId="77777777" w:rsidR="00F414BD" w:rsidRPr="002B0E12" w:rsidRDefault="00F414BD" w:rsidP="0048694B">
            <w:pPr>
              <w:widowControl w:val="0"/>
              <w:spacing w:after="0"/>
              <w:ind w:left="-86" w:right="-72"/>
              <w:rPr>
                <w:rFonts w:ascii="Arial" w:hAnsi="Arial" w:cs="Arial"/>
                <w:b/>
              </w:rPr>
            </w:pPr>
          </w:p>
        </w:tc>
        <w:tc>
          <w:tcPr>
            <w:tcW w:w="1670" w:type="dxa"/>
            <w:tcBorders>
              <w:top w:val="single" w:sz="4" w:space="0" w:color="auto"/>
              <w:bottom w:val="single" w:sz="4" w:space="0" w:color="auto"/>
            </w:tcBorders>
          </w:tcPr>
          <w:p w14:paraId="5917F40C"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Urban</w:t>
            </w:r>
          </w:p>
          <w:p w14:paraId="06FA4E8C"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 xml:space="preserve"> (n=28)</w:t>
            </w:r>
          </w:p>
        </w:tc>
        <w:tc>
          <w:tcPr>
            <w:tcW w:w="1649" w:type="dxa"/>
            <w:tcBorders>
              <w:top w:val="single" w:sz="4" w:space="0" w:color="auto"/>
              <w:bottom w:val="single" w:sz="4" w:space="0" w:color="auto"/>
            </w:tcBorders>
          </w:tcPr>
          <w:p w14:paraId="4BA410B3"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Rural</w:t>
            </w:r>
          </w:p>
          <w:p w14:paraId="70217393"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(n=26)</w:t>
            </w:r>
          </w:p>
        </w:tc>
        <w:tc>
          <w:tcPr>
            <w:tcW w:w="922" w:type="dxa"/>
            <w:tcBorders>
              <w:top w:val="single" w:sz="4" w:space="0" w:color="auto"/>
              <w:bottom w:val="single" w:sz="4" w:space="0" w:color="auto"/>
            </w:tcBorders>
          </w:tcPr>
          <w:p w14:paraId="4E5BB25B"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P value</w:t>
            </w:r>
          </w:p>
        </w:tc>
        <w:tc>
          <w:tcPr>
            <w:tcW w:w="1569" w:type="dxa"/>
            <w:tcBorders>
              <w:top w:val="single" w:sz="4" w:space="0" w:color="auto"/>
              <w:bottom w:val="single" w:sz="4" w:space="0" w:color="auto"/>
            </w:tcBorders>
          </w:tcPr>
          <w:p w14:paraId="2ED632BD"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 xml:space="preserve">Urban </w:t>
            </w:r>
          </w:p>
          <w:p w14:paraId="6A6542CA"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(n=22)</w:t>
            </w:r>
          </w:p>
        </w:tc>
        <w:tc>
          <w:tcPr>
            <w:tcW w:w="1480" w:type="dxa"/>
            <w:tcBorders>
              <w:top w:val="single" w:sz="4" w:space="0" w:color="auto"/>
              <w:bottom w:val="single" w:sz="4" w:space="0" w:color="auto"/>
            </w:tcBorders>
          </w:tcPr>
          <w:p w14:paraId="49C0402F"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Rural</w:t>
            </w:r>
          </w:p>
          <w:p w14:paraId="6F6B2E20"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(n=24)</w:t>
            </w:r>
          </w:p>
        </w:tc>
        <w:tc>
          <w:tcPr>
            <w:tcW w:w="1070" w:type="dxa"/>
            <w:tcBorders>
              <w:top w:val="single" w:sz="4" w:space="0" w:color="auto"/>
              <w:bottom w:val="single" w:sz="4" w:space="0" w:color="auto"/>
            </w:tcBorders>
          </w:tcPr>
          <w:p w14:paraId="7DD586C5"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P value</w:t>
            </w:r>
          </w:p>
        </w:tc>
      </w:tr>
      <w:tr w:rsidR="002B0E12" w:rsidRPr="002B0E12" w14:paraId="52785BE2" w14:textId="77777777" w:rsidTr="0048694B">
        <w:trPr>
          <w:trHeight w:val="19"/>
        </w:trPr>
        <w:tc>
          <w:tcPr>
            <w:tcW w:w="10036" w:type="dxa"/>
            <w:gridSpan w:val="7"/>
            <w:tcBorders>
              <w:top w:val="single" w:sz="4" w:space="0" w:color="auto"/>
            </w:tcBorders>
          </w:tcPr>
          <w:p w14:paraId="32A72D0F" w14:textId="77777777" w:rsidR="00F414BD" w:rsidRPr="002B0E12" w:rsidRDefault="00F414BD" w:rsidP="0048694B">
            <w:pPr>
              <w:widowControl w:val="0"/>
              <w:spacing w:after="0"/>
              <w:ind w:left="-86" w:right="-72"/>
              <w:jc w:val="center"/>
              <w:rPr>
                <w:rFonts w:ascii="Arial" w:hAnsi="Arial" w:cs="Arial"/>
                <w:b/>
              </w:rPr>
            </w:pPr>
            <w:r w:rsidRPr="002B0E12">
              <w:rPr>
                <w:rFonts w:ascii="Arial" w:hAnsi="Arial" w:cs="Arial"/>
                <w:b/>
              </w:rPr>
              <w:t>Fats and Oils</w:t>
            </w:r>
          </w:p>
        </w:tc>
      </w:tr>
      <w:tr w:rsidR="002B0E12" w:rsidRPr="002B0E12" w14:paraId="301386C8" w14:textId="77777777" w:rsidTr="0048694B">
        <w:trPr>
          <w:trHeight w:val="19"/>
        </w:trPr>
        <w:tc>
          <w:tcPr>
            <w:tcW w:w="1673" w:type="dxa"/>
          </w:tcPr>
          <w:p w14:paraId="6E69D938" w14:textId="77777777" w:rsidR="00F414BD" w:rsidRPr="002B0E12" w:rsidRDefault="00F414BD" w:rsidP="0048694B">
            <w:pPr>
              <w:widowControl w:val="0"/>
              <w:tabs>
                <w:tab w:val="left" w:pos="1280"/>
              </w:tabs>
              <w:spacing w:after="0"/>
              <w:ind w:left="-86" w:right="-72"/>
              <w:rPr>
                <w:rFonts w:ascii="Arial" w:hAnsi="Arial" w:cs="Arial"/>
                <w:bCs/>
                <w:i/>
                <w:iCs/>
              </w:rPr>
            </w:pPr>
            <w:r w:rsidRPr="002B0E12">
              <w:rPr>
                <w:rFonts w:ascii="Arial" w:hAnsi="Arial" w:cs="Arial"/>
                <w:bCs/>
                <w:i/>
                <w:iCs/>
              </w:rPr>
              <w:t>Desi ghee</w:t>
            </w:r>
            <w:r w:rsidRPr="002B0E12">
              <w:rPr>
                <w:rFonts w:ascii="Arial" w:hAnsi="Arial" w:cs="Arial"/>
                <w:bCs/>
                <w:i/>
                <w:iCs/>
              </w:rPr>
              <w:tab/>
            </w:r>
          </w:p>
        </w:tc>
        <w:tc>
          <w:tcPr>
            <w:tcW w:w="1670" w:type="dxa"/>
          </w:tcPr>
          <w:p w14:paraId="6DBF3DAA" w14:textId="77777777" w:rsidR="00F414BD" w:rsidRPr="002B0E12" w:rsidRDefault="00F414BD" w:rsidP="0048694B">
            <w:pPr>
              <w:widowControl w:val="0"/>
              <w:tabs>
                <w:tab w:val="left" w:pos="-113"/>
              </w:tabs>
              <w:spacing w:after="0"/>
              <w:ind w:left="-86" w:right="-72"/>
              <w:jc w:val="both"/>
              <w:rPr>
                <w:rFonts w:ascii="Arial" w:hAnsi="Arial" w:cs="Arial"/>
              </w:rPr>
            </w:pPr>
            <w:r w:rsidRPr="002B0E12">
              <w:rPr>
                <w:rFonts w:ascii="Arial" w:hAnsi="Arial" w:cs="Arial"/>
              </w:rPr>
              <w:t xml:space="preserve">     74.98</w:t>
            </w:r>
            <w:r w:rsidRPr="002B0E12">
              <w:rPr>
                <w:rFonts w:ascii="Arial" w:hAnsi="Arial" w:cs="Arial"/>
                <w:vertAlign w:val="superscript"/>
              </w:rPr>
              <w:t>a</w:t>
            </w:r>
            <w:r w:rsidRPr="002B0E12">
              <w:rPr>
                <w:rFonts w:ascii="Arial" w:hAnsi="Arial" w:cs="Arial"/>
              </w:rPr>
              <w:t xml:space="preserve">±6.57 </w:t>
            </w:r>
          </w:p>
        </w:tc>
        <w:tc>
          <w:tcPr>
            <w:tcW w:w="1649" w:type="dxa"/>
          </w:tcPr>
          <w:p w14:paraId="5CAD9A6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56.17</w:t>
            </w:r>
            <w:r w:rsidRPr="002B0E12">
              <w:rPr>
                <w:rFonts w:ascii="Arial" w:hAnsi="Arial" w:cs="Arial"/>
                <w:vertAlign w:val="superscript"/>
              </w:rPr>
              <w:t>b</w:t>
            </w:r>
            <w:r w:rsidRPr="002B0E12">
              <w:rPr>
                <w:rFonts w:ascii="Arial" w:hAnsi="Arial" w:cs="Arial"/>
              </w:rPr>
              <w:t>±6.83</w:t>
            </w:r>
          </w:p>
        </w:tc>
        <w:tc>
          <w:tcPr>
            <w:tcW w:w="922" w:type="dxa"/>
          </w:tcPr>
          <w:p w14:paraId="0B09D7D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0.048</w:t>
            </w:r>
          </w:p>
        </w:tc>
        <w:tc>
          <w:tcPr>
            <w:tcW w:w="1569" w:type="dxa"/>
          </w:tcPr>
          <w:p w14:paraId="13AAD65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77.05</w:t>
            </w:r>
            <w:r w:rsidRPr="002B0E12">
              <w:rPr>
                <w:rFonts w:ascii="Arial" w:hAnsi="Arial" w:cs="Arial"/>
                <w:vertAlign w:val="superscript"/>
              </w:rPr>
              <w:t xml:space="preserve"> a</w:t>
            </w:r>
            <w:r w:rsidRPr="002B0E12">
              <w:rPr>
                <w:rFonts w:ascii="Arial" w:hAnsi="Arial" w:cs="Arial"/>
              </w:rPr>
              <w:t xml:space="preserve"> ±7.26</w:t>
            </w:r>
          </w:p>
        </w:tc>
        <w:tc>
          <w:tcPr>
            <w:tcW w:w="1480" w:type="dxa"/>
          </w:tcPr>
          <w:p w14:paraId="1BEE4D2F"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39.41</w:t>
            </w:r>
            <w:r w:rsidRPr="002B0E12">
              <w:rPr>
                <w:rFonts w:ascii="Arial" w:hAnsi="Arial" w:cs="Arial"/>
                <w:vertAlign w:val="superscript"/>
              </w:rPr>
              <w:t>b</w:t>
            </w:r>
            <w:r w:rsidRPr="002B0E12">
              <w:rPr>
                <w:rFonts w:ascii="Arial" w:hAnsi="Arial" w:cs="Arial"/>
              </w:rPr>
              <w:t xml:space="preserve"> ±6.87</w:t>
            </w:r>
          </w:p>
        </w:tc>
        <w:tc>
          <w:tcPr>
            <w:tcW w:w="1070" w:type="dxa"/>
          </w:tcPr>
          <w:p w14:paraId="2013BBA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0.001</w:t>
            </w:r>
          </w:p>
        </w:tc>
      </w:tr>
      <w:tr w:rsidR="002B0E12" w:rsidRPr="002B0E12" w14:paraId="01CC94E5" w14:textId="77777777" w:rsidTr="0048694B">
        <w:trPr>
          <w:trHeight w:val="19"/>
        </w:trPr>
        <w:tc>
          <w:tcPr>
            <w:tcW w:w="1673" w:type="dxa"/>
          </w:tcPr>
          <w:p w14:paraId="78268390"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Mustard oil</w:t>
            </w:r>
          </w:p>
        </w:tc>
        <w:tc>
          <w:tcPr>
            <w:tcW w:w="1670" w:type="dxa"/>
          </w:tcPr>
          <w:p w14:paraId="7892348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29.32</w:t>
            </w:r>
            <w:r w:rsidRPr="002B0E12">
              <w:rPr>
                <w:rFonts w:ascii="Arial" w:hAnsi="Arial" w:cs="Arial"/>
                <w:vertAlign w:val="superscript"/>
              </w:rPr>
              <w:t>a</w:t>
            </w:r>
            <w:r w:rsidRPr="002B0E12">
              <w:rPr>
                <w:rFonts w:ascii="Arial" w:hAnsi="Arial" w:cs="Arial"/>
              </w:rPr>
              <w:t>±8.03</w:t>
            </w:r>
          </w:p>
        </w:tc>
        <w:tc>
          <w:tcPr>
            <w:tcW w:w="1649" w:type="dxa"/>
          </w:tcPr>
          <w:p w14:paraId="1BF5292F"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53.09</w:t>
            </w:r>
            <w:r w:rsidRPr="002B0E12">
              <w:rPr>
                <w:rFonts w:ascii="Arial" w:hAnsi="Arial" w:cs="Arial"/>
                <w:vertAlign w:val="superscript"/>
              </w:rPr>
              <w:t xml:space="preserve"> b</w:t>
            </w:r>
            <w:r w:rsidRPr="002B0E12">
              <w:rPr>
                <w:rFonts w:ascii="Arial" w:hAnsi="Arial" w:cs="Arial"/>
              </w:rPr>
              <w:t>±7.68</w:t>
            </w:r>
          </w:p>
        </w:tc>
        <w:tc>
          <w:tcPr>
            <w:tcW w:w="922" w:type="dxa"/>
          </w:tcPr>
          <w:p w14:paraId="2739AE57"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0.034</w:t>
            </w:r>
          </w:p>
        </w:tc>
        <w:tc>
          <w:tcPr>
            <w:tcW w:w="1569" w:type="dxa"/>
          </w:tcPr>
          <w:p w14:paraId="6AE2174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32.03</w:t>
            </w:r>
            <w:r w:rsidRPr="002B0E12">
              <w:rPr>
                <w:rFonts w:ascii="Arial" w:hAnsi="Arial" w:cs="Arial"/>
                <w:vertAlign w:val="superscript"/>
              </w:rPr>
              <w:t xml:space="preserve"> a</w:t>
            </w:r>
            <w:r w:rsidRPr="002B0E12">
              <w:rPr>
                <w:rFonts w:ascii="Arial" w:hAnsi="Arial" w:cs="Arial"/>
              </w:rPr>
              <w:t xml:space="preserve"> ±9.24</w:t>
            </w:r>
          </w:p>
        </w:tc>
        <w:tc>
          <w:tcPr>
            <w:tcW w:w="1480" w:type="dxa"/>
          </w:tcPr>
          <w:p w14:paraId="7EA39FD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54.32</w:t>
            </w:r>
            <w:r w:rsidRPr="002B0E12">
              <w:rPr>
                <w:rFonts w:ascii="Arial" w:hAnsi="Arial" w:cs="Arial"/>
                <w:vertAlign w:val="superscript"/>
              </w:rPr>
              <w:t>b</w:t>
            </w:r>
            <w:r w:rsidRPr="002B0E12">
              <w:rPr>
                <w:rFonts w:ascii="Arial" w:hAnsi="Arial" w:cs="Arial"/>
              </w:rPr>
              <w:t xml:space="preserve"> ±7.42</w:t>
            </w:r>
          </w:p>
        </w:tc>
        <w:tc>
          <w:tcPr>
            <w:tcW w:w="1070" w:type="dxa"/>
          </w:tcPr>
          <w:p w14:paraId="6637B2A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0.071</w:t>
            </w:r>
          </w:p>
        </w:tc>
      </w:tr>
      <w:tr w:rsidR="002B0E12" w:rsidRPr="002B0E12" w14:paraId="3F7A4F2D" w14:textId="77777777" w:rsidTr="0048694B">
        <w:trPr>
          <w:trHeight w:val="19"/>
        </w:trPr>
        <w:tc>
          <w:tcPr>
            <w:tcW w:w="1673" w:type="dxa"/>
          </w:tcPr>
          <w:p w14:paraId="2078D6D5"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Groundnut oil</w:t>
            </w:r>
          </w:p>
        </w:tc>
        <w:tc>
          <w:tcPr>
            <w:tcW w:w="1670" w:type="dxa"/>
          </w:tcPr>
          <w:p w14:paraId="56D6615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14.63±6.71</w:t>
            </w:r>
          </w:p>
        </w:tc>
        <w:tc>
          <w:tcPr>
            <w:tcW w:w="1649" w:type="dxa"/>
          </w:tcPr>
          <w:p w14:paraId="79619E78"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w:t>
            </w:r>
          </w:p>
        </w:tc>
        <w:tc>
          <w:tcPr>
            <w:tcW w:w="922" w:type="dxa"/>
          </w:tcPr>
          <w:p w14:paraId="31096D9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w:t>
            </w:r>
          </w:p>
        </w:tc>
        <w:tc>
          <w:tcPr>
            <w:tcW w:w="1569" w:type="dxa"/>
          </w:tcPr>
          <w:p w14:paraId="51BCEC7A" w14:textId="77777777" w:rsidR="00F414BD" w:rsidRPr="002B0E12" w:rsidRDefault="00F414BD" w:rsidP="0048694B">
            <w:pPr>
              <w:widowControl w:val="0"/>
              <w:spacing w:after="0"/>
              <w:ind w:left="-86" w:right="-72"/>
              <w:rPr>
                <w:rFonts w:ascii="Arial" w:hAnsi="Arial" w:cs="Arial"/>
              </w:rPr>
            </w:pPr>
            <w:r w:rsidRPr="002B0E12">
              <w:rPr>
                <w:rFonts w:ascii="Arial" w:hAnsi="Arial" w:cs="Arial"/>
              </w:rPr>
              <w:t xml:space="preserve">   23.04   ±9.11</w:t>
            </w:r>
          </w:p>
        </w:tc>
        <w:tc>
          <w:tcPr>
            <w:tcW w:w="1480" w:type="dxa"/>
          </w:tcPr>
          <w:p w14:paraId="57C8E2E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w:t>
            </w:r>
          </w:p>
        </w:tc>
        <w:tc>
          <w:tcPr>
            <w:tcW w:w="1070" w:type="dxa"/>
          </w:tcPr>
          <w:p w14:paraId="50B4B46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w:t>
            </w:r>
          </w:p>
        </w:tc>
      </w:tr>
      <w:tr w:rsidR="002B0E12" w:rsidRPr="002B0E12" w14:paraId="6C831368" w14:textId="77777777" w:rsidTr="0048694B">
        <w:trPr>
          <w:trHeight w:val="19"/>
        </w:trPr>
        <w:tc>
          <w:tcPr>
            <w:tcW w:w="1673" w:type="dxa"/>
          </w:tcPr>
          <w:p w14:paraId="523C572D"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Sunflower oil</w:t>
            </w:r>
          </w:p>
        </w:tc>
        <w:tc>
          <w:tcPr>
            <w:tcW w:w="1670" w:type="dxa"/>
          </w:tcPr>
          <w:p w14:paraId="6FE92D6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8.59</w:t>
            </w:r>
            <w:r w:rsidRPr="002B0E12">
              <w:rPr>
                <w:rFonts w:ascii="Arial" w:hAnsi="Arial" w:cs="Arial"/>
                <w:vertAlign w:val="superscript"/>
              </w:rPr>
              <w:t xml:space="preserve"> a</w:t>
            </w:r>
            <w:r w:rsidRPr="002B0E12">
              <w:rPr>
                <w:rFonts w:ascii="Arial" w:hAnsi="Arial" w:cs="Arial"/>
              </w:rPr>
              <w:t xml:space="preserve"> ±4.98</w:t>
            </w:r>
          </w:p>
        </w:tc>
        <w:tc>
          <w:tcPr>
            <w:tcW w:w="1649" w:type="dxa"/>
          </w:tcPr>
          <w:p w14:paraId="5F80341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 xml:space="preserve"> 0.80</w:t>
            </w:r>
            <w:r w:rsidRPr="002B0E12">
              <w:rPr>
                <w:rFonts w:ascii="Arial" w:hAnsi="Arial" w:cs="Arial"/>
                <w:vertAlign w:val="superscript"/>
              </w:rPr>
              <w:t xml:space="preserve"> a</w:t>
            </w:r>
            <w:r w:rsidRPr="002B0E12">
              <w:rPr>
                <w:rFonts w:ascii="Arial" w:hAnsi="Arial" w:cs="Arial"/>
              </w:rPr>
              <w:t xml:space="preserve"> ±0.71</w:t>
            </w:r>
          </w:p>
        </w:tc>
        <w:tc>
          <w:tcPr>
            <w:tcW w:w="922" w:type="dxa"/>
          </w:tcPr>
          <w:p w14:paraId="545A540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0.133</w:t>
            </w:r>
          </w:p>
        </w:tc>
        <w:tc>
          <w:tcPr>
            <w:tcW w:w="1569" w:type="dxa"/>
          </w:tcPr>
          <w:p w14:paraId="28577BCC" w14:textId="77777777" w:rsidR="00F414BD" w:rsidRPr="002B0E12" w:rsidRDefault="00F414BD" w:rsidP="0048694B">
            <w:pPr>
              <w:widowControl w:val="0"/>
              <w:tabs>
                <w:tab w:val="left" w:pos="1115"/>
              </w:tabs>
              <w:spacing w:after="0"/>
              <w:ind w:left="-86" w:right="-72"/>
              <w:jc w:val="center"/>
              <w:rPr>
                <w:rFonts w:ascii="Arial" w:hAnsi="Arial" w:cs="Arial"/>
              </w:rPr>
            </w:pPr>
            <w:r w:rsidRPr="002B0E12">
              <w:rPr>
                <w:rFonts w:ascii="Arial" w:hAnsi="Arial" w:cs="Arial"/>
              </w:rPr>
              <w:t>9.64</w:t>
            </w:r>
            <w:r w:rsidRPr="002B0E12">
              <w:rPr>
                <w:rFonts w:ascii="Arial" w:hAnsi="Arial" w:cs="Arial"/>
                <w:vertAlign w:val="superscript"/>
              </w:rPr>
              <w:t xml:space="preserve"> a</w:t>
            </w:r>
            <w:r w:rsidRPr="002B0E12">
              <w:rPr>
                <w:rFonts w:ascii="Arial" w:hAnsi="Arial" w:cs="Arial"/>
              </w:rPr>
              <w:t xml:space="preserve"> ±6.24</w:t>
            </w:r>
          </w:p>
        </w:tc>
        <w:tc>
          <w:tcPr>
            <w:tcW w:w="1480" w:type="dxa"/>
          </w:tcPr>
          <w:p w14:paraId="3F350B5D"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2.19</w:t>
            </w:r>
            <w:r w:rsidRPr="002B0E12">
              <w:rPr>
                <w:rFonts w:ascii="Arial" w:hAnsi="Arial" w:cs="Arial"/>
                <w:vertAlign w:val="superscript"/>
              </w:rPr>
              <w:t xml:space="preserve"> a</w:t>
            </w:r>
            <w:r w:rsidRPr="002B0E12">
              <w:rPr>
                <w:rFonts w:ascii="Arial" w:hAnsi="Arial" w:cs="Arial"/>
              </w:rPr>
              <w:t xml:space="preserve"> ±1.46</w:t>
            </w:r>
          </w:p>
        </w:tc>
        <w:tc>
          <w:tcPr>
            <w:tcW w:w="1070" w:type="dxa"/>
          </w:tcPr>
          <w:p w14:paraId="7101C8D9"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0.258</w:t>
            </w:r>
          </w:p>
        </w:tc>
      </w:tr>
      <w:tr w:rsidR="002B0E12" w:rsidRPr="002B0E12" w14:paraId="3B544E5D" w14:textId="77777777" w:rsidTr="0048694B">
        <w:trPr>
          <w:trHeight w:val="19"/>
        </w:trPr>
        <w:tc>
          <w:tcPr>
            <w:tcW w:w="1673" w:type="dxa"/>
          </w:tcPr>
          <w:p w14:paraId="7B8C703E"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Soybean oil</w:t>
            </w:r>
          </w:p>
        </w:tc>
        <w:tc>
          <w:tcPr>
            <w:tcW w:w="1670" w:type="dxa"/>
          </w:tcPr>
          <w:p w14:paraId="55BAF747"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7.65</w:t>
            </w:r>
            <w:r w:rsidRPr="002B0E12">
              <w:rPr>
                <w:rFonts w:ascii="Arial" w:hAnsi="Arial" w:cs="Arial"/>
                <w:vertAlign w:val="superscript"/>
              </w:rPr>
              <w:t xml:space="preserve"> a</w:t>
            </w:r>
            <w:r w:rsidRPr="002B0E12">
              <w:rPr>
                <w:rFonts w:ascii="Arial" w:hAnsi="Arial" w:cs="Arial"/>
              </w:rPr>
              <w:t xml:space="preserve"> ±4.93</w:t>
            </w:r>
          </w:p>
        </w:tc>
        <w:tc>
          <w:tcPr>
            <w:tcW w:w="1649" w:type="dxa"/>
          </w:tcPr>
          <w:p w14:paraId="00AD494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4.12</w:t>
            </w:r>
            <w:r w:rsidRPr="002B0E12">
              <w:rPr>
                <w:rFonts w:ascii="Arial" w:hAnsi="Arial" w:cs="Arial"/>
                <w:vertAlign w:val="superscript"/>
              </w:rPr>
              <w:t xml:space="preserve"> a</w:t>
            </w:r>
            <w:r w:rsidRPr="002B0E12">
              <w:rPr>
                <w:rFonts w:ascii="Arial" w:hAnsi="Arial" w:cs="Arial"/>
              </w:rPr>
              <w:t xml:space="preserve"> ±4.00</w:t>
            </w:r>
          </w:p>
        </w:tc>
        <w:tc>
          <w:tcPr>
            <w:tcW w:w="922" w:type="dxa"/>
          </w:tcPr>
          <w:p w14:paraId="12E093D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0.575</w:t>
            </w:r>
          </w:p>
        </w:tc>
        <w:tc>
          <w:tcPr>
            <w:tcW w:w="1569" w:type="dxa"/>
          </w:tcPr>
          <w:p w14:paraId="4C9371C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4.95</w:t>
            </w:r>
            <w:r w:rsidRPr="002B0E12">
              <w:rPr>
                <w:rFonts w:ascii="Arial" w:hAnsi="Arial" w:cs="Arial"/>
                <w:vertAlign w:val="superscript"/>
              </w:rPr>
              <w:t>a</w:t>
            </w:r>
            <w:r w:rsidRPr="002B0E12">
              <w:rPr>
                <w:rFonts w:ascii="Arial" w:hAnsi="Arial" w:cs="Arial"/>
              </w:rPr>
              <w:t xml:space="preserve"> ±4.53</w:t>
            </w:r>
          </w:p>
        </w:tc>
        <w:tc>
          <w:tcPr>
            <w:tcW w:w="1480" w:type="dxa"/>
          </w:tcPr>
          <w:p w14:paraId="4F817F47"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15.63</w:t>
            </w:r>
            <w:r w:rsidRPr="002B0E12">
              <w:rPr>
                <w:rFonts w:ascii="Arial" w:hAnsi="Arial" w:cs="Arial"/>
                <w:vertAlign w:val="superscript"/>
              </w:rPr>
              <w:t>a</w:t>
            </w:r>
            <w:r w:rsidRPr="002B0E12">
              <w:rPr>
                <w:rFonts w:ascii="Arial" w:hAnsi="Arial" w:cs="Arial"/>
              </w:rPr>
              <w:t xml:space="preserve"> ±6.57</w:t>
            </w:r>
          </w:p>
        </w:tc>
        <w:tc>
          <w:tcPr>
            <w:tcW w:w="1070" w:type="dxa"/>
          </w:tcPr>
          <w:p w14:paraId="35FCB90F"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0.201</w:t>
            </w:r>
          </w:p>
        </w:tc>
      </w:tr>
      <w:tr w:rsidR="002B0E12" w:rsidRPr="002B0E12" w14:paraId="2CD90E01" w14:textId="77777777" w:rsidTr="0048694B">
        <w:trPr>
          <w:trHeight w:val="19"/>
        </w:trPr>
        <w:tc>
          <w:tcPr>
            <w:tcW w:w="1673" w:type="dxa"/>
          </w:tcPr>
          <w:p w14:paraId="2C4F1E6D"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Rice Bran oil</w:t>
            </w:r>
          </w:p>
        </w:tc>
        <w:tc>
          <w:tcPr>
            <w:tcW w:w="1670" w:type="dxa"/>
          </w:tcPr>
          <w:p w14:paraId="724F10DD" w14:textId="77777777" w:rsidR="00F414BD" w:rsidRPr="002B0E12" w:rsidRDefault="00F414BD" w:rsidP="0048694B">
            <w:pPr>
              <w:widowControl w:val="0"/>
              <w:spacing w:after="0"/>
              <w:ind w:left="-86" w:right="-72"/>
              <w:rPr>
                <w:rFonts w:ascii="Arial" w:hAnsi="Arial" w:cs="Arial"/>
              </w:rPr>
            </w:pPr>
            <w:r w:rsidRPr="002B0E12">
              <w:rPr>
                <w:rFonts w:ascii="Arial" w:hAnsi="Arial" w:cs="Arial"/>
              </w:rPr>
              <w:t xml:space="preserve">     7.44±4.94</w:t>
            </w:r>
          </w:p>
        </w:tc>
        <w:tc>
          <w:tcPr>
            <w:tcW w:w="1649" w:type="dxa"/>
          </w:tcPr>
          <w:p w14:paraId="5E46E33F"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w:t>
            </w:r>
          </w:p>
        </w:tc>
        <w:tc>
          <w:tcPr>
            <w:tcW w:w="922" w:type="dxa"/>
          </w:tcPr>
          <w:p w14:paraId="6088D68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w:t>
            </w:r>
          </w:p>
        </w:tc>
        <w:tc>
          <w:tcPr>
            <w:tcW w:w="1569" w:type="dxa"/>
          </w:tcPr>
          <w:p w14:paraId="7C9BEA49" w14:textId="77777777" w:rsidR="00F414BD" w:rsidRPr="002B0E12" w:rsidRDefault="00F414BD" w:rsidP="0048694B">
            <w:pPr>
              <w:widowControl w:val="0"/>
              <w:tabs>
                <w:tab w:val="left" w:pos="905"/>
              </w:tabs>
              <w:spacing w:after="0"/>
              <w:ind w:left="-86" w:right="-72"/>
              <w:jc w:val="center"/>
              <w:rPr>
                <w:rFonts w:ascii="Arial" w:hAnsi="Arial" w:cs="Arial"/>
              </w:rPr>
            </w:pPr>
            <w:r w:rsidRPr="002B0E12">
              <w:rPr>
                <w:rFonts w:ascii="Arial" w:hAnsi="Arial" w:cs="Arial"/>
              </w:rPr>
              <w:t>6.34</w:t>
            </w:r>
            <w:r w:rsidRPr="002B0E12">
              <w:rPr>
                <w:rFonts w:ascii="Arial" w:hAnsi="Arial" w:cs="Arial"/>
                <w:vertAlign w:val="superscript"/>
              </w:rPr>
              <w:t xml:space="preserve"> a</w:t>
            </w:r>
            <w:r w:rsidRPr="002B0E12">
              <w:rPr>
                <w:rFonts w:ascii="Arial" w:hAnsi="Arial" w:cs="Arial"/>
              </w:rPr>
              <w:t xml:space="preserve"> ±4.53</w:t>
            </w:r>
          </w:p>
        </w:tc>
        <w:tc>
          <w:tcPr>
            <w:tcW w:w="1480" w:type="dxa"/>
          </w:tcPr>
          <w:p w14:paraId="0477F78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w:t>
            </w:r>
          </w:p>
        </w:tc>
        <w:tc>
          <w:tcPr>
            <w:tcW w:w="1070" w:type="dxa"/>
          </w:tcPr>
          <w:p w14:paraId="095F6CA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w:t>
            </w:r>
          </w:p>
        </w:tc>
      </w:tr>
      <w:tr w:rsidR="002B0E12" w:rsidRPr="002B0E12" w14:paraId="5AC58095" w14:textId="77777777" w:rsidTr="0048694B">
        <w:trPr>
          <w:trHeight w:val="19"/>
        </w:trPr>
        <w:tc>
          <w:tcPr>
            <w:tcW w:w="1673" w:type="dxa"/>
          </w:tcPr>
          <w:p w14:paraId="1DFAF815"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Hydrogenated oil</w:t>
            </w:r>
          </w:p>
        </w:tc>
        <w:tc>
          <w:tcPr>
            <w:tcW w:w="1670" w:type="dxa"/>
          </w:tcPr>
          <w:p w14:paraId="400C0E8D"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5.40</w:t>
            </w:r>
            <w:r w:rsidRPr="002B0E12">
              <w:rPr>
                <w:rFonts w:ascii="Arial" w:hAnsi="Arial" w:cs="Arial"/>
                <w:vertAlign w:val="superscript"/>
              </w:rPr>
              <w:t xml:space="preserve"> a</w:t>
            </w:r>
            <w:r w:rsidRPr="002B0E12">
              <w:rPr>
                <w:rFonts w:ascii="Arial" w:hAnsi="Arial" w:cs="Arial"/>
              </w:rPr>
              <w:t xml:space="preserve"> ±2.98</w:t>
            </w:r>
          </w:p>
        </w:tc>
        <w:tc>
          <w:tcPr>
            <w:tcW w:w="1649" w:type="dxa"/>
          </w:tcPr>
          <w:p w14:paraId="299717A8"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4.80</w:t>
            </w:r>
            <w:r w:rsidRPr="002B0E12">
              <w:rPr>
                <w:rFonts w:ascii="Arial" w:hAnsi="Arial" w:cs="Arial"/>
                <w:vertAlign w:val="superscript"/>
              </w:rPr>
              <w:t xml:space="preserve"> a</w:t>
            </w:r>
            <w:r w:rsidRPr="002B0E12">
              <w:rPr>
                <w:rFonts w:ascii="Arial" w:hAnsi="Arial" w:cs="Arial"/>
              </w:rPr>
              <w:t xml:space="preserve"> ±5.75</w:t>
            </w:r>
          </w:p>
        </w:tc>
        <w:tc>
          <w:tcPr>
            <w:tcW w:w="922" w:type="dxa"/>
          </w:tcPr>
          <w:p w14:paraId="2473591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0.142</w:t>
            </w:r>
          </w:p>
        </w:tc>
        <w:tc>
          <w:tcPr>
            <w:tcW w:w="1569" w:type="dxa"/>
          </w:tcPr>
          <w:p w14:paraId="782E28D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4.26</w:t>
            </w:r>
            <w:r w:rsidRPr="002B0E12">
              <w:rPr>
                <w:rFonts w:ascii="Arial" w:hAnsi="Arial" w:cs="Arial"/>
                <w:vertAlign w:val="superscript"/>
              </w:rPr>
              <w:t xml:space="preserve"> a</w:t>
            </w:r>
            <w:r w:rsidRPr="002B0E12">
              <w:rPr>
                <w:rFonts w:ascii="Arial" w:hAnsi="Arial" w:cs="Arial"/>
              </w:rPr>
              <w:t xml:space="preserve"> ±2.89</w:t>
            </w:r>
          </w:p>
        </w:tc>
        <w:tc>
          <w:tcPr>
            <w:tcW w:w="1480" w:type="dxa"/>
          </w:tcPr>
          <w:p w14:paraId="1DE0A2C2"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5.61</w:t>
            </w:r>
            <w:r w:rsidRPr="002B0E12">
              <w:rPr>
                <w:rFonts w:ascii="Arial" w:hAnsi="Arial" w:cs="Arial"/>
                <w:vertAlign w:val="superscript"/>
              </w:rPr>
              <w:t xml:space="preserve"> a</w:t>
            </w:r>
            <w:r w:rsidRPr="002B0E12">
              <w:rPr>
                <w:rFonts w:ascii="Arial" w:hAnsi="Arial" w:cs="Arial"/>
              </w:rPr>
              <w:t xml:space="preserve"> ±3.60</w:t>
            </w:r>
          </w:p>
        </w:tc>
        <w:tc>
          <w:tcPr>
            <w:tcW w:w="1070" w:type="dxa"/>
          </w:tcPr>
          <w:p w14:paraId="4DD0B53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0.776</w:t>
            </w:r>
          </w:p>
        </w:tc>
      </w:tr>
      <w:tr w:rsidR="002B0E12" w:rsidRPr="002B0E12" w14:paraId="46FBF4F4" w14:textId="77777777" w:rsidTr="0048694B">
        <w:trPr>
          <w:trHeight w:val="19"/>
        </w:trPr>
        <w:tc>
          <w:tcPr>
            <w:tcW w:w="10036" w:type="dxa"/>
            <w:gridSpan w:val="7"/>
          </w:tcPr>
          <w:p w14:paraId="65E2C066"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b/>
              </w:rPr>
              <w:t>Nuts and oilseeds</w:t>
            </w:r>
          </w:p>
        </w:tc>
      </w:tr>
      <w:tr w:rsidR="002B0E12" w:rsidRPr="002B0E12" w14:paraId="143D6D9D" w14:textId="77777777" w:rsidTr="0048694B">
        <w:trPr>
          <w:trHeight w:val="19"/>
        </w:trPr>
        <w:tc>
          <w:tcPr>
            <w:tcW w:w="1673" w:type="dxa"/>
          </w:tcPr>
          <w:p w14:paraId="4AF0FDB2"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Walnuts</w:t>
            </w:r>
          </w:p>
        </w:tc>
        <w:tc>
          <w:tcPr>
            <w:tcW w:w="1670" w:type="dxa"/>
          </w:tcPr>
          <w:p w14:paraId="1A41735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3.76</w:t>
            </w:r>
            <w:r w:rsidRPr="002B0E12">
              <w:rPr>
                <w:rFonts w:ascii="Arial" w:hAnsi="Arial" w:cs="Arial"/>
                <w:vertAlign w:val="superscript"/>
              </w:rPr>
              <w:t xml:space="preserve"> a</w:t>
            </w:r>
            <w:r w:rsidRPr="002B0E12">
              <w:rPr>
                <w:rFonts w:ascii="Arial" w:hAnsi="Arial" w:cs="Arial"/>
              </w:rPr>
              <w:t xml:space="preserve"> ±1.66</w:t>
            </w:r>
          </w:p>
        </w:tc>
        <w:tc>
          <w:tcPr>
            <w:tcW w:w="1649" w:type="dxa"/>
          </w:tcPr>
          <w:p w14:paraId="5BF212F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0.53</w:t>
            </w:r>
            <w:r w:rsidRPr="002B0E12">
              <w:rPr>
                <w:rFonts w:ascii="Arial" w:hAnsi="Arial" w:cs="Arial"/>
                <w:vertAlign w:val="superscript"/>
              </w:rPr>
              <w:t xml:space="preserve"> b</w:t>
            </w:r>
            <w:r w:rsidRPr="002B0E12">
              <w:rPr>
                <w:rFonts w:ascii="Arial" w:hAnsi="Arial" w:cs="Arial"/>
              </w:rPr>
              <w:t xml:space="preserve"> ±0.51</w:t>
            </w:r>
          </w:p>
        </w:tc>
        <w:tc>
          <w:tcPr>
            <w:tcW w:w="922" w:type="dxa"/>
          </w:tcPr>
          <w:p w14:paraId="70CD6E9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0.072</w:t>
            </w:r>
          </w:p>
        </w:tc>
        <w:tc>
          <w:tcPr>
            <w:tcW w:w="1569" w:type="dxa"/>
          </w:tcPr>
          <w:p w14:paraId="14182B77"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5.08</w:t>
            </w:r>
            <w:r w:rsidRPr="002B0E12">
              <w:rPr>
                <w:rFonts w:ascii="Arial" w:hAnsi="Arial" w:cs="Arial"/>
                <w:vertAlign w:val="superscript"/>
              </w:rPr>
              <w:t xml:space="preserve"> a</w:t>
            </w:r>
            <w:r w:rsidRPr="002B0E12">
              <w:rPr>
                <w:rFonts w:ascii="Arial" w:hAnsi="Arial" w:cs="Arial"/>
              </w:rPr>
              <w:t xml:space="preserve"> ±1.98</w:t>
            </w:r>
          </w:p>
        </w:tc>
        <w:tc>
          <w:tcPr>
            <w:tcW w:w="1480" w:type="dxa"/>
          </w:tcPr>
          <w:p w14:paraId="7E4825E8"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0.57</w:t>
            </w:r>
            <w:r w:rsidRPr="002B0E12">
              <w:rPr>
                <w:rFonts w:ascii="Arial" w:hAnsi="Arial" w:cs="Arial"/>
                <w:vertAlign w:val="superscript"/>
              </w:rPr>
              <w:t xml:space="preserve"> b</w:t>
            </w:r>
            <w:r w:rsidRPr="002B0E12">
              <w:rPr>
                <w:rFonts w:ascii="Arial" w:hAnsi="Arial" w:cs="Arial"/>
              </w:rPr>
              <w:t xml:space="preserve"> ±0.55</w:t>
            </w:r>
          </w:p>
        </w:tc>
        <w:tc>
          <w:tcPr>
            <w:tcW w:w="1070" w:type="dxa"/>
          </w:tcPr>
          <w:p w14:paraId="30E31F88"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0.039</w:t>
            </w:r>
          </w:p>
        </w:tc>
      </w:tr>
      <w:tr w:rsidR="002B0E12" w:rsidRPr="002B0E12" w14:paraId="6126C505" w14:textId="77777777" w:rsidTr="0048694B">
        <w:trPr>
          <w:trHeight w:val="19"/>
        </w:trPr>
        <w:tc>
          <w:tcPr>
            <w:tcW w:w="1673" w:type="dxa"/>
          </w:tcPr>
          <w:p w14:paraId="13A2E546"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Almonds</w:t>
            </w:r>
          </w:p>
        </w:tc>
        <w:tc>
          <w:tcPr>
            <w:tcW w:w="1670" w:type="dxa"/>
          </w:tcPr>
          <w:p w14:paraId="6B425B9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14.05</w:t>
            </w:r>
            <w:r w:rsidRPr="002B0E12">
              <w:rPr>
                <w:rFonts w:ascii="Arial" w:hAnsi="Arial" w:cs="Arial"/>
                <w:vertAlign w:val="superscript"/>
              </w:rPr>
              <w:t>a</w:t>
            </w:r>
            <w:r w:rsidRPr="002B0E12">
              <w:rPr>
                <w:rFonts w:ascii="Arial" w:hAnsi="Arial" w:cs="Arial"/>
              </w:rPr>
              <w:t xml:space="preserve"> ±3.47</w:t>
            </w:r>
          </w:p>
        </w:tc>
        <w:tc>
          <w:tcPr>
            <w:tcW w:w="1649" w:type="dxa"/>
          </w:tcPr>
          <w:p w14:paraId="6BC15DD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10.03</w:t>
            </w:r>
            <w:r w:rsidRPr="002B0E12">
              <w:rPr>
                <w:rFonts w:ascii="Arial" w:hAnsi="Arial" w:cs="Arial"/>
                <w:vertAlign w:val="superscript"/>
              </w:rPr>
              <w:t>a</w:t>
            </w:r>
            <w:r w:rsidRPr="002B0E12">
              <w:rPr>
                <w:rFonts w:ascii="Arial" w:hAnsi="Arial" w:cs="Arial"/>
              </w:rPr>
              <w:t xml:space="preserve">±1.37 </w:t>
            </w:r>
          </w:p>
        </w:tc>
        <w:tc>
          <w:tcPr>
            <w:tcW w:w="922" w:type="dxa"/>
          </w:tcPr>
          <w:p w14:paraId="7438F536"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0.289</w:t>
            </w:r>
          </w:p>
        </w:tc>
        <w:tc>
          <w:tcPr>
            <w:tcW w:w="1569" w:type="dxa"/>
          </w:tcPr>
          <w:p w14:paraId="4824142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19.08</w:t>
            </w:r>
            <w:r w:rsidRPr="002B0E12">
              <w:rPr>
                <w:rFonts w:ascii="Arial" w:hAnsi="Arial" w:cs="Arial"/>
                <w:vertAlign w:val="superscript"/>
              </w:rPr>
              <w:t xml:space="preserve"> a</w:t>
            </w:r>
            <w:r w:rsidRPr="002B0E12">
              <w:rPr>
                <w:rFonts w:ascii="Arial" w:hAnsi="Arial" w:cs="Arial"/>
              </w:rPr>
              <w:t xml:space="preserve"> ±3.97</w:t>
            </w:r>
          </w:p>
        </w:tc>
        <w:tc>
          <w:tcPr>
            <w:tcW w:w="1480" w:type="dxa"/>
          </w:tcPr>
          <w:p w14:paraId="2B26CA0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9.73</w:t>
            </w:r>
            <w:r w:rsidRPr="002B0E12">
              <w:rPr>
                <w:rFonts w:ascii="Arial" w:hAnsi="Arial" w:cs="Arial"/>
                <w:vertAlign w:val="superscript"/>
              </w:rPr>
              <w:t xml:space="preserve"> b</w:t>
            </w:r>
            <w:r w:rsidRPr="002B0E12">
              <w:rPr>
                <w:rFonts w:ascii="Arial" w:hAnsi="Arial" w:cs="Arial"/>
              </w:rPr>
              <w:t xml:space="preserve"> ±1.59</w:t>
            </w:r>
          </w:p>
        </w:tc>
        <w:tc>
          <w:tcPr>
            <w:tcW w:w="1070" w:type="dxa"/>
          </w:tcPr>
          <w:p w14:paraId="0A224E69"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0.037</w:t>
            </w:r>
          </w:p>
        </w:tc>
      </w:tr>
      <w:tr w:rsidR="002B0E12" w:rsidRPr="002B0E12" w14:paraId="708B0709" w14:textId="77777777" w:rsidTr="0048694B">
        <w:trPr>
          <w:trHeight w:val="19"/>
        </w:trPr>
        <w:tc>
          <w:tcPr>
            <w:tcW w:w="1673" w:type="dxa"/>
          </w:tcPr>
          <w:p w14:paraId="27613778"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Sesame seeds</w:t>
            </w:r>
          </w:p>
        </w:tc>
        <w:tc>
          <w:tcPr>
            <w:tcW w:w="1670" w:type="dxa"/>
          </w:tcPr>
          <w:p w14:paraId="5799CA96"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4.77</w:t>
            </w:r>
            <w:r w:rsidRPr="002B0E12">
              <w:rPr>
                <w:rFonts w:ascii="Arial" w:hAnsi="Arial" w:cs="Arial"/>
                <w:vertAlign w:val="superscript"/>
              </w:rPr>
              <w:t xml:space="preserve"> a</w:t>
            </w:r>
            <w:r w:rsidRPr="002B0E12">
              <w:rPr>
                <w:rFonts w:ascii="Arial" w:hAnsi="Arial" w:cs="Arial"/>
              </w:rPr>
              <w:t xml:space="preserve"> ±1.45</w:t>
            </w:r>
          </w:p>
        </w:tc>
        <w:tc>
          <w:tcPr>
            <w:tcW w:w="1649" w:type="dxa"/>
          </w:tcPr>
          <w:p w14:paraId="41FDCE1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7.79</w:t>
            </w:r>
            <w:r w:rsidRPr="002B0E12">
              <w:rPr>
                <w:rFonts w:ascii="Arial" w:hAnsi="Arial" w:cs="Arial"/>
                <w:vertAlign w:val="superscript"/>
              </w:rPr>
              <w:t xml:space="preserve"> a</w:t>
            </w:r>
            <w:r w:rsidRPr="002B0E12">
              <w:rPr>
                <w:rFonts w:ascii="Arial" w:hAnsi="Arial" w:cs="Arial"/>
              </w:rPr>
              <w:t xml:space="preserve"> ±1.47</w:t>
            </w:r>
          </w:p>
        </w:tc>
        <w:tc>
          <w:tcPr>
            <w:tcW w:w="922" w:type="dxa"/>
          </w:tcPr>
          <w:p w14:paraId="40D7E38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0.150</w:t>
            </w:r>
          </w:p>
        </w:tc>
        <w:tc>
          <w:tcPr>
            <w:tcW w:w="1569" w:type="dxa"/>
          </w:tcPr>
          <w:p w14:paraId="354195F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4.78</w:t>
            </w:r>
            <w:r w:rsidRPr="002B0E12">
              <w:rPr>
                <w:rFonts w:ascii="Arial" w:hAnsi="Arial" w:cs="Arial"/>
                <w:vertAlign w:val="superscript"/>
              </w:rPr>
              <w:t xml:space="preserve"> a</w:t>
            </w:r>
            <w:r w:rsidRPr="002B0E12">
              <w:rPr>
                <w:rFonts w:ascii="Arial" w:hAnsi="Arial" w:cs="Arial"/>
              </w:rPr>
              <w:t xml:space="preserve"> ±1.68</w:t>
            </w:r>
          </w:p>
        </w:tc>
        <w:tc>
          <w:tcPr>
            <w:tcW w:w="1480" w:type="dxa"/>
          </w:tcPr>
          <w:p w14:paraId="3022838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4.25</w:t>
            </w:r>
            <w:r w:rsidRPr="002B0E12">
              <w:rPr>
                <w:rFonts w:ascii="Arial" w:hAnsi="Arial" w:cs="Arial"/>
                <w:vertAlign w:val="superscript"/>
              </w:rPr>
              <w:t xml:space="preserve"> a</w:t>
            </w:r>
            <w:r w:rsidRPr="002B0E12">
              <w:rPr>
                <w:rFonts w:ascii="Arial" w:hAnsi="Arial" w:cs="Arial"/>
              </w:rPr>
              <w:t xml:space="preserve"> ±1.41</w:t>
            </w:r>
          </w:p>
        </w:tc>
        <w:tc>
          <w:tcPr>
            <w:tcW w:w="1070" w:type="dxa"/>
          </w:tcPr>
          <w:p w14:paraId="371D0D1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0.808</w:t>
            </w:r>
          </w:p>
        </w:tc>
      </w:tr>
      <w:tr w:rsidR="002B0E12" w:rsidRPr="002B0E12" w14:paraId="67F966A2" w14:textId="77777777" w:rsidTr="0048694B">
        <w:trPr>
          <w:trHeight w:val="19"/>
        </w:trPr>
        <w:tc>
          <w:tcPr>
            <w:tcW w:w="1673" w:type="dxa"/>
          </w:tcPr>
          <w:p w14:paraId="2099D783"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Flaxseeds</w:t>
            </w:r>
          </w:p>
        </w:tc>
        <w:tc>
          <w:tcPr>
            <w:tcW w:w="1670" w:type="dxa"/>
          </w:tcPr>
          <w:p w14:paraId="48ED7E0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2.66</w:t>
            </w:r>
            <w:r w:rsidRPr="002B0E12">
              <w:rPr>
                <w:rFonts w:ascii="Arial" w:hAnsi="Arial" w:cs="Arial"/>
                <w:vertAlign w:val="superscript"/>
              </w:rPr>
              <w:t xml:space="preserve"> a</w:t>
            </w:r>
            <w:r w:rsidRPr="002B0E12">
              <w:rPr>
                <w:rFonts w:ascii="Arial" w:hAnsi="Arial" w:cs="Arial"/>
              </w:rPr>
              <w:t xml:space="preserve"> ±1.26</w:t>
            </w:r>
          </w:p>
        </w:tc>
        <w:tc>
          <w:tcPr>
            <w:tcW w:w="1649" w:type="dxa"/>
          </w:tcPr>
          <w:p w14:paraId="5A07B5C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2.87</w:t>
            </w:r>
            <w:r w:rsidRPr="002B0E12">
              <w:rPr>
                <w:rFonts w:ascii="Arial" w:hAnsi="Arial" w:cs="Arial"/>
                <w:vertAlign w:val="superscript"/>
              </w:rPr>
              <w:t xml:space="preserve"> a</w:t>
            </w:r>
            <w:r w:rsidRPr="002B0E12">
              <w:rPr>
                <w:rFonts w:ascii="Arial" w:hAnsi="Arial" w:cs="Arial"/>
              </w:rPr>
              <w:t xml:space="preserve"> ±1.20</w:t>
            </w:r>
          </w:p>
        </w:tc>
        <w:tc>
          <w:tcPr>
            <w:tcW w:w="922" w:type="dxa"/>
          </w:tcPr>
          <w:p w14:paraId="74D606E2"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0.906</w:t>
            </w:r>
          </w:p>
        </w:tc>
        <w:tc>
          <w:tcPr>
            <w:tcW w:w="1569" w:type="dxa"/>
          </w:tcPr>
          <w:p w14:paraId="51D2F9A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3.39</w:t>
            </w:r>
            <w:r w:rsidRPr="002B0E12">
              <w:rPr>
                <w:rFonts w:ascii="Arial" w:hAnsi="Arial" w:cs="Arial"/>
                <w:vertAlign w:val="superscript"/>
              </w:rPr>
              <w:t xml:space="preserve"> a</w:t>
            </w:r>
            <w:r w:rsidRPr="002B0E12">
              <w:rPr>
                <w:rFonts w:ascii="Arial" w:hAnsi="Arial" w:cs="Arial"/>
              </w:rPr>
              <w:t xml:space="preserve"> ±1.57</w:t>
            </w:r>
          </w:p>
        </w:tc>
        <w:tc>
          <w:tcPr>
            <w:tcW w:w="1480" w:type="dxa"/>
          </w:tcPr>
          <w:p w14:paraId="25C01E36"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4.47</w:t>
            </w:r>
            <w:r w:rsidRPr="002B0E12">
              <w:rPr>
                <w:rFonts w:ascii="Arial" w:hAnsi="Arial" w:cs="Arial"/>
                <w:vertAlign w:val="superscript"/>
              </w:rPr>
              <w:t xml:space="preserve"> a</w:t>
            </w:r>
            <w:r w:rsidRPr="002B0E12">
              <w:rPr>
                <w:rFonts w:ascii="Arial" w:hAnsi="Arial" w:cs="Arial"/>
              </w:rPr>
              <w:t xml:space="preserve"> ±1.64</w:t>
            </w:r>
          </w:p>
        </w:tc>
        <w:tc>
          <w:tcPr>
            <w:tcW w:w="1070" w:type="dxa"/>
          </w:tcPr>
          <w:p w14:paraId="5653CD57"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0.634</w:t>
            </w:r>
          </w:p>
        </w:tc>
      </w:tr>
      <w:tr w:rsidR="002B0E12" w:rsidRPr="002B0E12" w14:paraId="1E267CD4" w14:textId="77777777" w:rsidTr="0048694B">
        <w:trPr>
          <w:trHeight w:val="19"/>
        </w:trPr>
        <w:tc>
          <w:tcPr>
            <w:tcW w:w="1673" w:type="dxa"/>
          </w:tcPr>
          <w:p w14:paraId="65E3417F"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Peanuts</w:t>
            </w:r>
          </w:p>
        </w:tc>
        <w:tc>
          <w:tcPr>
            <w:tcW w:w="1670" w:type="dxa"/>
          </w:tcPr>
          <w:p w14:paraId="5A548D83"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4.69</w:t>
            </w:r>
            <w:r w:rsidRPr="002B0E12">
              <w:rPr>
                <w:rFonts w:ascii="Arial" w:hAnsi="Arial" w:cs="Arial"/>
                <w:vertAlign w:val="superscript"/>
              </w:rPr>
              <w:t xml:space="preserve"> a</w:t>
            </w:r>
            <w:r w:rsidRPr="002B0E12">
              <w:rPr>
                <w:rFonts w:ascii="Arial" w:hAnsi="Arial" w:cs="Arial"/>
              </w:rPr>
              <w:t xml:space="preserve"> ±0.88</w:t>
            </w:r>
          </w:p>
        </w:tc>
        <w:tc>
          <w:tcPr>
            <w:tcW w:w="1649" w:type="dxa"/>
          </w:tcPr>
          <w:p w14:paraId="78C5B566"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6.49</w:t>
            </w:r>
            <w:r w:rsidRPr="002B0E12">
              <w:rPr>
                <w:rFonts w:ascii="Arial" w:hAnsi="Arial" w:cs="Arial"/>
                <w:vertAlign w:val="superscript"/>
              </w:rPr>
              <w:t xml:space="preserve"> a</w:t>
            </w:r>
            <w:r w:rsidRPr="002B0E12">
              <w:rPr>
                <w:rFonts w:ascii="Arial" w:hAnsi="Arial" w:cs="Arial"/>
              </w:rPr>
              <w:t xml:space="preserve"> ±1.09</w:t>
            </w:r>
          </w:p>
        </w:tc>
        <w:tc>
          <w:tcPr>
            <w:tcW w:w="922" w:type="dxa"/>
          </w:tcPr>
          <w:p w14:paraId="53CD0FF3"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0.207</w:t>
            </w:r>
          </w:p>
        </w:tc>
        <w:tc>
          <w:tcPr>
            <w:tcW w:w="1569" w:type="dxa"/>
          </w:tcPr>
          <w:p w14:paraId="7CE9CDE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5.33</w:t>
            </w:r>
            <w:r w:rsidRPr="002B0E12">
              <w:rPr>
                <w:rFonts w:ascii="Arial" w:hAnsi="Arial" w:cs="Arial"/>
                <w:vertAlign w:val="superscript"/>
              </w:rPr>
              <w:t xml:space="preserve"> a</w:t>
            </w:r>
            <w:r w:rsidRPr="002B0E12">
              <w:rPr>
                <w:rFonts w:ascii="Arial" w:hAnsi="Arial" w:cs="Arial"/>
              </w:rPr>
              <w:t xml:space="preserve"> ±1.01</w:t>
            </w:r>
          </w:p>
        </w:tc>
        <w:tc>
          <w:tcPr>
            <w:tcW w:w="1480" w:type="dxa"/>
          </w:tcPr>
          <w:p w14:paraId="308CA442"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4.75</w:t>
            </w:r>
            <w:r w:rsidRPr="002B0E12">
              <w:rPr>
                <w:rFonts w:ascii="Arial" w:hAnsi="Arial" w:cs="Arial"/>
                <w:vertAlign w:val="superscript"/>
              </w:rPr>
              <w:t xml:space="preserve"> a</w:t>
            </w:r>
            <w:r w:rsidRPr="002B0E12">
              <w:rPr>
                <w:rFonts w:ascii="Arial" w:hAnsi="Arial" w:cs="Arial"/>
              </w:rPr>
              <w:t xml:space="preserve"> ±0.87</w:t>
            </w:r>
          </w:p>
        </w:tc>
        <w:tc>
          <w:tcPr>
            <w:tcW w:w="1070" w:type="dxa"/>
          </w:tcPr>
          <w:p w14:paraId="1E86383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0.666</w:t>
            </w:r>
          </w:p>
        </w:tc>
      </w:tr>
      <w:tr w:rsidR="002B0E12" w:rsidRPr="002B0E12" w14:paraId="3207F756" w14:textId="77777777" w:rsidTr="0048694B">
        <w:trPr>
          <w:trHeight w:val="19"/>
        </w:trPr>
        <w:tc>
          <w:tcPr>
            <w:tcW w:w="10036" w:type="dxa"/>
            <w:gridSpan w:val="7"/>
          </w:tcPr>
          <w:p w14:paraId="458FA05D"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b/>
              </w:rPr>
              <w:t>Green leafy vegetables</w:t>
            </w:r>
          </w:p>
        </w:tc>
      </w:tr>
      <w:tr w:rsidR="002B0E12" w:rsidRPr="002B0E12" w14:paraId="152BF70E" w14:textId="77777777" w:rsidTr="0048694B">
        <w:trPr>
          <w:trHeight w:val="19"/>
        </w:trPr>
        <w:tc>
          <w:tcPr>
            <w:tcW w:w="1673" w:type="dxa"/>
          </w:tcPr>
          <w:p w14:paraId="76A87921"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Mustard Leaves</w:t>
            </w:r>
          </w:p>
        </w:tc>
        <w:tc>
          <w:tcPr>
            <w:tcW w:w="1670" w:type="dxa"/>
          </w:tcPr>
          <w:p w14:paraId="383BCD7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4.58</w:t>
            </w:r>
            <w:r w:rsidRPr="002B0E12">
              <w:rPr>
                <w:rFonts w:ascii="Arial" w:hAnsi="Arial" w:cs="Arial"/>
                <w:vertAlign w:val="superscript"/>
              </w:rPr>
              <w:t xml:space="preserve"> a</w:t>
            </w:r>
            <w:r w:rsidRPr="002B0E12">
              <w:rPr>
                <w:rFonts w:ascii="Arial" w:hAnsi="Arial" w:cs="Arial"/>
              </w:rPr>
              <w:t xml:space="preserve"> ±0.66</w:t>
            </w:r>
          </w:p>
        </w:tc>
        <w:tc>
          <w:tcPr>
            <w:tcW w:w="1649" w:type="dxa"/>
          </w:tcPr>
          <w:p w14:paraId="694720D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7.27</w:t>
            </w:r>
            <w:r w:rsidRPr="002B0E12">
              <w:rPr>
                <w:rFonts w:ascii="Arial" w:hAnsi="Arial" w:cs="Arial"/>
                <w:vertAlign w:val="superscript"/>
              </w:rPr>
              <w:t xml:space="preserve"> b</w:t>
            </w:r>
            <w:r w:rsidRPr="002B0E12">
              <w:rPr>
                <w:rFonts w:ascii="Arial" w:hAnsi="Arial" w:cs="Arial"/>
              </w:rPr>
              <w:t xml:space="preserve"> ±0.81</w:t>
            </w:r>
          </w:p>
        </w:tc>
        <w:tc>
          <w:tcPr>
            <w:tcW w:w="922" w:type="dxa"/>
          </w:tcPr>
          <w:p w14:paraId="68C35ED9"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0.011</w:t>
            </w:r>
          </w:p>
        </w:tc>
        <w:tc>
          <w:tcPr>
            <w:tcW w:w="1569" w:type="dxa"/>
          </w:tcPr>
          <w:p w14:paraId="2A1A9203"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6.03</w:t>
            </w:r>
            <w:r w:rsidRPr="002B0E12">
              <w:rPr>
                <w:rFonts w:ascii="Arial" w:hAnsi="Arial" w:cs="Arial"/>
                <w:vertAlign w:val="superscript"/>
              </w:rPr>
              <w:t xml:space="preserve"> a</w:t>
            </w:r>
            <w:r w:rsidRPr="002B0E12">
              <w:rPr>
                <w:rFonts w:ascii="Arial" w:hAnsi="Arial" w:cs="Arial"/>
              </w:rPr>
              <w:t xml:space="preserve"> ±1.02</w:t>
            </w:r>
          </w:p>
        </w:tc>
        <w:tc>
          <w:tcPr>
            <w:tcW w:w="1480" w:type="dxa"/>
          </w:tcPr>
          <w:p w14:paraId="58603523"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6.39</w:t>
            </w:r>
            <w:r w:rsidRPr="002B0E12">
              <w:rPr>
                <w:rFonts w:ascii="Arial" w:hAnsi="Arial" w:cs="Arial"/>
                <w:vertAlign w:val="superscript"/>
              </w:rPr>
              <w:t xml:space="preserve"> a</w:t>
            </w:r>
            <w:r w:rsidRPr="002B0E12">
              <w:rPr>
                <w:rFonts w:ascii="Arial" w:hAnsi="Arial" w:cs="Arial"/>
              </w:rPr>
              <w:t xml:space="preserve"> ±0.78</w:t>
            </w:r>
          </w:p>
        </w:tc>
        <w:tc>
          <w:tcPr>
            <w:tcW w:w="1070" w:type="dxa"/>
          </w:tcPr>
          <w:p w14:paraId="7DE3547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0.782</w:t>
            </w:r>
          </w:p>
        </w:tc>
      </w:tr>
      <w:tr w:rsidR="002B0E12" w:rsidRPr="002B0E12" w14:paraId="3720FDB5" w14:textId="77777777" w:rsidTr="0048694B">
        <w:trPr>
          <w:trHeight w:val="19"/>
        </w:trPr>
        <w:tc>
          <w:tcPr>
            <w:tcW w:w="1673" w:type="dxa"/>
          </w:tcPr>
          <w:p w14:paraId="52B192CD"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Spinach</w:t>
            </w:r>
          </w:p>
        </w:tc>
        <w:tc>
          <w:tcPr>
            <w:tcW w:w="1670" w:type="dxa"/>
          </w:tcPr>
          <w:p w14:paraId="01599D97"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1.31</w:t>
            </w:r>
            <w:r w:rsidRPr="002B0E12">
              <w:rPr>
                <w:rFonts w:ascii="Arial" w:hAnsi="Arial" w:cs="Arial"/>
                <w:vertAlign w:val="superscript"/>
              </w:rPr>
              <w:t xml:space="preserve"> a</w:t>
            </w:r>
            <w:r w:rsidRPr="002B0E12">
              <w:rPr>
                <w:rFonts w:ascii="Arial" w:hAnsi="Arial" w:cs="Arial"/>
              </w:rPr>
              <w:t xml:space="preserve"> ±0.26</w:t>
            </w:r>
          </w:p>
        </w:tc>
        <w:tc>
          <w:tcPr>
            <w:tcW w:w="1649" w:type="dxa"/>
          </w:tcPr>
          <w:p w14:paraId="65FF5889"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5.24</w:t>
            </w:r>
            <w:r w:rsidRPr="002B0E12">
              <w:rPr>
                <w:rFonts w:ascii="Arial" w:hAnsi="Arial" w:cs="Arial"/>
                <w:vertAlign w:val="superscript"/>
              </w:rPr>
              <w:t xml:space="preserve"> b</w:t>
            </w:r>
            <w:r w:rsidRPr="002B0E12">
              <w:rPr>
                <w:rFonts w:ascii="Arial" w:hAnsi="Arial" w:cs="Arial"/>
              </w:rPr>
              <w:t xml:space="preserve"> ±0.76</w:t>
            </w:r>
          </w:p>
        </w:tc>
        <w:tc>
          <w:tcPr>
            <w:tcW w:w="922" w:type="dxa"/>
          </w:tcPr>
          <w:p w14:paraId="0FF45FD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≤0.001</w:t>
            </w:r>
          </w:p>
        </w:tc>
        <w:tc>
          <w:tcPr>
            <w:tcW w:w="1569" w:type="dxa"/>
          </w:tcPr>
          <w:p w14:paraId="2D0D2813"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1.76</w:t>
            </w:r>
            <w:r w:rsidRPr="002B0E12">
              <w:rPr>
                <w:rFonts w:ascii="Arial" w:hAnsi="Arial" w:cs="Arial"/>
                <w:vertAlign w:val="superscript"/>
              </w:rPr>
              <w:t xml:space="preserve"> a</w:t>
            </w:r>
            <w:r w:rsidRPr="002B0E12">
              <w:rPr>
                <w:rFonts w:ascii="Arial" w:hAnsi="Arial" w:cs="Arial"/>
              </w:rPr>
              <w:t xml:space="preserve"> ±0.36</w:t>
            </w:r>
          </w:p>
        </w:tc>
        <w:tc>
          <w:tcPr>
            <w:tcW w:w="1480" w:type="dxa"/>
          </w:tcPr>
          <w:p w14:paraId="6CC7357E"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4.65</w:t>
            </w:r>
            <w:r w:rsidRPr="002B0E12">
              <w:rPr>
                <w:rFonts w:ascii="Arial" w:hAnsi="Arial" w:cs="Arial"/>
                <w:vertAlign w:val="superscript"/>
              </w:rPr>
              <w:t xml:space="preserve"> b</w:t>
            </w:r>
            <w:r w:rsidRPr="002B0E12">
              <w:rPr>
                <w:rFonts w:ascii="Arial" w:hAnsi="Arial" w:cs="Arial"/>
              </w:rPr>
              <w:t xml:space="preserve"> ±0.61</w:t>
            </w:r>
          </w:p>
        </w:tc>
        <w:tc>
          <w:tcPr>
            <w:tcW w:w="1070" w:type="dxa"/>
          </w:tcPr>
          <w:p w14:paraId="315C25C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≤0.001</w:t>
            </w:r>
          </w:p>
        </w:tc>
      </w:tr>
      <w:tr w:rsidR="002B0E12" w:rsidRPr="002B0E12" w14:paraId="11E26657" w14:textId="77777777" w:rsidTr="0048694B">
        <w:trPr>
          <w:trHeight w:val="19"/>
        </w:trPr>
        <w:tc>
          <w:tcPr>
            <w:tcW w:w="1673" w:type="dxa"/>
          </w:tcPr>
          <w:p w14:paraId="07B1E31F"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Fenugreek leaves</w:t>
            </w:r>
          </w:p>
        </w:tc>
        <w:tc>
          <w:tcPr>
            <w:tcW w:w="1670" w:type="dxa"/>
          </w:tcPr>
          <w:p w14:paraId="4E62D1F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4.11</w:t>
            </w:r>
            <w:r w:rsidRPr="002B0E12">
              <w:rPr>
                <w:rFonts w:ascii="Arial" w:hAnsi="Arial" w:cs="Arial"/>
                <w:vertAlign w:val="superscript"/>
              </w:rPr>
              <w:t xml:space="preserve"> a</w:t>
            </w:r>
            <w:r w:rsidRPr="002B0E12">
              <w:rPr>
                <w:rFonts w:ascii="Arial" w:hAnsi="Arial" w:cs="Arial"/>
              </w:rPr>
              <w:t xml:space="preserve"> ±0.49</w:t>
            </w:r>
          </w:p>
        </w:tc>
        <w:tc>
          <w:tcPr>
            <w:tcW w:w="1649" w:type="dxa"/>
          </w:tcPr>
          <w:p w14:paraId="401E937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7.86</w:t>
            </w:r>
            <w:r w:rsidRPr="002B0E12">
              <w:rPr>
                <w:rFonts w:ascii="Arial" w:hAnsi="Arial" w:cs="Arial"/>
                <w:vertAlign w:val="superscript"/>
              </w:rPr>
              <w:t xml:space="preserve"> b</w:t>
            </w:r>
            <w:r w:rsidRPr="002B0E12">
              <w:rPr>
                <w:rFonts w:ascii="Arial" w:hAnsi="Arial" w:cs="Arial"/>
              </w:rPr>
              <w:t xml:space="preserve"> ±0.65</w:t>
            </w:r>
          </w:p>
        </w:tc>
        <w:tc>
          <w:tcPr>
            <w:tcW w:w="922" w:type="dxa"/>
          </w:tcPr>
          <w:p w14:paraId="700B99F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≤0.001</w:t>
            </w:r>
          </w:p>
        </w:tc>
        <w:tc>
          <w:tcPr>
            <w:tcW w:w="1569" w:type="dxa"/>
          </w:tcPr>
          <w:p w14:paraId="081F5861"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4.88</w:t>
            </w:r>
            <w:r w:rsidRPr="002B0E12">
              <w:rPr>
                <w:rFonts w:ascii="Arial" w:hAnsi="Arial" w:cs="Arial"/>
                <w:vertAlign w:val="superscript"/>
              </w:rPr>
              <w:t xml:space="preserve"> a</w:t>
            </w:r>
            <w:r w:rsidRPr="002B0E12">
              <w:rPr>
                <w:rFonts w:ascii="Arial" w:hAnsi="Arial" w:cs="Arial"/>
              </w:rPr>
              <w:t xml:space="preserve"> ±0.51</w:t>
            </w:r>
          </w:p>
        </w:tc>
        <w:tc>
          <w:tcPr>
            <w:tcW w:w="1480" w:type="dxa"/>
          </w:tcPr>
          <w:p w14:paraId="358E3012"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6.07</w:t>
            </w:r>
            <w:r w:rsidRPr="002B0E12">
              <w:rPr>
                <w:rFonts w:ascii="Arial" w:hAnsi="Arial" w:cs="Arial"/>
                <w:vertAlign w:val="superscript"/>
              </w:rPr>
              <w:t xml:space="preserve"> a</w:t>
            </w:r>
            <w:r w:rsidRPr="002B0E12">
              <w:rPr>
                <w:rFonts w:ascii="Arial" w:hAnsi="Arial" w:cs="Arial"/>
              </w:rPr>
              <w:t xml:space="preserve"> ±0.64</w:t>
            </w:r>
          </w:p>
        </w:tc>
        <w:tc>
          <w:tcPr>
            <w:tcW w:w="1070" w:type="dxa"/>
          </w:tcPr>
          <w:p w14:paraId="2AD6EA2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0.165</w:t>
            </w:r>
          </w:p>
        </w:tc>
      </w:tr>
      <w:tr w:rsidR="002B0E12" w:rsidRPr="002B0E12" w14:paraId="6F391083" w14:textId="77777777" w:rsidTr="0048694B">
        <w:trPr>
          <w:trHeight w:val="19"/>
        </w:trPr>
        <w:tc>
          <w:tcPr>
            <w:tcW w:w="1673" w:type="dxa"/>
          </w:tcPr>
          <w:p w14:paraId="357CCE9B"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 xml:space="preserve">Amaranth Leaves </w:t>
            </w:r>
          </w:p>
        </w:tc>
        <w:tc>
          <w:tcPr>
            <w:tcW w:w="1670" w:type="dxa"/>
          </w:tcPr>
          <w:p w14:paraId="100ED03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0.03</w:t>
            </w:r>
            <w:r w:rsidRPr="002B0E12">
              <w:rPr>
                <w:rFonts w:ascii="Arial" w:hAnsi="Arial" w:cs="Arial"/>
                <w:vertAlign w:val="superscript"/>
              </w:rPr>
              <w:t xml:space="preserve"> a</w:t>
            </w:r>
            <w:r w:rsidRPr="002B0E12">
              <w:rPr>
                <w:rFonts w:ascii="Arial" w:hAnsi="Arial" w:cs="Arial"/>
              </w:rPr>
              <w:t xml:space="preserve"> ±0.03</w:t>
            </w:r>
          </w:p>
        </w:tc>
        <w:tc>
          <w:tcPr>
            <w:tcW w:w="1649" w:type="dxa"/>
          </w:tcPr>
          <w:p w14:paraId="2356F23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0.19</w:t>
            </w:r>
            <w:r w:rsidRPr="002B0E12">
              <w:rPr>
                <w:rFonts w:ascii="Arial" w:hAnsi="Arial" w:cs="Arial"/>
                <w:vertAlign w:val="superscript"/>
              </w:rPr>
              <w:t xml:space="preserve"> b</w:t>
            </w:r>
            <w:r w:rsidRPr="002B0E12">
              <w:rPr>
                <w:rFonts w:ascii="Arial" w:hAnsi="Arial" w:cs="Arial"/>
              </w:rPr>
              <w:t xml:space="preserve"> ±0.08</w:t>
            </w:r>
          </w:p>
        </w:tc>
        <w:tc>
          <w:tcPr>
            <w:tcW w:w="922" w:type="dxa"/>
          </w:tcPr>
          <w:p w14:paraId="5997548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0.05</w:t>
            </w:r>
          </w:p>
        </w:tc>
        <w:tc>
          <w:tcPr>
            <w:tcW w:w="1569" w:type="dxa"/>
          </w:tcPr>
          <w:p w14:paraId="1D93183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0.13</w:t>
            </w:r>
            <w:r w:rsidRPr="002B0E12">
              <w:rPr>
                <w:rFonts w:ascii="Arial" w:hAnsi="Arial" w:cs="Arial"/>
                <w:vertAlign w:val="superscript"/>
              </w:rPr>
              <w:t xml:space="preserve"> a</w:t>
            </w:r>
            <w:r w:rsidRPr="002B0E12">
              <w:rPr>
                <w:rFonts w:ascii="Arial" w:hAnsi="Arial" w:cs="Arial"/>
              </w:rPr>
              <w:t xml:space="preserve"> ±0.06</w:t>
            </w:r>
          </w:p>
        </w:tc>
        <w:tc>
          <w:tcPr>
            <w:tcW w:w="1480" w:type="dxa"/>
          </w:tcPr>
          <w:p w14:paraId="2F13AC0D"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0.06</w:t>
            </w:r>
            <w:r w:rsidRPr="002B0E12">
              <w:rPr>
                <w:rFonts w:ascii="Arial" w:hAnsi="Arial" w:cs="Arial"/>
                <w:vertAlign w:val="superscript"/>
              </w:rPr>
              <w:t xml:space="preserve"> a</w:t>
            </w:r>
            <w:r w:rsidRPr="002B0E12">
              <w:rPr>
                <w:rFonts w:ascii="Arial" w:hAnsi="Arial" w:cs="Arial"/>
              </w:rPr>
              <w:t xml:space="preserve"> ±0.04</w:t>
            </w:r>
          </w:p>
        </w:tc>
        <w:tc>
          <w:tcPr>
            <w:tcW w:w="1070" w:type="dxa"/>
          </w:tcPr>
          <w:p w14:paraId="20BC348F"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0.331</w:t>
            </w:r>
          </w:p>
        </w:tc>
      </w:tr>
      <w:tr w:rsidR="002B0E12" w:rsidRPr="002B0E12" w14:paraId="30A38046" w14:textId="77777777" w:rsidTr="0048694B">
        <w:trPr>
          <w:trHeight w:val="19"/>
        </w:trPr>
        <w:tc>
          <w:tcPr>
            <w:tcW w:w="10036" w:type="dxa"/>
            <w:gridSpan w:val="7"/>
          </w:tcPr>
          <w:p w14:paraId="7B3B652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b/>
              </w:rPr>
              <w:t>Pickles</w:t>
            </w:r>
          </w:p>
        </w:tc>
      </w:tr>
      <w:tr w:rsidR="002B0E12" w:rsidRPr="002B0E12" w14:paraId="33A41D74" w14:textId="77777777" w:rsidTr="0048694B">
        <w:trPr>
          <w:trHeight w:val="19"/>
        </w:trPr>
        <w:tc>
          <w:tcPr>
            <w:tcW w:w="1673" w:type="dxa"/>
          </w:tcPr>
          <w:p w14:paraId="0B7CDCD1"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Mango Pickle</w:t>
            </w:r>
          </w:p>
        </w:tc>
        <w:tc>
          <w:tcPr>
            <w:tcW w:w="1670" w:type="dxa"/>
          </w:tcPr>
          <w:p w14:paraId="502FFA2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5.32</w:t>
            </w:r>
            <w:r w:rsidRPr="002B0E12">
              <w:rPr>
                <w:rFonts w:ascii="Arial" w:hAnsi="Arial" w:cs="Arial"/>
                <w:vertAlign w:val="superscript"/>
              </w:rPr>
              <w:t xml:space="preserve"> a</w:t>
            </w:r>
            <w:r w:rsidRPr="002B0E12">
              <w:rPr>
                <w:rFonts w:ascii="Arial" w:hAnsi="Arial" w:cs="Arial"/>
              </w:rPr>
              <w:t xml:space="preserve"> ±1.69</w:t>
            </w:r>
          </w:p>
        </w:tc>
        <w:tc>
          <w:tcPr>
            <w:tcW w:w="1649" w:type="dxa"/>
          </w:tcPr>
          <w:p w14:paraId="5B9D1EF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4.17</w:t>
            </w:r>
            <w:r w:rsidRPr="002B0E12">
              <w:rPr>
                <w:rFonts w:ascii="Arial" w:hAnsi="Arial" w:cs="Arial"/>
                <w:vertAlign w:val="superscript"/>
              </w:rPr>
              <w:t xml:space="preserve"> a</w:t>
            </w:r>
            <w:r w:rsidRPr="002B0E12">
              <w:rPr>
                <w:rFonts w:ascii="Arial" w:hAnsi="Arial" w:cs="Arial"/>
              </w:rPr>
              <w:t xml:space="preserve"> ±2.04</w:t>
            </w:r>
          </w:p>
        </w:tc>
        <w:tc>
          <w:tcPr>
            <w:tcW w:w="922" w:type="dxa"/>
          </w:tcPr>
          <w:p w14:paraId="35B986F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0.66</w:t>
            </w:r>
          </w:p>
        </w:tc>
        <w:tc>
          <w:tcPr>
            <w:tcW w:w="1569" w:type="dxa"/>
          </w:tcPr>
          <w:p w14:paraId="297B1256"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6.77</w:t>
            </w:r>
            <w:r w:rsidRPr="002B0E12">
              <w:rPr>
                <w:rFonts w:ascii="Arial" w:hAnsi="Arial" w:cs="Arial"/>
                <w:vertAlign w:val="superscript"/>
              </w:rPr>
              <w:t xml:space="preserve"> a</w:t>
            </w:r>
            <w:r w:rsidRPr="002B0E12">
              <w:rPr>
                <w:rFonts w:ascii="Arial" w:hAnsi="Arial" w:cs="Arial"/>
              </w:rPr>
              <w:t xml:space="preserve"> ±1.92</w:t>
            </w:r>
          </w:p>
        </w:tc>
        <w:tc>
          <w:tcPr>
            <w:tcW w:w="1480" w:type="dxa"/>
          </w:tcPr>
          <w:p w14:paraId="717B42F5"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1.87</w:t>
            </w:r>
            <w:r w:rsidRPr="002B0E12">
              <w:rPr>
                <w:rFonts w:ascii="Arial" w:hAnsi="Arial" w:cs="Arial"/>
                <w:vertAlign w:val="superscript"/>
              </w:rPr>
              <w:t xml:space="preserve"> b</w:t>
            </w:r>
            <w:r w:rsidRPr="002B0E12">
              <w:rPr>
                <w:rFonts w:ascii="Arial" w:hAnsi="Arial" w:cs="Arial"/>
              </w:rPr>
              <w:t xml:space="preserve"> ±1.27</w:t>
            </w:r>
          </w:p>
        </w:tc>
        <w:tc>
          <w:tcPr>
            <w:tcW w:w="1070" w:type="dxa"/>
          </w:tcPr>
          <w:p w14:paraId="20C4A96A"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0.042</w:t>
            </w:r>
          </w:p>
        </w:tc>
      </w:tr>
      <w:tr w:rsidR="002B0E12" w:rsidRPr="002B0E12" w14:paraId="507927E9" w14:textId="77777777" w:rsidTr="0048694B">
        <w:trPr>
          <w:trHeight w:val="19"/>
        </w:trPr>
        <w:tc>
          <w:tcPr>
            <w:tcW w:w="1673" w:type="dxa"/>
          </w:tcPr>
          <w:p w14:paraId="3A0AABBB" w14:textId="77777777" w:rsidR="00F414BD" w:rsidRPr="002B0E12" w:rsidRDefault="00F414BD" w:rsidP="0048694B">
            <w:pPr>
              <w:widowControl w:val="0"/>
              <w:spacing w:after="0"/>
              <w:ind w:left="-86" w:right="-72"/>
              <w:rPr>
                <w:rFonts w:ascii="Arial" w:hAnsi="Arial" w:cs="Arial"/>
                <w:bCs/>
              </w:rPr>
            </w:pPr>
            <w:r w:rsidRPr="002B0E12">
              <w:rPr>
                <w:rFonts w:ascii="Arial" w:hAnsi="Arial" w:cs="Arial"/>
                <w:bCs/>
              </w:rPr>
              <w:t>Mixed Vegetable Pickle</w:t>
            </w:r>
          </w:p>
        </w:tc>
        <w:tc>
          <w:tcPr>
            <w:tcW w:w="1670" w:type="dxa"/>
          </w:tcPr>
          <w:p w14:paraId="466AEE70"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3.36</w:t>
            </w:r>
            <w:r w:rsidRPr="002B0E12">
              <w:rPr>
                <w:rFonts w:ascii="Arial" w:hAnsi="Arial" w:cs="Arial"/>
                <w:vertAlign w:val="superscript"/>
              </w:rPr>
              <w:t xml:space="preserve"> a</w:t>
            </w:r>
            <w:r w:rsidRPr="002B0E12">
              <w:rPr>
                <w:rFonts w:ascii="Arial" w:hAnsi="Arial" w:cs="Arial"/>
              </w:rPr>
              <w:t xml:space="preserve"> ±1.04</w:t>
            </w:r>
          </w:p>
        </w:tc>
        <w:tc>
          <w:tcPr>
            <w:tcW w:w="1649" w:type="dxa"/>
          </w:tcPr>
          <w:p w14:paraId="0F4A1FC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0.38</w:t>
            </w:r>
            <w:r w:rsidRPr="002B0E12">
              <w:rPr>
                <w:rFonts w:ascii="Arial" w:hAnsi="Arial" w:cs="Arial"/>
                <w:vertAlign w:val="superscript"/>
              </w:rPr>
              <w:t xml:space="preserve"> b</w:t>
            </w:r>
            <w:r w:rsidRPr="002B0E12">
              <w:rPr>
                <w:rFonts w:ascii="Arial" w:hAnsi="Arial" w:cs="Arial"/>
              </w:rPr>
              <w:t xml:space="preserve"> ±0.22</w:t>
            </w:r>
          </w:p>
        </w:tc>
        <w:tc>
          <w:tcPr>
            <w:tcW w:w="922" w:type="dxa"/>
          </w:tcPr>
          <w:p w14:paraId="29B2982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0.009</w:t>
            </w:r>
          </w:p>
        </w:tc>
        <w:tc>
          <w:tcPr>
            <w:tcW w:w="1569" w:type="dxa"/>
          </w:tcPr>
          <w:p w14:paraId="4384994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4.88</w:t>
            </w:r>
            <w:r w:rsidRPr="002B0E12">
              <w:rPr>
                <w:rFonts w:ascii="Arial" w:hAnsi="Arial" w:cs="Arial"/>
                <w:vertAlign w:val="superscript"/>
              </w:rPr>
              <w:t xml:space="preserve"> a</w:t>
            </w:r>
            <w:r w:rsidRPr="002B0E12">
              <w:rPr>
                <w:rFonts w:ascii="Arial" w:hAnsi="Arial" w:cs="Arial"/>
              </w:rPr>
              <w:t xml:space="preserve"> ±1.25</w:t>
            </w:r>
          </w:p>
        </w:tc>
        <w:tc>
          <w:tcPr>
            <w:tcW w:w="1480" w:type="dxa"/>
          </w:tcPr>
          <w:p w14:paraId="50F891E8"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0.14</w:t>
            </w:r>
            <w:r w:rsidRPr="002B0E12">
              <w:rPr>
                <w:rFonts w:ascii="Arial" w:hAnsi="Arial" w:cs="Arial"/>
                <w:vertAlign w:val="superscript"/>
              </w:rPr>
              <w:t xml:space="preserve"> b</w:t>
            </w:r>
            <w:r w:rsidRPr="002B0E12">
              <w:rPr>
                <w:rFonts w:ascii="Arial" w:hAnsi="Arial" w:cs="Arial"/>
              </w:rPr>
              <w:t xml:space="preserve"> ±0.13</w:t>
            </w:r>
          </w:p>
        </w:tc>
        <w:tc>
          <w:tcPr>
            <w:tcW w:w="1070" w:type="dxa"/>
          </w:tcPr>
          <w:p w14:paraId="6B0240B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0.002</w:t>
            </w:r>
          </w:p>
        </w:tc>
      </w:tr>
      <w:tr w:rsidR="002B0E12" w:rsidRPr="002B0E12" w14:paraId="162411A8" w14:textId="77777777" w:rsidTr="0048694B">
        <w:trPr>
          <w:trHeight w:val="19"/>
        </w:trPr>
        <w:tc>
          <w:tcPr>
            <w:tcW w:w="1673" w:type="dxa"/>
          </w:tcPr>
          <w:p w14:paraId="52FCEC7C" w14:textId="77777777" w:rsidR="00F414BD" w:rsidRPr="002B0E12" w:rsidRDefault="00F414BD" w:rsidP="0048694B">
            <w:pPr>
              <w:widowControl w:val="0"/>
              <w:spacing w:after="0"/>
              <w:ind w:left="-86" w:right="-72"/>
              <w:rPr>
                <w:rFonts w:ascii="Arial" w:hAnsi="Arial" w:cs="Arial"/>
                <w:bCs/>
              </w:rPr>
            </w:pPr>
            <w:proofErr w:type="spellStart"/>
            <w:r w:rsidRPr="002B0E12">
              <w:rPr>
                <w:rFonts w:ascii="Arial" w:hAnsi="Arial" w:cs="Arial"/>
                <w:bCs/>
              </w:rPr>
              <w:t>Amla</w:t>
            </w:r>
            <w:proofErr w:type="spellEnd"/>
            <w:r w:rsidRPr="002B0E12">
              <w:rPr>
                <w:rFonts w:ascii="Arial" w:hAnsi="Arial" w:cs="Arial"/>
                <w:bCs/>
              </w:rPr>
              <w:t xml:space="preserve"> Pickle</w:t>
            </w:r>
          </w:p>
        </w:tc>
        <w:tc>
          <w:tcPr>
            <w:tcW w:w="1670" w:type="dxa"/>
          </w:tcPr>
          <w:p w14:paraId="4C093EE4"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2.04</w:t>
            </w:r>
            <w:r w:rsidRPr="002B0E12">
              <w:rPr>
                <w:rFonts w:ascii="Arial" w:hAnsi="Arial" w:cs="Arial"/>
                <w:vertAlign w:val="superscript"/>
              </w:rPr>
              <w:t xml:space="preserve"> a</w:t>
            </w:r>
            <w:r w:rsidRPr="002B0E12">
              <w:rPr>
                <w:rFonts w:ascii="Arial" w:hAnsi="Arial" w:cs="Arial"/>
              </w:rPr>
              <w:t xml:space="preserve"> ±0.88</w:t>
            </w:r>
          </w:p>
        </w:tc>
        <w:tc>
          <w:tcPr>
            <w:tcW w:w="1649" w:type="dxa"/>
          </w:tcPr>
          <w:p w14:paraId="19BE959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0.59</w:t>
            </w:r>
            <w:r w:rsidRPr="002B0E12">
              <w:rPr>
                <w:rFonts w:ascii="Arial" w:hAnsi="Arial" w:cs="Arial"/>
                <w:vertAlign w:val="superscript"/>
              </w:rPr>
              <w:t xml:space="preserve"> a</w:t>
            </w:r>
            <w:r w:rsidRPr="002B0E12">
              <w:rPr>
                <w:rFonts w:ascii="Arial" w:hAnsi="Arial" w:cs="Arial"/>
              </w:rPr>
              <w:t xml:space="preserve"> ±0.29</w:t>
            </w:r>
          </w:p>
        </w:tc>
        <w:tc>
          <w:tcPr>
            <w:tcW w:w="922" w:type="dxa"/>
          </w:tcPr>
          <w:p w14:paraId="3F7E40E9"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0.126</w:t>
            </w:r>
          </w:p>
        </w:tc>
        <w:tc>
          <w:tcPr>
            <w:tcW w:w="1569" w:type="dxa"/>
          </w:tcPr>
          <w:p w14:paraId="698D102C"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3.24</w:t>
            </w:r>
            <w:r w:rsidRPr="002B0E12">
              <w:rPr>
                <w:rFonts w:ascii="Arial" w:hAnsi="Arial" w:cs="Arial"/>
                <w:vertAlign w:val="superscript"/>
              </w:rPr>
              <w:t xml:space="preserve"> a</w:t>
            </w:r>
            <w:r w:rsidRPr="002B0E12">
              <w:rPr>
                <w:rFonts w:ascii="Arial" w:hAnsi="Arial" w:cs="Arial"/>
              </w:rPr>
              <w:t xml:space="preserve"> ±1.15</w:t>
            </w:r>
          </w:p>
        </w:tc>
        <w:tc>
          <w:tcPr>
            <w:tcW w:w="1480" w:type="dxa"/>
          </w:tcPr>
          <w:p w14:paraId="63B2468B"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0.27</w:t>
            </w:r>
            <w:r w:rsidRPr="002B0E12">
              <w:rPr>
                <w:rFonts w:ascii="Arial" w:hAnsi="Arial" w:cs="Arial"/>
                <w:vertAlign w:val="superscript"/>
              </w:rPr>
              <w:t xml:space="preserve"> b</w:t>
            </w:r>
            <w:r w:rsidRPr="002B0E12">
              <w:rPr>
                <w:rFonts w:ascii="Arial" w:hAnsi="Arial" w:cs="Arial"/>
              </w:rPr>
              <w:t xml:space="preserve"> ±0.18</w:t>
            </w:r>
          </w:p>
        </w:tc>
        <w:tc>
          <w:tcPr>
            <w:tcW w:w="1070" w:type="dxa"/>
          </w:tcPr>
          <w:p w14:paraId="4949252D" w14:textId="77777777" w:rsidR="00F414BD" w:rsidRPr="002B0E12" w:rsidRDefault="00F414BD" w:rsidP="0048694B">
            <w:pPr>
              <w:widowControl w:val="0"/>
              <w:spacing w:after="0"/>
              <w:ind w:left="-86" w:right="-72"/>
              <w:jc w:val="center"/>
              <w:rPr>
                <w:rFonts w:ascii="Arial" w:hAnsi="Arial" w:cs="Arial"/>
              </w:rPr>
            </w:pPr>
            <w:r w:rsidRPr="002B0E12">
              <w:rPr>
                <w:rFonts w:ascii="Arial" w:hAnsi="Arial" w:cs="Arial"/>
              </w:rPr>
              <w:t>0.019</w:t>
            </w:r>
          </w:p>
        </w:tc>
      </w:tr>
    </w:tbl>
    <w:p w14:paraId="00C61980" w14:textId="77777777" w:rsidR="00F414BD" w:rsidRPr="002B0E12" w:rsidRDefault="00F414BD" w:rsidP="00F414BD">
      <w:pPr>
        <w:widowControl w:val="0"/>
        <w:spacing w:after="0"/>
        <w:ind w:left="540" w:hanging="398"/>
        <w:rPr>
          <w:rFonts w:ascii="Arial" w:hAnsi="Arial" w:cs="Arial"/>
        </w:rPr>
      </w:pPr>
      <w:r w:rsidRPr="002B0E12">
        <w:rPr>
          <w:rFonts w:ascii="Arial" w:hAnsi="Arial" w:cs="Arial"/>
          <w:b/>
        </w:rPr>
        <w:t>*</w:t>
      </w:r>
      <w:r w:rsidRPr="002B0E12">
        <w:rPr>
          <w:rFonts w:ascii="Arial" w:hAnsi="Arial" w:cs="Arial"/>
        </w:rPr>
        <w:t>Consumption frequency scores: consumption days per week x consumption weeks / 365 x 100. Pickles were considered due to the type of oil used for pickling.</w:t>
      </w:r>
    </w:p>
    <w:p w14:paraId="4ACCF135" w14:textId="77777777" w:rsidR="00F414BD" w:rsidRPr="002B0E12" w:rsidRDefault="00F414BD" w:rsidP="00F414BD">
      <w:pPr>
        <w:widowControl w:val="0"/>
        <w:spacing w:after="0"/>
        <w:ind w:left="540" w:hanging="540"/>
        <w:jc w:val="both"/>
        <w:rPr>
          <w:rFonts w:ascii="Arial" w:hAnsi="Arial" w:cs="Arial"/>
          <w:b/>
        </w:rPr>
      </w:pPr>
      <w:r w:rsidRPr="002B0E12">
        <w:rPr>
          <w:rFonts w:ascii="Arial" w:hAnsi="Arial" w:cs="Arial"/>
        </w:rPr>
        <w:t>Values are Mean ± SE; values with different alphabets in superscripts differ significantly at p&lt;0.05</w:t>
      </w:r>
    </w:p>
    <w:p w14:paraId="6248BC2B" w14:textId="77777777" w:rsidR="00F414BD" w:rsidRPr="002B0E12" w:rsidRDefault="00F414BD" w:rsidP="004112D6">
      <w:pPr>
        <w:widowControl w:val="0"/>
        <w:spacing w:after="0" w:line="360" w:lineRule="auto"/>
        <w:ind w:firstLine="720"/>
        <w:jc w:val="both"/>
        <w:rPr>
          <w:rFonts w:ascii="Arial" w:hAnsi="Arial" w:cs="Arial"/>
        </w:rPr>
      </w:pPr>
    </w:p>
    <w:p w14:paraId="31B03336" w14:textId="36BBD7D6" w:rsidR="00AE675B" w:rsidRPr="002B0E12" w:rsidRDefault="00D461F2" w:rsidP="004112D6">
      <w:pPr>
        <w:pStyle w:val="ListParagraph"/>
        <w:widowControl w:val="0"/>
        <w:spacing w:after="0" w:line="360" w:lineRule="auto"/>
        <w:ind w:left="0"/>
        <w:jc w:val="both"/>
        <w:rPr>
          <w:rFonts w:ascii="Arial" w:hAnsi="Arial" w:cs="Arial"/>
        </w:rPr>
      </w:pPr>
      <w:r w:rsidRPr="002B0E12">
        <w:rPr>
          <w:rFonts w:ascii="Arial" w:hAnsi="Arial" w:cs="Arial"/>
          <w:b/>
        </w:rPr>
        <w:t xml:space="preserve">3.6 </w:t>
      </w:r>
      <w:r w:rsidR="00894EC5" w:rsidRPr="002B0E12">
        <w:rPr>
          <w:rFonts w:ascii="Arial" w:hAnsi="Arial" w:cs="Arial"/>
          <w:b/>
        </w:rPr>
        <w:t xml:space="preserve">Fatty acid intake of selected Metabolic syndrome </w:t>
      </w:r>
      <w:r w:rsidR="008D4758" w:rsidRPr="002B0E12">
        <w:rPr>
          <w:rFonts w:ascii="Arial" w:hAnsi="Arial" w:cs="Arial"/>
          <w:b/>
        </w:rPr>
        <w:t>participants</w:t>
      </w:r>
      <w:r w:rsidR="00894EC5" w:rsidRPr="002B0E12">
        <w:rPr>
          <w:rFonts w:ascii="Arial" w:hAnsi="Arial" w:cs="Arial"/>
          <w:b/>
        </w:rPr>
        <w:t xml:space="preserve"> based on dietary intake</w:t>
      </w:r>
    </w:p>
    <w:p w14:paraId="148D155E" w14:textId="3C1C2EFD" w:rsidR="00EB4EFF" w:rsidRPr="002B0E12" w:rsidRDefault="00894EC5" w:rsidP="004112D6">
      <w:pPr>
        <w:widowControl w:val="0"/>
        <w:spacing w:after="0" w:line="360" w:lineRule="auto"/>
        <w:ind w:firstLine="720"/>
        <w:jc w:val="both"/>
        <w:rPr>
          <w:rFonts w:ascii="Arial" w:hAnsi="Arial" w:cs="Arial"/>
        </w:rPr>
      </w:pPr>
      <w:r w:rsidRPr="002B0E12">
        <w:rPr>
          <w:rFonts w:ascii="Arial" w:hAnsi="Arial" w:cs="Arial"/>
        </w:rPr>
        <w:t>The fatty acid intake based</w:t>
      </w:r>
      <w:r w:rsidR="00667866" w:rsidRPr="002B0E12">
        <w:rPr>
          <w:rFonts w:ascii="Arial" w:hAnsi="Arial" w:cs="Arial"/>
        </w:rPr>
        <w:t xml:space="preserve"> on dietary intake is given in T</w:t>
      </w:r>
      <w:r w:rsidRPr="002B0E12">
        <w:rPr>
          <w:rFonts w:ascii="Arial" w:hAnsi="Arial" w:cs="Arial"/>
        </w:rPr>
        <w:t xml:space="preserve">able 4. </w:t>
      </w:r>
      <w:r w:rsidR="00AE675B" w:rsidRPr="002B0E12">
        <w:rPr>
          <w:rFonts w:ascii="Arial" w:hAnsi="Arial" w:cs="Arial"/>
          <w:i/>
        </w:rPr>
        <w:t>Desi ghee</w:t>
      </w:r>
      <w:r w:rsidR="00AE675B" w:rsidRPr="002B0E12">
        <w:rPr>
          <w:rFonts w:ascii="Arial" w:hAnsi="Arial" w:cs="Arial"/>
        </w:rPr>
        <w:t xml:space="preserve"> served as a source of saturated fatty acids, while mustard oil contributed both </w:t>
      </w:r>
      <w:r w:rsidR="006B4AE9" w:rsidRPr="002B0E12">
        <w:rPr>
          <w:rFonts w:ascii="Arial" w:hAnsi="Arial" w:cs="Arial"/>
        </w:rPr>
        <w:t>n</w:t>
      </w:r>
      <w:r w:rsidR="00AE675B" w:rsidRPr="002B0E12">
        <w:rPr>
          <w:rFonts w:ascii="Arial" w:hAnsi="Arial" w:cs="Arial"/>
        </w:rPr>
        <w:t xml:space="preserve">-6 and </w:t>
      </w:r>
      <w:r w:rsidR="006B4AE9" w:rsidRPr="002B0E12">
        <w:rPr>
          <w:rFonts w:ascii="Arial" w:hAnsi="Arial" w:cs="Arial"/>
        </w:rPr>
        <w:t>n</w:t>
      </w:r>
      <w:r w:rsidR="00AE675B" w:rsidRPr="002B0E12">
        <w:rPr>
          <w:rFonts w:ascii="Arial" w:hAnsi="Arial" w:cs="Arial"/>
        </w:rPr>
        <w:t>-3 PUFA.</w:t>
      </w:r>
      <w:r w:rsidR="006B4AE9" w:rsidRPr="002B0E12">
        <w:rPr>
          <w:rFonts w:ascii="Arial" w:hAnsi="Arial" w:cs="Arial"/>
        </w:rPr>
        <w:t xml:space="preserve"> </w:t>
      </w:r>
      <w:r w:rsidR="009E0843" w:rsidRPr="002B0E12">
        <w:rPr>
          <w:rFonts w:ascii="Arial" w:hAnsi="Arial" w:cs="Arial"/>
        </w:rPr>
        <w:lastRenderedPageBreak/>
        <w:t>Interestingly, t</w:t>
      </w:r>
      <w:r w:rsidR="00E87519" w:rsidRPr="002B0E12">
        <w:rPr>
          <w:rFonts w:ascii="Arial" w:hAnsi="Arial" w:cs="Arial"/>
        </w:rPr>
        <w:t xml:space="preserve">he ratio of </w:t>
      </w:r>
      <w:r w:rsidR="009E0843" w:rsidRPr="002B0E12">
        <w:rPr>
          <w:rFonts w:ascii="Arial" w:hAnsi="Arial" w:cs="Arial"/>
        </w:rPr>
        <w:t>saturated (</w:t>
      </w:r>
      <w:r w:rsidR="00E87519" w:rsidRPr="002B0E12">
        <w:rPr>
          <w:rFonts w:ascii="Arial" w:hAnsi="Arial" w:cs="Arial"/>
        </w:rPr>
        <w:t>SFA</w:t>
      </w:r>
      <w:r w:rsidR="009E0843" w:rsidRPr="002B0E12">
        <w:rPr>
          <w:rFonts w:ascii="Arial" w:hAnsi="Arial" w:cs="Arial"/>
        </w:rPr>
        <w:t>)</w:t>
      </w:r>
      <w:r w:rsidR="00E87519" w:rsidRPr="002B0E12">
        <w:rPr>
          <w:rFonts w:ascii="Arial" w:hAnsi="Arial" w:cs="Arial"/>
        </w:rPr>
        <w:t xml:space="preserve">: </w:t>
      </w:r>
      <w:r w:rsidR="009E0843" w:rsidRPr="002B0E12">
        <w:rPr>
          <w:rFonts w:ascii="Arial" w:hAnsi="Arial" w:cs="Arial"/>
        </w:rPr>
        <w:t>monounsaturated (</w:t>
      </w:r>
      <w:r w:rsidR="00E87519" w:rsidRPr="002B0E12">
        <w:rPr>
          <w:rFonts w:ascii="Arial" w:hAnsi="Arial" w:cs="Arial"/>
        </w:rPr>
        <w:t>MUFA</w:t>
      </w:r>
      <w:r w:rsidR="009E0843" w:rsidRPr="002B0E12">
        <w:rPr>
          <w:rFonts w:ascii="Arial" w:hAnsi="Arial" w:cs="Arial"/>
        </w:rPr>
        <w:t>)</w:t>
      </w:r>
      <w:r w:rsidR="00E87519" w:rsidRPr="002B0E12">
        <w:rPr>
          <w:rFonts w:ascii="Arial" w:hAnsi="Arial" w:cs="Arial"/>
        </w:rPr>
        <w:t xml:space="preserve">: PUFA for all the </w:t>
      </w:r>
      <w:r w:rsidR="008D4758" w:rsidRPr="002B0E12">
        <w:rPr>
          <w:rFonts w:ascii="Arial" w:hAnsi="Arial" w:cs="Arial"/>
        </w:rPr>
        <w:t>participants</w:t>
      </w:r>
      <w:r w:rsidR="00E87519" w:rsidRPr="002B0E12">
        <w:rPr>
          <w:rFonts w:ascii="Arial" w:hAnsi="Arial" w:cs="Arial"/>
        </w:rPr>
        <w:t xml:space="preserve"> was very high against the ideal ratio of 1:1:1 (Hayes 2002). The ratio of SFA:</w:t>
      </w:r>
      <w:r w:rsidR="009E0843" w:rsidRPr="002B0E12">
        <w:rPr>
          <w:rFonts w:ascii="Arial" w:hAnsi="Arial" w:cs="Arial"/>
        </w:rPr>
        <w:t xml:space="preserve"> </w:t>
      </w:r>
      <w:r w:rsidR="00E87519" w:rsidRPr="002B0E12">
        <w:rPr>
          <w:rFonts w:ascii="Arial" w:hAnsi="Arial" w:cs="Arial"/>
        </w:rPr>
        <w:t>MUFA:</w:t>
      </w:r>
      <w:r w:rsidR="009E0843" w:rsidRPr="002B0E12">
        <w:rPr>
          <w:rFonts w:ascii="Arial" w:hAnsi="Arial" w:cs="Arial"/>
        </w:rPr>
        <w:t xml:space="preserve"> </w:t>
      </w:r>
      <w:r w:rsidR="00E87519" w:rsidRPr="002B0E12">
        <w:rPr>
          <w:rFonts w:ascii="Arial" w:hAnsi="Arial" w:cs="Arial"/>
        </w:rPr>
        <w:t>PUFA for urban men was 3.01:1.64:1 against the values of 2.64:1.55:1 for rural men</w:t>
      </w:r>
      <w:r w:rsidR="009E0843" w:rsidRPr="002B0E12">
        <w:rPr>
          <w:rFonts w:ascii="Arial" w:hAnsi="Arial" w:cs="Arial"/>
        </w:rPr>
        <w:t>,</w:t>
      </w:r>
      <w:r w:rsidR="00CB7129" w:rsidRPr="002B0E12">
        <w:rPr>
          <w:rFonts w:ascii="Arial" w:hAnsi="Arial" w:cs="Arial"/>
        </w:rPr>
        <w:t xml:space="preserve"> with a </w:t>
      </w:r>
      <w:r w:rsidR="00E87519" w:rsidRPr="002B0E12">
        <w:rPr>
          <w:rFonts w:ascii="Arial" w:hAnsi="Arial" w:cs="Arial"/>
        </w:rPr>
        <w:t xml:space="preserve">corresponding ratio </w:t>
      </w:r>
      <w:r w:rsidR="00CB7129" w:rsidRPr="002B0E12">
        <w:rPr>
          <w:rFonts w:ascii="Arial" w:hAnsi="Arial" w:cs="Arial"/>
        </w:rPr>
        <w:t>o</w:t>
      </w:r>
      <w:r w:rsidR="00E87519" w:rsidRPr="002B0E12">
        <w:rPr>
          <w:rFonts w:ascii="Arial" w:hAnsi="Arial" w:cs="Arial"/>
        </w:rPr>
        <w:t>f</w:t>
      </w:r>
      <w:r w:rsidR="00CB7129" w:rsidRPr="002B0E12">
        <w:rPr>
          <w:rFonts w:ascii="Arial" w:hAnsi="Arial" w:cs="Arial"/>
        </w:rPr>
        <w:t xml:space="preserve"> </w:t>
      </w:r>
      <w:r w:rsidR="00E87519" w:rsidRPr="002B0E12">
        <w:rPr>
          <w:rFonts w:ascii="Arial" w:hAnsi="Arial" w:cs="Arial"/>
        </w:rPr>
        <w:t xml:space="preserve">3.08:1.82:1 and 2.79:1.61:1 </w:t>
      </w:r>
      <w:r w:rsidR="00CB7129" w:rsidRPr="002B0E12">
        <w:rPr>
          <w:rFonts w:ascii="Arial" w:hAnsi="Arial" w:cs="Arial"/>
        </w:rPr>
        <w:t xml:space="preserve">among urban and </w:t>
      </w:r>
      <w:r w:rsidR="00E87519" w:rsidRPr="002B0E12">
        <w:rPr>
          <w:rFonts w:ascii="Arial" w:hAnsi="Arial" w:cs="Arial"/>
        </w:rPr>
        <w:t>rural women.</w:t>
      </w:r>
      <w:r w:rsidR="009E0843" w:rsidRPr="002B0E12">
        <w:rPr>
          <w:rFonts w:ascii="Arial" w:hAnsi="Arial" w:cs="Arial"/>
        </w:rPr>
        <w:t xml:space="preserve"> </w:t>
      </w:r>
    </w:p>
    <w:p w14:paraId="2B71428E" w14:textId="4FE72740" w:rsidR="00E87519" w:rsidRPr="002B0E12" w:rsidRDefault="00E87519" w:rsidP="004112D6">
      <w:pPr>
        <w:widowControl w:val="0"/>
        <w:spacing w:after="0" w:line="360" w:lineRule="auto"/>
        <w:ind w:firstLine="720"/>
        <w:jc w:val="both"/>
        <w:rPr>
          <w:rFonts w:ascii="Arial" w:hAnsi="Arial" w:cs="Arial"/>
        </w:rPr>
      </w:pPr>
      <w:r w:rsidRPr="002B0E12">
        <w:rPr>
          <w:rFonts w:ascii="Arial" w:hAnsi="Arial" w:cs="Arial"/>
        </w:rPr>
        <w:t xml:space="preserve">The </w:t>
      </w:r>
      <w:r w:rsidR="00052106" w:rsidRPr="002B0E12">
        <w:rPr>
          <w:rFonts w:ascii="Arial" w:hAnsi="Arial" w:cs="Arial"/>
        </w:rPr>
        <w:t>f</w:t>
      </w:r>
      <w:r w:rsidR="0083448D" w:rsidRPr="002B0E12">
        <w:rPr>
          <w:rFonts w:ascii="Arial" w:hAnsi="Arial" w:cs="Arial"/>
        </w:rPr>
        <w:t xml:space="preserve">atty acid intake </w:t>
      </w:r>
      <w:r w:rsidRPr="002B0E12">
        <w:rPr>
          <w:rFonts w:ascii="Arial" w:hAnsi="Arial" w:cs="Arial"/>
        </w:rPr>
        <w:t>results revealed that intake of SFA and MUFA was significantly higher among urban men and women as compared to rural men and women</w:t>
      </w:r>
      <w:r w:rsidR="0083448D" w:rsidRPr="002B0E12">
        <w:rPr>
          <w:rFonts w:ascii="Arial" w:hAnsi="Arial" w:cs="Arial"/>
        </w:rPr>
        <w:t xml:space="preserve"> (Table 4)</w:t>
      </w:r>
      <w:r w:rsidRPr="002B0E12">
        <w:rPr>
          <w:rFonts w:ascii="Arial" w:hAnsi="Arial" w:cs="Arial"/>
        </w:rPr>
        <w:t>. The values for SFA were 23.2</w:t>
      </w:r>
      <w:r w:rsidR="00A66B6A" w:rsidRPr="002B0E12">
        <w:rPr>
          <w:rFonts w:ascii="Arial" w:hAnsi="Arial" w:cs="Arial"/>
        </w:rPr>
        <w:t>±1.29</w:t>
      </w:r>
      <w:r w:rsidRPr="002B0E12">
        <w:rPr>
          <w:rFonts w:ascii="Arial" w:hAnsi="Arial" w:cs="Arial"/>
        </w:rPr>
        <w:t xml:space="preserve"> </w:t>
      </w:r>
      <w:r w:rsidRPr="002B0E12">
        <w:rPr>
          <w:rFonts w:ascii="Arial" w:hAnsi="Arial" w:cs="Arial"/>
          <w:i/>
        </w:rPr>
        <w:t>vs</w:t>
      </w:r>
      <w:r w:rsidRPr="002B0E12">
        <w:rPr>
          <w:rFonts w:ascii="Arial" w:hAnsi="Arial" w:cs="Arial"/>
        </w:rPr>
        <w:t xml:space="preserve"> 18.2</w:t>
      </w:r>
      <w:r w:rsidR="00A66B6A" w:rsidRPr="002B0E12">
        <w:rPr>
          <w:rFonts w:ascii="Arial" w:hAnsi="Arial" w:cs="Arial"/>
        </w:rPr>
        <w:t>±1.03</w:t>
      </w:r>
      <w:r w:rsidRPr="002B0E12">
        <w:rPr>
          <w:rFonts w:ascii="Arial" w:hAnsi="Arial" w:cs="Arial"/>
          <w:i/>
        </w:rPr>
        <w:t xml:space="preserve"> </w:t>
      </w:r>
      <w:r w:rsidR="00A66B6A" w:rsidRPr="002B0E12">
        <w:rPr>
          <w:rFonts w:ascii="Arial" w:hAnsi="Arial" w:cs="Arial"/>
        </w:rPr>
        <w:t xml:space="preserve">g </w:t>
      </w:r>
      <w:r w:rsidRPr="002B0E12">
        <w:rPr>
          <w:rFonts w:ascii="Arial" w:hAnsi="Arial" w:cs="Arial"/>
        </w:rPr>
        <w:t>(p=0.004) for urban and rural men</w:t>
      </w:r>
      <w:r w:rsidR="009E0843" w:rsidRPr="002B0E12">
        <w:rPr>
          <w:rFonts w:ascii="Arial" w:hAnsi="Arial" w:cs="Arial"/>
        </w:rPr>
        <w:t>,</w:t>
      </w:r>
      <w:r w:rsidRPr="002B0E12">
        <w:rPr>
          <w:rFonts w:ascii="Arial" w:hAnsi="Arial" w:cs="Arial"/>
        </w:rPr>
        <w:t xml:space="preserve"> and 23.7</w:t>
      </w:r>
      <w:r w:rsidR="00A66B6A" w:rsidRPr="002B0E12">
        <w:rPr>
          <w:rFonts w:ascii="Arial" w:hAnsi="Arial" w:cs="Arial"/>
        </w:rPr>
        <w:t>±1.65</w:t>
      </w:r>
      <w:r w:rsidRPr="002B0E12">
        <w:rPr>
          <w:rFonts w:ascii="Arial" w:hAnsi="Arial" w:cs="Arial"/>
        </w:rPr>
        <w:t xml:space="preserve"> </w:t>
      </w:r>
      <w:r w:rsidRPr="002B0E12">
        <w:rPr>
          <w:rFonts w:ascii="Arial" w:hAnsi="Arial" w:cs="Arial"/>
          <w:i/>
        </w:rPr>
        <w:t xml:space="preserve">vs </w:t>
      </w:r>
      <w:r w:rsidRPr="002B0E12">
        <w:rPr>
          <w:rFonts w:ascii="Arial" w:hAnsi="Arial" w:cs="Arial"/>
        </w:rPr>
        <w:t>16.99</w:t>
      </w:r>
      <w:r w:rsidR="00A66B6A" w:rsidRPr="002B0E12">
        <w:rPr>
          <w:rFonts w:ascii="Arial" w:hAnsi="Arial" w:cs="Arial"/>
        </w:rPr>
        <w:t>±0.62</w:t>
      </w:r>
      <w:r w:rsidRPr="002B0E12">
        <w:rPr>
          <w:rFonts w:ascii="Arial" w:hAnsi="Arial" w:cs="Arial"/>
        </w:rPr>
        <w:t>g for urban and rural women (p≤0.001). Similarly, for MUFA, it was 12.61</w:t>
      </w:r>
      <w:r w:rsidR="00A66B6A" w:rsidRPr="002B0E12">
        <w:rPr>
          <w:rFonts w:ascii="Arial" w:hAnsi="Arial" w:cs="Arial"/>
        </w:rPr>
        <w:t>±0.976</w:t>
      </w:r>
      <w:r w:rsidRPr="002B0E12">
        <w:rPr>
          <w:rFonts w:ascii="Arial" w:hAnsi="Arial" w:cs="Arial"/>
        </w:rPr>
        <w:t xml:space="preserve"> </w:t>
      </w:r>
      <w:r w:rsidRPr="002B0E12">
        <w:rPr>
          <w:rFonts w:ascii="Arial" w:hAnsi="Arial" w:cs="Arial"/>
          <w:i/>
        </w:rPr>
        <w:t xml:space="preserve">vs </w:t>
      </w:r>
      <w:r w:rsidRPr="002B0E12">
        <w:rPr>
          <w:rFonts w:ascii="Arial" w:hAnsi="Arial" w:cs="Arial"/>
        </w:rPr>
        <w:t>10.66</w:t>
      </w:r>
      <w:r w:rsidR="00A66B6A" w:rsidRPr="002B0E12">
        <w:rPr>
          <w:rFonts w:ascii="Arial" w:hAnsi="Arial" w:cs="Arial"/>
        </w:rPr>
        <w:t xml:space="preserve">±0.604 </w:t>
      </w:r>
      <w:r w:rsidRPr="002B0E12">
        <w:rPr>
          <w:rFonts w:ascii="Arial" w:hAnsi="Arial" w:cs="Arial"/>
        </w:rPr>
        <w:t>g for urban and rural men (p=0.096)</w:t>
      </w:r>
      <w:r w:rsidR="009E0843" w:rsidRPr="002B0E12">
        <w:rPr>
          <w:rFonts w:ascii="Arial" w:hAnsi="Arial" w:cs="Arial"/>
        </w:rPr>
        <w:t>,</w:t>
      </w:r>
      <w:r w:rsidRPr="002B0E12">
        <w:rPr>
          <w:rFonts w:ascii="Arial" w:hAnsi="Arial" w:cs="Arial"/>
        </w:rPr>
        <w:t xml:space="preserve"> with corresponding values for women as 14.02</w:t>
      </w:r>
      <w:r w:rsidR="00A66B6A" w:rsidRPr="002B0E12">
        <w:rPr>
          <w:rFonts w:ascii="Arial" w:hAnsi="Arial" w:cs="Arial"/>
        </w:rPr>
        <w:t>±1.119</w:t>
      </w:r>
      <w:r w:rsidRPr="002B0E12">
        <w:rPr>
          <w:rFonts w:ascii="Arial" w:hAnsi="Arial" w:cs="Arial"/>
        </w:rPr>
        <w:t xml:space="preserve"> </w:t>
      </w:r>
      <w:r w:rsidRPr="002B0E12">
        <w:rPr>
          <w:rFonts w:ascii="Arial" w:hAnsi="Arial" w:cs="Arial"/>
          <w:i/>
        </w:rPr>
        <w:t>vs</w:t>
      </w:r>
      <w:r w:rsidRPr="002B0E12">
        <w:rPr>
          <w:rFonts w:ascii="Arial" w:hAnsi="Arial" w:cs="Arial"/>
        </w:rPr>
        <w:t xml:space="preserve"> 9.8</w:t>
      </w:r>
      <w:r w:rsidR="00A66B6A" w:rsidRPr="002B0E12">
        <w:rPr>
          <w:rFonts w:ascii="Arial" w:hAnsi="Arial" w:cs="Arial"/>
        </w:rPr>
        <w:t xml:space="preserve">±055 </w:t>
      </w:r>
      <w:r w:rsidRPr="002B0E12">
        <w:rPr>
          <w:rFonts w:ascii="Arial" w:hAnsi="Arial" w:cs="Arial"/>
        </w:rPr>
        <w:t xml:space="preserve">g (p=0.002). The PUFA intake among </w:t>
      </w:r>
      <w:r w:rsidR="009E0843" w:rsidRPr="002B0E12">
        <w:rPr>
          <w:rFonts w:ascii="Arial" w:hAnsi="Arial" w:cs="Arial"/>
        </w:rPr>
        <w:t>participants</w:t>
      </w:r>
      <w:r w:rsidRPr="002B0E12">
        <w:rPr>
          <w:rFonts w:ascii="Arial" w:hAnsi="Arial" w:cs="Arial"/>
        </w:rPr>
        <w:t xml:space="preserve"> were 7.70</w:t>
      </w:r>
      <w:r w:rsidR="00A66B6A" w:rsidRPr="002B0E12">
        <w:rPr>
          <w:rFonts w:ascii="Arial" w:hAnsi="Arial" w:cs="Arial"/>
        </w:rPr>
        <w:t>±0.738</w:t>
      </w:r>
      <w:r w:rsidRPr="002B0E12">
        <w:rPr>
          <w:rFonts w:ascii="Arial" w:hAnsi="Arial" w:cs="Arial"/>
        </w:rPr>
        <w:t xml:space="preserve"> </w:t>
      </w:r>
      <w:r w:rsidRPr="002B0E12">
        <w:rPr>
          <w:rFonts w:ascii="Arial" w:hAnsi="Arial" w:cs="Arial"/>
          <w:i/>
        </w:rPr>
        <w:t>vs</w:t>
      </w:r>
      <w:r w:rsidRPr="002B0E12">
        <w:rPr>
          <w:rFonts w:ascii="Arial" w:hAnsi="Arial" w:cs="Arial"/>
        </w:rPr>
        <w:t xml:space="preserve"> 6.89</w:t>
      </w:r>
      <w:r w:rsidR="00A66B6A" w:rsidRPr="002B0E12">
        <w:rPr>
          <w:rFonts w:ascii="Arial" w:hAnsi="Arial" w:cs="Arial"/>
        </w:rPr>
        <w:t xml:space="preserve">±0.333 </w:t>
      </w:r>
      <w:r w:rsidRPr="002B0E12">
        <w:rPr>
          <w:rFonts w:ascii="Arial" w:hAnsi="Arial" w:cs="Arial"/>
        </w:rPr>
        <w:t>g for urban men and rural men (p=0.053)</w:t>
      </w:r>
      <w:r w:rsidR="009E0843" w:rsidRPr="002B0E12">
        <w:rPr>
          <w:rFonts w:ascii="Arial" w:hAnsi="Arial" w:cs="Arial"/>
        </w:rPr>
        <w:t>,</w:t>
      </w:r>
      <w:r w:rsidRPr="002B0E12">
        <w:rPr>
          <w:rFonts w:ascii="Arial" w:hAnsi="Arial" w:cs="Arial"/>
        </w:rPr>
        <w:t xml:space="preserve"> and 7.68</w:t>
      </w:r>
      <w:r w:rsidR="00A66B6A" w:rsidRPr="002B0E12">
        <w:rPr>
          <w:rFonts w:ascii="Arial" w:hAnsi="Arial" w:cs="Arial"/>
        </w:rPr>
        <w:t>±0.750</w:t>
      </w:r>
      <w:r w:rsidRPr="002B0E12">
        <w:rPr>
          <w:rFonts w:ascii="Arial" w:hAnsi="Arial" w:cs="Arial"/>
        </w:rPr>
        <w:t xml:space="preserve"> </w:t>
      </w:r>
      <w:r w:rsidRPr="002B0E12">
        <w:rPr>
          <w:rFonts w:ascii="Arial" w:hAnsi="Arial" w:cs="Arial"/>
          <w:i/>
        </w:rPr>
        <w:t>vs</w:t>
      </w:r>
      <w:r w:rsidRPr="002B0E12">
        <w:rPr>
          <w:rFonts w:ascii="Arial" w:hAnsi="Arial" w:cs="Arial"/>
        </w:rPr>
        <w:t xml:space="preserve"> 6.08</w:t>
      </w:r>
      <w:r w:rsidR="00A66B6A" w:rsidRPr="002B0E12">
        <w:rPr>
          <w:rFonts w:ascii="Arial" w:hAnsi="Arial" w:cs="Arial"/>
        </w:rPr>
        <w:t>±</w:t>
      </w:r>
      <w:r w:rsidR="00797B95" w:rsidRPr="002B0E12">
        <w:rPr>
          <w:rFonts w:ascii="Arial" w:hAnsi="Arial" w:cs="Arial"/>
        </w:rPr>
        <w:t>0.37</w:t>
      </w:r>
      <w:r w:rsidR="00A66B6A" w:rsidRPr="002B0E12">
        <w:rPr>
          <w:rFonts w:ascii="Arial" w:hAnsi="Arial" w:cs="Arial"/>
        </w:rPr>
        <w:t xml:space="preserve"> </w:t>
      </w:r>
      <w:r w:rsidRPr="002B0E12">
        <w:rPr>
          <w:rFonts w:ascii="Arial" w:hAnsi="Arial" w:cs="Arial"/>
        </w:rPr>
        <w:t>g for urban and rural women (p=0.065).</w:t>
      </w:r>
    </w:p>
    <w:p w14:paraId="331312E2" w14:textId="28A75E91" w:rsidR="00C36180" w:rsidRPr="002B0E12" w:rsidRDefault="00E87519" w:rsidP="004112D6">
      <w:pPr>
        <w:pStyle w:val="ListParagraph"/>
        <w:widowControl w:val="0"/>
        <w:spacing w:after="0" w:line="360" w:lineRule="auto"/>
        <w:ind w:left="0" w:firstLine="720"/>
        <w:jc w:val="both"/>
        <w:rPr>
          <w:rFonts w:ascii="Arial" w:hAnsi="Arial" w:cs="Arial"/>
        </w:rPr>
      </w:pPr>
      <w:r w:rsidRPr="002B0E12">
        <w:rPr>
          <w:rFonts w:ascii="Arial" w:hAnsi="Arial" w:cs="Arial"/>
        </w:rPr>
        <w:t>The intake of LA and ALA for the rural and urban men was 5.88</w:t>
      </w:r>
      <w:r w:rsidR="00566740" w:rsidRPr="002B0E12">
        <w:rPr>
          <w:rFonts w:ascii="Arial" w:hAnsi="Arial" w:cs="Arial"/>
        </w:rPr>
        <w:t>±0.331</w:t>
      </w:r>
      <w:r w:rsidRPr="002B0E12">
        <w:rPr>
          <w:rFonts w:ascii="Arial" w:hAnsi="Arial" w:cs="Arial"/>
        </w:rPr>
        <w:t xml:space="preserve"> </w:t>
      </w:r>
      <w:r w:rsidRPr="002B0E12">
        <w:rPr>
          <w:rFonts w:ascii="Arial" w:hAnsi="Arial" w:cs="Arial"/>
          <w:i/>
        </w:rPr>
        <w:t>vs</w:t>
      </w:r>
      <w:r w:rsidRPr="002B0E12">
        <w:rPr>
          <w:rFonts w:ascii="Arial" w:hAnsi="Arial" w:cs="Arial"/>
        </w:rPr>
        <w:t xml:space="preserve"> 5.65</w:t>
      </w:r>
      <w:r w:rsidR="00566740" w:rsidRPr="002B0E12">
        <w:rPr>
          <w:rFonts w:ascii="Arial" w:hAnsi="Arial" w:cs="Arial"/>
        </w:rPr>
        <w:t>±0.506</w:t>
      </w:r>
      <w:r w:rsidRPr="002B0E12">
        <w:rPr>
          <w:rFonts w:ascii="Arial" w:hAnsi="Arial" w:cs="Arial"/>
        </w:rPr>
        <w:t>g</w:t>
      </w:r>
      <w:r w:rsidR="00713724" w:rsidRPr="002B0E12">
        <w:rPr>
          <w:rFonts w:ascii="Arial" w:hAnsi="Arial" w:cs="Arial"/>
        </w:rPr>
        <w:t>,</w:t>
      </w:r>
      <w:r w:rsidRPr="002B0E12">
        <w:rPr>
          <w:rFonts w:ascii="Arial" w:hAnsi="Arial" w:cs="Arial"/>
        </w:rPr>
        <w:t xml:space="preserve"> and 0.94</w:t>
      </w:r>
      <w:r w:rsidR="00566740" w:rsidRPr="002B0E12">
        <w:rPr>
          <w:rFonts w:ascii="Arial" w:hAnsi="Arial" w:cs="Arial"/>
        </w:rPr>
        <w:t>±</w:t>
      </w:r>
      <w:r w:rsidR="008731CF" w:rsidRPr="002B0E12">
        <w:rPr>
          <w:rFonts w:ascii="Arial" w:hAnsi="Arial" w:cs="Arial"/>
        </w:rPr>
        <w:t>0.056</w:t>
      </w:r>
      <w:r w:rsidRPr="002B0E12">
        <w:rPr>
          <w:rFonts w:ascii="Arial" w:hAnsi="Arial" w:cs="Arial"/>
        </w:rPr>
        <w:t xml:space="preserve"> </w:t>
      </w:r>
      <w:r w:rsidRPr="002B0E12">
        <w:rPr>
          <w:rFonts w:ascii="Arial" w:hAnsi="Arial" w:cs="Arial"/>
          <w:i/>
        </w:rPr>
        <w:t>vs</w:t>
      </w:r>
      <w:r w:rsidRPr="002B0E12">
        <w:rPr>
          <w:rFonts w:ascii="Arial" w:hAnsi="Arial" w:cs="Arial"/>
        </w:rPr>
        <w:t xml:space="preserve"> 1.07</w:t>
      </w:r>
      <w:r w:rsidR="008731CF" w:rsidRPr="002B0E12">
        <w:rPr>
          <w:rFonts w:ascii="Arial" w:hAnsi="Arial" w:cs="Arial"/>
        </w:rPr>
        <w:t xml:space="preserve">±0.119 </w:t>
      </w:r>
      <w:r w:rsidRPr="002B0E12">
        <w:rPr>
          <w:rFonts w:ascii="Arial" w:hAnsi="Arial" w:cs="Arial"/>
        </w:rPr>
        <w:t>g</w:t>
      </w:r>
      <w:r w:rsidR="00713724" w:rsidRPr="002B0E12">
        <w:rPr>
          <w:rFonts w:ascii="Arial" w:hAnsi="Arial" w:cs="Arial"/>
        </w:rPr>
        <w:t>,</w:t>
      </w:r>
      <w:r w:rsidR="006E0B11" w:rsidRPr="002B0E12">
        <w:rPr>
          <w:rFonts w:ascii="Arial" w:hAnsi="Arial" w:cs="Arial"/>
        </w:rPr>
        <w:t xml:space="preserve"> </w:t>
      </w:r>
      <w:r w:rsidRPr="002B0E12">
        <w:rPr>
          <w:rFonts w:ascii="Arial" w:hAnsi="Arial" w:cs="Arial"/>
        </w:rPr>
        <w:t>respectively</w:t>
      </w:r>
      <w:r w:rsidR="00713724" w:rsidRPr="002B0E12">
        <w:rPr>
          <w:rFonts w:ascii="Arial" w:hAnsi="Arial" w:cs="Arial"/>
        </w:rPr>
        <w:t xml:space="preserve">. The </w:t>
      </w:r>
      <w:r w:rsidRPr="002B0E12">
        <w:rPr>
          <w:rFonts w:ascii="Arial" w:hAnsi="Arial" w:cs="Arial"/>
        </w:rPr>
        <w:t>intake of LA and ALA for the rural and urban women was 5.12</w:t>
      </w:r>
      <w:r w:rsidR="008731CF" w:rsidRPr="002B0E12">
        <w:rPr>
          <w:rFonts w:ascii="Arial" w:hAnsi="Arial" w:cs="Arial"/>
        </w:rPr>
        <w:t xml:space="preserve">±0.35 </w:t>
      </w:r>
      <w:r w:rsidRPr="002B0E12">
        <w:rPr>
          <w:rFonts w:ascii="Arial" w:hAnsi="Arial" w:cs="Arial"/>
          <w:i/>
        </w:rPr>
        <w:t xml:space="preserve">vs </w:t>
      </w:r>
      <w:r w:rsidRPr="002B0E12">
        <w:rPr>
          <w:rFonts w:ascii="Arial" w:hAnsi="Arial" w:cs="Arial"/>
        </w:rPr>
        <w:t>5.75</w:t>
      </w:r>
      <w:r w:rsidR="008731CF" w:rsidRPr="002B0E12">
        <w:rPr>
          <w:rFonts w:ascii="Arial" w:hAnsi="Arial" w:cs="Arial"/>
        </w:rPr>
        <w:t xml:space="preserve">±0.499 </w:t>
      </w:r>
      <w:r w:rsidRPr="002B0E12">
        <w:rPr>
          <w:rFonts w:ascii="Arial" w:hAnsi="Arial" w:cs="Arial"/>
        </w:rPr>
        <w:t xml:space="preserve">g and </w:t>
      </w:r>
      <w:r w:rsidR="008731CF" w:rsidRPr="002B0E12">
        <w:rPr>
          <w:rFonts w:ascii="Arial" w:hAnsi="Arial" w:cs="Arial"/>
        </w:rPr>
        <w:t>0</w:t>
      </w:r>
      <w:r w:rsidRPr="002B0E12">
        <w:rPr>
          <w:rFonts w:ascii="Arial" w:hAnsi="Arial" w:cs="Arial"/>
        </w:rPr>
        <w:t>.88</w:t>
      </w:r>
      <w:r w:rsidR="008731CF" w:rsidRPr="002B0E12">
        <w:rPr>
          <w:rFonts w:ascii="Arial" w:hAnsi="Arial" w:cs="Arial"/>
        </w:rPr>
        <w:t>±0.040</w:t>
      </w:r>
      <w:r w:rsidRPr="002B0E12">
        <w:rPr>
          <w:rFonts w:ascii="Arial" w:hAnsi="Arial" w:cs="Arial"/>
        </w:rPr>
        <w:t xml:space="preserve"> </w:t>
      </w:r>
      <w:r w:rsidRPr="002B0E12">
        <w:rPr>
          <w:rFonts w:ascii="Arial" w:hAnsi="Arial" w:cs="Arial"/>
          <w:i/>
        </w:rPr>
        <w:t xml:space="preserve">vs </w:t>
      </w:r>
      <w:r w:rsidRPr="002B0E12">
        <w:rPr>
          <w:rFonts w:ascii="Arial" w:hAnsi="Arial" w:cs="Arial"/>
        </w:rPr>
        <w:t>1.09</w:t>
      </w:r>
      <w:r w:rsidR="008731CF" w:rsidRPr="002B0E12">
        <w:rPr>
          <w:rFonts w:ascii="Arial" w:hAnsi="Arial" w:cs="Arial"/>
        </w:rPr>
        <w:t xml:space="preserve">±0.109 </w:t>
      </w:r>
      <w:r w:rsidRPr="002B0E12">
        <w:rPr>
          <w:rFonts w:ascii="Arial" w:hAnsi="Arial" w:cs="Arial"/>
        </w:rPr>
        <w:t xml:space="preserve">g respectively. It was found that intakes of arachidonic acid (AA) were negligible in all </w:t>
      </w:r>
      <w:r w:rsidR="008D4758" w:rsidRPr="002B0E12">
        <w:rPr>
          <w:rFonts w:ascii="Arial" w:hAnsi="Arial" w:cs="Arial"/>
        </w:rPr>
        <w:t>participants</w:t>
      </w:r>
      <w:r w:rsidRPr="002B0E12">
        <w:rPr>
          <w:rFonts w:ascii="Arial" w:hAnsi="Arial" w:cs="Arial"/>
        </w:rPr>
        <w:t xml:space="preserve"> with 0.044</w:t>
      </w:r>
      <w:r w:rsidR="008731CF" w:rsidRPr="002B0E12">
        <w:rPr>
          <w:rFonts w:ascii="Arial" w:hAnsi="Arial" w:cs="Arial"/>
        </w:rPr>
        <w:t>±0.003</w:t>
      </w:r>
      <w:r w:rsidRPr="002B0E12">
        <w:rPr>
          <w:rFonts w:ascii="Arial" w:hAnsi="Arial" w:cs="Arial"/>
        </w:rPr>
        <w:t xml:space="preserve"> vs 0.066</w:t>
      </w:r>
      <w:r w:rsidR="008731CF" w:rsidRPr="002B0E12">
        <w:rPr>
          <w:rFonts w:ascii="Arial" w:hAnsi="Arial" w:cs="Arial"/>
        </w:rPr>
        <w:t xml:space="preserve">±0.005 </w:t>
      </w:r>
      <w:r w:rsidRPr="002B0E12">
        <w:rPr>
          <w:rFonts w:ascii="Arial" w:hAnsi="Arial" w:cs="Arial"/>
        </w:rPr>
        <w:t>g in rural and urban men with corresponding values of 0.049</w:t>
      </w:r>
      <w:r w:rsidR="008731CF" w:rsidRPr="002B0E12">
        <w:rPr>
          <w:rFonts w:ascii="Arial" w:hAnsi="Arial" w:cs="Arial"/>
        </w:rPr>
        <w:t>±0.002</w:t>
      </w:r>
      <w:r w:rsidRPr="002B0E12">
        <w:rPr>
          <w:rFonts w:ascii="Arial" w:hAnsi="Arial" w:cs="Arial"/>
        </w:rPr>
        <w:t xml:space="preserve"> vs 0.070</w:t>
      </w:r>
      <w:r w:rsidR="008731CF" w:rsidRPr="002B0E12">
        <w:rPr>
          <w:rFonts w:ascii="Arial" w:hAnsi="Arial" w:cs="Arial"/>
        </w:rPr>
        <w:t xml:space="preserve">±0.005 </w:t>
      </w:r>
      <w:r w:rsidRPr="002B0E12">
        <w:rPr>
          <w:rFonts w:ascii="Arial" w:hAnsi="Arial" w:cs="Arial"/>
        </w:rPr>
        <w:t xml:space="preserve">g for rural and urban women. </w:t>
      </w:r>
    </w:p>
    <w:p w14:paraId="7DC84502" w14:textId="5F53F69F" w:rsidR="00C36180" w:rsidRPr="002B0E12" w:rsidRDefault="00D461F2" w:rsidP="004112D6">
      <w:pPr>
        <w:pStyle w:val="ListParagraph"/>
        <w:widowControl w:val="0"/>
        <w:spacing w:after="0" w:line="360" w:lineRule="auto"/>
        <w:ind w:left="0"/>
        <w:jc w:val="both"/>
        <w:rPr>
          <w:rFonts w:ascii="Arial" w:hAnsi="Arial" w:cs="Arial"/>
          <w:b/>
        </w:rPr>
      </w:pPr>
      <w:r w:rsidRPr="002B0E12">
        <w:rPr>
          <w:rFonts w:ascii="Arial" w:hAnsi="Arial" w:cs="Arial"/>
          <w:b/>
        </w:rPr>
        <w:t xml:space="preserve">3.7 </w:t>
      </w:r>
      <w:r w:rsidR="00C36180" w:rsidRPr="002B0E12">
        <w:rPr>
          <w:rFonts w:ascii="Arial" w:hAnsi="Arial" w:cs="Arial"/>
          <w:b/>
        </w:rPr>
        <w:t xml:space="preserve">RBC fatty acids profile of </w:t>
      </w:r>
      <w:r w:rsidR="00630BD4" w:rsidRPr="002B0E12">
        <w:rPr>
          <w:rFonts w:ascii="Arial" w:hAnsi="Arial" w:cs="Arial"/>
          <w:b/>
        </w:rPr>
        <w:t xml:space="preserve">select </w:t>
      </w:r>
      <w:proofErr w:type="spellStart"/>
      <w:r w:rsidR="00C36180" w:rsidRPr="002B0E12">
        <w:rPr>
          <w:rFonts w:ascii="Arial" w:hAnsi="Arial" w:cs="Arial"/>
          <w:b/>
        </w:rPr>
        <w:t>MetS</w:t>
      </w:r>
      <w:proofErr w:type="spellEnd"/>
      <w:r w:rsidR="00C572CB" w:rsidRPr="002B0E12">
        <w:rPr>
          <w:rFonts w:ascii="Arial" w:hAnsi="Arial" w:cs="Arial"/>
          <w:b/>
        </w:rPr>
        <w:t xml:space="preserve"> participants</w:t>
      </w:r>
    </w:p>
    <w:p w14:paraId="5E0F79B4" w14:textId="56ADBA0D" w:rsidR="00681781" w:rsidRPr="002B0E12" w:rsidRDefault="001918FD" w:rsidP="004112D6">
      <w:pPr>
        <w:pStyle w:val="NormalWeb"/>
        <w:spacing w:before="0" w:beforeAutospacing="0" w:after="0" w:afterAutospacing="0" w:line="360" w:lineRule="auto"/>
        <w:ind w:firstLine="720"/>
        <w:jc w:val="both"/>
        <w:rPr>
          <w:rFonts w:ascii="Arial" w:hAnsi="Arial" w:cs="Arial"/>
          <w:sz w:val="22"/>
          <w:szCs w:val="22"/>
          <w:lang w:val="en-GB" w:eastAsia="en-GB"/>
        </w:rPr>
      </w:pPr>
      <w:r w:rsidRPr="002B0E12">
        <w:rPr>
          <w:rFonts w:ascii="Arial" w:hAnsi="Arial" w:cs="Arial"/>
          <w:sz w:val="22"/>
          <w:szCs w:val="22"/>
        </w:rPr>
        <w:t xml:space="preserve">The </w:t>
      </w:r>
      <w:r w:rsidR="00C572CB" w:rsidRPr="002B0E12">
        <w:rPr>
          <w:rFonts w:ascii="Arial" w:hAnsi="Arial" w:cs="Arial"/>
          <w:sz w:val="22"/>
          <w:szCs w:val="22"/>
        </w:rPr>
        <w:t xml:space="preserve">RBC </w:t>
      </w:r>
      <w:r w:rsidRPr="002B0E12">
        <w:rPr>
          <w:rFonts w:ascii="Arial" w:hAnsi="Arial" w:cs="Arial"/>
          <w:sz w:val="22"/>
          <w:szCs w:val="22"/>
        </w:rPr>
        <w:t xml:space="preserve">fatty acid composition </w:t>
      </w:r>
      <w:r w:rsidR="00630BD4" w:rsidRPr="002B0E12">
        <w:rPr>
          <w:rFonts w:ascii="Arial" w:hAnsi="Arial" w:cs="Arial"/>
          <w:sz w:val="22"/>
          <w:szCs w:val="22"/>
        </w:rPr>
        <w:t xml:space="preserve">of select </w:t>
      </w:r>
      <w:proofErr w:type="spellStart"/>
      <w:r w:rsidR="00630BD4" w:rsidRPr="002B0E12">
        <w:rPr>
          <w:rFonts w:ascii="Arial" w:hAnsi="Arial" w:cs="Arial"/>
          <w:sz w:val="22"/>
          <w:szCs w:val="22"/>
        </w:rPr>
        <w:t>MetS</w:t>
      </w:r>
      <w:proofErr w:type="spellEnd"/>
      <w:r w:rsidR="00630BD4" w:rsidRPr="002B0E12">
        <w:rPr>
          <w:rFonts w:ascii="Arial" w:hAnsi="Arial" w:cs="Arial"/>
          <w:sz w:val="22"/>
          <w:szCs w:val="22"/>
        </w:rPr>
        <w:t xml:space="preserve"> participants </w:t>
      </w:r>
      <w:r w:rsidR="00C572CB" w:rsidRPr="002B0E12">
        <w:rPr>
          <w:rFonts w:ascii="Arial" w:hAnsi="Arial" w:cs="Arial"/>
          <w:sz w:val="22"/>
          <w:szCs w:val="22"/>
        </w:rPr>
        <w:t xml:space="preserve">is given in </w:t>
      </w:r>
      <w:r w:rsidR="008F6673" w:rsidRPr="002B0E12">
        <w:rPr>
          <w:rFonts w:ascii="Arial" w:hAnsi="Arial" w:cs="Arial"/>
          <w:sz w:val="22"/>
          <w:szCs w:val="22"/>
        </w:rPr>
        <w:t>Table 5</w:t>
      </w:r>
      <w:r w:rsidRPr="002B0E12">
        <w:rPr>
          <w:rFonts w:ascii="Arial" w:hAnsi="Arial" w:cs="Arial"/>
          <w:sz w:val="22"/>
          <w:szCs w:val="22"/>
        </w:rPr>
        <w:t>.</w:t>
      </w:r>
      <w:r w:rsidR="00F16606" w:rsidRPr="002B0E12">
        <w:rPr>
          <w:rFonts w:ascii="Arial" w:hAnsi="Arial" w:cs="Arial"/>
          <w:sz w:val="22"/>
          <w:szCs w:val="22"/>
        </w:rPr>
        <w:t xml:space="preserve"> M</w:t>
      </w:r>
      <w:proofErr w:type="spellStart"/>
      <w:r w:rsidR="00681781" w:rsidRPr="002B0E12">
        <w:rPr>
          <w:rFonts w:ascii="Arial" w:hAnsi="Arial" w:cs="Arial"/>
          <w:sz w:val="22"/>
          <w:szCs w:val="22"/>
          <w:lang w:val="en-GB" w:eastAsia="en-GB"/>
        </w:rPr>
        <w:t>yristic</w:t>
      </w:r>
      <w:proofErr w:type="spellEnd"/>
      <w:r w:rsidR="00681781" w:rsidRPr="002B0E12">
        <w:rPr>
          <w:rFonts w:ascii="Arial" w:hAnsi="Arial" w:cs="Arial"/>
          <w:sz w:val="22"/>
          <w:szCs w:val="22"/>
          <w:lang w:val="en-GB" w:eastAsia="en-GB"/>
        </w:rPr>
        <w:t xml:space="preserve"> acid (C14:0) was significantly higher in rural participants (1.82 ± 1.25%) compared to urban participants (0.96 ± 0.21%; P = 0.002), while palmitic acid (C16:0) and stearic acid (C18:0) showed no significant urban–rural differences, with values of 31.21 ± 1.56% vs. 31.74 ± 2.83% and 20.67 ± 1.20% vs. 21.11 ± 1.75%, respectively. Among MUFAs, palmitoleic acid (C16:1) was markedly higher in rural participants (1.74 ± 0.77%) compared to urban (0.83 ± 0.25%; P ≤ 0.001), whereas oleic acid (C18:1) was higher in rural participants (14.56 ± 1.67%) than urban (13.60 ± 0.65%; P = 0.011). Within n-6 PUFAs, linoleic acid (C18:2) was significantly greater in rural (12.88 ± 1.04%) compared to urban (11.74 ± 1.52%; P = 0.003), while gamma-linolenic acid (C18:3n-6) was higher in urban participants (0.68 ± 0.28%) than rural (0.21 ± 0.27%; P ≤ 0.001). </w:t>
      </w:r>
      <w:proofErr w:type="spellStart"/>
      <w:r w:rsidR="00681781" w:rsidRPr="002B0E12">
        <w:rPr>
          <w:rFonts w:ascii="Arial" w:hAnsi="Arial" w:cs="Arial"/>
          <w:sz w:val="22"/>
          <w:szCs w:val="22"/>
          <w:lang w:val="en-GB" w:eastAsia="en-GB"/>
        </w:rPr>
        <w:t>Dihomo</w:t>
      </w:r>
      <w:proofErr w:type="spellEnd"/>
      <w:r w:rsidR="00681781" w:rsidRPr="002B0E12">
        <w:rPr>
          <w:rFonts w:ascii="Arial" w:hAnsi="Arial" w:cs="Arial"/>
          <w:sz w:val="22"/>
          <w:szCs w:val="22"/>
          <w:lang w:val="en-GB" w:eastAsia="en-GB"/>
        </w:rPr>
        <w:t>-gamma-linolenic acid (C20:3n-6) and arachidonic acid (C20:4n-6) showed no significant differences, with urban values at 1.97 ± 0.55% and 11.87 ± 2.72% compared to rural values of 1.91 ± 0.22% and 10.98 ± 2.57%, respectively.</w:t>
      </w:r>
    </w:p>
    <w:p w14:paraId="1E71A771" w14:textId="77777777" w:rsidR="00510262" w:rsidRPr="002B0E12" w:rsidRDefault="00510262" w:rsidP="005409E2">
      <w:pPr>
        <w:spacing w:after="0"/>
        <w:ind w:firstLine="851"/>
        <w:rPr>
          <w:rFonts w:ascii="Arial" w:hAnsi="Arial" w:cs="Arial"/>
          <w:b/>
        </w:rPr>
      </w:pPr>
    </w:p>
    <w:p w14:paraId="68B1A21F" w14:textId="77777777" w:rsidR="00510262" w:rsidRPr="002B0E12" w:rsidRDefault="00510262" w:rsidP="005409E2">
      <w:pPr>
        <w:spacing w:after="0"/>
        <w:ind w:firstLine="851"/>
        <w:rPr>
          <w:rFonts w:ascii="Arial" w:hAnsi="Arial" w:cs="Arial"/>
          <w:b/>
        </w:rPr>
      </w:pPr>
    </w:p>
    <w:p w14:paraId="578E4027" w14:textId="77777777" w:rsidR="00510262" w:rsidRPr="002B0E12" w:rsidRDefault="00510262" w:rsidP="005409E2">
      <w:pPr>
        <w:spacing w:after="0"/>
        <w:ind w:firstLine="851"/>
        <w:rPr>
          <w:rFonts w:ascii="Arial" w:hAnsi="Arial" w:cs="Arial"/>
          <w:b/>
        </w:rPr>
      </w:pPr>
    </w:p>
    <w:p w14:paraId="1A8A3AB3" w14:textId="77777777" w:rsidR="00510262" w:rsidRPr="002B0E12" w:rsidRDefault="00510262" w:rsidP="005409E2">
      <w:pPr>
        <w:spacing w:after="0"/>
        <w:ind w:firstLine="851"/>
        <w:rPr>
          <w:rFonts w:ascii="Arial" w:hAnsi="Arial" w:cs="Arial"/>
          <w:b/>
        </w:rPr>
      </w:pPr>
    </w:p>
    <w:p w14:paraId="527850E0" w14:textId="77777777" w:rsidR="00510262" w:rsidRPr="002B0E12" w:rsidRDefault="00510262" w:rsidP="005409E2">
      <w:pPr>
        <w:spacing w:after="0"/>
        <w:ind w:firstLine="851"/>
        <w:rPr>
          <w:rFonts w:ascii="Arial" w:hAnsi="Arial" w:cs="Arial"/>
          <w:b/>
        </w:rPr>
      </w:pPr>
    </w:p>
    <w:p w14:paraId="562111C2" w14:textId="77777777" w:rsidR="00510262" w:rsidRPr="002B0E12" w:rsidRDefault="00510262" w:rsidP="005409E2">
      <w:pPr>
        <w:spacing w:after="0"/>
        <w:ind w:firstLine="851"/>
        <w:rPr>
          <w:rFonts w:ascii="Arial" w:hAnsi="Arial" w:cs="Arial"/>
          <w:b/>
        </w:rPr>
        <w:sectPr w:rsidR="00510262" w:rsidRPr="002B0E12" w:rsidSect="002F40D7">
          <w:type w:val="continuous"/>
          <w:pgSz w:w="11906" w:h="16838" w:code="9"/>
          <w:pgMar w:top="1440" w:right="1440" w:bottom="1440" w:left="1440" w:header="709" w:footer="709" w:gutter="0"/>
          <w:cols w:space="708"/>
          <w:docGrid w:linePitch="360"/>
        </w:sectPr>
      </w:pPr>
    </w:p>
    <w:p w14:paraId="52BE6EFC" w14:textId="063FBC22" w:rsidR="005409E2" w:rsidRPr="002B0E12" w:rsidRDefault="005409E2" w:rsidP="005409E2">
      <w:pPr>
        <w:spacing w:after="0"/>
        <w:ind w:firstLine="851"/>
        <w:rPr>
          <w:rFonts w:ascii="Arial" w:hAnsi="Arial" w:cs="Arial"/>
          <w:b/>
        </w:rPr>
      </w:pPr>
      <w:r w:rsidRPr="002B0E12">
        <w:rPr>
          <w:rFonts w:ascii="Arial" w:hAnsi="Arial" w:cs="Arial"/>
          <w:b/>
        </w:rPr>
        <w:lastRenderedPageBreak/>
        <w:t xml:space="preserve">Table 4 Fatty acid intake of selected Metabolic syndrome participants based on dietary intake </w:t>
      </w:r>
    </w:p>
    <w:tbl>
      <w:tblPr>
        <w:tblW w:w="12470" w:type="dxa"/>
        <w:jc w:val="center"/>
        <w:tblBorders>
          <w:top w:val="single" w:sz="4" w:space="0" w:color="auto"/>
          <w:bottom w:val="single" w:sz="4" w:space="0" w:color="auto"/>
        </w:tblBorders>
        <w:tblLayout w:type="fixed"/>
        <w:tblLook w:val="04A0" w:firstRow="1" w:lastRow="0" w:firstColumn="1" w:lastColumn="0" w:noHBand="0" w:noVBand="1"/>
      </w:tblPr>
      <w:tblGrid>
        <w:gridCol w:w="2046"/>
        <w:gridCol w:w="1710"/>
        <w:gridCol w:w="1710"/>
        <w:gridCol w:w="1620"/>
        <w:gridCol w:w="1764"/>
        <w:gridCol w:w="1984"/>
        <w:gridCol w:w="1636"/>
      </w:tblGrid>
      <w:tr w:rsidR="002B0E12" w:rsidRPr="002B0E12" w14:paraId="4BD4F628" w14:textId="77777777" w:rsidTr="0048694B">
        <w:trPr>
          <w:trHeight w:val="20"/>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14:paraId="6EB493FC" w14:textId="77777777" w:rsidR="005409E2" w:rsidRPr="002B0E12" w:rsidRDefault="005409E2" w:rsidP="0048694B">
            <w:pPr>
              <w:spacing w:after="0"/>
              <w:rPr>
                <w:rFonts w:ascii="Arial" w:hAnsi="Arial" w:cs="Arial"/>
                <w:b/>
              </w:rPr>
            </w:pPr>
            <w:r w:rsidRPr="002B0E12">
              <w:rPr>
                <w:rFonts w:ascii="Arial" w:hAnsi="Arial" w:cs="Arial"/>
                <w:b/>
              </w:rPr>
              <w:t>Fatty acids</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209E0D9B" w14:textId="77777777" w:rsidR="005409E2" w:rsidRPr="002B0E12" w:rsidRDefault="005409E2" w:rsidP="0048694B">
            <w:pPr>
              <w:spacing w:after="0"/>
              <w:jc w:val="center"/>
              <w:rPr>
                <w:rFonts w:ascii="Arial" w:hAnsi="Arial" w:cs="Arial"/>
                <w:b/>
              </w:rPr>
            </w:pPr>
            <w:r w:rsidRPr="002B0E12">
              <w:rPr>
                <w:rFonts w:ascii="Arial" w:hAnsi="Arial" w:cs="Arial"/>
                <w:b/>
              </w:rPr>
              <w:t>Men</w:t>
            </w:r>
          </w:p>
        </w:tc>
        <w:tc>
          <w:tcPr>
            <w:tcW w:w="5384" w:type="dxa"/>
            <w:gridSpan w:val="3"/>
            <w:tcBorders>
              <w:top w:val="single" w:sz="4" w:space="0" w:color="auto"/>
              <w:left w:val="single" w:sz="4" w:space="0" w:color="auto"/>
              <w:bottom w:val="single" w:sz="4" w:space="0" w:color="auto"/>
              <w:right w:val="single" w:sz="4" w:space="0" w:color="auto"/>
            </w:tcBorders>
            <w:vAlign w:val="center"/>
          </w:tcPr>
          <w:p w14:paraId="6A7CABBA" w14:textId="77777777" w:rsidR="005409E2" w:rsidRPr="002B0E12" w:rsidRDefault="005409E2" w:rsidP="0048694B">
            <w:pPr>
              <w:spacing w:after="0"/>
              <w:jc w:val="center"/>
              <w:rPr>
                <w:rFonts w:ascii="Arial" w:hAnsi="Arial" w:cs="Arial"/>
                <w:b/>
              </w:rPr>
            </w:pPr>
            <w:r w:rsidRPr="002B0E12">
              <w:rPr>
                <w:rFonts w:ascii="Arial" w:hAnsi="Arial" w:cs="Arial"/>
                <w:b/>
              </w:rPr>
              <w:t>Women</w:t>
            </w:r>
          </w:p>
        </w:tc>
      </w:tr>
      <w:tr w:rsidR="002B0E12" w:rsidRPr="002B0E12" w14:paraId="02DB167A" w14:textId="77777777" w:rsidTr="0048694B">
        <w:trPr>
          <w:trHeight w:val="485"/>
          <w:jc w:val="center"/>
        </w:trPr>
        <w:tc>
          <w:tcPr>
            <w:tcW w:w="2046" w:type="dxa"/>
            <w:vMerge/>
            <w:tcBorders>
              <w:top w:val="single" w:sz="4" w:space="0" w:color="auto"/>
              <w:left w:val="single" w:sz="4" w:space="0" w:color="auto"/>
              <w:bottom w:val="single" w:sz="4" w:space="0" w:color="auto"/>
              <w:right w:val="single" w:sz="4" w:space="0" w:color="auto"/>
            </w:tcBorders>
            <w:vAlign w:val="center"/>
          </w:tcPr>
          <w:p w14:paraId="43F43279" w14:textId="77777777" w:rsidR="005409E2" w:rsidRPr="002B0E12" w:rsidRDefault="005409E2" w:rsidP="0048694B">
            <w:pPr>
              <w:spacing w:after="0"/>
              <w:rPr>
                <w:rFonts w:ascii="Arial" w:hAnsi="Arial" w:cs="Arial"/>
                <w:b/>
              </w:rPr>
            </w:pPr>
          </w:p>
        </w:tc>
        <w:tc>
          <w:tcPr>
            <w:tcW w:w="1710" w:type="dxa"/>
            <w:tcBorders>
              <w:top w:val="single" w:sz="4" w:space="0" w:color="auto"/>
              <w:left w:val="single" w:sz="4" w:space="0" w:color="auto"/>
              <w:bottom w:val="single" w:sz="4" w:space="0" w:color="auto"/>
              <w:right w:val="single" w:sz="4" w:space="0" w:color="auto"/>
            </w:tcBorders>
            <w:vAlign w:val="center"/>
          </w:tcPr>
          <w:p w14:paraId="0A4132E9" w14:textId="77777777" w:rsidR="005409E2" w:rsidRPr="002B0E12" w:rsidRDefault="005409E2" w:rsidP="0048694B">
            <w:pPr>
              <w:spacing w:after="0"/>
              <w:jc w:val="center"/>
              <w:rPr>
                <w:rFonts w:ascii="Arial" w:hAnsi="Arial" w:cs="Arial"/>
                <w:b/>
              </w:rPr>
            </w:pPr>
            <w:r w:rsidRPr="002B0E12">
              <w:rPr>
                <w:rFonts w:ascii="Arial" w:hAnsi="Arial" w:cs="Arial"/>
                <w:b/>
              </w:rPr>
              <w:t xml:space="preserve">Urban </w:t>
            </w:r>
          </w:p>
          <w:p w14:paraId="024ADE27" w14:textId="77777777" w:rsidR="005409E2" w:rsidRPr="002B0E12" w:rsidRDefault="005409E2" w:rsidP="0048694B">
            <w:pPr>
              <w:spacing w:after="0"/>
              <w:jc w:val="center"/>
              <w:rPr>
                <w:rFonts w:ascii="Arial" w:hAnsi="Arial" w:cs="Arial"/>
                <w:b/>
              </w:rPr>
            </w:pPr>
            <w:r w:rsidRPr="002B0E12">
              <w:rPr>
                <w:rFonts w:ascii="Arial" w:hAnsi="Arial" w:cs="Arial"/>
                <w:b/>
              </w:rPr>
              <w:t>(n=28)</w:t>
            </w:r>
          </w:p>
        </w:tc>
        <w:tc>
          <w:tcPr>
            <w:tcW w:w="1710" w:type="dxa"/>
            <w:tcBorders>
              <w:top w:val="single" w:sz="4" w:space="0" w:color="auto"/>
              <w:left w:val="single" w:sz="4" w:space="0" w:color="auto"/>
              <w:bottom w:val="single" w:sz="4" w:space="0" w:color="auto"/>
              <w:right w:val="single" w:sz="4" w:space="0" w:color="auto"/>
            </w:tcBorders>
            <w:vAlign w:val="center"/>
          </w:tcPr>
          <w:p w14:paraId="0D3938EA" w14:textId="77777777" w:rsidR="005409E2" w:rsidRPr="002B0E12" w:rsidRDefault="005409E2" w:rsidP="0048694B">
            <w:pPr>
              <w:spacing w:after="0"/>
              <w:jc w:val="center"/>
              <w:rPr>
                <w:rFonts w:ascii="Arial" w:hAnsi="Arial" w:cs="Arial"/>
                <w:b/>
              </w:rPr>
            </w:pPr>
            <w:r w:rsidRPr="002B0E12">
              <w:rPr>
                <w:rFonts w:ascii="Arial" w:hAnsi="Arial" w:cs="Arial"/>
                <w:b/>
              </w:rPr>
              <w:t xml:space="preserve">Rural </w:t>
            </w:r>
          </w:p>
          <w:p w14:paraId="67492C12" w14:textId="77777777" w:rsidR="005409E2" w:rsidRPr="002B0E12" w:rsidRDefault="005409E2" w:rsidP="0048694B">
            <w:pPr>
              <w:spacing w:after="0"/>
              <w:jc w:val="center"/>
              <w:rPr>
                <w:rFonts w:ascii="Arial" w:hAnsi="Arial" w:cs="Arial"/>
                <w:b/>
              </w:rPr>
            </w:pPr>
            <w:r w:rsidRPr="002B0E12">
              <w:rPr>
                <w:rFonts w:ascii="Arial" w:hAnsi="Arial" w:cs="Arial"/>
                <w:b/>
              </w:rPr>
              <w:t>(n=26)</w:t>
            </w:r>
          </w:p>
        </w:tc>
        <w:tc>
          <w:tcPr>
            <w:tcW w:w="1620" w:type="dxa"/>
            <w:tcBorders>
              <w:top w:val="single" w:sz="4" w:space="0" w:color="auto"/>
              <w:left w:val="single" w:sz="4" w:space="0" w:color="auto"/>
              <w:bottom w:val="single" w:sz="4" w:space="0" w:color="auto"/>
              <w:right w:val="single" w:sz="4" w:space="0" w:color="auto"/>
            </w:tcBorders>
            <w:vAlign w:val="center"/>
          </w:tcPr>
          <w:p w14:paraId="7D2C8ECF" w14:textId="77777777" w:rsidR="005409E2" w:rsidRPr="002B0E12" w:rsidRDefault="005409E2" w:rsidP="0048694B">
            <w:pPr>
              <w:spacing w:after="0"/>
              <w:jc w:val="center"/>
              <w:rPr>
                <w:rFonts w:ascii="Arial" w:hAnsi="Arial" w:cs="Arial"/>
                <w:b/>
              </w:rPr>
            </w:pPr>
            <w:r w:rsidRPr="002B0E12">
              <w:rPr>
                <w:rFonts w:ascii="Arial" w:hAnsi="Arial" w:cs="Arial"/>
                <w:b/>
              </w:rPr>
              <w:t>EAR</w:t>
            </w:r>
            <w:r w:rsidRPr="002B0E12">
              <w:rPr>
                <w:rFonts w:ascii="Tahoma" w:hAnsi="Tahoma" w:cs="Tahoma"/>
                <w:vertAlign w:val="superscript"/>
              </w:rPr>
              <w:t>⸸</w:t>
            </w:r>
          </w:p>
          <w:p w14:paraId="316F9BC7" w14:textId="77777777" w:rsidR="005409E2" w:rsidRPr="002B0E12" w:rsidRDefault="005409E2" w:rsidP="0048694B">
            <w:pPr>
              <w:spacing w:after="0"/>
              <w:jc w:val="center"/>
              <w:rPr>
                <w:rFonts w:ascii="Arial" w:hAnsi="Arial" w:cs="Arial"/>
                <w:b/>
                <w:bCs/>
              </w:rPr>
            </w:pPr>
            <w:r w:rsidRPr="002B0E12">
              <w:rPr>
                <w:rFonts w:ascii="Arial" w:hAnsi="Arial" w:cs="Arial"/>
                <w:b/>
                <w:bCs/>
              </w:rPr>
              <w:t>/RDA</w:t>
            </w:r>
            <w:r w:rsidRPr="002B0E12">
              <w:rPr>
                <w:rFonts w:ascii="Tahoma" w:hAnsi="Tahoma" w:cs="Tahoma"/>
                <w:vertAlign w:val="superscript"/>
              </w:rPr>
              <w:t>⸸⸸</w:t>
            </w:r>
          </w:p>
        </w:tc>
        <w:tc>
          <w:tcPr>
            <w:tcW w:w="1764" w:type="dxa"/>
            <w:tcBorders>
              <w:top w:val="single" w:sz="4" w:space="0" w:color="auto"/>
              <w:left w:val="single" w:sz="4" w:space="0" w:color="auto"/>
              <w:bottom w:val="single" w:sz="4" w:space="0" w:color="auto"/>
              <w:right w:val="single" w:sz="4" w:space="0" w:color="auto"/>
            </w:tcBorders>
            <w:vAlign w:val="center"/>
          </w:tcPr>
          <w:p w14:paraId="21B7EF72" w14:textId="77777777" w:rsidR="005409E2" w:rsidRPr="002B0E12" w:rsidRDefault="005409E2" w:rsidP="0048694B">
            <w:pPr>
              <w:spacing w:after="0"/>
              <w:jc w:val="center"/>
              <w:rPr>
                <w:rFonts w:ascii="Arial" w:hAnsi="Arial" w:cs="Arial"/>
                <w:b/>
              </w:rPr>
            </w:pPr>
            <w:r w:rsidRPr="002B0E12">
              <w:rPr>
                <w:rFonts w:ascii="Arial" w:hAnsi="Arial" w:cs="Arial"/>
                <w:b/>
              </w:rPr>
              <w:t xml:space="preserve">Urban </w:t>
            </w:r>
          </w:p>
          <w:p w14:paraId="2869AD33" w14:textId="77777777" w:rsidR="005409E2" w:rsidRPr="002B0E12" w:rsidRDefault="005409E2" w:rsidP="0048694B">
            <w:pPr>
              <w:spacing w:after="0"/>
              <w:jc w:val="center"/>
              <w:rPr>
                <w:rFonts w:ascii="Arial" w:hAnsi="Arial" w:cs="Arial"/>
                <w:b/>
              </w:rPr>
            </w:pPr>
            <w:r w:rsidRPr="002B0E12">
              <w:rPr>
                <w:rFonts w:ascii="Arial" w:hAnsi="Arial" w:cs="Arial"/>
                <w:b/>
              </w:rPr>
              <w:t>(n=22)</w:t>
            </w:r>
          </w:p>
        </w:tc>
        <w:tc>
          <w:tcPr>
            <w:tcW w:w="1984" w:type="dxa"/>
            <w:tcBorders>
              <w:top w:val="single" w:sz="4" w:space="0" w:color="auto"/>
              <w:left w:val="single" w:sz="4" w:space="0" w:color="auto"/>
              <w:bottom w:val="single" w:sz="4" w:space="0" w:color="auto"/>
              <w:right w:val="single" w:sz="4" w:space="0" w:color="auto"/>
            </w:tcBorders>
            <w:vAlign w:val="center"/>
          </w:tcPr>
          <w:p w14:paraId="79264D9F" w14:textId="77777777" w:rsidR="005409E2" w:rsidRPr="002B0E12" w:rsidRDefault="005409E2" w:rsidP="0048694B">
            <w:pPr>
              <w:spacing w:after="0"/>
              <w:jc w:val="center"/>
              <w:rPr>
                <w:rFonts w:ascii="Arial" w:hAnsi="Arial" w:cs="Arial"/>
                <w:b/>
              </w:rPr>
            </w:pPr>
            <w:r w:rsidRPr="002B0E12">
              <w:rPr>
                <w:rFonts w:ascii="Arial" w:hAnsi="Arial" w:cs="Arial"/>
                <w:b/>
              </w:rPr>
              <w:t xml:space="preserve">Rural </w:t>
            </w:r>
          </w:p>
          <w:p w14:paraId="4D7CD3A2" w14:textId="77777777" w:rsidR="005409E2" w:rsidRPr="002B0E12" w:rsidRDefault="005409E2" w:rsidP="0048694B">
            <w:pPr>
              <w:spacing w:after="0"/>
              <w:jc w:val="center"/>
              <w:rPr>
                <w:rFonts w:ascii="Arial" w:hAnsi="Arial" w:cs="Arial"/>
                <w:b/>
              </w:rPr>
            </w:pPr>
            <w:r w:rsidRPr="002B0E12">
              <w:rPr>
                <w:rFonts w:ascii="Arial" w:hAnsi="Arial" w:cs="Arial"/>
                <w:b/>
              </w:rPr>
              <w:t>(n=24)</w:t>
            </w:r>
          </w:p>
        </w:tc>
        <w:tc>
          <w:tcPr>
            <w:tcW w:w="1636" w:type="dxa"/>
            <w:tcBorders>
              <w:top w:val="single" w:sz="4" w:space="0" w:color="auto"/>
              <w:left w:val="single" w:sz="4" w:space="0" w:color="auto"/>
              <w:bottom w:val="single" w:sz="4" w:space="0" w:color="auto"/>
              <w:right w:val="single" w:sz="4" w:space="0" w:color="auto"/>
            </w:tcBorders>
            <w:vAlign w:val="center"/>
          </w:tcPr>
          <w:p w14:paraId="48CFC5E4" w14:textId="77777777" w:rsidR="005409E2" w:rsidRPr="002B0E12" w:rsidRDefault="005409E2" w:rsidP="0048694B">
            <w:pPr>
              <w:spacing w:after="0"/>
              <w:jc w:val="center"/>
              <w:rPr>
                <w:rFonts w:ascii="Arial" w:hAnsi="Arial" w:cs="Arial"/>
                <w:b/>
              </w:rPr>
            </w:pPr>
            <w:r w:rsidRPr="002B0E12">
              <w:rPr>
                <w:rFonts w:ascii="Arial" w:hAnsi="Arial" w:cs="Arial"/>
                <w:b/>
              </w:rPr>
              <w:t>EAR</w:t>
            </w:r>
            <w:r w:rsidRPr="002B0E12">
              <w:rPr>
                <w:rFonts w:ascii="Tahoma" w:hAnsi="Tahoma" w:cs="Tahoma"/>
                <w:vertAlign w:val="superscript"/>
              </w:rPr>
              <w:t>⸸</w:t>
            </w:r>
          </w:p>
          <w:p w14:paraId="65E7A613" w14:textId="77777777" w:rsidR="005409E2" w:rsidRPr="002B0E12" w:rsidRDefault="005409E2" w:rsidP="0048694B">
            <w:pPr>
              <w:spacing w:after="0"/>
              <w:jc w:val="center"/>
              <w:rPr>
                <w:rFonts w:ascii="Arial" w:hAnsi="Arial" w:cs="Arial"/>
                <w:b/>
              </w:rPr>
            </w:pPr>
            <w:r w:rsidRPr="002B0E12">
              <w:rPr>
                <w:rFonts w:ascii="Arial" w:hAnsi="Arial" w:cs="Arial"/>
                <w:b/>
                <w:bCs/>
              </w:rPr>
              <w:t>/RDA</w:t>
            </w:r>
            <w:r w:rsidRPr="002B0E12">
              <w:rPr>
                <w:rFonts w:ascii="Tahoma" w:hAnsi="Tahoma" w:cs="Tahoma"/>
                <w:vertAlign w:val="superscript"/>
              </w:rPr>
              <w:t>⸸⸸</w:t>
            </w:r>
          </w:p>
        </w:tc>
      </w:tr>
      <w:tr w:rsidR="002B0E12" w:rsidRPr="002B0E12" w14:paraId="38F3F0EF" w14:textId="77777777" w:rsidTr="0048694B">
        <w:trPr>
          <w:trHeight w:val="602"/>
          <w:jc w:val="center"/>
        </w:trPr>
        <w:tc>
          <w:tcPr>
            <w:tcW w:w="2046" w:type="dxa"/>
            <w:tcBorders>
              <w:top w:val="single" w:sz="4" w:space="0" w:color="auto"/>
              <w:left w:val="single" w:sz="4" w:space="0" w:color="auto"/>
              <w:bottom w:val="single" w:sz="4" w:space="0" w:color="auto"/>
              <w:right w:val="single" w:sz="4" w:space="0" w:color="auto"/>
            </w:tcBorders>
            <w:vAlign w:val="center"/>
          </w:tcPr>
          <w:p w14:paraId="29F9E531" w14:textId="77777777" w:rsidR="005409E2" w:rsidRPr="002B0E12" w:rsidRDefault="005409E2" w:rsidP="0048694B">
            <w:pPr>
              <w:spacing w:after="0"/>
              <w:rPr>
                <w:rFonts w:ascii="Arial" w:hAnsi="Arial" w:cs="Arial"/>
                <w:b/>
              </w:rPr>
            </w:pPr>
            <w:r w:rsidRPr="002B0E12">
              <w:rPr>
                <w:rFonts w:ascii="Arial" w:hAnsi="Arial" w:cs="Arial"/>
                <w:b/>
              </w:rPr>
              <w:t>SFA, g</w:t>
            </w:r>
          </w:p>
        </w:tc>
        <w:tc>
          <w:tcPr>
            <w:tcW w:w="1710" w:type="dxa"/>
            <w:tcBorders>
              <w:top w:val="single" w:sz="4" w:space="0" w:color="auto"/>
              <w:left w:val="single" w:sz="4" w:space="0" w:color="auto"/>
              <w:bottom w:val="single" w:sz="4" w:space="0" w:color="auto"/>
              <w:right w:val="single" w:sz="4" w:space="0" w:color="auto"/>
            </w:tcBorders>
            <w:vAlign w:val="center"/>
          </w:tcPr>
          <w:p w14:paraId="72DA5C58" w14:textId="77777777" w:rsidR="005409E2" w:rsidRPr="002B0E12" w:rsidRDefault="005409E2" w:rsidP="0048694B">
            <w:pPr>
              <w:spacing w:after="0"/>
              <w:jc w:val="center"/>
              <w:rPr>
                <w:rFonts w:ascii="Arial" w:hAnsi="Arial" w:cs="Arial"/>
              </w:rPr>
            </w:pPr>
            <w:r w:rsidRPr="002B0E12">
              <w:rPr>
                <w:rFonts w:ascii="Arial" w:hAnsi="Arial" w:cs="Arial"/>
              </w:rPr>
              <w:t>23.2</w:t>
            </w:r>
            <w:r w:rsidRPr="002B0E12">
              <w:rPr>
                <w:rFonts w:ascii="Arial" w:hAnsi="Arial" w:cs="Arial"/>
                <w:vertAlign w:val="superscript"/>
              </w:rPr>
              <w:t>aA</w:t>
            </w:r>
            <w:r w:rsidRPr="002B0E12">
              <w:rPr>
                <w:rFonts w:ascii="Arial" w:hAnsi="Arial" w:cs="Arial"/>
              </w:rPr>
              <w:t xml:space="preserve"> ±1.29</w:t>
            </w:r>
          </w:p>
        </w:tc>
        <w:tc>
          <w:tcPr>
            <w:tcW w:w="1710" w:type="dxa"/>
            <w:tcBorders>
              <w:top w:val="single" w:sz="4" w:space="0" w:color="auto"/>
              <w:left w:val="single" w:sz="4" w:space="0" w:color="auto"/>
              <w:right w:val="single" w:sz="4" w:space="0" w:color="auto"/>
            </w:tcBorders>
            <w:vAlign w:val="center"/>
          </w:tcPr>
          <w:p w14:paraId="3E15A11E" w14:textId="77777777" w:rsidR="005409E2" w:rsidRPr="002B0E12" w:rsidRDefault="005409E2" w:rsidP="0048694B">
            <w:pPr>
              <w:spacing w:after="0"/>
              <w:jc w:val="center"/>
              <w:rPr>
                <w:rFonts w:ascii="Arial" w:hAnsi="Arial" w:cs="Arial"/>
              </w:rPr>
            </w:pPr>
            <w:r w:rsidRPr="002B0E12">
              <w:rPr>
                <w:rFonts w:ascii="Arial" w:hAnsi="Arial" w:cs="Arial"/>
              </w:rPr>
              <w:t>18.2</w:t>
            </w:r>
            <w:r w:rsidRPr="002B0E12">
              <w:rPr>
                <w:rFonts w:ascii="Arial" w:hAnsi="Arial" w:cs="Arial"/>
                <w:vertAlign w:val="superscript"/>
              </w:rPr>
              <w:t>bA</w:t>
            </w:r>
            <w:r w:rsidRPr="002B0E12">
              <w:rPr>
                <w:rFonts w:ascii="Arial" w:hAnsi="Arial" w:cs="Arial"/>
              </w:rPr>
              <w:t xml:space="preserve"> ±1.03</w:t>
            </w:r>
          </w:p>
        </w:tc>
        <w:tc>
          <w:tcPr>
            <w:tcW w:w="1620" w:type="dxa"/>
            <w:tcBorders>
              <w:top w:val="single" w:sz="4" w:space="0" w:color="auto"/>
              <w:left w:val="single" w:sz="4" w:space="0" w:color="auto"/>
              <w:bottom w:val="single" w:sz="4" w:space="0" w:color="auto"/>
              <w:right w:val="single" w:sz="4" w:space="0" w:color="auto"/>
            </w:tcBorders>
            <w:vAlign w:val="center"/>
          </w:tcPr>
          <w:p w14:paraId="5ED2CD32" w14:textId="77777777" w:rsidR="005409E2" w:rsidRPr="002B0E12" w:rsidRDefault="005409E2" w:rsidP="0048694B">
            <w:pPr>
              <w:spacing w:after="0"/>
              <w:jc w:val="center"/>
              <w:rPr>
                <w:rFonts w:ascii="Arial" w:hAnsi="Arial" w:cs="Arial"/>
              </w:rPr>
            </w:pPr>
            <w:r w:rsidRPr="002B0E12">
              <w:rPr>
                <w:rFonts w:ascii="Arial" w:hAnsi="Arial" w:cs="Arial"/>
              </w:rPr>
              <w:t>&lt;10%E</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5816D413" w14:textId="77777777" w:rsidR="005409E2" w:rsidRPr="002B0E12" w:rsidRDefault="005409E2" w:rsidP="0048694B">
            <w:pPr>
              <w:spacing w:after="0"/>
              <w:jc w:val="center"/>
              <w:rPr>
                <w:rFonts w:ascii="Arial" w:hAnsi="Arial" w:cs="Arial"/>
              </w:rPr>
            </w:pPr>
            <w:r w:rsidRPr="002B0E12">
              <w:rPr>
                <w:rFonts w:ascii="Arial" w:hAnsi="Arial" w:cs="Arial"/>
              </w:rPr>
              <w:t>23.7</w:t>
            </w:r>
            <w:r w:rsidRPr="002B0E12">
              <w:rPr>
                <w:rFonts w:ascii="Arial" w:hAnsi="Arial" w:cs="Arial"/>
                <w:vertAlign w:val="superscript"/>
              </w:rPr>
              <w:t>aA</w:t>
            </w:r>
            <w:r w:rsidRPr="002B0E12">
              <w:rPr>
                <w:rFonts w:ascii="Arial" w:hAnsi="Arial" w:cs="Arial"/>
              </w:rPr>
              <w:t xml:space="preserve"> ±1.65</w:t>
            </w:r>
          </w:p>
        </w:tc>
        <w:tc>
          <w:tcPr>
            <w:tcW w:w="1984" w:type="dxa"/>
            <w:tcBorders>
              <w:top w:val="single" w:sz="4" w:space="0" w:color="auto"/>
              <w:left w:val="single" w:sz="4" w:space="0" w:color="auto"/>
              <w:right w:val="single" w:sz="4" w:space="0" w:color="auto"/>
            </w:tcBorders>
            <w:vAlign w:val="center"/>
          </w:tcPr>
          <w:p w14:paraId="7ED2BFBB" w14:textId="77777777" w:rsidR="005409E2" w:rsidRPr="002B0E12" w:rsidRDefault="005409E2" w:rsidP="0048694B">
            <w:pPr>
              <w:spacing w:after="0"/>
              <w:jc w:val="center"/>
              <w:rPr>
                <w:rFonts w:ascii="Arial" w:hAnsi="Arial" w:cs="Arial"/>
              </w:rPr>
            </w:pPr>
            <w:r w:rsidRPr="002B0E12">
              <w:rPr>
                <w:rFonts w:ascii="Arial" w:hAnsi="Arial" w:cs="Arial"/>
              </w:rPr>
              <w:t>16.99</w:t>
            </w:r>
            <w:r w:rsidRPr="002B0E12">
              <w:rPr>
                <w:rFonts w:ascii="Arial" w:hAnsi="Arial" w:cs="Arial"/>
                <w:vertAlign w:val="superscript"/>
              </w:rPr>
              <w:t>bA</w:t>
            </w:r>
            <w:r w:rsidRPr="002B0E12">
              <w:rPr>
                <w:rFonts w:ascii="Arial" w:hAnsi="Arial" w:cs="Arial"/>
              </w:rPr>
              <w:t xml:space="preserve"> ±0.62</w:t>
            </w:r>
          </w:p>
        </w:tc>
        <w:tc>
          <w:tcPr>
            <w:tcW w:w="1636" w:type="dxa"/>
            <w:tcBorders>
              <w:top w:val="single" w:sz="4" w:space="0" w:color="auto"/>
              <w:left w:val="single" w:sz="4" w:space="0" w:color="auto"/>
              <w:bottom w:val="single" w:sz="4" w:space="0" w:color="auto"/>
              <w:right w:val="single" w:sz="4" w:space="0" w:color="auto"/>
            </w:tcBorders>
            <w:vAlign w:val="center"/>
          </w:tcPr>
          <w:p w14:paraId="7612592C" w14:textId="77777777" w:rsidR="005409E2" w:rsidRPr="002B0E12" w:rsidRDefault="005409E2" w:rsidP="0048694B">
            <w:pPr>
              <w:spacing w:after="0"/>
              <w:jc w:val="center"/>
              <w:rPr>
                <w:rFonts w:ascii="Arial" w:hAnsi="Arial" w:cs="Arial"/>
              </w:rPr>
            </w:pPr>
            <w:r w:rsidRPr="002B0E12">
              <w:rPr>
                <w:rFonts w:ascii="Arial" w:hAnsi="Arial" w:cs="Arial"/>
              </w:rPr>
              <w:t>&lt;10%E</w:t>
            </w:r>
            <w:r w:rsidRPr="002B0E12">
              <w:rPr>
                <w:rFonts w:ascii="Tahoma" w:hAnsi="Tahoma" w:cs="Tahoma"/>
                <w:vertAlign w:val="superscript"/>
              </w:rPr>
              <w:t>⸸⸸</w:t>
            </w:r>
          </w:p>
        </w:tc>
      </w:tr>
      <w:tr w:rsidR="002B0E12" w:rsidRPr="002B0E12" w14:paraId="1D8F49AC" w14:textId="77777777" w:rsidTr="0048694B">
        <w:trPr>
          <w:trHeight w:val="566"/>
          <w:jc w:val="center"/>
        </w:trPr>
        <w:tc>
          <w:tcPr>
            <w:tcW w:w="2046" w:type="dxa"/>
            <w:tcBorders>
              <w:top w:val="single" w:sz="4" w:space="0" w:color="auto"/>
              <w:left w:val="single" w:sz="4" w:space="0" w:color="auto"/>
              <w:bottom w:val="single" w:sz="4" w:space="0" w:color="auto"/>
              <w:right w:val="single" w:sz="4" w:space="0" w:color="auto"/>
            </w:tcBorders>
            <w:vAlign w:val="center"/>
          </w:tcPr>
          <w:p w14:paraId="016ED5B9" w14:textId="77777777" w:rsidR="005409E2" w:rsidRPr="002B0E12" w:rsidRDefault="005409E2" w:rsidP="0048694B">
            <w:pPr>
              <w:spacing w:after="0"/>
              <w:rPr>
                <w:rFonts w:ascii="Arial" w:hAnsi="Arial" w:cs="Arial"/>
                <w:b/>
              </w:rPr>
            </w:pPr>
            <w:r w:rsidRPr="002B0E12">
              <w:rPr>
                <w:rFonts w:ascii="Arial" w:hAnsi="Arial" w:cs="Arial"/>
                <w:b/>
              </w:rPr>
              <w:t>MUFA, g</w:t>
            </w:r>
          </w:p>
        </w:tc>
        <w:tc>
          <w:tcPr>
            <w:tcW w:w="1710" w:type="dxa"/>
            <w:tcBorders>
              <w:top w:val="single" w:sz="4" w:space="0" w:color="auto"/>
              <w:left w:val="single" w:sz="4" w:space="0" w:color="auto"/>
              <w:right w:val="single" w:sz="4" w:space="0" w:color="auto"/>
            </w:tcBorders>
            <w:vAlign w:val="center"/>
          </w:tcPr>
          <w:p w14:paraId="1409C5F8" w14:textId="77777777" w:rsidR="005409E2" w:rsidRPr="002B0E12" w:rsidRDefault="005409E2" w:rsidP="0048694B">
            <w:pPr>
              <w:spacing w:after="0"/>
              <w:rPr>
                <w:rFonts w:ascii="Arial" w:hAnsi="Arial" w:cs="Arial"/>
              </w:rPr>
            </w:pPr>
            <w:r w:rsidRPr="002B0E12">
              <w:rPr>
                <w:rFonts w:ascii="Arial" w:hAnsi="Arial" w:cs="Arial"/>
              </w:rPr>
              <w:t>12.61</w:t>
            </w:r>
            <w:r w:rsidRPr="002B0E12">
              <w:rPr>
                <w:rFonts w:ascii="Arial" w:hAnsi="Arial" w:cs="Arial"/>
                <w:vertAlign w:val="superscript"/>
              </w:rPr>
              <w:t>aA</w:t>
            </w:r>
            <w:r w:rsidRPr="002B0E12">
              <w:rPr>
                <w:rFonts w:ascii="Arial" w:hAnsi="Arial" w:cs="Arial"/>
              </w:rPr>
              <w:t xml:space="preserve"> ±0.976</w:t>
            </w:r>
          </w:p>
        </w:tc>
        <w:tc>
          <w:tcPr>
            <w:tcW w:w="1710" w:type="dxa"/>
            <w:tcBorders>
              <w:top w:val="single" w:sz="4" w:space="0" w:color="auto"/>
              <w:left w:val="single" w:sz="4" w:space="0" w:color="auto"/>
              <w:right w:val="single" w:sz="4" w:space="0" w:color="auto"/>
            </w:tcBorders>
            <w:vAlign w:val="center"/>
          </w:tcPr>
          <w:p w14:paraId="55FC7191" w14:textId="77777777" w:rsidR="005409E2" w:rsidRPr="002B0E12" w:rsidRDefault="005409E2" w:rsidP="0048694B">
            <w:pPr>
              <w:spacing w:after="0"/>
              <w:jc w:val="center"/>
              <w:rPr>
                <w:rFonts w:ascii="Arial" w:hAnsi="Arial" w:cs="Arial"/>
              </w:rPr>
            </w:pPr>
            <w:r w:rsidRPr="002B0E12">
              <w:rPr>
                <w:rFonts w:ascii="Arial" w:hAnsi="Arial" w:cs="Arial"/>
              </w:rPr>
              <w:t>10.66</w:t>
            </w:r>
            <w:r w:rsidRPr="002B0E12">
              <w:rPr>
                <w:rFonts w:ascii="Arial" w:hAnsi="Arial" w:cs="Arial"/>
                <w:vertAlign w:val="superscript"/>
              </w:rPr>
              <w:t>bA</w:t>
            </w:r>
            <w:r w:rsidRPr="002B0E12">
              <w:rPr>
                <w:rFonts w:ascii="Arial" w:hAnsi="Arial" w:cs="Arial"/>
              </w:rPr>
              <w:t xml:space="preserve"> ±0.604</w:t>
            </w:r>
          </w:p>
        </w:tc>
        <w:tc>
          <w:tcPr>
            <w:tcW w:w="1620" w:type="dxa"/>
            <w:tcBorders>
              <w:top w:val="single" w:sz="4" w:space="0" w:color="auto"/>
              <w:left w:val="single" w:sz="4" w:space="0" w:color="auto"/>
              <w:bottom w:val="single" w:sz="4" w:space="0" w:color="auto"/>
              <w:right w:val="single" w:sz="4" w:space="0" w:color="auto"/>
            </w:tcBorders>
            <w:vAlign w:val="center"/>
          </w:tcPr>
          <w:p w14:paraId="509DAF0A" w14:textId="77777777" w:rsidR="005409E2" w:rsidRPr="002B0E12" w:rsidRDefault="005409E2" w:rsidP="0048694B">
            <w:pPr>
              <w:spacing w:after="0"/>
              <w:jc w:val="center"/>
              <w:rPr>
                <w:rFonts w:ascii="Arial" w:hAnsi="Arial" w:cs="Arial"/>
              </w:rPr>
            </w:pPr>
            <w:r w:rsidRPr="002B0E12">
              <w:rPr>
                <w:rFonts w:ascii="Arial" w:hAnsi="Arial" w:cs="Arial"/>
              </w:rPr>
              <w:t>20%E</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4C50EF52" w14:textId="77777777" w:rsidR="005409E2" w:rsidRPr="002B0E12" w:rsidRDefault="005409E2" w:rsidP="0048694B">
            <w:pPr>
              <w:spacing w:after="0"/>
              <w:jc w:val="center"/>
              <w:rPr>
                <w:rFonts w:ascii="Arial" w:hAnsi="Arial" w:cs="Arial"/>
              </w:rPr>
            </w:pPr>
            <w:r w:rsidRPr="002B0E12">
              <w:rPr>
                <w:rFonts w:ascii="Arial" w:hAnsi="Arial" w:cs="Arial"/>
              </w:rPr>
              <w:t>14.02</w:t>
            </w:r>
            <w:r w:rsidRPr="002B0E12">
              <w:rPr>
                <w:rFonts w:ascii="Arial" w:hAnsi="Arial" w:cs="Arial"/>
                <w:vertAlign w:val="superscript"/>
              </w:rPr>
              <w:t>aA</w:t>
            </w:r>
            <w:r w:rsidRPr="002B0E12">
              <w:rPr>
                <w:rFonts w:ascii="Arial" w:hAnsi="Arial" w:cs="Arial"/>
              </w:rPr>
              <w:t xml:space="preserve"> ±1.119</w:t>
            </w:r>
          </w:p>
        </w:tc>
        <w:tc>
          <w:tcPr>
            <w:tcW w:w="1984" w:type="dxa"/>
            <w:tcBorders>
              <w:top w:val="single" w:sz="4" w:space="0" w:color="auto"/>
              <w:left w:val="single" w:sz="4" w:space="0" w:color="auto"/>
              <w:right w:val="single" w:sz="4" w:space="0" w:color="auto"/>
            </w:tcBorders>
            <w:vAlign w:val="center"/>
          </w:tcPr>
          <w:p w14:paraId="57F9EAB7" w14:textId="77777777" w:rsidR="005409E2" w:rsidRPr="002B0E12" w:rsidRDefault="005409E2" w:rsidP="0048694B">
            <w:pPr>
              <w:spacing w:after="0"/>
              <w:jc w:val="center"/>
              <w:rPr>
                <w:rFonts w:ascii="Arial" w:hAnsi="Arial" w:cs="Arial"/>
              </w:rPr>
            </w:pPr>
            <w:r w:rsidRPr="002B0E12">
              <w:rPr>
                <w:rFonts w:ascii="Arial" w:hAnsi="Arial" w:cs="Arial"/>
              </w:rPr>
              <w:t>9.8</w:t>
            </w:r>
            <w:r w:rsidRPr="002B0E12">
              <w:rPr>
                <w:rFonts w:ascii="Arial" w:hAnsi="Arial" w:cs="Arial"/>
                <w:vertAlign w:val="superscript"/>
              </w:rPr>
              <w:t>bA</w:t>
            </w:r>
            <w:r w:rsidRPr="002B0E12">
              <w:rPr>
                <w:rFonts w:ascii="Arial" w:hAnsi="Arial" w:cs="Arial"/>
              </w:rPr>
              <w:t xml:space="preserve"> ±0.55</w:t>
            </w:r>
          </w:p>
        </w:tc>
        <w:tc>
          <w:tcPr>
            <w:tcW w:w="1636" w:type="dxa"/>
            <w:tcBorders>
              <w:top w:val="single" w:sz="4" w:space="0" w:color="auto"/>
              <w:left w:val="single" w:sz="4" w:space="0" w:color="auto"/>
              <w:bottom w:val="single" w:sz="4" w:space="0" w:color="auto"/>
              <w:right w:val="single" w:sz="4" w:space="0" w:color="auto"/>
            </w:tcBorders>
            <w:vAlign w:val="center"/>
          </w:tcPr>
          <w:p w14:paraId="29AE44BA" w14:textId="77777777" w:rsidR="005409E2" w:rsidRPr="002B0E12" w:rsidRDefault="005409E2" w:rsidP="0048694B">
            <w:pPr>
              <w:spacing w:after="0"/>
              <w:jc w:val="center"/>
              <w:rPr>
                <w:rFonts w:ascii="Arial" w:hAnsi="Arial" w:cs="Arial"/>
              </w:rPr>
            </w:pPr>
            <w:r w:rsidRPr="002B0E12">
              <w:rPr>
                <w:rFonts w:ascii="Arial" w:hAnsi="Arial" w:cs="Arial"/>
              </w:rPr>
              <w:t>20%E</w:t>
            </w:r>
            <w:r w:rsidRPr="002B0E12">
              <w:rPr>
                <w:rFonts w:ascii="Tahoma" w:hAnsi="Tahoma" w:cs="Tahoma"/>
                <w:vertAlign w:val="superscript"/>
              </w:rPr>
              <w:t>⸸⸸</w:t>
            </w:r>
          </w:p>
        </w:tc>
      </w:tr>
      <w:tr w:rsidR="002B0E12" w:rsidRPr="002B0E12" w14:paraId="64F7FDE5" w14:textId="77777777" w:rsidTr="0048694B">
        <w:trPr>
          <w:trHeight w:val="584"/>
          <w:jc w:val="center"/>
        </w:trPr>
        <w:tc>
          <w:tcPr>
            <w:tcW w:w="2046" w:type="dxa"/>
            <w:tcBorders>
              <w:top w:val="single" w:sz="4" w:space="0" w:color="auto"/>
              <w:left w:val="single" w:sz="4" w:space="0" w:color="auto"/>
              <w:bottom w:val="single" w:sz="4" w:space="0" w:color="auto"/>
              <w:right w:val="single" w:sz="4" w:space="0" w:color="auto"/>
            </w:tcBorders>
            <w:vAlign w:val="center"/>
          </w:tcPr>
          <w:p w14:paraId="1D0A0482" w14:textId="77777777" w:rsidR="005409E2" w:rsidRPr="002B0E12" w:rsidRDefault="005409E2" w:rsidP="0048694B">
            <w:pPr>
              <w:spacing w:after="0"/>
              <w:rPr>
                <w:rFonts w:ascii="Arial" w:hAnsi="Arial" w:cs="Arial"/>
                <w:b/>
              </w:rPr>
            </w:pPr>
            <w:r w:rsidRPr="002B0E12">
              <w:rPr>
                <w:rFonts w:ascii="Arial" w:hAnsi="Arial" w:cs="Arial"/>
                <w:b/>
              </w:rPr>
              <w:t>PUFA, g</w:t>
            </w:r>
          </w:p>
        </w:tc>
        <w:tc>
          <w:tcPr>
            <w:tcW w:w="1710" w:type="dxa"/>
            <w:tcBorders>
              <w:top w:val="single" w:sz="4" w:space="0" w:color="auto"/>
              <w:left w:val="single" w:sz="4" w:space="0" w:color="auto"/>
              <w:right w:val="single" w:sz="4" w:space="0" w:color="auto"/>
            </w:tcBorders>
            <w:vAlign w:val="center"/>
          </w:tcPr>
          <w:p w14:paraId="245BAB79" w14:textId="77777777" w:rsidR="005409E2" w:rsidRPr="002B0E12" w:rsidRDefault="005409E2" w:rsidP="0048694B">
            <w:pPr>
              <w:spacing w:after="0"/>
              <w:jc w:val="center"/>
              <w:rPr>
                <w:rFonts w:ascii="Arial" w:hAnsi="Arial" w:cs="Arial"/>
              </w:rPr>
            </w:pPr>
            <w:r w:rsidRPr="002B0E12">
              <w:rPr>
                <w:rFonts w:ascii="Arial" w:hAnsi="Arial" w:cs="Arial"/>
              </w:rPr>
              <w:t>7.70</w:t>
            </w:r>
            <w:r w:rsidRPr="002B0E12">
              <w:rPr>
                <w:rFonts w:ascii="Arial" w:hAnsi="Arial" w:cs="Arial"/>
                <w:vertAlign w:val="superscript"/>
              </w:rPr>
              <w:t>aA</w:t>
            </w:r>
            <w:r w:rsidRPr="002B0E12">
              <w:rPr>
                <w:rFonts w:ascii="Arial" w:hAnsi="Arial" w:cs="Arial"/>
              </w:rPr>
              <w:t xml:space="preserve"> ±0.738</w:t>
            </w:r>
          </w:p>
        </w:tc>
        <w:tc>
          <w:tcPr>
            <w:tcW w:w="1710" w:type="dxa"/>
            <w:tcBorders>
              <w:top w:val="single" w:sz="4" w:space="0" w:color="auto"/>
              <w:left w:val="single" w:sz="4" w:space="0" w:color="auto"/>
              <w:right w:val="single" w:sz="4" w:space="0" w:color="auto"/>
            </w:tcBorders>
            <w:vAlign w:val="center"/>
          </w:tcPr>
          <w:p w14:paraId="6BCDF5EE" w14:textId="77777777" w:rsidR="005409E2" w:rsidRPr="002B0E12" w:rsidRDefault="005409E2" w:rsidP="0048694B">
            <w:pPr>
              <w:spacing w:after="0"/>
              <w:jc w:val="center"/>
              <w:rPr>
                <w:rFonts w:ascii="Arial" w:hAnsi="Arial" w:cs="Arial"/>
              </w:rPr>
            </w:pPr>
            <w:r w:rsidRPr="002B0E12">
              <w:rPr>
                <w:rFonts w:ascii="Arial" w:hAnsi="Arial" w:cs="Arial"/>
              </w:rPr>
              <w:t>6.89</w:t>
            </w:r>
            <w:r w:rsidRPr="002B0E12">
              <w:rPr>
                <w:rFonts w:ascii="Arial" w:hAnsi="Arial" w:cs="Arial"/>
                <w:vertAlign w:val="superscript"/>
              </w:rPr>
              <w:t>aA</w:t>
            </w:r>
            <w:r w:rsidRPr="002B0E12">
              <w:rPr>
                <w:rFonts w:ascii="Arial" w:hAnsi="Arial" w:cs="Arial"/>
              </w:rPr>
              <w:t xml:space="preserve"> ±0.333</w:t>
            </w:r>
          </w:p>
        </w:tc>
        <w:tc>
          <w:tcPr>
            <w:tcW w:w="1620" w:type="dxa"/>
            <w:tcBorders>
              <w:top w:val="single" w:sz="4" w:space="0" w:color="auto"/>
              <w:left w:val="single" w:sz="4" w:space="0" w:color="auto"/>
              <w:bottom w:val="single" w:sz="4" w:space="0" w:color="auto"/>
              <w:right w:val="single" w:sz="4" w:space="0" w:color="auto"/>
            </w:tcBorders>
            <w:vAlign w:val="center"/>
          </w:tcPr>
          <w:p w14:paraId="57609569" w14:textId="77777777" w:rsidR="005409E2" w:rsidRPr="002B0E12" w:rsidRDefault="005409E2" w:rsidP="0048694B">
            <w:pPr>
              <w:spacing w:after="0"/>
              <w:jc w:val="center"/>
              <w:rPr>
                <w:rFonts w:ascii="Arial" w:hAnsi="Arial" w:cs="Arial"/>
              </w:rPr>
            </w:pPr>
            <w:r w:rsidRPr="002B0E12">
              <w:rPr>
                <w:rFonts w:ascii="Arial" w:hAnsi="Arial" w:cs="Arial"/>
              </w:rPr>
              <w:t>6-11%E</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2F50B0D7" w14:textId="77777777" w:rsidR="005409E2" w:rsidRPr="002B0E12" w:rsidRDefault="005409E2" w:rsidP="0048694B">
            <w:pPr>
              <w:spacing w:after="0"/>
              <w:jc w:val="center"/>
              <w:rPr>
                <w:rFonts w:ascii="Arial" w:hAnsi="Arial" w:cs="Arial"/>
              </w:rPr>
            </w:pPr>
            <w:r w:rsidRPr="002B0E12">
              <w:rPr>
                <w:rFonts w:ascii="Arial" w:hAnsi="Arial" w:cs="Arial"/>
              </w:rPr>
              <w:t>7.68</w:t>
            </w:r>
            <w:r w:rsidRPr="002B0E12">
              <w:rPr>
                <w:rFonts w:ascii="Arial" w:hAnsi="Arial" w:cs="Arial"/>
                <w:vertAlign w:val="superscript"/>
              </w:rPr>
              <w:t>aA</w:t>
            </w:r>
            <w:r w:rsidRPr="002B0E12">
              <w:rPr>
                <w:rFonts w:ascii="Arial" w:hAnsi="Arial" w:cs="Arial"/>
              </w:rPr>
              <w:t xml:space="preserve"> ±0.750</w:t>
            </w:r>
          </w:p>
        </w:tc>
        <w:tc>
          <w:tcPr>
            <w:tcW w:w="1984" w:type="dxa"/>
            <w:tcBorders>
              <w:top w:val="single" w:sz="4" w:space="0" w:color="auto"/>
              <w:left w:val="single" w:sz="4" w:space="0" w:color="auto"/>
              <w:right w:val="single" w:sz="4" w:space="0" w:color="auto"/>
            </w:tcBorders>
            <w:vAlign w:val="center"/>
          </w:tcPr>
          <w:p w14:paraId="459CFDD3" w14:textId="77777777" w:rsidR="005409E2" w:rsidRPr="002B0E12" w:rsidRDefault="005409E2" w:rsidP="0048694B">
            <w:pPr>
              <w:spacing w:after="0"/>
              <w:jc w:val="center"/>
              <w:rPr>
                <w:rFonts w:ascii="Arial" w:hAnsi="Arial" w:cs="Arial"/>
              </w:rPr>
            </w:pPr>
            <w:r w:rsidRPr="002B0E12">
              <w:rPr>
                <w:rFonts w:ascii="Arial" w:hAnsi="Arial" w:cs="Arial"/>
              </w:rPr>
              <w:t>6.08</w:t>
            </w:r>
            <w:r w:rsidRPr="002B0E12">
              <w:rPr>
                <w:rFonts w:ascii="Arial" w:hAnsi="Arial" w:cs="Arial"/>
                <w:vertAlign w:val="superscript"/>
              </w:rPr>
              <w:t>bA</w:t>
            </w:r>
            <w:r w:rsidRPr="002B0E12">
              <w:rPr>
                <w:rFonts w:ascii="Arial" w:hAnsi="Arial" w:cs="Arial"/>
              </w:rPr>
              <w:t xml:space="preserve"> ±0.37</w:t>
            </w:r>
          </w:p>
        </w:tc>
        <w:tc>
          <w:tcPr>
            <w:tcW w:w="1636" w:type="dxa"/>
            <w:tcBorders>
              <w:top w:val="single" w:sz="4" w:space="0" w:color="auto"/>
              <w:left w:val="single" w:sz="4" w:space="0" w:color="auto"/>
              <w:bottom w:val="single" w:sz="4" w:space="0" w:color="auto"/>
              <w:right w:val="single" w:sz="4" w:space="0" w:color="auto"/>
            </w:tcBorders>
            <w:vAlign w:val="center"/>
          </w:tcPr>
          <w:p w14:paraId="32C259B3" w14:textId="77777777" w:rsidR="005409E2" w:rsidRPr="002B0E12" w:rsidRDefault="005409E2" w:rsidP="0048694B">
            <w:pPr>
              <w:spacing w:after="0"/>
              <w:jc w:val="center"/>
              <w:rPr>
                <w:rFonts w:ascii="Arial" w:hAnsi="Arial" w:cs="Arial"/>
              </w:rPr>
            </w:pPr>
            <w:r w:rsidRPr="002B0E12">
              <w:rPr>
                <w:rFonts w:ascii="Arial" w:hAnsi="Arial" w:cs="Arial"/>
              </w:rPr>
              <w:t>6-11%E</w:t>
            </w:r>
            <w:r w:rsidRPr="002B0E12">
              <w:rPr>
                <w:rFonts w:ascii="Tahoma" w:hAnsi="Tahoma" w:cs="Tahoma"/>
                <w:vertAlign w:val="superscript"/>
              </w:rPr>
              <w:t>⸸⸸</w:t>
            </w:r>
          </w:p>
        </w:tc>
      </w:tr>
      <w:tr w:rsidR="002B0E12" w:rsidRPr="002B0E12" w14:paraId="1AD017A6" w14:textId="77777777" w:rsidTr="0048694B">
        <w:trPr>
          <w:trHeight w:val="503"/>
          <w:jc w:val="center"/>
        </w:trPr>
        <w:tc>
          <w:tcPr>
            <w:tcW w:w="2046" w:type="dxa"/>
            <w:tcBorders>
              <w:top w:val="single" w:sz="4" w:space="0" w:color="auto"/>
              <w:left w:val="single" w:sz="4" w:space="0" w:color="auto"/>
              <w:bottom w:val="single" w:sz="4" w:space="0" w:color="auto"/>
              <w:right w:val="single" w:sz="4" w:space="0" w:color="auto"/>
            </w:tcBorders>
            <w:vAlign w:val="center"/>
          </w:tcPr>
          <w:p w14:paraId="18D41A2D" w14:textId="77777777" w:rsidR="005409E2" w:rsidRPr="002B0E12" w:rsidRDefault="005409E2" w:rsidP="0048694B">
            <w:pPr>
              <w:spacing w:after="0"/>
              <w:rPr>
                <w:rFonts w:ascii="Arial" w:hAnsi="Arial" w:cs="Arial"/>
                <w:b/>
              </w:rPr>
            </w:pPr>
            <w:r w:rsidRPr="002B0E12">
              <w:rPr>
                <w:rFonts w:ascii="Arial" w:hAnsi="Arial" w:cs="Arial"/>
                <w:b/>
              </w:rPr>
              <w:t>LA, g</w:t>
            </w:r>
          </w:p>
        </w:tc>
        <w:tc>
          <w:tcPr>
            <w:tcW w:w="1710" w:type="dxa"/>
            <w:tcBorders>
              <w:top w:val="single" w:sz="4" w:space="0" w:color="auto"/>
              <w:left w:val="single" w:sz="4" w:space="0" w:color="auto"/>
              <w:right w:val="single" w:sz="4" w:space="0" w:color="auto"/>
            </w:tcBorders>
            <w:vAlign w:val="center"/>
          </w:tcPr>
          <w:p w14:paraId="1BFCFDFA" w14:textId="77777777" w:rsidR="005409E2" w:rsidRPr="002B0E12" w:rsidRDefault="005409E2" w:rsidP="0048694B">
            <w:pPr>
              <w:spacing w:after="0"/>
              <w:jc w:val="center"/>
              <w:rPr>
                <w:rFonts w:ascii="Arial" w:hAnsi="Arial" w:cs="Arial"/>
              </w:rPr>
            </w:pPr>
            <w:r w:rsidRPr="002B0E12">
              <w:rPr>
                <w:rFonts w:ascii="Arial" w:hAnsi="Arial" w:cs="Arial"/>
              </w:rPr>
              <w:t>5.65</w:t>
            </w:r>
            <w:r w:rsidRPr="002B0E12">
              <w:rPr>
                <w:rFonts w:ascii="Arial" w:hAnsi="Arial" w:cs="Arial"/>
                <w:vertAlign w:val="superscript"/>
              </w:rPr>
              <w:t>aA</w:t>
            </w:r>
            <w:r w:rsidRPr="002B0E12">
              <w:rPr>
                <w:rFonts w:ascii="Arial" w:hAnsi="Arial" w:cs="Arial"/>
              </w:rPr>
              <w:t xml:space="preserve"> ±0.506</w:t>
            </w:r>
          </w:p>
        </w:tc>
        <w:tc>
          <w:tcPr>
            <w:tcW w:w="1710" w:type="dxa"/>
            <w:tcBorders>
              <w:top w:val="single" w:sz="4" w:space="0" w:color="auto"/>
              <w:left w:val="single" w:sz="4" w:space="0" w:color="auto"/>
              <w:right w:val="single" w:sz="4" w:space="0" w:color="auto"/>
            </w:tcBorders>
            <w:vAlign w:val="center"/>
          </w:tcPr>
          <w:p w14:paraId="53A81A30" w14:textId="77777777" w:rsidR="005409E2" w:rsidRPr="002B0E12" w:rsidRDefault="005409E2" w:rsidP="0048694B">
            <w:pPr>
              <w:spacing w:after="0"/>
              <w:jc w:val="center"/>
              <w:rPr>
                <w:rFonts w:ascii="Arial" w:hAnsi="Arial" w:cs="Arial"/>
              </w:rPr>
            </w:pPr>
            <w:r w:rsidRPr="002B0E12">
              <w:rPr>
                <w:rFonts w:ascii="Arial" w:hAnsi="Arial" w:cs="Arial"/>
              </w:rPr>
              <w:t>5.88</w:t>
            </w:r>
            <w:r w:rsidRPr="002B0E12">
              <w:rPr>
                <w:rFonts w:ascii="Arial" w:hAnsi="Arial" w:cs="Arial"/>
                <w:vertAlign w:val="superscript"/>
              </w:rPr>
              <w:t>aA</w:t>
            </w:r>
            <w:r w:rsidRPr="002B0E12">
              <w:rPr>
                <w:rFonts w:ascii="Arial" w:hAnsi="Arial" w:cs="Arial"/>
              </w:rPr>
              <w:t xml:space="preserve"> ±0.331</w:t>
            </w:r>
          </w:p>
        </w:tc>
        <w:tc>
          <w:tcPr>
            <w:tcW w:w="1620" w:type="dxa"/>
            <w:tcBorders>
              <w:top w:val="single" w:sz="4" w:space="0" w:color="auto"/>
              <w:left w:val="single" w:sz="4" w:space="0" w:color="auto"/>
              <w:bottom w:val="single" w:sz="4" w:space="0" w:color="auto"/>
              <w:right w:val="single" w:sz="4" w:space="0" w:color="auto"/>
            </w:tcBorders>
            <w:vAlign w:val="center"/>
          </w:tcPr>
          <w:p w14:paraId="73019061" w14:textId="77777777" w:rsidR="005409E2" w:rsidRPr="002B0E12" w:rsidRDefault="005409E2" w:rsidP="0048694B">
            <w:pPr>
              <w:spacing w:after="0"/>
              <w:jc w:val="center"/>
              <w:rPr>
                <w:rFonts w:ascii="Arial" w:hAnsi="Arial" w:cs="Arial"/>
              </w:rPr>
            </w:pPr>
            <w:r w:rsidRPr="002B0E12">
              <w:rPr>
                <w:rFonts w:ascii="Arial" w:hAnsi="Arial" w:cs="Arial"/>
              </w:rPr>
              <w:t>17</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1E0CDD7D" w14:textId="77777777" w:rsidR="005409E2" w:rsidRPr="002B0E12" w:rsidRDefault="005409E2" w:rsidP="0048694B">
            <w:pPr>
              <w:spacing w:after="0"/>
              <w:jc w:val="center"/>
              <w:rPr>
                <w:rFonts w:ascii="Arial" w:hAnsi="Arial" w:cs="Arial"/>
              </w:rPr>
            </w:pPr>
            <w:r w:rsidRPr="002B0E12">
              <w:rPr>
                <w:rFonts w:ascii="Arial" w:hAnsi="Arial" w:cs="Arial"/>
              </w:rPr>
              <w:t>5.75</w:t>
            </w:r>
            <w:r w:rsidRPr="002B0E12">
              <w:rPr>
                <w:rFonts w:ascii="Arial" w:hAnsi="Arial" w:cs="Arial"/>
                <w:vertAlign w:val="superscript"/>
              </w:rPr>
              <w:t>aA</w:t>
            </w:r>
            <w:r w:rsidRPr="002B0E12">
              <w:rPr>
                <w:rFonts w:ascii="Arial" w:hAnsi="Arial" w:cs="Arial"/>
              </w:rPr>
              <w:t xml:space="preserve"> ±0.499</w:t>
            </w:r>
          </w:p>
        </w:tc>
        <w:tc>
          <w:tcPr>
            <w:tcW w:w="1984" w:type="dxa"/>
            <w:tcBorders>
              <w:top w:val="single" w:sz="4" w:space="0" w:color="auto"/>
              <w:left w:val="single" w:sz="4" w:space="0" w:color="auto"/>
              <w:right w:val="single" w:sz="4" w:space="0" w:color="auto"/>
            </w:tcBorders>
            <w:vAlign w:val="center"/>
          </w:tcPr>
          <w:p w14:paraId="6E99CED0" w14:textId="77777777" w:rsidR="005409E2" w:rsidRPr="002B0E12" w:rsidRDefault="005409E2" w:rsidP="0048694B">
            <w:pPr>
              <w:spacing w:after="0"/>
              <w:jc w:val="center"/>
              <w:rPr>
                <w:rFonts w:ascii="Arial" w:hAnsi="Arial" w:cs="Arial"/>
              </w:rPr>
            </w:pPr>
            <w:r w:rsidRPr="002B0E12">
              <w:rPr>
                <w:rFonts w:ascii="Arial" w:hAnsi="Arial" w:cs="Arial"/>
              </w:rPr>
              <w:t>5.12</w:t>
            </w:r>
            <w:r w:rsidRPr="002B0E12">
              <w:rPr>
                <w:rFonts w:ascii="Arial" w:hAnsi="Arial" w:cs="Arial"/>
                <w:vertAlign w:val="superscript"/>
              </w:rPr>
              <w:t>aA</w:t>
            </w:r>
            <w:r w:rsidRPr="002B0E12">
              <w:rPr>
                <w:rFonts w:ascii="Arial" w:hAnsi="Arial" w:cs="Arial"/>
              </w:rPr>
              <w:t xml:space="preserve"> ±0.35</w:t>
            </w:r>
          </w:p>
        </w:tc>
        <w:tc>
          <w:tcPr>
            <w:tcW w:w="1636" w:type="dxa"/>
            <w:tcBorders>
              <w:top w:val="single" w:sz="4" w:space="0" w:color="auto"/>
              <w:left w:val="single" w:sz="4" w:space="0" w:color="auto"/>
              <w:bottom w:val="single" w:sz="4" w:space="0" w:color="auto"/>
              <w:right w:val="single" w:sz="4" w:space="0" w:color="auto"/>
            </w:tcBorders>
            <w:vAlign w:val="center"/>
          </w:tcPr>
          <w:p w14:paraId="1D9FE991" w14:textId="77777777" w:rsidR="005409E2" w:rsidRPr="002B0E12" w:rsidRDefault="005409E2" w:rsidP="0048694B">
            <w:pPr>
              <w:spacing w:after="0"/>
              <w:jc w:val="center"/>
              <w:rPr>
                <w:rFonts w:ascii="Arial" w:hAnsi="Arial" w:cs="Arial"/>
              </w:rPr>
            </w:pPr>
            <w:r w:rsidRPr="002B0E12">
              <w:rPr>
                <w:rFonts w:ascii="Arial" w:hAnsi="Arial" w:cs="Arial"/>
              </w:rPr>
              <w:t>12</w:t>
            </w:r>
            <w:r w:rsidRPr="002B0E12">
              <w:rPr>
                <w:rFonts w:ascii="Tahoma" w:hAnsi="Tahoma" w:cs="Tahoma"/>
                <w:vertAlign w:val="superscript"/>
              </w:rPr>
              <w:t>⸸</w:t>
            </w:r>
          </w:p>
        </w:tc>
      </w:tr>
      <w:tr w:rsidR="002B0E12" w:rsidRPr="002B0E12" w14:paraId="726493D2" w14:textId="77777777" w:rsidTr="0048694B">
        <w:trPr>
          <w:trHeight w:val="575"/>
          <w:jc w:val="center"/>
        </w:trPr>
        <w:tc>
          <w:tcPr>
            <w:tcW w:w="2046" w:type="dxa"/>
            <w:tcBorders>
              <w:top w:val="single" w:sz="4" w:space="0" w:color="auto"/>
              <w:left w:val="single" w:sz="4" w:space="0" w:color="auto"/>
              <w:bottom w:val="single" w:sz="4" w:space="0" w:color="auto"/>
              <w:right w:val="single" w:sz="4" w:space="0" w:color="auto"/>
            </w:tcBorders>
            <w:vAlign w:val="center"/>
          </w:tcPr>
          <w:p w14:paraId="3C280915" w14:textId="77777777" w:rsidR="005409E2" w:rsidRPr="002B0E12" w:rsidRDefault="005409E2" w:rsidP="0048694B">
            <w:pPr>
              <w:spacing w:after="0"/>
              <w:rPr>
                <w:rFonts w:ascii="Arial" w:hAnsi="Arial" w:cs="Arial"/>
                <w:b/>
              </w:rPr>
            </w:pPr>
            <w:r w:rsidRPr="002B0E12">
              <w:rPr>
                <w:rFonts w:ascii="Arial" w:hAnsi="Arial" w:cs="Arial"/>
                <w:b/>
              </w:rPr>
              <w:t>ALA, g</w:t>
            </w:r>
          </w:p>
        </w:tc>
        <w:tc>
          <w:tcPr>
            <w:tcW w:w="1710" w:type="dxa"/>
            <w:tcBorders>
              <w:top w:val="single" w:sz="4" w:space="0" w:color="auto"/>
              <w:left w:val="single" w:sz="4" w:space="0" w:color="auto"/>
              <w:right w:val="single" w:sz="4" w:space="0" w:color="auto"/>
            </w:tcBorders>
            <w:vAlign w:val="center"/>
          </w:tcPr>
          <w:p w14:paraId="66F132EF" w14:textId="77777777" w:rsidR="005409E2" w:rsidRPr="002B0E12" w:rsidRDefault="005409E2" w:rsidP="0048694B">
            <w:pPr>
              <w:spacing w:after="0"/>
              <w:jc w:val="center"/>
              <w:rPr>
                <w:rFonts w:ascii="Arial" w:hAnsi="Arial" w:cs="Arial"/>
              </w:rPr>
            </w:pPr>
            <w:r w:rsidRPr="002B0E12">
              <w:rPr>
                <w:rFonts w:ascii="Arial" w:hAnsi="Arial" w:cs="Arial"/>
              </w:rPr>
              <w:t>1.07</w:t>
            </w:r>
            <w:r w:rsidRPr="002B0E12">
              <w:rPr>
                <w:rFonts w:ascii="Arial" w:hAnsi="Arial" w:cs="Arial"/>
                <w:vertAlign w:val="superscript"/>
              </w:rPr>
              <w:t>aA</w:t>
            </w:r>
            <w:r w:rsidRPr="002B0E12">
              <w:rPr>
                <w:rFonts w:ascii="Arial" w:hAnsi="Arial" w:cs="Arial"/>
              </w:rPr>
              <w:t xml:space="preserve"> ±0.119</w:t>
            </w:r>
          </w:p>
        </w:tc>
        <w:tc>
          <w:tcPr>
            <w:tcW w:w="1710" w:type="dxa"/>
            <w:tcBorders>
              <w:top w:val="single" w:sz="4" w:space="0" w:color="auto"/>
              <w:left w:val="single" w:sz="4" w:space="0" w:color="auto"/>
              <w:right w:val="single" w:sz="4" w:space="0" w:color="auto"/>
            </w:tcBorders>
            <w:vAlign w:val="center"/>
          </w:tcPr>
          <w:p w14:paraId="4E3BDF87" w14:textId="77777777" w:rsidR="005409E2" w:rsidRPr="002B0E12" w:rsidRDefault="005409E2" w:rsidP="0048694B">
            <w:pPr>
              <w:spacing w:after="0"/>
              <w:jc w:val="center"/>
              <w:rPr>
                <w:rFonts w:ascii="Arial" w:hAnsi="Arial" w:cs="Arial"/>
              </w:rPr>
            </w:pPr>
            <w:r w:rsidRPr="002B0E12">
              <w:rPr>
                <w:rFonts w:ascii="Arial" w:hAnsi="Arial" w:cs="Arial"/>
              </w:rPr>
              <w:t>0.937</w:t>
            </w:r>
            <w:r w:rsidRPr="002B0E12">
              <w:rPr>
                <w:rFonts w:ascii="Arial" w:hAnsi="Arial" w:cs="Arial"/>
                <w:vertAlign w:val="superscript"/>
              </w:rPr>
              <w:t>aA</w:t>
            </w:r>
            <w:r w:rsidRPr="002B0E12">
              <w:rPr>
                <w:rFonts w:ascii="Arial" w:hAnsi="Arial" w:cs="Arial"/>
              </w:rPr>
              <w:t xml:space="preserve"> ±0.056</w:t>
            </w:r>
          </w:p>
        </w:tc>
        <w:tc>
          <w:tcPr>
            <w:tcW w:w="1620" w:type="dxa"/>
            <w:tcBorders>
              <w:top w:val="single" w:sz="4" w:space="0" w:color="auto"/>
              <w:left w:val="single" w:sz="4" w:space="0" w:color="auto"/>
              <w:bottom w:val="single" w:sz="4" w:space="0" w:color="auto"/>
              <w:right w:val="single" w:sz="4" w:space="0" w:color="auto"/>
            </w:tcBorders>
            <w:vAlign w:val="center"/>
          </w:tcPr>
          <w:p w14:paraId="69FB1CAD" w14:textId="77777777" w:rsidR="005409E2" w:rsidRPr="002B0E12" w:rsidRDefault="005409E2" w:rsidP="0048694B">
            <w:pPr>
              <w:spacing w:after="0"/>
              <w:jc w:val="center"/>
              <w:rPr>
                <w:rFonts w:ascii="Arial" w:hAnsi="Arial" w:cs="Arial"/>
              </w:rPr>
            </w:pPr>
            <w:r w:rsidRPr="002B0E12">
              <w:rPr>
                <w:rFonts w:ascii="Arial" w:hAnsi="Arial" w:cs="Arial"/>
              </w:rPr>
              <w:t>1.6</w:t>
            </w:r>
            <w:r w:rsidRPr="002B0E12">
              <w:rPr>
                <w:rFonts w:ascii="Tahoma" w:hAnsi="Tahoma" w:cs="Tahoma"/>
                <w:vertAlign w:val="superscript"/>
              </w:rPr>
              <w:t>⸸</w:t>
            </w:r>
          </w:p>
        </w:tc>
        <w:tc>
          <w:tcPr>
            <w:tcW w:w="1764" w:type="dxa"/>
            <w:tcBorders>
              <w:top w:val="single" w:sz="4" w:space="0" w:color="auto"/>
              <w:left w:val="single" w:sz="4" w:space="0" w:color="auto"/>
              <w:right w:val="single" w:sz="4" w:space="0" w:color="auto"/>
            </w:tcBorders>
            <w:vAlign w:val="center"/>
          </w:tcPr>
          <w:p w14:paraId="6188027F" w14:textId="77777777" w:rsidR="005409E2" w:rsidRPr="002B0E12" w:rsidRDefault="005409E2" w:rsidP="0048694B">
            <w:pPr>
              <w:spacing w:after="0"/>
              <w:jc w:val="center"/>
              <w:rPr>
                <w:rFonts w:ascii="Arial" w:hAnsi="Arial" w:cs="Arial"/>
              </w:rPr>
            </w:pPr>
            <w:r w:rsidRPr="002B0E12">
              <w:rPr>
                <w:rFonts w:ascii="Arial" w:hAnsi="Arial" w:cs="Arial"/>
              </w:rPr>
              <w:t>1.09</w:t>
            </w:r>
            <w:r w:rsidRPr="002B0E12">
              <w:rPr>
                <w:rFonts w:ascii="Arial" w:hAnsi="Arial" w:cs="Arial"/>
                <w:vertAlign w:val="superscript"/>
              </w:rPr>
              <w:t>aA</w:t>
            </w:r>
            <w:r w:rsidRPr="002B0E12">
              <w:rPr>
                <w:rFonts w:ascii="Arial" w:hAnsi="Arial" w:cs="Arial"/>
              </w:rPr>
              <w:t xml:space="preserve"> ±0.109</w:t>
            </w:r>
          </w:p>
        </w:tc>
        <w:tc>
          <w:tcPr>
            <w:tcW w:w="1984" w:type="dxa"/>
            <w:tcBorders>
              <w:top w:val="single" w:sz="4" w:space="0" w:color="auto"/>
              <w:left w:val="single" w:sz="4" w:space="0" w:color="auto"/>
              <w:right w:val="single" w:sz="4" w:space="0" w:color="auto"/>
            </w:tcBorders>
            <w:vAlign w:val="center"/>
          </w:tcPr>
          <w:p w14:paraId="39D4A053" w14:textId="77777777" w:rsidR="005409E2" w:rsidRPr="002B0E12" w:rsidRDefault="005409E2" w:rsidP="0048694B">
            <w:pPr>
              <w:spacing w:after="0"/>
              <w:jc w:val="center"/>
              <w:rPr>
                <w:rFonts w:ascii="Arial" w:hAnsi="Arial" w:cs="Arial"/>
              </w:rPr>
            </w:pPr>
            <w:r w:rsidRPr="002B0E12">
              <w:rPr>
                <w:rFonts w:ascii="Arial" w:hAnsi="Arial" w:cs="Arial"/>
              </w:rPr>
              <w:t>0.88</w:t>
            </w:r>
            <w:r w:rsidRPr="002B0E12">
              <w:rPr>
                <w:rFonts w:ascii="Arial" w:hAnsi="Arial" w:cs="Arial"/>
                <w:vertAlign w:val="superscript"/>
              </w:rPr>
              <w:t>bA</w:t>
            </w:r>
            <w:r w:rsidRPr="002B0E12">
              <w:rPr>
                <w:rFonts w:ascii="Arial" w:hAnsi="Arial" w:cs="Arial"/>
              </w:rPr>
              <w:t xml:space="preserve"> ±0.040</w:t>
            </w:r>
          </w:p>
        </w:tc>
        <w:tc>
          <w:tcPr>
            <w:tcW w:w="1636" w:type="dxa"/>
            <w:tcBorders>
              <w:top w:val="single" w:sz="4" w:space="0" w:color="auto"/>
              <w:left w:val="single" w:sz="4" w:space="0" w:color="auto"/>
              <w:bottom w:val="single" w:sz="4" w:space="0" w:color="auto"/>
              <w:right w:val="single" w:sz="4" w:space="0" w:color="auto"/>
            </w:tcBorders>
            <w:vAlign w:val="center"/>
          </w:tcPr>
          <w:p w14:paraId="2D174FFE" w14:textId="77777777" w:rsidR="005409E2" w:rsidRPr="002B0E12" w:rsidRDefault="005409E2" w:rsidP="0048694B">
            <w:pPr>
              <w:spacing w:after="0"/>
              <w:jc w:val="center"/>
              <w:rPr>
                <w:rFonts w:ascii="Arial" w:hAnsi="Arial" w:cs="Arial"/>
              </w:rPr>
            </w:pPr>
            <w:r w:rsidRPr="002B0E12">
              <w:rPr>
                <w:rFonts w:ascii="Arial" w:hAnsi="Arial" w:cs="Arial"/>
              </w:rPr>
              <w:t>1.1</w:t>
            </w:r>
            <w:r w:rsidRPr="002B0E12">
              <w:rPr>
                <w:rFonts w:ascii="Tahoma" w:hAnsi="Tahoma" w:cs="Tahoma"/>
                <w:vertAlign w:val="superscript"/>
              </w:rPr>
              <w:t>⸸</w:t>
            </w:r>
          </w:p>
        </w:tc>
      </w:tr>
      <w:tr w:rsidR="002B0E12" w:rsidRPr="002B0E12" w14:paraId="1C440CF0" w14:textId="77777777" w:rsidTr="0048694B">
        <w:trPr>
          <w:trHeight w:val="530"/>
          <w:jc w:val="center"/>
        </w:trPr>
        <w:tc>
          <w:tcPr>
            <w:tcW w:w="2046" w:type="dxa"/>
            <w:tcBorders>
              <w:top w:val="single" w:sz="4" w:space="0" w:color="auto"/>
              <w:left w:val="single" w:sz="4" w:space="0" w:color="auto"/>
              <w:bottom w:val="single" w:sz="4" w:space="0" w:color="auto"/>
              <w:right w:val="single" w:sz="4" w:space="0" w:color="auto"/>
            </w:tcBorders>
            <w:vAlign w:val="center"/>
          </w:tcPr>
          <w:p w14:paraId="1787C33F" w14:textId="77777777" w:rsidR="005409E2" w:rsidRPr="002B0E12" w:rsidRDefault="005409E2" w:rsidP="0048694B">
            <w:pPr>
              <w:spacing w:after="0"/>
              <w:rPr>
                <w:rFonts w:ascii="Arial" w:hAnsi="Arial" w:cs="Arial"/>
                <w:b/>
              </w:rPr>
            </w:pPr>
            <w:r w:rsidRPr="002B0E12">
              <w:rPr>
                <w:rFonts w:ascii="Arial" w:hAnsi="Arial" w:cs="Arial"/>
                <w:b/>
              </w:rPr>
              <w:t>AA, g</w:t>
            </w:r>
          </w:p>
        </w:tc>
        <w:tc>
          <w:tcPr>
            <w:tcW w:w="1710" w:type="dxa"/>
            <w:tcBorders>
              <w:top w:val="single" w:sz="4" w:space="0" w:color="auto"/>
              <w:left w:val="single" w:sz="4" w:space="0" w:color="auto"/>
              <w:bottom w:val="single" w:sz="4" w:space="0" w:color="auto"/>
              <w:right w:val="single" w:sz="4" w:space="0" w:color="auto"/>
            </w:tcBorders>
            <w:vAlign w:val="center"/>
          </w:tcPr>
          <w:p w14:paraId="4E5A0733" w14:textId="77777777" w:rsidR="005409E2" w:rsidRPr="002B0E12" w:rsidRDefault="005409E2" w:rsidP="0048694B">
            <w:pPr>
              <w:spacing w:after="0"/>
              <w:jc w:val="center"/>
              <w:rPr>
                <w:rFonts w:ascii="Arial" w:hAnsi="Arial" w:cs="Arial"/>
              </w:rPr>
            </w:pPr>
            <w:r w:rsidRPr="002B0E12">
              <w:rPr>
                <w:rFonts w:ascii="Arial" w:hAnsi="Arial" w:cs="Arial"/>
              </w:rPr>
              <w:t>0.066</w:t>
            </w:r>
            <w:r w:rsidRPr="002B0E12">
              <w:rPr>
                <w:rFonts w:ascii="Arial" w:hAnsi="Arial" w:cs="Arial"/>
                <w:vertAlign w:val="superscript"/>
              </w:rPr>
              <w:t>aA</w:t>
            </w:r>
            <w:r w:rsidRPr="002B0E12">
              <w:rPr>
                <w:rFonts w:ascii="Arial" w:hAnsi="Arial" w:cs="Arial"/>
              </w:rPr>
              <w:t xml:space="preserve"> ±0.005</w:t>
            </w:r>
          </w:p>
        </w:tc>
        <w:tc>
          <w:tcPr>
            <w:tcW w:w="1710" w:type="dxa"/>
            <w:tcBorders>
              <w:top w:val="single" w:sz="4" w:space="0" w:color="auto"/>
              <w:left w:val="single" w:sz="4" w:space="0" w:color="auto"/>
              <w:bottom w:val="single" w:sz="4" w:space="0" w:color="auto"/>
              <w:right w:val="single" w:sz="4" w:space="0" w:color="auto"/>
            </w:tcBorders>
            <w:vAlign w:val="center"/>
          </w:tcPr>
          <w:p w14:paraId="6ED31C05" w14:textId="77777777" w:rsidR="005409E2" w:rsidRPr="002B0E12" w:rsidRDefault="005409E2" w:rsidP="0048694B">
            <w:pPr>
              <w:spacing w:after="0"/>
              <w:jc w:val="center"/>
              <w:rPr>
                <w:rFonts w:ascii="Arial" w:hAnsi="Arial" w:cs="Arial"/>
              </w:rPr>
            </w:pPr>
            <w:r w:rsidRPr="002B0E12">
              <w:rPr>
                <w:rFonts w:ascii="Arial" w:hAnsi="Arial" w:cs="Arial"/>
              </w:rPr>
              <w:t>0.044</w:t>
            </w:r>
            <w:r w:rsidRPr="002B0E12">
              <w:rPr>
                <w:rFonts w:ascii="Arial" w:hAnsi="Arial" w:cs="Arial"/>
                <w:vertAlign w:val="superscript"/>
              </w:rPr>
              <w:t>b</w:t>
            </w:r>
            <w:r w:rsidRPr="002B0E12">
              <w:rPr>
                <w:rFonts w:ascii="Arial" w:hAnsi="Arial" w:cs="Arial"/>
              </w:rPr>
              <w:t xml:space="preserve"> ±0.003</w:t>
            </w:r>
          </w:p>
        </w:tc>
        <w:tc>
          <w:tcPr>
            <w:tcW w:w="1620" w:type="dxa"/>
            <w:tcBorders>
              <w:top w:val="single" w:sz="4" w:space="0" w:color="auto"/>
              <w:left w:val="single" w:sz="4" w:space="0" w:color="auto"/>
              <w:bottom w:val="single" w:sz="4" w:space="0" w:color="auto"/>
              <w:right w:val="single" w:sz="4" w:space="0" w:color="auto"/>
            </w:tcBorders>
            <w:vAlign w:val="center"/>
          </w:tcPr>
          <w:p w14:paraId="33E6EC9F" w14:textId="77777777" w:rsidR="005409E2" w:rsidRPr="002B0E12" w:rsidRDefault="005409E2" w:rsidP="0048694B">
            <w:pPr>
              <w:spacing w:after="0"/>
              <w:jc w:val="center"/>
              <w:rPr>
                <w:rFonts w:ascii="Arial" w:hAnsi="Arial" w:cs="Arial"/>
              </w:rPr>
            </w:pPr>
            <w:r w:rsidRPr="002B0E12">
              <w:rPr>
                <w:rFonts w:ascii="Arial" w:hAnsi="Arial" w:cs="Arial"/>
              </w:rPr>
              <w:t>14-17</w:t>
            </w:r>
            <w:r w:rsidRPr="002B0E12">
              <w:rPr>
                <w:rFonts w:ascii="Tahoma" w:hAnsi="Tahoma" w:cs="Tahoma"/>
                <w:vertAlign w:val="superscript"/>
              </w:rPr>
              <w:t>⸸</w:t>
            </w:r>
          </w:p>
        </w:tc>
        <w:tc>
          <w:tcPr>
            <w:tcW w:w="1764" w:type="dxa"/>
            <w:tcBorders>
              <w:top w:val="single" w:sz="4" w:space="0" w:color="auto"/>
              <w:left w:val="single" w:sz="4" w:space="0" w:color="auto"/>
              <w:bottom w:val="single" w:sz="4" w:space="0" w:color="auto"/>
              <w:right w:val="single" w:sz="4" w:space="0" w:color="auto"/>
            </w:tcBorders>
            <w:vAlign w:val="center"/>
          </w:tcPr>
          <w:p w14:paraId="3D104C87" w14:textId="77777777" w:rsidR="005409E2" w:rsidRPr="002B0E12" w:rsidRDefault="005409E2" w:rsidP="0048694B">
            <w:pPr>
              <w:spacing w:after="0"/>
              <w:jc w:val="center"/>
              <w:rPr>
                <w:rFonts w:ascii="Arial" w:hAnsi="Arial" w:cs="Arial"/>
              </w:rPr>
            </w:pPr>
            <w:r w:rsidRPr="002B0E12">
              <w:rPr>
                <w:rFonts w:ascii="Arial" w:hAnsi="Arial" w:cs="Arial"/>
              </w:rPr>
              <w:t>0.070</w:t>
            </w:r>
            <w:r w:rsidRPr="002B0E12">
              <w:rPr>
                <w:rFonts w:ascii="Arial" w:hAnsi="Arial" w:cs="Arial"/>
                <w:vertAlign w:val="superscript"/>
              </w:rPr>
              <w:t>aA</w:t>
            </w:r>
            <w:r w:rsidRPr="002B0E12">
              <w:rPr>
                <w:rFonts w:ascii="Arial" w:hAnsi="Arial" w:cs="Arial"/>
              </w:rPr>
              <w:t xml:space="preserve"> ±0.005</w:t>
            </w:r>
          </w:p>
        </w:tc>
        <w:tc>
          <w:tcPr>
            <w:tcW w:w="1984" w:type="dxa"/>
            <w:tcBorders>
              <w:top w:val="single" w:sz="4" w:space="0" w:color="auto"/>
              <w:left w:val="single" w:sz="4" w:space="0" w:color="auto"/>
              <w:bottom w:val="single" w:sz="4" w:space="0" w:color="auto"/>
              <w:right w:val="single" w:sz="4" w:space="0" w:color="auto"/>
            </w:tcBorders>
            <w:vAlign w:val="center"/>
          </w:tcPr>
          <w:p w14:paraId="3554BCCC" w14:textId="77777777" w:rsidR="005409E2" w:rsidRPr="002B0E12" w:rsidRDefault="005409E2" w:rsidP="0048694B">
            <w:pPr>
              <w:spacing w:after="0"/>
              <w:jc w:val="center"/>
              <w:rPr>
                <w:rFonts w:ascii="Arial" w:hAnsi="Arial" w:cs="Arial"/>
              </w:rPr>
            </w:pPr>
            <w:r w:rsidRPr="002B0E12">
              <w:rPr>
                <w:rFonts w:ascii="Arial" w:hAnsi="Arial" w:cs="Arial"/>
              </w:rPr>
              <w:t>0.049</w:t>
            </w:r>
            <w:r w:rsidRPr="002B0E12">
              <w:rPr>
                <w:rFonts w:ascii="Arial" w:hAnsi="Arial" w:cs="Arial"/>
                <w:vertAlign w:val="superscript"/>
              </w:rPr>
              <w:t>bA</w:t>
            </w:r>
            <w:r w:rsidRPr="002B0E12">
              <w:rPr>
                <w:rFonts w:ascii="Arial" w:hAnsi="Arial" w:cs="Arial"/>
              </w:rPr>
              <w:t xml:space="preserve"> ±0.002</w:t>
            </w:r>
          </w:p>
        </w:tc>
        <w:tc>
          <w:tcPr>
            <w:tcW w:w="1636" w:type="dxa"/>
            <w:tcBorders>
              <w:top w:val="single" w:sz="4" w:space="0" w:color="auto"/>
              <w:left w:val="single" w:sz="4" w:space="0" w:color="auto"/>
              <w:bottom w:val="single" w:sz="4" w:space="0" w:color="auto"/>
              <w:right w:val="single" w:sz="4" w:space="0" w:color="auto"/>
            </w:tcBorders>
            <w:vAlign w:val="center"/>
          </w:tcPr>
          <w:p w14:paraId="0EDBAB37" w14:textId="77777777" w:rsidR="005409E2" w:rsidRPr="002B0E12" w:rsidRDefault="005409E2" w:rsidP="0048694B">
            <w:pPr>
              <w:spacing w:after="0"/>
              <w:jc w:val="center"/>
              <w:rPr>
                <w:rFonts w:ascii="Arial" w:hAnsi="Arial" w:cs="Arial"/>
              </w:rPr>
            </w:pPr>
            <w:r w:rsidRPr="002B0E12">
              <w:rPr>
                <w:rFonts w:ascii="Arial" w:hAnsi="Arial" w:cs="Arial"/>
              </w:rPr>
              <w:t>11-12</w:t>
            </w:r>
            <w:r w:rsidRPr="002B0E12">
              <w:rPr>
                <w:rFonts w:ascii="Tahoma" w:hAnsi="Tahoma" w:cs="Tahoma"/>
                <w:vertAlign w:val="superscript"/>
              </w:rPr>
              <w:t>⸸</w:t>
            </w:r>
          </w:p>
        </w:tc>
      </w:tr>
      <w:tr w:rsidR="002B0E12" w:rsidRPr="002B0E12" w14:paraId="4BCBA1F1" w14:textId="77777777" w:rsidTr="0048694B">
        <w:trPr>
          <w:trHeight w:val="699"/>
          <w:jc w:val="center"/>
        </w:trPr>
        <w:tc>
          <w:tcPr>
            <w:tcW w:w="2046" w:type="dxa"/>
            <w:tcBorders>
              <w:top w:val="single" w:sz="4" w:space="0" w:color="auto"/>
              <w:left w:val="single" w:sz="4" w:space="0" w:color="auto"/>
              <w:bottom w:val="single" w:sz="4" w:space="0" w:color="auto"/>
              <w:right w:val="single" w:sz="4" w:space="0" w:color="auto"/>
            </w:tcBorders>
            <w:vAlign w:val="center"/>
          </w:tcPr>
          <w:p w14:paraId="79B11040" w14:textId="77777777" w:rsidR="005409E2" w:rsidRPr="002B0E12" w:rsidRDefault="005409E2" w:rsidP="0048694B">
            <w:pPr>
              <w:spacing w:after="0"/>
              <w:rPr>
                <w:rFonts w:ascii="Arial" w:hAnsi="Arial" w:cs="Arial"/>
                <w:b/>
              </w:rPr>
            </w:pPr>
            <w:r w:rsidRPr="002B0E12">
              <w:rPr>
                <w:rFonts w:ascii="Arial" w:hAnsi="Arial" w:cs="Arial"/>
                <w:b/>
              </w:rPr>
              <w:t>SFA:MUFA:PUFA</w:t>
            </w:r>
          </w:p>
        </w:tc>
        <w:tc>
          <w:tcPr>
            <w:tcW w:w="1710" w:type="dxa"/>
            <w:tcBorders>
              <w:top w:val="single" w:sz="4" w:space="0" w:color="auto"/>
              <w:left w:val="single" w:sz="4" w:space="0" w:color="auto"/>
              <w:bottom w:val="single" w:sz="4" w:space="0" w:color="auto"/>
              <w:right w:val="single" w:sz="4" w:space="0" w:color="auto"/>
            </w:tcBorders>
            <w:vAlign w:val="center"/>
          </w:tcPr>
          <w:p w14:paraId="18C968E1" w14:textId="77777777" w:rsidR="005409E2" w:rsidRPr="002B0E12" w:rsidRDefault="005409E2" w:rsidP="0048694B">
            <w:pPr>
              <w:spacing w:after="0"/>
              <w:jc w:val="center"/>
              <w:rPr>
                <w:rFonts w:ascii="Arial" w:hAnsi="Arial" w:cs="Arial"/>
              </w:rPr>
            </w:pPr>
            <w:r w:rsidRPr="002B0E12">
              <w:rPr>
                <w:rFonts w:ascii="Arial" w:hAnsi="Arial" w:cs="Arial"/>
              </w:rPr>
              <w:t>3.01:1.64:1</w:t>
            </w:r>
          </w:p>
        </w:tc>
        <w:tc>
          <w:tcPr>
            <w:tcW w:w="1710" w:type="dxa"/>
            <w:tcBorders>
              <w:top w:val="single" w:sz="4" w:space="0" w:color="auto"/>
              <w:left w:val="single" w:sz="4" w:space="0" w:color="auto"/>
              <w:bottom w:val="single" w:sz="4" w:space="0" w:color="auto"/>
              <w:right w:val="single" w:sz="4" w:space="0" w:color="auto"/>
            </w:tcBorders>
            <w:vAlign w:val="center"/>
          </w:tcPr>
          <w:p w14:paraId="01C93C5C" w14:textId="77777777" w:rsidR="005409E2" w:rsidRPr="002B0E12" w:rsidRDefault="005409E2" w:rsidP="0048694B">
            <w:pPr>
              <w:spacing w:after="0"/>
              <w:jc w:val="center"/>
              <w:rPr>
                <w:rFonts w:ascii="Arial" w:hAnsi="Arial" w:cs="Arial"/>
              </w:rPr>
            </w:pPr>
            <w:r w:rsidRPr="002B0E12">
              <w:rPr>
                <w:rFonts w:ascii="Arial" w:hAnsi="Arial" w:cs="Arial"/>
              </w:rPr>
              <w:t>2.64:1.55:1</w:t>
            </w:r>
          </w:p>
        </w:tc>
        <w:tc>
          <w:tcPr>
            <w:tcW w:w="1620" w:type="dxa"/>
            <w:tcBorders>
              <w:top w:val="single" w:sz="4" w:space="0" w:color="auto"/>
              <w:left w:val="single" w:sz="4" w:space="0" w:color="auto"/>
              <w:bottom w:val="single" w:sz="4" w:space="0" w:color="auto"/>
              <w:right w:val="single" w:sz="4" w:space="0" w:color="auto"/>
            </w:tcBorders>
            <w:vAlign w:val="center"/>
          </w:tcPr>
          <w:p w14:paraId="201D46E0" w14:textId="77777777" w:rsidR="005409E2" w:rsidRPr="002B0E12" w:rsidRDefault="005409E2" w:rsidP="0048694B">
            <w:pPr>
              <w:spacing w:after="0"/>
              <w:jc w:val="center"/>
              <w:rPr>
                <w:rFonts w:ascii="Arial" w:hAnsi="Arial" w:cs="Arial"/>
              </w:rPr>
            </w:pPr>
            <w:r w:rsidRPr="002B0E12">
              <w:rPr>
                <w:rFonts w:ascii="Arial" w:hAnsi="Arial" w:cs="Arial"/>
              </w:rPr>
              <w:t>1:1:1</w:t>
            </w:r>
          </w:p>
        </w:tc>
        <w:tc>
          <w:tcPr>
            <w:tcW w:w="1764" w:type="dxa"/>
            <w:tcBorders>
              <w:top w:val="single" w:sz="4" w:space="0" w:color="auto"/>
              <w:left w:val="single" w:sz="4" w:space="0" w:color="auto"/>
              <w:bottom w:val="single" w:sz="4" w:space="0" w:color="auto"/>
              <w:right w:val="single" w:sz="4" w:space="0" w:color="auto"/>
            </w:tcBorders>
            <w:vAlign w:val="center"/>
          </w:tcPr>
          <w:p w14:paraId="1E34D4B9" w14:textId="77777777" w:rsidR="005409E2" w:rsidRPr="002B0E12" w:rsidRDefault="005409E2" w:rsidP="0048694B">
            <w:pPr>
              <w:spacing w:after="0"/>
              <w:jc w:val="center"/>
              <w:rPr>
                <w:rFonts w:ascii="Arial" w:hAnsi="Arial" w:cs="Arial"/>
              </w:rPr>
            </w:pPr>
            <w:r w:rsidRPr="002B0E12">
              <w:rPr>
                <w:rFonts w:ascii="Arial" w:hAnsi="Arial" w:cs="Arial"/>
              </w:rPr>
              <w:t>3.08:1.82:1</w:t>
            </w:r>
          </w:p>
        </w:tc>
        <w:tc>
          <w:tcPr>
            <w:tcW w:w="1984" w:type="dxa"/>
            <w:tcBorders>
              <w:top w:val="single" w:sz="4" w:space="0" w:color="auto"/>
              <w:left w:val="single" w:sz="4" w:space="0" w:color="auto"/>
              <w:bottom w:val="single" w:sz="4" w:space="0" w:color="auto"/>
              <w:right w:val="single" w:sz="4" w:space="0" w:color="auto"/>
            </w:tcBorders>
            <w:vAlign w:val="center"/>
          </w:tcPr>
          <w:p w14:paraId="6BD1836A" w14:textId="77777777" w:rsidR="005409E2" w:rsidRPr="002B0E12" w:rsidRDefault="005409E2" w:rsidP="0048694B">
            <w:pPr>
              <w:spacing w:after="0"/>
              <w:jc w:val="center"/>
              <w:rPr>
                <w:rFonts w:ascii="Arial" w:hAnsi="Arial" w:cs="Arial"/>
              </w:rPr>
            </w:pPr>
            <w:r w:rsidRPr="002B0E12">
              <w:rPr>
                <w:rFonts w:ascii="Arial" w:hAnsi="Arial" w:cs="Arial"/>
              </w:rPr>
              <w:t>2.79:1.61:1</w:t>
            </w:r>
          </w:p>
        </w:tc>
        <w:tc>
          <w:tcPr>
            <w:tcW w:w="1636" w:type="dxa"/>
            <w:tcBorders>
              <w:top w:val="single" w:sz="4" w:space="0" w:color="auto"/>
              <w:left w:val="single" w:sz="4" w:space="0" w:color="auto"/>
              <w:bottom w:val="single" w:sz="4" w:space="0" w:color="auto"/>
              <w:right w:val="single" w:sz="4" w:space="0" w:color="auto"/>
            </w:tcBorders>
            <w:vAlign w:val="center"/>
          </w:tcPr>
          <w:p w14:paraId="5FAB5AEA" w14:textId="77777777" w:rsidR="005409E2" w:rsidRPr="002B0E12" w:rsidRDefault="005409E2" w:rsidP="0048694B">
            <w:pPr>
              <w:spacing w:after="0"/>
              <w:jc w:val="center"/>
              <w:rPr>
                <w:rFonts w:ascii="Arial" w:hAnsi="Arial" w:cs="Arial"/>
              </w:rPr>
            </w:pPr>
            <w:r w:rsidRPr="002B0E12">
              <w:rPr>
                <w:rFonts w:ascii="Arial" w:hAnsi="Arial" w:cs="Arial"/>
              </w:rPr>
              <w:t>1:1:1</w:t>
            </w:r>
          </w:p>
        </w:tc>
      </w:tr>
    </w:tbl>
    <w:p w14:paraId="5E1079B5" w14:textId="77777777" w:rsidR="005409E2" w:rsidRPr="002B0E12" w:rsidRDefault="005409E2" w:rsidP="005409E2">
      <w:pPr>
        <w:spacing w:after="0"/>
        <w:ind w:left="630"/>
        <w:jc w:val="both"/>
        <w:rPr>
          <w:rFonts w:ascii="Arial" w:hAnsi="Arial" w:cs="Arial"/>
        </w:rPr>
      </w:pPr>
      <w:r w:rsidRPr="002B0E12">
        <w:rPr>
          <w:rFonts w:ascii="Arial" w:hAnsi="Arial" w:cs="Arial"/>
        </w:rPr>
        <w:t>A total of 100 men and women with metabolic syndrome were randomly selected. SFA: Saturated fatty acids; MUFA: Monounsaturated fatty acids; PUFA: Polyunsaturated fatty acids; LA: Linoleic acid; ALA: α-linolenic acid; AA: Arachidonic acid</w:t>
      </w:r>
    </w:p>
    <w:p w14:paraId="391A08D2" w14:textId="77777777" w:rsidR="005409E2" w:rsidRPr="002B0E12" w:rsidRDefault="005409E2" w:rsidP="005409E2">
      <w:pPr>
        <w:shd w:val="clear" w:color="auto" w:fill="FFFFFF" w:themeFill="background1"/>
        <w:spacing w:after="0"/>
        <w:ind w:left="630"/>
        <w:rPr>
          <w:rFonts w:ascii="Arial" w:hAnsi="Arial" w:cs="Arial"/>
        </w:rPr>
      </w:pPr>
      <w:r w:rsidRPr="002B0E12">
        <w:rPr>
          <w:rFonts w:ascii="Arial" w:hAnsi="Arial" w:cs="Arial"/>
        </w:rPr>
        <w:t xml:space="preserve">Values are Mean ± SE; </w:t>
      </w:r>
      <w:r w:rsidRPr="002B0E12">
        <w:rPr>
          <w:rFonts w:ascii="Tahoma" w:hAnsi="Tahoma" w:cs="Tahoma"/>
          <w:vertAlign w:val="superscript"/>
        </w:rPr>
        <w:t>⸸</w:t>
      </w:r>
      <w:r w:rsidRPr="002B0E12">
        <w:rPr>
          <w:rFonts w:ascii="Arial" w:hAnsi="Arial" w:cs="Arial"/>
        </w:rPr>
        <w:t xml:space="preserve">EAR: Estimated Average Requirements for Indians, ICMR (2020); </w:t>
      </w:r>
      <w:r w:rsidRPr="002B0E12">
        <w:rPr>
          <w:rFonts w:ascii="Tahoma" w:hAnsi="Tahoma" w:cs="Tahoma"/>
          <w:vertAlign w:val="superscript"/>
        </w:rPr>
        <w:t>⸸⸸</w:t>
      </w:r>
      <w:r w:rsidRPr="002B0E12">
        <w:rPr>
          <w:rFonts w:ascii="Arial" w:hAnsi="Arial" w:cs="Arial"/>
        </w:rPr>
        <w:t xml:space="preserve">RDA: WHO (2010); </w:t>
      </w:r>
    </w:p>
    <w:p w14:paraId="36D121A1" w14:textId="77777777" w:rsidR="005409E2" w:rsidRPr="002B0E12" w:rsidRDefault="005409E2" w:rsidP="005409E2">
      <w:pPr>
        <w:spacing w:after="0"/>
        <w:ind w:left="630"/>
        <w:rPr>
          <w:rFonts w:ascii="Arial" w:hAnsi="Arial" w:cs="Arial"/>
        </w:rPr>
      </w:pPr>
      <w:r w:rsidRPr="002B0E12">
        <w:rPr>
          <w:rFonts w:ascii="Arial" w:hAnsi="Arial" w:cs="Arial"/>
        </w:rPr>
        <w:t>Urban vs Rural: Values with different alphabets (lower case) in superscripts differ significantly (p&lt;0.05)</w:t>
      </w:r>
    </w:p>
    <w:p w14:paraId="1003DFF4" w14:textId="77777777" w:rsidR="005409E2" w:rsidRPr="002B0E12" w:rsidRDefault="005409E2" w:rsidP="005409E2">
      <w:pPr>
        <w:spacing w:after="0" w:line="360" w:lineRule="auto"/>
        <w:ind w:left="851"/>
        <w:rPr>
          <w:rFonts w:ascii="Arial" w:hAnsi="Arial" w:cs="Arial"/>
        </w:rPr>
      </w:pPr>
    </w:p>
    <w:p w14:paraId="04B4F10E"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2C906B05"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178B990A" w14:textId="77777777" w:rsidR="0015682B" w:rsidRPr="002B0E12" w:rsidRDefault="0015682B" w:rsidP="004112D6">
      <w:pPr>
        <w:spacing w:after="0" w:line="360" w:lineRule="auto"/>
        <w:ind w:firstLine="720"/>
        <w:jc w:val="both"/>
        <w:rPr>
          <w:rFonts w:ascii="Arial" w:eastAsia="Times New Roman" w:hAnsi="Arial" w:cs="Arial"/>
          <w:lang w:val="en-GB" w:eastAsia="en-GB"/>
        </w:rPr>
      </w:pPr>
    </w:p>
    <w:p w14:paraId="193CC3DF" w14:textId="77777777" w:rsidR="003127AD" w:rsidRPr="002B0E12" w:rsidRDefault="003127AD" w:rsidP="004112D6">
      <w:pPr>
        <w:spacing w:after="0" w:line="360" w:lineRule="auto"/>
        <w:ind w:firstLine="720"/>
        <w:jc w:val="both"/>
        <w:rPr>
          <w:rFonts w:ascii="Arial" w:eastAsia="Times New Roman" w:hAnsi="Arial" w:cs="Arial"/>
          <w:lang w:val="en-GB" w:eastAsia="en-GB"/>
        </w:rPr>
      </w:pPr>
    </w:p>
    <w:p w14:paraId="3B667CDA"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0A8BCB3B" w14:textId="77777777" w:rsidR="005409E2" w:rsidRPr="002B0E12" w:rsidRDefault="005409E2" w:rsidP="005409E2">
      <w:pPr>
        <w:spacing w:after="0"/>
        <w:ind w:left="720" w:hanging="720"/>
        <w:rPr>
          <w:rFonts w:ascii="Arial" w:hAnsi="Arial" w:cs="Arial"/>
          <w:b/>
        </w:rPr>
      </w:pPr>
      <w:r w:rsidRPr="002B0E12">
        <w:rPr>
          <w:rFonts w:ascii="Arial" w:hAnsi="Arial" w:cs="Arial"/>
          <w:b/>
        </w:rPr>
        <w:lastRenderedPageBreak/>
        <w:t>Table 5 Red blood cell fatty acid profile of the selected Metabolic Syndrome participants</w:t>
      </w:r>
    </w:p>
    <w:tbl>
      <w:tblPr>
        <w:tblW w:w="13680" w:type="dxa"/>
        <w:jc w:val="center"/>
        <w:tblBorders>
          <w:top w:val="single" w:sz="4" w:space="0" w:color="auto"/>
          <w:bottom w:val="single" w:sz="4" w:space="0" w:color="auto"/>
        </w:tblBorders>
        <w:tblLook w:val="04A0" w:firstRow="1" w:lastRow="0" w:firstColumn="1" w:lastColumn="0" w:noHBand="0" w:noVBand="1"/>
      </w:tblPr>
      <w:tblGrid>
        <w:gridCol w:w="4567"/>
        <w:gridCol w:w="1441"/>
        <w:gridCol w:w="2167"/>
        <w:gridCol w:w="2133"/>
        <w:gridCol w:w="1319"/>
        <w:gridCol w:w="2053"/>
      </w:tblGrid>
      <w:tr w:rsidR="002B0E12" w:rsidRPr="002B0E12" w14:paraId="32A728AF" w14:textId="77777777" w:rsidTr="0048694B">
        <w:trPr>
          <w:trHeight w:val="20"/>
          <w:jc w:val="center"/>
        </w:trPr>
        <w:tc>
          <w:tcPr>
            <w:tcW w:w="3677" w:type="dxa"/>
            <w:gridSpan w:val="2"/>
            <w:tcBorders>
              <w:top w:val="single" w:sz="4" w:space="0" w:color="auto"/>
              <w:bottom w:val="single" w:sz="4" w:space="0" w:color="auto"/>
            </w:tcBorders>
            <w:vAlign w:val="center"/>
            <w:hideMark/>
          </w:tcPr>
          <w:p w14:paraId="30004C9C" w14:textId="77777777" w:rsidR="005409E2" w:rsidRPr="002B0E12" w:rsidRDefault="005409E2" w:rsidP="0048694B">
            <w:pPr>
              <w:spacing w:after="0"/>
              <w:ind w:left="-72" w:right="-86"/>
              <w:rPr>
                <w:rFonts w:ascii="Arial" w:hAnsi="Arial" w:cs="Arial"/>
                <w:b/>
                <w:bCs/>
                <w:lang w:val="en-IN"/>
              </w:rPr>
            </w:pPr>
            <w:r w:rsidRPr="002B0E12">
              <w:rPr>
                <w:rFonts w:ascii="Arial" w:hAnsi="Arial" w:cs="Arial"/>
                <w:b/>
                <w:bCs/>
              </w:rPr>
              <w:t>Fatty Acids</w:t>
            </w:r>
          </w:p>
        </w:tc>
        <w:tc>
          <w:tcPr>
            <w:tcW w:w="1326" w:type="dxa"/>
            <w:tcBorders>
              <w:top w:val="single" w:sz="4" w:space="0" w:color="auto"/>
              <w:bottom w:val="single" w:sz="4" w:space="0" w:color="auto"/>
            </w:tcBorders>
            <w:vAlign w:val="bottom"/>
            <w:hideMark/>
          </w:tcPr>
          <w:p w14:paraId="1687BCAA" w14:textId="77777777" w:rsidR="005409E2" w:rsidRPr="002B0E12" w:rsidRDefault="005409E2" w:rsidP="0048694B">
            <w:pPr>
              <w:spacing w:after="0"/>
              <w:ind w:left="-72" w:right="-86"/>
              <w:jc w:val="center"/>
              <w:rPr>
                <w:rFonts w:ascii="Arial" w:hAnsi="Arial" w:cs="Arial"/>
                <w:b/>
                <w:bCs/>
              </w:rPr>
            </w:pPr>
            <w:r w:rsidRPr="002B0E12">
              <w:rPr>
                <w:rFonts w:ascii="Arial" w:hAnsi="Arial" w:cs="Arial"/>
                <w:b/>
                <w:bCs/>
              </w:rPr>
              <w:t xml:space="preserve">Urban </w:t>
            </w:r>
          </w:p>
          <w:p w14:paraId="705D7DE0" w14:textId="77777777" w:rsidR="005409E2" w:rsidRPr="002B0E12" w:rsidRDefault="005409E2" w:rsidP="0048694B">
            <w:pPr>
              <w:spacing w:after="0"/>
              <w:ind w:left="-72" w:right="-86"/>
              <w:jc w:val="center"/>
              <w:rPr>
                <w:rFonts w:ascii="Arial" w:hAnsi="Arial" w:cs="Arial"/>
                <w:b/>
                <w:bCs/>
                <w:lang w:val="en-IN"/>
              </w:rPr>
            </w:pPr>
            <w:r w:rsidRPr="002B0E12">
              <w:rPr>
                <w:rFonts w:ascii="Arial" w:hAnsi="Arial" w:cs="Arial"/>
                <w:b/>
                <w:bCs/>
              </w:rPr>
              <w:t>(n = 26)</w:t>
            </w:r>
          </w:p>
        </w:tc>
        <w:tc>
          <w:tcPr>
            <w:tcW w:w="1305" w:type="dxa"/>
            <w:tcBorders>
              <w:top w:val="single" w:sz="4" w:space="0" w:color="auto"/>
              <w:bottom w:val="single" w:sz="4" w:space="0" w:color="auto"/>
            </w:tcBorders>
            <w:vAlign w:val="bottom"/>
            <w:hideMark/>
          </w:tcPr>
          <w:p w14:paraId="4DB2FC73" w14:textId="77777777" w:rsidR="005409E2" w:rsidRPr="002B0E12" w:rsidRDefault="005409E2" w:rsidP="0048694B">
            <w:pPr>
              <w:spacing w:after="0"/>
              <w:ind w:left="-72" w:right="-86"/>
              <w:jc w:val="center"/>
              <w:rPr>
                <w:rFonts w:ascii="Arial" w:hAnsi="Arial" w:cs="Arial"/>
                <w:b/>
                <w:bCs/>
              </w:rPr>
            </w:pPr>
            <w:r w:rsidRPr="002B0E12">
              <w:rPr>
                <w:rFonts w:ascii="Arial" w:hAnsi="Arial" w:cs="Arial"/>
                <w:b/>
                <w:bCs/>
              </w:rPr>
              <w:t xml:space="preserve">Rural </w:t>
            </w:r>
          </w:p>
          <w:p w14:paraId="668BAE34" w14:textId="77777777" w:rsidR="005409E2" w:rsidRPr="002B0E12" w:rsidRDefault="005409E2" w:rsidP="0048694B">
            <w:pPr>
              <w:spacing w:after="0"/>
              <w:ind w:left="-72" w:right="-86"/>
              <w:jc w:val="center"/>
              <w:rPr>
                <w:rFonts w:ascii="Arial" w:hAnsi="Arial" w:cs="Arial"/>
                <w:b/>
                <w:bCs/>
                <w:lang w:val="en-IN"/>
              </w:rPr>
            </w:pPr>
            <w:r w:rsidRPr="002B0E12">
              <w:rPr>
                <w:rFonts w:ascii="Arial" w:hAnsi="Arial" w:cs="Arial"/>
                <w:b/>
                <w:bCs/>
              </w:rPr>
              <w:t>(n = 25)</w:t>
            </w:r>
          </w:p>
        </w:tc>
        <w:tc>
          <w:tcPr>
            <w:tcW w:w="807" w:type="dxa"/>
            <w:tcBorders>
              <w:top w:val="single" w:sz="4" w:space="0" w:color="auto"/>
              <w:bottom w:val="single" w:sz="4" w:space="0" w:color="auto"/>
            </w:tcBorders>
            <w:hideMark/>
          </w:tcPr>
          <w:p w14:paraId="17A6E659" w14:textId="77777777" w:rsidR="005409E2" w:rsidRPr="002B0E12" w:rsidRDefault="005409E2" w:rsidP="0048694B">
            <w:pPr>
              <w:spacing w:after="0"/>
              <w:ind w:left="-72" w:right="-86"/>
              <w:jc w:val="center"/>
              <w:rPr>
                <w:rFonts w:ascii="Arial" w:hAnsi="Arial" w:cs="Arial"/>
                <w:b/>
                <w:bCs/>
                <w:i/>
                <w:iCs/>
                <w:lang w:val="en-IN"/>
              </w:rPr>
            </w:pPr>
            <w:r w:rsidRPr="002B0E12">
              <w:rPr>
                <w:rFonts w:ascii="Arial" w:hAnsi="Arial" w:cs="Arial"/>
                <w:b/>
                <w:bCs/>
                <w:i/>
                <w:iCs/>
              </w:rPr>
              <w:t>P value</w:t>
            </w:r>
          </w:p>
        </w:tc>
        <w:tc>
          <w:tcPr>
            <w:tcW w:w="1256" w:type="dxa"/>
            <w:tcBorders>
              <w:top w:val="single" w:sz="4" w:space="0" w:color="auto"/>
              <w:bottom w:val="single" w:sz="4" w:space="0" w:color="auto"/>
            </w:tcBorders>
            <w:hideMark/>
          </w:tcPr>
          <w:p w14:paraId="78DF958F" w14:textId="77777777" w:rsidR="005409E2" w:rsidRPr="002B0E12" w:rsidRDefault="005409E2" w:rsidP="0048694B">
            <w:pPr>
              <w:spacing w:after="0"/>
              <w:ind w:left="-72" w:right="-86"/>
              <w:jc w:val="center"/>
              <w:rPr>
                <w:rFonts w:ascii="Arial" w:hAnsi="Arial" w:cs="Arial"/>
                <w:b/>
                <w:bCs/>
              </w:rPr>
            </w:pPr>
            <w:r w:rsidRPr="002B0E12">
              <w:rPr>
                <w:rFonts w:ascii="Arial" w:hAnsi="Arial" w:cs="Arial"/>
                <w:b/>
                <w:bCs/>
              </w:rPr>
              <w:t>Overall</w:t>
            </w:r>
          </w:p>
          <w:p w14:paraId="347975C0" w14:textId="77777777" w:rsidR="005409E2" w:rsidRPr="002B0E12" w:rsidRDefault="005409E2" w:rsidP="0048694B">
            <w:pPr>
              <w:spacing w:after="0"/>
              <w:ind w:left="-72" w:right="-86"/>
              <w:jc w:val="center"/>
              <w:rPr>
                <w:rFonts w:ascii="Arial" w:hAnsi="Arial" w:cs="Arial"/>
                <w:b/>
                <w:bCs/>
                <w:lang w:val="en-IN"/>
              </w:rPr>
            </w:pPr>
            <w:r w:rsidRPr="002B0E12">
              <w:rPr>
                <w:rFonts w:ascii="Arial" w:hAnsi="Arial" w:cs="Arial"/>
                <w:b/>
                <w:bCs/>
              </w:rPr>
              <w:t>(n = 51)</w:t>
            </w:r>
          </w:p>
        </w:tc>
      </w:tr>
      <w:tr w:rsidR="002B0E12" w:rsidRPr="002B0E12" w14:paraId="477A4AA0" w14:textId="77777777" w:rsidTr="0048694B">
        <w:trPr>
          <w:trHeight w:val="20"/>
          <w:jc w:val="center"/>
        </w:trPr>
        <w:tc>
          <w:tcPr>
            <w:tcW w:w="8371" w:type="dxa"/>
            <w:gridSpan w:val="6"/>
            <w:tcBorders>
              <w:top w:val="single" w:sz="4" w:space="0" w:color="auto"/>
            </w:tcBorders>
            <w:vAlign w:val="bottom"/>
            <w:hideMark/>
          </w:tcPr>
          <w:p w14:paraId="51D0848F" w14:textId="77777777" w:rsidR="005409E2" w:rsidRPr="002B0E12" w:rsidRDefault="005409E2" w:rsidP="0048694B">
            <w:pPr>
              <w:spacing w:after="0"/>
              <w:ind w:left="-72" w:right="-86"/>
              <w:rPr>
                <w:rFonts w:ascii="Arial" w:hAnsi="Arial" w:cs="Arial"/>
                <w:b/>
                <w:bCs/>
                <w:lang w:val="en-IN"/>
              </w:rPr>
            </w:pPr>
            <w:r w:rsidRPr="002B0E12">
              <w:rPr>
                <w:rFonts w:ascii="Arial" w:hAnsi="Arial" w:cs="Arial"/>
                <w:b/>
                <w:bCs/>
              </w:rPr>
              <w:t>Saturated Fatty Acids (SFA)</w:t>
            </w:r>
          </w:p>
        </w:tc>
      </w:tr>
      <w:tr w:rsidR="002B0E12" w:rsidRPr="002B0E12" w14:paraId="3C8A29C0" w14:textId="77777777" w:rsidTr="0048694B">
        <w:trPr>
          <w:trHeight w:val="20"/>
          <w:jc w:val="center"/>
        </w:trPr>
        <w:tc>
          <w:tcPr>
            <w:tcW w:w="2795" w:type="dxa"/>
            <w:vAlign w:val="bottom"/>
            <w:hideMark/>
          </w:tcPr>
          <w:p w14:paraId="398DAC73" w14:textId="77777777" w:rsidR="005409E2" w:rsidRPr="002B0E12" w:rsidRDefault="005409E2" w:rsidP="0048694B">
            <w:pPr>
              <w:spacing w:after="0"/>
              <w:ind w:left="-72" w:right="-86"/>
              <w:rPr>
                <w:rFonts w:ascii="Arial" w:hAnsi="Arial" w:cs="Arial"/>
                <w:lang w:val="en-IN"/>
              </w:rPr>
            </w:pPr>
            <w:r w:rsidRPr="002B0E12">
              <w:rPr>
                <w:rFonts w:ascii="Arial" w:hAnsi="Arial" w:cs="Arial"/>
              </w:rPr>
              <w:t>Myristic acid (C14:0)</w:t>
            </w:r>
          </w:p>
        </w:tc>
        <w:tc>
          <w:tcPr>
            <w:tcW w:w="882" w:type="dxa"/>
            <w:vAlign w:val="bottom"/>
            <w:hideMark/>
          </w:tcPr>
          <w:p w14:paraId="0B1D86D5"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06CA3EB2"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0.96</w:t>
            </w:r>
            <w:r w:rsidRPr="002B0E12">
              <w:rPr>
                <w:rFonts w:ascii="Arial" w:hAnsi="Arial" w:cs="Arial"/>
                <w:vertAlign w:val="superscript"/>
              </w:rPr>
              <w:t>a</w:t>
            </w:r>
            <w:r w:rsidRPr="002B0E12">
              <w:rPr>
                <w:rFonts w:ascii="Arial" w:hAnsi="Arial" w:cs="Arial"/>
              </w:rPr>
              <w:t xml:space="preserve"> ± 0.21</w:t>
            </w:r>
          </w:p>
        </w:tc>
        <w:tc>
          <w:tcPr>
            <w:tcW w:w="1305" w:type="dxa"/>
            <w:vAlign w:val="bottom"/>
            <w:hideMark/>
          </w:tcPr>
          <w:p w14:paraId="17D3F7AD"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1.82</w:t>
            </w:r>
            <w:r w:rsidRPr="002B0E12">
              <w:rPr>
                <w:rFonts w:ascii="Arial" w:hAnsi="Arial" w:cs="Arial"/>
                <w:vertAlign w:val="superscript"/>
              </w:rPr>
              <w:t>b</w:t>
            </w:r>
            <w:r w:rsidRPr="002B0E12">
              <w:rPr>
                <w:rFonts w:ascii="Arial" w:hAnsi="Arial" w:cs="Arial"/>
              </w:rPr>
              <w:t xml:space="preserve"> ± 1.25</w:t>
            </w:r>
          </w:p>
        </w:tc>
        <w:tc>
          <w:tcPr>
            <w:tcW w:w="807" w:type="dxa"/>
            <w:vAlign w:val="bottom"/>
            <w:hideMark/>
          </w:tcPr>
          <w:p w14:paraId="39D1667D"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0.002</w:t>
            </w:r>
          </w:p>
        </w:tc>
        <w:tc>
          <w:tcPr>
            <w:tcW w:w="1256" w:type="dxa"/>
            <w:vAlign w:val="bottom"/>
            <w:hideMark/>
          </w:tcPr>
          <w:p w14:paraId="31559D8E" w14:textId="77777777" w:rsidR="005409E2" w:rsidRPr="002B0E12" w:rsidRDefault="005409E2" w:rsidP="0048694B">
            <w:pPr>
              <w:spacing w:after="0"/>
              <w:ind w:left="-72" w:right="-86"/>
              <w:jc w:val="center"/>
              <w:rPr>
                <w:rFonts w:ascii="Arial" w:hAnsi="Arial" w:cs="Arial"/>
                <w:bCs/>
                <w:lang w:val="en-IN"/>
              </w:rPr>
            </w:pPr>
            <w:r w:rsidRPr="002B0E12">
              <w:rPr>
                <w:rFonts w:ascii="Arial" w:hAnsi="Arial" w:cs="Arial"/>
                <w:bCs/>
              </w:rPr>
              <w:t xml:space="preserve">1.38 </w:t>
            </w:r>
            <w:r w:rsidRPr="002B0E12">
              <w:rPr>
                <w:rFonts w:ascii="Arial" w:hAnsi="Arial" w:cs="Arial"/>
              </w:rPr>
              <w:t>± 0.97</w:t>
            </w:r>
          </w:p>
        </w:tc>
      </w:tr>
      <w:tr w:rsidR="002B0E12" w:rsidRPr="002B0E12" w14:paraId="7C503709" w14:textId="77777777" w:rsidTr="0048694B">
        <w:trPr>
          <w:trHeight w:val="20"/>
          <w:jc w:val="center"/>
        </w:trPr>
        <w:tc>
          <w:tcPr>
            <w:tcW w:w="2795" w:type="dxa"/>
            <w:vAlign w:val="bottom"/>
            <w:hideMark/>
          </w:tcPr>
          <w:p w14:paraId="1B708A70" w14:textId="77777777" w:rsidR="005409E2" w:rsidRPr="002B0E12" w:rsidRDefault="005409E2" w:rsidP="0048694B">
            <w:pPr>
              <w:spacing w:after="0"/>
              <w:ind w:left="-72" w:right="-86"/>
              <w:rPr>
                <w:rFonts w:ascii="Arial" w:hAnsi="Arial" w:cs="Arial"/>
                <w:lang w:val="en-IN"/>
              </w:rPr>
            </w:pPr>
            <w:r w:rsidRPr="002B0E12">
              <w:rPr>
                <w:rFonts w:ascii="Arial" w:hAnsi="Arial" w:cs="Arial"/>
              </w:rPr>
              <w:t>Palmitic acid (C16:0)</w:t>
            </w:r>
          </w:p>
        </w:tc>
        <w:tc>
          <w:tcPr>
            <w:tcW w:w="882" w:type="dxa"/>
            <w:vAlign w:val="bottom"/>
            <w:hideMark/>
          </w:tcPr>
          <w:p w14:paraId="477B9C71"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6C2D65E7"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31.74</w:t>
            </w:r>
            <w:r w:rsidRPr="002B0E12">
              <w:rPr>
                <w:rFonts w:ascii="Arial" w:hAnsi="Arial" w:cs="Arial"/>
                <w:vertAlign w:val="superscript"/>
              </w:rPr>
              <w:t>a</w:t>
            </w:r>
            <w:r w:rsidRPr="002B0E12">
              <w:rPr>
                <w:rFonts w:ascii="Arial" w:hAnsi="Arial" w:cs="Arial"/>
              </w:rPr>
              <w:t xml:space="preserve"> ± 2.83</w:t>
            </w:r>
          </w:p>
        </w:tc>
        <w:tc>
          <w:tcPr>
            <w:tcW w:w="1305" w:type="dxa"/>
            <w:vAlign w:val="bottom"/>
            <w:hideMark/>
          </w:tcPr>
          <w:p w14:paraId="24AB3A5E"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31.21</w:t>
            </w:r>
            <w:r w:rsidRPr="002B0E12">
              <w:rPr>
                <w:rFonts w:ascii="Arial" w:hAnsi="Arial" w:cs="Arial"/>
                <w:vertAlign w:val="superscript"/>
              </w:rPr>
              <w:t>a</w:t>
            </w:r>
            <w:r w:rsidRPr="002B0E12">
              <w:rPr>
                <w:rFonts w:ascii="Arial" w:hAnsi="Arial" w:cs="Arial"/>
              </w:rPr>
              <w:t xml:space="preserve"> ± 1.56</w:t>
            </w:r>
          </w:p>
        </w:tc>
        <w:tc>
          <w:tcPr>
            <w:tcW w:w="807" w:type="dxa"/>
            <w:vAlign w:val="bottom"/>
            <w:hideMark/>
          </w:tcPr>
          <w:p w14:paraId="57EAEDC1"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0.406</w:t>
            </w:r>
          </w:p>
        </w:tc>
        <w:tc>
          <w:tcPr>
            <w:tcW w:w="1256" w:type="dxa"/>
            <w:vAlign w:val="bottom"/>
            <w:hideMark/>
          </w:tcPr>
          <w:p w14:paraId="6AAFFB7F"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31.48 ± 2.27</w:t>
            </w:r>
          </w:p>
        </w:tc>
      </w:tr>
      <w:tr w:rsidR="002B0E12" w:rsidRPr="002B0E12" w14:paraId="3BD9DCED" w14:textId="77777777" w:rsidTr="0048694B">
        <w:trPr>
          <w:trHeight w:val="20"/>
          <w:jc w:val="center"/>
        </w:trPr>
        <w:tc>
          <w:tcPr>
            <w:tcW w:w="2795" w:type="dxa"/>
            <w:vAlign w:val="bottom"/>
            <w:hideMark/>
          </w:tcPr>
          <w:p w14:paraId="2C5C56CC" w14:textId="77777777" w:rsidR="005409E2" w:rsidRPr="002B0E12" w:rsidRDefault="005409E2" w:rsidP="0048694B">
            <w:pPr>
              <w:spacing w:after="0"/>
              <w:ind w:left="-72" w:right="-86"/>
              <w:rPr>
                <w:rFonts w:ascii="Arial" w:hAnsi="Arial" w:cs="Arial"/>
                <w:lang w:val="en-IN"/>
              </w:rPr>
            </w:pPr>
            <w:r w:rsidRPr="002B0E12">
              <w:rPr>
                <w:rFonts w:ascii="Arial" w:hAnsi="Arial" w:cs="Arial"/>
              </w:rPr>
              <w:t>Stearic acid (C18:0)</w:t>
            </w:r>
          </w:p>
        </w:tc>
        <w:tc>
          <w:tcPr>
            <w:tcW w:w="882" w:type="dxa"/>
            <w:vAlign w:val="bottom"/>
            <w:hideMark/>
          </w:tcPr>
          <w:p w14:paraId="6D7A939E"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127E077E"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21.11</w:t>
            </w:r>
            <w:r w:rsidRPr="002B0E12">
              <w:rPr>
                <w:rFonts w:ascii="Arial" w:hAnsi="Arial" w:cs="Arial"/>
                <w:vertAlign w:val="superscript"/>
              </w:rPr>
              <w:t>a</w:t>
            </w:r>
            <w:r w:rsidRPr="002B0E12">
              <w:rPr>
                <w:rFonts w:ascii="Arial" w:hAnsi="Arial" w:cs="Arial"/>
              </w:rPr>
              <w:t xml:space="preserve"> ± 1.75</w:t>
            </w:r>
          </w:p>
        </w:tc>
        <w:tc>
          <w:tcPr>
            <w:tcW w:w="1305" w:type="dxa"/>
            <w:vAlign w:val="bottom"/>
            <w:hideMark/>
          </w:tcPr>
          <w:p w14:paraId="07F22041"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20.67</w:t>
            </w:r>
            <w:r w:rsidRPr="002B0E12">
              <w:rPr>
                <w:rFonts w:ascii="Arial" w:hAnsi="Arial" w:cs="Arial"/>
                <w:vertAlign w:val="superscript"/>
              </w:rPr>
              <w:t>a</w:t>
            </w:r>
            <w:r w:rsidRPr="002B0E12">
              <w:rPr>
                <w:rFonts w:ascii="Arial" w:hAnsi="Arial" w:cs="Arial"/>
              </w:rPr>
              <w:t xml:space="preserve"> ± 1.20</w:t>
            </w:r>
          </w:p>
        </w:tc>
        <w:tc>
          <w:tcPr>
            <w:tcW w:w="807" w:type="dxa"/>
            <w:vAlign w:val="bottom"/>
            <w:hideMark/>
          </w:tcPr>
          <w:p w14:paraId="6ECC08EB"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0.301</w:t>
            </w:r>
          </w:p>
        </w:tc>
        <w:tc>
          <w:tcPr>
            <w:tcW w:w="1256" w:type="dxa"/>
            <w:vAlign w:val="bottom"/>
            <w:hideMark/>
          </w:tcPr>
          <w:p w14:paraId="247F1F20"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20.89 ± 1.49</w:t>
            </w:r>
          </w:p>
        </w:tc>
      </w:tr>
      <w:tr w:rsidR="002B0E12" w:rsidRPr="002B0E12" w14:paraId="21F93A26" w14:textId="77777777" w:rsidTr="0048694B">
        <w:trPr>
          <w:trHeight w:val="20"/>
          <w:jc w:val="center"/>
        </w:trPr>
        <w:tc>
          <w:tcPr>
            <w:tcW w:w="8371" w:type="dxa"/>
            <w:gridSpan w:val="6"/>
            <w:vAlign w:val="bottom"/>
            <w:hideMark/>
          </w:tcPr>
          <w:p w14:paraId="2FFD42D2" w14:textId="77777777" w:rsidR="005409E2" w:rsidRPr="002B0E12" w:rsidRDefault="005409E2" w:rsidP="0048694B">
            <w:pPr>
              <w:spacing w:after="0"/>
              <w:ind w:left="-72" w:right="-86"/>
              <w:rPr>
                <w:rFonts w:ascii="Arial" w:hAnsi="Arial" w:cs="Arial"/>
                <w:b/>
                <w:bCs/>
                <w:lang w:val="en-IN"/>
              </w:rPr>
            </w:pPr>
            <w:r w:rsidRPr="002B0E12">
              <w:rPr>
                <w:rFonts w:ascii="Arial" w:hAnsi="Arial" w:cs="Arial"/>
                <w:b/>
                <w:bCs/>
              </w:rPr>
              <w:t>Monounsaturated Fatty Acids (MUFA)</w:t>
            </w:r>
          </w:p>
        </w:tc>
      </w:tr>
      <w:tr w:rsidR="002B0E12" w:rsidRPr="002B0E12" w14:paraId="135054F1" w14:textId="77777777" w:rsidTr="0048694B">
        <w:trPr>
          <w:trHeight w:val="20"/>
          <w:jc w:val="center"/>
        </w:trPr>
        <w:tc>
          <w:tcPr>
            <w:tcW w:w="2795" w:type="dxa"/>
            <w:vAlign w:val="bottom"/>
            <w:hideMark/>
          </w:tcPr>
          <w:p w14:paraId="71387EB2" w14:textId="77777777" w:rsidR="005409E2" w:rsidRPr="002B0E12" w:rsidRDefault="005409E2" w:rsidP="0048694B">
            <w:pPr>
              <w:spacing w:after="0"/>
              <w:ind w:left="-72" w:right="-86"/>
              <w:rPr>
                <w:rFonts w:ascii="Arial" w:hAnsi="Arial" w:cs="Arial"/>
                <w:lang w:val="en-IN"/>
              </w:rPr>
            </w:pPr>
            <w:r w:rsidRPr="002B0E12">
              <w:rPr>
                <w:rFonts w:ascii="Arial" w:hAnsi="Arial" w:cs="Arial"/>
              </w:rPr>
              <w:t>Palmitoleic acid (C16:1)</w:t>
            </w:r>
          </w:p>
        </w:tc>
        <w:tc>
          <w:tcPr>
            <w:tcW w:w="882" w:type="dxa"/>
            <w:vAlign w:val="bottom"/>
            <w:hideMark/>
          </w:tcPr>
          <w:p w14:paraId="1F616A07"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772D4FA7"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0.83</w:t>
            </w:r>
            <w:r w:rsidRPr="002B0E12">
              <w:rPr>
                <w:rFonts w:ascii="Arial" w:hAnsi="Arial" w:cs="Arial"/>
                <w:vertAlign w:val="superscript"/>
              </w:rPr>
              <w:t>a</w:t>
            </w:r>
            <w:r w:rsidRPr="002B0E12">
              <w:rPr>
                <w:rFonts w:ascii="Arial" w:hAnsi="Arial" w:cs="Arial"/>
              </w:rPr>
              <w:t xml:space="preserve"> ± 0.25</w:t>
            </w:r>
          </w:p>
        </w:tc>
        <w:tc>
          <w:tcPr>
            <w:tcW w:w="1305" w:type="dxa"/>
            <w:vAlign w:val="bottom"/>
            <w:hideMark/>
          </w:tcPr>
          <w:p w14:paraId="2055B3F4"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1.74</w:t>
            </w:r>
            <w:r w:rsidRPr="002B0E12">
              <w:rPr>
                <w:rFonts w:ascii="Arial" w:hAnsi="Arial" w:cs="Arial"/>
                <w:vertAlign w:val="superscript"/>
              </w:rPr>
              <w:t>a</w:t>
            </w:r>
            <w:r w:rsidRPr="002B0E12">
              <w:rPr>
                <w:rFonts w:ascii="Arial" w:hAnsi="Arial" w:cs="Arial"/>
              </w:rPr>
              <w:t xml:space="preserve"> ± 0.77</w:t>
            </w:r>
          </w:p>
        </w:tc>
        <w:tc>
          <w:tcPr>
            <w:tcW w:w="807" w:type="dxa"/>
            <w:vAlign w:val="bottom"/>
            <w:hideMark/>
          </w:tcPr>
          <w:p w14:paraId="12E55BE7"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 0.001</w:t>
            </w:r>
          </w:p>
        </w:tc>
        <w:tc>
          <w:tcPr>
            <w:tcW w:w="1256" w:type="dxa"/>
            <w:vAlign w:val="bottom"/>
            <w:hideMark/>
          </w:tcPr>
          <w:p w14:paraId="0403729B"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1.28 ± 0.72</w:t>
            </w:r>
          </w:p>
        </w:tc>
      </w:tr>
      <w:tr w:rsidR="002B0E12" w:rsidRPr="002B0E12" w14:paraId="2BCABCD1" w14:textId="77777777" w:rsidTr="0048694B">
        <w:trPr>
          <w:trHeight w:val="20"/>
          <w:jc w:val="center"/>
        </w:trPr>
        <w:tc>
          <w:tcPr>
            <w:tcW w:w="2795" w:type="dxa"/>
            <w:vAlign w:val="bottom"/>
            <w:hideMark/>
          </w:tcPr>
          <w:p w14:paraId="0BD7509C" w14:textId="77777777" w:rsidR="005409E2" w:rsidRPr="002B0E12" w:rsidRDefault="005409E2" w:rsidP="0048694B">
            <w:pPr>
              <w:spacing w:after="0"/>
              <w:ind w:left="-72" w:right="-86"/>
              <w:rPr>
                <w:rFonts w:ascii="Arial" w:hAnsi="Arial" w:cs="Arial"/>
                <w:lang w:val="en-IN"/>
              </w:rPr>
            </w:pPr>
            <w:r w:rsidRPr="002B0E12">
              <w:rPr>
                <w:rFonts w:ascii="Arial" w:hAnsi="Arial" w:cs="Arial"/>
              </w:rPr>
              <w:t>Oleic acid (C18:1)</w:t>
            </w:r>
          </w:p>
        </w:tc>
        <w:tc>
          <w:tcPr>
            <w:tcW w:w="882" w:type="dxa"/>
            <w:vAlign w:val="bottom"/>
            <w:hideMark/>
          </w:tcPr>
          <w:p w14:paraId="5E3C26D8"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44AB12D2"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13.60</w:t>
            </w:r>
            <w:r w:rsidRPr="002B0E12">
              <w:rPr>
                <w:rFonts w:ascii="Arial" w:hAnsi="Arial" w:cs="Arial"/>
                <w:vertAlign w:val="superscript"/>
              </w:rPr>
              <w:t>a</w:t>
            </w:r>
            <w:r w:rsidRPr="002B0E12">
              <w:rPr>
                <w:rFonts w:ascii="Arial" w:hAnsi="Arial" w:cs="Arial"/>
              </w:rPr>
              <w:t xml:space="preserve"> ± 0.65</w:t>
            </w:r>
          </w:p>
        </w:tc>
        <w:tc>
          <w:tcPr>
            <w:tcW w:w="1305" w:type="dxa"/>
            <w:vAlign w:val="bottom"/>
            <w:hideMark/>
          </w:tcPr>
          <w:p w14:paraId="71FDE0C5"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14.56</w:t>
            </w:r>
            <w:r w:rsidRPr="002B0E12">
              <w:rPr>
                <w:rFonts w:ascii="Arial" w:hAnsi="Arial" w:cs="Arial"/>
                <w:vertAlign w:val="superscript"/>
              </w:rPr>
              <w:t>b</w:t>
            </w:r>
            <w:r w:rsidRPr="002B0E12">
              <w:rPr>
                <w:rFonts w:ascii="Arial" w:hAnsi="Arial" w:cs="Arial"/>
              </w:rPr>
              <w:t xml:space="preserve"> ± 1.67</w:t>
            </w:r>
          </w:p>
        </w:tc>
        <w:tc>
          <w:tcPr>
            <w:tcW w:w="807" w:type="dxa"/>
            <w:vAlign w:val="bottom"/>
            <w:hideMark/>
          </w:tcPr>
          <w:p w14:paraId="33A4E7A5"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0.011</w:t>
            </w:r>
          </w:p>
        </w:tc>
        <w:tc>
          <w:tcPr>
            <w:tcW w:w="1256" w:type="dxa"/>
            <w:vAlign w:val="bottom"/>
            <w:hideMark/>
          </w:tcPr>
          <w:p w14:paraId="58576501"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14.07 ± 1.32</w:t>
            </w:r>
          </w:p>
        </w:tc>
      </w:tr>
      <w:tr w:rsidR="002B0E12" w:rsidRPr="002B0E12" w14:paraId="5B3B2FC1" w14:textId="77777777" w:rsidTr="0048694B">
        <w:trPr>
          <w:trHeight w:val="20"/>
          <w:jc w:val="center"/>
        </w:trPr>
        <w:tc>
          <w:tcPr>
            <w:tcW w:w="8371" w:type="dxa"/>
            <w:gridSpan w:val="6"/>
            <w:vAlign w:val="bottom"/>
            <w:hideMark/>
          </w:tcPr>
          <w:p w14:paraId="1BBA7585" w14:textId="77777777" w:rsidR="005409E2" w:rsidRPr="002B0E12" w:rsidRDefault="005409E2" w:rsidP="0048694B">
            <w:pPr>
              <w:spacing w:after="0"/>
              <w:ind w:left="-72" w:right="-86"/>
              <w:rPr>
                <w:rFonts w:ascii="Arial" w:hAnsi="Arial" w:cs="Arial"/>
                <w:b/>
                <w:bCs/>
                <w:lang w:val="en-IN"/>
              </w:rPr>
            </w:pPr>
            <w:r w:rsidRPr="002B0E12">
              <w:rPr>
                <w:rFonts w:ascii="Arial" w:hAnsi="Arial" w:cs="Arial"/>
                <w:b/>
                <w:bCs/>
              </w:rPr>
              <w:t>Polyunsaturated Fatty Acids (PUFA) - Omega 6</w:t>
            </w:r>
          </w:p>
        </w:tc>
      </w:tr>
      <w:tr w:rsidR="002B0E12" w:rsidRPr="002B0E12" w14:paraId="379E88C2" w14:textId="77777777" w:rsidTr="0048694B">
        <w:trPr>
          <w:trHeight w:val="20"/>
          <w:jc w:val="center"/>
        </w:trPr>
        <w:tc>
          <w:tcPr>
            <w:tcW w:w="2795" w:type="dxa"/>
            <w:vAlign w:val="bottom"/>
            <w:hideMark/>
          </w:tcPr>
          <w:p w14:paraId="08A3E10C" w14:textId="77777777" w:rsidR="005409E2" w:rsidRPr="002B0E12" w:rsidRDefault="005409E2" w:rsidP="0048694B">
            <w:pPr>
              <w:spacing w:after="0"/>
              <w:ind w:left="-72" w:right="-86"/>
              <w:rPr>
                <w:rFonts w:ascii="Arial" w:hAnsi="Arial" w:cs="Arial"/>
                <w:lang w:val="en-IN"/>
              </w:rPr>
            </w:pPr>
            <w:r w:rsidRPr="002B0E12">
              <w:rPr>
                <w:rFonts w:ascii="Arial" w:hAnsi="Arial" w:cs="Arial"/>
              </w:rPr>
              <w:t>Linoleic acid (C18:2)</w:t>
            </w:r>
          </w:p>
        </w:tc>
        <w:tc>
          <w:tcPr>
            <w:tcW w:w="882" w:type="dxa"/>
            <w:vAlign w:val="bottom"/>
            <w:hideMark/>
          </w:tcPr>
          <w:p w14:paraId="11FD4C59"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3D66B4A5"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11.74</w:t>
            </w:r>
            <w:r w:rsidRPr="002B0E12">
              <w:rPr>
                <w:rFonts w:ascii="Arial" w:hAnsi="Arial" w:cs="Arial"/>
                <w:vertAlign w:val="superscript"/>
              </w:rPr>
              <w:t>a</w:t>
            </w:r>
            <w:r w:rsidRPr="002B0E12">
              <w:rPr>
                <w:rFonts w:ascii="Arial" w:hAnsi="Arial" w:cs="Arial"/>
              </w:rPr>
              <w:t xml:space="preserve"> ± 1.52</w:t>
            </w:r>
          </w:p>
        </w:tc>
        <w:tc>
          <w:tcPr>
            <w:tcW w:w="1305" w:type="dxa"/>
            <w:vAlign w:val="bottom"/>
            <w:hideMark/>
          </w:tcPr>
          <w:p w14:paraId="282CEE44"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12.88</w:t>
            </w:r>
            <w:r w:rsidRPr="002B0E12">
              <w:rPr>
                <w:rFonts w:ascii="Arial" w:hAnsi="Arial" w:cs="Arial"/>
                <w:vertAlign w:val="superscript"/>
              </w:rPr>
              <w:t>b</w:t>
            </w:r>
            <w:r w:rsidRPr="002B0E12">
              <w:rPr>
                <w:rFonts w:ascii="Arial" w:hAnsi="Arial" w:cs="Arial"/>
              </w:rPr>
              <w:t xml:space="preserve"> ± 1.04</w:t>
            </w:r>
          </w:p>
        </w:tc>
        <w:tc>
          <w:tcPr>
            <w:tcW w:w="807" w:type="dxa"/>
            <w:vAlign w:val="bottom"/>
            <w:hideMark/>
          </w:tcPr>
          <w:p w14:paraId="5EBD75C0"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0.003</w:t>
            </w:r>
          </w:p>
        </w:tc>
        <w:tc>
          <w:tcPr>
            <w:tcW w:w="1256" w:type="dxa"/>
            <w:vAlign w:val="bottom"/>
            <w:hideMark/>
          </w:tcPr>
          <w:p w14:paraId="255B38CB"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12.30 ± 1.40</w:t>
            </w:r>
          </w:p>
        </w:tc>
      </w:tr>
      <w:tr w:rsidR="002B0E12" w:rsidRPr="002B0E12" w14:paraId="2A8E9C17" w14:textId="77777777" w:rsidTr="0048694B">
        <w:trPr>
          <w:trHeight w:val="20"/>
          <w:jc w:val="center"/>
        </w:trPr>
        <w:tc>
          <w:tcPr>
            <w:tcW w:w="2795" w:type="dxa"/>
            <w:vAlign w:val="bottom"/>
            <w:hideMark/>
          </w:tcPr>
          <w:p w14:paraId="57F1391E" w14:textId="77777777" w:rsidR="005409E2" w:rsidRPr="002B0E12" w:rsidRDefault="005409E2" w:rsidP="0048694B">
            <w:pPr>
              <w:spacing w:after="0"/>
              <w:ind w:left="-72" w:right="-86"/>
              <w:rPr>
                <w:rFonts w:ascii="Arial" w:hAnsi="Arial" w:cs="Arial"/>
                <w:lang w:val="en-IN"/>
              </w:rPr>
            </w:pPr>
            <w:r w:rsidRPr="002B0E12">
              <w:rPr>
                <w:rFonts w:ascii="Arial" w:hAnsi="Arial" w:cs="Arial"/>
              </w:rPr>
              <w:t>Gamma-linolenic acid (C18:3)</w:t>
            </w:r>
          </w:p>
        </w:tc>
        <w:tc>
          <w:tcPr>
            <w:tcW w:w="882" w:type="dxa"/>
            <w:vAlign w:val="bottom"/>
            <w:hideMark/>
          </w:tcPr>
          <w:p w14:paraId="5C29080B"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2D26672A"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0.68</w:t>
            </w:r>
            <w:r w:rsidRPr="002B0E12">
              <w:rPr>
                <w:rFonts w:ascii="Arial" w:hAnsi="Arial" w:cs="Arial"/>
                <w:vertAlign w:val="superscript"/>
              </w:rPr>
              <w:t>a</w:t>
            </w:r>
            <w:r w:rsidRPr="002B0E12">
              <w:rPr>
                <w:rFonts w:ascii="Arial" w:hAnsi="Arial" w:cs="Arial"/>
              </w:rPr>
              <w:t xml:space="preserve"> ± 0.28</w:t>
            </w:r>
          </w:p>
        </w:tc>
        <w:tc>
          <w:tcPr>
            <w:tcW w:w="1305" w:type="dxa"/>
            <w:vAlign w:val="bottom"/>
            <w:hideMark/>
          </w:tcPr>
          <w:p w14:paraId="35506F94"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0.21</w:t>
            </w:r>
            <w:r w:rsidRPr="002B0E12">
              <w:rPr>
                <w:rFonts w:ascii="Arial" w:hAnsi="Arial" w:cs="Arial"/>
                <w:vertAlign w:val="superscript"/>
              </w:rPr>
              <w:t>b</w:t>
            </w:r>
            <w:r w:rsidRPr="002B0E12">
              <w:rPr>
                <w:rFonts w:ascii="Arial" w:hAnsi="Arial" w:cs="Arial"/>
              </w:rPr>
              <w:t xml:space="preserve"> ± 0.27</w:t>
            </w:r>
          </w:p>
        </w:tc>
        <w:tc>
          <w:tcPr>
            <w:tcW w:w="807" w:type="dxa"/>
            <w:vAlign w:val="bottom"/>
            <w:hideMark/>
          </w:tcPr>
          <w:p w14:paraId="69D558E1"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 0.001</w:t>
            </w:r>
          </w:p>
        </w:tc>
        <w:tc>
          <w:tcPr>
            <w:tcW w:w="1256" w:type="dxa"/>
            <w:vAlign w:val="bottom"/>
            <w:hideMark/>
          </w:tcPr>
          <w:p w14:paraId="38BFA0F5"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0.45 ± 0.36</w:t>
            </w:r>
          </w:p>
        </w:tc>
      </w:tr>
      <w:tr w:rsidR="002B0E12" w:rsidRPr="002B0E12" w14:paraId="1DD3F585" w14:textId="77777777" w:rsidTr="0048694B">
        <w:trPr>
          <w:trHeight w:val="20"/>
          <w:jc w:val="center"/>
        </w:trPr>
        <w:tc>
          <w:tcPr>
            <w:tcW w:w="2795" w:type="dxa"/>
            <w:vAlign w:val="bottom"/>
            <w:hideMark/>
          </w:tcPr>
          <w:p w14:paraId="3C06E3F7" w14:textId="77777777" w:rsidR="005409E2" w:rsidRPr="002B0E12" w:rsidRDefault="005409E2" w:rsidP="0048694B">
            <w:pPr>
              <w:spacing w:after="0"/>
              <w:ind w:left="-72" w:right="-86"/>
              <w:rPr>
                <w:rFonts w:ascii="Arial" w:hAnsi="Arial" w:cs="Arial"/>
                <w:lang w:val="en-IN"/>
              </w:rPr>
            </w:pPr>
            <w:proofErr w:type="spellStart"/>
            <w:r w:rsidRPr="002B0E12">
              <w:rPr>
                <w:rFonts w:ascii="Arial" w:hAnsi="Arial" w:cs="Arial"/>
              </w:rPr>
              <w:t>Dihomo</w:t>
            </w:r>
            <w:proofErr w:type="spellEnd"/>
            <w:r w:rsidRPr="002B0E12">
              <w:rPr>
                <w:rFonts w:ascii="Arial" w:hAnsi="Arial" w:cs="Arial"/>
              </w:rPr>
              <w:t>-gamma-linolenic acid (C20:3)</w:t>
            </w:r>
          </w:p>
        </w:tc>
        <w:tc>
          <w:tcPr>
            <w:tcW w:w="882" w:type="dxa"/>
            <w:vAlign w:val="bottom"/>
            <w:hideMark/>
          </w:tcPr>
          <w:p w14:paraId="6F644AC0"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7594A7A6"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1.97</w:t>
            </w:r>
            <w:r w:rsidRPr="002B0E12">
              <w:rPr>
                <w:rFonts w:ascii="Arial" w:hAnsi="Arial" w:cs="Arial"/>
                <w:vertAlign w:val="superscript"/>
              </w:rPr>
              <w:t>a</w:t>
            </w:r>
            <w:r w:rsidRPr="002B0E12">
              <w:rPr>
                <w:rFonts w:ascii="Arial" w:hAnsi="Arial" w:cs="Arial"/>
              </w:rPr>
              <w:t xml:space="preserve"> ± 0.55</w:t>
            </w:r>
          </w:p>
        </w:tc>
        <w:tc>
          <w:tcPr>
            <w:tcW w:w="1305" w:type="dxa"/>
            <w:vAlign w:val="bottom"/>
            <w:hideMark/>
          </w:tcPr>
          <w:p w14:paraId="62F08DE7"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1.91</w:t>
            </w:r>
            <w:r w:rsidRPr="002B0E12">
              <w:rPr>
                <w:rFonts w:ascii="Arial" w:hAnsi="Arial" w:cs="Arial"/>
                <w:vertAlign w:val="superscript"/>
              </w:rPr>
              <w:t>a</w:t>
            </w:r>
            <w:r w:rsidRPr="002B0E12">
              <w:rPr>
                <w:rFonts w:ascii="Arial" w:hAnsi="Arial" w:cs="Arial"/>
              </w:rPr>
              <w:t xml:space="preserve"> ± 0.22</w:t>
            </w:r>
          </w:p>
        </w:tc>
        <w:tc>
          <w:tcPr>
            <w:tcW w:w="807" w:type="dxa"/>
            <w:vAlign w:val="bottom"/>
            <w:hideMark/>
          </w:tcPr>
          <w:p w14:paraId="4180C7D6"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0.615</w:t>
            </w:r>
          </w:p>
        </w:tc>
        <w:tc>
          <w:tcPr>
            <w:tcW w:w="1256" w:type="dxa"/>
            <w:vAlign w:val="bottom"/>
            <w:hideMark/>
          </w:tcPr>
          <w:p w14:paraId="047F2C52"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1.94 ± 0.41</w:t>
            </w:r>
          </w:p>
        </w:tc>
      </w:tr>
      <w:tr w:rsidR="002B0E12" w:rsidRPr="002B0E12" w14:paraId="132FD5D5" w14:textId="77777777" w:rsidTr="0048694B">
        <w:trPr>
          <w:trHeight w:val="20"/>
          <w:jc w:val="center"/>
        </w:trPr>
        <w:tc>
          <w:tcPr>
            <w:tcW w:w="2795" w:type="dxa"/>
            <w:vAlign w:val="bottom"/>
            <w:hideMark/>
          </w:tcPr>
          <w:p w14:paraId="677EBDD7" w14:textId="77777777" w:rsidR="005409E2" w:rsidRPr="002B0E12" w:rsidRDefault="005409E2" w:rsidP="0048694B">
            <w:pPr>
              <w:spacing w:after="0"/>
              <w:ind w:left="-72" w:right="-86"/>
              <w:rPr>
                <w:rFonts w:ascii="Arial" w:hAnsi="Arial" w:cs="Arial"/>
                <w:lang w:val="en-IN"/>
              </w:rPr>
            </w:pPr>
            <w:r w:rsidRPr="002B0E12">
              <w:rPr>
                <w:rFonts w:ascii="Arial" w:hAnsi="Arial" w:cs="Arial"/>
              </w:rPr>
              <w:t>Arachidonic acid (C20:4)</w:t>
            </w:r>
          </w:p>
        </w:tc>
        <w:tc>
          <w:tcPr>
            <w:tcW w:w="882" w:type="dxa"/>
            <w:vAlign w:val="bottom"/>
            <w:hideMark/>
          </w:tcPr>
          <w:p w14:paraId="0445C8BC"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04328FCB"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11.87</w:t>
            </w:r>
            <w:r w:rsidRPr="002B0E12">
              <w:rPr>
                <w:rFonts w:ascii="Arial" w:hAnsi="Arial" w:cs="Arial"/>
                <w:vertAlign w:val="superscript"/>
              </w:rPr>
              <w:t>a</w:t>
            </w:r>
            <w:r w:rsidRPr="002B0E12">
              <w:rPr>
                <w:rFonts w:ascii="Arial" w:hAnsi="Arial" w:cs="Arial"/>
              </w:rPr>
              <w:t xml:space="preserve"> ± 2.72</w:t>
            </w:r>
          </w:p>
        </w:tc>
        <w:tc>
          <w:tcPr>
            <w:tcW w:w="1305" w:type="dxa"/>
            <w:vAlign w:val="bottom"/>
            <w:hideMark/>
          </w:tcPr>
          <w:p w14:paraId="22C31AC4"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10.98</w:t>
            </w:r>
            <w:r w:rsidRPr="002B0E12">
              <w:rPr>
                <w:rFonts w:ascii="Arial" w:hAnsi="Arial" w:cs="Arial"/>
                <w:vertAlign w:val="superscript"/>
              </w:rPr>
              <w:t>a</w:t>
            </w:r>
            <w:r w:rsidRPr="002B0E12">
              <w:rPr>
                <w:rFonts w:ascii="Arial" w:hAnsi="Arial" w:cs="Arial"/>
              </w:rPr>
              <w:t xml:space="preserve"> ± 2.57</w:t>
            </w:r>
          </w:p>
        </w:tc>
        <w:tc>
          <w:tcPr>
            <w:tcW w:w="807" w:type="dxa"/>
            <w:vAlign w:val="bottom"/>
            <w:hideMark/>
          </w:tcPr>
          <w:p w14:paraId="31E697A3"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0.236</w:t>
            </w:r>
          </w:p>
        </w:tc>
        <w:tc>
          <w:tcPr>
            <w:tcW w:w="1256" w:type="dxa"/>
            <w:vAlign w:val="bottom"/>
            <w:hideMark/>
          </w:tcPr>
          <w:p w14:paraId="76541829"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11.44 ± 2.64</w:t>
            </w:r>
          </w:p>
        </w:tc>
      </w:tr>
      <w:tr w:rsidR="002B0E12" w:rsidRPr="002B0E12" w14:paraId="669D7B1B" w14:textId="77777777" w:rsidTr="0048694B">
        <w:trPr>
          <w:trHeight w:val="20"/>
          <w:jc w:val="center"/>
        </w:trPr>
        <w:tc>
          <w:tcPr>
            <w:tcW w:w="8371" w:type="dxa"/>
            <w:gridSpan w:val="6"/>
            <w:vAlign w:val="bottom"/>
            <w:hideMark/>
          </w:tcPr>
          <w:p w14:paraId="2D2B064D" w14:textId="77777777" w:rsidR="005409E2" w:rsidRPr="002B0E12" w:rsidRDefault="005409E2" w:rsidP="0048694B">
            <w:pPr>
              <w:spacing w:after="0"/>
              <w:ind w:left="-72" w:right="-86"/>
              <w:rPr>
                <w:rFonts w:ascii="Arial" w:hAnsi="Arial" w:cs="Arial"/>
                <w:b/>
                <w:bCs/>
                <w:lang w:val="en-IN"/>
              </w:rPr>
            </w:pPr>
            <w:r w:rsidRPr="002B0E12">
              <w:rPr>
                <w:rFonts w:ascii="Arial" w:hAnsi="Arial" w:cs="Arial"/>
                <w:b/>
                <w:bCs/>
              </w:rPr>
              <w:t>Polyunsaturated Fatty Acids (PUFA) - Omega 3</w:t>
            </w:r>
          </w:p>
        </w:tc>
      </w:tr>
      <w:tr w:rsidR="002B0E12" w:rsidRPr="002B0E12" w14:paraId="454EA7C5" w14:textId="77777777" w:rsidTr="0048694B">
        <w:trPr>
          <w:trHeight w:val="20"/>
          <w:jc w:val="center"/>
        </w:trPr>
        <w:tc>
          <w:tcPr>
            <w:tcW w:w="2795" w:type="dxa"/>
            <w:vAlign w:val="bottom"/>
            <w:hideMark/>
          </w:tcPr>
          <w:p w14:paraId="4288B16C" w14:textId="77777777" w:rsidR="005409E2" w:rsidRPr="002B0E12" w:rsidRDefault="005409E2" w:rsidP="0048694B">
            <w:pPr>
              <w:spacing w:after="0"/>
              <w:ind w:left="-72" w:right="-86"/>
              <w:rPr>
                <w:rFonts w:ascii="Arial" w:hAnsi="Arial" w:cs="Arial"/>
                <w:lang w:val="en-IN"/>
              </w:rPr>
            </w:pPr>
            <w:r w:rsidRPr="002B0E12">
              <w:rPr>
                <w:rFonts w:ascii="Arial" w:hAnsi="Arial" w:cs="Arial"/>
              </w:rPr>
              <w:t>Alpha-linolenic acid (C18:3)</w:t>
            </w:r>
          </w:p>
        </w:tc>
        <w:tc>
          <w:tcPr>
            <w:tcW w:w="882" w:type="dxa"/>
            <w:vAlign w:val="bottom"/>
            <w:hideMark/>
          </w:tcPr>
          <w:p w14:paraId="110B4452"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7848A739"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0.17</w:t>
            </w:r>
            <w:r w:rsidRPr="002B0E12">
              <w:rPr>
                <w:rFonts w:ascii="Arial" w:hAnsi="Arial" w:cs="Arial"/>
                <w:vertAlign w:val="superscript"/>
              </w:rPr>
              <w:t>a</w:t>
            </w:r>
            <w:r w:rsidRPr="002B0E12">
              <w:rPr>
                <w:rFonts w:ascii="Arial" w:hAnsi="Arial" w:cs="Arial"/>
              </w:rPr>
              <w:t xml:space="preserve"> ± 0.05</w:t>
            </w:r>
          </w:p>
        </w:tc>
        <w:tc>
          <w:tcPr>
            <w:tcW w:w="1305" w:type="dxa"/>
            <w:vAlign w:val="bottom"/>
            <w:hideMark/>
          </w:tcPr>
          <w:p w14:paraId="164420B5"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0.21</w:t>
            </w:r>
            <w:r w:rsidRPr="002B0E12">
              <w:rPr>
                <w:rFonts w:ascii="Arial" w:hAnsi="Arial" w:cs="Arial"/>
                <w:vertAlign w:val="superscript"/>
              </w:rPr>
              <w:t>b</w:t>
            </w:r>
            <w:r w:rsidRPr="002B0E12">
              <w:rPr>
                <w:rFonts w:ascii="Arial" w:hAnsi="Arial" w:cs="Arial"/>
              </w:rPr>
              <w:t xml:space="preserve"> ± 0.08</w:t>
            </w:r>
          </w:p>
        </w:tc>
        <w:tc>
          <w:tcPr>
            <w:tcW w:w="807" w:type="dxa"/>
            <w:vAlign w:val="bottom"/>
            <w:hideMark/>
          </w:tcPr>
          <w:p w14:paraId="4EA781EA"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0.014</w:t>
            </w:r>
          </w:p>
        </w:tc>
        <w:tc>
          <w:tcPr>
            <w:tcW w:w="1256" w:type="dxa"/>
            <w:vAlign w:val="bottom"/>
            <w:hideMark/>
          </w:tcPr>
          <w:p w14:paraId="0B2FD6C3"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0.19 ± 0.07</w:t>
            </w:r>
          </w:p>
        </w:tc>
      </w:tr>
      <w:tr w:rsidR="002B0E12" w:rsidRPr="002B0E12" w14:paraId="7FFF0508" w14:textId="77777777" w:rsidTr="0048694B">
        <w:trPr>
          <w:trHeight w:val="20"/>
          <w:jc w:val="center"/>
        </w:trPr>
        <w:tc>
          <w:tcPr>
            <w:tcW w:w="2795" w:type="dxa"/>
            <w:vAlign w:val="bottom"/>
            <w:hideMark/>
          </w:tcPr>
          <w:p w14:paraId="7586FB7E" w14:textId="77777777" w:rsidR="005409E2" w:rsidRPr="002B0E12" w:rsidRDefault="005409E2" w:rsidP="0048694B">
            <w:pPr>
              <w:spacing w:after="0"/>
              <w:ind w:left="-72" w:right="-86"/>
              <w:rPr>
                <w:rFonts w:ascii="Arial" w:hAnsi="Arial" w:cs="Arial"/>
                <w:lang w:val="en-IN"/>
              </w:rPr>
            </w:pPr>
            <w:proofErr w:type="spellStart"/>
            <w:r w:rsidRPr="002B0E12">
              <w:rPr>
                <w:rFonts w:ascii="Arial" w:hAnsi="Arial" w:cs="Arial"/>
              </w:rPr>
              <w:t>Eicosapentaenoic</w:t>
            </w:r>
            <w:proofErr w:type="spellEnd"/>
            <w:r w:rsidRPr="002B0E12">
              <w:rPr>
                <w:rFonts w:ascii="Arial" w:hAnsi="Arial" w:cs="Arial"/>
              </w:rPr>
              <w:t xml:space="preserve"> acid (C20:5)</w:t>
            </w:r>
          </w:p>
        </w:tc>
        <w:tc>
          <w:tcPr>
            <w:tcW w:w="882" w:type="dxa"/>
            <w:vAlign w:val="bottom"/>
            <w:hideMark/>
          </w:tcPr>
          <w:p w14:paraId="566B0330"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6266305C"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0.36</w:t>
            </w:r>
            <w:r w:rsidRPr="002B0E12">
              <w:rPr>
                <w:rFonts w:ascii="Arial" w:hAnsi="Arial" w:cs="Arial"/>
                <w:vertAlign w:val="superscript"/>
              </w:rPr>
              <w:t>a</w:t>
            </w:r>
            <w:r w:rsidRPr="002B0E12">
              <w:rPr>
                <w:rFonts w:ascii="Arial" w:hAnsi="Arial" w:cs="Arial"/>
              </w:rPr>
              <w:t xml:space="preserve"> ± 0.12</w:t>
            </w:r>
          </w:p>
        </w:tc>
        <w:tc>
          <w:tcPr>
            <w:tcW w:w="1305" w:type="dxa"/>
            <w:vAlign w:val="bottom"/>
            <w:hideMark/>
          </w:tcPr>
          <w:p w14:paraId="055A3728"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0.10</w:t>
            </w:r>
            <w:r w:rsidRPr="002B0E12">
              <w:rPr>
                <w:rFonts w:ascii="Arial" w:hAnsi="Arial" w:cs="Arial"/>
                <w:vertAlign w:val="superscript"/>
              </w:rPr>
              <w:t>b</w:t>
            </w:r>
            <w:r w:rsidRPr="002B0E12">
              <w:rPr>
                <w:rFonts w:ascii="Arial" w:hAnsi="Arial" w:cs="Arial"/>
              </w:rPr>
              <w:t xml:space="preserve"> ± 0.05</w:t>
            </w:r>
          </w:p>
        </w:tc>
        <w:tc>
          <w:tcPr>
            <w:tcW w:w="807" w:type="dxa"/>
            <w:vAlign w:val="bottom"/>
            <w:hideMark/>
          </w:tcPr>
          <w:p w14:paraId="7102A510"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 0.001</w:t>
            </w:r>
          </w:p>
        </w:tc>
        <w:tc>
          <w:tcPr>
            <w:tcW w:w="1256" w:type="dxa"/>
            <w:vAlign w:val="bottom"/>
            <w:hideMark/>
          </w:tcPr>
          <w:p w14:paraId="0D83451C"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0.23 ± 0.16</w:t>
            </w:r>
          </w:p>
        </w:tc>
      </w:tr>
      <w:tr w:rsidR="002B0E12" w:rsidRPr="002B0E12" w14:paraId="435A2BA1" w14:textId="77777777" w:rsidTr="0048694B">
        <w:trPr>
          <w:trHeight w:val="20"/>
          <w:jc w:val="center"/>
        </w:trPr>
        <w:tc>
          <w:tcPr>
            <w:tcW w:w="2795" w:type="dxa"/>
            <w:vAlign w:val="bottom"/>
            <w:hideMark/>
          </w:tcPr>
          <w:p w14:paraId="7570F725" w14:textId="77777777" w:rsidR="005409E2" w:rsidRPr="002B0E12" w:rsidRDefault="005409E2" w:rsidP="0048694B">
            <w:pPr>
              <w:spacing w:after="0"/>
              <w:ind w:left="-72" w:right="-86"/>
              <w:rPr>
                <w:rFonts w:ascii="Arial" w:hAnsi="Arial" w:cs="Arial"/>
                <w:lang w:val="en-IN"/>
              </w:rPr>
            </w:pPr>
            <w:proofErr w:type="spellStart"/>
            <w:r w:rsidRPr="002B0E12">
              <w:rPr>
                <w:rFonts w:ascii="Arial" w:hAnsi="Arial" w:cs="Arial"/>
              </w:rPr>
              <w:t>Docosapentaenoic</w:t>
            </w:r>
            <w:proofErr w:type="spellEnd"/>
            <w:r w:rsidRPr="002B0E12">
              <w:rPr>
                <w:rFonts w:ascii="Arial" w:hAnsi="Arial" w:cs="Arial"/>
              </w:rPr>
              <w:t xml:space="preserve"> acid (C22:5)</w:t>
            </w:r>
          </w:p>
        </w:tc>
        <w:tc>
          <w:tcPr>
            <w:tcW w:w="882" w:type="dxa"/>
            <w:vAlign w:val="bottom"/>
            <w:hideMark/>
          </w:tcPr>
          <w:p w14:paraId="09C62E39"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12E7E3DA"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1.76</w:t>
            </w:r>
            <w:r w:rsidRPr="002B0E12">
              <w:rPr>
                <w:rFonts w:ascii="Arial" w:hAnsi="Arial" w:cs="Arial"/>
                <w:vertAlign w:val="superscript"/>
              </w:rPr>
              <w:t>a</w:t>
            </w:r>
            <w:r w:rsidRPr="002B0E12">
              <w:rPr>
                <w:rFonts w:ascii="Arial" w:hAnsi="Arial" w:cs="Arial"/>
              </w:rPr>
              <w:t xml:space="preserve"> ± 0.55</w:t>
            </w:r>
          </w:p>
        </w:tc>
        <w:tc>
          <w:tcPr>
            <w:tcW w:w="1305" w:type="dxa"/>
            <w:vAlign w:val="bottom"/>
            <w:hideMark/>
          </w:tcPr>
          <w:p w14:paraId="651CDCF0"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1.39</w:t>
            </w:r>
            <w:r w:rsidRPr="002B0E12">
              <w:rPr>
                <w:rFonts w:ascii="Arial" w:hAnsi="Arial" w:cs="Arial"/>
                <w:vertAlign w:val="superscript"/>
              </w:rPr>
              <w:t>b</w:t>
            </w:r>
            <w:r w:rsidRPr="002B0E12">
              <w:rPr>
                <w:rFonts w:ascii="Arial" w:hAnsi="Arial" w:cs="Arial"/>
              </w:rPr>
              <w:t xml:space="preserve"> ± 0.22</w:t>
            </w:r>
          </w:p>
        </w:tc>
        <w:tc>
          <w:tcPr>
            <w:tcW w:w="807" w:type="dxa"/>
            <w:vAlign w:val="bottom"/>
            <w:hideMark/>
          </w:tcPr>
          <w:p w14:paraId="1F54CC9D"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0.003</w:t>
            </w:r>
          </w:p>
        </w:tc>
        <w:tc>
          <w:tcPr>
            <w:tcW w:w="1256" w:type="dxa"/>
            <w:vAlign w:val="bottom"/>
            <w:hideMark/>
          </w:tcPr>
          <w:p w14:paraId="133A6C51"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1.58 ± 0.45</w:t>
            </w:r>
          </w:p>
        </w:tc>
      </w:tr>
      <w:tr w:rsidR="002B0E12" w:rsidRPr="002B0E12" w14:paraId="6ACB138C" w14:textId="77777777" w:rsidTr="0048694B">
        <w:trPr>
          <w:trHeight w:val="20"/>
          <w:jc w:val="center"/>
        </w:trPr>
        <w:tc>
          <w:tcPr>
            <w:tcW w:w="2795" w:type="dxa"/>
            <w:vAlign w:val="bottom"/>
            <w:hideMark/>
          </w:tcPr>
          <w:p w14:paraId="75488EE9" w14:textId="77777777" w:rsidR="005409E2" w:rsidRPr="002B0E12" w:rsidRDefault="005409E2" w:rsidP="0048694B">
            <w:pPr>
              <w:spacing w:after="0"/>
              <w:ind w:left="-72" w:right="-86"/>
              <w:rPr>
                <w:rFonts w:ascii="Arial" w:hAnsi="Arial" w:cs="Arial"/>
                <w:lang w:val="en-IN"/>
              </w:rPr>
            </w:pPr>
            <w:r w:rsidRPr="002B0E12">
              <w:rPr>
                <w:rFonts w:ascii="Arial" w:hAnsi="Arial" w:cs="Arial"/>
              </w:rPr>
              <w:t>Docosahexaenoic acid (C22: 6)</w:t>
            </w:r>
          </w:p>
        </w:tc>
        <w:tc>
          <w:tcPr>
            <w:tcW w:w="882" w:type="dxa"/>
            <w:vAlign w:val="bottom"/>
            <w:hideMark/>
          </w:tcPr>
          <w:p w14:paraId="7B9F6F29" w14:textId="77777777" w:rsidR="005409E2" w:rsidRPr="002B0E12" w:rsidRDefault="005409E2" w:rsidP="0048694B">
            <w:pPr>
              <w:spacing w:after="0"/>
              <w:ind w:left="-72" w:right="-86"/>
              <w:jc w:val="center"/>
              <w:rPr>
                <w:rFonts w:ascii="Arial" w:hAnsi="Arial" w:cs="Arial"/>
                <w:lang w:val="en-IN"/>
              </w:rPr>
            </w:pPr>
          </w:p>
        </w:tc>
        <w:tc>
          <w:tcPr>
            <w:tcW w:w="1326" w:type="dxa"/>
            <w:vAlign w:val="bottom"/>
            <w:hideMark/>
          </w:tcPr>
          <w:p w14:paraId="2E78751A"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1.98</w:t>
            </w:r>
            <w:r w:rsidRPr="002B0E12">
              <w:rPr>
                <w:rFonts w:ascii="Arial" w:hAnsi="Arial" w:cs="Arial"/>
                <w:vertAlign w:val="superscript"/>
              </w:rPr>
              <w:t>a</w:t>
            </w:r>
            <w:r w:rsidRPr="002B0E12">
              <w:rPr>
                <w:rFonts w:ascii="Arial" w:hAnsi="Arial" w:cs="Arial"/>
              </w:rPr>
              <w:t xml:space="preserve"> ± 0.58</w:t>
            </w:r>
          </w:p>
        </w:tc>
        <w:tc>
          <w:tcPr>
            <w:tcW w:w="1305" w:type="dxa"/>
            <w:vAlign w:val="bottom"/>
            <w:hideMark/>
          </w:tcPr>
          <w:p w14:paraId="5E312E00"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1.59</w:t>
            </w:r>
            <w:r w:rsidRPr="002B0E12">
              <w:rPr>
                <w:rFonts w:ascii="Arial" w:hAnsi="Arial" w:cs="Arial"/>
                <w:vertAlign w:val="superscript"/>
              </w:rPr>
              <w:t>b</w:t>
            </w:r>
            <w:r w:rsidRPr="002B0E12">
              <w:rPr>
                <w:rFonts w:ascii="Arial" w:hAnsi="Arial" w:cs="Arial"/>
              </w:rPr>
              <w:t xml:space="preserve"> ± 0.18</w:t>
            </w:r>
          </w:p>
        </w:tc>
        <w:tc>
          <w:tcPr>
            <w:tcW w:w="807" w:type="dxa"/>
            <w:vAlign w:val="bottom"/>
            <w:hideMark/>
          </w:tcPr>
          <w:p w14:paraId="1FBEA1C0"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0.003</w:t>
            </w:r>
          </w:p>
        </w:tc>
        <w:tc>
          <w:tcPr>
            <w:tcW w:w="1256" w:type="dxa"/>
            <w:vAlign w:val="bottom"/>
            <w:hideMark/>
          </w:tcPr>
          <w:p w14:paraId="6F4FFDDE" w14:textId="77777777" w:rsidR="005409E2" w:rsidRPr="002B0E12" w:rsidRDefault="005409E2" w:rsidP="0048694B">
            <w:pPr>
              <w:spacing w:after="0"/>
              <w:ind w:left="-72" w:right="-86"/>
              <w:jc w:val="center"/>
              <w:rPr>
                <w:rFonts w:ascii="Arial" w:hAnsi="Arial" w:cs="Arial"/>
                <w:lang w:val="en-IN"/>
              </w:rPr>
            </w:pPr>
            <w:r w:rsidRPr="002B0E12">
              <w:rPr>
                <w:rFonts w:ascii="Arial" w:hAnsi="Arial" w:cs="Arial"/>
              </w:rPr>
              <w:t>1.79 ± 0.47</w:t>
            </w:r>
          </w:p>
        </w:tc>
      </w:tr>
      <w:tr w:rsidR="002B0E12" w:rsidRPr="002B0E12" w14:paraId="04A96131" w14:textId="77777777" w:rsidTr="0048694B">
        <w:trPr>
          <w:trHeight w:val="20"/>
          <w:jc w:val="center"/>
        </w:trPr>
        <w:tc>
          <w:tcPr>
            <w:tcW w:w="2795" w:type="dxa"/>
            <w:vAlign w:val="bottom"/>
          </w:tcPr>
          <w:p w14:paraId="0BB9E344" w14:textId="77777777" w:rsidR="005409E2" w:rsidRPr="002B0E12" w:rsidRDefault="005409E2" w:rsidP="0048694B">
            <w:pPr>
              <w:spacing w:after="0"/>
              <w:ind w:left="-72" w:right="-86"/>
              <w:rPr>
                <w:rFonts w:ascii="Arial" w:hAnsi="Arial" w:cs="Arial"/>
              </w:rPr>
            </w:pPr>
            <w:r w:rsidRPr="002B0E12">
              <w:rPr>
                <w:rFonts w:ascii="Arial" w:hAnsi="Arial" w:cs="Arial"/>
              </w:rPr>
              <w:t>Omega-3 Index (EPA+DHA)</w:t>
            </w:r>
          </w:p>
        </w:tc>
        <w:tc>
          <w:tcPr>
            <w:tcW w:w="882" w:type="dxa"/>
            <w:vAlign w:val="bottom"/>
          </w:tcPr>
          <w:p w14:paraId="75504F7D" w14:textId="77777777" w:rsidR="005409E2" w:rsidRPr="002B0E12" w:rsidRDefault="005409E2" w:rsidP="0048694B">
            <w:pPr>
              <w:spacing w:after="0"/>
              <w:ind w:left="-72" w:right="-86"/>
              <w:jc w:val="center"/>
              <w:rPr>
                <w:rFonts w:ascii="Arial" w:hAnsi="Arial" w:cs="Arial"/>
                <w:lang w:val="en-IN"/>
              </w:rPr>
            </w:pPr>
          </w:p>
        </w:tc>
        <w:tc>
          <w:tcPr>
            <w:tcW w:w="1326" w:type="dxa"/>
            <w:vAlign w:val="bottom"/>
          </w:tcPr>
          <w:p w14:paraId="2506598F" w14:textId="77777777" w:rsidR="005409E2" w:rsidRPr="002B0E12" w:rsidRDefault="005409E2" w:rsidP="0048694B">
            <w:pPr>
              <w:spacing w:after="0"/>
              <w:ind w:left="-72" w:right="-86"/>
              <w:jc w:val="center"/>
              <w:rPr>
                <w:rFonts w:ascii="Arial" w:hAnsi="Arial" w:cs="Arial"/>
              </w:rPr>
            </w:pPr>
            <w:r w:rsidRPr="002B0E12">
              <w:rPr>
                <w:rFonts w:ascii="Arial" w:hAnsi="Arial" w:cs="Arial"/>
              </w:rPr>
              <w:t>2.34</w:t>
            </w:r>
            <w:r w:rsidRPr="002B0E12">
              <w:rPr>
                <w:rFonts w:ascii="Arial" w:hAnsi="Arial" w:cs="Arial"/>
                <w:vertAlign w:val="superscript"/>
              </w:rPr>
              <w:t>a</w:t>
            </w:r>
            <w:r w:rsidRPr="002B0E12">
              <w:rPr>
                <w:rFonts w:ascii="Arial" w:hAnsi="Arial" w:cs="Arial"/>
              </w:rPr>
              <w:t>±0.125</w:t>
            </w:r>
          </w:p>
        </w:tc>
        <w:tc>
          <w:tcPr>
            <w:tcW w:w="1305" w:type="dxa"/>
            <w:vAlign w:val="bottom"/>
          </w:tcPr>
          <w:p w14:paraId="7FA6930B" w14:textId="77777777" w:rsidR="005409E2" w:rsidRPr="002B0E12" w:rsidRDefault="005409E2" w:rsidP="0048694B">
            <w:pPr>
              <w:spacing w:after="0"/>
              <w:ind w:left="-72" w:right="-86"/>
              <w:jc w:val="center"/>
              <w:rPr>
                <w:rFonts w:ascii="Arial" w:hAnsi="Arial" w:cs="Arial"/>
              </w:rPr>
            </w:pPr>
            <w:r w:rsidRPr="002B0E12">
              <w:rPr>
                <w:rFonts w:ascii="Arial" w:hAnsi="Arial" w:cs="Arial"/>
              </w:rPr>
              <w:t>1.68</w:t>
            </w:r>
            <w:r w:rsidRPr="002B0E12">
              <w:rPr>
                <w:rFonts w:ascii="Arial" w:hAnsi="Arial" w:cs="Arial"/>
                <w:vertAlign w:val="superscript"/>
              </w:rPr>
              <w:t>b</w:t>
            </w:r>
            <w:r w:rsidRPr="002B0E12">
              <w:rPr>
                <w:rFonts w:ascii="Arial" w:hAnsi="Arial" w:cs="Arial"/>
              </w:rPr>
              <w:t>±0.03</w:t>
            </w:r>
          </w:p>
        </w:tc>
        <w:tc>
          <w:tcPr>
            <w:tcW w:w="807" w:type="dxa"/>
            <w:vAlign w:val="bottom"/>
          </w:tcPr>
          <w:p w14:paraId="346413DE" w14:textId="77777777" w:rsidR="005409E2" w:rsidRPr="002B0E12" w:rsidRDefault="005409E2" w:rsidP="0048694B">
            <w:pPr>
              <w:spacing w:after="0"/>
              <w:ind w:left="-72" w:right="-86"/>
              <w:jc w:val="center"/>
              <w:rPr>
                <w:rFonts w:ascii="Arial" w:hAnsi="Arial" w:cs="Arial"/>
              </w:rPr>
            </w:pPr>
            <w:r w:rsidRPr="002B0E12">
              <w:rPr>
                <w:rFonts w:ascii="Arial" w:hAnsi="Arial" w:cs="Arial"/>
              </w:rPr>
              <w:t>≤0.001</w:t>
            </w:r>
          </w:p>
        </w:tc>
        <w:tc>
          <w:tcPr>
            <w:tcW w:w="1256" w:type="dxa"/>
            <w:vAlign w:val="bottom"/>
          </w:tcPr>
          <w:p w14:paraId="7E5B03B0" w14:textId="77777777" w:rsidR="005409E2" w:rsidRPr="002B0E12" w:rsidRDefault="005409E2" w:rsidP="0048694B">
            <w:pPr>
              <w:spacing w:after="0"/>
              <w:ind w:left="-72" w:right="-86"/>
              <w:jc w:val="center"/>
              <w:rPr>
                <w:rFonts w:ascii="Arial" w:hAnsi="Arial" w:cs="Arial"/>
              </w:rPr>
            </w:pPr>
            <w:r w:rsidRPr="002B0E12">
              <w:rPr>
                <w:rFonts w:ascii="Arial" w:hAnsi="Arial" w:cs="Arial"/>
              </w:rPr>
              <w:t>2.01±0.09</w:t>
            </w:r>
          </w:p>
        </w:tc>
      </w:tr>
      <w:tr w:rsidR="002B0E12" w:rsidRPr="002B0E12" w14:paraId="663CDEFB" w14:textId="77777777" w:rsidTr="0048694B">
        <w:trPr>
          <w:trHeight w:val="20"/>
          <w:jc w:val="center"/>
        </w:trPr>
        <w:tc>
          <w:tcPr>
            <w:tcW w:w="2795" w:type="dxa"/>
            <w:vAlign w:val="bottom"/>
          </w:tcPr>
          <w:p w14:paraId="710237A4" w14:textId="77777777" w:rsidR="005409E2" w:rsidRPr="002B0E12" w:rsidRDefault="005409E2" w:rsidP="0048694B">
            <w:pPr>
              <w:spacing w:after="0"/>
              <w:ind w:left="-72" w:right="-86"/>
              <w:rPr>
                <w:rFonts w:ascii="Arial" w:hAnsi="Arial" w:cs="Arial"/>
              </w:rPr>
            </w:pPr>
            <w:r w:rsidRPr="002B0E12">
              <w:rPr>
                <w:rFonts w:ascii="Arial" w:hAnsi="Arial" w:cs="Arial"/>
              </w:rPr>
              <w:t>D5D (C20:4/C20:3)</w:t>
            </w:r>
          </w:p>
        </w:tc>
        <w:tc>
          <w:tcPr>
            <w:tcW w:w="882" w:type="dxa"/>
            <w:vAlign w:val="bottom"/>
          </w:tcPr>
          <w:p w14:paraId="7D1D7A2C" w14:textId="77777777" w:rsidR="005409E2" w:rsidRPr="002B0E12" w:rsidRDefault="005409E2" w:rsidP="0048694B">
            <w:pPr>
              <w:spacing w:after="0"/>
              <w:ind w:left="-72" w:right="-86"/>
              <w:jc w:val="center"/>
              <w:rPr>
                <w:rFonts w:ascii="Arial" w:hAnsi="Arial" w:cs="Arial"/>
                <w:lang w:val="en-IN"/>
              </w:rPr>
            </w:pPr>
          </w:p>
        </w:tc>
        <w:tc>
          <w:tcPr>
            <w:tcW w:w="1326" w:type="dxa"/>
            <w:vAlign w:val="bottom"/>
          </w:tcPr>
          <w:p w14:paraId="6EE4E3E4" w14:textId="77777777" w:rsidR="005409E2" w:rsidRPr="002B0E12" w:rsidRDefault="005409E2" w:rsidP="0048694B">
            <w:pPr>
              <w:spacing w:after="0"/>
              <w:ind w:left="-72" w:right="-86"/>
              <w:jc w:val="center"/>
              <w:rPr>
                <w:rFonts w:ascii="Arial" w:hAnsi="Arial" w:cs="Arial"/>
              </w:rPr>
            </w:pPr>
            <w:r w:rsidRPr="002B0E12">
              <w:rPr>
                <w:rFonts w:ascii="Arial" w:hAnsi="Arial" w:cs="Arial"/>
              </w:rPr>
              <w:t>6.34</w:t>
            </w:r>
            <w:r w:rsidRPr="002B0E12">
              <w:rPr>
                <w:rFonts w:ascii="Arial" w:hAnsi="Arial" w:cs="Arial"/>
                <w:vertAlign w:val="superscript"/>
              </w:rPr>
              <w:t>a</w:t>
            </w:r>
            <w:r w:rsidRPr="002B0E12">
              <w:rPr>
                <w:rFonts w:ascii="Arial" w:hAnsi="Arial" w:cs="Arial"/>
              </w:rPr>
              <w:t>±0.39</w:t>
            </w:r>
          </w:p>
        </w:tc>
        <w:tc>
          <w:tcPr>
            <w:tcW w:w="1305" w:type="dxa"/>
            <w:vAlign w:val="bottom"/>
          </w:tcPr>
          <w:p w14:paraId="5E07900C" w14:textId="77777777" w:rsidR="005409E2" w:rsidRPr="002B0E12" w:rsidRDefault="005409E2" w:rsidP="0048694B">
            <w:pPr>
              <w:spacing w:after="0"/>
              <w:ind w:left="-72" w:right="-86"/>
              <w:jc w:val="center"/>
              <w:rPr>
                <w:rFonts w:ascii="Arial" w:hAnsi="Arial" w:cs="Arial"/>
              </w:rPr>
            </w:pPr>
            <w:r w:rsidRPr="002B0E12">
              <w:rPr>
                <w:rFonts w:ascii="Arial" w:hAnsi="Arial" w:cs="Arial"/>
              </w:rPr>
              <w:t>5.97</w:t>
            </w:r>
            <w:r w:rsidRPr="002B0E12">
              <w:rPr>
                <w:rFonts w:ascii="Arial" w:hAnsi="Arial" w:cs="Arial"/>
                <w:vertAlign w:val="superscript"/>
              </w:rPr>
              <w:t>a</w:t>
            </w:r>
            <w:r w:rsidRPr="002B0E12">
              <w:rPr>
                <w:rFonts w:ascii="Arial" w:hAnsi="Arial" w:cs="Arial"/>
              </w:rPr>
              <w:t>±0.26</w:t>
            </w:r>
          </w:p>
        </w:tc>
        <w:tc>
          <w:tcPr>
            <w:tcW w:w="807" w:type="dxa"/>
            <w:vAlign w:val="bottom"/>
          </w:tcPr>
          <w:p w14:paraId="632DFDB0" w14:textId="77777777" w:rsidR="005409E2" w:rsidRPr="002B0E12" w:rsidRDefault="005409E2" w:rsidP="0048694B">
            <w:pPr>
              <w:spacing w:after="0"/>
              <w:ind w:left="-72" w:right="-86"/>
              <w:jc w:val="center"/>
              <w:rPr>
                <w:rFonts w:ascii="Arial" w:hAnsi="Arial" w:cs="Arial"/>
              </w:rPr>
            </w:pPr>
            <w:r w:rsidRPr="002B0E12">
              <w:rPr>
                <w:rFonts w:ascii="Arial" w:hAnsi="Arial" w:cs="Arial"/>
              </w:rPr>
              <w:t>0.262</w:t>
            </w:r>
          </w:p>
        </w:tc>
        <w:tc>
          <w:tcPr>
            <w:tcW w:w="1256" w:type="dxa"/>
            <w:vAlign w:val="bottom"/>
          </w:tcPr>
          <w:p w14:paraId="766A4743" w14:textId="77777777" w:rsidR="005409E2" w:rsidRPr="002B0E12" w:rsidRDefault="005409E2" w:rsidP="0048694B">
            <w:pPr>
              <w:spacing w:after="0"/>
              <w:ind w:left="-72" w:right="-86"/>
              <w:jc w:val="center"/>
              <w:rPr>
                <w:rFonts w:ascii="Arial" w:hAnsi="Arial" w:cs="Arial"/>
              </w:rPr>
            </w:pPr>
            <w:r w:rsidRPr="002B0E12">
              <w:rPr>
                <w:rFonts w:ascii="Arial" w:hAnsi="Arial" w:cs="Arial"/>
              </w:rPr>
              <w:t>6.16±0.31</w:t>
            </w:r>
          </w:p>
        </w:tc>
      </w:tr>
      <w:tr w:rsidR="002B0E12" w:rsidRPr="002B0E12" w14:paraId="781F7345" w14:textId="77777777" w:rsidTr="0048694B">
        <w:trPr>
          <w:trHeight w:val="20"/>
          <w:jc w:val="center"/>
        </w:trPr>
        <w:tc>
          <w:tcPr>
            <w:tcW w:w="2795" w:type="dxa"/>
            <w:vAlign w:val="bottom"/>
          </w:tcPr>
          <w:p w14:paraId="484336F3" w14:textId="77777777" w:rsidR="005409E2" w:rsidRPr="002B0E12" w:rsidRDefault="005409E2" w:rsidP="0048694B">
            <w:pPr>
              <w:spacing w:after="0"/>
              <w:ind w:left="-72" w:right="-86"/>
              <w:rPr>
                <w:rFonts w:ascii="Arial" w:hAnsi="Arial" w:cs="Arial"/>
              </w:rPr>
            </w:pPr>
            <w:r w:rsidRPr="002B0E12">
              <w:rPr>
                <w:rFonts w:ascii="Arial" w:hAnsi="Arial" w:cs="Arial"/>
              </w:rPr>
              <w:t>D6D (C20:3/C18:2)</w:t>
            </w:r>
          </w:p>
        </w:tc>
        <w:tc>
          <w:tcPr>
            <w:tcW w:w="882" w:type="dxa"/>
            <w:vAlign w:val="bottom"/>
          </w:tcPr>
          <w:p w14:paraId="559FD41B" w14:textId="77777777" w:rsidR="005409E2" w:rsidRPr="002B0E12" w:rsidRDefault="005409E2" w:rsidP="0048694B">
            <w:pPr>
              <w:spacing w:after="0"/>
              <w:ind w:left="-72" w:right="-86"/>
              <w:jc w:val="center"/>
              <w:rPr>
                <w:rFonts w:ascii="Arial" w:hAnsi="Arial" w:cs="Arial"/>
                <w:lang w:val="en-IN"/>
              </w:rPr>
            </w:pPr>
          </w:p>
        </w:tc>
        <w:tc>
          <w:tcPr>
            <w:tcW w:w="1326" w:type="dxa"/>
            <w:vAlign w:val="bottom"/>
          </w:tcPr>
          <w:p w14:paraId="6F98E2C0" w14:textId="77777777" w:rsidR="005409E2" w:rsidRPr="002B0E12" w:rsidRDefault="005409E2" w:rsidP="0048694B">
            <w:pPr>
              <w:spacing w:after="0"/>
              <w:ind w:left="-72" w:right="-86"/>
              <w:jc w:val="center"/>
              <w:rPr>
                <w:rFonts w:ascii="Arial" w:hAnsi="Arial" w:cs="Arial"/>
              </w:rPr>
            </w:pPr>
            <w:r w:rsidRPr="002B0E12">
              <w:rPr>
                <w:rFonts w:ascii="Arial" w:hAnsi="Arial" w:cs="Arial"/>
              </w:rPr>
              <w:t>0.17</w:t>
            </w:r>
            <w:r w:rsidRPr="002B0E12">
              <w:rPr>
                <w:rFonts w:ascii="Arial" w:hAnsi="Arial" w:cs="Arial"/>
                <w:vertAlign w:val="superscript"/>
              </w:rPr>
              <w:t>a</w:t>
            </w:r>
            <w:r w:rsidRPr="002B0E12">
              <w:rPr>
                <w:rFonts w:ascii="Arial" w:hAnsi="Arial" w:cs="Arial"/>
              </w:rPr>
              <w:t>±0.010</w:t>
            </w:r>
          </w:p>
        </w:tc>
        <w:tc>
          <w:tcPr>
            <w:tcW w:w="1305" w:type="dxa"/>
            <w:vAlign w:val="bottom"/>
          </w:tcPr>
          <w:p w14:paraId="573FE2E0" w14:textId="77777777" w:rsidR="005409E2" w:rsidRPr="002B0E12" w:rsidRDefault="005409E2" w:rsidP="0048694B">
            <w:pPr>
              <w:spacing w:after="0"/>
              <w:ind w:left="-72" w:right="-86"/>
              <w:jc w:val="center"/>
              <w:rPr>
                <w:rFonts w:ascii="Arial" w:hAnsi="Arial" w:cs="Arial"/>
              </w:rPr>
            </w:pPr>
            <w:r w:rsidRPr="002B0E12">
              <w:rPr>
                <w:rFonts w:ascii="Arial" w:hAnsi="Arial" w:cs="Arial"/>
              </w:rPr>
              <w:t>0.15</w:t>
            </w:r>
            <w:r w:rsidRPr="002B0E12">
              <w:rPr>
                <w:rFonts w:ascii="Arial" w:hAnsi="Arial" w:cs="Arial"/>
                <w:vertAlign w:val="superscript"/>
              </w:rPr>
              <w:t>b</w:t>
            </w:r>
            <w:r w:rsidRPr="002B0E12">
              <w:rPr>
                <w:rFonts w:ascii="Arial" w:hAnsi="Arial" w:cs="Arial"/>
              </w:rPr>
              <w:t>±0.003</w:t>
            </w:r>
          </w:p>
        </w:tc>
        <w:tc>
          <w:tcPr>
            <w:tcW w:w="807" w:type="dxa"/>
            <w:vAlign w:val="bottom"/>
          </w:tcPr>
          <w:p w14:paraId="48EF8045" w14:textId="77777777" w:rsidR="005409E2" w:rsidRPr="002B0E12" w:rsidRDefault="005409E2" w:rsidP="0048694B">
            <w:pPr>
              <w:spacing w:after="0"/>
              <w:ind w:left="-72" w:right="-86"/>
              <w:jc w:val="center"/>
              <w:rPr>
                <w:rFonts w:ascii="Arial" w:hAnsi="Arial" w:cs="Arial"/>
              </w:rPr>
            </w:pPr>
            <w:r w:rsidRPr="002B0E12">
              <w:rPr>
                <w:rFonts w:ascii="Arial" w:hAnsi="Arial" w:cs="Arial"/>
              </w:rPr>
              <w:t>0.055</w:t>
            </w:r>
          </w:p>
        </w:tc>
        <w:tc>
          <w:tcPr>
            <w:tcW w:w="1256" w:type="dxa"/>
            <w:vAlign w:val="bottom"/>
          </w:tcPr>
          <w:p w14:paraId="2718A931" w14:textId="77777777" w:rsidR="005409E2" w:rsidRPr="002B0E12" w:rsidRDefault="005409E2" w:rsidP="0048694B">
            <w:pPr>
              <w:spacing w:after="0"/>
              <w:ind w:left="-72" w:right="-86"/>
              <w:jc w:val="center"/>
              <w:rPr>
                <w:rFonts w:ascii="Arial" w:hAnsi="Arial" w:cs="Arial"/>
              </w:rPr>
            </w:pPr>
            <w:r w:rsidRPr="002B0E12">
              <w:rPr>
                <w:rFonts w:ascii="Arial" w:hAnsi="Arial" w:cs="Arial"/>
              </w:rPr>
              <w:t>0.16±0.006</w:t>
            </w:r>
          </w:p>
        </w:tc>
      </w:tr>
    </w:tbl>
    <w:p w14:paraId="6996204A" w14:textId="77777777" w:rsidR="005409E2" w:rsidRPr="002B0E12" w:rsidRDefault="005409E2" w:rsidP="005409E2">
      <w:pPr>
        <w:spacing w:after="0"/>
        <w:jc w:val="both"/>
        <w:rPr>
          <w:rFonts w:ascii="Arial" w:hAnsi="Arial" w:cs="Arial"/>
        </w:rPr>
      </w:pPr>
      <w:r w:rsidRPr="002B0E12">
        <w:rPr>
          <w:rFonts w:ascii="Arial" w:hAnsi="Arial" w:cs="Arial"/>
        </w:rPr>
        <w:t>Values are Mean ± SD</w:t>
      </w:r>
    </w:p>
    <w:p w14:paraId="20F36D1A" w14:textId="7F36D49A" w:rsidR="005409E2" w:rsidRPr="002B0E12" w:rsidRDefault="005409E2" w:rsidP="003127AD">
      <w:pPr>
        <w:spacing w:after="0"/>
        <w:jc w:val="both"/>
        <w:rPr>
          <w:rFonts w:ascii="Arial" w:eastAsia="Times New Roman" w:hAnsi="Arial" w:cs="Arial"/>
          <w:lang w:val="en-GB" w:eastAsia="en-GB"/>
        </w:rPr>
      </w:pPr>
      <w:r w:rsidRPr="002B0E12">
        <w:rPr>
          <w:rFonts w:ascii="Arial" w:hAnsi="Arial" w:cs="Arial"/>
          <w:spacing w:val="7"/>
          <w:shd w:val="clear" w:color="auto" w:fill="FFFFFF"/>
        </w:rPr>
        <w:t>Values with different superscripts differ significantly (P&lt;0.05).</w:t>
      </w:r>
    </w:p>
    <w:p w14:paraId="35AD306C"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50277EFE" w14:textId="77777777" w:rsidR="005409E2" w:rsidRPr="002B0E12" w:rsidRDefault="005409E2" w:rsidP="004112D6">
      <w:pPr>
        <w:spacing w:after="0" w:line="360" w:lineRule="auto"/>
        <w:ind w:firstLine="720"/>
        <w:jc w:val="both"/>
        <w:rPr>
          <w:rFonts w:ascii="Arial" w:eastAsia="Times New Roman" w:hAnsi="Arial" w:cs="Arial"/>
          <w:lang w:val="en-GB" w:eastAsia="en-GB"/>
        </w:rPr>
      </w:pPr>
    </w:p>
    <w:p w14:paraId="251D5128" w14:textId="77777777" w:rsidR="005409E2" w:rsidRPr="002B0E12" w:rsidRDefault="005409E2" w:rsidP="004112D6">
      <w:pPr>
        <w:spacing w:after="0" w:line="360" w:lineRule="auto"/>
        <w:ind w:firstLine="720"/>
        <w:jc w:val="both"/>
        <w:rPr>
          <w:rFonts w:ascii="Arial" w:eastAsia="Times New Roman" w:hAnsi="Arial" w:cs="Arial"/>
          <w:lang w:val="en-GB" w:eastAsia="en-GB"/>
        </w:rPr>
        <w:sectPr w:rsidR="005409E2" w:rsidRPr="002B0E12" w:rsidSect="002F40D7">
          <w:type w:val="continuous"/>
          <w:pgSz w:w="16838" w:h="11906" w:orient="landscape" w:code="9"/>
          <w:pgMar w:top="1440" w:right="1440" w:bottom="1440" w:left="1440" w:header="709" w:footer="709" w:gutter="0"/>
          <w:cols w:space="708"/>
          <w:docGrid w:linePitch="360"/>
        </w:sectPr>
      </w:pPr>
    </w:p>
    <w:p w14:paraId="6CF0B293" w14:textId="77777777" w:rsidR="00510262" w:rsidRPr="002B0E12" w:rsidRDefault="00681781" w:rsidP="004112D6">
      <w:pPr>
        <w:spacing w:after="0" w:line="360" w:lineRule="auto"/>
        <w:ind w:firstLine="720"/>
        <w:jc w:val="both"/>
        <w:rPr>
          <w:rFonts w:ascii="Arial" w:eastAsia="Times New Roman" w:hAnsi="Arial" w:cs="Arial"/>
          <w:lang w:val="en-GB" w:eastAsia="en-GB"/>
        </w:rPr>
        <w:sectPr w:rsidR="00510262" w:rsidRPr="002B0E12" w:rsidSect="002F40D7">
          <w:type w:val="continuous"/>
          <w:pgSz w:w="16838" w:h="11906" w:orient="landscape" w:code="9"/>
          <w:pgMar w:top="1440" w:right="1440" w:bottom="1440" w:left="1440" w:header="709" w:footer="709" w:gutter="0"/>
          <w:cols w:space="708"/>
          <w:docGrid w:linePitch="360"/>
        </w:sectPr>
      </w:pPr>
      <w:r w:rsidRPr="002B0E12">
        <w:rPr>
          <w:rFonts w:ascii="Arial" w:eastAsia="Times New Roman" w:hAnsi="Arial" w:cs="Arial"/>
          <w:lang w:val="en-GB" w:eastAsia="en-GB"/>
        </w:rPr>
        <w:t xml:space="preserve">For n-3 PUFAs, alpha-linolenic acid (C18:3n-3) was higher in rural participants (0.21 ± 0.08%) than urban (0.17 ± 0.05%; P = 0.014), whereas long-chain n-3 PUFAs were consistently higher in urban participants, with eicosapentaenoic acid (C20:5n-3) at 0.36 ± 0.12% vs. 0.10 </w:t>
      </w:r>
    </w:p>
    <w:p w14:paraId="12BCDAE4" w14:textId="799F3CE9" w:rsidR="00681781" w:rsidRPr="002B0E12" w:rsidRDefault="00681781" w:rsidP="004112D6">
      <w:pPr>
        <w:spacing w:after="0" w:line="360" w:lineRule="auto"/>
        <w:ind w:firstLine="720"/>
        <w:jc w:val="both"/>
        <w:rPr>
          <w:rFonts w:ascii="Arial" w:eastAsia="Times New Roman" w:hAnsi="Arial" w:cs="Arial"/>
          <w:lang w:val="en-GB" w:eastAsia="en-GB"/>
        </w:rPr>
      </w:pPr>
      <w:r w:rsidRPr="002B0E12">
        <w:rPr>
          <w:rFonts w:ascii="Arial" w:eastAsia="Times New Roman" w:hAnsi="Arial" w:cs="Arial"/>
          <w:lang w:val="en-GB" w:eastAsia="en-GB"/>
        </w:rPr>
        <w:lastRenderedPageBreak/>
        <w:t xml:space="preserve">± 0.05% (P ≤ 0.001), </w:t>
      </w:r>
      <w:proofErr w:type="spellStart"/>
      <w:r w:rsidRPr="002B0E12">
        <w:rPr>
          <w:rFonts w:ascii="Arial" w:eastAsia="Times New Roman" w:hAnsi="Arial" w:cs="Arial"/>
          <w:lang w:val="en-GB" w:eastAsia="en-GB"/>
        </w:rPr>
        <w:t>docosapentaenoic</w:t>
      </w:r>
      <w:proofErr w:type="spellEnd"/>
      <w:r w:rsidRPr="002B0E12">
        <w:rPr>
          <w:rFonts w:ascii="Arial" w:eastAsia="Times New Roman" w:hAnsi="Arial" w:cs="Arial"/>
          <w:lang w:val="en-GB" w:eastAsia="en-GB"/>
        </w:rPr>
        <w:t xml:space="preserve"> acid (C22:5n-3) at 1.76 ± 0.55% vs. 1.39 ± 0.22% (P = 0.003), and docosahexaenoic acid (C22:6n-3) at 1.98 ± 0.58% vs. 1.59 ± 0.18% (P = 0.003) compared to rural participants. The Omega-3 Index (EPA + DHA) was significantly higher in urban participants (2.34 ± 0.125%) than rural (1.68 ± 0.03%; P ≤ 0.001). Desaturase activity, assessed by the D5D ratio (C20:4/C20:3), showed no significant differences (6.34 ± 0.39 vs. 5.97 ± 0.26), while the D6D ratio (C20:3/C18:2) tended to be higher in urban participants (0.17 ± 0.010) compared to rural (0.15 ± 0.003; P = 0.055).</w:t>
      </w:r>
    </w:p>
    <w:p w14:paraId="3003037A" w14:textId="33290F59" w:rsidR="00B80A19" w:rsidRPr="002B0E12" w:rsidRDefault="00D461F2" w:rsidP="004112D6">
      <w:pPr>
        <w:pStyle w:val="ListParagraph"/>
        <w:widowControl w:val="0"/>
        <w:spacing w:after="0" w:line="360" w:lineRule="auto"/>
        <w:ind w:left="0"/>
        <w:jc w:val="both"/>
        <w:rPr>
          <w:rFonts w:ascii="Arial" w:hAnsi="Arial" w:cs="Arial"/>
          <w:b/>
          <w:bCs/>
        </w:rPr>
      </w:pPr>
      <w:r w:rsidRPr="002B0E12">
        <w:rPr>
          <w:rFonts w:ascii="Arial" w:hAnsi="Arial" w:cs="Arial"/>
          <w:b/>
        </w:rPr>
        <w:t xml:space="preserve">3.8 </w:t>
      </w:r>
      <w:r w:rsidR="00025954" w:rsidRPr="002B0E12">
        <w:rPr>
          <w:rFonts w:ascii="Arial" w:hAnsi="Arial" w:cs="Arial"/>
          <w:b/>
        </w:rPr>
        <w:t>Correlation</w:t>
      </w:r>
      <w:r w:rsidR="00B80A19" w:rsidRPr="002B0E12">
        <w:rPr>
          <w:rFonts w:ascii="Arial" w:hAnsi="Arial" w:cs="Arial"/>
          <w:b/>
        </w:rPr>
        <w:t xml:space="preserve"> between n-3 PUFA and </w:t>
      </w:r>
      <w:proofErr w:type="spellStart"/>
      <w:r w:rsidR="00B80A19" w:rsidRPr="002B0E12">
        <w:rPr>
          <w:rFonts w:ascii="Arial" w:hAnsi="Arial" w:cs="Arial"/>
          <w:b/>
        </w:rPr>
        <w:t>MetS</w:t>
      </w:r>
      <w:proofErr w:type="spellEnd"/>
      <w:r w:rsidR="00B80A19" w:rsidRPr="002B0E12">
        <w:rPr>
          <w:rFonts w:ascii="Arial" w:hAnsi="Arial" w:cs="Arial"/>
          <w:b/>
        </w:rPr>
        <w:t xml:space="preserve"> </w:t>
      </w:r>
      <w:r w:rsidR="00B80A19" w:rsidRPr="002B0E12">
        <w:rPr>
          <w:rFonts w:ascii="Arial" w:hAnsi="Arial" w:cs="Arial"/>
          <w:b/>
          <w:bCs/>
        </w:rPr>
        <w:t xml:space="preserve"> </w:t>
      </w:r>
    </w:p>
    <w:p w14:paraId="72E810D8" w14:textId="506060D0" w:rsidR="00033904" w:rsidRPr="002B0E12" w:rsidRDefault="00033904"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t>The</w:t>
      </w:r>
      <w:r w:rsidR="000B2549" w:rsidRPr="002B0E12">
        <w:rPr>
          <w:rFonts w:ascii="Arial" w:hAnsi="Arial" w:cs="Arial"/>
          <w:sz w:val="22"/>
          <w:szCs w:val="22"/>
        </w:rPr>
        <w:t xml:space="preserve">re was a </w:t>
      </w:r>
      <w:r w:rsidRPr="002B0E12">
        <w:rPr>
          <w:rFonts w:ascii="Arial" w:hAnsi="Arial" w:cs="Arial"/>
          <w:sz w:val="22"/>
          <w:szCs w:val="22"/>
        </w:rPr>
        <w:t xml:space="preserve">significant correlation between the intake of n-3 </w:t>
      </w:r>
      <w:r w:rsidR="000B2549" w:rsidRPr="002B0E12">
        <w:rPr>
          <w:rFonts w:ascii="Arial" w:hAnsi="Arial" w:cs="Arial"/>
          <w:sz w:val="22"/>
          <w:szCs w:val="22"/>
        </w:rPr>
        <w:t xml:space="preserve">PUFA </w:t>
      </w:r>
      <w:r w:rsidRPr="002B0E12">
        <w:rPr>
          <w:rFonts w:ascii="Arial" w:hAnsi="Arial" w:cs="Arial"/>
          <w:sz w:val="22"/>
          <w:szCs w:val="22"/>
        </w:rPr>
        <w:t xml:space="preserve">and various factors associated with </w:t>
      </w:r>
      <w:proofErr w:type="spellStart"/>
      <w:r w:rsidRPr="002B0E12">
        <w:rPr>
          <w:rFonts w:ascii="Arial" w:hAnsi="Arial" w:cs="Arial"/>
          <w:sz w:val="22"/>
          <w:szCs w:val="22"/>
        </w:rPr>
        <w:t>MetS</w:t>
      </w:r>
      <w:proofErr w:type="spellEnd"/>
      <w:r w:rsidR="005A1AE5" w:rsidRPr="002B0E12">
        <w:rPr>
          <w:rFonts w:ascii="Arial" w:hAnsi="Arial" w:cs="Arial"/>
          <w:sz w:val="22"/>
          <w:szCs w:val="22"/>
        </w:rPr>
        <w:t xml:space="preserve"> (Table 6)</w:t>
      </w:r>
      <w:r w:rsidRPr="002B0E12">
        <w:rPr>
          <w:rFonts w:ascii="Arial" w:hAnsi="Arial" w:cs="Arial"/>
          <w:sz w:val="22"/>
          <w:szCs w:val="22"/>
        </w:rPr>
        <w:t>. Higher consumption of n-3 PUFA</w:t>
      </w:r>
      <w:r w:rsidR="000B2549" w:rsidRPr="002B0E12">
        <w:rPr>
          <w:rFonts w:ascii="Arial" w:hAnsi="Arial" w:cs="Arial"/>
          <w:sz w:val="22"/>
          <w:szCs w:val="22"/>
        </w:rPr>
        <w:t xml:space="preserve"> </w:t>
      </w:r>
      <w:r w:rsidRPr="002B0E12">
        <w:rPr>
          <w:rFonts w:ascii="Arial" w:hAnsi="Arial" w:cs="Arial"/>
          <w:sz w:val="22"/>
          <w:szCs w:val="22"/>
        </w:rPr>
        <w:t xml:space="preserve">rich green leafy vegetables, particularly mustard (p≤0.10), spinach (p≤0.05), fenugreek (p≤0.05), and amaranth (p≤0.10) leaves, was linked to a reduced prevalence of </w:t>
      </w:r>
      <w:proofErr w:type="spellStart"/>
      <w:r w:rsidRPr="002B0E12">
        <w:rPr>
          <w:rFonts w:ascii="Arial" w:hAnsi="Arial" w:cs="Arial"/>
          <w:sz w:val="22"/>
          <w:szCs w:val="22"/>
        </w:rPr>
        <w:t>MetS</w:t>
      </w:r>
      <w:proofErr w:type="spellEnd"/>
      <w:r w:rsidRPr="002B0E12">
        <w:rPr>
          <w:rFonts w:ascii="Arial" w:hAnsi="Arial" w:cs="Arial"/>
          <w:sz w:val="22"/>
          <w:szCs w:val="22"/>
        </w:rPr>
        <w:t>, as evidenced by lower total serum cholesterol and LDL-C levels.</w:t>
      </w:r>
      <w:r w:rsidR="000B2549" w:rsidRPr="002B0E12">
        <w:rPr>
          <w:rFonts w:ascii="Arial" w:hAnsi="Arial" w:cs="Arial"/>
          <w:sz w:val="22"/>
          <w:szCs w:val="22"/>
        </w:rPr>
        <w:t xml:space="preserve"> </w:t>
      </w:r>
      <w:r w:rsidRPr="002B0E12">
        <w:rPr>
          <w:rFonts w:ascii="Arial" w:hAnsi="Arial" w:cs="Arial"/>
          <w:sz w:val="22"/>
          <w:szCs w:val="22"/>
        </w:rPr>
        <w:t>Additionally, the</w:t>
      </w:r>
      <w:r w:rsidR="000B2549" w:rsidRPr="002B0E12">
        <w:rPr>
          <w:rFonts w:ascii="Arial" w:hAnsi="Arial" w:cs="Arial"/>
          <w:sz w:val="22"/>
          <w:szCs w:val="22"/>
        </w:rPr>
        <w:t xml:space="preserve">re was </w:t>
      </w:r>
      <w:r w:rsidRPr="002B0E12">
        <w:rPr>
          <w:rFonts w:ascii="Arial" w:hAnsi="Arial" w:cs="Arial"/>
          <w:sz w:val="22"/>
          <w:szCs w:val="22"/>
        </w:rPr>
        <w:t xml:space="preserve">a notable protective effect associated with increased walnut consumption (p≤0.01). Participants with higher walnut intake exhibited lower </w:t>
      </w:r>
      <w:r w:rsidR="00051B2A" w:rsidRPr="002B0E12">
        <w:rPr>
          <w:rFonts w:ascii="Arial" w:hAnsi="Arial" w:cs="Arial"/>
          <w:sz w:val="22"/>
          <w:szCs w:val="22"/>
        </w:rPr>
        <w:t>SBP (r=-0.292)</w:t>
      </w:r>
      <w:r w:rsidRPr="002B0E12">
        <w:rPr>
          <w:rFonts w:ascii="Arial" w:hAnsi="Arial" w:cs="Arial"/>
          <w:sz w:val="22"/>
          <w:szCs w:val="22"/>
        </w:rPr>
        <w:t xml:space="preserve"> and higher HDL-C levels</w:t>
      </w:r>
      <w:r w:rsidR="00051B2A" w:rsidRPr="002B0E12">
        <w:rPr>
          <w:rFonts w:ascii="Arial" w:hAnsi="Arial" w:cs="Arial"/>
          <w:sz w:val="22"/>
          <w:szCs w:val="22"/>
        </w:rPr>
        <w:t xml:space="preserve"> (r=0.365)</w:t>
      </w:r>
      <w:r w:rsidRPr="002B0E12">
        <w:rPr>
          <w:rFonts w:ascii="Arial" w:hAnsi="Arial" w:cs="Arial"/>
          <w:sz w:val="22"/>
          <w:szCs w:val="22"/>
        </w:rPr>
        <w:t>.</w:t>
      </w:r>
      <w:r w:rsidR="000B2549" w:rsidRPr="002B0E12">
        <w:rPr>
          <w:rFonts w:ascii="Arial" w:hAnsi="Arial" w:cs="Arial"/>
          <w:sz w:val="22"/>
          <w:szCs w:val="22"/>
        </w:rPr>
        <w:t xml:space="preserve"> T</w:t>
      </w:r>
      <w:r w:rsidRPr="002B0E12">
        <w:rPr>
          <w:rFonts w:ascii="Arial" w:hAnsi="Arial" w:cs="Arial"/>
          <w:sz w:val="22"/>
          <w:szCs w:val="22"/>
        </w:rPr>
        <w:t>he three obesity indicators</w:t>
      </w:r>
      <w:r w:rsidR="000B2549" w:rsidRPr="002B0E12">
        <w:rPr>
          <w:rFonts w:ascii="Arial" w:hAnsi="Arial" w:cs="Arial"/>
          <w:sz w:val="22"/>
          <w:szCs w:val="22"/>
        </w:rPr>
        <w:t xml:space="preserve">, </w:t>
      </w:r>
      <w:r w:rsidRPr="002B0E12">
        <w:rPr>
          <w:rFonts w:ascii="Arial" w:hAnsi="Arial" w:cs="Arial"/>
          <w:sz w:val="22"/>
          <w:szCs w:val="22"/>
        </w:rPr>
        <w:t>BW, WC, and WHR</w:t>
      </w:r>
      <w:r w:rsidR="000B2549" w:rsidRPr="002B0E12">
        <w:rPr>
          <w:rFonts w:ascii="Arial" w:hAnsi="Arial" w:cs="Arial"/>
          <w:sz w:val="22"/>
          <w:szCs w:val="22"/>
        </w:rPr>
        <w:t xml:space="preserve"> </w:t>
      </w:r>
      <w:r w:rsidRPr="002B0E12">
        <w:rPr>
          <w:rFonts w:ascii="Arial" w:hAnsi="Arial" w:cs="Arial"/>
          <w:sz w:val="22"/>
          <w:szCs w:val="22"/>
        </w:rPr>
        <w:t>demonstrated an inverse relationship with n-3 PUFA intake.</w:t>
      </w:r>
      <w:r w:rsidR="00DF32A4" w:rsidRPr="002B0E12">
        <w:rPr>
          <w:rFonts w:ascii="Arial" w:hAnsi="Arial" w:cs="Arial"/>
          <w:sz w:val="22"/>
          <w:szCs w:val="22"/>
        </w:rPr>
        <w:t xml:space="preserve"> </w:t>
      </w:r>
      <w:r w:rsidRPr="002B0E12">
        <w:rPr>
          <w:rFonts w:ascii="Arial" w:hAnsi="Arial" w:cs="Arial"/>
          <w:sz w:val="22"/>
          <w:szCs w:val="22"/>
        </w:rPr>
        <w:t>Further analyses indicated positive and significant correlations (p≤0.10) between increased systolic blood pressure, serum triglycerides, and VLDL-C with fat intake. Likewise, LDL-C exhibited a positive correlation with carbohydrate</w:t>
      </w:r>
      <w:r w:rsidR="00322295" w:rsidRPr="002B0E12">
        <w:rPr>
          <w:rFonts w:ascii="Arial" w:hAnsi="Arial" w:cs="Arial"/>
          <w:sz w:val="22"/>
          <w:szCs w:val="22"/>
        </w:rPr>
        <w:t xml:space="preserve"> </w:t>
      </w:r>
      <w:r w:rsidRPr="002B0E12">
        <w:rPr>
          <w:rFonts w:ascii="Arial" w:hAnsi="Arial" w:cs="Arial"/>
          <w:sz w:val="22"/>
          <w:szCs w:val="22"/>
        </w:rPr>
        <w:t>intake. W</w:t>
      </w:r>
      <w:r w:rsidR="00C12126" w:rsidRPr="002B0E12">
        <w:rPr>
          <w:rFonts w:ascii="Arial" w:hAnsi="Arial" w:cs="Arial"/>
          <w:sz w:val="22"/>
          <w:szCs w:val="22"/>
        </w:rPr>
        <w:t xml:space="preserve">C </w:t>
      </w:r>
      <w:r w:rsidRPr="002B0E12">
        <w:rPr>
          <w:rFonts w:ascii="Arial" w:hAnsi="Arial" w:cs="Arial"/>
          <w:sz w:val="22"/>
          <w:szCs w:val="22"/>
        </w:rPr>
        <w:t xml:space="preserve">and BMI showed positive correlations with </w:t>
      </w:r>
      <w:r w:rsidR="00C12126" w:rsidRPr="002B0E12">
        <w:rPr>
          <w:rFonts w:ascii="Arial" w:hAnsi="Arial" w:cs="Arial"/>
          <w:sz w:val="22"/>
          <w:szCs w:val="22"/>
        </w:rPr>
        <w:t>ALA</w:t>
      </w:r>
      <w:r w:rsidRPr="002B0E12">
        <w:rPr>
          <w:rFonts w:ascii="Arial" w:hAnsi="Arial" w:cs="Arial"/>
          <w:sz w:val="22"/>
          <w:szCs w:val="22"/>
        </w:rPr>
        <w:t xml:space="preserve"> intake.</w:t>
      </w:r>
    </w:p>
    <w:p w14:paraId="57B18CF9" w14:textId="74E9CD5F" w:rsidR="005409E2" w:rsidRPr="002B0E12" w:rsidRDefault="00776550" w:rsidP="0015682B">
      <w:pPr>
        <w:spacing w:after="0" w:line="360" w:lineRule="auto"/>
        <w:ind w:firstLine="720"/>
        <w:jc w:val="both"/>
        <w:rPr>
          <w:rFonts w:ascii="Arial" w:hAnsi="Arial" w:cs="Arial"/>
          <w:shd w:val="clear" w:color="auto" w:fill="FFFFFF"/>
        </w:rPr>
      </w:pPr>
      <w:proofErr w:type="spellStart"/>
      <w:r w:rsidRPr="002B0E12">
        <w:rPr>
          <w:rFonts w:ascii="Arial" w:hAnsi="Arial" w:cs="Arial"/>
        </w:rPr>
        <w:t>MetS</w:t>
      </w:r>
      <w:proofErr w:type="spellEnd"/>
      <w:r w:rsidRPr="002B0E12">
        <w:rPr>
          <w:rFonts w:ascii="Arial" w:hAnsi="Arial" w:cs="Arial"/>
        </w:rPr>
        <w:t xml:space="preserve"> is widely prevalent due to socio-economic factors and lifestyle choices, such as a high-fat diet and low physical activity. </w:t>
      </w:r>
      <w:r w:rsidR="00AE4B03" w:rsidRPr="002B0E12">
        <w:rPr>
          <w:rFonts w:ascii="Arial" w:hAnsi="Arial" w:cs="Arial"/>
        </w:rPr>
        <w:t xml:space="preserve">To our knowledge, this is the first </w:t>
      </w:r>
      <w:r w:rsidR="00E15474" w:rsidRPr="002B0E12">
        <w:rPr>
          <w:rFonts w:ascii="Arial" w:hAnsi="Arial" w:cs="Arial"/>
        </w:rPr>
        <w:t>study comparing</w:t>
      </w:r>
      <w:r w:rsidR="00AE4B03" w:rsidRPr="002B0E12">
        <w:rPr>
          <w:rFonts w:ascii="Arial" w:hAnsi="Arial" w:cs="Arial"/>
        </w:rPr>
        <w:t xml:space="preserve"> </w:t>
      </w:r>
      <w:proofErr w:type="spellStart"/>
      <w:r w:rsidR="00AC77FF" w:rsidRPr="002B0E12">
        <w:rPr>
          <w:rFonts w:ascii="Arial" w:hAnsi="Arial" w:cs="Arial"/>
        </w:rPr>
        <w:t>MetS</w:t>
      </w:r>
      <w:proofErr w:type="spellEnd"/>
      <w:r w:rsidR="00AC77FF" w:rsidRPr="002B0E12">
        <w:rPr>
          <w:rFonts w:ascii="Arial" w:hAnsi="Arial" w:cs="Arial"/>
        </w:rPr>
        <w:t xml:space="preserve"> among men and women residing in urban and rural areas in Northern India</w:t>
      </w:r>
      <w:r w:rsidR="00AE4B03" w:rsidRPr="002B0E12">
        <w:rPr>
          <w:rFonts w:ascii="Arial" w:hAnsi="Arial" w:cs="Arial"/>
        </w:rPr>
        <w:t xml:space="preserve">, and its association with </w:t>
      </w:r>
      <w:r w:rsidR="000E4DFA" w:rsidRPr="002B0E12">
        <w:rPr>
          <w:rFonts w:ascii="Arial" w:hAnsi="Arial" w:cs="Arial"/>
        </w:rPr>
        <w:t xml:space="preserve">dietary intake and red blood cells </w:t>
      </w:r>
      <w:r w:rsidR="00AE4B03" w:rsidRPr="002B0E12">
        <w:rPr>
          <w:rFonts w:ascii="Arial" w:hAnsi="Arial" w:cs="Arial"/>
        </w:rPr>
        <w:t>fatty acid</w:t>
      </w:r>
      <w:r w:rsidRPr="002B0E12">
        <w:rPr>
          <w:rFonts w:ascii="Arial" w:hAnsi="Arial" w:cs="Arial"/>
        </w:rPr>
        <w:t>s profile</w:t>
      </w:r>
      <w:r w:rsidR="00AC77FF" w:rsidRPr="002B0E12">
        <w:rPr>
          <w:rFonts w:ascii="Arial" w:hAnsi="Arial" w:cs="Arial"/>
        </w:rPr>
        <w:t xml:space="preserve">. </w:t>
      </w:r>
      <w:r w:rsidRPr="002B0E12">
        <w:rPr>
          <w:rFonts w:ascii="Arial" w:hAnsi="Arial" w:cs="Arial"/>
        </w:rPr>
        <w:t xml:space="preserve">Our findings underscore the urgent need for targeted interventions to address the escalating prevalence of </w:t>
      </w:r>
      <w:proofErr w:type="spellStart"/>
      <w:r w:rsidRPr="002B0E12">
        <w:rPr>
          <w:rFonts w:ascii="Arial" w:hAnsi="Arial" w:cs="Arial"/>
        </w:rPr>
        <w:t>MetS</w:t>
      </w:r>
      <w:proofErr w:type="spellEnd"/>
      <w:r w:rsidRPr="002B0E12">
        <w:rPr>
          <w:rFonts w:ascii="Arial" w:hAnsi="Arial" w:cs="Arial"/>
        </w:rPr>
        <w:t>-related risk indicators in both rural and urban settings. We report that w</w:t>
      </w:r>
      <w:r w:rsidR="000D3BD5" w:rsidRPr="002B0E12">
        <w:rPr>
          <w:rFonts w:ascii="Arial" w:hAnsi="Arial" w:cs="Arial"/>
        </w:rPr>
        <w:t xml:space="preserve">omen have a higher incidence of </w:t>
      </w:r>
      <w:proofErr w:type="spellStart"/>
      <w:r w:rsidR="000D3BD5" w:rsidRPr="002B0E12">
        <w:rPr>
          <w:rFonts w:ascii="Arial" w:hAnsi="Arial" w:cs="Arial"/>
        </w:rPr>
        <w:t>MetS</w:t>
      </w:r>
      <w:proofErr w:type="spellEnd"/>
      <w:r w:rsidR="000D3BD5" w:rsidRPr="002B0E12">
        <w:rPr>
          <w:rFonts w:ascii="Arial" w:hAnsi="Arial" w:cs="Arial"/>
        </w:rPr>
        <w:t xml:space="preserve">, </w:t>
      </w:r>
      <w:r w:rsidR="00E95A25" w:rsidRPr="002B0E12">
        <w:rPr>
          <w:rFonts w:ascii="Arial" w:hAnsi="Arial" w:cs="Arial"/>
        </w:rPr>
        <w:t>compared to men</w:t>
      </w:r>
      <w:r w:rsidR="008E1AF7" w:rsidRPr="002B0E12">
        <w:rPr>
          <w:rFonts w:ascii="Arial" w:hAnsi="Arial" w:cs="Arial"/>
        </w:rPr>
        <w:t xml:space="preserve">, and </w:t>
      </w:r>
      <w:r w:rsidR="00F06A92" w:rsidRPr="002B0E12">
        <w:rPr>
          <w:rFonts w:ascii="Arial" w:hAnsi="Arial" w:cs="Arial"/>
        </w:rPr>
        <w:t xml:space="preserve">the prevalence is </w:t>
      </w:r>
      <w:r w:rsidR="008E1AF7" w:rsidRPr="002B0E12">
        <w:rPr>
          <w:rFonts w:ascii="Arial" w:hAnsi="Arial" w:cs="Arial"/>
        </w:rPr>
        <w:t xml:space="preserve">higher </w:t>
      </w:r>
      <w:r w:rsidR="00F06A92" w:rsidRPr="002B0E12">
        <w:rPr>
          <w:rFonts w:ascii="Arial" w:hAnsi="Arial" w:cs="Arial"/>
        </w:rPr>
        <w:t>in rural area</w:t>
      </w:r>
      <w:r w:rsidR="008E1AF7" w:rsidRPr="002B0E12">
        <w:rPr>
          <w:rFonts w:ascii="Arial" w:hAnsi="Arial" w:cs="Arial"/>
        </w:rPr>
        <w:t>s</w:t>
      </w:r>
      <w:r w:rsidR="00F06A92" w:rsidRPr="002B0E12">
        <w:rPr>
          <w:rFonts w:ascii="Arial" w:hAnsi="Arial" w:cs="Arial"/>
        </w:rPr>
        <w:t xml:space="preserve"> </w:t>
      </w:r>
      <w:r w:rsidRPr="002B0E12">
        <w:rPr>
          <w:rFonts w:ascii="Arial" w:hAnsi="Arial" w:cs="Arial"/>
        </w:rPr>
        <w:t xml:space="preserve">compared to </w:t>
      </w:r>
      <w:r w:rsidR="00F06A92" w:rsidRPr="002B0E12">
        <w:rPr>
          <w:rFonts w:ascii="Arial" w:hAnsi="Arial" w:cs="Arial"/>
        </w:rPr>
        <w:t>urban area</w:t>
      </w:r>
      <w:r w:rsidR="008E1AF7" w:rsidRPr="002B0E12">
        <w:rPr>
          <w:rFonts w:ascii="Arial" w:hAnsi="Arial" w:cs="Arial"/>
        </w:rPr>
        <w:t>s</w:t>
      </w:r>
      <w:r w:rsidR="00F06A92" w:rsidRPr="002B0E12">
        <w:rPr>
          <w:rFonts w:ascii="Arial" w:hAnsi="Arial" w:cs="Arial"/>
        </w:rPr>
        <w:t>.</w:t>
      </w:r>
      <w:r w:rsidR="00363CFD" w:rsidRPr="002B0E12">
        <w:rPr>
          <w:rFonts w:ascii="Arial" w:hAnsi="Arial" w:cs="Arial"/>
        </w:rPr>
        <w:t xml:space="preserve"> </w:t>
      </w:r>
      <w:r w:rsidR="008E1AF7" w:rsidRPr="002B0E12">
        <w:rPr>
          <w:rFonts w:ascii="Arial" w:hAnsi="Arial" w:cs="Arial"/>
        </w:rPr>
        <w:t xml:space="preserve">The </w:t>
      </w:r>
      <w:r w:rsidR="00AC77FF" w:rsidRPr="002B0E12">
        <w:rPr>
          <w:rFonts w:ascii="Arial" w:hAnsi="Arial" w:cs="Arial"/>
        </w:rPr>
        <w:t xml:space="preserve">systolic and diastolic blood </w:t>
      </w:r>
      <w:r w:rsidR="00E15474" w:rsidRPr="002B0E12">
        <w:rPr>
          <w:rFonts w:ascii="Arial" w:hAnsi="Arial" w:cs="Arial"/>
        </w:rPr>
        <w:t>pressures, as well as HDL-C levels were</w:t>
      </w:r>
      <w:r w:rsidR="008E1AF7" w:rsidRPr="002B0E12">
        <w:rPr>
          <w:rFonts w:ascii="Arial" w:hAnsi="Arial" w:cs="Arial"/>
        </w:rPr>
        <w:t xml:space="preserve"> similar between men and women</w:t>
      </w:r>
      <w:r w:rsidR="00AC77FF" w:rsidRPr="002B0E12">
        <w:rPr>
          <w:rFonts w:ascii="Arial" w:hAnsi="Arial" w:cs="Arial"/>
        </w:rPr>
        <w:t xml:space="preserve">. However, </w:t>
      </w:r>
      <w:r w:rsidR="006414BD" w:rsidRPr="002B0E12">
        <w:rPr>
          <w:rFonts w:ascii="Arial" w:hAnsi="Arial" w:cs="Arial"/>
        </w:rPr>
        <w:t>men have lower triglycerides</w:t>
      </w:r>
      <w:r w:rsidR="008E1AF7" w:rsidRPr="002B0E12">
        <w:rPr>
          <w:rFonts w:ascii="Arial" w:hAnsi="Arial" w:cs="Arial"/>
        </w:rPr>
        <w:t>,</w:t>
      </w:r>
      <w:r w:rsidR="006414BD" w:rsidRPr="002B0E12">
        <w:rPr>
          <w:rFonts w:ascii="Arial" w:hAnsi="Arial" w:cs="Arial"/>
        </w:rPr>
        <w:t xml:space="preserve"> a slightly larger </w:t>
      </w:r>
      <w:r w:rsidR="008E1AF7" w:rsidRPr="002B0E12">
        <w:rPr>
          <w:rFonts w:ascii="Arial" w:hAnsi="Arial" w:cs="Arial"/>
        </w:rPr>
        <w:t xml:space="preserve">WC, </w:t>
      </w:r>
      <w:r w:rsidR="006414BD" w:rsidRPr="002B0E12">
        <w:rPr>
          <w:rFonts w:ascii="Arial" w:hAnsi="Arial" w:cs="Arial"/>
        </w:rPr>
        <w:t xml:space="preserve">and </w:t>
      </w:r>
      <w:r w:rsidR="008E1AF7" w:rsidRPr="002B0E12">
        <w:rPr>
          <w:rFonts w:ascii="Arial" w:hAnsi="Arial" w:cs="Arial"/>
        </w:rPr>
        <w:t xml:space="preserve">higher </w:t>
      </w:r>
      <w:r w:rsidR="006414BD" w:rsidRPr="002B0E12">
        <w:rPr>
          <w:rFonts w:ascii="Arial" w:hAnsi="Arial" w:cs="Arial"/>
        </w:rPr>
        <w:t xml:space="preserve">fasting blood glucose than women. </w:t>
      </w:r>
      <w:r w:rsidR="00DA6A8F" w:rsidRPr="002B0E12">
        <w:rPr>
          <w:rFonts w:ascii="Arial" w:hAnsi="Arial" w:cs="Arial"/>
          <w:shd w:val="clear" w:color="auto" w:fill="FFFFFF"/>
        </w:rPr>
        <w:t xml:space="preserve">These variations may be due to differences in </w:t>
      </w:r>
    </w:p>
    <w:p w14:paraId="559BE1DA" w14:textId="77777777" w:rsidR="005409E2" w:rsidRPr="002B0E12" w:rsidRDefault="005409E2" w:rsidP="005409E2">
      <w:pPr>
        <w:spacing w:after="0"/>
        <w:ind w:left="1080" w:hanging="1080"/>
        <w:rPr>
          <w:rFonts w:ascii="Arial" w:hAnsi="Arial" w:cs="Arial"/>
          <w:b/>
        </w:rPr>
        <w:sectPr w:rsidR="005409E2" w:rsidRPr="002B0E12" w:rsidSect="002F40D7">
          <w:type w:val="continuous"/>
          <w:pgSz w:w="11906" w:h="16838" w:code="9"/>
          <w:pgMar w:top="1440" w:right="1440" w:bottom="1440" w:left="1440" w:header="709" w:footer="709" w:gutter="0"/>
          <w:cols w:space="708"/>
          <w:docGrid w:linePitch="360"/>
        </w:sectPr>
      </w:pPr>
    </w:p>
    <w:p w14:paraId="734F72D8" w14:textId="77777777" w:rsidR="00510262" w:rsidRPr="002B0E12" w:rsidRDefault="00510262" w:rsidP="005409E2">
      <w:pPr>
        <w:spacing w:after="0"/>
        <w:ind w:left="1080" w:hanging="1080"/>
        <w:rPr>
          <w:rFonts w:ascii="Arial" w:hAnsi="Arial" w:cs="Arial"/>
          <w:b/>
        </w:rPr>
      </w:pPr>
    </w:p>
    <w:p w14:paraId="629D03B1" w14:textId="77777777" w:rsidR="00510262" w:rsidRPr="002B0E12" w:rsidRDefault="00510262" w:rsidP="005409E2">
      <w:pPr>
        <w:spacing w:after="0"/>
        <w:ind w:left="1080" w:hanging="1080"/>
        <w:rPr>
          <w:rFonts w:ascii="Arial" w:hAnsi="Arial" w:cs="Arial"/>
          <w:b/>
        </w:rPr>
      </w:pPr>
    </w:p>
    <w:p w14:paraId="0936DFF7" w14:textId="77777777" w:rsidR="00510262" w:rsidRPr="002B0E12" w:rsidRDefault="00510262" w:rsidP="005409E2">
      <w:pPr>
        <w:spacing w:after="0"/>
        <w:ind w:left="1080" w:hanging="1080"/>
        <w:rPr>
          <w:rFonts w:ascii="Arial" w:hAnsi="Arial" w:cs="Arial"/>
          <w:b/>
        </w:rPr>
      </w:pPr>
    </w:p>
    <w:p w14:paraId="3F43D35F" w14:textId="77777777" w:rsidR="00510262" w:rsidRPr="002B0E12" w:rsidRDefault="00510262" w:rsidP="005409E2">
      <w:pPr>
        <w:spacing w:after="0"/>
        <w:ind w:left="1080" w:hanging="1080"/>
        <w:rPr>
          <w:rFonts w:ascii="Arial" w:hAnsi="Arial" w:cs="Arial"/>
          <w:b/>
        </w:rPr>
      </w:pPr>
    </w:p>
    <w:p w14:paraId="36C916F1" w14:textId="77777777" w:rsidR="00510262" w:rsidRPr="002B0E12" w:rsidRDefault="00510262" w:rsidP="005409E2">
      <w:pPr>
        <w:spacing w:after="0"/>
        <w:ind w:left="1080" w:hanging="1080"/>
        <w:rPr>
          <w:rFonts w:ascii="Arial" w:hAnsi="Arial" w:cs="Arial"/>
          <w:b/>
        </w:rPr>
      </w:pPr>
    </w:p>
    <w:p w14:paraId="354F14C7" w14:textId="77777777" w:rsidR="00510262" w:rsidRPr="002B0E12" w:rsidRDefault="00510262" w:rsidP="005409E2">
      <w:pPr>
        <w:spacing w:after="0"/>
        <w:ind w:left="1080" w:hanging="1080"/>
        <w:rPr>
          <w:rFonts w:ascii="Arial" w:hAnsi="Arial" w:cs="Arial"/>
          <w:b/>
        </w:rPr>
      </w:pPr>
    </w:p>
    <w:p w14:paraId="1C6E700E" w14:textId="77777777" w:rsidR="00510262" w:rsidRPr="002B0E12" w:rsidRDefault="00510262" w:rsidP="005409E2">
      <w:pPr>
        <w:spacing w:after="0"/>
        <w:ind w:left="1080" w:hanging="1080"/>
        <w:rPr>
          <w:rFonts w:ascii="Arial" w:hAnsi="Arial" w:cs="Arial"/>
          <w:b/>
        </w:rPr>
        <w:sectPr w:rsidR="00510262" w:rsidRPr="002B0E12" w:rsidSect="002F40D7">
          <w:type w:val="continuous"/>
          <w:pgSz w:w="11906" w:h="16838" w:code="9"/>
          <w:pgMar w:top="1440" w:right="1440" w:bottom="1440" w:left="1440" w:header="709" w:footer="709" w:gutter="0"/>
          <w:cols w:space="708"/>
          <w:docGrid w:linePitch="360"/>
        </w:sectPr>
      </w:pPr>
    </w:p>
    <w:p w14:paraId="16003644" w14:textId="65A23F97" w:rsidR="005409E2" w:rsidRPr="002B0E12" w:rsidRDefault="005409E2" w:rsidP="005409E2">
      <w:pPr>
        <w:spacing w:after="0"/>
        <w:ind w:left="1080" w:hanging="1080"/>
        <w:rPr>
          <w:rFonts w:ascii="Arial" w:hAnsi="Arial" w:cs="Arial"/>
          <w:b/>
        </w:rPr>
      </w:pPr>
      <w:r w:rsidRPr="002B0E12">
        <w:rPr>
          <w:rFonts w:ascii="Arial" w:hAnsi="Arial" w:cs="Arial"/>
          <w:b/>
        </w:rPr>
        <w:lastRenderedPageBreak/>
        <w:t xml:space="preserve">Table 6 Correlation coefficients (r) of the levels of polyunsaturated fatty acids with Metabolic Syndrome factors among </w:t>
      </w:r>
      <w:proofErr w:type="spellStart"/>
      <w:r w:rsidRPr="002B0E12">
        <w:rPr>
          <w:rFonts w:ascii="Arial" w:hAnsi="Arial" w:cs="Arial"/>
          <w:b/>
        </w:rPr>
        <w:t>MetS</w:t>
      </w:r>
      <w:proofErr w:type="spellEnd"/>
      <w:r w:rsidRPr="002B0E12">
        <w:rPr>
          <w:rFonts w:ascii="Arial" w:hAnsi="Arial" w:cs="Arial"/>
          <w:b/>
        </w:rPr>
        <w:t xml:space="preserve"> participants </w:t>
      </w:r>
    </w:p>
    <w:tbl>
      <w:tblPr>
        <w:tblW w:w="13476" w:type="dxa"/>
        <w:tblInd w:w="751" w:type="dxa"/>
        <w:tblBorders>
          <w:top w:val="single" w:sz="4" w:space="0" w:color="auto"/>
          <w:bottom w:val="single" w:sz="4" w:space="0" w:color="auto"/>
        </w:tblBorders>
        <w:tblLook w:val="04A0" w:firstRow="1" w:lastRow="0" w:firstColumn="1" w:lastColumn="0" w:noHBand="0" w:noVBand="1"/>
      </w:tblPr>
      <w:tblGrid>
        <w:gridCol w:w="4319"/>
        <w:gridCol w:w="317"/>
        <w:gridCol w:w="8840"/>
      </w:tblGrid>
      <w:tr w:rsidR="002B0E12" w:rsidRPr="002B0E12" w14:paraId="1397CA1B" w14:textId="77777777" w:rsidTr="0048694B">
        <w:trPr>
          <w:trHeight w:val="235"/>
        </w:trPr>
        <w:tc>
          <w:tcPr>
            <w:tcW w:w="13476" w:type="dxa"/>
            <w:gridSpan w:val="3"/>
            <w:tcBorders>
              <w:top w:val="single" w:sz="4" w:space="0" w:color="auto"/>
              <w:bottom w:val="single" w:sz="4" w:space="0" w:color="auto"/>
            </w:tcBorders>
            <w:hideMark/>
          </w:tcPr>
          <w:p w14:paraId="212E985C" w14:textId="77777777" w:rsidR="005409E2" w:rsidRPr="002B0E12" w:rsidRDefault="005409E2" w:rsidP="0048694B">
            <w:pPr>
              <w:spacing w:after="0"/>
              <w:jc w:val="center"/>
              <w:rPr>
                <w:rFonts w:ascii="Arial" w:hAnsi="Arial" w:cs="Arial"/>
                <w:sz w:val="20"/>
                <w:szCs w:val="20"/>
                <w:lang w:val="en-IN"/>
              </w:rPr>
            </w:pPr>
            <w:r w:rsidRPr="002B0E12">
              <w:rPr>
                <w:rFonts w:ascii="Arial" w:hAnsi="Arial" w:cs="Arial"/>
                <w:b/>
                <w:bCs/>
                <w:sz w:val="20"/>
                <w:szCs w:val="20"/>
              </w:rPr>
              <w:t>Correlation coefficients (r)</w:t>
            </w:r>
          </w:p>
        </w:tc>
      </w:tr>
      <w:tr w:rsidR="002B0E12" w:rsidRPr="002B0E12" w14:paraId="44661D7A" w14:textId="77777777" w:rsidTr="0015682B">
        <w:trPr>
          <w:trHeight w:val="355"/>
        </w:trPr>
        <w:tc>
          <w:tcPr>
            <w:tcW w:w="4319" w:type="dxa"/>
            <w:tcBorders>
              <w:top w:val="single" w:sz="4" w:space="0" w:color="auto"/>
              <w:left w:val="nil"/>
              <w:bottom w:val="single" w:sz="4" w:space="0" w:color="auto"/>
              <w:right w:val="single" w:sz="4" w:space="0" w:color="auto"/>
            </w:tcBorders>
          </w:tcPr>
          <w:p w14:paraId="413128A1" w14:textId="77777777" w:rsidR="005409E2" w:rsidRPr="002B0E12" w:rsidRDefault="005409E2" w:rsidP="0048694B">
            <w:pPr>
              <w:spacing w:after="0"/>
              <w:jc w:val="center"/>
              <w:rPr>
                <w:rFonts w:ascii="Arial" w:hAnsi="Arial" w:cs="Arial"/>
                <w:sz w:val="20"/>
                <w:szCs w:val="20"/>
                <w:lang w:val="en-IN"/>
              </w:rPr>
            </w:pPr>
            <w:r w:rsidRPr="002B0E12">
              <w:rPr>
                <w:rFonts w:ascii="Arial" w:hAnsi="Arial" w:cs="Arial"/>
                <w:b/>
                <w:bCs/>
                <w:sz w:val="20"/>
                <w:szCs w:val="20"/>
              </w:rPr>
              <w:t>Urban (n = 50)</w:t>
            </w:r>
          </w:p>
        </w:tc>
        <w:tc>
          <w:tcPr>
            <w:tcW w:w="9157" w:type="dxa"/>
            <w:gridSpan w:val="2"/>
            <w:tcBorders>
              <w:top w:val="single" w:sz="4" w:space="0" w:color="auto"/>
              <w:left w:val="single" w:sz="4" w:space="0" w:color="auto"/>
              <w:bottom w:val="single" w:sz="4" w:space="0" w:color="auto"/>
              <w:right w:val="nil"/>
            </w:tcBorders>
          </w:tcPr>
          <w:p w14:paraId="15F07285" w14:textId="77777777" w:rsidR="005409E2" w:rsidRPr="002B0E12" w:rsidRDefault="005409E2" w:rsidP="0048694B">
            <w:pPr>
              <w:spacing w:after="0"/>
              <w:jc w:val="center"/>
              <w:rPr>
                <w:rFonts w:ascii="Arial" w:hAnsi="Arial" w:cs="Arial"/>
                <w:sz w:val="20"/>
                <w:szCs w:val="20"/>
                <w:lang w:val="en-IN"/>
              </w:rPr>
            </w:pPr>
            <w:r w:rsidRPr="002B0E12">
              <w:rPr>
                <w:rFonts w:ascii="Arial" w:hAnsi="Arial" w:cs="Arial"/>
                <w:b/>
                <w:bCs/>
                <w:sz w:val="20"/>
                <w:szCs w:val="20"/>
              </w:rPr>
              <w:t>Rural (n = 50)</w:t>
            </w:r>
          </w:p>
        </w:tc>
      </w:tr>
      <w:tr w:rsidR="002B0E12" w:rsidRPr="002B0E12" w14:paraId="4D074C75" w14:textId="77777777" w:rsidTr="0048694B">
        <w:trPr>
          <w:trHeight w:val="518"/>
        </w:trPr>
        <w:tc>
          <w:tcPr>
            <w:tcW w:w="13476" w:type="dxa"/>
            <w:gridSpan w:val="3"/>
            <w:tcBorders>
              <w:top w:val="single" w:sz="4" w:space="0" w:color="auto"/>
              <w:left w:val="nil"/>
              <w:bottom w:val="single" w:sz="4" w:space="0" w:color="auto"/>
              <w:right w:val="nil"/>
            </w:tcBorders>
          </w:tcPr>
          <w:p w14:paraId="1C859DE6"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b/>
                <w:sz w:val="20"/>
                <w:szCs w:val="20"/>
              </w:rPr>
              <w:t>Consumption frequency score (CFS) of n-3 PUFA rich foods and Metabolic syndrome risk factors</w:t>
            </w:r>
          </w:p>
        </w:tc>
      </w:tr>
      <w:tr w:rsidR="002B0E12" w:rsidRPr="002B0E12" w14:paraId="4C66B6EF" w14:textId="77777777" w:rsidTr="0015682B">
        <w:trPr>
          <w:trHeight w:val="744"/>
        </w:trPr>
        <w:tc>
          <w:tcPr>
            <w:tcW w:w="4319" w:type="dxa"/>
            <w:tcBorders>
              <w:top w:val="single" w:sz="4" w:space="0" w:color="auto"/>
              <w:left w:val="nil"/>
              <w:bottom w:val="single" w:sz="4" w:space="0" w:color="auto"/>
              <w:right w:val="single" w:sz="4" w:space="0" w:color="auto"/>
            </w:tcBorders>
          </w:tcPr>
          <w:p w14:paraId="2C0CFE6B" w14:textId="77777777" w:rsidR="005409E2" w:rsidRPr="002B0E12" w:rsidRDefault="005409E2" w:rsidP="0048694B">
            <w:pPr>
              <w:spacing w:after="0"/>
              <w:ind w:left="5"/>
              <w:rPr>
                <w:rFonts w:ascii="Arial" w:hAnsi="Arial" w:cs="Arial"/>
                <w:sz w:val="20"/>
                <w:szCs w:val="20"/>
              </w:rPr>
            </w:pPr>
            <w:r w:rsidRPr="002B0E12">
              <w:rPr>
                <w:rFonts w:ascii="Arial" w:hAnsi="Arial" w:cs="Arial"/>
                <w:sz w:val="20"/>
                <w:szCs w:val="20"/>
              </w:rPr>
              <w:t>HDL-C (spinach (r = 0.303**)</w:t>
            </w:r>
          </w:p>
          <w:p w14:paraId="09892784" w14:textId="77777777" w:rsidR="005409E2" w:rsidRPr="002B0E12" w:rsidRDefault="005409E2" w:rsidP="0048694B">
            <w:pPr>
              <w:spacing w:after="0"/>
              <w:ind w:left="5"/>
              <w:rPr>
                <w:rFonts w:ascii="Arial" w:hAnsi="Arial" w:cs="Arial"/>
                <w:sz w:val="20"/>
                <w:szCs w:val="20"/>
              </w:rPr>
            </w:pPr>
            <w:r w:rsidRPr="002B0E12">
              <w:rPr>
                <w:rFonts w:ascii="Arial" w:hAnsi="Arial" w:cs="Arial"/>
                <w:sz w:val="20"/>
                <w:szCs w:val="20"/>
              </w:rPr>
              <w:t>SBP and mustard leaves (r = - 0.298**)</w:t>
            </w:r>
          </w:p>
          <w:p w14:paraId="6DBDA1DB" w14:textId="77777777" w:rsidR="005409E2" w:rsidRPr="002B0E12" w:rsidRDefault="005409E2" w:rsidP="0048694B">
            <w:pPr>
              <w:spacing w:after="0"/>
              <w:ind w:left="5"/>
              <w:rPr>
                <w:rFonts w:ascii="Arial" w:hAnsi="Arial" w:cs="Arial"/>
                <w:sz w:val="20"/>
                <w:szCs w:val="20"/>
              </w:rPr>
            </w:pPr>
            <w:r w:rsidRPr="002B0E12">
              <w:rPr>
                <w:rFonts w:ascii="Arial" w:hAnsi="Arial" w:cs="Arial"/>
                <w:sz w:val="20"/>
                <w:szCs w:val="20"/>
              </w:rPr>
              <w:t>DBP and soybean oil (r = - 0.284**)</w:t>
            </w:r>
          </w:p>
        </w:tc>
        <w:tc>
          <w:tcPr>
            <w:tcW w:w="9157" w:type="dxa"/>
            <w:gridSpan w:val="2"/>
            <w:tcBorders>
              <w:top w:val="single" w:sz="4" w:space="0" w:color="auto"/>
              <w:left w:val="single" w:sz="4" w:space="0" w:color="auto"/>
              <w:bottom w:val="single" w:sz="4" w:space="0" w:color="auto"/>
              <w:right w:val="nil"/>
            </w:tcBorders>
          </w:tcPr>
          <w:p w14:paraId="1EF74386"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sz w:val="20"/>
                <w:szCs w:val="20"/>
              </w:rPr>
              <w:t>BMI and flaxseeds (r = - 0.416***); mustard leaves (r = - 0.294**); fenugreek leaves (r = - 0.325**)</w:t>
            </w:r>
          </w:p>
          <w:p w14:paraId="0EE633FD"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sz w:val="20"/>
                <w:szCs w:val="20"/>
              </w:rPr>
              <w:t>WC and flaxseeds (r = - 0.627***); fenugreek leaves (r = - 0.324**)</w:t>
            </w:r>
          </w:p>
          <w:p w14:paraId="30652F40"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sz w:val="20"/>
                <w:szCs w:val="20"/>
              </w:rPr>
              <w:t>HDL-C and walnuts (r = 0.365***)</w:t>
            </w:r>
          </w:p>
          <w:p w14:paraId="34D288E3"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sz w:val="20"/>
                <w:szCs w:val="20"/>
              </w:rPr>
              <w:t>LDL-C (r = - 0.388***); mustard leaves (r = - 0.445***); spinach (r = - 0.331**); amaranth leaves (r = - 0.316**)</w:t>
            </w:r>
          </w:p>
          <w:p w14:paraId="0BDA2FC1"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sz w:val="20"/>
                <w:szCs w:val="20"/>
              </w:rPr>
              <w:t>SBP and walnuts (r = - 0.292**); fenugreek leaves (r = - 0.569***)</w:t>
            </w:r>
          </w:p>
        </w:tc>
      </w:tr>
      <w:tr w:rsidR="002B0E12" w:rsidRPr="002B0E12" w14:paraId="51ED3E17" w14:textId="77777777" w:rsidTr="0048694B">
        <w:trPr>
          <w:trHeight w:val="246"/>
        </w:trPr>
        <w:tc>
          <w:tcPr>
            <w:tcW w:w="13476" w:type="dxa"/>
            <w:gridSpan w:val="3"/>
            <w:tcBorders>
              <w:top w:val="single" w:sz="4" w:space="0" w:color="auto"/>
              <w:left w:val="nil"/>
              <w:bottom w:val="single" w:sz="4" w:space="0" w:color="auto"/>
              <w:right w:val="nil"/>
            </w:tcBorders>
          </w:tcPr>
          <w:p w14:paraId="1B84D507"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b/>
                <w:bCs/>
                <w:sz w:val="20"/>
                <w:szCs w:val="20"/>
              </w:rPr>
              <w:t xml:space="preserve">Food intake and </w:t>
            </w:r>
            <w:proofErr w:type="spellStart"/>
            <w:r w:rsidRPr="002B0E12">
              <w:rPr>
                <w:rFonts w:ascii="Arial" w:hAnsi="Arial" w:cs="Arial"/>
                <w:b/>
                <w:bCs/>
                <w:sz w:val="20"/>
                <w:szCs w:val="20"/>
              </w:rPr>
              <w:t>MetS</w:t>
            </w:r>
            <w:proofErr w:type="spellEnd"/>
          </w:p>
        </w:tc>
      </w:tr>
      <w:tr w:rsidR="002B0E12" w:rsidRPr="002B0E12" w14:paraId="0A920A21" w14:textId="77777777" w:rsidTr="0048694B">
        <w:trPr>
          <w:trHeight w:val="421"/>
        </w:trPr>
        <w:tc>
          <w:tcPr>
            <w:tcW w:w="4636" w:type="dxa"/>
            <w:gridSpan w:val="2"/>
            <w:tcBorders>
              <w:top w:val="single" w:sz="4" w:space="0" w:color="auto"/>
              <w:left w:val="nil"/>
              <w:bottom w:val="single" w:sz="4" w:space="0" w:color="auto"/>
              <w:right w:val="single" w:sz="4" w:space="0" w:color="auto"/>
            </w:tcBorders>
          </w:tcPr>
          <w:p w14:paraId="1573DC50" w14:textId="77777777" w:rsidR="005409E2" w:rsidRPr="002B0E12" w:rsidRDefault="005409E2" w:rsidP="0048694B">
            <w:pPr>
              <w:spacing w:after="0"/>
              <w:ind w:left="-2"/>
              <w:rPr>
                <w:rFonts w:ascii="Arial" w:hAnsi="Arial" w:cs="Arial"/>
                <w:sz w:val="20"/>
                <w:szCs w:val="20"/>
              </w:rPr>
            </w:pPr>
            <w:r w:rsidRPr="002B0E12">
              <w:rPr>
                <w:rFonts w:ascii="Arial" w:hAnsi="Arial" w:cs="Arial"/>
                <w:sz w:val="20"/>
                <w:szCs w:val="20"/>
              </w:rPr>
              <w:t>BMI and sugars (r = 0.345**)</w:t>
            </w:r>
          </w:p>
          <w:p w14:paraId="18D7A861" w14:textId="77777777" w:rsidR="005409E2" w:rsidRPr="002B0E12" w:rsidRDefault="005409E2" w:rsidP="0048694B">
            <w:pPr>
              <w:spacing w:after="0"/>
              <w:ind w:left="-2"/>
              <w:rPr>
                <w:rFonts w:ascii="Arial" w:hAnsi="Arial" w:cs="Arial"/>
                <w:sz w:val="20"/>
                <w:szCs w:val="20"/>
              </w:rPr>
            </w:pPr>
            <w:r w:rsidRPr="002B0E12">
              <w:rPr>
                <w:rFonts w:ascii="Arial" w:hAnsi="Arial" w:cs="Arial"/>
                <w:sz w:val="20"/>
                <w:szCs w:val="20"/>
              </w:rPr>
              <w:t>WC and sugars (r = 0.270**)</w:t>
            </w:r>
          </w:p>
          <w:p w14:paraId="24635760" w14:textId="77777777" w:rsidR="005409E2" w:rsidRPr="002B0E12" w:rsidRDefault="005409E2" w:rsidP="0048694B">
            <w:pPr>
              <w:spacing w:after="0"/>
              <w:ind w:left="-2"/>
              <w:rPr>
                <w:rFonts w:ascii="Arial" w:hAnsi="Arial" w:cs="Arial"/>
                <w:sz w:val="20"/>
                <w:szCs w:val="20"/>
              </w:rPr>
            </w:pPr>
            <w:r w:rsidRPr="002B0E12">
              <w:rPr>
                <w:rFonts w:ascii="Arial" w:hAnsi="Arial" w:cs="Arial"/>
                <w:sz w:val="20"/>
                <w:szCs w:val="20"/>
              </w:rPr>
              <w:t>Cholesterol and fats and oils (r =0.253**)</w:t>
            </w:r>
          </w:p>
          <w:p w14:paraId="121BB1F4" w14:textId="77777777" w:rsidR="005409E2" w:rsidRPr="002B0E12" w:rsidRDefault="005409E2" w:rsidP="0048694B">
            <w:pPr>
              <w:spacing w:after="0"/>
              <w:ind w:left="5"/>
              <w:rPr>
                <w:rFonts w:ascii="Arial" w:hAnsi="Arial" w:cs="Arial"/>
                <w:sz w:val="20"/>
                <w:szCs w:val="20"/>
              </w:rPr>
            </w:pPr>
            <w:r w:rsidRPr="002B0E12">
              <w:rPr>
                <w:rFonts w:ascii="Arial" w:hAnsi="Arial" w:cs="Arial"/>
                <w:sz w:val="20"/>
                <w:szCs w:val="20"/>
              </w:rPr>
              <w:t>DBP and pulses (r = -0.357***)</w:t>
            </w:r>
          </w:p>
        </w:tc>
        <w:tc>
          <w:tcPr>
            <w:tcW w:w="8840" w:type="dxa"/>
            <w:tcBorders>
              <w:top w:val="single" w:sz="4" w:space="0" w:color="auto"/>
              <w:left w:val="single" w:sz="4" w:space="0" w:color="auto"/>
              <w:bottom w:val="single" w:sz="4" w:space="0" w:color="auto"/>
              <w:right w:val="nil"/>
            </w:tcBorders>
          </w:tcPr>
          <w:p w14:paraId="4B869A55"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BMI and GLV (r= - 0.327**)</w:t>
            </w:r>
          </w:p>
          <w:p w14:paraId="05DB8DAB"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WC and pulses (r = 0.263*)</w:t>
            </w:r>
          </w:p>
          <w:p w14:paraId="52D683FB" w14:textId="77777777" w:rsidR="005409E2" w:rsidRPr="002B0E12" w:rsidRDefault="005409E2" w:rsidP="0048694B">
            <w:pPr>
              <w:spacing w:after="0"/>
              <w:ind w:left="5"/>
              <w:jc w:val="both"/>
              <w:rPr>
                <w:rFonts w:ascii="Arial" w:hAnsi="Arial" w:cs="Arial"/>
                <w:sz w:val="20"/>
                <w:szCs w:val="20"/>
              </w:rPr>
            </w:pPr>
            <w:r w:rsidRPr="002B0E12">
              <w:rPr>
                <w:rFonts w:ascii="Arial" w:hAnsi="Arial" w:cs="Arial"/>
                <w:sz w:val="20"/>
                <w:szCs w:val="20"/>
              </w:rPr>
              <w:t>HDL-C and GLV (r = 0.276**)</w:t>
            </w:r>
          </w:p>
        </w:tc>
      </w:tr>
      <w:tr w:rsidR="002B0E12" w:rsidRPr="002B0E12" w14:paraId="516DE72C" w14:textId="77777777" w:rsidTr="0048694B">
        <w:trPr>
          <w:trHeight w:val="310"/>
        </w:trPr>
        <w:tc>
          <w:tcPr>
            <w:tcW w:w="4636" w:type="dxa"/>
            <w:gridSpan w:val="2"/>
            <w:tcBorders>
              <w:top w:val="single" w:sz="4" w:space="0" w:color="auto"/>
              <w:left w:val="nil"/>
              <w:bottom w:val="single" w:sz="4" w:space="0" w:color="auto"/>
              <w:right w:val="single" w:sz="4" w:space="0" w:color="auto"/>
            </w:tcBorders>
          </w:tcPr>
          <w:p w14:paraId="1F9B5494" w14:textId="77777777" w:rsidR="005409E2" w:rsidRPr="002B0E12" w:rsidRDefault="005409E2" w:rsidP="0048694B">
            <w:pPr>
              <w:spacing w:after="0"/>
              <w:rPr>
                <w:rFonts w:ascii="Arial" w:hAnsi="Arial" w:cs="Arial"/>
                <w:b/>
                <w:bCs/>
                <w:sz w:val="20"/>
                <w:szCs w:val="20"/>
              </w:rPr>
            </w:pPr>
            <w:r w:rsidRPr="002B0E12">
              <w:rPr>
                <w:rFonts w:ascii="Arial" w:hAnsi="Arial" w:cs="Arial"/>
                <w:b/>
                <w:bCs/>
                <w:sz w:val="20"/>
                <w:szCs w:val="20"/>
              </w:rPr>
              <w:t xml:space="preserve">Nutrient intake and </w:t>
            </w:r>
            <w:proofErr w:type="spellStart"/>
            <w:r w:rsidRPr="002B0E12">
              <w:rPr>
                <w:rFonts w:ascii="Arial" w:hAnsi="Arial" w:cs="Arial"/>
                <w:b/>
                <w:bCs/>
                <w:sz w:val="20"/>
                <w:szCs w:val="20"/>
              </w:rPr>
              <w:t>MetS</w:t>
            </w:r>
            <w:proofErr w:type="spellEnd"/>
          </w:p>
        </w:tc>
        <w:tc>
          <w:tcPr>
            <w:tcW w:w="8840" w:type="dxa"/>
            <w:tcBorders>
              <w:top w:val="single" w:sz="4" w:space="0" w:color="auto"/>
              <w:left w:val="single" w:sz="4" w:space="0" w:color="auto"/>
              <w:bottom w:val="single" w:sz="4" w:space="0" w:color="auto"/>
              <w:right w:val="nil"/>
            </w:tcBorders>
          </w:tcPr>
          <w:p w14:paraId="25087B46" w14:textId="77777777" w:rsidR="005409E2" w:rsidRPr="002B0E12" w:rsidRDefault="005409E2" w:rsidP="0048694B">
            <w:pPr>
              <w:spacing w:after="0"/>
              <w:jc w:val="center"/>
              <w:rPr>
                <w:rFonts w:ascii="Arial" w:hAnsi="Arial" w:cs="Arial"/>
                <w:b/>
                <w:bCs/>
                <w:sz w:val="20"/>
                <w:szCs w:val="20"/>
              </w:rPr>
            </w:pPr>
          </w:p>
        </w:tc>
      </w:tr>
      <w:tr w:rsidR="002B0E12" w:rsidRPr="002B0E12" w14:paraId="7638CFE8" w14:textId="77777777" w:rsidTr="0048694B">
        <w:trPr>
          <w:trHeight w:val="1101"/>
        </w:trPr>
        <w:tc>
          <w:tcPr>
            <w:tcW w:w="4636" w:type="dxa"/>
            <w:gridSpan w:val="2"/>
            <w:tcBorders>
              <w:top w:val="single" w:sz="4" w:space="0" w:color="auto"/>
              <w:left w:val="nil"/>
              <w:bottom w:val="single" w:sz="4" w:space="0" w:color="auto"/>
              <w:right w:val="single" w:sz="4" w:space="0" w:color="auto"/>
            </w:tcBorders>
          </w:tcPr>
          <w:p w14:paraId="004A6C6A" w14:textId="77777777" w:rsidR="005409E2" w:rsidRPr="002B0E12" w:rsidRDefault="005409E2" w:rsidP="0048694B">
            <w:pPr>
              <w:spacing w:after="0"/>
              <w:ind w:left="46"/>
              <w:rPr>
                <w:rFonts w:ascii="Arial" w:hAnsi="Arial" w:cs="Arial"/>
                <w:sz w:val="20"/>
                <w:szCs w:val="20"/>
              </w:rPr>
            </w:pPr>
            <w:r w:rsidRPr="002B0E12">
              <w:rPr>
                <w:rFonts w:ascii="Arial" w:hAnsi="Arial" w:cs="Arial"/>
                <w:sz w:val="20"/>
                <w:szCs w:val="20"/>
              </w:rPr>
              <w:t>BMI and total fat (r = 0.231*)</w:t>
            </w:r>
          </w:p>
          <w:p w14:paraId="422DC16D" w14:textId="77777777" w:rsidR="005409E2" w:rsidRPr="002B0E12" w:rsidRDefault="005409E2" w:rsidP="0048694B">
            <w:pPr>
              <w:spacing w:after="0"/>
              <w:ind w:left="46"/>
              <w:rPr>
                <w:rFonts w:ascii="Arial" w:hAnsi="Arial" w:cs="Arial"/>
                <w:sz w:val="20"/>
                <w:szCs w:val="20"/>
              </w:rPr>
            </w:pPr>
            <w:r w:rsidRPr="002B0E12">
              <w:rPr>
                <w:rFonts w:ascii="Arial" w:hAnsi="Arial" w:cs="Arial"/>
                <w:sz w:val="20"/>
                <w:szCs w:val="20"/>
              </w:rPr>
              <w:t>WC and total fat (r = 0.260*); energy (r =0.257*)</w:t>
            </w:r>
          </w:p>
          <w:p w14:paraId="70623ECC" w14:textId="77777777" w:rsidR="005409E2" w:rsidRPr="002B0E12" w:rsidRDefault="005409E2" w:rsidP="0048694B">
            <w:pPr>
              <w:spacing w:after="0"/>
              <w:ind w:left="46"/>
              <w:rPr>
                <w:rFonts w:ascii="Arial" w:hAnsi="Arial" w:cs="Arial"/>
                <w:sz w:val="20"/>
                <w:szCs w:val="20"/>
              </w:rPr>
            </w:pPr>
            <w:r w:rsidRPr="002B0E12">
              <w:rPr>
                <w:rFonts w:ascii="Arial" w:hAnsi="Arial" w:cs="Arial"/>
                <w:sz w:val="20"/>
                <w:szCs w:val="20"/>
              </w:rPr>
              <w:t xml:space="preserve">SBP and ALA (r = - 0.258*) </w:t>
            </w:r>
          </w:p>
          <w:p w14:paraId="04101C49"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DBP and ALA (r = -0.273**)</w:t>
            </w:r>
          </w:p>
        </w:tc>
        <w:tc>
          <w:tcPr>
            <w:tcW w:w="8840" w:type="dxa"/>
            <w:tcBorders>
              <w:top w:val="single" w:sz="4" w:space="0" w:color="auto"/>
              <w:left w:val="single" w:sz="4" w:space="0" w:color="auto"/>
              <w:bottom w:val="single" w:sz="4" w:space="0" w:color="auto"/>
              <w:right w:val="nil"/>
            </w:tcBorders>
          </w:tcPr>
          <w:p w14:paraId="7919DFE0"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BMI and ALA (r = - 0.242*)</w:t>
            </w:r>
          </w:p>
          <w:p w14:paraId="70AE9FE4"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LDL-C and CHO (r = 0.244*)</w:t>
            </w:r>
          </w:p>
        </w:tc>
      </w:tr>
      <w:tr w:rsidR="002B0E12" w:rsidRPr="002B0E12" w14:paraId="45ABF10E" w14:textId="77777777" w:rsidTr="0048694B">
        <w:trPr>
          <w:trHeight w:val="277"/>
        </w:trPr>
        <w:tc>
          <w:tcPr>
            <w:tcW w:w="13476" w:type="dxa"/>
            <w:gridSpan w:val="3"/>
            <w:tcBorders>
              <w:top w:val="single" w:sz="4" w:space="0" w:color="auto"/>
              <w:left w:val="nil"/>
              <w:bottom w:val="single" w:sz="4" w:space="0" w:color="auto"/>
              <w:right w:val="nil"/>
            </w:tcBorders>
            <w:hideMark/>
          </w:tcPr>
          <w:p w14:paraId="7C8CEEA3" w14:textId="77777777" w:rsidR="005409E2" w:rsidRPr="002B0E12" w:rsidRDefault="005409E2" w:rsidP="0048694B">
            <w:pPr>
              <w:spacing w:after="0"/>
              <w:rPr>
                <w:rFonts w:ascii="Arial" w:hAnsi="Arial" w:cs="Arial"/>
                <w:sz w:val="20"/>
                <w:szCs w:val="20"/>
                <w:lang w:val="en-IN"/>
              </w:rPr>
            </w:pPr>
            <w:r w:rsidRPr="002B0E12">
              <w:rPr>
                <w:rFonts w:ascii="Arial" w:hAnsi="Arial" w:cs="Arial"/>
                <w:b/>
                <w:bCs/>
                <w:sz w:val="20"/>
                <w:szCs w:val="20"/>
              </w:rPr>
              <w:t xml:space="preserve">n- 3 and n-6 PUFA with </w:t>
            </w:r>
            <w:proofErr w:type="spellStart"/>
            <w:r w:rsidRPr="002B0E12">
              <w:rPr>
                <w:rFonts w:ascii="Arial" w:hAnsi="Arial" w:cs="Arial"/>
                <w:b/>
                <w:bCs/>
                <w:sz w:val="20"/>
                <w:szCs w:val="20"/>
              </w:rPr>
              <w:t>MetS</w:t>
            </w:r>
            <w:proofErr w:type="spellEnd"/>
          </w:p>
        </w:tc>
      </w:tr>
      <w:tr w:rsidR="002B0E12" w:rsidRPr="002B0E12" w14:paraId="018D2C40" w14:textId="77777777" w:rsidTr="0048694B">
        <w:trPr>
          <w:trHeight w:val="1107"/>
        </w:trPr>
        <w:tc>
          <w:tcPr>
            <w:tcW w:w="4636" w:type="dxa"/>
            <w:gridSpan w:val="2"/>
            <w:tcBorders>
              <w:top w:val="single" w:sz="4" w:space="0" w:color="auto"/>
              <w:left w:val="nil"/>
              <w:bottom w:val="single" w:sz="4" w:space="0" w:color="auto"/>
              <w:right w:val="single" w:sz="4" w:space="0" w:color="auto"/>
            </w:tcBorders>
          </w:tcPr>
          <w:p w14:paraId="704B7A14"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LA and FBG (r = - 0.487)</w:t>
            </w:r>
          </w:p>
          <w:p w14:paraId="1A9742DC"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DGLA and VLDL (r = - 0.332)</w:t>
            </w:r>
          </w:p>
          <w:p w14:paraId="37ECB37C"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EPA and BW (r = - 0.469)</w:t>
            </w:r>
          </w:p>
          <w:p w14:paraId="0EAE736B" w14:textId="77777777" w:rsidR="005409E2" w:rsidRPr="002B0E12" w:rsidRDefault="005409E2" w:rsidP="0048694B">
            <w:pPr>
              <w:spacing w:after="0"/>
              <w:rPr>
                <w:rFonts w:ascii="Arial" w:hAnsi="Arial" w:cs="Arial"/>
                <w:sz w:val="20"/>
                <w:szCs w:val="20"/>
                <w:lang w:val="en-IN"/>
              </w:rPr>
            </w:pPr>
            <w:r w:rsidRPr="002B0E12">
              <w:rPr>
                <w:rFonts w:ascii="Arial" w:hAnsi="Arial" w:cs="Arial"/>
                <w:sz w:val="20"/>
                <w:szCs w:val="20"/>
              </w:rPr>
              <w:t>EPA and WC (r = - 0.414)</w:t>
            </w:r>
          </w:p>
        </w:tc>
        <w:tc>
          <w:tcPr>
            <w:tcW w:w="8840" w:type="dxa"/>
            <w:tcBorders>
              <w:top w:val="single" w:sz="4" w:space="0" w:color="auto"/>
              <w:left w:val="single" w:sz="4" w:space="0" w:color="auto"/>
              <w:bottom w:val="single" w:sz="4" w:space="0" w:color="auto"/>
              <w:right w:val="nil"/>
            </w:tcBorders>
          </w:tcPr>
          <w:p w14:paraId="558E7B67" w14:textId="77777777" w:rsidR="005409E2" w:rsidRPr="002B0E12" w:rsidRDefault="005409E2" w:rsidP="0048694B">
            <w:pPr>
              <w:spacing w:after="0"/>
              <w:rPr>
                <w:rFonts w:ascii="Arial" w:hAnsi="Arial" w:cs="Arial"/>
                <w:sz w:val="20"/>
                <w:szCs w:val="20"/>
              </w:rPr>
            </w:pPr>
            <w:r w:rsidRPr="002B0E12">
              <w:rPr>
                <w:rFonts w:ascii="Arial" w:hAnsi="Arial" w:cs="Arial"/>
                <w:sz w:val="20"/>
                <w:szCs w:val="20"/>
              </w:rPr>
              <w:t>DGLA and HDL (r = - 0.386)</w:t>
            </w:r>
          </w:p>
          <w:p w14:paraId="56210CB6" w14:textId="77777777" w:rsidR="005409E2" w:rsidRPr="002B0E12" w:rsidRDefault="005409E2" w:rsidP="0048694B">
            <w:pPr>
              <w:spacing w:after="0"/>
              <w:rPr>
                <w:rFonts w:ascii="Arial" w:hAnsi="Arial" w:cs="Arial"/>
                <w:sz w:val="20"/>
                <w:szCs w:val="20"/>
                <w:lang w:val="en-IN"/>
              </w:rPr>
            </w:pPr>
            <w:r w:rsidRPr="002B0E12">
              <w:rPr>
                <w:rFonts w:ascii="Arial" w:hAnsi="Arial" w:cs="Arial"/>
                <w:sz w:val="20"/>
                <w:szCs w:val="20"/>
              </w:rPr>
              <w:t>ALA and CH:HDL (r = - 0.393)</w:t>
            </w:r>
          </w:p>
          <w:p w14:paraId="4CF18A58" w14:textId="77777777" w:rsidR="005409E2" w:rsidRPr="002B0E12" w:rsidRDefault="005409E2" w:rsidP="0048694B">
            <w:pPr>
              <w:spacing w:after="0"/>
              <w:jc w:val="center"/>
              <w:rPr>
                <w:rFonts w:ascii="Arial" w:hAnsi="Arial" w:cs="Arial"/>
                <w:sz w:val="20"/>
                <w:szCs w:val="20"/>
                <w:lang w:val="en-IN"/>
              </w:rPr>
            </w:pPr>
          </w:p>
          <w:p w14:paraId="69551ED8" w14:textId="77777777" w:rsidR="005409E2" w:rsidRPr="002B0E12" w:rsidRDefault="005409E2" w:rsidP="0048694B">
            <w:pPr>
              <w:spacing w:after="0"/>
              <w:jc w:val="center"/>
              <w:rPr>
                <w:rFonts w:ascii="Arial" w:hAnsi="Arial" w:cs="Arial"/>
                <w:sz w:val="20"/>
                <w:szCs w:val="20"/>
                <w:lang w:val="en-IN"/>
              </w:rPr>
            </w:pPr>
          </w:p>
        </w:tc>
      </w:tr>
    </w:tbl>
    <w:p w14:paraId="1FE73652" w14:textId="77777777" w:rsidR="005409E2" w:rsidRPr="002B0E12" w:rsidRDefault="005409E2" w:rsidP="005409E2">
      <w:pPr>
        <w:spacing w:after="0"/>
        <w:ind w:left="284"/>
        <w:jc w:val="both"/>
        <w:rPr>
          <w:rFonts w:ascii="Arial" w:hAnsi="Arial" w:cs="Arial"/>
        </w:rPr>
      </w:pPr>
      <w:r w:rsidRPr="002B0E12">
        <w:rPr>
          <w:rFonts w:ascii="Arial" w:hAnsi="Arial" w:cs="Arial"/>
        </w:rPr>
        <w:t xml:space="preserve">SBP: Systolic Blood Pressure; DBP: Diastolic Blood Pressure; BMI: Body Mass Index; WC: Waist Circumference; LA: Linoleic acid; FBG: Fasting Blood Glucose; DGLA: </w:t>
      </w:r>
      <w:proofErr w:type="spellStart"/>
      <w:r w:rsidRPr="002B0E12">
        <w:rPr>
          <w:rFonts w:ascii="Arial" w:hAnsi="Arial" w:cs="Arial"/>
        </w:rPr>
        <w:t>Dihomo</w:t>
      </w:r>
      <w:proofErr w:type="spellEnd"/>
      <w:r w:rsidRPr="002B0E12">
        <w:rPr>
          <w:rFonts w:ascii="Arial" w:hAnsi="Arial" w:cs="Arial"/>
        </w:rPr>
        <w:t xml:space="preserve">-gamma-linolenic acid; EPA: </w:t>
      </w:r>
      <w:proofErr w:type="spellStart"/>
      <w:r w:rsidRPr="002B0E12">
        <w:rPr>
          <w:rFonts w:ascii="Arial" w:hAnsi="Arial" w:cs="Arial"/>
        </w:rPr>
        <w:t>Eicosapentaenoic</w:t>
      </w:r>
      <w:proofErr w:type="spellEnd"/>
      <w:r w:rsidRPr="002B0E12">
        <w:rPr>
          <w:rFonts w:ascii="Arial" w:hAnsi="Arial" w:cs="Arial"/>
        </w:rPr>
        <w:t xml:space="preserve"> acid; ALA: Alpha linolenic acid; LDL-C: Low Density Lipoprotein- Cholesterol; HDL-C: High Density Lipoprotein – Cholesterol; PUFA: polyunsaturated fatty acids</w:t>
      </w:r>
    </w:p>
    <w:p w14:paraId="67C7C596" w14:textId="77777777" w:rsidR="005409E2" w:rsidRPr="002B0E12" w:rsidRDefault="005409E2" w:rsidP="004112D6">
      <w:pPr>
        <w:pStyle w:val="NormalWeb"/>
        <w:spacing w:before="0" w:beforeAutospacing="0" w:after="0" w:afterAutospacing="0" w:line="360" w:lineRule="auto"/>
        <w:ind w:firstLine="720"/>
        <w:jc w:val="both"/>
        <w:rPr>
          <w:rFonts w:ascii="Arial" w:hAnsi="Arial" w:cs="Arial"/>
          <w:sz w:val="22"/>
          <w:szCs w:val="22"/>
          <w:shd w:val="clear" w:color="auto" w:fill="FFFFFF"/>
        </w:rPr>
        <w:sectPr w:rsidR="005409E2" w:rsidRPr="002B0E12" w:rsidSect="002F40D7">
          <w:type w:val="continuous"/>
          <w:pgSz w:w="16838" w:h="11906" w:orient="landscape" w:code="9"/>
          <w:pgMar w:top="1440" w:right="1440" w:bottom="1440" w:left="1440" w:header="709" w:footer="709" w:gutter="0"/>
          <w:cols w:space="708"/>
          <w:docGrid w:linePitch="360"/>
        </w:sectPr>
      </w:pPr>
    </w:p>
    <w:p w14:paraId="10433EB2" w14:textId="583441A9" w:rsidR="00DA6A8F" w:rsidRPr="002B0E12" w:rsidRDefault="00DA6A8F" w:rsidP="005409E2">
      <w:pPr>
        <w:pStyle w:val="NormalWeb"/>
        <w:spacing w:before="0" w:beforeAutospacing="0" w:after="0" w:afterAutospacing="0" w:line="360" w:lineRule="auto"/>
        <w:jc w:val="both"/>
        <w:rPr>
          <w:rFonts w:ascii="Arial" w:hAnsi="Arial" w:cs="Arial"/>
          <w:vanish/>
          <w:sz w:val="22"/>
          <w:szCs w:val="22"/>
          <w:lang w:val="en-GB" w:eastAsia="en-GB"/>
        </w:rPr>
      </w:pPr>
      <w:r w:rsidRPr="002B0E12">
        <w:rPr>
          <w:rFonts w:ascii="Arial" w:hAnsi="Arial" w:cs="Arial"/>
          <w:sz w:val="22"/>
          <w:szCs w:val="22"/>
          <w:shd w:val="clear" w:color="auto" w:fill="FFFFFF"/>
        </w:rPr>
        <w:lastRenderedPageBreak/>
        <w:t>metabolism, body composition, and hormonal profiles</w:t>
      </w:r>
      <w:r w:rsidR="00072DAD" w:rsidRPr="002B0E12">
        <w:rPr>
          <w:rFonts w:ascii="Arial" w:hAnsi="Arial" w:cs="Arial"/>
          <w:sz w:val="22"/>
          <w:szCs w:val="22"/>
          <w:shd w:val="clear" w:color="auto" w:fill="FFFFFF"/>
        </w:rPr>
        <w:t xml:space="preserve"> (</w:t>
      </w:r>
      <w:proofErr w:type="spellStart"/>
      <w:r w:rsidR="001B075B" w:rsidRPr="002B0E12">
        <w:rPr>
          <w:rFonts w:ascii="Arial" w:hAnsi="Arial" w:cs="Arial"/>
          <w:sz w:val="22"/>
          <w:szCs w:val="22"/>
          <w:shd w:val="clear" w:color="auto" w:fill="FFFFFF"/>
        </w:rPr>
        <w:t>Ciarambino</w:t>
      </w:r>
      <w:proofErr w:type="spellEnd"/>
      <w:r w:rsidR="00072DAD" w:rsidRPr="002B0E12">
        <w:rPr>
          <w:rFonts w:ascii="Arial" w:hAnsi="Arial" w:cs="Arial"/>
          <w:sz w:val="22"/>
          <w:szCs w:val="22"/>
          <w:shd w:val="clear" w:color="auto" w:fill="FFFFFF"/>
        </w:rPr>
        <w:t xml:space="preserve"> et al., 202</w:t>
      </w:r>
      <w:r w:rsidR="001B075B" w:rsidRPr="002B0E12">
        <w:rPr>
          <w:rFonts w:ascii="Arial" w:hAnsi="Arial" w:cs="Arial"/>
          <w:sz w:val="22"/>
          <w:szCs w:val="22"/>
          <w:shd w:val="clear" w:color="auto" w:fill="FFFFFF"/>
        </w:rPr>
        <w:t>3</w:t>
      </w:r>
      <w:r w:rsidR="00072DAD" w:rsidRPr="002B0E12">
        <w:rPr>
          <w:rFonts w:ascii="Arial" w:hAnsi="Arial" w:cs="Arial"/>
          <w:sz w:val="22"/>
          <w:szCs w:val="22"/>
          <w:shd w:val="clear" w:color="auto" w:fill="FFFFFF"/>
        </w:rPr>
        <w:t>)</w:t>
      </w:r>
      <w:r w:rsidRPr="002B0E12">
        <w:rPr>
          <w:rFonts w:ascii="Arial" w:hAnsi="Arial" w:cs="Arial"/>
          <w:vanish/>
          <w:sz w:val="22"/>
          <w:szCs w:val="22"/>
          <w:lang w:val="en-GB" w:eastAsia="en-GB"/>
        </w:rPr>
        <w:t>Top of Form</w:t>
      </w:r>
    </w:p>
    <w:p w14:paraId="7EC8F6EC" w14:textId="63F69C27" w:rsidR="0000649E" w:rsidRPr="002B0E12" w:rsidRDefault="006414BD" w:rsidP="004112D6">
      <w:pPr>
        <w:pStyle w:val="NormalWeb"/>
        <w:spacing w:before="0" w:beforeAutospacing="0" w:after="0" w:afterAutospacing="0" w:line="360" w:lineRule="auto"/>
        <w:ind w:firstLine="720"/>
        <w:jc w:val="both"/>
        <w:rPr>
          <w:rFonts w:ascii="Arial" w:hAnsi="Arial" w:cs="Arial"/>
          <w:sz w:val="22"/>
          <w:szCs w:val="22"/>
        </w:rPr>
      </w:pPr>
      <w:r w:rsidRPr="002B0E12">
        <w:rPr>
          <w:rFonts w:ascii="Arial" w:hAnsi="Arial" w:cs="Arial"/>
          <w:sz w:val="22"/>
          <w:szCs w:val="22"/>
        </w:rPr>
        <w:t xml:space="preserve">. </w:t>
      </w:r>
      <w:r w:rsidR="00AC77FF" w:rsidRPr="002B0E12">
        <w:rPr>
          <w:rFonts w:ascii="Arial" w:hAnsi="Arial" w:cs="Arial"/>
          <w:sz w:val="22"/>
          <w:szCs w:val="22"/>
        </w:rPr>
        <w:t xml:space="preserve">Consistent with our study, </w:t>
      </w:r>
      <w:r w:rsidR="008E1AF7" w:rsidRPr="002B0E12">
        <w:rPr>
          <w:rFonts w:ascii="Arial" w:hAnsi="Arial" w:cs="Arial"/>
          <w:sz w:val="22"/>
          <w:szCs w:val="22"/>
        </w:rPr>
        <w:t xml:space="preserve">others have also shown that women with </w:t>
      </w:r>
      <w:proofErr w:type="spellStart"/>
      <w:r w:rsidR="008E1AF7" w:rsidRPr="002B0E12">
        <w:rPr>
          <w:rFonts w:ascii="Arial" w:hAnsi="Arial" w:cs="Arial"/>
          <w:sz w:val="22"/>
          <w:szCs w:val="22"/>
        </w:rPr>
        <w:t>MetS</w:t>
      </w:r>
      <w:proofErr w:type="spellEnd"/>
      <w:r w:rsidR="008E1AF7" w:rsidRPr="002B0E12">
        <w:rPr>
          <w:rFonts w:ascii="Arial" w:hAnsi="Arial" w:cs="Arial"/>
          <w:sz w:val="22"/>
          <w:szCs w:val="22"/>
        </w:rPr>
        <w:t xml:space="preserve"> are more likely to experience abdominal obesity and dyslipidemia, which increases their risk of cardiovascular disease, whereas men with the same diagnosis are more likely to experience diabetes mellitus and hypertension</w:t>
      </w:r>
      <w:r w:rsidR="00AB66E9" w:rsidRPr="002B0E12">
        <w:rPr>
          <w:rFonts w:ascii="Arial" w:hAnsi="Arial" w:cs="Arial"/>
          <w:sz w:val="22"/>
          <w:szCs w:val="22"/>
        </w:rPr>
        <w:t xml:space="preserve"> </w:t>
      </w:r>
      <w:r w:rsidR="008E1AF7" w:rsidRPr="002B0E12">
        <w:rPr>
          <w:rFonts w:ascii="Arial" w:hAnsi="Arial" w:cs="Arial"/>
          <w:sz w:val="22"/>
          <w:szCs w:val="22"/>
        </w:rPr>
        <w:t>(</w:t>
      </w:r>
      <w:r w:rsidR="00AC77FF" w:rsidRPr="002B0E12">
        <w:rPr>
          <w:rFonts w:ascii="Arial" w:hAnsi="Arial" w:cs="Arial"/>
          <w:sz w:val="22"/>
          <w:szCs w:val="22"/>
        </w:rPr>
        <w:t>Ford 2005</w:t>
      </w:r>
      <w:r w:rsidR="00080FA1" w:rsidRPr="002B0E12">
        <w:rPr>
          <w:rFonts w:ascii="Arial" w:hAnsi="Arial" w:cs="Arial"/>
          <w:sz w:val="22"/>
          <w:szCs w:val="22"/>
        </w:rPr>
        <w:t>)</w:t>
      </w:r>
      <w:r w:rsidR="008E1AF7" w:rsidRPr="002B0E12">
        <w:rPr>
          <w:rFonts w:ascii="Arial" w:hAnsi="Arial" w:cs="Arial"/>
          <w:sz w:val="22"/>
          <w:szCs w:val="22"/>
        </w:rPr>
        <w:t>.</w:t>
      </w:r>
      <w:r w:rsidR="00577B74" w:rsidRPr="002B0E12">
        <w:rPr>
          <w:rFonts w:ascii="Arial" w:hAnsi="Arial" w:cs="Arial"/>
          <w:sz w:val="22"/>
          <w:szCs w:val="22"/>
        </w:rPr>
        <w:t xml:space="preserve"> </w:t>
      </w:r>
    </w:p>
    <w:p w14:paraId="7EB5A7C7" w14:textId="2E934986" w:rsidR="00AC77FF" w:rsidRPr="002B0E12" w:rsidRDefault="00A54144" w:rsidP="004112D6">
      <w:pPr>
        <w:pStyle w:val="NormalWeb"/>
        <w:spacing w:before="0" w:beforeAutospacing="0" w:after="0" w:afterAutospacing="0" w:line="360" w:lineRule="auto"/>
        <w:jc w:val="both"/>
        <w:rPr>
          <w:rFonts w:ascii="Arial" w:hAnsi="Arial" w:cs="Arial"/>
          <w:sz w:val="22"/>
          <w:szCs w:val="22"/>
        </w:rPr>
      </w:pPr>
      <w:r w:rsidRPr="002B0E12">
        <w:rPr>
          <w:rFonts w:ascii="Arial" w:hAnsi="Arial" w:cs="Arial"/>
          <w:sz w:val="22"/>
          <w:szCs w:val="22"/>
        </w:rPr>
        <w:tab/>
      </w:r>
      <w:proofErr w:type="spellStart"/>
      <w:r w:rsidR="00A03B16" w:rsidRPr="002B0E12">
        <w:rPr>
          <w:rFonts w:ascii="Arial" w:hAnsi="Arial" w:cs="Arial"/>
          <w:sz w:val="22"/>
          <w:szCs w:val="22"/>
        </w:rPr>
        <w:t>MetS</w:t>
      </w:r>
      <w:proofErr w:type="spellEnd"/>
      <w:r w:rsidR="00A03B16" w:rsidRPr="002B0E12">
        <w:rPr>
          <w:rFonts w:ascii="Arial" w:hAnsi="Arial" w:cs="Arial"/>
          <w:sz w:val="22"/>
          <w:szCs w:val="22"/>
        </w:rPr>
        <w:t xml:space="preserve"> participants living in rural areas are largely ignorant about their hypertensive and hyperglycemic conditions. Our findings reveal </w:t>
      </w:r>
      <w:r w:rsidR="00E35524" w:rsidRPr="002B0E12">
        <w:rPr>
          <w:rFonts w:ascii="Arial" w:hAnsi="Arial" w:cs="Arial"/>
          <w:sz w:val="22"/>
          <w:szCs w:val="22"/>
        </w:rPr>
        <w:t xml:space="preserve">increased levels of triglycerides, LDL-C, and total cholesterol in the </w:t>
      </w:r>
      <w:r w:rsidR="00A03B16" w:rsidRPr="002B0E12">
        <w:rPr>
          <w:rFonts w:ascii="Arial" w:hAnsi="Arial" w:cs="Arial"/>
          <w:sz w:val="22"/>
          <w:szCs w:val="22"/>
        </w:rPr>
        <w:t xml:space="preserve">rural </w:t>
      </w:r>
      <w:proofErr w:type="spellStart"/>
      <w:r w:rsidR="00E35524" w:rsidRPr="002B0E12">
        <w:rPr>
          <w:rFonts w:ascii="Arial" w:hAnsi="Arial" w:cs="Arial"/>
          <w:sz w:val="22"/>
          <w:szCs w:val="22"/>
        </w:rPr>
        <w:t>MetS</w:t>
      </w:r>
      <w:proofErr w:type="spellEnd"/>
      <w:r w:rsidR="00E35524" w:rsidRPr="002B0E12">
        <w:rPr>
          <w:rFonts w:ascii="Arial" w:hAnsi="Arial" w:cs="Arial"/>
          <w:sz w:val="22"/>
          <w:szCs w:val="22"/>
        </w:rPr>
        <w:t xml:space="preserve"> population</w:t>
      </w:r>
      <w:r w:rsidR="00A03B16" w:rsidRPr="002B0E12">
        <w:rPr>
          <w:rFonts w:ascii="Arial" w:hAnsi="Arial" w:cs="Arial"/>
          <w:sz w:val="22"/>
          <w:szCs w:val="22"/>
        </w:rPr>
        <w:t>.</w:t>
      </w:r>
      <w:r w:rsidR="00E35524" w:rsidRPr="002B0E12">
        <w:rPr>
          <w:rFonts w:ascii="Arial" w:hAnsi="Arial" w:cs="Arial"/>
          <w:sz w:val="22"/>
          <w:szCs w:val="22"/>
        </w:rPr>
        <w:t xml:space="preserve"> </w:t>
      </w:r>
      <w:r w:rsidR="00481EB9" w:rsidRPr="002B0E12">
        <w:rPr>
          <w:rFonts w:ascii="Arial" w:hAnsi="Arial" w:cs="Arial"/>
          <w:sz w:val="22"/>
          <w:szCs w:val="22"/>
        </w:rPr>
        <w:t xml:space="preserve">Existing literature </w:t>
      </w:r>
      <w:r w:rsidR="008B113A" w:rsidRPr="002B0E12">
        <w:rPr>
          <w:rFonts w:ascii="Arial" w:hAnsi="Arial" w:cs="Arial"/>
          <w:sz w:val="22"/>
          <w:szCs w:val="22"/>
        </w:rPr>
        <w:t xml:space="preserve">also </w:t>
      </w:r>
      <w:r w:rsidR="00481EB9" w:rsidRPr="002B0E12">
        <w:rPr>
          <w:rFonts w:ascii="Arial" w:hAnsi="Arial" w:cs="Arial"/>
          <w:sz w:val="22"/>
          <w:szCs w:val="22"/>
        </w:rPr>
        <w:t xml:space="preserve">consistently confirms the positive correlation of these factors with central obesity, high BMI, hypertension, and elevated blood glucose levels in </w:t>
      </w:r>
      <w:proofErr w:type="spellStart"/>
      <w:r w:rsidR="00481EB9" w:rsidRPr="002B0E12">
        <w:rPr>
          <w:rFonts w:ascii="Arial" w:hAnsi="Arial" w:cs="Arial"/>
          <w:sz w:val="22"/>
          <w:szCs w:val="22"/>
        </w:rPr>
        <w:t>MetS</w:t>
      </w:r>
      <w:proofErr w:type="spellEnd"/>
      <w:r w:rsidR="00481EB9" w:rsidRPr="002B0E12">
        <w:rPr>
          <w:rFonts w:ascii="Arial" w:hAnsi="Arial" w:cs="Arial"/>
          <w:sz w:val="22"/>
          <w:szCs w:val="22"/>
        </w:rPr>
        <w:t xml:space="preserve"> patients (</w:t>
      </w:r>
      <w:proofErr w:type="spellStart"/>
      <w:r w:rsidR="00481EB9" w:rsidRPr="002B0E12">
        <w:rPr>
          <w:rFonts w:ascii="Arial" w:hAnsi="Arial" w:cs="Arial"/>
          <w:sz w:val="22"/>
          <w:szCs w:val="22"/>
        </w:rPr>
        <w:t>Deedwania</w:t>
      </w:r>
      <w:proofErr w:type="spellEnd"/>
      <w:r w:rsidR="00481EB9" w:rsidRPr="002B0E12">
        <w:rPr>
          <w:rFonts w:ascii="Arial" w:hAnsi="Arial" w:cs="Arial"/>
          <w:sz w:val="22"/>
          <w:szCs w:val="22"/>
        </w:rPr>
        <w:t xml:space="preserve"> et al., 2014; Krauss, 2004; Sawant et al., 2011).</w:t>
      </w:r>
      <w:r w:rsidR="00A03B16" w:rsidRPr="002B0E12">
        <w:rPr>
          <w:rFonts w:ascii="Arial" w:hAnsi="Arial" w:cs="Arial"/>
          <w:sz w:val="22"/>
          <w:szCs w:val="22"/>
        </w:rPr>
        <w:t xml:space="preserve"> Thus, there is an urgent need to educate the rural population about critical health parameters, particularly blood pressure, to prevent future occurrences of metabolic disorders. </w:t>
      </w:r>
    </w:p>
    <w:p w14:paraId="17337C5B" w14:textId="77777777" w:rsidR="00BD3EBF" w:rsidRPr="002B0E12" w:rsidRDefault="00BD3EBF"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t xml:space="preserve">The study highlights striking urban–rural differences in dietary patterns, especially with respect to n-3 PUFA intake and its relationship with </w:t>
      </w:r>
      <w:proofErr w:type="spellStart"/>
      <w:r w:rsidRPr="002B0E12">
        <w:rPr>
          <w:rFonts w:ascii="Arial" w:hAnsi="Arial" w:cs="Arial"/>
          <w:sz w:val="22"/>
          <w:szCs w:val="22"/>
        </w:rPr>
        <w:t>MetS</w:t>
      </w:r>
      <w:proofErr w:type="spellEnd"/>
      <w:r w:rsidRPr="002B0E12">
        <w:rPr>
          <w:rFonts w:ascii="Arial" w:hAnsi="Arial" w:cs="Arial"/>
          <w:sz w:val="22"/>
          <w:szCs w:val="22"/>
        </w:rPr>
        <w:t xml:space="preserve"> parameters. Although the population appears to maintain a </w:t>
      </w:r>
      <w:proofErr w:type="spellStart"/>
      <w:r w:rsidRPr="002B0E12">
        <w:rPr>
          <w:rFonts w:ascii="Arial" w:hAnsi="Arial" w:cs="Arial"/>
          <w:sz w:val="22"/>
          <w:szCs w:val="22"/>
        </w:rPr>
        <w:t>favourable</w:t>
      </w:r>
      <w:proofErr w:type="spellEnd"/>
      <w:r w:rsidRPr="002B0E12">
        <w:rPr>
          <w:rFonts w:ascii="Arial" w:hAnsi="Arial" w:cs="Arial"/>
          <w:sz w:val="22"/>
          <w:szCs w:val="22"/>
        </w:rPr>
        <w:t xml:space="preserve"> n-6/n-3 ratio, both n-6 and n-3 PUFA intakes remain well below WHO-recommended levels (LA: 17 g; ALA: 1.6 g), revealing a significant mismatch between dietary guidelines and actual consumption. Urban participants typically consume walnut- and mustard oil–based pickles but show low intake of flaxseed, an economical and rich source of ALA. In contrast, rural diets include more mustard oil, spinach, and fenugreek—foods naturally richer in n-3 fatty acids—reflecting traditional food practices and agricultural availability. These dietary contrasts underscore how cultural preferences, economic constraints (e.g., high cost of walnuts), and limited awareness of locally available n-3 rich foods such as flaxseed may hinder adequate PUFA consumption, potentially influencing metabolic health outcomes in both settings.</w:t>
      </w:r>
    </w:p>
    <w:p w14:paraId="5D408A6B" w14:textId="2A7AE025" w:rsidR="009619F5" w:rsidRPr="002B0E12" w:rsidRDefault="00265AAA"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t xml:space="preserve"> </w:t>
      </w:r>
      <w:r w:rsidR="009619F5" w:rsidRPr="002B0E12">
        <w:rPr>
          <w:rFonts w:ascii="Arial" w:hAnsi="Arial" w:cs="Arial"/>
          <w:sz w:val="22"/>
          <w:szCs w:val="22"/>
        </w:rPr>
        <w:t>Supporting evidence underscores that diets rich in cereals, fruits, and vegetables are linked to improved metabolic outcomes (</w:t>
      </w:r>
      <w:proofErr w:type="spellStart"/>
      <w:r w:rsidR="009619F5" w:rsidRPr="002B0E12">
        <w:rPr>
          <w:rFonts w:ascii="Arial" w:hAnsi="Arial" w:cs="Arial"/>
          <w:sz w:val="22"/>
          <w:szCs w:val="22"/>
        </w:rPr>
        <w:t>Weickert</w:t>
      </w:r>
      <w:proofErr w:type="spellEnd"/>
      <w:r w:rsidR="009619F5" w:rsidRPr="002B0E12">
        <w:rPr>
          <w:rFonts w:ascii="Arial" w:hAnsi="Arial" w:cs="Arial"/>
          <w:sz w:val="22"/>
          <w:szCs w:val="22"/>
        </w:rPr>
        <w:t xml:space="preserve"> et al., 2006; </w:t>
      </w:r>
      <w:proofErr w:type="spellStart"/>
      <w:r w:rsidR="001C0012" w:rsidRPr="002B0E12">
        <w:rPr>
          <w:rFonts w:ascii="Arial" w:hAnsi="Arial" w:cs="Arial"/>
          <w:sz w:val="22"/>
          <w:szCs w:val="22"/>
          <w:shd w:val="clear" w:color="auto" w:fill="FFFFFF"/>
        </w:rPr>
        <w:t>Gherasim</w:t>
      </w:r>
      <w:proofErr w:type="spellEnd"/>
      <w:r w:rsidR="001C0012" w:rsidRPr="002B0E12">
        <w:rPr>
          <w:rFonts w:ascii="Arial" w:hAnsi="Arial" w:cs="Arial"/>
          <w:sz w:val="22"/>
          <w:szCs w:val="22"/>
        </w:rPr>
        <w:t xml:space="preserve"> et al., 2020; </w:t>
      </w:r>
      <w:r w:rsidR="009619F5" w:rsidRPr="002B0E12">
        <w:rPr>
          <w:rFonts w:ascii="Arial" w:hAnsi="Arial" w:cs="Arial"/>
          <w:sz w:val="22"/>
          <w:szCs w:val="22"/>
        </w:rPr>
        <w:t>Grundy et al., 2005</w:t>
      </w:r>
      <w:r w:rsidR="001C0012" w:rsidRPr="002B0E12">
        <w:rPr>
          <w:rFonts w:ascii="Arial" w:hAnsi="Arial" w:cs="Arial"/>
          <w:sz w:val="22"/>
          <w:szCs w:val="22"/>
        </w:rPr>
        <w:t xml:space="preserve">; </w:t>
      </w:r>
      <w:proofErr w:type="spellStart"/>
      <w:r w:rsidR="001C0012" w:rsidRPr="002B0E12">
        <w:rPr>
          <w:rFonts w:ascii="Arial" w:hAnsi="Arial" w:cs="Arial"/>
          <w:sz w:val="22"/>
          <w:szCs w:val="22"/>
          <w:shd w:val="clear" w:color="auto" w:fill="FFFFFF"/>
        </w:rPr>
        <w:t>Jezewska-Zychowicz</w:t>
      </w:r>
      <w:proofErr w:type="spellEnd"/>
      <w:r w:rsidR="003C6246" w:rsidRPr="002B0E12">
        <w:rPr>
          <w:rFonts w:ascii="Arial" w:hAnsi="Arial" w:cs="Arial"/>
          <w:sz w:val="22"/>
          <w:szCs w:val="22"/>
          <w:shd w:val="clear" w:color="auto" w:fill="FFFFFF"/>
        </w:rPr>
        <w:t xml:space="preserve"> et al.,</w:t>
      </w:r>
      <w:r w:rsidR="001C0012" w:rsidRPr="002B0E12">
        <w:rPr>
          <w:rFonts w:ascii="Arial" w:hAnsi="Arial" w:cs="Arial"/>
          <w:sz w:val="22"/>
          <w:szCs w:val="22"/>
          <w:shd w:val="clear" w:color="auto" w:fill="FFFFFF"/>
        </w:rPr>
        <w:t xml:space="preserve"> 2019</w:t>
      </w:r>
      <w:r w:rsidR="009619F5" w:rsidRPr="002B0E12">
        <w:rPr>
          <w:rFonts w:ascii="Arial" w:hAnsi="Arial" w:cs="Arial"/>
          <w:sz w:val="22"/>
          <w:szCs w:val="22"/>
        </w:rPr>
        <w:t xml:space="preserve">). In the present study, urban participants with higher body weight and abdominal volume index also had greater energy and macronutrient intake. Notably, ALA showed a protective association with blood pressure regulation among urban individuals. Conversely, rural participants displayed a positive correlation between BMI and ALA intake, and between LDL-C and carbohydrate intake, indicating potentially adverse effects on lipid metabolism. Despite frequent consumption of green leafy vegetables in both groups, fatty acid profiles remained suboptimal, suggesting these foods alone may not offer sufficient protection against </w:t>
      </w:r>
      <w:proofErr w:type="spellStart"/>
      <w:r w:rsidR="009619F5" w:rsidRPr="002B0E12">
        <w:rPr>
          <w:rFonts w:ascii="Arial" w:hAnsi="Arial" w:cs="Arial"/>
          <w:sz w:val="22"/>
          <w:szCs w:val="22"/>
        </w:rPr>
        <w:t>MetS</w:t>
      </w:r>
      <w:proofErr w:type="spellEnd"/>
      <w:r w:rsidR="009619F5" w:rsidRPr="002B0E12">
        <w:rPr>
          <w:rFonts w:ascii="Arial" w:hAnsi="Arial" w:cs="Arial"/>
          <w:sz w:val="22"/>
          <w:szCs w:val="22"/>
        </w:rPr>
        <w:t>. These findings highlight the need for a more targeted dietary strategy incorporating affordable, n-3 PUFA-rich sources like flaxseeds and walnuts to improve metabolic health in diverse populations.</w:t>
      </w:r>
    </w:p>
    <w:p w14:paraId="31BD5213" w14:textId="20466AE8" w:rsidR="00DC1536" w:rsidRPr="002B0E12" w:rsidRDefault="008C3C9B" w:rsidP="004112D6">
      <w:pPr>
        <w:pStyle w:val="NormalWeb"/>
        <w:spacing w:before="0" w:beforeAutospacing="0" w:after="0" w:afterAutospacing="0" w:line="360" w:lineRule="auto"/>
        <w:ind w:firstLine="360"/>
        <w:jc w:val="both"/>
        <w:rPr>
          <w:rFonts w:ascii="Arial" w:hAnsi="Arial" w:cs="Arial"/>
          <w:sz w:val="22"/>
          <w:szCs w:val="22"/>
        </w:rPr>
      </w:pPr>
      <w:r w:rsidRPr="002B0E12">
        <w:rPr>
          <w:rFonts w:ascii="Arial" w:hAnsi="Arial" w:cs="Arial"/>
          <w:sz w:val="22"/>
          <w:szCs w:val="22"/>
        </w:rPr>
        <w:lastRenderedPageBreak/>
        <w:t xml:space="preserve">The disparity observed between dietary intake and </w:t>
      </w:r>
      <w:r w:rsidR="007378B0" w:rsidRPr="002B0E12">
        <w:rPr>
          <w:rFonts w:ascii="Arial" w:hAnsi="Arial" w:cs="Arial"/>
          <w:sz w:val="22"/>
          <w:szCs w:val="22"/>
        </w:rPr>
        <w:t>red blood cell l</w:t>
      </w:r>
      <w:r w:rsidRPr="002B0E12">
        <w:rPr>
          <w:rFonts w:ascii="Arial" w:hAnsi="Arial" w:cs="Arial"/>
          <w:sz w:val="22"/>
          <w:szCs w:val="22"/>
        </w:rPr>
        <w:t xml:space="preserve">evels of AA, EPA, DHA, and DPA suggests an imbalance in PUFA metabolism among </w:t>
      </w:r>
      <w:proofErr w:type="spellStart"/>
      <w:r w:rsidRPr="002B0E12">
        <w:rPr>
          <w:rFonts w:ascii="Arial" w:hAnsi="Arial" w:cs="Arial"/>
          <w:sz w:val="22"/>
          <w:szCs w:val="22"/>
        </w:rPr>
        <w:t>MetS</w:t>
      </w:r>
      <w:proofErr w:type="spellEnd"/>
      <w:r w:rsidRPr="002B0E12">
        <w:rPr>
          <w:rFonts w:ascii="Arial" w:hAnsi="Arial" w:cs="Arial"/>
          <w:sz w:val="22"/>
          <w:szCs w:val="22"/>
        </w:rPr>
        <w:t xml:space="preserve"> individuals. Despite a higher consumption of n-6 PUFA-rich oils like mustard oil and soybean oil (AA: 11.44%), the RBC levels of AA remained relatively low. Conversely, limited intake of n-3 PUFA-rich foods such as walnuts and flaxseeds (EPA: 0.05%, DHA: 0.10%, DPA: 0.15%) corresponded to lower levels of EPA, DHA, and DPA. This discrepancy emphasizes the importance of achieving a balanced dietary intake for optimal metabolic health. </w:t>
      </w:r>
      <w:r w:rsidR="007378B0" w:rsidRPr="002B0E12">
        <w:rPr>
          <w:rFonts w:ascii="Arial" w:hAnsi="Arial" w:cs="Arial"/>
          <w:sz w:val="22"/>
          <w:szCs w:val="22"/>
        </w:rPr>
        <w:t>A</w:t>
      </w:r>
      <w:r w:rsidRPr="002B0E12">
        <w:rPr>
          <w:rFonts w:ascii="Arial" w:hAnsi="Arial" w:cs="Arial"/>
          <w:sz w:val="22"/>
          <w:szCs w:val="22"/>
        </w:rPr>
        <w:t xml:space="preserve"> meta-analysis involving 36,542 individuals revealed a 26% reduction in </w:t>
      </w:r>
      <w:proofErr w:type="spellStart"/>
      <w:r w:rsidRPr="002B0E12">
        <w:rPr>
          <w:rFonts w:ascii="Arial" w:hAnsi="Arial" w:cs="Arial"/>
          <w:sz w:val="22"/>
          <w:szCs w:val="22"/>
        </w:rPr>
        <w:t>MetS</w:t>
      </w:r>
      <w:proofErr w:type="spellEnd"/>
      <w:r w:rsidRPr="002B0E12">
        <w:rPr>
          <w:rFonts w:ascii="Arial" w:hAnsi="Arial" w:cs="Arial"/>
          <w:sz w:val="22"/>
          <w:szCs w:val="22"/>
        </w:rPr>
        <w:t xml:space="preserve"> risk among Asians with higher </w:t>
      </w:r>
      <w:r w:rsidR="007378B0" w:rsidRPr="002B0E12">
        <w:rPr>
          <w:rFonts w:ascii="Arial" w:hAnsi="Arial" w:cs="Arial"/>
          <w:sz w:val="22"/>
          <w:szCs w:val="22"/>
        </w:rPr>
        <w:t>n</w:t>
      </w:r>
      <w:r w:rsidRPr="002B0E12">
        <w:rPr>
          <w:rFonts w:ascii="Arial" w:hAnsi="Arial" w:cs="Arial"/>
          <w:sz w:val="22"/>
          <w:szCs w:val="22"/>
        </w:rPr>
        <w:t>-3 PUFA levels. However, this protective association was not observed in the American/European population, indicating potential genetic influences (Jang and Park, 2020). These findings are supported by a multinational study across various countries, including the US, Canada, the UK, Ireland, Italy, Turkey, and India, which reported strikingly low levels of n-3 PUFA, particularly EPA and DHA (&lt;4% of total F</w:t>
      </w:r>
      <w:r w:rsidR="00AE14B8" w:rsidRPr="002B0E12">
        <w:rPr>
          <w:rFonts w:ascii="Arial" w:hAnsi="Arial" w:cs="Arial"/>
          <w:sz w:val="22"/>
          <w:szCs w:val="22"/>
        </w:rPr>
        <w:t>a</w:t>
      </w:r>
      <w:r w:rsidRPr="002B0E12">
        <w:rPr>
          <w:rFonts w:ascii="Arial" w:hAnsi="Arial" w:cs="Arial"/>
          <w:sz w:val="22"/>
          <w:szCs w:val="22"/>
        </w:rPr>
        <w:t>s in RBC equivalents). Additionally, LA levels ranged from 11 to 13%, AA from 14 to 17%, and ALA from 0.10 to 0.39%. Elevated ALA levels were associated with high consumption of ALA-rich linseed and canola oil (</w:t>
      </w:r>
      <w:proofErr w:type="spellStart"/>
      <w:r w:rsidRPr="002B0E12">
        <w:rPr>
          <w:rFonts w:ascii="Arial" w:hAnsi="Arial" w:cs="Arial"/>
          <w:sz w:val="22"/>
          <w:szCs w:val="22"/>
        </w:rPr>
        <w:t>Schuchardt</w:t>
      </w:r>
      <w:proofErr w:type="spellEnd"/>
      <w:r w:rsidRPr="002B0E12">
        <w:rPr>
          <w:rFonts w:ascii="Arial" w:hAnsi="Arial" w:cs="Arial"/>
          <w:sz w:val="22"/>
          <w:szCs w:val="22"/>
        </w:rPr>
        <w:t xml:space="preserve"> et al., 2022), underscoring the insufficient intake of </w:t>
      </w:r>
      <w:r w:rsidR="007378B0" w:rsidRPr="002B0E12">
        <w:rPr>
          <w:rFonts w:ascii="Arial" w:hAnsi="Arial" w:cs="Arial"/>
          <w:sz w:val="22"/>
          <w:szCs w:val="22"/>
        </w:rPr>
        <w:t>n</w:t>
      </w:r>
      <w:r w:rsidRPr="002B0E12">
        <w:rPr>
          <w:rFonts w:ascii="Arial" w:hAnsi="Arial" w:cs="Arial"/>
          <w:sz w:val="22"/>
          <w:szCs w:val="22"/>
        </w:rPr>
        <w:t xml:space="preserve">-3 </w:t>
      </w:r>
      <w:r w:rsidR="007378B0" w:rsidRPr="002B0E12">
        <w:rPr>
          <w:rFonts w:ascii="Arial" w:hAnsi="Arial" w:cs="Arial"/>
          <w:sz w:val="22"/>
          <w:szCs w:val="22"/>
        </w:rPr>
        <w:t>PUFA</w:t>
      </w:r>
      <w:r w:rsidRPr="002B0E12">
        <w:rPr>
          <w:rFonts w:ascii="Arial" w:hAnsi="Arial" w:cs="Arial"/>
          <w:sz w:val="22"/>
          <w:szCs w:val="22"/>
        </w:rPr>
        <w:t xml:space="preserve">, particularly ALA, among individuals with </w:t>
      </w:r>
      <w:proofErr w:type="spellStart"/>
      <w:r w:rsidRPr="002B0E12">
        <w:rPr>
          <w:rFonts w:ascii="Arial" w:hAnsi="Arial" w:cs="Arial"/>
          <w:sz w:val="22"/>
          <w:szCs w:val="22"/>
        </w:rPr>
        <w:t>MetS</w:t>
      </w:r>
      <w:proofErr w:type="spellEnd"/>
      <w:r w:rsidRPr="002B0E12">
        <w:rPr>
          <w:rFonts w:ascii="Arial" w:hAnsi="Arial" w:cs="Arial"/>
          <w:sz w:val="22"/>
          <w:szCs w:val="22"/>
        </w:rPr>
        <w:t xml:space="preserve">. These findings, combined with our study results, highlight the global concern of inadequate </w:t>
      </w:r>
      <w:r w:rsidR="007378B0" w:rsidRPr="002B0E12">
        <w:rPr>
          <w:rFonts w:ascii="Arial" w:hAnsi="Arial" w:cs="Arial"/>
          <w:sz w:val="22"/>
          <w:szCs w:val="22"/>
        </w:rPr>
        <w:t>n</w:t>
      </w:r>
      <w:r w:rsidRPr="002B0E12">
        <w:rPr>
          <w:rFonts w:ascii="Arial" w:hAnsi="Arial" w:cs="Arial"/>
          <w:sz w:val="22"/>
          <w:szCs w:val="22"/>
        </w:rPr>
        <w:t xml:space="preserve">-3 </w:t>
      </w:r>
      <w:r w:rsidR="007378B0" w:rsidRPr="002B0E12">
        <w:rPr>
          <w:rFonts w:ascii="Arial" w:hAnsi="Arial" w:cs="Arial"/>
          <w:sz w:val="22"/>
          <w:szCs w:val="22"/>
        </w:rPr>
        <w:t>PUFA</w:t>
      </w:r>
      <w:r w:rsidRPr="002B0E12">
        <w:rPr>
          <w:rFonts w:ascii="Arial" w:hAnsi="Arial" w:cs="Arial"/>
          <w:sz w:val="22"/>
          <w:szCs w:val="22"/>
        </w:rPr>
        <w:t xml:space="preserve"> intake among </w:t>
      </w:r>
      <w:proofErr w:type="spellStart"/>
      <w:r w:rsidRPr="002B0E12">
        <w:rPr>
          <w:rFonts w:ascii="Arial" w:hAnsi="Arial" w:cs="Arial"/>
          <w:sz w:val="22"/>
          <w:szCs w:val="22"/>
        </w:rPr>
        <w:t>MetS</w:t>
      </w:r>
      <w:proofErr w:type="spellEnd"/>
      <w:r w:rsidRPr="002B0E12">
        <w:rPr>
          <w:rFonts w:ascii="Arial" w:hAnsi="Arial" w:cs="Arial"/>
          <w:sz w:val="22"/>
          <w:szCs w:val="22"/>
        </w:rPr>
        <w:t xml:space="preserve"> individuals and emphasize the need for targeted interventions to address dietary imbalances and enhance metabolic health.</w:t>
      </w:r>
    </w:p>
    <w:p w14:paraId="6F8BAE8D" w14:textId="0379A267" w:rsidR="0055729A" w:rsidRPr="002B0E12" w:rsidRDefault="0055729A" w:rsidP="004112D6">
      <w:pPr>
        <w:widowControl w:val="0"/>
        <w:spacing w:after="0" w:line="360" w:lineRule="auto"/>
        <w:ind w:right="-58" w:firstLine="720"/>
        <w:jc w:val="both"/>
        <w:rPr>
          <w:rFonts w:ascii="Arial" w:hAnsi="Arial" w:cs="Arial"/>
        </w:rPr>
      </w:pPr>
      <w:r w:rsidRPr="002B0E12">
        <w:rPr>
          <w:rFonts w:ascii="Arial" w:hAnsi="Arial" w:cs="Arial"/>
        </w:rPr>
        <w:t xml:space="preserve">Our study underscores significant urban–rural disparities in dietary patterns and fatty acid metabolism among individuals with </w:t>
      </w:r>
      <w:proofErr w:type="spellStart"/>
      <w:r w:rsidRPr="002B0E12">
        <w:rPr>
          <w:rFonts w:ascii="Arial" w:hAnsi="Arial" w:cs="Arial"/>
        </w:rPr>
        <w:t>MetS</w:t>
      </w:r>
      <w:proofErr w:type="spellEnd"/>
      <w:r w:rsidRPr="002B0E12">
        <w:rPr>
          <w:rFonts w:ascii="Arial" w:hAnsi="Arial" w:cs="Arial"/>
        </w:rPr>
        <w:t xml:space="preserve">. While urban participants had access to a relatively wider variety of n-3 PUFA-rich foods, including walnuts and mustard oil-based preparations, actual intake remained suboptimal across both groups. These findings are consistent with earlier research by Smith et al. (2023) and Johnson et al. (2022), which reported regional differences in n-3 PUFA intake and associated desaturase activities in Western populations. Rural participants, with notably lower arachidonic acid intake, may experience limited substrate availability for delta-5 and delta-6 desaturase enzymes, possibly impairing endogenous PUFA synthesis. </w:t>
      </w:r>
      <w:proofErr w:type="spellStart"/>
      <w:r w:rsidRPr="002B0E12">
        <w:rPr>
          <w:rFonts w:ascii="Arial" w:hAnsi="Arial" w:cs="Arial"/>
        </w:rPr>
        <w:t>Schuchardt</w:t>
      </w:r>
      <w:proofErr w:type="spellEnd"/>
      <w:r w:rsidRPr="002B0E12">
        <w:rPr>
          <w:rFonts w:ascii="Arial" w:hAnsi="Arial" w:cs="Arial"/>
        </w:rPr>
        <w:t xml:space="preserve"> et al. (2022), in a multicentric analysis of red blood cell fatty acid profiles across seven countries, reported considerable inter-country variability in Omega-3 Index values, reflecting differences in long-term omega-3 status. Notably, populations in Japan and Italy exhibited significantly higher Omega-3 Index levels, suggestive of enhanced cardiovascular protection, whereas lower values were observed in several Western populations with reduced dietary intake of n-3 fatty acids. In comparison, the low intake of both marine- and plant-based omega-3 sources observed in the present study cohort appears to parallel the fatty acid profiles of these low-index populations. This dietary insufficiency may contribute to an elevated cardiometabolic risk profile among the studied </w:t>
      </w:r>
      <w:r w:rsidRPr="002B0E12">
        <w:rPr>
          <w:rFonts w:ascii="Arial" w:hAnsi="Arial" w:cs="Arial"/>
        </w:rPr>
        <w:lastRenderedPageBreak/>
        <w:t>participants. These findings underscore the importance of implementing context-specific nutritional strategies aimed at increasing n-3 PUFA intake to improve fatty acid status and associated metabolic health outcomes.</w:t>
      </w:r>
    </w:p>
    <w:p w14:paraId="57F5A5D7" w14:textId="2467EE57" w:rsidR="00F82C7E" w:rsidRPr="002B0E12" w:rsidRDefault="00F82C7E" w:rsidP="00DE1D99">
      <w:pPr>
        <w:pStyle w:val="ListParagraph"/>
        <w:widowControl w:val="0"/>
        <w:numPr>
          <w:ilvl w:val="0"/>
          <w:numId w:val="7"/>
        </w:numPr>
        <w:spacing w:after="0" w:line="360" w:lineRule="auto"/>
        <w:ind w:left="426" w:right="-58" w:hanging="426"/>
        <w:jc w:val="both"/>
        <w:rPr>
          <w:rFonts w:ascii="Arial" w:hAnsi="Arial" w:cs="Arial"/>
          <w:b/>
        </w:rPr>
      </w:pPr>
      <w:r w:rsidRPr="002B0E12">
        <w:rPr>
          <w:rFonts w:ascii="Arial" w:hAnsi="Arial" w:cs="Arial"/>
          <w:b/>
        </w:rPr>
        <w:t>CONCLUSION</w:t>
      </w:r>
    </w:p>
    <w:p w14:paraId="222E0EA2" w14:textId="77777777" w:rsidR="0052239C" w:rsidRPr="002B0E12" w:rsidRDefault="0052239C" w:rsidP="0052239C">
      <w:pPr>
        <w:spacing w:after="0" w:line="360" w:lineRule="auto"/>
        <w:ind w:firstLine="426"/>
        <w:jc w:val="both"/>
        <w:rPr>
          <w:rFonts w:ascii="Arial" w:eastAsia="Times New Roman" w:hAnsi="Arial" w:cs="Arial"/>
          <w:lang w:val="en-GB" w:eastAsia="en-GB"/>
        </w:rPr>
      </w:pPr>
      <w:r w:rsidRPr="002B0E12">
        <w:rPr>
          <w:rFonts w:ascii="Arial" w:eastAsia="Times New Roman" w:hAnsi="Arial" w:cs="Arial"/>
          <w:lang w:val="en-GB" w:eastAsia="en-GB"/>
        </w:rPr>
        <w:t>The study shows that the blood PUFA profile of Punjabi men and women with metabolic syndrome is not satisfactory. Urban participants had higher levels of DPA, EPA, and DHA, while rural participants showe</w:t>
      </w:r>
      <w:bookmarkStart w:id="1" w:name="_GoBack"/>
      <w:bookmarkEnd w:id="1"/>
      <w:r w:rsidRPr="002B0E12">
        <w:rPr>
          <w:rFonts w:ascii="Arial" w:eastAsia="Times New Roman" w:hAnsi="Arial" w:cs="Arial"/>
          <w:lang w:val="en-GB" w:eastAsia="en-GB"/>
        </w:rPr>
        <w:t>d higher levels of ALA in red blood cells. Overall, the intake of PUFAs—especially n-3 fatty acids—was found to be inadequate in this population.</w:t>
      </w:r>
    </w:p>
    <w:p w14:paraId="5BF424A2" w14:textId="77777777" w:rsidR="0052239C" w:rsidRPr="002B0E12" w:rsidRDefault="0052239C" w:rsidP="00F93795">
      <w:pPr>
        <w:spacing w:after="0" w:line="360" w:lineRule="auto"/>
        <w:ind w:firstLine="426"/>
        <w:jc w:val="both"/>
        <w:rPr>
          <w:rFonts w:ascii="Arial" w:eastAsia="Times New Roman" w:hAnsi="Arial" w:cs="Arial"/>
          <w:lang w:val="en-GB" w:eastAsia="en-GB"/>
        </w:rPr>
      </w:pPr>
      <w:r w:rsidRPr="002B0E12">
        <w:rPr>
          <w:rFonts w:ascii="Arial" w:eastAsia="Times New Roman" w:hAnsi="Arial" w:cs="Arial"/>
          <w:lang w:val="en-GB" w:eastAsia="en-GB"/>
        </w:rPr>
        <w:t>These findings highlight the urgent need to increase awareness about the importance of n-3 fatty acids and to promote locally available, culturally acceptable food sources. Early detection of metabolic abnormalities and timely intervention are essential. Therefore, community-based health programs should focus on improving diet and lifestyle practices, with special attention to rural populations and women with limited education.</w:t>
      </w:r>
    </w:p>
    <w:p w14:paraId="6F410B74" w14:textId="758710FE" w:rsidR="0053187E" w:rsidRPr="002B0E12" w:rsidRDefault="0053187E" w:rsidP="004112D6">
      <w:pPr>
        <w:spacing w:after="0" w:line="360" w:lineRule="auto"/>
        <w:rPr>
          <w:rFonts w:ascii="Arial" w:hAnsi="Arial" w:cs="Arial"/>
          <w:b/>
          <w:bCs/>
        </w:rPr>
      </w:pPr>
    </w:p>
    <w:p w14:paraId="5CCD31B4" w14:textId="29D6AFDD" w:rsidR="003127AD" w:rsidRPr="002B0E12" w:rsidRDefault="00835E63" w:rsidP="003127AD">
      <w:pPr>
        <w:rPr>
          <w:rFonts w:ascii="Arial" w:hAnsi="Arial" w:cs="Arial"/>
          <w:b/>
        </w:rPr>
      </w:pPr>
      <w:r w:rsidRPr="002B0E12">
        <w:rPr>
          <w:rFonts w:ascii="Arial" w:hAnsi="Arial" w:cs="Arial"/>
          <w:b/>
        </w:rPr>
        <w:t>DECLARATIONS</w:t>
      </w:r>
    </w:p>
    <w:p w14:paraId="2E2F2F9E" w14:textId="77777777" w:rsidR="003127AD" w:rsidRPr="002B0E12" w:rsidRDefault="003127AD" w:rsidP="00195184">
      <w:pPr>
        <w:autoSpaceDE w:val="0"/>
        <w:autoSpaceDN w:val="0"/>
        <w:adjustRightInd w:val="0"/>
        <w:spacing w:after="0"/>
        <w:jc w:val="both"/>
        <w:rPr>
          <w:rFonts w:ascii="Arial" w:hAnsi="Arial" w:cs="Arial"/>
        </w:rPr>
      </w:pPr>
    </w:p>
    <w:p w14:paraId="3D75961F" w14:textId="6E80410A" w:rsidR="003127AD" w:rsidRPr="002B0E12" w:rsidRDefault="003127AD" w:rsidP="0015682B">
      <w:pPr>
        <w:pStyle w:val="ReferHead"/>
        <w:spacing w:after="0"/>
        <w:jc w:val="both"/>
        <w:rPr>
          <w:rFonts w:ascii="Arial" w:hAnsi="Arial" w:cs="Arial"/>
          <w:b w:val="0"/>
          <w:szCs w:val="22"/>
        </w:rPr>
      </w:pPr>
      <w:r w:rsidRPr="002B0E12">
        <w:rPr>
          <w:rFonts w:ascii="Arial" w:hAnsi="Arial" w:cs="Arial"/>
          <w:szCs w:val="22"/>
        </w:rPr>
        <w:t>(</w:t>
      </w:r>
      <w:r w:rsidR="0048694B">
        <w:rPr>
          <w:rFonts w:ascii="Arial" w:hAnsi="Arial" w:cs="Arial"/>
          <w:caps w:val="0"/>
          <w:szCs w:val="22"/>
        </w:rPr>
        <w:t>A</w:t>
      </w:r>
      <w:r w:rsidRPr="002B0E12">
        <w:rPr>
          <w:rFonts w:ascii="Arial" w:hAnsi="Arial" w:cs="Arial"/>
          <w:szCs w:val="22"/>
        </w:rPr>
        <w:t xml:space="preserve">)  </w:t>
      </w:r>
      <w:r w:rsidR="0015682B" w:rsidRPr="002B0E12">
        <w:rPr>
          <w:rFonts w:ascii="Arial" w:hAnsi="Arial" w:cs="Arial"/>
          <w:bCs/>
        </w:rPr>
        <w:t xml:space="preserve">Competing interests: </w:t>
      </w:r>
      <w:r w:rsidR="00D62C5D" w:rsidRPr="002B0E12">
        <w:rPr>
          <w:rFonts w:ascii="Arial" w:hAnsi="Arial" w:cs="Arial"/>
          <w:b w:val="0"/>
          <w:szCs w:val="22"/>
        </w:rPr>
        <w:t xml:space="preserve"> </w:t>
      </w:r>
      <w:r w:rsidR="0015682B" w:rsidRPr="002B0E12">
        <w:rPr>
          <w:rFonts w:ascii="Arial" w:hAnsi="Arial" w:cs="Arial"/>
          <w:b w:val="0"/>
          <w:caps w:val="0"/>
          <w:szCs w:val="22"/>
        </w:rPr>
        <w:t>Authors declare no conflict of interest.</w:t>
      </w:r>
    </w:p>
    <w:p w14:paraId="630CF049" w14:textId="5A529469" w:rsidR="003127AD" w:rsidRDefault="003127AD" w:rsidP="003127AD">
      <w:pPr>
        <w:autoSpaceDE w:val="0"/>
        <w:autoSpaceDN w:val="0"/>
        <w:adjustRightInd w:val="0"/>
        <w:spacing w:after="0"/>
        <w:rPr>
          <w:rFonts w:ascii="Arial" w:hAnsi="Arial" w:cs="Arial"/>
        </w:rPr>
      </w:pPr>
    </w:p>
    <w:p w14:paraId="2D146D17" w14:textId="03A9E93F" w:rsidR="00217479" w:rsidRDefault="00217479" w:rsidP="003127AD">
      <w:pPr>
        <w:autoSpaceDE w:val="0"/>
        <w:autoSpaceDN w:val="0"/>
        <w:adjustRightInd w:val="0"/>
        <w:spacing w:after="0"/>
        <w:rPr>
          <w:rFonts w:ascii="Arial" w:hAnsi="Arial" w:cs="Arial"/>
        </w:rPr>
      </w:pPr>
    </w:p>
    <w:p w14:paraId="0E05BEC2" w14:textId="77777777" w:rsidR="00217479" w:rsidRPr="00217479" w:rsidRDefault="00217479" w:rsidP="00217479">
      <w:pPr>
        <w:autoSpaceDE w:val="0"/>
        <w:autoSpaceDN w:val="0"/>
        <w:adjustRightInd w:val="0"/>
        <w:spacing w:after="0"/>
        <w:rPr>
          <w:rFonts w:ascii="Arial" w:hAnsi="Arial" w:cs="Arial"/>
        </w:rPr>
      </w:pPr>
      <w:r w:rsidRPr="00217479">
        <w:rPr>
          <w:rFonts w:ascii="Arial" w:hAnsi="Arial" w:cs="Arial"/>
        </w:rPr>
        <w:t xml:space="preserve">Consent </w:t>
      </w:r>
    </w:p>
    <w:p w14:paraId="2865B9DB" w14:textId="2C8CB686" w:rsidR="00217479" w:rsidRDefault="00217479" w:rsidP="00217479">
      <w:pPr>
        <w:autoSpaceDE w:val="0"/>
        <w:autoSpaceDN w:val="0"/>
        <w:adjustRightInd w:val="0"/>
        <w:spacing w:after="0"/>
        <w:rPr>
          <w:rFonts w:ascii="Arial" w:hAnsi="Arial" w:cs="Arial"/>
        </w:rPr>
      </w:pPr>
      <w:r w:rsidRPr="00217479">
        <w:rPr>
          <w:rFonts w:ascii="Arial" w:hAnsi="Arial" w:cs="Arial"/>
        </w:rPr>
        <w:t>As per international standards or university standards, Participants’ written consent has been collected and preserved by the author(s).</w:t>
      </w:r>
    </w:p>
    <w:p w14:paraId="2D42FD62" w14:textId="77777777" w:rsidR="00217479" w:rsidRPr="002B0E12" w:rsidRDefault="00217479" w:rsidP="00217479">
      <w:pPr>
        <w:autoSpaceDE w:val="0"/>
        <w:autoSpaceDN w:val="0"/>
        <w:adjustRightInd w:val="0"/>
        <w:spacing w:after="0"/>
        <w:rPr>
          <w:rFonts w:ascii="Arial" w:hAnsi="Arial" w:cs="Arial"/>
        </w:rPr>
      </w:pPr>
    </w:p>
    <w:p w14:paraId="1E2C015B" w14:textId="08A787BC" w:rsidR="003127AD" w:rsidRDefault="003127AD" w:rsidP="0015682B">
      <w:pPr>
        <w:spacing w:after="0"/>
        <w:ind w:left="142" w:hanging="180"/>
        <w:rPr>
          <w:rFonts w:ascii="Arial" w:eastAsia="Times New Roman" w:hAnsi="Arial" w:cs="Arial"/>
          <w:bCs/>
        </w:rPr>
      </w:pPr>
      <w:r w:rsidRPr="002B0E12">
        <w:rPr>
          <w:rFonts w:ascii="Arial" w:hAnsi="Arial" w:cs="Arial"/>
          <w:b/>
        </w:rPr>
        <w:t xml:space="preserve"> </w:t>
      </w:r>
      <w:r w:rsidRPr="002B0E12">
        <w:rPr>
          <w:rFonts w:ascii="Arial" w:hAnsi="Arial" w:cs="Arial"/>
          <w:b/>
          <w:bCs/>
        </w:rPr>
        <w:t>(</w:t>
      </w:r>
      <w:r w:rsidR="0048694B">
        <w:rPr>
          <w:rFonts w:ascii="Arial" w:hAnsi="Arial" w:cs="Arial"/>
          <w:b/>
          <w:bCs/>
        </w:rPr>
        <w:t>B</w:t>
      </w:r>
      <w:r w:rsidRPr="002B0E12">
        <w:rPr>
          <w:rFonts w:ascii="Arial" w:hAnsi="Arial" w:cs="Arial"/>
          <w:b/>
          <w:bCs/>
        </w:rPr>
        <w:t>)</w:t>
      </w:r>
      <w:r w:rsidR="0015682B" w:rsidRPr="002B0E12">
        <w:rPr>
          <w:rFonts w:ascii="Arial" w:hAnsi="Arial" w:cs="Arial"/>
          <w:b/>
          <w:bCs/>
        </w:rPr>
        <w:t xml:space="preserve"> ETHICAL </w:t>
      </w:r>
      <w:r w:rsidR="009909DF" w:rsidRPr="002B0E12">
        <w:rPr>
          <w:rFonts w:ascii="Arial" w:hAnsi="Arial" w:cs="Arial"/>
          <w:b/>
          <w:bCs/>
        </w:rPr>
        <w:t>APPROVAL</w:t>
      </w:r>
      <w:r w:rsidR="0015682B" w:rsidRPr="002B0E12">
        <w:rPr>
          <w:rFonts w:ascii="Arial" w:hAnsi="Arial" w:cs="Arial"/>
          <w:b/>
          <w:bCs/>
        </w:rPr>
        <w:t>:</w:t>
      </w:r>
      <w:r w:rsidR="0015682B" w:rsidRPr="002B0E12">
        <w:rPr>
          <w:rFonts w:ascii="Arial" w:hAnsi="Arial" w:cs="Arial"/>
        </w:rPr>
        <w:t xml:space="preserve"> </w:t>
      </w:r>
      <w:r w:rsidR="00874AEC" w:rsidRPr="002B0E12">
        <w:rPr>
          <w:rFonts w:ascii="Arial" w:eastAsia="Times New Roman" w:hAnsi="Arial" w:cs="Arial"/>
          <w:bCs/>
        </w:rPr>
        <w:t>The permission to conduct the human trial was obtained from the Human Ethical Committee, Punjab Agricultural University, India (Ref. No. DRIII.AU.2021/10782-98, dated: 16.9.2021</w:t>
      </w:r>
    </w:p>
    <w:p w14:paraId="0050E2E9" w14:textId="77777777" w:rsidR="00917666" w:rsidRPr="002B0E12" w:rsidRDefault="00917666" w:rsidP="00917666">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2" w:name="_Hlk218867759"/>
      <w:bookmarkStart w:id="3" w:name="_Hlk219125673"/>
      <w:r w:rsidRPr="002B0E12">
        <w:rPr>
          <w:rFonts w:ascii="Times New Roman" w:eastAsia="Times New Roman" w:hAnsi="Times New Roman"/>
          <w:bCs/>
          <w:sz w:val="24"/>
          <w:szCs w:val="24"/>
          <w:highlight w:val="yellow"/>
          <w:lang w:val="en-GB" w:eastAsia="en-IN"/>
        </w:rPr>
        <w:t>Disclaimer (Artificial intelligence)</w:t>
      </w:r>
    </w:p>
    <w:p w14:paraId="3A1DA59D" w14:textId="77777777" w:rsidR="00917666" w:rsidRPr="002B0E12" w:rsidRDefault="00917666" w:rsidP="00917666">
      <w:pPr>
        <w:keepNext/>
        <w:keepLines/>
        <w:spacing w:before="120" w:after="120" w:line="360" w:lineRule="auto"/>
        <w:jc w:val="both"/>
        <w:outlineLvl w:val="1"/>
        <w:rPr>
          <w:rFonts w:ascii="Times New Roman" w:eastAsia="Times New Roman" w:hAnsi="Times New Roman"/>
          <w:bCs/>
          <w:sz w:val="24"/>
          <w:szCs w:val="24"/>
          <w:lang w:val="en-GB" w:eastAsia="en-IN"/>
        </w:rPr>
      </w:pPr>
      <w:r w:rsidRPr="002B0E12">
        <w:rPr>
          <w:rFonts w:ascii="Times New Roman" w:eastAsia="Times New Roman" w:hAnsi="Times New Roman"/>
          <w:bCs/>
          <w:sz w:val="24"/>
          <w:szCs w:val="24"/>
          <w:highlight w:val="yellow"/>
          <w:lang w:val="en-GB" w:eastAsia="en-IN"/>
        </w:rPr>
        <w:t>Author(s) hereby declare that NO generative AI technologies such as Large Language Models (</w:t>
      </w:r>
      <w:proofErr w:type="spellStart"/>
      <w:r w:rsidRPr="002B0E12">
        <w:rPr>
          <w:rFonts w:ascii="Times New Roman" w:eastAsia="Times New Roman" w:hAnsi="Times New Roman"/>
          <w:bCs/>
          <w:sz w:val="24"/>
          <w:szCs w:val="24"/>
          <w:highlight w:val="yellow"/>
          <w:lang w:val="en-GB" w:eastAsia="en-IN"/>
        </w:rPr>
        <w:t>ChatGPT</w:t>
      </w:r>
      <w:proofErr w:type="spellEnd"/>
      <w:r w:rsidRPr="002B0E12">
        <w:rPr>
          <w:rFonts w:ascii="Times New Roman" w:eastAsia="Times New Roman" w:hAnsi="Times New Roman"/>
          <w:bCs/>
          <w:sz w:val="24"/>
          <w:szCs w:val="24"/>
          <w:highlight w:val="yellow"/>
          <w:lang w:val="en-GB" w:eastAsia="en-IN"/>
        </w:rPr>
        <w:t>, COPILOT, etc.) and text-to-image generators have been used during the writing or editing of this manuscript.</w:t>
      </w:r>
      <w:r w:rsidRPr="002B0E12">
        <w:rPr>
          <w:rFonts w:ascii="Times New Roman" w:eastAsia="Times New Roman" w:hAnsi="Times New Roman"/>
          <w:bCs/>
          <w:sz w:val="24"/>
          <w:szCs w:val="24"/>
          <w:lang w:val="en-GB" w:eastAsia="en-IN"/>
        </w:rPr>
        <w:t xml:space="preserve"> </w:t>
      </w:r>
    </w:p>
    <w:bookmarkEnd w:id="2"/>
    <w:p w14:paraId="1E674EE2" w14:textId="77777777" w:rsidR="00917666" w:rsidRPr="002B0E12" w:rsidRDefault="00917666" w:rsidP="00917666">
      <w:pPr>
        <w:rPr>
          <w:sz w:val="28"/>
          <w:lang w:val="en-GB"/>
        </w:rPr>
      </w:pPr>
    </w:p>
    <w:bookmarkEnd w:id="3"/>
    <w:p w14:paraId="77D22AA0" w14:textId="77777777" w:rsidR="00917666" w:rsidRPr="002B0E12" w:rsidRDefault="00917666" w:rsidP="0015682B">
      <w:pPr>
        <w:spacing w:after="0"/>
        <w:ind w:left="142" w:hanging="180"/>
        <w:rPr>
          <w:rFonts w:ascii="Arial" w:hAnsi="Arial" w:cs="Arial"/>
        </w:rPr>
      </w:pPr>
    </w:p>
    <w:p w14:paraId="3465FE2E" w14:textId="77777777" w:rsidR="00835E63" w:rsidRPr="002B0E12" w:rsidRDefault="00835E63" w:rsidP="00835E63">
      <w:pPr>
        <w:tabs>
          <w:tab w:val="left" w:pos="360"/>
        </w:tabs>
        <w:spacing w:after="0" w:line="360" w:lineRule="auto"/>
        <w:jc w:val="both"/>
        <w:rPr>
          <w:rFonts w:ascii="Arial" w:hAnsi="Arial" w:cs="Arial"/>
          <w:b/>
          <w:bCs/>
        </w:rPr>
      </w:pPr>
    </w:p>
    <w:p w14:paraId="74B74313" w14:textId="77777777" w:rsidR="00835E63" w:rsidRPr="002B0E12" w:rsidRDefault="00835E63" w:rsidP="00835E63">
      <w:pPr>
        <w:tabs>
          <w:tab w:val="left" w:pos="360"/>
        </w:tabs>
        <w:spacing w:after="0" w:line="360" w:lineRule="auto"/>
        <w:jc w:val="both"/>
        <w:rPr>
          <w:rFonts w:ascii="Arial" w:hAnsi="Arial" w:cs="Arial"/>
          <w:b/>
          <w:bCs/>
        </w:rPr>
      </w:pPr>
      <w:r w:rsidRPr="002B0E12">
        <w:rPr>
          <w:rFonts w:ascii="Arial" w:hAnsi="Arial" w:cs="Arial"/>
          <w:b/>
          <w:bCs/>
        </w:rPr>
        <w:t>REFERENCES</w:t>
      </w:r>
    </w:p>
    <w:p w14:paraId="3595344D"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Barik, A., Das, K., Chowdhury, A., &amp; Rai, R. K. (2017). Metabolic syndrome among rural Indian adults. </w:t>
      </w:r>
      <w:r w:rsidRPr="002B0E12">
        <w:rPr>
          <w:rFonts w:ascii="Arial" w:eastAsia="Times New Roman" w:hAnsi="Arial" w:cs="Arial"/>
          <w:i/>
          <w:iCs/>
          <w:lang w:val="en-GB" w:eastAsia="en-GB"/>
        </w:rPr>
        <w:t>Clinical Nutrition ESPEN</w:t>
      </w:r>
      <w:r w:rsidRPr="002B0E12">
        <w:rPr>
          <w:rFonts w:ascii="Arial" w:eastAsia="Times New Roman" w:hAnsi="Arial" w:cs="Arial"/>
          <w:lang w:val="en-GB" w:eastAsia="en-GB"/>
        </w:rPr>
        <w:t xml:space="preserve">, 10, e1–e7. </w:t>
      </w:r>
    </w:p>
    <w:p w14:paraId="3804465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lastRenderedPageBreak/>
        <w:t>Bodur</w:t>
      </w:r>
      <w:proofErr w:type="spellEnd"/>
      <w:r w:rsidRPr="002B0E12">
        <w:rPr>
          <w:rFonts w:ascii="Arial" w:eastAsia="Times New Roman" w:hAnsi="Arial" w:cs="Arial"/>
          <w:lang w:val="en-GB" w:eastAsia="en-GB"/>
        </w:rPr>
        <w:t xml:space="preserve">, M., Yilmaz, B., </w:t>
      </w:r>
      <w:proofErr w:type="spellStart"/>
      <w:r w:rsidRPr="002B0E12">
        <w:rPr>
          <w:rFonts w:ascii="Arial" w:eastAsia="Times New Roman" w:hAnsi="Arial" w:cs="Arial"/>
          <w:lang w:val="en-GB" w:eastAsia="en-GB"/>
        </w:rPr>
        <w:t>Ağagündüz</w:t>
      </w:r>
      <w:proofErr w:type="spellEnd"/>
      <w:r w:rsidRPr="002B0E12">
        <w:rPr>
          <w:rFonts w:ascii="Arial" w:eastAsia="Times New Roman" w:hAnsi="Arial" w:cs="Arial"/>
          <w:lang w:val="en-GB" w:eastAsia="en-GB"/>
        </w:rPr>
        <w:t xml:space="preserve">, D., &amp; </w:t>
      </w:r>
      <w:proofErr w:type="spellStart"/>
      <w:r w:rsidRPr="002B0E12">
        <w:rPr>
          <w:rFonts w:ascii="Arial" w:eastAsia="Times New Roman" w:hAnsi="Arial" w:cs="Arial"/>
          <w:lang w:val="en-GB" w:eastAsia="en-GB"/>
        </w:rPr>
        <w:t>Ozogul</w:t>
      </w:r>
      <w:proofErr w:type="spellEnd"/>
      <w:r w:rsidRPr="002B0E12">
        <w:rPr>
          <w:rFonts w:ascii="Arial" w:eastAsia="Times New Roman" w:hAnsi="Arial" w:cs="Arial"/>
          <w:lang w:val="en-GB" w:eastAsia="en-GB"/>
        </w:rPr>
        <w:t xml:space="preserve">, Y. (2025). Immunomodulatory effects of omega-3 fatty acids: Mechanistic insights and health implications. </w:t>
      </w:r>
      <w:r w:rsidRPr="002B0E12">
        <w:rPr>
          <w:rFonts w:ascii="Arial" w:eastAsia="Times New Roman" w:hAnsi="Arial" w:cs="Arial"/>
          <w:i/>
          <w:iCs/>
          <w:lang w:val="en-GB" w:eastAsia="en-GB"/>
        </w:rPr>
        <w:t>Molecular Nutrition &amp; Food Research</w:t>
      </w:r>
      <w:r w:rsidRPr="002B0E12">
        <w:rPr>
          <w:rFonts w:ascii="Arial" w:eastAsia="Times New Roman" w:hAnsi="Arial" w:cs="Arial"/>
          <w:lang w:val="en-GB" w:eastAsia="en-GB"/>
        </w:rPr>
        <w:t xml:space="preserve">, 69, e202400752. </w:t>
      </w:r>
    </w:p>
    <w:p w14:paraId="170A4AD3"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Boutayeb</w:t>
      </w:r>
      <w:proofErr w:type="spellEnd"/>
      <w:r w:rsidRPr="002B0E12">
        <w:rPr>
          <w:rFonts w:ascii="Arial" w:eastAsia="Times New Roman" w:hAnsi="Arial" w:cs="Arial"/>
          <w:lang w:val="en-GB" w:eastAsia="en-GB"/>
        </w:rPr>
        <w:t xml:space="preserve">, A. (2006). The double burden of communicable and non-communicable diseases in developing countries. </w:t>
      </w:r>
      <w:r w:rsidRPr="002B0E12">
        <w:rPr>
          <w:rFonts w:ascii="Arial" w:eastAsia="Times New Roman" w:hAnsi="Arial" w:cs="Arial"/>
          <w:i/>
          <w:iCs/>
          <w:lang w:val="en-GB" w:eastAsia="en-GB"/>
        </w:rPr>
        <w:t>Transactions of the Royal Society of Tropical Medicine and Hygiene</w:t>
      </w:r>
      <w:r w:rsidRPr="002B0E12">
        <w:rPr>
          <w:rFonts w:ascii="Arial" w:eastAsia="Times New Roman" w:hAnsi="Arial" w:cs="Arial"/>
          <w:lang w:val="en-GB" w:eastAsia="en-GB"/>
        </w:rPr>
        <w:t xml:space="preserve">, 100, 191–199. </w:t>
      </w:r>
    </w:p>
    <w:p w14:paraId="00E5396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Brant, L. H. C., Cardozo, L. F. M. F., Velarde, L. G. C., &amp; </w:t>
      </w:r>
      <w:proofErr w:type="spellStart"/>
      <w:r w:rsidRPr="002B0E12">
        <w:rPr>
          <w:rFonts w:ascii="Arial" w:eastAsia="Times New Roman" w:hAnsi="Arial" w:cs="Arial"/>
          <w:lang w:val="en-GB" w:eastAsia="en-GB"/>
        </w:rPr>
        <w:t>Boaventura</w:t>
      </w:r>
      <w:proofErr w:type="spellEnd"/>
      <w:r w:rsidRPr="002B0E12">
        <w:rPr>
          <w:rFonts w:ascii="Arial" w:eastAsia="Times New Roman" w:hAnsi="Arial" w:cs="Arial"/>
          <w:lang w:val="en-GB" w:eastAsia="en-GB"/>
        </w:rPr>
        <w:t xml:space="preserve">, G. T. (2012). Impact of flaxseed intake upon metabolic syndrome indicators in female Wistar rats. </w:t>
      </w:r>
      <w:r w:rsidRPr="002B0E12">
        <w:rPr>
          <w:rFonts w:ascii="Arial" w:eastAsia="Times New Roman" w:hAnsi="Arial" w:cs="Arial"/>
          <w:i/>
          <w:iCs/>
          <w:lang w:val="en-GB" w:eastAsia="en-GB"/>
        </w:rPr>
        <w:t xml:space="preserve">Acta </w:t>
      </w:r>
      <w:proofErr w:type="spellStart"/>
      <w:r w:rsidRPr="002B0E12">
        <w:rPr>
          <w:rFonts w:ascii="Arial" w:eastAsia="Times New Roman" w:hAnsi="Arial" w:cs="Arial"/>
          <w:i/>
          <w:iCs/>
          <w:lang w:val="en-GB" w:eastAsia="en-GB"/>
        </w:rPr>
        <w:t>Cirurgica</w:t>
      </w:r>
      <w:proofErr w:type="spellEnd"/>
      <w:r w:rsidRPr="002B0E12">
        <w:rPr>
          <w:rFonts w:ascii="Arial" w:eastAsia="Times New Roman" w:hAnsi="Arial" w:cs="Arial"/>
          <w:i/>
          <w:iCs/>
          <w:lang w:val="en-GB" w:eastAsia="en-GB"/>
        </w:rPr>
        <w:t xml:space="preserve"> </w:t>
      </w:r>
      <w:proofErr w:type="spellStart"/>
      <w:r w:rsidRPr="002B0E12">
        <w:rPr>
          <w:rFonts w:ascii="Arial" w:eastAsia="Times New Roman" w:hAnsi="Arial" w:cs="Arial"/>
          <w:i/>
          <w:iCs/>
          <w:lang w:val="en-GB" w:eastAsia="en-GB"/>
        </w:rPr>
        <w:t>Brasileira</w:t>
      </w:r>
      <w:proofErr w:type="spellEnd"/>
      <w:r w:rsidRPr="002B0E12">
        <w:rPr>
          <w:rFonts w:ascii="Arial" w:eastAsia="Times New Roman" w:hAnsi="Arial" w:cs="Arial"/>
          <w:lang w:val="en-GB" w:eastAsia="en-GB"/>
        </w:rPr>
        <w:t xml:space="preserve">, 27, 537–543. </w:t>
      </w:r>
    </w:p>
    <w:p w14:paraId="74D6DE9B"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hAnsi="Arial" w:cs="Arial"/>
        </w:rPr>
        <w:t xml:space="preserve">Browning, L. M., Hsieh, S., &amp; Ashwell, M. (2010). A systematic review of waist-to-height ratio as a screening tool for the prediction of cardiovascular disease and diabetes: 0.5 could be a suitable global boundary value. </w:t>
      </w:r>
      <w:r w:rsidRPr="002B0E12">
        <w:rPr>
          <w:rStyle w:val="Emphasis"/>
          <w:rFonts w:ascii="Arial" w:hAnsi="Arial" w:cs="Arial"/>
        </w:rPr>
        <w:t>Nutrition Research Reviews</w:t>
      </w:r>
      <w:r w:rsidRPr="002B0E12">
        <w:rPr>
          <w:rFonts w:ascii="Arial" w:hAnsi="Arial" w:cs="Arial"/>
        </w:rPr>
        <w:t>, 23, 247–269.</w:t>
      </w:r>
    </w:p>
    <w:p w14:paraId="7226CC2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Carpentier</w:t>
      </w:r>
      <w:proofErr w:type="spellEnd"/>
      <w:r w:rsidRPr="002B0E12">
        <w:rPr>
          <w:rFonts w:ascii="Arial" w:eastAsia="Times New Roman" w:hAnsi="Arial" w:cs="Arial"/>
          <w:lang w:val="en-GB" w:eastAsia="en-GB"/>
        </w:rPr>
        <w:t xml:space="preserve">, Y. A., </w:t>
      </w:r>
      <w:proofErr w:type="spellStart"/>
      <w:r w:rsidRPr="002B0E12">
        <w:rPr>
          <w:rFonts w:ascii="Arial" w:eastAsia="Times New Roman" w:hAnsi="Arial" w:cs="Arial"/>
          <w:lang w:val="en-GB" w:eastAsia="en-GB"/>
        </w:rPr>
        <w:t>Portois</w:t>
      </w:r>
      <w:proofErr w:type="spellEnd"/>
      <w:r w:rsidRPr="002B0E12">
        <w:rPr>
          <w:rFonts w:ascii="Arial" w:eastAsia="Times New Roman" w:hAnsi="Arial" w:cs="Arial"/>
          <w:lang w:val="en-GB" w:eastAsia="en-GB"/>
        </w:rPr>
        <w:t xml:space="preserve">, L., &amp; </w:t>
      </w:r>
      <w:proofErr w:type="spellStart"/>
      <w:r w:rsidRPr="002B0E12">
        <w:rPr>
          <w:rFonts w:ascii="Arial" w:eastAsia="Times New Roman" w:hAnsi="Arial" w:cs="Arial"/>
          <w:lang w:val="en-GB" w:eastAsia="en-GB"/>
        </w:rPr>
        <w:t>Malaisse</w:t>
      </w:r>
      <w:proofErr w:type="spellEnd"/>
      <w:r w:rsidRPr="002B0E12">
        <w:rPr>
          <w:rFonts w:ascii="Arial" w:eastAsia="Times New Roman" w:hAnsi="Arial" w:cs="Arial"/>
          <w:lang w:val="en-GB" w:eastAsia="en-GB"/>
        </w:rPr>
        <w:t xml:space="preserve">, W. J. (2006). n-3 fatty acids and the metabolic syndrome. </w:t>
      </w:r>
      <w:r w:rsidRPr="002B0E12">
        <w:rPr>
          <w:rFonts w:ascii="Arial" w:eastAsia="Times New Roman" w:hAnsi="Arial" w:cs="Arial"/>
          <w:i/>
          <w:iCs/>
          <w:lang w:val="en-GB" w:eastAsia="en-GB"/>
        </w:rPr>
        <w:t>American Journal of Clinical Nutrition</w:t>
      </w:r>
      <w:r w:rsidRPr="002B0E12">
        <w:rPr>
          <w:rFonts w:ascii="Arial" w:eastAsia="Times New Roman" w:hAnsi="Arial" w:cs="Arial"/>
          <w:lang w:val="en-GB" w:eastAsia="en-GB"/>
        </w:rPr>
        <w:t xml:space="preserve">, 83, 1499S–1504S. </w:t>
      </w:r>
    </w:p>
    <w:p w14:paraId="557201E7"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Ciarambino</w:t>
      </w:r>
      <w:proofErr w:type="spellEnd"/>
      <w:r w:rsidRPr="002B0E12">
        <w:rPr>
          <w:rFonts w:ascii="Arial" w:eastAsia="Times New Roman" w:hAnsi="Arial" w:cs="Arial"/>
          <w:lang w:val="en-GB" w:eastAsia="en-GB"/>
        </w:rPr>
        <w:t xml:space="preserve">, T., </w:t>
      </w:r>
      <w:proofErr w:type="spellStart"/>
      <w:r w:rsidRPr="002B0E12">
        <w:rPr>
          <w:rFonts w:ascii="Arial" w:eastAsia="Times New Roman" w:hAnsi="Arial" w:cs="Arial"/>
          <w:lang w:val="en-GB" w:eastAsia="en-GB"/>
        </w:rPr>
        <w:t>Crispino</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Guarisco</w:t>
      </w:r>
      <w:proofErr w:type="spellEnd"/>
      <w:r w:rsidRPr="002B0E12">
        <w:rPr>
          <w:rFonts w:ascii="Arial" w:eastAsia="Times New Roman" w:hAnsi="Arial" w:cs="Arial"/>
          <w:lang w:val="en-GB" w:eastAsia="en-GB"/>
        </w:rPr>
        <w:t xml:space="preserve">, G., &amp; Giordano, M. (2023). Gender differences in insulin resistance: New knowledge and perspectives. </w:t>
      </w:r>
      <w:r w:rsidRPr="002B0E12">
        <w:rPr>
          <w:rFonts w:ascii="Arial" w:eastAsia="Times New Roman" w:hAnsi="Arial" w:cs="Arial"/>
          <w:i/>
          <w:iCs/>
          <w:lang w:val="en-GB" w:eastAsia="en-GB"/>
        </w:rPr>
        <w:t>Current Issues in Molecular Biology</w:t>
      </w:r>
      <w:r w:rsidRPr="002B0E12">
        <w:rPr>
          <w:rFonts w:ascii="Arial" w:eastAsia="Times New Roman" w:hAnsi="Arial" w:cs="Arial"/>
          <w:lang w:val="en-GB" w:eastAsia="en-GB"/>
        </w:rPr>
        <w:t xml:space="preserve">, 45, 7845–7861. </w:t>
      </w:r>
    </w:p>
    <w:p w14:paraId="11BFD4C3"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Deedwania</w:t>
      </w:r>
      <w:proofErr w:type="spellEnd"/>
      <w:r w:rsidRPr="002B0E12">
        <w:rPr>
          <w:rFonts w:ascii="Arial" w:eastAsia="Times New Roman" w:hAnsi="Arial" w:cs="Arial"/>
          <w:lang w:val="en-GB" w:eastAsia="en-GB"/>
        </w:rPr>
        <w:t xml:space="preserve">, P. C., Gupta, R., Sharma, K. K., </w:t>
      </w:r>
      <w:proofErr w:type="spellStart"/>
      <w:r w:rsidRPr="002B0E12">
        <w:rPr>
          <w:rFonts w:ascii="Arial" w:eastAsia="Times New Roman" w:hAnsi="Arial" w:cs="Arial"/>
          <w:lang w:val="en-GB" w:eastAsia="en-GB"/>
        </w:rPr>
        <w:t>Achari</w:t>
      </w:r>
      <w:proofErr w:type="spellEnd"/>
      <w:r w:rsidRPr="002B0E12">
        <w:rPr>
          <w:rFonts w:ascii="Arial" w:eastAsia="Times New Roman" w:hAnsi="Arial" w:cs="Arial"/>
          <w:lang w:val="en-GB" w:eastAsia="en-GB"/>
        </w:rPr>
        <w:t xml:space="preserve">, V., Gupta, B., Maheshwari, A., &amp; Gupta, A. (2014). High prevalence of metabolic syndrome among urban participants in India: A multisite study. </w:t>
      </w:r>
      <w:r w:rsidRPr="002B0E12">
        <w:rPr>
          <w:rFonts w:ascii="Arial" w:eastAsia="Times New Roman" w:hAnsi="Arial" w:cs="Arial"/>
          <w:i/>
          <w:iCs/>
          <w:lang w:val="en-GB" w:eastAsia="en-GB"/>
        </w:rPr>
        <w:t>Diabetes &amp; Metabolic Syndrome: Clinical Research &amp; Reviews</w:t>
      </w:r>
      <w:r w:rsidRPr="002B0E12">
        <w:rPr>
          <w:rFonts w:ascii="Arial" w:eastAsia="Times New Roman" w:hAnsi="Arial" w:cs="Arial"/>
          <w:lang w:val="en-GB" w:eastAsia="en-GB"/>
        </w:rPr>
        <w:t>, 8, 156–161.</w:t>
      </w:r>
    </w:p>
    <w:p w14:paraId="0751E827"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Dwarkanath</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Muthayya</w:t>
      </w:r>
      <w:proofErr w:type="spellEnd"/>
      <w:r w:rsidRPr="002B0E12">
        <w:rPr>
          <w:rFonts w:ascii="Arial" w:eastAsia="Times New Roman" w:hAnsi="Arial" w:cs="Arial"/>
          <w:lang w:val="en-GB" w:eastAsia="en-GB"/>
        </w:rPr>
        <w:t xml:space="preserve">, S., Thomas, T., </w:t>
      </w:r>
      <w:proofErr w:type="spellStart"/>
      <w:r w:rsidRPr="002B0E12">
        <w:rPr>
          <w:rFonts w:ascii="Arial" w:eastAsia="Times New Roman" w:hAnsi="Arial" w:cs="Arial"/>
          <w:lang w:val="en-GB" w:eastAsia="en-GB"/>
        </w:rPr>
        <w:t>Vaz</w:t>
      </w:r>
      <w:proofErr w:type="spellEnd"/>
      <w:r w:rsidRPr="002B0E12">
        <w:rPr>
          <w:rFonts w:ascii="Arial" w:eastAsia="Times New Roman" w:hAnsi="Arial" w:cs="Arial"/>
          <w:lang w:val="en-GB" w:eastAsia="en-GB"/>
        </w:rPr>
        <w:t xml:space="preserve">, M., Parikh, P., </w:t>
      </w:r>
      <w:proofErr w:type="spellStart"/>
      <w:r w:rsidRPr="002B0E12">
        <w:rPr>
          <w:rFonts w:ascii="Arial" w:eastAsia="Times New Roman" w:hAnsi="Arial" w:cs="Arial"/>
          <w:lang w:val="en-GB" w:eastAsia="en-GB"/>
        </w:rPr>
        <w:t>Mehra</w:t>
      </w:r>
      <w:proofErr w:type="spellEnd"/>
      <w:r w:rsidRPr="002B0E12">
        <w:rPr>
          <w:rFonts w:ascii="Arial" w:eastAsia="Times New Roman" w:hAnsi="Arial" w:cs="Arial"/>
          <w:lang w:val="en-GB" w:eastAsia="en-GB"/>
        </w:rPr>
        <w:t xml:space="preserve">, R., &amp; </w:t>
      </w:r>
      <w:proofErr w:type="spellStart"/>
      <w:r w:rsidRPr="002B0E12">
        <w:rPr>
          <w:rFonts w:ascii="Arial" w:eastAsia="Times New Roman" w:hAnsi="Arial" w:cs="Arial"/>
          <w:lang w:val="en-GB" w:eastAsia="en-GB"/>
        </w:rPr>
        <w:t>Kurpad</w:t>
      </w:r>
      <w:proofErr w:type="spellEnd"/>
      <w:r w:rsidRPr="002B0E12">
        <w:rPr>
          <w:rFonts w:ascii="Arial" w:eastAsia="Times New Roman" w:hAnsi="Arial" w:cs="Arial"/>
          <w:lang w:val="en-GB" w:eastAsia="en-GB"/>
        </w:rPr>
        <w:t xml:space="preserve">, A. V. (2009). Polyunsaturated fatty acid consumption and concentration among South Indian women during pregnancy. </w:t>
      </w:r>
      <w:r w:rsidRPr="002B0E12">
        <w:rPr>
          <w:rFonts w:ascii="Arial" w:eastAsia="Times New Roman" w:hAnsi="Arial" w:cs="Arial"/>
          <w:i/>
          <w:iCs/>
          <w:lang w:val="en-GB" w:eastAsia="en-GB"/>
        </w:rPr>
        <w:t>Asia Pacific Journal of Clinical Nutrition</w:t>
      </w:r>
      <w:r w:rsidRPr="002B0E12">
        <w:rPr>
          <w:rFonts w:ascii="Arial" w:eastAsia="Times New Roman" w:hAnsi="Arial" w:cs="Arial"/>
          <w:lang w:val="en-GB" w:eastAsia="en-GB"/>
        </w:rPr>
        <w:t xml:space="preserve">, 18, 389–394. </w:t>
      </w:r>
    </w:p>
    <w:p w14:paraId="6C43D33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Ford, E. S. (2005). Prevalence of the metabolic syndrome defined by the International Diabetes Federation among adults in the U.S. </w:t>
      </w:r>
      <w:r w:rsidRPr="002B0E12">
        <w:rPr>
          <w:rFonts w:ascii="Arial" w:eastAsia="Times New Roman" w:hAnsi="Arial" w:cs="Arial"/>
          <w:i/>
          <w:iCs/>
          <w:lang w:val="en-GB" w:eastAsia="en-GB"/>
        </w:rPr>
        <w:t>Diabetes Care</w:t>
      </w:r>
      <w:r w:rsidRPr="002B0E12">
        <w:rPr>
          <w:rFonts w:ascii="Arial" w:eastAsia="Times New Roman" w:hAnsi="Arial" w:cs="Arial"/>
          <w:lang w:val="en-GB" w:eastAsia="en-GB"/>
        </w:rPr>
        <w:t xml:space="preserve">, 28, 2745–2749. </w:t>
      </w:r>
    </w:p>
    <w:p w14:paraId="0109F365"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Fossati</w:t>
      </w:r>
      <w:proofErr w:type="spellEnd"/>
      <w:r w:rsidRPr="002B0E12">
        <w:rPr>
          <w:rFonts w:ascii="Arial" w:eastAsia="Times New Roman" w:hAnsi="Arial" w:cs="Arial"/>
          <w:lang w:val="en-GB" w:eastAsia="en-GB"/>
        </w:rPr>
        <w:t xml:space="preserve">, P., &amp; Principe, L. (1982). Qualitative determination of triglycerides in serum or plasma by enzymatic DHBC colorimetric method.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xml:space="preserve">, 28, 2077–2080. </w:t>
      </w:r>
    </w:p>
    <w:p w14:paraId="75CB0F14"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Friedewald</w:t>
      </w:r>
      <w:proofErr w:type="spellEnd"/>
      <w:r w:rsidRPr="002B0E12">
        <w:rPr>
          <w:rFonts w:ascii="Arial" w:eastAsia="Times New Roman" w:hAnsi="Arial" w:cs="Arial"/>
          <w:lang w:val="en-GB" w:eastAsia="en-GB"/>
        </w:rPr>
        <w:t xml:space="preserve">, W. T., Levy, R. I., &amp; Fredrickson, D. S. (1972). Estimation of the concentration of low-density lipoprotein cholesterol in plasma, without use of the preparative ultracentrifuge.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18, 499–502.</w:t>
      </w:r>
    </w:p>
    <w:p w14:paraId="0A0E649C" w14:textId="77777777" w:rsidR="00835E63" w:rsidRPr="002B0E12" w:rsidRDefault="00835E63" w:rsidP="00835E63">
      <w:pPr>
        <w:pStyle w:val="ListParagraph"/>
        <w:numPr>
          <w:ilvl w:val="0"/>
          <w:numId w:val="5"/>
        </w:numPr>
        <w:spacing w:line="360" w:lineRule="auto"/>
        <w:ind w:left="426"/>
        <w:jc w:val="both"/>
        <w:rPr>
          <w:rFonts w:ascii="Arial" w:hAnsi="Arial" w:cs="Arial"/>
        </w:rPr>
      </w:pPr>
      <w:r w:rsidRPr="002B0E12">
        <w:rPr>
          <w:rFonts w:ascii="Arial" w:hAnsi="Arial" w:cs="Arial"/>
        </w:rPr>
        <w:t xml:space="preserve">GBD (2019). GBD compare. Available at: </w:t>
      </w:r>
      <w:hyperlink r:id="rId18" w:tgtFrame="_new" w:history="1">
        <w:r w:rsidRPr="002B0E12">
          <w:rPr>
            <w:rStyle w:val="Hyperlink"/>
            <w:rFonts w:ascii="Arial" w:hAnsi="Arial" w:cs="Arial"/>
            <w:color w:val="auto"/>
          </w:rPr>
          <w:t>http://vizhub.healthdata.org/gbd-compare</w:t>
        </w:r>
      </w:hyperlink>
      <w:r w:rsidRPr="002B0E12">
        <w:rPr>
          <w:rFonts w:ascii="Arial" w:hAnsi="Arial" w:cs="Arial"/>
        </w:rPr>
        <w:t xml:space="preserve"> </w:t>
      </w:r>
    </w:p>
    <w:p w14:paraId="08625448" w14:textId="77777777" w:rsidR="008A5783" w:rsidRPr="002B0E12" w:rsidRDefault="008A5783" w:rsidP="00835E63">
      <w:pPr>
        <w:pStyle w:val="ListParagraph"/>
        <w:numPr>
          <w:ilvl w:val="0"/>
          <w:numId w:val="5"/>
        </w:numPr>
        <w:spacing w:line="360" w:lineRule="auto"/>
        <w:ind w:left="426"/>
        <w:jc w:val="both"/>
        <w:rPr>
          <w:rFonts w:ascii="Arial" w:hAnsi="Arial" w:cs="Arial"/>
        </w:rPr>
      </w:pPr>
      <w:proofErr w:type="spellStart"/>
      <w:r w:rsidRPr="002B0E12">
        <w:rPr>
          <w:rFonts w:ascii="Arial" w:hAnsi="Arial" w:cs="Arial"/>
        </w:rPr>
        <w:t>Gherasim</w:t>
      </w:r>
      <w:proofErr w:type="spellEnd"/>
      <w:r w:rsidRPr="002B0E12">
        <w:rPr>
          <w:rFonts w:ascii="Arial" w:hAnsi="Arial" w:cs="Arial"/>
        </w:rPr>
        <w:t xml:space="preserve">, A., </w:t>
      </w:r>
      <w:proofErr w:type="spellStart"/>
      <w:r w:rsidRPr="002B0E12">
        <w:rPr>
          <w:rFonts w:ascii="Arial" w:hAnsi="Arial" w:cs="Arial"/>
        </w:rPr>
        <w:t>Arhire</w:t>
      </w:r>
      <w:proofErr w:type="spellEnd"/>
      <w:r w:rsidRPr="002B0E12">
        <w:rPr>
          <w:rFonts w:ascii="Arial" w:hAnsi="Arial" w:cs="Arial"/>
        </w:rPr>
        <w:t xml:space="preserve">, L. I., </w:t>
      </w:r>
      <w:proofErr w:type="spellStart"/>
      <w:r w:rsidRPr="002B0E12">
        <w:rPr>
          <w:rFonts w:ascii="Arial" w:hAnsi="Arial" w:cs="Arial"/>
        </w:rPr>
        <w:t>Niță</w:t>
      </w:r>
      <w:proofErr w:type="spellEnd"/>
      <w:r w:rsidRPr="002B0E12">
        <w:rPr>
          <w:rFonts w:ascii="Arial" w:hAnsi="Arial" w:cs="Arial"/>
        </w:rPr>
        <w:t xml:space="preserve">, O., Popa, A. D., </w:t>
      </w:r>
      <w:proofErr w:type="spellStart"/>
      <w:r w:rsidRPr="002B0E12">
        <w:rPr>
          <w:rFonts w:ascii="Arial" w:hAnsi="Arial" w:cs="Arial"/>
        </w:rPr>
        <w:t>Graur</w:t>
      </w:r>
      <w:proofErr w:type="spellEnd"/>
      <w:r w:rsidRPr="002B0E12">
        <w:rPr>
          <w:rFonts w:ascii="Arial" w:hAnsi="Arial" w:cs="Arial"/>
        </w:rPr>
        <w:t xml:space="preserve">, M., &amp; </w:t>
      </w:r>
      <w:proofErr w:type="spellStart"/>
      <w:r w:rsidRPr="002B0E12">
        <w:rPr>
          <w:rFonts w:ascii="Arial" w:hAnsi="Arial" w:cs="Arial"/>
        </w:rPr>
        <w:t>Mihalache</w:t>
      </w:r>
      <w:proofErr w:type="spellEnd"/>
      <w:r w:rsidRPr="002B0E12">
        <w:rPr>
          <w:rFonts w:ascii="Arial" w:hAnsi="Arial" w:cs="Arial"/>
        </w:rPr>
        <w:t xml:space="preserve">, L. (2020). The relationship between lifestyle components and dietary patterns. </w:t>
      </w:r>
      <w:r w:rsidRPr="002B0E12">
        <w:rPr>
          <w:rStyle w:val="Emphasis"/>
          <w:rFonts w:ascii="Arial" w:hAnsi="Arial" w:cs="Arial"/>
        </w:rPr>
        <w:t>Proceedings of the Nutrition Society</w:t>
      </w:r>
      <w:r w:rsidRPr="002B0E12">
        <w:rPr>
          <w:rFonts w:ascii="Arial" w:hAnsi="Arial" w:cs="Arial"/>
        </w:rPr>
        <w:t>, 79(3), 311–323.</w:t>
      </w:r>
    </w:p>
    <w:p w14:paraId="65367ABA" w14:textId="3F47FD23" w:rsidR="00835E63" w:rsidRPr="002B0E12" w:rsidRDefault="00835E63" w:rsidP="00835E63">
      <w:pPr>
        <w:pStyle w:val="ListParagraph"/>
        <w:numPr>
          <w:ilvl w:val="0"/>
          <w:numId w:val="5"/>
        </w:numPr>
        <w:spacing w:line="360" w:lineRule="auto"/>
        <w:ind w:left="426"/>
        <w:jc w:val="both"/>
        <w:rPr>
          <w:rFonts w:ascii="Arial" w:hAnsi="Arial" w:cs="Arial"/>
        </w:rPr>
      </w:pPr>
      <w:r w:rsidRPr="002B0E12">
        <w:rPr>
          <w:rFonts w:ascii="Arial" w:hAnsi="Arial" w:cs="Arial"/>
        </w:rPr>
        <w:t xml:space="preserve">Grundy, S. M., </w:t>
      </w:r>
      <w:proofErr w:type="spellStart"/>
      <w:r w:rsidRPr="002B0E12">
        <w:rPr>
          <w:rFonts w:ascii="Arial" w:hAnsi="Arial" w:cs="Arial"/>
        </w:rPr>
        <w:t>Cleeman</w:t>
      </w:r>
      <w:proofErr w:type="spellEnd"/>
      <w:r w:rsidRPr="002B0E12">
        <w:rPr>
          <w:rFonts w:ascii="Arial" w:hAnsi="Arial" w:cs="Arial"/>
        </w:rPr>
        <w:t xml:space="preserve">, J. I., Daniels, S. R., Donato, K. A., Eckel, R. H., Franklin, B. A., Gordon, D. J., Krauss, R. M., Savage, P. J., Smith, S. C., </w:t>
      </w:r>
      <w:proofErr w:type="spellStart"/>
      <w:r w:rsidRPr="002B0E12">
        <w:rPr>
          <w:rFonts w:ascii="Arial" w:hAnsi="Arial" w:cs="Arial"/>
        </w:rPr>
        <w:t>Spertus</w:t>
      </w:r>
      <w:proofErr w:type="spellEnd"/>
      <w:r w:rsidRPr="002B0E12">
        <w:rPr>
          <w:rFonts w:ascii="Arial" w:hAnsi="Arial" w:cs="Arial"/>
        </w:rPr>
        <w:t xml:space="preserve">, J. A., Costa, F., </w:t>
      </w:r>
      <w:r w:rsidRPr="002B0E12">
        <w:rPr>
          <w:rFonts w:ascii="Arial" w:hAnsi="Arial" w:cs="Arial"/>
        </w:rPr>
        <w:lastRenderedPageBreak/>
        <w:t xml:space="preserve">American Heart Association, National Heart, Lung, and Blood Institute. (2005). Diagnosis and management of the metabolic syndrome: An American Heart Association/National Heart, Lung, and Blood Institute scientific statement. </w:t>
      </w:r>
      <w:r w:rsidRPr="002B0E12">
        <w:rPr>
          <w:rStyle w:val="Emphasis"/>
          <w:rFonts w:ascii="Arial" w:hAnsi="Arial" w:cs="Arial"/>
        </w:rPr>
        <w:t>Circulation</w:t>
      </w:r>
      <w:r w:rsidRPr="002B0E12">
        <w:rPr>
          <w:rFonts w:ascii="Arial" w:hAnsi="Arial" w:cs="Arial"/>
        </w:rPr>
        <w:t xml:space="preserve">, 112, 2735–2752. </w:t>
      </w:r>
    </w:p>
    <w:p w14:paraId="760F2B67" w14:textId="77777777" w:rsidR="00835E63" w:rsidRPr="002B0E12" w:rsidRDefault="00835E63" w:rsidP="00835E63">
      <w:pPr>
        <w:pStyle w:val="ListParagraph"/>
        <w:numPr>
          <w:ilvl w:val="0"/>
          <w:numId w:val="5"/>
        </w:numPr>
        <w:spacing w:line="360" w:lineRule="auto"/>
        <w:ind w:left="426"/>
        <w:jc w:val="both"/>
        <w:rPr>
          <w:rFonts w:ascii="Arial" w:hAnsi="Arial" w:cs="Arial"/>
        </w:rPr>
      </w:pPr>
      <w:r w:rsidRPr="002B0E12">
        <w:rPr>
          <w:rFonts w:ascii="Arial" w:hAnsi="Arial" w:cs="Arial"/>
        </w:rPr>
        <w:t xml:space="preserve">Gupta, R., </w:t>
      </w:r>
      <w:proofErr w:type="spellStart"/>
      <w:r w:rsidRPr="002B0E12">
        <w:rPr>
          <w:rFonts w:ascii="Arial" w:hAnsi="Arial" w:cs="Arial"/>
        </w:rPr>
        <w:t>Deedwania</w:t>
      </w:r>
      <w:proofErr w:type="spellEnd"/>
      <w:r w:rsidRPr="002B0E12">
        <w:rPr>
          <w:rFonts w:ascii="Arial" w:hAnsi="Arial" w:cs="Arial"/>
        </w:rPr>
        <w:t xml:space="preserve">, P. C., Gupta, A., Rastogi, S., Panwar, R. B., &amp; Kothari, K. (2004). Prevalence of metabolic syndrome in an Indian urban population. </w:t>
      </w:r>
      <w:r w:rsidRPr="002B0E12">
        <w:rPr>
          <w:rStyle w:val="Emphasis"/>
          <w:rFonts w:ascii="Arial" w:hAnsi="Arial" w:cs="Arial"/>
        </w:rPr>
        <w:t>International Journal of Cardiology</w:t>
      </w:r>
      <w:r w:rsidRPr="002B0E12">
        <w:rPr>
          <w:rFonts w:ascii="Arial" w:hAnsi="Arial" w:cs="Arial"/>
        </w:rPr>
        <w:t xml:space="preserve">, 97, 257–261. </w:t>
      </w:r>
    </w:p>
    <w:p w14:paraId="3F00F598" w14:textId="77777777" w:rsidR="00835E63" w:rsidRPr="002B0E12" w:rsidRDefault="00835E63" w:rsidP="00835E63">
      <w:pPr>
        <w:pStyle w:val="ListParagraph"/>
        <w:numPr>
          <w:ilvl w:val="0"/>
          <w:numId w:val="5"/>
        </w:numPr>
        <w:spacing w:after="0" w:line="360" w:lineRule="auto"/>
        <w:ind w:left="426"/>
        <w:jc w:val="both"/>
        <w:rPr>
          <w:rFonts w:ascii="Arial" w:hAnsi="Arial" w:cs="Arial"/>
        </w:rPr>
      </w:pPr>
      <w:r w:rsidRPr="002B0E12">
        <w:rPr>
          <w:rFonts w:ascii="Arial" w:hAnsi="Arial" w:cs="Arial"/>
        </w:rPr>
        <w:t xml:space="preserve">ICMR (2010). Nutrient requirements and safe dietary intake for Indians. </w:t>
      </w:r>
      <w:r w:rsidRPr="002B0E12">
        <w:rPr>
          <w:rStyle w:val="Emphasis"/>
          <w:rFonts w:ascii="Arial" w:hAnsi="Arial" w:cs="Arial"/>
        </w:rPr>
        <w:t>Indian Council of Medical Research, National Institute of Nutrition</w:t>
      </w:r>
      <w:r w:rsidRPr="002B0E12">
        <w:rPr>
          <w:rFonts w:ascii="Arial" w:hAnsi="Arial" w:cs="Arial"/>
        </w:rPr>
        <w:t>, Hyderabad, India.</w:t>
      </w:r>
    </w:p>
    <w:p w14:paraId="22DAA6B5"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ICMR (2020). Short report of nutrient requirements for Indians: Recommended dietary allowances and estimated average requirements–2020. </w:t>
      </w:r>
      <w:r w:rsidRPr="002B0E12">
        <w:rPr>
          <w:rFonts w:ascii="Arial" w:eastAsia="Times New Roman" w:hAnsi="Arial" w:cs="Arial"/>
          <w:i/>
          <w:iCs/>
          <w:lang w:val="en-GB" w:eastAsia="en-GB"/>
        </w:rPr>
        <w:t>Indian Council of Medical Research, National Institute of Nutrition</w:t>
      </w:r>
      <w:r w:rsidRPr="002B0E12">
        <w:rPr>
          <w:rFonts w:ascii="Arial" w:eastAsia="Times New Roman" w:hAnsi="Arial" w:cs="Arial"/>
          <w:lang w:val="en-GB" w:eastAsia="en-GB"/>
        </w:rPr>
        <w:t xml:space="preserve">, Hyderabad, India. </w:t>
      </w:r>
    </w:p>
    <w:p w14:paraId="393A231B"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Jang, H., &amp; Park, K. (2020). Omega-3 and omega-6 fatty acid levels and the risk of metabolic syndrome: A systematic review and meta-analysis. </w:t>
      </w:r>
      <w:r w:rsidRPr="002B0E12">
        <w:rPr>
          <w:rFonts w:ascii="Arial" w:eastAsia="Times New Roman" w:hAnsi="Arial" w:cs="Arial"/>
          <w:i/>
          <w:iCs/>
          <w:lang w:val="en-GB" w:eastAsia="en-GB"/>
        </w:rPr>
        <w:t>Clinical Nutrition</w:t>
      </w:r>
      <w:r w:rsidRPr="002B0E12">
        <w:rPr>
          <w:rFonts w:ascii="Arial" w:eastAsia="Times New Roman" w:hAnsi="Arial" w:cs="Arial"/>
          <w:lang w:val="en-GB" w:eastAsia="en-GB"/>
        </w:rPr>
        <w:t xml:space="preserve">, 39(3), 765–773. </w:t>
      </w:r>
    </w:p>
    <w:p w14:paraId="066182E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Jelliffe</w:t>
      </w:r>
      <w:proofErr w:type="spellEnd"/>
      <w:r w:rsidRPr="002B0E12">
        <w:rPr>
          <w:rFonts w:ascii="Arial" w:eastAsia="Times New Roman" w:hAnsi="Arial" w:cs="Arial"/>
          <w:lang w:val="en-GB" w:eastAsia="en-GB"/>
        </w:rPr>
        <w:t xml:space="preserve">, D. B. (1966). The assessment of nutrition of the community. </w:t>
      </w:r>
      <w:r w:rsidRPr="002B0E12">
        <w:rPr>
          <w:rFonts w:ascii="Arial" w:eastAsia="Times New Roman" w:hAnsi="Arial" w:cs="Arial"/>
          <w:i/>
          <w:iCs/>
          <w:lang w:val="en-GB" w:eastAsia="en-GB"/>
        </w:rPr>
        <w:t>World Health Organization Monograph Series</w:t>
      </w:r>
      <w:r w:rsidRPr="002B0E12">
        <w:rPr>
          <w:rFonts w:ascii="Arial" w:eastAsia="Times New Roman" w:hAnsi="Arial" w:cs="Arial"/>
          <w:lang w:val="en-GB" w:eastAsia="en-GB"/>
        </w:rPr>
        <w:t xml:space="preserve">, No. 53, 50–84. Geneva. </w:t>
      </w:r>
    </w:p>
    <w:p w14:paraId="788CEFB6" w14:textId="77777777" w:rsidR="008A5783" w:rsidRPr="002B0E12" w:rsidRDefault="008A578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hAnsi="Arial" w:cs="Arial"/>
        </w:rPr>
        <w:t>Jezewska-Zychowicz</w:t>
      </w:r>
      <w:proofErr w:type="spellEnd"/>
      <w:r w:rsidRPr="002B0E12">
        <w:rPr>
          <w:rFonts w:ascii="Arial" w:hAnsi="Arial" w:cs="Arial"/>
        </w:rPr>
        <w:t xml:space="preserve">, M., </w:t>
      </w:r>
      <w:proofErr w:type="spellStart"/>
      <w:r w:rsidRPr="002B0E12">
        <w:rPr>
          <w:rFonts w:ascii="Arial" w:hAnsi="Arial" w:cs="Arial"/>
        </w:rPr>
        <w:t>Gębski</w:t>
      </w:r>
      <w:proofErr w:type="spellEnd"/>
      <w:r w:rsidRPr="002B0E12">
        <w:rPr>
          <w:rFonts w:ascii="Arial" w:hAnsi="Arial" w:cs="Arial"/>
        </w:rPr>
        <w:t xml:space="preserve">, J., </w:t>
      </w:r>
      <w:proofErr w:type="spellStart"/>
      <w:r w:rsidRPr="002B0E12">
        <w:rPr>
          <w:rFonts w:ascii="Arial" w:hAnsi="Arial" w:cs="Arial"/>
        </w:rPr>
        <w:t>Plichta</w:t>
      </w:r>
      <w:proofErr w:type="spellEnd"/>
      <w:r w:rsidRPr="002B0E12">
        <w:rPr>
          <w:rFonts w:ascii="Arial" w:hAnsi="Arial" w:cs="Arial"/>
        </w:rPr>
        <w:t xml:space="preserve">, M., </w:t>
      </w:r>
      <w:proofErr w:type="spellStart"/>
      <w:r w:rsidRPr="002B0E12">
        <w:rPr>
          <w:rFonts w:ascii="Arial" w:hAnsi="Arial" w:cs="Arial"/>
        </w:rPr>
        <w:t>Guzek</w:t>
      </w:r>
      <w:proofErr w:type="spellEnd"/>
      <w:r w:rsidRPr="002B0E12">
        <w:rPr>
          <w:rFonts w:ascii="Arial" w:hAnsi="Arial" w:cs="Arial"/>
        </w:rPr>
        <w:t xml:space="preserve">, D., &amp; </w:t>
      </w:r>
      <w:proofErr w:type="spellStart"/>
      <w:r w:rsidRPr="002B0E12">
        <w:rPr>
          <w:rFonts w:ascii="Arial" w:hAnsi="Arial" w:cs="Arial"/>
        </w:rPr>
        <w:t>Kosicka-Gębska</w:t>
      </w:r>
      <w:proofErr w:type="spellEnd"/>
      <w:r w:rsidRPr="002B0E12">
        <w:rPr>
          <w:rFonts w:ascii="Arial" w:hAnsi="Arial" w:cs="Arial"/>
        </w:rPr>
        <w:t xml:space="preserve">, M. (2019). Diet-related factors, physical activity, and weight status in Polish adults. </w:t>
      </w:r>
      <w:r w:rsidRPr="002B0E12">
        <w:rPr>
          <w:rStyle w:val="Emphasis"/>
          <w:rFonts w:ascii="Arial" w:hAnsi="Arial" w:cs="Arial"/>
        </w:rPr>
        <w:t>Nutrients</w:t>
      </w:r>
      <w:r w:rsidRPr="002B0E12">
        <w:rPr>
          <w:rFonts w:ascii="Arial" w:hAnsi="Arial" w:cs="Arial"/>
        </w:rPr>
        <w:t>, 11(10), 2532.</w:t>
      </w:r>
    </w:p>
    <w:p w14:paraId="65E68A76" w14:textId="51D51B7E"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Jha, G. K., Pal, S., Mathur, V. C., </w:t>
      </w:r>
      <w:proofErr w:type="spellStart"/>
      <w:r w:rsidRPr="002B0E12">
        <w:rPr>
          <w:rFonts w:ascii="Arial" w:eastAsia="Times New Roman" w:hAnsi="Arial" w:cs="Arial"/>
          <w:lang w:val="en-GB" w:eastAsia="en-GB"/>
        </w:rPr>
        <w:t>Bisaria</w:t>
      </w:r>
      <w:proofErr w:type="spellEnd"/>
      <w:r w:rsidRPr="002B0E12">
        <w:rPr>
          <w:rFonts w:ascii="Arial" w:eastAsia="Times New Roman" w:hAnsi="Arial" w:cs="Arial"/>
          <w:lang w:val="en-GB" w:eastAsia="en-GB"/>
        </w:rPr>
        <w:t xml:space="preserve">, G., </w:t>
      </w:r>
      <w:proofErr w:type="spellStart"/>
      <w:r w:rsidRPr="002B0E12">
        <w:rPr>
          <w:rFonts w:ascii="Arial" w:eastAsia="Times New Roman" w:hAnsi="Arial" w:cs="Arial"/>
          <w:lang w:val="en-GB" w:eastAsia="en-GB"/>
        </w:rPr>
        <w:t>Anbukkani</w:t>
      </w:r>
      <w:proofErr w:type="spellEnd"/>
      <w:r w:rsidRPr="002B0E12">
        <w:rPr>
          <w:rFonts w:ascii="Arial" w:eastAsia="Times New Roman" w:hAnsi="Arial" w:cs="Arial"/>
          <w:lang w:val="en-GB" w:eastAsia="en-GB"/>
        </w:rPr>
        <w:t xml:space="preserve">, P., Burman, R. R., &amp; Dubey, S. K. (2012). Edible oilseeds supply and demand scenario in India: Implications for policy. New Delhi: </w:t>
      </w:r>
      <w:r w:rsidRPr="002B0E12">
        <w:rPr>
          <w:rFonts w:ascii="Arial" w:eastAsia="Times New Roman" w:hAnsi="Arial" w:cs="Arial"/>
          <w:i/>
          <w:iCs/>
          <w:lang w:val="en-GB" w:eastAsia="en-GB"/>
        </w:rPr>
        <w:t>Indian Agricultural Research Institute</w:t>
      </w:r>
      <w:r w:rsidRPr="002B0E12">
        <w:rPr>
          <w:rFonts w:ascii="Arial" w:eastAsia="Times New Roman" w:hAnsi="Arial" w:cs="Arial"/>
          <w:lang w:val="en-GB" w:eastAsia="en-GB"/>
        </w:rPr>
        <w:t>.</w:t>
      </w:r>
    </w:p>
    <w:p w14:paraId="585ACED2"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Johnson, M. N., Williams, K. L., &amp; Brown, E. F. (2022). Geographical variations in desaturase activities: Insights from urban and rural populations in Europe. </w:t>
      </w:r>
      <w:r w:rsidRPr="002B0E12">
        <w:rPr>
          <w:rFonts w:ascii="Arial" w:eastAsia="Times New Roman" w:hAnsi="Arial" w:cs="Arial"/>
          <w:i/>
          <w:iCs/>
          <w:lang w:val="en-GB" w:eastAsia="en-GB"/>
        </w:rPr>
        <w:t>European Journal of Clinical Nutrition</w:t>
      </w:r>
      <w:r w:rsidRPr="002B0E12">
        <w:rPr>
          <w:rFonts w:ascii="Arial" w:eastAsia="Times New Roman" w:hAnsi="Arial" w:cs="Arial"/>
          <w:lang w:val="en-GB" w:eastAsia="en-GB"/>
        </w:rPr>
        <w:t xml:space="preserve">, 28(4), 567–578. </w:t>
      </w:r>
    </w:p>
    <w:p w14:paraId="2EBD3518"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Kaur, G. (2017). </w:t>
      </w:r>
      <w:r w:rsidRPr="002B0E12">
        <w:rPr>
          <w:rFonts w:ascii="Arial" w:eastAsia="Times New Roman" w:hAnsi="Arial" w:cs="Arial"/>
          <w:i/>
          <w:iCs/>
          <w:lang w:val="en-GB" w:eastAsia="en-GB"/>
        </w:rPr>
        <w:t>Diet Cal: A tool for dietary assessment and planning</w:t>
      </w:r>
      <w:r w:rsidRPr="002B0E12">
        <w:rPr>
          <w:rFonts w:ascii="Arial" w:eastAsia="Times New Roman" w:hAnsi="Arial" w:cs="Arial"/>
          <w:lang w:val="en-GB" w:eastAsia="en-GB"/>
        </w:rPr>
        <w:t xml:space="preserve">. All India Institute of Medical Sciences, New Delhi. </w:t>
      </w:r>
    </w:p>
    <w:p w14:paraId="2BAA954A"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Krauss, R. M. (2004). Lipids and lipoproteins in patients with type 2 diabetes. </w:t>
      </w:r>
      <w:r w:rsidRPr="002B0E12">
        <w:rPr>
          <w:rFonts w:ascii="Arial" w:eastAsia="Times New Roman" w:hAnsi="Arial" w:cs="Arial"/>
          <w:i/>
          <w:iCs/>
          <w:lang w:val="en-GB" w:eastAsia="en-GB"/>
        </w:rPr>
        <w:t>Diabetes Care</w:t>
      </w:r>
      <w:r w:rsidRPr="002B0E12">
        <w:rPr>
          <w:rFonts w:ascii="Arial" w:eastAsia="Times New Roman" w:hAnsi="Arial" w:cs="Arial"/>
          <w:lang w:val="en-GB" w:eastAsia="en-GB"/>
        </w:rPr>
        <w:t xml:space="preserve">, 27, 1496–1504. </w:t>
      </w:r>
    </w:p>
    <w:p w14:paraId="4A2DFADE"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Krishnamoorthy, Y., </w:t>
      </w:r>
      <w:proofErr w:type="spellStart"/>
      <w:r w:rsidRPr="002B0E12">
        <w:rPr>
          <w:rFonts w:ascii="Arial" w:eastAsia="Times New Roman" w:hAnsi="Arial" w:cs="Arial"/>
          <w:lang w:val="en-GB" w:eastAsia="en-GB"/>
        </w:rPr>
        <w:t>Rajaa</w:t>
      </w:r>
      <w:proofErr w:type="spellEnd"/>
      <w:r w:rsidRPr="002B0E12">
        <w:rPr>
          <w:rFonts w:ascii="Arial" w:eastAsia="Times New Roman" w:hAnsi="Arial" w:cs="Arial"/>
          <w:lang w:val="en-GB" w:eastAsia="en-GB"/>
        </w:rPr>
        <w:t xml:space="preserve">, S., Murali, S., Rehman, T., Sahoo, J., &amp; Kar, S. S. (2020). Prevalence of metabolic syndrome among adult population in India: A systematic review and meta-analysis. </w:t>
      </w:r>
      <w:proofErr w:type="spellStart"/>
      <w:r w:rsidRPr="002B0E12">
        <w:rPr>
          <w:rFonts w:ascii="Arial" w:eastAsia="Times New Roman" w:hAnsi="Arial" w:cs="Arial"/>
          <w:i/>
          <w:iCs/>
          <w:lang w:val="en-GB" w:eastAsia="en-GB"/>
        </w:rPr>
        <w:t>PLoS</w:t>
      </w:r>
      <w:proofErr w:type="spellEnd"/>
      <w:r w:rsidRPr="002B0E12">
        <w:rPr>
          <w:rFonts w:ascii="Arial" w:eastAsia="Times New Roman" w:hAnsi="Arial" w:cs="Arial"/>
          <w:i/>
          <w:iCs/>
          <w:lang w:val="en-GB" w:eastAsia="en-GB"/>
        </w:rPr>
        <w:t xml:space="preserve"> One</w:t>
      </w:r>
      <w:r w:rsidRPr="002B0E12">
        <w:rPr>
          <w:rFonts w:ascii="Arial" w:eastAsia="Times New Roman" w:hAnsi="Arial" w:cs="Arial"/>
          <w:lang w:val="en-GB" w:eastAsia="en-GB"/>
        </w:rPr>
        <w:t>, 15, e0240971.</w:t>
      </w:r>
    </w:p>
    <w:p w14:paraId="60FDFF52"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Lopes-</w:t>
      </w:r>
      <w:proofErr w:type="spellStart"/>
      <w:r w:rsidRPr="002B0E12">
        <w:rPr>
          <w:rFonts w:ascii="Arial" w:eastAsia="Times New Roman" w:hAnsi="Arial" w:cs="Arial"/>
          <w:lang w:val="en-GB" w:eastAsia="en-GB"/>
        </w:rPr>
        <w:t>Virella</w:t>
      </w:r>
      <w:proofErr w:type="spellEnd"/>
      <w:r w:rsidRPr="002B0E12">
        <w:rPr>
          <w:rFonts w:ascii="Arial" w:eastAsia="Times New Roman" w:hAnsi="Arial" w:cs="Arial"/>
          <w:lang w:val="en-GB" w:eastAsia="en-GB"/>
        </w:rPr>
        <w:t xml:space="preserve">, M. F., Stone, P., Ellis, S., &amp; Colwell, J. A. (1977). Cholesterol determination in high density lipoprotein separated by three different methods.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xml:space="preserve">, 23, 882–884. </w:t>
      </w:r>
    </w:p>
    <w:p w14:paraId="0B38E37B"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lastRenderedPageBreak/>
        <w:t xml:space="preserve">Mani, I., &amp; </w:t>
      </w:r>
      <w:proofErr w:type="spellStart"/>
      <w:r w:rsidRPr="002B0E12">
        <w:rPr>
          <w:rFonts w:ascii="Arial" w:eastAsia="Times New Roman" w:hAnsi="Arial" w:cs="Arial"/>
          <w:lang w:val="en-GB" w:eastAsia="en-GB"/>
        </w:rPr>
        <w:t>Kurpad</w:t>
      </w:r>
      <w:proofErr w:type="spellEnd"/>
      <w:r w:rsidRPr="002B0E12">
        <w:rPr>
          <w:rFonts w:ascii="Arial" w:eastAsia="Times New Roman" w:hAnsi="Arial" w:cs="Arial"/>
          <w:lang w:val="en-GB" w:eastAsia="en-GB"/>
        </w:rPr>
        <w:t xml:space="preserve">, A. V. (2016). Fats &amp; fatty acids in Indian diets: Time for serious introspection. </w:t>
      </w:r>
      <w:r w:rsidRPr="002B0E12">
        <w:rPr>
          <w:rFonts w:ascii="Arial" w:eastAsia="Times New Roman" w:hAnsi="Arial" w:cs="Arial"/>
          <w:i/>
          <w:iCs/>
          <w:lang w:val="en-GB" w:eastAsia="en-GB"/>
        </w:rPr>
        <w:t>Indian Journal of Medical Research</w:t>
      </w:r>
      <w:r w:rsidRPr="002B0E12">
        <w:rPr>
          <w:rFonts w:ascii="Arial" w:eastAsia="Times New Roman" w:hAnsi="Arial" w:cs="Arial"/>
          <w:lang w:val="en-GB" w:eastAsia="en-GB"/>
        </w:rPr>
        <w:t xml:space="preserve">, 144, 507–514. </w:t>
      </w:r>
    </w:p>
    <w:p w14:paraId="207B8E5F"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Mariamenatu</w:t>
      </w:r>
      <w:proofErr w:type="spellEnd"/>
      <w:r w:rsidRPr="002B0E12">
        <w:rPr>
          <w:rFonts w:ascii="Arial" w:eastAsia="Times New Roman" w:hAnsi="Arial" w:cs="Arial"/>
          <w:lang w:val="en-GB" w:eastAsia="en-GB"/>
        </w:rPr>
        <w:t xml:space="preserve">, A. H., &amp; Abdu, E. M. (2021). Overconsumption of omega-6 polyunsaturated fatty acids (PUFAs) versus deficiency of omega-3 PUFAs in modern-day diets: The disturbing factor for their "balanced antagonistic metabolic functions" in the human body. </w:t>
      </w:r>
      <w:r w:rsidRPr="002B0E12">
        <w:rPr>
          <w:rFonts w:ascii="Arial" w:eastAsia="Times New Roman" w:hAnsi="Arial" w:cs="Arial"/>
          <w:i/>
          <w:iCs/>
          <w:lang w:val="en-GB" w:eastAsia="en-GB"/>
        </w:rPr>
        <w:t>Journal of Lipids</w:t>
      </w:r>
      <w:r w:rsidRPr="002B0E12">
        <w:rPr>
          <w:rFonts w:ascii="Arial" w:eastAsia="Times New Roman" w:hAnsi="Arial" w:cs="Arial"/>
          <w:lang w:val="en-GB" w:eastAsia="en-GB"/>
        </w:rPr>
        <w:t xml:space="preserve">, 2021, 8848161. </w:t>
      </w:r>
    </w:p>
    <w:p w14:paraId="3F119E31"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NCEP ATP III (2001). Executive summary of the third report of the National Cholesterol Education Program Expert Panel on detection, evaluation, and treatment of high blood cholesterol in adults (Adult Treatment Panel III). </w:t>
      </w:r>
      <w:r w:rsidRPr="002B0E12">
        <w:rPr>
          <w:rFonts w:ascii="Arial" w:eastAsia="Times New Roman" w:hAnsi="Arial" w:cs="Arial"/>
          <w:i/>
          <w:iCs/>
          <w:lang w:val="en-GB" w:eastAsia="en-GB"/>
        </w:rPr>
        <w:t>Journal of the American Medical Association</w:t>
      </w:r>
      <w:r w:rsidRPr="002B0E12">
        <w:rPr>
          <w:rFonts w:ascii="Arial" w:eastAsia="Times New Roman" w:hAnsi="Arial" w:cs="Arial"/>
          <w:lang w:val="en-GB" w:eastAsia="en-GB"/>
        </w:rPr>
        <w:t>, 285, 2486–2497.</w:t>
      </w:r>
    </w:p>
    <w:p w14:paraId="21EE82D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Oser</w:t>
      </w:r>
      <w:proofErr w:type="spellEnd"/>
      <w:r w:rsidRPr="002B0E12">
        <w:rPr>
          <w:rFonts w:ascii="Arial" w:eastAsia="Times New Roman" w:hAnsi="Arial" w:cs="Arial"/>
          <w:lang w:val="en-GB" w:eastAsia="en-GB"/>
        </w:rPr>
        <w:t xml:space="preserve">, B. L. (1976). Estimation of sugar by </w:t>
      </w:r>
      <w:proofErr w:type="spellStart"/>
      <w:r w:rsidRPr="002B0E12">
        <w:rPr>
          <w:rFonts w:ascii="Arial" w:eastAsia="Times New Roman" w:hAnsi="Arial" w:cs="Arial"/>
          <w:lang w:val="en-GB" w:eastAsia="en-GB"/>
        </w:rPr>
        <w:t>Folin</w:t>
      </w:r>
      <w:proofErr w:type="spellEnd"/>
      <w:r w:rsidRPr="002B0E12">
        <w:rPr>
          <w:rFonts w:ascii="Arial" w:eastAsia="Times New Roman" w:hAnsi="Arial" w:cs="Arial"/>
          <w:lang w:val="en-GB" w:eastAsia="en-GB"/>
        </w:rPr>
        <w:t xml:space="preserve">–Wu method. In: </w:t>
      </w:r>
      <w:r w:rsidRPr="002B0E12">
        <w:rPr>
          <w:rFonts w:ascii="Arial" w:eastAsia="Times New Roman" w:hAnsi="Arial" w:cs="Arial"/>
          <w:i/>
          <w:iCs/>
          <w:lang w:val="en-GB" w:eastAsia="en-GB"/>
        </w:rPr>
        <w:t>Hawk’s Physiological Chemistry</w:t>
      </w:r>
      <w:r w:rsidRPr="002B0E12">
        <w:rPr>
          <w:rFonts w:ascii="Arial" w:eastAsia="Times New Roman" w:hAnsi="Arial" w:cs="Arial"/>
          <w:lang w:val="en-GB" w:eastAsia="en-GB"/>
        </w:rPr>
        <w:t xml:space="preserve"> (14th ed.). Tata McGraw Hill Publishing Company Ltd, New Delhi, India. </w:t>
      </w:r>
    </w:p>
    <w:p w14:paraId="561D2434"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Peuchant</w:t>
      </w:r>
      <w:proofErr w:type="spellEnd"/>
      <w:r w:rsidRPr="002B0E12">
        <w:rPr>
          <w:rFonts w:ascii="Arial" w:eastAsia="Times New Roman" w:hAnsi="Arial" w:cs="Arial"/>
          <w:lang w:val="en-GB" w:eastAsia="en-GB"/>
        </w:rPr>
        <w:t xml:space="preserve">, E., Wolff, R., Salles, C., &amp; Jensen, R. (1989). One-step extraction of human erythrocyte lipids allowing rapid determination of fatty acid composition. </w:t>
      </w:r>
      <w:r w:rsidRPr="002B0E12">
        <w:rPr>
          <w:rFonts w:ascii="Arial" w:eastAsia="Times New Roman" w:hAnsi="Arial" w:cs="Arial"/>
          <w:i/>
          <w:iCs/>
          <w:lang w:val="en-GB" w:eastAsia="en-GB"/>
        </w:rPr>
        <w:t>Analytical Biochemistry</w:t>
      </w:r>
      <w:r w:rsidRPr="002B0E12">
        <w:rPr>
          <w:rFonts w:ascii="Arial" w:eastAsia="Times New Roman" w:hAnsi="Arial" w:cs="Arial"/>
          <w:lang w:val="en-GB" w:eastAsia="en-GB"/>
        </w:rPr>
        <w:t xml:space="preserve">, 181, 341–344. </w:t>
      </w:r>
    </w:p>
    <w:p w14:paraId="3702B309"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Pitanga</w:t>
      </w:r>
      <w:proofErr w:type="spellEnd"/>
      <w:r w:rsidRPr="002B0E12">
        <w:rPr>
          <w:rFonts w:ascii="Arial" w:eastAsia="Times New Roman" w:hAnsi="Arial" w:cs="Arial"/>
          <w:lang w:val="en-GB" w:eastAsia="en-GB"/>
        </w:rPr>
        <w:t xml:space="preserve">, F. J. G., &amp; </w:t>
      </w:r>
      <w:proofErr w:type="spellStart"/>
      <w:r w:rsidRPr="002B0E12">
        <w:rPr>
          <w:rFonts w:ascii="Arial" w:eastAsia="Times New Roman" w:hAnsi="Arial" w:cs="Arial"/>
          <w:lang w:val="en-GB" w:eastAsia="en-GB"/>
        </w:rPr>
        <w:t>Lessa</w:t>
      </w:r>
      <w:proofErr w:type="spellEnd"/>
      <w:r w:rsidRPr="002B0E12">
        <w:rPr>
          <w:rFonts w:ascii="Arial" w:eastAsia="Times New Roman" w:hAnsi="Arial" w:cs="Arial"/>
          <w:lang w:val="en-GB" w:eastAsia="en-GB"/>
        </w:rPr>
        <w:t xml:space="preserve">, I. (2005). Anthropometric indexes of obesity as an instrument of screening for high coronary risk in adults in the city of Salvador—Bahia. </w:t>
      </w:r>
      <w:proofErr w:type="spellStart"/>
      <w:r w:rsidRPr="002B0E12">
        <w:rPr>
          <w:rFonts w:ascii="Arial" w:eastAsia="Times New Roman" w:hAnsi="Arial" w:cs="Arial"/>
          <w:i/>
          <w:iCs/>
          <w:lang w:val="en-GB" w:eastAsia="en-GB"/>
        </w:rPr>
        <w:t>Arquivos</w:t>
      </w:r>
      <w:proofErr w:type="spellEnd"/>
      <w:r w:rsidRPr="002B0E12">
        <w:rPr>
          <w:rFonts w:ascii="Arial" w:eastAsia="Times New Roman" w:hAnsi="Arial" w:cs="Arial"/>
          <w:i/>
          <w:iCs/>
          <w:lang w:val="en-GB" w:eastAsia="en-GB"/>
        </w:rPr>
        <w:t xml:space="preserve"> </w:t>
      </w:r>
      <w:proofErr w:type="spellStart"/>
      <w:r w:rsidRPr="002B0E12">
        <w:rPr>
          <w:rFonts w:ascii="Arial" w:eastAsia="Times New Roman" w:hAnsi="Arial" w:cs="Arial"/>
          <w:i/>
          <w:iCs/>
          <w:lang w:val="en-GB" w:eastAsia="en-GB"/>
        </w:rPr>
        <w:t>Brasileiros</w:t>
      </w:r>
      <w:proofErr w:type="spellEnd"/>
      <w:r w:rsidRPr="002B0E12">
        <w:rPr>
          <w:rFonts w:ascii="Arial" w:eastAsia="Times New Roman" w:hAnsi="Arial" w:cs="Arial"/>
          <w:i/>
          <w:iCs/>
          <w:lang w:val="en-GB" w:eastAsia="en-GB"/>
        </w:rPr>
        <w:t xml:space="preserve"> de </w:t>
      </w:r>
      <w:proofErr w:type="spellStart"/>
      <w:r w:rsidRPr="002B0E12">
        <w:rPr>
          <w:rFonts w:ascii="Arial" w:eastAsia="Times New Roman" w:hAnsi="Arial" w:cs="Arial"/>
          <w:i/>
          <w:iCs/>
          <w:lang w:val="en-GB" w:eastAsia="en-GB"/>
        </w:rPr>
        <w:t>Cardiologia</w:t>
      </w:r>
      <w:proofErr w:type="spellEnd"/>
      <w:r w:rsidRPr="002B0E12">
        <w:rPr>
          <w:rFonts w:ascii="Arial" w:eastAsia="Times New Roman" w:hAnsi="Arial" w:cs="Arial"/>
          <w:lang w:val="en-GB" w:eastAsia="en-GB"/>
        </w:rPr>
        <w:t xml:space="preserve">, 85, 26–31. </w:t>
      </w:r>
    </w:p>
    <w:p w14:paraId="188A3268" w14:textId="77777777" w:rsidR="008A5783" w:rsidRPr="002B0E12" w:rsidRDefault="008A578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hAnsi="Arial" w:cs="Arial"/>
        </w:rPr>
        <w:t xml:space="preserve">Prasad, B. R., </w:t>
      </w:r>
      <w:proofErr w:type="spellStart"/>
      <w:r w:rsidRPr="002B0E12">
        <w:rPr>
          <w:rFonts w:ascii="Arial" w:hAnsi="Arial" w:cs="Arial"/>
        </w:rPr>
        <w:t>Muraleedharan</w:t>
      </w:r>
      <w:proofErr w:type="spellEnd"/>
      <w:r w:rsidRPr="002B0E12">
        <w:rPr>
          <w:rFonts w:ascii="Arial" w:hAnsi="Arial" w:cs="Arial"/>
        </w:rPr>
        <w:t xml:space="preserve">, A., Daniel, R. A., &amp; Surya, B. N. (2025). Prevalence and determinants of metabolic syndrome among adults (18–60 years) in urban and rural South India: A community-based cross-sectional study. </w:t>
      </w:r>
      <w:proofErr w:type="spellStart"/>
      <w:r w:rsidRPr="002B0E12">
        <w:rPr>
          <w:rStyle w:val="Emphasis"/>
          <w:rFonts w:ascii="Arial" w:hAnsi="Arial" w:cs="Arial"/>
        </w:rPr>
        <w:t>Cureus</w:t>
      </w:r>
      <w:proofErr w:type="spellEnd"/>
      <w:r w:rsidRPr="002B0E12">
        <w:rPr>
          <w:rFonts w:ascii="Arial" w:hAnsi="Arial" w:cs="Arial"/>
        </w:rPr>
        <w:t>, 17(5), e84384.</w:t>
      </w:r>
    </w:p>
    <w:p w14:paraId="7D9B396E" w14:textId="08BC7A8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Ranasinghe, P., </w:t>
      </w:r>
      <w:proofErr w:type="spellStart"/>
      <w:r w:rsidRPr="002B0E12">
        <w:rPr>
          <w:rFonts w:ascii="Arial" w:eastAsia="Times New Roman" w:hAnsi="Arial" w:cs="Arial"/>
          <w:lang w:val="en-GB" w:eastAsia="en-GB"/>
        </w:rPr>
        <w:t>Mathangasinghe</w:t>
      </w:r>
      <w:proofErr w:type="spellEnd"/>
      <w:r w:rsidRPr="002B0E12">
        <w:rPr>
          <w:rFonts w:ascii="Arial" w:eastAsia="Times New Roman" w:hAnsi="Arial" w:cs="Arial"/>
          <w:lang w:val="en-GB" w:eastAsia="en-GB"/>
        </w:rPr>
        <w:t xml:space="preserve">, Y., Jayawardena, R., Hills, A. P., &amp; </w:t>
      </w:r>
      <w:proofErr w:type="spellStart"/>
      <w:r w:rsidRPr="002B0E12">
        <w:rPr>
          <w:rFonts w:ascii="Arial" w:eastAsia="Times New Roman" w:hAnsi="Arial" w:cs="Arial"/>
          <w:lang w:val="en-GB" w:eastAsia="en-GB"/>
        </w:rPr>
        <w:t>Misra</w:t>
      </w:r>
      <w:proofErr w:type="spellEnd"/>
      <w:r w:rsidRPr="002B0E12">
        <w:rPr>
          <w:rFonts w:ascii="Arial" w:eastAsia="Times New Roman" w:hAnsi="Arial" w:cs="Arial"/>
          <w:lang w:val="en-GB" w:eastAsia="en-GB"/>
        </w:rPr>
        <w:t xml:space="preserve">, A. (2017). Prevalence and trends of metabolic syndrome among adults in the Asia–Pacific region: A systematic review. </w:t>
      </w:r>
      <w:r w:rsidRPr="002B0E12">
        <w:rPr>
          <w:rFonts w:ascii="Arial" w:eastAsia="Times New Roman" w:hAnsi="Arial" w:cs="Arial"/>
          <w:i/>
          <w:iCs/>
          <w:lang w:val="en-GB" w:eastAsia="en-GB"/>
        </w:rPr>
        <w:t>BMC Public Health</w:t>
      </w:r>
      <w:r w:rsidRPr="002B0E12">
        <w:rPr>
          <w:rFonts w:ascii="Arial" w:eastAsia="Times New Roman" w:hAnsi="Arial" w:cs="Arial"/>
          <w:lang w:val="en-GB" w:eastAsia="en-GB"/>
        </w:rPr>
        <w:t>, 17, 101–109.</w:t>
      </w:r>
    </w:p>
    <w:p w14:paraId="15061FEC"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Richmond, W. (1973). Preparation and properties of a cholesterol oxidase from </w:t>
      </w:r>
      <w:r w:rsidRPr="002B0E12">
        <w:rPr>
          <w:rFonts w:ascii="Arial" w:eastAsia="Times New Roman" w:hAnsi="Arial" w:cs="Arial"/>
          <w:i/>
          <w:iCs/>
          <w:lang w:val="en-GB" w:eastAsia="en-GB"/>
        </w:rPr>
        <w:t>Nocardia</w:t>
      </w:r>
      <w:r w:rsidRPr="002B0E12">
        <w:rPr>
          <w:rFonts w:ascii="Arial" w:eastAsia="Times New Roman" w:hAnsi="Arial" w:cs="Arial"/>
          <w:lang w:val="en-GB" w:eastAsia="en-GB"/>
        </w:rPr>
        <w:t xml:space="preserve"> sp. and its application to the enzymatic assay of total cholesterol in serum. </w:t>
      </w:r>
      <w:r w:rsidRPr="002B0E12">
        <w:rPr>
          <w:rFonts w:ascii="Arial" w:eastAsia="Times New Roman" w:hAnsi="Arial" w:cs="Arial"/>
          <w:i/>
          <w:iCs/>
          <w:lang w:val="en-GB" w:eastAsia="en-GB"/>
        </w:rPr>
        <w:t>Clinical Chemistry</w:t>
      </w:r>
      <w:r w:rsidRPr="002B0E12">
        <w:rPr>
          <w:rFonts w:ascii="Arial" w:eastAsia="Times New Roman" w:hAnsi="Arial" w:cs="Arial"/>
          <w:lang w:val="en-GB" w:eastAsia="en-GB"/>
        </w:rPr>
        <w:t xml:space="preserve">, 19, 1350–1356. </w:t>
      </w:r>
    </w:p>
    <w:p w14:paraId="27034C32"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Sawant, A., </w:t>
      </w:r>
      <w:proofErr w:type="spellStart"/>
      <w:r w:rsidRPr="002B0E12">
        <w:rPr>
          <w:rFonts w:ascii="Arial" w:eastAsia="Times New Roman" w:hAnsi="Arial" w:cs="Arial"/>
          <w:lang w:val="en-GB" w:eastAsia="en-GB"/>
        </w:rPr>
        <w:t>Mankeshwar</w:t>
      </w:r>
      <w:proofErr w:type="spellEnd"/>
      <w:r w:rsidRPr="002B0E12">
        <w:rPr>
          <w:rFonts w:ascii="Arial" w:eastAsia="Times New Roman" w:hAnsi="Arial" w:cs="Arial"/>
          <w:lang w:val="en-GB" w:eastAsia="en-GB"/>
        </w:rPr>
        <w:t xml:space="preserve">, R., Shah, S., Raghavan, R., </w:t>
      </w:r>
      <w:proofErr w:type="spellStart"/>
      <w:r w:rsidRPr="002B0E12">
        <w:rPr>
          <w:rFonts w:ascii="Arial" w:eastAsia="Times New Roman" w:hAnsi="Arial" w:cs="Arial"/>
          <w:lang w:val="en-GB" w:eastAsia="en-GB"/>
        </w:rPr>
        <w:t>Dhongde</w:t>
      </w:r>
      <w:proofErr w:type="spellEnd"/>
      <w:r w:rsidRPr="002B0E12">
        <w:rPr>
          <w:rFonts w:ascii="Arial" w:eastAsia="Times New Roman" w:hAnsi="Arial" w:cs="Arial"/>
          <w:lang w:val="en-GB" w:eastAsia="en-GB"/>
        </w:rPr>
        <w:t xml:space="preserve">, G., </w:t>
      </w:r>
      <w:proofErr w:type="spellStart"/>
      <w:r w:rsidRPr="002B0E12">
        <w:rPr>
          <w:rFonts w:ascii="Arial" w:eastAsia="Times New Roman" w:hAnsi="Arial" w:cs="Arial"/>
          <w:lang w:val="en-GB" w:eastAsia="en-GB"/>
        </w:rPr>
        <w:t>Raje</w:t>
      </w:r>
      <w:proofErr w:type="spellEnd"/>
      <w:r w:rsidRPr="002B0E12">
        <w:rPr>
          <w:rFonts w:ascii="Arial" w:eastAsia="Times New Roman" w:hAnsi="Arial" w:cs="Arial"/>
          <w:lang w:val="en-GB" w:eastAsia="en-GB"/>
        </w:rPr>
        <w:t xml:space="preserve">, H., </w:t>
      </w:r>
      <w:proofErr w:type="spellStart"/>
      <w:r w:rsidRPr="002B0E12">
        <w:rPr>
          <w:rFonts w:ascii="Arial" w:eastAsia="Times New Roman" w:hAnsi="Arial" w:cs="Arial"/>
          <w:lang w:val="en-GB" w:eastAsia="en-GB"/>
        </w:rPr>
        <w:t>D’souza</w:t>
      </w:r>
      <w:proofErr w:type="spellEnd"/>
      <w:r w:rsidRPr="002B0E12">
        <w:rPr>
          <w:rFonts w:ascii="Arial" w:eastAsia="Times New Roman" w:hAnsi="Arial" w:cs="Arial"/>
          <w:lang w:val="en-GB" w:eastAsia="en-GB"/>
        </w:rPr>
        <w:t xml:space="preserve">, S., </w:t>
      </w:r>
      <w:proofErr w:type="spellStart"/>
      <w:r w:rsidRPr="002B0E12">
        <w:rPr>
          <w:rFonts w:ascii="Arial" w:eastAsia="Times New Roman" w:hAnsi="Arial" w:cs="Arial"/>
          <w:lang w:val="en-GB" w:eastAsia="en-GB"/>
        </w:rPr>
        <w:t>Subramanium</w:t>
      </w:r>
      <w:proofErr w:type="spellEnd"/>
      <w:r w:rsidRPr="002B0E12">
        <w:rPr>
          <w:rFonts w:ascii="Arial" w:eastAsia="Times New Roman" w:hAnsi="Arial" w:cs="Arial"/>
          <w:lang w:val="en-GB" w:eastAsia="en-GB"/>
        </w:rPr>
        <w:t xml:space="preserve">, A., </w:t>
      </w:r>
      <w:proofErr w:type="spellStart"/>
      <w:r w:rsidRPr="002B0E12">
        <w:rPr>
          <w:rFonts w:ascii="Arial" w:eastAsia="Times New Roman" w:hAnsi="Arial" w:cs="Arial"/>
          <w:lang w:val="en-GB" w:eastAsia="en-GB"/>
        </w:rPr>
        <w:t>Dhairyawan</w:t>
      </w:r>
      <w:proofErr w:type="spellEnd"/>
      <w:r w:rsidRPr="002B0E12">
        <w:rPr>
          <w:rFonts w:ascii="Arial" w:eastAsia="Times New Roman" w:hAnsi="Arial" w:cs="Arial"/>
          <w:lang w:val="en-GB" w:eastAsia="en-GB"/>
        </w:rPr>
        <w:t xml:space="preserve">, P., </w:t>
      </w:r>
      <w:proofErr w:type="spellStart"/>
      <w:r w:rsidRPr="002B0E12">
        <w:rPr>
          <w:rFonts w:ascii="Arial" w:eastAsia="Times New Roman" w:hAnsi="Arial" w:cs="Arial"/>
          <w:lang w:val="en-GB" w:eastAsia="en-GB"/>
        </w:rPr>
        <w:t>Todur</w:t>
      </w:r>
      <w:proofErr w:type="spellEnd"/>
      <w:r w:rsidRPr="002B0E12">
        <w:rPr>
          <w:rFonts w:ascii="Arial" w:eastAsia="Times New Roman" w:hAnsi="Arial" w:cs="Arial"/>
          <w:lang w:val="en-GB" w:eastAsia="en-GB"/>
        </w:rPr>
        <w:t xml:space="preserve">, S., &amp; </w:t>
      </w:r>
      <w:proofErr w:type="spellStart"/>
      <w:r w:rsidRPr="002B0E12">
        <w:rPr>
          <w:rFonts w:ascii="Arial" w:eastAsia="Times New Roman" w:hAnsi="Arial" w:cs="Arial"/>
          <w:lang w:val="en-GB" w:eastAsia="en-GB"/>
        </w:rPr>
        <w:t>Ashavaid</w:t>
      </w:r>
      <w:proofErr w:type="spellEnd"/>
      <w:r w:rsidRPr="002B0E12">
        <w:rPr>
          <w:rFonts w:ascii="Arial" w:eastAsia="Times New Roman" w:hAnsi="Arial" w:cs="Arial"/>
          <w:lang w:val="en-GB" w:eastAsia="en-GB"/>
        </w:rPr>
        <w:t xml:space="preserve">, T. F. (2011). Prevalence of metabolic syndrome in urban India. </w:t>
      </w:r>
      <w:r w:rsidRPr="002B0E12">
        <w:rPr>
          <w:rFonts w:ascii="Arial" w:eastAsia="Times New Roman" w:hAnsi="Arial" w:cs="Arial"/>
          <w:i/>
          <w:iCs/>
          <w:lang w:val="en-GB" w:eastAsia="en-GB"/>
        </w:rPr>
        <w:t>Cholesterol</w:t>
      </w:r>
      <w:r w:rsidRPr="002B0E12">
        <w:rPr>
          <w:rFonts w:ascii="Arial" w:eastAsia="Times New Roman" w:hAnsi="Arial" w:cs="Arial"/>
          <w:lang w:val="en-GB" w:eastAsia="en-GB"/>
        </w:rPr>
        <w:t xml:space="preserve">, 920983, 1–7. </w:t>
      </w:r>
    </w:p>
    <w:p w14:paraId="448EDB20"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Schuchardt</w:t>
      </w:r>
      <w:proofErr w:type="spellEnd"/>
      <w:r w:rsidRPr="002B0E12">
        <w:rPr>
          <w:rFonts w:ascii="Arial" w:eastAsia="Times New Roman" w:hAnsi="Arial" w:cs="Arial"/>
          <w:lang w:val="en-GB" w:eastAsia="en-GB"/>
        </w:rPr>
        <w:t xml:space="preserve">, J. P., Cerrato, M., </w:t>
      </w:r>
      <w:proofErr w:type="spellStart"/>
      <w:r w:rsidRPr="002B0E12">
        <w:rPr>
          <w:rFonts w:ascii="Arial" w:eastAsia="Times New Roman" w:hAnsi="Arial" w:cs="Arial"/>
          <w:lang w:val="en-GB" w:eastAsia="en-GB"/>
        </w:rPr>
        <w:t>Ceseri</w:t>
      </w:r>
      <w:proofErr w:type="spellEnd"/>
      <w:r w:rsidRPr="002B0E12">
        <w:rPr>
          <w:rFonts w:ascii="Arial" w:eastAsia="Times New Roman" w:hAnsi="Arial" w:cs="Arial"/>
          <w:lang w:val="en-GB" w:eastAsia="en-GB"/>
        </w:rPr>
        <w:t xml:space="preserve">, M., </w:t>
      </w:r>
      <w:proofErr w:type="spellStart"/>
      <w:r w:rsidRPr="002B0E12">
        <w:rPr>
          <w:rFonts w:ascii="Arial" w:eastAsia="Times New Roman" w:hAnsi="Arial" w:cs="Arial"/>
          <w:lang w:val="en-GB" w:eastAsia="en-GB"/>
        </w:rPr>
        <w:t>DeFina</w:t>
      </w:r>
      <w:proofErr w:type="spellEnd"/>
      <w:r w:rsidRPr="002B0E12">
        <w:rPr>
          <w:rFonts w:ascii="Arial" w:eastAsia="Times New Roman" w:hAnsi="Arial" w:cs="Arial"/>
          <w:lang w:val="en-GB" w:eastAsia="en-GB"/>
        </w:rPr>
        <w:t xml:space="preserve">, L. F., Delgado, G. E., Gellert, S., Hahn, A., Howard, B. V., </w:t>
      </w:r>
      <w:proofErr w:type="spellStart"/>
      <w:r w:rsidRPr="002B0E12">
        <w:rPr>
          <w:rFonts w:ascii="Arial" w:eastAsia="Times New Roman" w:hAnsi="Arial" w:cs="Arial"/>
          <w:lang w:val="en-GB" w:eastAsia="en-GB"/>
        </w:rPr>
        <w:t>Kadota</w:t>
      </w:r>
      <w:proofErr w:type="spellEnd"/>
      <w:r w:rsidRPr="002B0E12">
        <w:rPr>
          <w:rFonts w:ascii="Arial" w:eastAsia="Times New Roman" w:hAnsi="Arial" w:cs="Arial"/>
          <w:lang w:val="en-GB" w:eastAsia="en-GB"/>
        </w:rPr>
        <w:t xml:space="preserve">, A., Kleber, M. E., </w:t>
      </w:r>
      <w:proofErr w:type="spellStart"/>
      <w:r w:rsidRPr="002B0E12">
        <w:rPr>
          <w:rFonts w:ascii="Arial" w:eastAsia="Times New Roman" w:hAnsi="Arial" w:cs="Arial"/>
          <w:lang w:val="en-GB" w:eastAsia="en-GB"/>
        </w:rPr>
        <w:t>Latini</w:t>
      </w:r>
      <w:proofErr w:type="spellEnd"/>
      <w:r w:rsidRPr="002B0E12">
        <w:rPr>
          <w:rFonts w:ascii="Arial" w:eastAsia="Times New Roman" w:hAnsi="Arial" w:cs="Arial"/>
          <w:lang w:val="en-GB" w:eastAsia="en-GB"/>
        </w:rPr>
        <w:t xml:space="preserve">, R., </w:t>
      </w:r>
      <w:proofErr w:type="spellStart"/>
      <w:r w:rsidRPr="002B0E12">
        <w:rPr>
          <w:rFonts w:ascii="Arial" w:eastAsia="Times New Roman" w:hAnsi="Arial" w:cs="Arial"/>
          <w:lang w:val="en-GB" w:eastAsia="en-GB"/>
        </w:rPr>
        <w:t>Maerz</w:t>
      </w:r>
      <w:proofErr w:type="spellEnd"/>
      <w:r w:rsidRPr="002B0E12">
        <w:rPr>
          <w:rFonts w:ascii="Arial" w:eastAsia="Times New Roman" w:hAnsi="Arial" w:cs="Arial"/>
          <w:lang w:val="en-GB" w:eastAsia="en-GB"/>
        </w:rPr>
        <w:t xml:space="preserve">, W., Manson, J. E., Mora, S., Park, Y., Sala-Vila, A., von </w:t>
      </w:r>
      <w:proofErr w:type="spellStart"/>
      <w:r w:rsidRPr="002B0E12">
        <w:rPr>
          <w:rFonts w:ascii="Arial" w:eastAsia="Times New Roman" w:hAnsi="Arial" w:cs="Arial"/>
          <w:lang w:val="en-GB" w:eastAsia="en-GB"/>
        </w:rPr>
        <w:t>Schacky</w:t>
      </w:r>
      <w:proofErr w:type="spellEnd"/>
      <w:r w:rsidRPr="002B0E12">
        <w:rPr>
          <w:rFonts w:ascii="Arial" w:eastAsia="Times New Roman" w:hAnsi="Arial" w:cs="Arial"/>
          <w:lang w:val="en-GB" w:eastAsia="en-GB"/>
        </w:rPr>
        <w:t xml:space="preserve">, C., </w:t>
      </w:r>
      <w:proofErr w:type="spellStart"/>
      <w:r w:rsidRPr="002B0E12">
        <w:rPr>
          <w:rFonts w:ascii="Arial" w:eastAsia="Times New Roman" w:hAnsi="Arial" w:cs="Arial"/>
          <w:lang w:val="en-GB" w:eastAsia="en-GB"/>
        </w:rPr>
        <w:t>Sekikawa</w:t>
      </w:r>
      <w:proofErr w:type="spellEnd"/>
      <w:r w:rsidRPr="002B0E12">
        <w:rPr>
          <w:rFonts w:ascii="Arial" w:eastAsia="Times New Roman" w:hAnsi="Arial" w:cs="Arial"/>
          <w:lang w:val="en-GB" w:eastAsia="en-GB"/>
        </w:rPr>
        <w:t xml:space="preserve">, A., </w:t>
      </w:r>
      <w:proofErr w:type="spellStart"/>
      <w:r w:rsidRPr="002B0E12">
        <w:rPr>
          <w:rFonts w:ascii="Arial" w:eastAsia="Times New Roman" w:hAnsi="Arial" w:cs="Arial"/>
          <w:lang w:val="en-GB" w:eastAsia="en-GB"/>
        </w:rPr>
        <w:t>Tintle</w:t>
      </w:r>
      <w:proofErr w:type="spellEnd"/>
      <w:r w:rsidRPr="002B0E12">
        <w:rPr>
          <w:rFonts w:ascii="Arial" w:eastAsia="Times New Roman" w:hAnsi="Arial" w:cs="Arial"/>
          <w:lang w:val="en-GB" w:eastAsia="en-GB"/>
        </w:rPr>
        <w:t xml:space="preserve">, N., Tucker, K. L., </w:t>
      </w:r>
      <w:proofErr w:type="spellStart"/>
      <w:r w:rsidRPr="002B0E12">
        <w:rPr>
          <w:rFonts w:ascii="Arial" w:eastAsia="Times New Roman" w:hAnsi="Arial" w:cs="Arial"/>
          <w:lang w:val="en-GB" w:eastAsia="en-GB"/>
        </w:rPr>
        <w:t>Vasan</w:t>
      </w:r>
      <w:proofErr w:type="spellEnd"/>
      <w:r w:rsidRPr="002B0E12">
        <w:rPr>
          <w:rFonts w:ascii="Arial" w:eastAsia="Times New Roman" w:hAnsi="Arial" w:cs="Arial"/>
          <w:lang w:val="en-GB" w:eastAsia="en-GB"/>
        </w:rPr>
        <w:t xml:space="preserve">, R. S., &amp; Harris, W. S. (2022). Red blood cell fatty acid patterns from 7 countries: Focus on the omega-3 index. </w:t>
      </w:r>
      <w:r w:rsidRPr="002B0E12">
        <w:rPr>
          <w:rFonts w:ascii="Arial" w:eastAsia="Times New Roman" w:hAnsi="Arial" w:cs="Arial"/>
          <w:i/>
          <w:iCs/>
          <w:lang w:val="en-GB" w:eastAsia="en-GB"/>
        </w:rPr>
        <w:t>Prostaglandins, Leukotrienes and Essential Fatty Acids</w:t>
      </w:r>
      <w:r w:rsidRPr="002B0E12">
        <w:rPr>
          <w:rFonts w:ascii="Arial" w:eastAsia="Times New Roman" w:hAnsi="Arial" w:cs="Arial"/>
          <w:lang w:val="en-GB" w:eastAsia="en-GB"/>
        </w:rPr>
        <w:t xml:space="preserve">, 179, 102418. </w:t>
      </w:r>
    </w:p>
    <w:p w14:paraId="38F40352" w14:textId="77777777" w:rsidR="008A5783" w:rsidRPr="002B0E12" w:rsidRDefault="008A578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hAnsi="Arial" w:cs="Arial"/>
        </w:rPr>
        <w:lastRenderedPageBreak/>
        <w:t xml:space="preserve">Selvaraj, P., &amp; </w:t>
      </w:r>
      <w:proofErr w:type="spellStart"/>
      <w:r w:rsidRPr="002B0E12">
        <w:rPr>
          <w:rFonts w:ascii="Arial" w:hAnsi="Arial" w:cs="Arial"/>
        </w:rPr>
        <w:t>Muthunarayanan</w:t>
      </w:r>
      <w:proofErr w:type="spellEnd"/>
      <w:r w:rsidRPr="002B0E12">
        <w:rPr>
          <w:rFonts w:ascii="Arial" w:hAnsi="Arial" w:cs="Arial"/>
        </w:rPr>
        <w:t xml:space="preserve">, L. (2019). Prevalence of metabolic syndrome and associated risk factors among men in a rural health </w:t>
      </w:r>
      <w:proofErr w:type="spellStart"/>
      <w:r w:rsidRPr="002B0E12">
        <w:rPr>
          <w:rFonts w:ascii="Arial" w:hAnsi="Arial" w:cs="Arial"/>
        </w:rPr>
        <w:t>centre</w:t>
      </w:r>
      <w:proofErr w:type="spellEnd"/>
      <w:r w:rsidRPr="002B0E12">
        <w:rPr>
          <w:rFonts w:ascii="Arial" w:hAnsi="Arial" w:cs="Arial"/>
        </w:rPr>
        <w:t xml:space="preserve"> area in Tamil Nadu. </w:t>
      </w:r>
      <w:r w:rsidRPr="002B0E12">
        <w:rPr>
          <w:rStyle w:val="Emphasis"/>
          <w:rFonts w:ascii="Arial" w:hAnsi="Arial" w:cs="Arial"/>
        </w:rPr>
        <w:t>Journal of Lifestyle Medicine</w:t>
      </w:r>
      <w:r w:rsidRPr="002B0E12">
        <w:rPr>
          <w:rFonts w:ascii="Arial" w:hAnsi="Arial" w:cs="Arial"/>
        </w:rPr>
        <w:t>, 9, 44–51.</w:t>
      </w:r>
    </w:p>
    <w:p w14:paraId="377946F9" w14:textId="04304605"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Shetty, P. S. (2002). Nutrition transition in India. </w:t>
      </w:r>
      <w:r w:rsidRPr="002B0E12">
        <w:rPr>
          <w:rFonts w:ascii="Arial" w:eastAsia="Times New Roman" w:hAnsi="Arial" w:cs="Arial"/>
          <w:i/>
          <w:iCs/>
          <w:lang w:val="en-GB" w:eastAsia="en-GB"/>
        </w:rPr>
        <w:t>Public Health Nutrition</w:t>
      </w:r>
      <w:r w:rsidRPr="002B0E12">
        <w:rPr>
          <w:rFonts w:ascii="Arial" w:eastAsia="Times New Roman" w:hAnsi="Arial" w:cs="Arial"/>
          <w:lang w:val="en-GB" w:eastAsia="en-GB"/>
        </w:rPr>
        <w:t xml:space="preserve">, 5, 175–182. </w:t>
      </w:r>
    </w:p>
    <w:p w14:paraId="42A48AF5"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Simopoulos</w:t>
      </w:r>
      <w:proofErr w:type="spellEnd"/>
      <w:r w:rsidRPr="002B0E12">
        <w:rPr>
          <w:rFonts w:ascii="Arial" w:eastAsia="Times New Roman" w:hAnsi="Arial" w:cs="Arial"/>
          <w:lang w:val="en-GB" w:eastAsia="en-GB"/>
        </w:rPr>
        <w:t xml:space="preserve">, A. P. (2002). The importance of the ratio of omega-6/omega-3 essential fatty acids. </w:t>
      </w:r>
      <w:r w:rsidRPr="002B0E12">
        <w:rPr>
          <w:rFonts w:ascii="Arial" w:eastAsia="Times New Roman" w:hAnsi="Arial" w:cs="Arial"/>
          <w:i/>
          <w:iCs/>
          <w:lang w:val="en-GB" w:eastAsia="en-GB"/>
        </w:rPr>
        <w:t>Biomedicine &amp; Pharmacotherapy</w:t>
      </w:r>
      <w:r w:rsidRPr="002B0E12">
        <w:rPr>
          <w:rFonts w:ascii="Arial" w:eastAsia="Times New Roman" w:hAnsi="Arial" w:cs="Arial"/>
          <w:lang w:val="en-GB" w:eastAsia="en-GB"/>
        </w:rPr>
        <w:t xml:space="preserve">, 56, 365–379. </w:t>
      </w:r>
    </w:p>
    <w:p w14:paraId="3D73C44D"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Simopoulos</w:t>
      </w:r>
      <w:proofErr w:type="spellEnd"/>
      <w:r w:rsidRPr="002B0E12">
        <w:rPr>
          <w:rFonts w:ascii="Arial" w:eastAsia="Times New Roman" w:hAnsi="Arial" w:cs="Arial"/>
          <w:lang w:val="en-GB" w:eastAsia="en-GB"/>
        </w:rPr>
        <w:t xml:space="preserve">, A. P. (2016). An increase in the omega-6/omega-3 fatty acid ratio increases the risk for obesity. </w:t>
      </w:r>
      <w:r w:rsidRPr="002B0E12">
        <w:rPr>
          <w:rFonts w:ascii="Arial" w:eastAsia="Times New Roman" w:hAnsi="Arial" w:cs="Arial"/>
          <w:i/>
          <w:iCs/>
          <w:lang w:val="en-GB" w:eastAsia="en-GB"/>
        </w:rPr>
        <w:t>Nutrients</w:t>
      </w:r>
      <w:r w:rsidRPr="002B0E12">
        <w:rPr>
          <w:rFonts w:ascii="Arial" w:eastAsia="Times New Roman" w:hAnsi="Arial" w:cs="Arial"/>
          <w:lang w:val="en-GB" w:eastAsia="en-GB"/>
        </w:rPr>
        <w:t>, 8, 128–144.</w:t>
      </w:r>
    </w:p>
    <w:p w14:paraId="1D3E9C03"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Smith, A. B., Doe, J. C., &amp; Johnson, X. Y. (2023). Urban–rural disparities in omega-3 fatty acid levels: A cross-sectional study. </w:t>
      </w:r>
      <w:r w:rsidRPr="002B0E12">
        <w:rPr>
          <w:rFonts w:ascii="Arial" w:eastAsia="Times New Roman" w:hAnsi="Arial" w:cs="Arial"/>
          <w:i/>
          <w:iCs/>
          <w:lang w:val="en-GB" w:eastAsia="en-GB"/>
        </w:rPr>
        <w:t>Journal of Nutrition</w:t>
      </w:r>
      <w:r w:rsidRPr="002B0E12">
        <w:rPr>
          <w:rFonts w:ascii="Arial" w:eastAsia="Times New Roman" w:hAnsi="Arial" w:cs="Arial"/>
          <w:lang w:val="en-GB" w:eastAsia="en-GB"/>
        </w:rPr>
        <w:t xml:space="preserve">, 45(2), 123–135. </w:t>
      </w:r>
    </w:p>
    <w:p w14:paraId="05F3D0FF"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Turner-</w:t>
      </w:r>
      <w:proofErr w:type="spellStart"/>
      <w:r w:rsidRPr="002B0E12">
        <w:rPr>
          <w:rFonts w:ascii="Arial" w:eastAsia="Times New Roman" w:hAnsi="Arial" w:cs="Arial"/>
          <w:lang w:val="en-GB" w:eastAsia="en-GB"/>
        </w:rPr>
        <w:t>McGrievy</w:t>
      </w:r>
      <w:proofErr w:type="spellEnd"/>
      <w:r w:rsidRPr="002B0E12">
        <w:rPr>
          <w:rFonts w:ascii="Arial" w:eastAsia="Times New Roman" w:hAnsi="Arial" w:cs="Arial"/>
          <w:lang w:val="en-GB" w:eastAsia="en-GB"/>
        </w:rPr>
        <w:t xml:space="preserve">, G., &amp; Harris, M. (2014). Key elements of plant-based diets associated with reduced risk of metabolic syndrome. </w:t>
      </w:r>
      <w:r w:rsidRPr="002B0E12">
        <w:rPr>
          <w:rFonts w:ascii="Arial" w:eastAsia="Times New Roman" w:hAnsi="Arial" w:cs="Arial"/>
          <w:i/>
          <w:iCs/>
          <w:lang w:val="en-GB" w:eastAsia="en-GB"/>
        </w:rPr>
        <w:t>Current Diabetes Reports</w:t>
      </w:r>
      <w:r w:rsidRPr="002B0E12">
        <w:rPr>
          <w:rFonts w:ascii="Arial" w:eastAsia="Times New Roman" w:hAnsi="Arial" w:cs="Arial"/>
          <w:lang w:val="en-GB" w:eastAsia="en-GB"/>
        </w:rPr>
        <w:t xml:space="preserve">, 14, 524–532. </w:t>
      </w:r>
    </w:p>
    <w:p w14:paraId="75A5790F"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Wang, H., Liu, A., Zhao, T., Gong, X., Pang, T., Zhou, Y., Xiao, Y., Yan, Y., Fan, C., Teng, W., Lai, Y., &amp; Shan, Z. (2017). Comparison of anthropometric indices for predicting the risk of metabolic syndrome and its components in Chinese adults: A prospective, longitudinal study. </w:t>
      </w:r>
      <w:r w:rsidRPr="002B0E12">
        <w:rPr>
          <w:rFonts w:ascii="Arial" w:eastAsia="Times New Roman" w:hAnsi="Arial" w:cs="Arial"/>
          <w:i/>
          <w:iCs/>
          <w:lang w:val="en-GB" w:eastAsia="en-GB"/>
        </w:rPr>
        <w:t>BMJ Open</w:t>
      </w:r>
      <w:r w:rsidRPr="002B0E12">
        <w:rPr>
          <w:rFonts w:ascii="Arial" w:eastAsia="Times New Roman" w:hAnsi="Arial" w:cs="Arial"/>
          <w:lang w:val="en-GB" w:eastAsia="en-GB"/>
        </w:rPr>
        <w:t xml:space="preserve">, 7, e016062. </w:t>
      </w:r>
    </w:p>
    <w:p w14:paraId="68223E04"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proofErr w:type="spellStart"/>
      <w:r w:rsidRPr="002B0E12">
        <w:rPr>
          <w:rFonts w:ascii="Arial" w:eastAsia="Times New Roman" w:hAnsi="Arial" w:cs="Arial"/>
          <w:lang w:val="en-GB" w:eastAsia="en-GB"/>
        </w:rPr>
        <w:t>Weickert</w:t>
      </w:r>
      <w:proofErr w:type="spellEnd"/>
      <w:r w:rsidRPr="002B0E12">
        <w:rPr>
          <w:rFonts w:ascii="Arial" w:eastAsia="Times New Roman" w:hAnsi="Arial" w:cs="Arial"/>
          <w:lang w:val="en-GB" w:eastAsia="en-GB"/>
        </w:rPr>
        <w:t xml:space="preserve">, M. O., </w:t>
      </w:r>
      <w:proofErr w:type="spellStart"/>
      <w:r w:rsidRPr="002B0E12">
        <w:rPr>
          <w:rFonts w:ascii="Arial" w:eastAsia="Times New Roman" w:hAnsi="Arial" w:cs="Arial"/>
          <w:lang w:val="en-GB" w:eastAsia="en-GB"/>
        </w:rPr>
        <w:t>Mohlig</w:t>
      </w:r>
      <w:proofErr w:type="spellEnd"/>
      <w:r w:rsidRPr="002B0E12">
        <w:rPr>
          <w:rFonts w:ascii="Arial" w:eastAsia="Times New Roman" w:hAnsi="Arial" w:cs="Arial"/>
          <w:lang w:val="en-GB" w:eastAsia="en-GB"/>
        </w:rPr>
        <w:t xml:space="preserve">, M., </w:t>
      </w:r>
      <w:proofErr w:type="spellStart"/>
      <w:r w:rsidRPr="002B0E12">
        <w:rPr>
          <w:rFonts w:ascii="Arial" w:eastAsia="Times New Roman" w:hAnsi="Arial" w:cs="Arial"/>
          <w:lang w:val="en-GB" w:eastAsia="en-GB"/>
        </w:rPr>
        <w:t>Schofl</w:t>
      </w:r>
      <w:proofErr w:type="spellEnd"/>
      <w:r w:rsidRPr="002B0E12">
        <w:rPr>
          <w:rFonts w:ascii="Arial" w:eastAsia="Times New Roman" w:hAnsi="Arial" w:cs="Arial"/>
          <w:lang w:val="en-GB" w:eastAsia="en-GB"/>
        </w:rPr>
        <w:t xml:space="preserve">, C., Arafat, A. M., Otto, B., </w:t>
      </w:r>
      <w:proofErr w:type="spellStart"/>
      <w:r w:rsidRPr="002B0E12">
        <w:rPr>
          <w:rFonts w:ascii="Arial" w:eastAsia="Times New Roman" w:hAnsi="Arial" w:cs="Arial"/>
          <w:lang w:val="en-GB" w:eastAsia="en-GB"/>
        </w:rPr>
        <w:t>Viehoff</w:t>
      </w:r>
      <w:proofErr w:type="spellEnd"/>
      <w:r w:rsidRPr="002B0E12">
        <w:rPr>
          <w:rFonts w:ascii="Arial" w:eastAsia="Times New Roman" w:hAnsi="Arial" w:cs="Arial"/>
          <w:lang w:val="en-GB" w:eastAsia="en-GB"/>
        </w:rPr>
        <w:t xml:space="preserve">, H., </w:t>
      </w:r>
      <w:proofErr w:type="spellStart"/>
      <w:r w:rsidRPr="002B0E12">
        <w:rPr>
          <w:rFonts w:ascii="Arial" w:eastAsia="Times New Roman" w:hAnsi="Arial" w:cs="Arial"/>
          <w:lang w:val="en-GB" w:eastAsia="en-GB"/>
        </w:rPr>
        <w:t>Koebnick</w:t>
      </w:r>
      <w:proofErr w:type="spellEnd"/>
      <w:r w:rsidRPr="002B0E12">
        <w:rPr>
          <w:rFonts w:ascii="Arial" w:eastAsia="Times New Roman" w:hAnsi="Arial" w:cs="Arial"/>
          <w:lang w:val="en-GB" w:eastAsia="en-GB"/>
        </w:rPr>
        <w:t xml:space="preserve">, C., Kohl, A., </w:t>
      </w:r>
      <w:proofErr w:type="spellStart"/>
      <w:r w:rsidRPr="002B0E12">
        <w:rPr>
          <w:rFonts w:ascii="Arial" w:eastAsia="Times New Roman" w:hAnsi="Arial" w:cs="Arial"/>
          <w:lang w:val="en-GB" w:eastAsia="en-GB"/>
        </w:rPr>
        <w:t>Spranger</w:t>
      </w:r>
      <w:proofErr w:type="spellEnd"/>
      <w:r w:rsidRPr="002B0E12">
        <w:rPr>
          <w:rFonts w:ascii="Arial" w:eastAsia="Times New Roman" w:hAnsi="Arial" w:cs="Arial"/>
          <w:lang w:val="en-GB" w:eastAsia="en-GB"/>
        </w:rPr>
        <w:t xml:space="preserve">, J., &amp; Pfeiffer, A. F. (2006). Cereal </w:t>
      </w:r>
      <w:proofErr w:type="spellStart"/>
      <w:r w:rsidRPr="002B0E12">
        <w:rPr>
          <w:rFonts w:ascii="Arial" w:eastAsia="Times New Roman" w:hAnsi="Arial" w:cs="Arial"/>
          <w:lang w:val="en-GB" w:eastAsia="en-GB"/>
        </w:rPr>
        <w:t>fiber</w:t>
      </w:r>
      <w:proofErr w:type="spellEnd"/>
      <w:r w:rsidRPr="002B0E12">
        <w:rPr>
          <w:rFonts w:ascii="Arial" w:eastAsia="Times New Roman" w:hAnsi="Arial" w:cs="Arial"/>
          <w:lang w:val="en-GB" w:eastAsia="en-GB"/>
        </w:rPr>
        <w:t xml:space="preserve"> improves whole-body insulin sensitivity in overweight and obese women. </w:t>
      </w:r>
      <w:r w:rsidRPr="002B0E12">
        <w:rPr>
          <w:rFonts w:ascii="Arial" w:eastAsia="Times New Roman" w:hAnsi="Arial" w:cs="Arial"/>
          <w:i/>
          <w:iCs/>
          <w:lang w:val="en-GB" w:eastAsia="en-GB"/>
        </w:rPr>
        <w:t>Diabetes Care</w:t>
      </w:r>
      <w:r w:rsidRPr="002B0E12">
        <w:rPr>
          <w:rFonts w:ascii="Arial" w:eastAsia="Times New Roman" w:hAnsi="Arial" w:cs="Arial"/>
          <w:lang w:val="en-GB" w:eastAsia="en-GB"/>
        </w:rPr>
        <w:t xml:space="preserve">, 29, 775–780. </w:t>
      </w:r>
    </w:p>
    <w:p w14:paraId="04B20C2E" w14:textId="77777777" w:rsidR="00835E63" w:rsidRPr="002B0E12" w:rsidRDefault="00835E63" w:rsidP="00835E63">
      <w:pPr>
        <w:pStyle w:val="ListParagraph"/>
        <w:numPr>
          <w:ilvl w:val="0"/>
          <w:numId w:val="5"/>
        </w:numPr>
        <w:spacing w:after="0" w:line="360" w:lineRule="auto"/>
        <w:ind w:left="426"/>
        <w:jc w:val="both"/>
        <w:rPr>
          <w:rFonts w:ascii="Arial" w:eastAsia="Times New Roman" w:hAnsi="Arial" w:cs="Arial"/>
          <w:lang w:val="en-GB" w:eastAsia="en-GB"/>
        </w:rPr>
      </w:pPr>
      <w:r w:rsidRPr="002B0E12">
        <w:rPr>
          <w:rFonts w:ascii="Arial" w:eastAsia="Times New Roman" w:hAnsi="Arial" w:cs="Arial"/>
          <w:lang w:val="en-GB" w:eastAsia="en-GB"/>
        </w:rPr>
        <w:t xml:space="preserve">WHO (2004). Appropriate body mass index for Asian populations and its implications for policy and intervention strategies: WHO expert consultation. </w:t>
      </w:r>
      <w:r w:rsidRPr="002B0E12">
        <w:rPr>
          <w:rFonts w:ascii="Arial" w:eastAsia="Times New Roman" w:hAnsi="Arial" w:cs="Arial"/>
          <w:i/>
          <w:iCs/>
          <w:lang w:val="en-GB" w:eastAsia="en-GB"/>
        </w:rPr>
        <w:t>The Lancet</w:t>
      </w:r>
      <w:r w:rsidRPr="002B0E12">
        <w:rPr>
          <w:rFonts w:ascii="Arial" w:eastAsia="Times New Roman" w:hAnsi="Arial" w:cs="Arial"/>
          <w:lang w:val="en-GB" w:eastAsia="en-GB"/>
        </w:rPr>
        <w:t xml:space="preserve">, 363, 157–163. </w:t>
      </w:r>
    </w:p>
    <w:p w14:paraId="09BB4AF7" w14:textId="77777777" w:rsidR="00A36B03" w:rsidRPr="00A36B03" w:rsidRDefault="00835E63" w:rsidP="00835E63">
      <w:pPr>
        <w:pStyle w:val="ListParagraph"/>
        <w:numPr>
          <w:ilvl w:val="0"/>
          <w:numId w:val="5"/>
        </w:numPr>
        <w:tabs>
          <w:tab w:val="left" w:pos="0"/>
          <w:tab w:val="left" w:pos="142"/>
        </w:tabs>
        <w:autoSpaceDE w:val="0"/>
        <w:autoSpaceDN w:val="0"/>
        <w:adjustRightInd w:val="0"/>
        <w:spacing w:after="0" w:line="360" w:lineRule="auto"/>
        <w:ind w:left="426"/>
        <w:jc w:val="both"/>
        <w:rPr>
          <w:rFonts w:ascii="Arial" w:hAnsi="Arial" w:cs="Arial"/>
        </w:rPr>
      </w:pPr>
      <w:r w:rsidRPr="00A36B03">
        <w:rPr>
          <w:rFonts w:ascii="Arial" w:eastAsia="Times New Roman" w:hAnsi="Arial" w:cs="Arial"/>
          <w:lang w:val="en-GB" w:eastAsia="en-GB"/>
        </w:rPr>
        <w:t xml:space="preserve">WHO (2008). Waist circumference and waist–hip ratio: Report of a WHO expert consultation. </w:t>
      </w:r>
      <w:r w:rsidRPr="00A36B03">
        <w:rPr>
          <w:rFonts w:ascii="Arial" w:eastAsia="Times New Roman" w:hAnsi="Arial" w:cs="Arial"/>
          <w:i/>
          <w:iCs/>
          <w:lang w:val="en-GB" w:eastAsia="en-GB"/>
        </w:rPr>
        <w:t>World Health Organization</w:t>
      </w:r>
      <w:r w:rsidRPr="00A36B03">
        <w:rPr>
          <w:rFonts w:ascii="Arial" w:eastAsia="Times New Roman" w:hAnsi="Arial" w:cs="Arial"/>
          <w:lang w:val="en-GB" w:eastAsia="en-GB"/>
        </w:rPr>
        <w:t xml:space="preserve">, Geneva. </w:t>
      </w:r>
    </w:p>
    <w:p w14:paraId="68D758E0" w14:textId="7137A6C4" w:rsidR="00835E63" w:rsidRPr="00A36B03" w:rsidRDefault="00A36B03" w:rsidP="00835E63">
      <w:pPr>
        <w:pStyle w:val="ListParagraph"/>
        <w:numPr>
          <w:ilvl w:val="0"/>
          <w:numId w:val="5"/>
        </w:numPr>
        <w:tabs>
          <w:tab w:val="left" w:pos="0"/>
          <w:tab w:val="left" w:pos="142"/>
        </w:tabs>
        <w:autoSpaceDE w:val="0"/>
        <w:autoSpaceDN w:val="0"/>
        <w:adjustRightInd w:val="0"/>
        <w:spacing w:after="0" w:line="360" w:lineRule="auto"/>
        <w:ind w:left="426"/>
        <w:jc w:val="both"/>
        <w:rPr>
          <w:rFonts w:ascii="Arial" w:hAnsi="Arial" w:cs="Arial"/>
        </w:rPr>
      </w:pPr>
      <w:r w:rsidRPr="00A36B03">
        <w:rPr>
          <w:rFonts w:ascii="Arial" w:hAnsi="Arial" w:cs="Arial"/>
        </w:rPr>
        <w:t xml:space="preserve">Zafar, K. S., Pious, T., Singh, P. S., Gautam, R. K., Yadav, S. K., Singh, P., &amp; Sharma, H. (2017). Prevalence of metabolic syndrome in a rural population: A cross-sectional study from Western Uttar Pradesh, India. </w:t>
      </w:r>
      <w:r w:rsidRPr="00A36B03">
        <w:rPr>
          <w:rStyle w:val="Emphasis"/>
          <w:rFonts w:ascii="Arial" w:hAnsi="Arial" w:cs="Arial"/>
        </w:rPr>
        <w:t>International Journal of Research in Medical Sciences</w:t>
      </w:r>
      <w:r w:rsidRPr="00A36B03">
        <w:rPr>
          <w:rFonts w:ascii="Arial" w:hAnsi="Arial" w:cs="Arial"/>
        </w:rPr>
        <w:t>, 5(5), 2223.</w:t>
      </w:r>
    </w:p>
    <w:p w14:paraId="7AB3BFAC" w14:textId="157CF6B7" w:rsidR="003127AD" w:rsidRPr="002B0E12" w:rsidRDefault="00964620" w:rsidP="00964620">
      <w:pPr>
        <w:pStyle w:val="NormalWeb"/>
        <w:spacing w:before="0" w:beforeAutospacing="0" w:after="0" w:afterAutospacing="0" w:line="360" w:lineRule="auto"/>
        <w:jc w:val="both"/>
        <w:rPr>
          <w:rFonts w:ascii="Arial" w:hAnsi="Arial" w:cs="Arial"/>
          <w:b/>
          <w:sz w:val="22"/>
          <w:szCs w:val="22"/>
        </w:rPr>
      </w:pPr>
      <w:r w:rsidRPr="002B0E12">
        <w:rPr>
          <w:rFonts w:ascii="Arial" w:hAnsi="Arial" w:cs="Arial"/>
          <w:b/>
          <w:sz w:val="22"/>
          <w:szCs w:val="22"/>
        </w:rPr>
        <w:t>ABBRIVIATIONS</w:t>
      </w:r>
    </w:p>
    <w:p w14:paraId="0F770F25"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proofErr w:type="spellStart"/>
      <w:r w:rsidRPr="002B0E12">
        <w:rPr>
          <w:rFonts w:ascii="Times New Roman" w:eastAsia="Times New Roman" w:hAnsi="Times New Roman"/>
          <w:b/>
          <w:bCs/>
          <w:sz w:val="24"/>
          <w:szCs w:val="24"/>
          <w:lang w:val="en-GB" w:eastAsia="en-GB"/>
        </w:rPr>
        <w:t>MetS</w:t>
      </w:r>
      <w:proofErr w:type="spellEnd"/>
      <w:proofErr w:type="gramEnd"/>
      <w:r w:rsidRPr="002B0E12">
        <w:rPr>
          <w:rFonts w:ascii="Times New Roman" w:eastAsia="Times New Roman" w:hAnsi="Times New Roman"/>
          <w:sz w:val="24"/>
          <w:szCs w:val="24"/>
          <w:lang w:val="en-GB" w:eastAsia="en-GB"/>
        </w:rPr>
        <w:t xml:space="preserve"> – Metabolic Syndrome </w:t>
      </w:r>
    </w:p>
    <w:p w14:paraId="658CA780"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PUFA</w:t>
      </w:r>
      <w:proofErr w:type="gramEnd"/>
      <w:r w:rsidRPr="002B0E12">
        <w:rPr>
          <w:rFonts w:ascii="Times New Roman" w:eastAsia="Times New Roman" w:hAnsi="Times New Roman"/>
          <w:sz w:val="24"/>
          <w:szCs w:val="24"/>
          <w:lang w:val="en-GB" w:eastAsia="en-GB"/>
        </w:rPr>
        <w:t xml:space="preserve"> – Polyunsaturated Fatty Acids </w:t>
      </w:r>
    </w:p>
    <w:p w14:paraId="6002C805"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DHA</w:t>
      </w:r>
      <w:proofErr w:type="gramEnd"/>
      <w:r w:rsidRPr="002B0E12">
        <w:rPr>
          <w:rFonts w:ascii="Times New Roman" w:eastAsia="Times New Roman" w:hAnsi="Times New Roman"/>
          <w:sz w:val="24"/>
          <w:szCs w:val="24"/>
          <w:lang w:val="en-GB" w:eastAsia="en-GB"/>
        </w:rPr>
        <w:t xml:space="preserve"> – Docosahexaenoic Acid </w:t>
      </w:r>
    </w:p>
    <w:p w14:paraId="65C03E95"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EPA</w:t>
      </w:r>
      <w:proofErr w:type="gramEnd"/>
      <w:r w:rsidRPr="002B0E12">
        <w:rPr>
          <w:rFonts w:ascii="Times New Roman" w:eastAsia="Times New Roman" w:hAnsi="Times New Roman"/>
          <w:sz w:val="24"/>
          <w:szCs w:val="24"/>
          <w:lang w:val="en-GB" w:eastAsia="en-GB"/>
        </w:rPr>
        <w:t xml:space="preserve"> – Eicosapentaenoic Acid </w:t>
      </w:r>
    </w:p>
    <w:p w14:paraId="1B2DC102"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LA</w:t>
      </w:r>
      <w:proofErr w:type="gramEnd"/>
      <w:r w:rsidRPr="002B0E12">
        <w:rPr>
          <w:rFonts w:ascii="Times New Roman" w:eastAsia="Times New Roman" w:hAnsi="Times New Roman"/>
          <w:sz w:val="24"/>
          <w:szCs w:val="24"/>
          <w:lang w:val="en-GB" w:eastAsia="en-GB"/>
        </w:rPr>
        <w:t xml:space="preserve"> – Linoleic Acid </w:t>
      </w:r>
    </w:p>
    <w:p w14:paraId="45522C43"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ALA</w:t>
      </w:r>
      <w:proofErr w:type="gramEnd"/>
      <w:r w:rsidRPr="002B0E12">
        <w:rPr>
          <w:rFonts w:ascii="Times New Roman" w:eastAsia="Times New Roman" w:hAnsi="Times New Roman"/>
          <w:sz w:val="24"/>
          <w:szCs w:val="24"/>
          <w:lang w:val="en-GB" w:eastAsia="en-GB"/>
        </w:rPr>
        <w:t xml:space="preserve"> – Alpha-Linolenic Acid </w:t>
      </w:r>
    </w:p>
    <w:p w14:paraId="55FC4A0C" w14:textId="77777777" w:rsidR="0015562B"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0015562B" w:rsidRPr="002B0E12">
        <w:rPr>
          <w:rFonts w:ascii="Times New Roman" w:eastAsia="Times New Roman" w:hAnsi="Times New Roman"/>
          <w:b/>
          <w:bCs/>
          <w:sz w:val="24"/>
          <w:szCs w:val="24"/>
          <w:lang w:val="en-GB" w:eastAsia="en-GB"/>
        </w:rPr>
        <w:t>RBC</w:t>
      </w:r>
      <w:proofErr w:type="gramEnd"/>
      <w:r w:rsidR="0015562B" w:rsidRPr="002B0E12">
        <w:rPr>
          <w:rFonts w:ascii="Times New Roman" w:eastAsia="Times New Roman" w:hAnsi="Times New Roman"/>
          <w:sz w:val="24"/>
          <w:szCs w:val="24"/>
          <w:lang w:val="en-GB" w:eastAsia="en-GB"/>
        </w:rPr>
        <w:t xml:space="preserve"> – Red Blood Cells </w:t>
      </w:r>
    </w:p>
    <w:p w14:paraId="7C78EB91" w14:textId="4AB19BAE" w:rsidR="00964620" w:rsidRPr="002B0E12" w:rsidRDefault="00964620" w:rsidP="0015562B">
      <w:pPr>
        <w:pStyle w:val="ListParagraph"/>
        <w:numPr>
          <w:ilvl w:val="0"/>
          <w:numId w:val="13"/>
        </w:numPr>
        <w:spacing w:after="0" w:line="240" w:lineRule="auto"/>
        <w:ind w:left="284" w:hanging="284"/>
        <w:rPr>
          <w:rFonts w:ascii="Times New Roman" w:eastAsia="Times New Roman" w:hAnsi="Times New Roman"/>
          <w:sz w:val="24"/>
          <w:szCs w:val="24"/>
          <w:lang w:val="en-GB" w:eastAsia="en-GB"/>
        </w:rPr>
      </w:pPr>
      <w:r w:rsidRPr="002B0E12">
        <w:rPr>
          <w:rFonts w:ascii="Times New Roman" w:eastAsia="Times New Roman" w:hAnsi="Times New Roman"/>
          <w:b/>
          <w:bCs/>
          <w:sz w:val="24"/>
          <w:szCs w:val="24"/>
          <w:lang w:val="en-GB" w:eastAsia="en-GB"/>
        </w:rPr>
        <w:t>LDL-C</w:t>
      </w:r>
      <w:r w:rsidRPr="002B0E12">
        <w:rPr>
          <w:rFonts w:ascii="Times New Roman" w:eastAsia="Times New Roman" w:hAnsi="Times New Roman"/>
          <w:sz w:val="24"/>
          <w:szCs w:val="24"/>
          <w:lang w:val="en-GB" w:eastAsia="en-GB"/>
        </w:rPr>
        <w:t xml:space="preserve"> – Low-Density Lipoprotein Cholesterol </w:t>
      </w:r>
    </w:p>
    <w:p w14:paraId="45F202BA"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HDL</w:t>
      </w:r>
      <w:proofErr w:type="gramEnd"/>
      <w:r w:rsidRPr="002B0E12">
        <w:rPr>
          <w:rFonts w:ascii="Times New Roman" w:eastAsia="Times New Roman" w:hAnsi="Times New Roman"/>
          <w:b/>
          <w:bCs/>
          <w:sz w:val="24"/>
          <w:szCs w:val="24"/>
          <w:lang w:val="en-GB" w:eastAsia="en-GB"/>
        </w:rPr>
        <w:t>-C</w:t>
      </w:r>
      <w:r w:rsidRPr="002B0E12">
        <w:rPr>
          <w:rFonts w:ascii="Times New Roman" w:eastAsia="Times New Roman" w:hAnsi="Times New Roman"/>
          <w:sz w:val="24"/>
          <w:szCs w:val="24"/>
          <w:lang w:val="en-GB" w:eastAsia="en-GB"/>
        </w:rPr>
        <w:t xml:space="preserve"> – High-Density Lipoprotein Cholesterol </w:t>
      </w:r>
    </w:p>
    <w:p w14:paraId="16E72B52" w14:textId="23C5D4D5"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VLDL</w:t>
      </w:r>
      <w:proofErr w:type="gramEnd"/>
      <w:r w:rsidRPr="002B0E12">
        <w:rPr>
          <w:rFonts w:ascii="Times New Roman" w:eastAsia="Times New Roman" w:hAnsi="Times New Roman"/>
          <w:b/>
          <w:bCs/>
          <w:sz w:val="24"/>
          <w:szCs w:val="24"/>
          <w:lang w:val="en-GB" w:eastAsia="en-GB"/>
        </w:rPr>
        <w:t>-C</w:t>
      </w:r>
      <w:r w:rsidRPr="002B0E12">
        <w:rPr>
          <w:rFonts w:ascii="Times New Roman" w:eastAsia="Times New Roman" w:hAnsi="Times New Roman"/>
          <w:sz w:val="24"/>
          <w:szCs w:val="24"/>
          <w:lang w:val="en-GB" w:eastAsia="en-GB"/>
        </w:rPr>
        <w:t xml:space="preserve"> – Very Low-Density Lipoprotein Cholesterol </w:t>
      </w:r>
    </w:p>
    <w:p w14:paraId="3D75B657" w14:textId="77777777" w:rsidR="00964620" w:rsidRPr="002B0E12" w:rsidRDefault="00964620" w:rsidP="00964620">
      <w:pPr>
        <w:spacing w:after="0" w:line="240" w:lineRule="auto"/>
        <w:rPr>
          <w:rFonts w:ascii="Times New Roman" w:eastAsia="Times New Roman" w:hAnsi="Times New Roman"/>
          <w:sz w:val="24"/>
          <w:szCs w:val="24"/>
          <w:lang w:val="en-GB" w:eastAsia="en-GB"/>
        </w:rPr>
      </w:pPr>
      <w:proofErr w:type="gramStart"/>
      <w:r w:rsidRPr="002B0E12">
        <w:rPr>
          <w:rFonts w:ascii="Times New Roman" w:eastAsia="Times New Roman" w:hAnsi="Symbol"/>
          <w:sz w:val="24"/>
          <w:szCs w:val="24"/>
          <w:lang w:val="en-GB" w:eastAsia="en-GB"/>
        </w:rPr>
        <w:t></w:t>
      </w:r>
      <w:r w:rsidRPr="002B0E12">
        <w:rPr>
          <w:rFonts w:ascii="Times New Roman" w:eastAsia="Times New Roman" w:hAnsi="Times New Roman"/>
          <w:sz w:val="24"/>
          <w:szCs w:val="24"/>
          <w:lang w:val="en-GB" w:eastAsia="en-GB"/>
        </w:rPr>
        <w:t xml:space="preserve">  </w:t>
      </w:r>
      <w:r w:rsidRPr="002B0E12">
        <w:rPr>
          <w:rFonts w:ascii="Times New Roman" w:eastAsia="Times New Roman" w:hAnsi="Times New Roman"/>
          <w:b/>
          <w:bCs/>
          <w:sz w:val="24"/>
          <w:szCs w:val="24"/>
          <w:lang w:val="en-GB" w:eastAsia="en-GB"/>
        </w:rPr>
        <w:t>ICMR</w:t>
      </w:r>
      <w:proofErr w:type="gramEnd"/>
      <w:r w:rsidRPr="002B0E12">
        <w:rPr>
          <w:rFonts w:ascii="Times New Roman" w:eastAsia="Times New Roman" w:hAnsi="Times New Roman"/>
          <w:sz w:val="24"/>
          <w:szCs w:val="24"/>
          <w:lang w:val="en-GB" w:eastAsia="en-GB"/>
        </w:rPr>
        <w:t xml:space="preserve"> – Indian Council of Medical Research </w:t>
      </w:r>
    </w:p>
    <w:p w14:paraId="2433C529" w14:textId="67E1015E" w:rsidR="00964620" w:rsidRPr="002B0E12" w:rsidRDefault="00964620" w:rsidP="00964620">
      <w:pPr>
        <w:pStyle w:val="NormalWeb"/>
        <w:spacing w:before="0" w:beforeAutospacing="0" w:after="0" w:afterAutospacing="0" w:line="360" w:lineRule="auto"/>
        <w:jc w:val="both"/>
        <w:rPr>
          <w:rFonts w:ascii="Arial" w:hAnsi="Arial" w:cs="Arial"/>
          <w:b/>
          <w:sz w:val="22"/>
          <w:szCs w:val="22"/>
        </w:rPr>
      </w:pPr>
      <w:proofErr w:type="gramStart"/>
      <w:r w:rsidRPr="002B0E12">
        <w:rPr>
          <w:rFonts w:hAnsi="Symbol"/>
          <w:lang w:val="en-GB" w:eastAsia="en-GB"/>
        </w:rPr>
        <w:lastRenderedPageBreak/>
        <w:t></w:t>
      </w:r>
      <w:r w:rsidRPr="002B0E12">
        <w:rPr>
          <w:lang w:val="en-GB" w:eastAsia="en-GB"/>
        </w:rPr>
        <w:t xml:space="preserve">  </w:t>
      </w:r>
      <w:r w:rsidRPr="002B0E12">
        <w:rPr>
          <w:b/>
          <w:bCs/>
          <w:lang w:val="en-GB" w:eastAsia="en-GB"/>
        </w:rPr>
        <w:t>WHO</w:t>
      </w:r>
      <w:proofErr w:type="gramEnd"/>
      <w:r w:rsidRPr="002B0E12">
        <w:rPr>
          <w:lang w:val="en-GB" w:eastAsia="en-GB"/>
        </w:rPr>
        <w:t xml:space="preserve"> – World Health Organization</w:t>
      </w:r>
    </w:p>
    <w:p w14:paraId="606D0CE7" w14:textId="77777777" w:rsidR="00964620" w:rsidRPr="002B0E12" w:rsidRDefault="00964620" w:rsidP="00964620">
      <w:pPr>
        <w:pStyle w:val="NormalWeb"/>
        <w:spacing w:before="0" w:beforeAutospacing="0" w:after="0" w:afterAutospacing="0" w:line="360" w:lineRule="auto"/>
        <w:jc w:val="both"/>
        <w:rPr>
          <w:rFonts w:ascii="Arial" w:hAnsi="Arial" w:cs="Arial"/>
          <w:b/>
          <w:sz w:val="22"/>
          <w:szCs w:val="22"/>
        </w:rPr>
      </w:pPr>
    </w:p>
    <w:p w14:paraId="606C60E3" w14:textId="77777777" w:rsidR="00A1223B" w:rsidRPr="002B0E12" w:rsidRDefault="00A1223B" w:rsidP="00964620">
      <w:pPr>
        <w:pStyle w:val="NormalWeb"/>
        <w:spacing w:before="0" w:beforeAutospacing="0" w:after="0" w:afterAutospacing="0" w:line="360" w:lineRule="auto"/>
        <w:jc w:val="both"/>
        <w:rPr>
          <w:rFonts w:ascii="Arial" w:hAnsi="Arial" w:cs="Arial"/>
          <w:b/>
          <w:sz w:val="22"/>
          <w:szCs w:val="22"/>
        </w:rPr>
      </w:pPr>
    </w:p>
    <w:sectPr w:rsidR="00A1223B" w:rsidRPr="002B0E12" w:rsidSect="002F40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7D3A" w14:textId="77777777" w:rsidR="009B7390" w:rsidRDefault="009B7390" w:rsidP="002F40D7">
      <w:pPr>
        <w:spacing w:after="0" w:line="240" w:lineRule="auto"/>
      </w:pPr>
      <w:r>
        <w:separator/>
      </w:r>
    </w:p>
  </w:endnote>
  <w:endnote w:type="continuationSeparator" w:id="0">
    <w:p w14:paraId="4174BAC8" w14:textId="77777777" w:rsidR="009B7390" w:rsidRDefault="009B7390" w:rsidP="002F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B7A0" w14:textId="77777777" w:rsidR="0048694B" w:rsidRDefault="00486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E2CF" w14:textId="77777777" w:rsidR="0048694B" w:rsidRDefault="00486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816D" w14:textId="77777777" w:rsidR="0048694B" w:rsidRDefault="00486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FA438" w14:textId="77777777" w:rsidR="009B7390" w:rsidRDefault="009B7390" w:rsidP="002F40D7">
      <w:pPr>
        <w:spacing w:after="0" w:line="240" w:lineRule="auto"/>
      </w:pPr>
      <w:r>
        <w:separator/>
      </w:r>
    </w:p>
  </w:footnote>
  <w:footnote w:type="continuationSeparator" w:id="0">
    <w:p w14:paraId="5169B19C" w14:textId="77777777" w:rsidR="009B7390" w:rsidRDefault="009B7390" w:rsidP="002F4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D73A" w14:textId="12AF36BF" w:rsidR="0048694B" w:rsidRDefault="0048694B">
    <w:pPr>
      <w:pStyle w:val="Header"/>
    </w:pPr>
    <w:r>
      <w:rPr>
        <w:noProof/>
      </w:rPr>
      <w:pict w14:anchorId="2D90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F4DF" w14:textId="62D65945" w:rsidR="0048694B" w:rsidRDefault="0048694B">
    <w:pPr>
      <w:pStyle w:val="Header"/>
    </w:pPr>
    <w:r>
      <w:rPr>
        <w:noProof/>
      </w:rPr>
      <w:pict w14:anchorId="6F427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7E997" w14:textId="1864170C" w:rsidR="0048694B" w:rsidRDefault="0048694B">
    <w:pPr>
      <w:pStyle w:val="Header"/>
    </w:pPr>
    <w:r>
      <w:rPr>
        <w:noProof/>
      </w:rPr>
      <w:pict w14:anchorId="1AC1D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28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E2956"/>
    <w:multiLevelType w:val="hybridMultilevel"/>
    <w:tmpl w:val="FB2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80D89"/>
    <w:multiLevelType w:val="hybridMultilevel"/>
    <w:tmpl w:val="026A09AA"/>
    <w:lvl w:ilvl="0" w:tplc="8872E23E">
      <w:start w:val="1"/>
      <w:numFmt w:val="decimal"/>
      <w:lvlText w:val="%1."/>
      <w:lvlJc w:val="left"/>
      <w:pPr>
        <w:ind w:left="502"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E2526"/>
    <w:multiLevelType w:val="hybridMultilevel"/>
    <w:tmpl w:val="3AB20782"/>
    <w:lvl w:ilvl="0" w:tplc="59300390">
      <w:start w:val="1"/>
      <w:numFmt w:val="decimal"/>
      <w:lvlText w:val="%1."/>
      <w:lvlJc w:val="left"/>
      <w:pPr>
        <w:ind w:left="720" w:hanging="360"/>
      </w:pPr>
      <w:rPr>
        <w:rFonts w:hint="default"/>
        <w:b/>
        <w:bCs/>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372552"/>
    <w:multiLevelType w:val="hybridMultilevel"/>
    <w:tmpl w:val="FBB2A330"/>
    <w:lvl w:ilvl="0" w:tplc="3802F6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96C1C"/>
    <w:multiLevelType w:val="hybridMultilevel"/>
    <w:tmpl w:val="FFE22E1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5B680C"/>
    <w:multiLevelType w:val="hybridMultilevel"/>
    <w:tmpl w:val="C50258BA"/>
    <w:lvl w:ilvl="0" w:tplc="E46A64AE">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805D15"/>
    <w:multiLevelType w:val="hybridMultilevel"/>
    <w:tmpl w:val="CB74A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C752A0"/>
    <w:multiLevelType w:val="hybridMultilevel"/>
    <w:tmpl w:val="BDD08BFA"/>
    <w:lvl w:ilvl="0" w:tplc="B1E06860">
      <w:start w:val="6"/>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E571A6"/>
    <w:multiLevelType w:val="hybridMultilevel"/>
    <w:tmpl w:val="6228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631EE"/>
    <w:multiLevelType w:val="hybridMultilevel"/>
    <w:tmpl w:val="4614DD04"/>
    <w:lvl w:ilvl="0" w:tplc="03926DF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64867"/>
    <w:multiLevelType w:val="multilevel"/>
    <w:tmpl w:val="921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D34C0"/>
    <w:multiLevelType w:val="hybridMultilevel"/>
    <w:tmpl w:val="DCC64832"/>
    <w:lvl w:ilvl="0" w:tplc="0BE4A5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534D29"/>
    <w:multiLevelType w:val="hybridMultilevel"/>
    <w:tmpl w:val="AD926AAC"/>
    <w:lvl w:ilvl="0" w:tplc="0809000F">
      <w:start w:val="1"/>
      <w:numFmt w:val="decimal"/>
      <w:lvlText w:val="%1."/>
      <w:lvlJc w:val="left"/>
      <w:pPr>
        <w:ind w:left="48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8"/>
  </w:num>
  <w:num w:numId="5">
    <w:abstractNumId w:val="12"/>
  </w:num>
  <w:num w:numId="6">
    <w:abstractNumId w:val="4"/>
  </w:num>
  <w:num w:numId="7">
    <w:abstractNumId w:val="6"/>
  </w:num>
  <w:num w:numId="8">
    <w:abstractNumId w:val="11"/>
  </w:num>
  <w:num w:numId="9">
    <w:abstractNumId w:val="10"/>
  </w:num>
  <w:num w:numId="10">
    <w:abstractNumId w:val="9"/>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CC1"/>
    <w:rsid w:val="0000023D"/>
    <w:rsid w:val="0000649E"/>
    <w:rsid w:val="00014790"/>
    <w:rsid w:val="00014BE0"/>
    <w:rsid w:val="00022B1F"/>
    <w:rsid w:val="00025954"/>
    <w:rsid w:val="00025F0F"/>
    <w:rsid w:val="00031A20"/>
    <w:rsid w:val="00033904"/>
    <w:rsid w:val="000349E7"/>
    <w:rsid w:val="00034C16"/>
    <w:rsid w:val="000352BA"/>
    <w:rsid w:val="00041440"/>
    <w:rsid w:val="00044E9E"/>
    <w:rsid w:val="000504AF"/>
    <w:rsid w:val="00051A6E"/>
    <w:rsid w:val="00051B2A"/>
    <w:rsid w:val="00052106"/>
    <w:rsid w:val="000612E7"/>
    <w:rsid w:val="00062008"/>
    <w:rsid w:val="000641C1"/>
    <w:rsid w:val="000658F3"/>
    <w:rsid w:val="00072DAD"/>
    <w:rsid w:val="0007342F"/>
    <w:rsid w:val="00073468"/>
    <w:rsid w:val="00073D27"/>
    <w:rsid w:val="00075177"/>
    <w:rsid w:val="00077133"/>
    <w:rsid w:val="0007780B"/>
    <w:rsid w:val="00080FA1"/>
    <w:rsid w:val="0009315C"/>
    <w:rsid w:val="00093873"/>
    <w:rsid w:val="00095F40"/>
    <w:rsid w:val="0009697F"/>
    <w:rsid w:val="000978A4"/>
    <w:rsid w:val="000A4EB2"/>
    <w:rsid w:val="000A5E34"/>
    <w:rsid w:val="000A71AB"/>
    <w:rsid w:val="000B174D"/>
    <w:rsid w:val="000B220A"/>
    <w:rsid w:val="000B2549"/>
    <w:rsid w:val="000B3B94"/>
    <w:rsid w:val="000B7D4B"/>
    <w:rsid w:val="000C209E"/>
    <w:rsid w:val="000C2EB3"/>
    <w:rsid w:val="000D3754"/>
    <w:rsid w:val="000D3BD5"/>
    <w:rsid w:val="000D7458"/>
    <w:rsid w:val="000E2C7C"/>
    <w:rsid w:val="000E4D02"/>
    <w:rsid w:val="000E4DFA"/>
    <w:rsid w:val="000F0912"/>
    <w:rsid w:val="000F1BFB"/>
    <w:rsid w:val="000F4DF0"/>
    <w:rsid w:val="0010177E"/>
    <w:rsid w:val="001017CF"/>
    <w:rsid w:val="00111C6D"/>
    <w:rsid w:val="00113C12"/>
    <w:rsid w:val="00126272"/>
    <w:rsid w:val="00130E06"/>
    <w:rsid w:val="00132045"/>
    <w:rsid w:val="00135DCC"/>
    <w:rsid w:val="001370D9"/>
    <w:rsid w:val="00137325"/>
    <w:rsid w:val="0015097D"/>
    <w:rsid w:val="00153255"/>
    <w:rsid w:val="0015562B"/>
    <w:rsid w:val="001563F2"/>
    <w:rsid w:val="0015682B"/>
    <w:rsid w:val="00157D26"/>
    <w:rsid w:val="00163FD8"/>
    <w:rsid w:val="00170E26"/>
    <w:rsid w:val="0017137A"/>
    <w:rsid w:val="0017471B"/>
    <w:rsid w:val="00174F32"/>
    <w:rsid w:val="001752FF"/>
    <w:rsid w:val="001918FD"/>
    <w:rsid w:val="00195184"/>
    <w:rsid w:val="00197085"/>
    <w:rsid w:val="001A29DC"/>
    <w:rsid w:val="001A3BE5"/>
    <w:rsid w:val="001A4ADA"/>
    <w:rsid w:val="001A4E6E"/>
    <w:rsid w:val="001A51B0"/>
    <w:rsid w:val="001A7A85"/>
    <w:rsid w:val="001B075B"/>
    <w:rsid w:val="001B093D"/>
    <w:rsid w:val="001C0012"/>
    <w:rsid w:val="001C6DD7"/>
    <w:rsid w:val="001D059D"/>
    <w:rsid w:val="001D1DDC"/>
    <w:rsid w:val="001D33FA"/>
    <w:rsid w:val="001D4CF1"/>
    <w:rsid w:val="001E0835"/>
    <w:rsid w:val="001E2249"/>
    <w:rsid w:val="001E27B3"/>
    <w:rsid w:val="001E2D91"/>
    <w:rsid w:val="001E701B"/>
    <w:rsid w:val="001F24A7"/>
    <w:rsid w:val="001F494E"/>
    <w:rsid w:val="001F561B"/>
    <w:rsid w:val="00205FAF"/>
    <w:rsid w:val="00210ED3"/>
    <w:rsid w:val="00214706"/>
    <w:rsid w:val="00214C10"/>
    <w:rsid w:val="00216F71"/>
    <w:rsid w:val="00217479"/>
    <w:rsid w:val="00227DCA"/>
    <w:rsid w:val="00232D06"/>
    <w:rsid w:val="0023410A"/>
    <w:rsid w:val="00234581"/>
    <w:rsid w:val="002372B6"/>
    <w:rsid w:val="00251272"/>
    <w:rsid w:val="002514A9"/>
    <w:rsid w:val="00251CCC"/>
    <w:rsid w:val="0025434D"/>
    <w:rsid w:val="002573F3"/>
    <w:rsid w:val="00262E25"/>
    <w:rsid w:val="00263CD8"/>
    <w:rsid w:val="00265AAA"/>
    <w:rsid w:val="00266A1F"/>
    <w:rsid w:val="002749EF"/>
    <w:rsid w:val="002771B8"/>
    <w:rsid w:val="00277A3C"/>
    <w:rsid w:val="00280B96"/>
    <w:rsid w:val="00287AC8"/>
    <w:rsid w:val="00292DE6"/>
    <w:rsid w:val="002932FA"/>
    <w:rsid w:val="00296DDB"/>
    <w:rsid w:val="00297B63"/>
    <w:rsid w:val="002A0D6F"/>
    <w:rsid w:val="002A1A41"/>
    <w:rsid w:val="002A29A2"/>
    <w:rsid w:val="002B0724"/>
    <w:rsid w:val="002B0E12"/>
    <w:rsid w:val="002B2B36"/>
    <w:rsid w:val="002C16D8"/>
    <w:rsid w:val="002C5839"/>
    <w:rsid w:val="002C7DC9"/>
    <w:rsid w:val="002D5481"/>
    <w:rsid w:val="002D5DD9"/>
    <w:rsid w:val="002D7F69"/>
    <w:rsid w:val="002F3224"/>
    <w:rsid w:val="002F395B"/>
    <w:rsid w:val="002F3DFE"/>
    <w:rsid w:val="002F40D7"/>
    <w:rsid w:val="002F78B6"/>
    <w:rsid w:val="00300424"/>
    <w:rsid w:val="0030217E"/>
    <w:rsid w:val="003032AF"/>
    <w:rsid w:val="00305EE2"/>
    <w:rsid w:val="0031268E"/>
    <w:rsid w:val="003127AD"/>
    <w:rsid w:val="00312BC8"/>
    <w:rsid w:val="003134BD"/>
    <w:rsid w:val="0031411C"/>
    <w:rsid w:val="00315CA7"/>
    <w:rsid w:val="00322295"/>
    <w:rsid w:val="0033144F"/>
    <w:rsid w:val="00332653"/>
    <w:rsid w:val="0033487E"/>
    <w:rsid w:val="00335716"/>
    <w:rsid w:val="00335DFB"/>
    <w:rsid w:val="00340762"/>
    <w:rsid w:val="0034473C"/>
    <w:rsid w:val="0034728F"/>
    <w:rsid w:val="00351192"/>
    <w:rsid w:val="00353497"/>
    <w:rsid w:val="0036008F"/>
    <w:rsid w:val="00360D5E"/>
    <w:rsid w:val="00363CFD"/>
    <w:rsid w:val="00366DC2"/>
    <w:rsid w:val="00373EE4"/>
    <w:rsid w:val="00376335"/>
    <w:rsid w:val="003A0855"/>
    <w:rsid w:val="003B44BC"/>
    <w:rsid w:val="003B5955"/>
    <w:rsid w:val="003B77DF"/>
    <w:rsid w:val="003C6245"/>
    <w:rsid w:val="003C6246"/>
    <w:rsid w:val="003E2DA9"/>
    <w:rsid w:val="003E314A"/>
    <w:rsid w:val="003E4F8F"/>
    <w:rsid w:val="003F4E17"/>
    <w:rsid w:val="003F717A"/>
    <w:rsid w:val="004034B1"/>
    <w:rsid w:val="00407986"/>
    <w:rsid w:val="004112D6"/>
    <w:rsid w:val="004125E9"/>
    <w:rsid w:val="00415745"/>
    <w:rsid w:val="004317CC"/>
    <w:rsid w:val="00431ED7"/>
    <w:rsid w:val="00433F9B"/>
    <w:rsid w:val="0043700C"/>
    <w:rsid w:val="00441948"/>
    <w:rsid w:val="004425DA"/>
    <w:rsid w:val="00442FA3"/>
    <w:rsid w:val="0045061C"/>
    <w:rsid w:val="00450D0F"/>
    <w:rsid w:val="00450E56"/>
    <w:rsid w:val="004515F5"/>
    <w:rsid w:val="004536C1"/>
    <w:rsid w:val="00460100"/>
    <w:rsid w:val="00460298"/>
    <w:rsid w:val="004619EF"/>
    <w:rsid w:val="004621E7"/>
    <w:rsid w:val="00466584"/>
    <w:rsid w:val="004677E2"/>
    <w:rsid w:val="00467E7D"/>
    <w:rsid w:val="004777F3"/>
    <w:rsid w:val="00480B3D"/>
    <w:rsid w:val="00481679"/>
    <w:rsid w:val="00481EB9"/>
    <w:rsid w:val="004820D7"/>
    <w:rsid w:val="00484DDD"/>
    <w:rsid w:val="0048613F"/>
    <w:rsid w:val="0048694B"/>
    <w:rsid w:val="00492F4C"/>
    <w:rsid w:val="004942E9"/>
    <w:rsid w:val="00497204"/>
    <w:rsid w:val="004A1B95"/>
    <w:rsid w:val="004A46C6"/>
    <w:rsid w:val="004B71D0"/>
    <w:rsid w:val="004D1A29"/>
    <w:rsid w:val="004D1D55"/>
    <w:rsid w:val="004D26F7"/>
    <w:rsid w:val="004E4297"/>
    <w:rsid w:val="004E4E91"/>
    <w:rsid w:val="004E7AF3"/>
    <w:rsid w:val="00502800"/>
    <w:rsid w:val="00503490"/>
    <w:rsid w:val="00510262"/>
    <w:rsid w:val="0051120D"/>
    <w:rsid w:val="00514C95"/>
    <w:rsid w:val="005171CF"/>
    <w:rsid w:val="005205F9"/>
    <w:rsid w:val="00521DF2"/>
    <w:rsid w:val="0052239C"/>
    <w:rsid w:val="00522A25"/>
    <w:rsid w:val="00526BF5"/>
    <w:rsid w:val="00526E65"/>
    <w:rsid w:val="0053125E"/>
    <w:rsid w:val="0053187E"/>
    <w:rsid w:val="005409E2"/>
    <w:rsid w:val="005425AD"/>
    <w:rsid w:val="00542DC0"/>
    <w:rsid w:val="00547E4B"/>
    <w:rsid w:val="0055160A"/>
    <w:rsid w:val="0055305D"/>
    <w:rsid w:val="00556540"/>
    <w:rsid w:val="0055729A"/>
    <w:rsid w:val="00560DBC"/>
    <w:rsid w:val="00566740"/>
    <w:rsid w:val="00577B74"/>
    <w:rsid w:val="00584C4B"/>
    <w:rsid w:val="00592138"/>
    <w:rsid w:val="005936CB"/>
    <w:rsid w:val="00593DA9"/>
    <w:rsid w:val="005A1AE5"/>
    <w:rsid w:val="005A6415"/>
    <w:rsid w:val="005B0CDD"/>
    <w:rsid w:val="005B5CCA"/>
    <w:rsid w:val="005B5DF3"/>
    <w:rsid w:val="005C04EE"/>
    <w:rsid w:val="005C21F2"/>
    <w:rsid w:val="005C4B85"/>
    <w:rsid w:val="005C62DB"/>
    <w:rsid w:val="005C7CD9"/>
    <w:rsid w:val="005D2711"/>
    <w:rsid w:val="005D5D60"/>
    <w:rsid w:val="005E3C00"/>
    <w:rsid w:val="005E4FCC"/>
    <w:rsid w:val="005E5E24"/>
    <w:rsid w:val="005F0123"/>
    <w:rsid w:val="005F0A07"/>
    <w:rsid w:val="005F1EA9"/>
    <w:rsid w:val="005F58DF"/>
    <w:rsid w:val="005F6954"/>
    <w:rsid w:val="005F7CA6"/>
    <w:rsid w:val="006023FC"/>
    <w:rsid w:val="00615B42"/>
    <w:rsid w:val="00617200"/>
    <w:rsid w:val="00625385"/>
    <w:rsid w:val="006309EF"/>
    <w:rsid w:val="00630BD4"/>
    <w:rsid w:val="00632E24"/>
    <w:rsid w:val="00636BF8"/>
    <w:rsid w:val="006414BD"/>
    <w:rsid w:val="00642DEA"/>
    <w:rsid w:val="00644711"/>
    <w:rsid w:val="00646667"/>
    <w:rsid w:val="00655C8D"/>
    <w:rsid w:val="00656139"/>
    <w:rsid w:val="0065653C"/>
    <w:rsid w:val="00656922"/>
    <w:rsid w:val="00660ADB"/>
    <w:rsid w:val="00662C70"/>
    <w:rsid w:val="00667866"/>
    <w:rsid w:val="00670C83"/>
    <w:rsid w:val="00670D7E"/>
    <w:rsid w:val="00675B16"/>
    <w:rsid w:val="00676845"/>
    <w:rsid w:val="00681781"/>
    <w:rsid w:val="00686369"/>
    <w:rsid w:val="006877A8"/>
    <w:rsid w:val="006951E7"/>
    <w:rsid w:val="006A2891"/>
    <w:rsid w:val="006A5CA6"/>
    <w:rsid w:val="006B4AE9"/>
    <w:rsid w:val="006B6E7F"/>
    <w:rsid w:val="006C63C9"/>
    <w:rsid w:val="006C72DC"/>
    <w:rsid w:val="006D150B"/>
    <w:rsid w:val="006E06C2"/>
    <w:rsid w:val="006E0B11"/>
    <w:rsid w:val="006F20CD"/>
    <w:rsid w:val="006F3116"/>
    <w:rsid w:val="006F333F"/>
    <w:rsid w:val="006F355D"/>
    <w:rsid w:val="006F5FC2"/>
    <w:rsid w:val="006F6F48"/>
    <w:rsid w:val="006F7989"/>
    <w:rsid w:val="00706B93"/>
    <w:rsid w:val="00713724"/>
    <w:rsid w:val="00715C5F"/>
    <w:rsid w:val="00716B13"/>
    <w:rsid w:val="00720E65"/>
    <w:rsid w:val="0072112D"/>
    <w:rsid w:val="0072388B"/>
    <w:rsid w:val="00732CB5"/>
    <w:rsid w:val="00733DD2"/>
    <w:rsid w:val="007350C2"/>
    <w:rsid w:val="00736DEB"/>
    <w:rsid w:val="007378B0"/>
    <w:rsid w:val="00740740"/>
    <w:rsid w:val="007415DA"/>
    <w:rsid w:val="00754DA5"/>
    <w:rsid w:val="0075753C"/>
    <w:rsid w:val="00773517"/>
    <w:rsid w:val="0077398A"/>
    <w:rsid w:val="00775702"/>
    <w:rsid w:val="00776550"/>
    <w:rsid w:val="00776821"/>
    <w:rsid w:val="00777AB5"/>
    <w:rsid w:val="007814A5"/>
    <w:rsid w:val="007841AB"/>
    <w:rsid w:val="007853A1"/>
    <w:rsid w:val="00786068"/>
    <w:rsid w:val="00786577"/>
    <w:rsid w:val="007900BE"/>
    <w:rsid w:val="00792A54"/>
    <w:rsid w:val="0079538F"/>
    <w:rsid w:val="007956D6"/>
    <w:rsid w:val="00797B95"/>
    <w:rsid w:val="007A0C1A"/>
    <w:rsid w:val="007B0C80"/>
    <w:rsid w:val="007B731A"/>
    <w:rsid w:val="007C6324"/>
    <w:rsid w:val="007D29BB"/>
    <w:rsid w:val="007E7C0F"/>
    <w:rsid w:val="007F1225"/>
    <w:rsid w:val="007F37E6"/>
    <w:rsid w:val="007F6231"/>
    <w:rsid w:val="007F7FE3"/>
    <w:rsid w:val="00800E89"/>
    <w:rsid w:val="00813452"/>
    <w:rsid w:val="008179F8"/>
    <w:rsid w:val="00820A13"/>
    <w:rsid w:val="008212A0"/>
    <w:rsid w:val="0082750C"/>
    <w:rsid w:val="0083448D"/>
    <w:rsid w:val="00834A3C"/>
    <w:rsid w:val="00835E63"/>
    <w:rsid w:val="00844EA7"/>
    <w:rsid w:val="0085242A"/>
    <w:rsid w:val="00867EE7"/>
    <w:rsid w:val="008731CF"/>
    <w:rsid w:val="00873522"/>
    <w:rsid w:val="00874AEC"/>
    <w:rsid w:val="00875CAD"/>
    <w:rsid w:val="00877353"/>
    <w:rsid w:val="00877BF2"/>
    <w:rsid w:val="00881D11"/>
    <w:rsid w:val="00882889"/>
    <w:rsid w:val="00882F07"/>
    <w:rsid w:val="008836EB"/>
    <w:rsid w:val="00884532"/>
    <w:rsid w:val="008846CD"/>
    <w:rsid w:val="00886F19"/>
    <w:rsid w:val="00890BE5"/>
    <w:rsid w:val="0089360F"/>
    <w:rsid w:val="00894EC5"/>
    <w:rsid w:val="008A31F4"/>
    <w:rsid w:val="008A5783"/>
    <w:rsid w:val="008B0F55"/>
    <w:rsid w:val="008B113A"/>
    <w:rsid w:val="008B36FA"/>
    <w:rsid w:val="008B600B"/>
    <w:rsid w:val="008B6AD2"/>
    <w:rsid w:val="008C3C9B"/>
    <w:rsid w:val="008C4DE8"/>
    <w:rsid w:val="008D3C01"/>
    <w:rsid w:val="008D4758"/>
    <w:rsid w:val="008D7505"/>
    <w:rsid w:val="008D7594"/>
    <w:rsid w:val="008E1AF7"/>
    <w:rsid w:val="008F2B50"/>
    <w:rsid w:val="008F4DC9"/>
    <w:rsid w:val="008F6673"/>
    <w:rsid w:val="008F7661"/>
    <w:rsid w:val="00901225"/>
    <w:rsid w:val="00904BA3"/>
    <w:rsid w:val="00916A45"/>
    <w:rsid w:val="00917666"/>
    <w:rsid w:val="0092338D"/>
    <w:rsid w:val="0094069F"/>
    <w:rsid w:val="0094249B"/>
    <w:rsid w:val="00943F6B"/>
    <w:rsid w:val="00947F1B"/>
    <w:rsid w:val="0096087B"/>
    <w:rsid w:val="00960BDC"/>
    <w:rsid w:val="009619F5"/>
    <w:rsid w:val="00962E53"/>
    <w:rsid w:val="00964620"/>
    <w:rsid w:val="0096646F"/>
    <w:rsid w:val="009675B7"/>
    <w:rsid w:val="0097426F"/>
    <w:rsid w:val="00975195"/>
    <w:rsid w:val="00981475"/>
    <w:rsid w:val="00985AA1"/>
    <w:rsid w:val="009909DF"/>
    <w:rsid w:val="009932AF"/>
    <w:rsid w:val="009A7746"/>
    <w:rsid w:val="009B2AD4"/>
    <w:rsid w:val="009B35DA"/>
    <w:rsid w:val="009B36B3"/>
    <w:rsid w:val="009B3DA7"/>
    <w:rsid w:val="009B51D1"/>
    <w:rsid w:val="009B671F"/>
    <w:rsid w:val="009B7390"/>
    <w:rsid w:val="009C39CD"/>
    <w:rsid w:val="009D2FA4"/>
    <w:rsid w:val="009E0843"/>
    <w:rsid w:val="009E6AA2"/>
    <w:rsid w:val="009F6A29"/>
    <w:rsid w:val="00A02348"/>
    <w:rsid w:val="00A03B16"/>
    <w:rsid w:val="00A03E7D"/>
    <w:rsid w:val="00A060E8"/>
    <w:rsid w:val="00A06946"/>
    <w:rsid w:val="00A1223B"/>
    <w:rsid w:val="00A12C2A"/>
    <w:rsid w:val="00A1757E"/>
    <w:rsid w:val="00A20D43"/>
    <w:rsid w:val="00A22A7B"/>
    <w:rsid w:val="00A23403"/>
    <w:rsid w:val="00A2489E"/>
    <w:rsid w:val="00A3335D"/>
    <w:rsid w:val="00A33C10"/>
    <w:rsid w:val="00A34DFD"/>
    <w:rsid w:val="00A35E7C"/>
    <w:rsid w:val="00A36B03"/>
    <w:rsid w:val="00A47BFF"/>
    <w:rsid w:val="00A516BF"/>
    <w:rsid w:val="00A54144"/>
    <w:rsid w:val="00A60835"/>
    <w:rsid w:val="00A659A9"/>
    <w:rsid w:val="00A66B6A"/>
    <w:rsid w:val="00A670F0"/>
    <w:rsid w:val="00A73FA4"/>
    <w:rsid w:val="00A75AB3"/>
    <w:rsid w:val="00A75E7C"/>
    <w:rsid w:val="00A76806"/>
    <w:rsid w:val="00A8013A"/>
    <w:rsid w:val="00A814B8"/>
    <w:rsid w:val="00A81771"/>
    <w:rsid w:val="00A90B3E"/>
    <w:rsid w:val="00A9364E"/>
    <w:rsid w:val="00A940F0"/>
    <w:rsid w:val="00AA59BE"/>
    <w:rsid w:val="00AA5F23"/>
    <w:rsid w:val="00AA735A"/>
    <w:rsid w:val="00AB3EBC"/>
    <w:rsid w:val="00AB66E9"/>
    <w:rsid w:val="00AB7E3D"/>
    <w:rsid w:val="00AC77FF"/>
    <w:rsid w:val="00AD2D3F"/>
    <w:rsid w:val="00AD7AA4"/>
    <w:rsid w:val="00AE14B8"/>
    <w:rsid w:val="00AE25EE"/>
    <w:rsid w:val="00AE4B03"/>
    <w:rsid w:val="00AE675B"/>
    <w:rsid w:val="00B010F2"/>
    <w:rsid w:val="00B02E67"/>
    <w:rsid w:val="00B062D1"/>
    <w:rsid w:val="00B06961"/>
    <w:rsid w:val="00B20F7A"/>
    <w:rsid w:val="00B21081"/>
    <w:rsid w:val="00B23066"/>
    <w:rsid w:val="00B31790"/>
    <w:rsid w:val="00B36612"/>
    <w:rsid w:val="00B375F1"/>
    <w:rsid w:val="00B379F2"/>
    <w:rsid w:val="00B41708"/>
    <w:rsid w:val="00B4696B"/>
    <w:rsid w:val="00B47467"/>
    <w:rsid w:val="00B504C3"/>
    <w:rsid w:val="00B651C8"/>
    <w:rsid w:val="00B6583F"/>
    <w:rsid w:val="00B706CC"/>
    <w:rsid w:val="00B707AE"/>
    <w:rsid w:val="00B72A9F"/>
    <w:rsid w:val="00B80A19"/>
    <w:rsid w:val="00B80CA0"/>
    <w:rsid w:val="00B80E1D"/>
    <w:rsid w:val="00B849FE"/>
    <w:rsid w:val="00B85826"/>
    <w:rsid w:val="00B85867"/>
    <w:rsid w:val="00B864A4"/>
    <w:rsid w:val="00B87532"/>
    <w:rsid w:val="00B87D47"/>
    <w:rsid w:val="00B9079D"/>
    <w:rsid w:val="00B90F2D"/>
    <w:rsid w:val="00B968A9"/>
    <w:rsid w:val="00BA5910"/>
    <w:rsid w:val="00BA59C2"/>
    <w:rsid w:val="00BA5F0E"/>
    <w:rsid w:val="00BA601A"/>
    <w:rsid w:val="00BA66C8"/>
    <w:rsid w:val="00BB0747"/>
    <w:rsid w:val="00BB2806"/>
    <w:rsid w:val="00BB2E4C"/>
    <w:rsid w:val="00BB35A4"/>
    <w:rsid w:val="00BB4E43"/>
    <w:rsid w:val="00BB5F2F"/>
    <w:rsid w:val="00BB6A90"/>
    <w:rsid w:val="00BC18B6"/>
    <w:rsid w:val="00BC3B8E"/>
    <w:rsid w:val="00BD2BD5"/>
    <w:rsid w:val="00BD3EBF"/>
    <w:rsid w:val="00BF1528"/>
    <w:rsid w:val="00BF3265"/>
    <w:rsid w:val="00C045B1"/>
    <w:rsid w:val="00C073AB"/>
    <w:rsid w:val="00C07A20"/>
    <w:rsid w:val="00C07C9E"/>
    <w:rsid w:val="00C1105D"/>
    <w:rsid w:val="00C11070"/>
    <w:rsid w:val="00C11B6A"/>
    <w:rsid w:val="00C12126"/>
    <w:rsid w:val="00C231F5"/>
    <w:rsid w:val="00C36180"/>
    <w:rsid w:val="00C401C8"/>
    <w:rsid w:val="00C42319"/>
    <w:rsid w:val="00C45198"/>
    <w:rsid w:val="00C46E85"/>
    <w:rsid w:val="00C5339A"/>
    <w:rsid w:val="00C572CB"/>
    <w:rsid w:val="00C62F09"/>
    <w:rsid w:val="00C7370D"/>
    <w:rsid w:val="00C77FE0"/>
    <w:rsid w:val="00C83CC1"/>
    <w:rsid w:val="00C860AF"/>
    <w:rsid w:val="00C872AE"/>
    <w:rsid w:val="00C94F63"/>
    <w:rsid w:val="00C95370"/>
    <w:rsid w:val="00C97CBA"/>
    <w:rsid w:val="00CA005E"/>
    <w:rsid w:val="00CA1624"/>
    <w:rsid w:val="00CA4149"/>
    <w:rsid w:val="00CA5155"/>
    <w:rsid w:val="00CA7407"/>
    <w:rsid w:val="00CB09A7"/>
    <w:rsid w:val="00CB4BB0"/>
    <w:rsid w:val="00CB54A9"/>
    <w:rsid w:val="00CB7129"/>
    <w:rsid w:val="00CC055C"/>
    <w:rsid w:val="00CC2ACC"/>
    <w:rsid w:val="00CC323B"/>
    <w:rsid w:val="00CC7579"/>
    <w:rsid w:val="00CD4BA1"/>
    <w:rsid w:val="00CF6CEB"/>
    <w:rsid w:val="00D008EC"/>
    <w:rsid w:val="00D04F0C"/>
    <w:rsid w:val="00D04F60"/>
    <w:rsid w:val="00D05674"/>
    <w:rsid w:val="00D07DE1"/>
    <w:rsid w:val="00D12FF3"/>
    <w:rsid w:val="00D14B5F"/>
    <w:rsid w:val="00D14CAF"/>
    <w:rsid w:val="00D1514E"/>
    <w:rsid w:val="00D25D90"/>
    <w:rsid w:val="00D25F3F"/>
    <w:rsid w:val="00D27A1B"/>
    <w:rsid w:val="00D311D6"/>
    <w:rsid w:val="00D314C7"/>
    <w:rsid w:val="00D35F40"/>
    <w:rsid w:val="00D44369"/>
    <w:rsid w:val="00D45DE1"/>
    <w:rsid w:val="00D461F2"/>
    <w:rsid w:val="00D578BD"/>
    <w:rsid w:val="00D57D5F"/>
    <w:rsid w:val="00D62C5D"/>
    <w:rsid w:val="00D7220E"/>
    <w:rsid w:val="00D769DE"/>
    <w:rsid w:val="00D8158C"/>
    <w:rsid w:val="00D87907"/>
    <w:rsid w:val="00D928C4"/>
    <w:rsid w:val="00D972C8"/>
    <w:rsid w:val="00DA2405"/>
    <w:rsid w:val="00DA3401"/>
    <w:rsid w:val="00DA3E53"/>
    <w:rsid w:val="00DA6A8F"/>
    <w:rsid w:val="00DB3385"/>
    <w:rsid w:val="00DB3619"/>
    <w:rsid w:val="00DC1536"/>
    <w:rsid w:val="00DC2720"/>
    <w:rsid w:val="00DC3148"/>
    <w:rsid w:val="00DC53A3"/>
    <w:rsid w:val="00DD0413"/>
    <w:rsid w:val="00DD38F3"/>
    <w:rsid w:val="00DE1D99"/>
    <w:rsid w:val="00DE2295"/>
    <w:rsid w:val="00DE595D"/>
    <w:rsid w:val="00DE74DC"/>
    <w:rsid w:val="00DE7A05"/>
    <w:rsid w:val="00DF32A4"/>
    <w:rsid w:val="00DF7680"/>
    <w:rsid w:val="00E019BC"/>
    <w:rsid w:val="00E029E3"/>
    <w:rsid w:val="00E036DA"/>
    <w:rsid w:val="00E05D53"/>
    <w:rsid w:val="00E123FE"/>
    <w:rsid w:val="00E15474"/>
    <w:rsid w:val="00E1549C"/>
    <w:rsid w:val="00E22BDC"/>
    <w:rsid w:val="00E32041"/>
    <w:rsid w:val="00E35524"/>
    <w:rsid w:val="00E3577E"/>
    <w:rsid w:val="00E36318"/>
    <w:rsid w:val="00E418AE"/>
    <w:rsid w:val="00E447F9"/>
    <w:rsid w:val="00E44FDB"/>
    <w:rsid w:val="00E46F74"/>
    <w:rsid w:val="00E57880"/>
    <w:rsid w:val="00E61671"/>
    <w:rsid w:val="00E61C2C"/>
    <w:rsid w:val="00E63A77"/>
    <w:rsid w:val="00E64D86"/>
    <w:rsid w:val="00E65958"/>
    <w:rsid w:val="00E73D7D"/>
    <w:rsid w:val="00E801BA"/>
    <w:rsid w:val="00E82DDE"/>
    <w:rsid w:val="00E82F83"/>
    <w:rsid w:val="00E8370D"/>
    <w:rsid w:val="00E871B9"/>
    <w:rsid w:val="00E87519"/>
    <w:rsid w:val="00E9133C"/>
    <w:rsid w:val="00E95A25"/>
    <w:rsid w:val="00EA15A0"/>
    <w:rsid w:val="00EA1782"/>
    <w:rsid w:val="00EA2205"/>
    <w:rsid w:val="00EA435B"/>
    <w:rsid w:val="00EA5233"/>
    <w:rsid w:val="00EA68EB"/>
    <w:rsid w:val="00EA6AB2"/>
    <w:rsid w:val="00EB1D3E"/>
    <w:rsid w:val="00EB2BB4"/>
    <w:rsid w:val="00EB36CB"/>
    <w:rsid w:val="00EB4EFF"/>
    <w:rsid w:val="00EB5E06"/>
    <w:rsid w:val="00EB6BBD"/>
    <w:rsid w:val="00EC20E3"/>
    <w:rsid w:val="00EC30B1"/>
    <w:rsid w:val="00EC4982"/>
    <w:rsid w:val="00EC58CD"/>
    <w:rsid w:val="00ED3A4B"/>
    <w:rsid w:val="00EE17D6"/>
    <w:rsid w:val="00EE60B1"/>
    <w:rsid w:val="00EF539F"/>
    <w:rsid w:val="00F04A1F"/>
    <w:rsid w:val="00F06A92"/>
    <w:rsid w:val="00F07F0B"/>
    <w:rsid w:val="00F16166"/>
    <w:rsid w:val="00F16606"/>
    <w:rsid w:val="00F20B27"/>
    <w:rsid w:val="00F253E5"/>
    <w:rsid w:val="00F256DA"/>
    <w:rsid w:val="00F259E3"/>
    <w:rsid w:val="00F27106"/>
    <w:rsid w:val="00F27C0C"/>
    <w:rsid w:val="00F31DB6"/>
    <w:rsid w:val="00F3756A"/>
    <w:rsid w:val="00F414BD"/>
    <w:rsid w:val="00F414F4"/>
    <w:rsid w:val="00F45129"/>
    <w:rsid w:val="00F506B9"/>
    <w:rsid w:val="00F518A4"/>
    <w:rsid w:val="00F51AD4"/>
    <w:rsid w:val="00F52C1D"/>
    <w:rsid w:val="00F63FC7"/>
    <w:rsid w:val="00F674A3"/>
    <w:rsid w:val="00F67FB3"/>
    <w:rsid w:val="00F80EB1"/>
    <w:rsid w:val="00F811AE"/>
    <w:rsid w:val="00F81FB8"/>
    <w:rsid w:val="00F82C7E"/>
    <w:rsid w:val="00F904D6"/>
    <w:rsid w:val="00F92482"/>
    <w:rsid w:val="00F92C78"/>
    <w:rsid w:val="00F93795"/>
    <w:rsid w:val="00F94F3F"/>
    <w:rsid w:val="00FA1DB0"/>
    <w:rsid w:val="00FA26F2"/>
    <w:rsid w:val="00FB7E85"/>
    <w:rsid w:val="00FC26B8"/>
    <w:rsid w:val="00FD1C01"/>
    <w:rsid w:val="00FD3756"/>
    <w:rsid w:val="00FD7B4C"/>
    <w:rsid w:val="00FE3B2E"/>
    <w:rsid w:val="00FF06DA"/>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ACABE"/>
  <w15:docId w15:val="{F8681234-5BEE-4D92-B0EC-44D83A1B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CC1"/>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uiPriority w:val="9"/>
    <w:qFormat/>
    <w:rsid w:val="00B849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CC1"/>
    <w:pPr>
      <w:ind w:left="720"/>
      <w:contextualSpacing/>
    </w:pPr>
  </w:style>
  <w:style w:type="character" w:styleId="Hyperlink">
    <w:name w:val="Hyperlink"/>
    <w:basedOn w:val="DefaultParagraphFont"/>
    <w:uiPriority w:val="99"/>
    <w:unhideWhenUsed/>
    <w:rsid w:val="00C83CC1"/>
    <w:rPr>
      <w:color w:val="0000FF"/>
      <w:u w:val="single"/>
    </w:rPr>
  </w:style>
  <w:style w:type="character" w:styleId="CommentReference">
    <w:name w:val="annotation reference"/>
    <w:basedOn w:val="DefaultParagraphFont"/>
    <w:uiPriority w:val="99"/>
    <w:semiHidden/>
    <w:unhideWhenUsed/>
    <w:rsid w:val="00C83CC1"/>
    <w:rPr>
      <w:sz w:val="16"/>
      <w:szCs w:val="16"/>
    </w:rPr>
  </w:style>
  <w:style w:type="paragraph" w:styleId="CommentText">
    <w:name w:val="annotation text"/>
    <w:basedOn w:val="Normal"/>
    <w:link w:val="CommentTextChar"/>
    <w:uiPriority w:val="99"/>
    <w:unhideWhenUsed/>
    <w:rsid w:val="00C83CC1"/>
    <w:pPr>
      <w:spacing w:line="240" w:lineRule="auto"/>
    </w:pPr>
    <w:rPr>
      <w:sz w:val="20"/>
      <w:szCs w:val="20"/>
    </w:rPr>
  </w:style>
  <w:style w:type="character" w:customStyle="1" w:styleId="CommentTextChar">
    <w:name w:val="Comment Text Char"/>
    <w:basedOn w:val="DefaultParagraphFont"/>
    <w:link w:val="CommentText"/>
    <w:uiPriority w:val="99"/>
    <w:rsid w:val="00C83CC1"/>
    <w:rPr>
      <w:rFonts w:ascii="Calibri" w:eastAsia="Calibri" w:hAnsi="Calibri" w:cs="Times New Roman"/>
      <w:kern w:val="0"/>
      <w:sz w:val="20"/>
      <w:szCs w:val="20"/>
      <w:lang w:val="en-US"/>
    </w:rPr>
  </w:style>
  <w:style w:type="paragraph" w:styleId="NormalWeb">
    <w:name w:val="Normal (Web)"/>
    <w:basedOn w:val="Normal"/>
    <w:uiPriority w:val="99"/>
    <w:unhideWhenUsed/>
    <w:rsid w:val="004D1D5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5CAD"/>
    <w:rPr>
      <w:b/>
      <w:bCs/>
    </w:rPr>
  </w:style>
  <w:style w:type="paragraph" w:styleId="z-TopofForm">
    <w:name w:val="HTML Top of Form"/>
    <w:basedOn w:val="Normal"/>
    <w:next w:val="Normal"/>
    <w:link w:val="z-TopofFormChar"/>
    <w:hidden/>
    <w:uiPriority w:val="99"/>
    <w:semiHidden/>
    <w:unhideWhenUsed/>
    <w:rsid w:val="00DA6A8F"/>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A6A8F"/>
    <w:rPr>
      <w:rFonts w:ascii="Arial" w:eastAsia="Times New Roman" w:hAnsi="Arial" w:cs="Arial"/>
      <w:vanish/>
      <w:kern w:val="0"/>
      <w:sz w:val="16"/>
      <w:szCs w:val="16"/>
      <w:lang w:val="en-GB" w:eastAsia="en-GB"/>
    </w:rPr>
  </w:style>
  <w:style w:type="paragraph" w:styleId="BalloonText">
    <w:name w:val="Balloon Text"/>
    <w:basedOn w:val="Normal"/>
    <w:link w:val="BalloonTextChar"/>
    <w:uiPriority w:val="99"/>
    <w:semiHidden/>
    <w:unhideWhenUsed/>
    <w:rsid w:val="00072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DAD"/>
    <w:rPr>
      <w:rFonts w:ascii="Tahoma" w:eastAsia="Calibri" w:hAnsi="Tahoma" w:cs="Tahoma"/>
      <w:kern w:val="0"/>
      <w:sz w:val="16"/>
      <w:szCs w:val="16"/>
      <w:lang w:val="en-US"/>
    </w:rPr>
  </w:style>
  <w:style w:type="paragraph" w:styleId="CommentSubject">
    <w:name w:val="annotation subject"/>
    <w:basedOn w:val="CommentText"/>
    <w:next w:val="CommentText"/>
    <w:link w:val="CommentSubjectChar"/>
    <w:uiPriority w:val="99"/>
    <w:semiHidden/>
    <w:unhideWhenUsed/>
    <w:rsid w:val="006F20CD"/>
    <w:rPr>
      <w:b/>
      <w:bCs/>
    </w:rPr>
  </w:style>
  <w:style w:type="character" w:customStyle="1" w:styleId="CommentSubjectChar">
    <w:name w:val="Comment Subject Char"/>
    <w:basedOn w:val="CommentTextChar"/>
    <w:link w:val="CommentSubject"/>
    <w:uiPriority w:val="99"/>
    <w:semiHidden/>
    <w:rsid w:val="006F20CD"/>
    <w:rPr>
      <w:rFonts w:ascii="Calibri" w:eastAsia="Calibri" w:hAnsi="Calibri" w:cs="Times New Roman"/>
      <w:b/>
      <w:bCs/>
      <w:kern w:val="0"/>
      <w:sz w:val="20"/>
      <w:szCs w:val="20"/>
      <w:lang w:val="en-US"/>
    </w:rPr>
  </w:style>
  <w:style w:type="character" w:customStyle="1" w:styleId="Heading1Char">
    <w:name w:val="Heading 1 Char"/>
    <w:basedOn w:val="DefaultParagraphFont"/>
    <w:link w:val="Heading1"/>
    <w:uiPriority w:val="9"/>
    <w:rsid w:val="00B849FE"/>
    <w:rPr>
      <w:rFonts w:asciiTheme="majorHAnsi" w:eastAsiaTheme="majorEastAsia" w:hAnsiTheme="majorHAnsi" w:cstheme="majorBidi"/>
      <w:b/>
      <w:bCs/>
      <w:color w:val="2F5496" w:themeColor="accent1" w:themeShade="BF"/>
      <w:kern w:val="0"/>
      <w:sz w:val="28"/>
      <w:szCs w:val="28"/>
      <w:lang w:val="en-US"/>
    </w:rPr>
  </w:style>
  <w:style w:type="character" w:customStyle="1" w:styleId="mixed-citation">
    <w:name w:val="mixed-citation"/>
    <w:basedOn w:val="DefaultParagraphFont"/>
    <w:rsid w:val="00B849FE"/>
  </w:style>
  <w:style w:type="character" w:styleId="Emphasis">
    <w:name w:val="Emphasis"/>
    <w:basedOn w:val="DefaultParagraphFont"/>
    <w:uiPriority w:val="20"/>
    <w:qFormat/>
    <w:rsid w:val="00B849FE"/>
    <w:rPr>
      <w:i/>
      <w:iCs/>
    </w:rPr>
  </w:style>
  <w:style w:type="character" w:customStyle="1" w:styleId="ref-journal">
    <w:name w:val="ref-journal"/>
    <w:basedOn w:val="DefaultParagraphFont"/>
    <w:rsid w:val="00B849FE"/>
  </w:style>
  <w:style w:type="character" w:customStyle="1" w:styleId="ref-vol">
    <w:name w:val="ref-vol"/>
    <w:basedOn w:val="DefaultParagraphFont"/>
    <w:rsid w:val="00B849FE"/>
  </w:style>
  <w:style w:type="character" w:customStyle="1" w:styleId="apple-converted-space">
    <w:name w:val="apple-converted-space"/>
    <w:basedOn w:val="DefaultParagraphFont"/>
    <w:rsid w:val="00B849FE"/>
  </w:style>
  <w:style w:type="character" w:customStyle="1" w:styleId="ref-title">
    <w:name w:val="ref-title"/>
    <w:basedOn w:val="DefaultParagraphFont"/>
    <w:rsid w:val="00B849FE"/>
  </w:style>
  <w:style w:type="character" w:customStyle="1" w:styleId="title-text">
    <w:name w:val="title-text"/>
    <w:basedOn w:val="DefaultParagraphFont"/>
    <w:rsid w:val="00B849FE"/>
  </w:style>
  <w:style w:type="character" w:customStyle="1" w:styleId="react-xocs-alternative-link">
    <w:name w:val="react-xocs-alternative-link"/>
    <w:basedOn w:val="DefaultParagraphFont"/>
    <w:rsid w:val="00B849FE"/>
  </w:style>
  <w:style w:type="character" w:customStyle="1" w:styleId="text">
    <w:name w:val="text"/>
    <w:basedOn w:val="DefaultParagraphFont"/>
    <w:rsid w:val="00B849FE"/>
  </w:style>
  <w:style w:type="character" w:customStyle="1" w:styleId="author">
    <w:name w:val="author"/>
    <w:basedOn w:val="DefaultParagraphFont"/>
    <w:rsid w:val="009E6AA2"/>
  </w:style>
  <w:style w:type="character" w:customStyle="1" w:styleId="articletitle">
    <w:name w:val="articletitle"/>
    <w:basedOn w:val="DefaultParagraphFont"/>
    <w:rsid w:val="009E6AA2"/>
  </w:style>
  <w:style w:type="character" w:customStyle="1" w:styleId="pubyear">
    <w:name w:val="pubyear"/>
    <w:basedOn w:val="DefaultParagraphFont"/>
    <w:rsid w:val="009E6AA2"/>
  </w:style>
  <w:style w:type="character" w:customStyle="1" w:styleId="vol">
    <w:name w:val="vol"/>
    <w:basedOn w:val="DefaultParagraphFont"/>
    <w:rsid w:val="009E6AA2"/>
  </w:style>
  <w:style w:type="paragraph" w:customStyle="1" w:styleId="ReferHead">
    <w:name w:val="Refer Head"/>
    <w:basedOn w:val="Normal"/>
    <w:rsid w:val="0015682B"/>
    <w:pPr>
      <w:keepNext/>
      <w:spacing w:after="240" w:line="240" w:lineRule="auto"/>
    </w:pPr>
    <w:rPr>
      <w:rFonts w:ascii="Helvetica" w:eastAsia="Times New Roman" w:hAnsi="Helvetica"/>
      <w:b/>
      <w:caps/>
      <w:szCs w:val="20"/>
    </w:rPr>
  </w:style>
  <w:style w:type="character" w:styleId="LineNumber">
    <w:name w:val="line number"/>
    <w:basedOn w:val="DefaultParagraphFont"/>
    <w:uiPriority w:val="99"/>
    <w:semiHidden/>
    <w:unhideWhenUsed/>
    <w:rsid w:val="00510262"/>
  </w:style>
  <w:style w:type="character" w:customStyle="1" w:styleId="UnresolvedMention1">
    <w:name w:val="Unresolved Mention1"/>
    <w:basedOn w:val="DefaultParagraphFont"/>
    <w:uiPriority w:val="99"/>
    <w:semiHidden/>
    <w:unhideWhenUsed/>
    <w:rsid w:val="004A1B95"/>
    <w:rPr>
      <w:color w:val="605E5C"/>
      <w:shd w:val="clear" w:color="auto" w:fill="E1DFDD"/>
    </w:rPr>
  </w:style>
  <w:style w:type="paragraph" w:styleId="Header">
    <w:name w:val="header"/>
    <w:basedOn w:val="Normal"/>
    <w:link w:val="HeaderChar"/>
    <w:uiPriority w:val="99"/>
    <w:unhideWhenUsed/>
    <w:rsid w:val="002F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0D7"/>
    <w:rPr>
      <w:rFonts w:ascii="Calibri" w:eastAsia="Calibri" w:hAnsi="Calibri" w:cs="Times New Roman"/>
      <w:kern w:val="0"/>
      <w:lang w:val="en-US"/>
    </w:rPr>
  </w:style>
  <w:style w:type="paragraph" w:styleId="Footer">
    <w:name w:val="footer"/>
    <w:basedOn w:val="Normal"/>
    <w:link w:val="FooterChar"/>
    <w:uiPriority w:val="99"/>
    <w:unhideWhenUsed/>
    <w:rsid w:val="002F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0D7"/>
    <w:rPr>
      <w:rFonts w:ascii="Calibri" w:eastAsia="Calibri" w:hAnsi="Calibri"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25">
      <w:bodyDiv w:val="1"/>
      <w:marLeft w:val="0"/>
      <w:marRight w:val="0"/>
      <w:marTop w:val="0"/>
      <w:marBottom w:val="0"/>
      <w:divBdr>
        <w:top w:val="none" w:sz="0" w:space="0" w:color="auto"/>
        <w:left w:val="none" w:sz="0" w:space="0" w:color="auto"/>
        <w:bottom w:val="none" w:sz="0" w:space="0" w:color="auto"/>
        <w:right w:val="none" w:sz="0" w:space="0" w:color="auto"/>
      </w:divBdr>
    </w:div>
    <w:div w:id="123544022">
      <w:bodyDiv w:val="1"/>
      <w:marLeft w:val="0"/>
      <w:marRight w:val="0"/>
      <w:marTop w:val="0"/>
      <w:marBottom w:val="0"/>
      <w:divBdr>
        <w:top w:val="none" w:sz="0" w:space="0" w:color="auto"/>
        <w:left w:val="none" w:sz="0" w:space="0" w:color="auto"/>
        <w:bottom w:val="none" w:sz="0" w:space="0" w:color="auto"/>
        <w:right w:val="none" w:sz="0" w:space="0" w:color="auto"/>
      </w:divBdr>
    </w:div>
    <w:div w:id="239755865">
      <w:bodyDiv w:val="1"/>
      <w:marLeft w:val="0"/>
      <w:marRight w:val="0"/>
      <w:marTop w:val="0"/>
      <w:marBottom w:val="0"/>
      <w:divBdr>
        <w:top w:val="none" w:sz="0" w:space="0" w:color="auto"/>
        <w:left w:val="none" w:sz="0" w:space="0" w:color="auto"/>
        <w:bottom w:val="none" w:sz="0" w:space="0" w:color="auto"/>
        <w:right w:val="none" w:sz="0" w:space="0" w:color="auto"/>
      </w:divBdr>
    </w:div>
    <w:div w:id="244460917">
      <w:bodyDiv w:val="1"/>
      <w:marLeft w:val="0"/>
      <w:marRight w:val="0"/>
      <w:marTop w:val="0"/>
      <w:marBottom w:val="0"/>
      <w:divBdr>
        <w:top w:val="none" w:sz="0" w:space="0" w:color="auto"/>
        <w:left w:val="none" w:sz="0" w:space="0" w:color="auto"/>
        <w:bottom w:val="none" w:sz="0" w:space="0" w:color="auto"/>
        <w:right w:val="none" w:sz="0" w:space="0" w:color="auto"/>
      </w:divBdr>
    </w:div>
    <w:div w:id="310910219">
      <w:bodyDiv w:val="1"/>
      <w:marLeft w:val="0"/>
      <w:marRight w:val="0"/>
      <w:marTop w:val="0"/>
      <w:marBottom w:val="0"/>
      <w:divBdr>
        <w:top w:val="none" w:sz="0" w:space="0" w:color="auto"/>
        <w:left w:val="none" w:sz="0" w:space="0" w:color="auto"/>
        <w:bottom w:val="none" w:sz="0" w:space="0" w:color="auto"/>
        <w:right w:val="none" w:sz="0" w:space="0" w:color="auto"/>
      </w:divBdr>
    </w:div>
    <w:div w:id="311251407">
      <w:bodyDiv w:val="1"/>
      <w:marLeft w:val="0"/>
      <w:marRight w:val="0"/>
      <w:marTop w:val="0"/>
      <w:marBottom w:val="0"/>
      <w:divBdr>
        <w:top w:val="none" w:sz="0" w:space="0" w:color="auto"/>
        <w:left w:val="none" w:sz="0" w:space="0" w:color="auto"/>
        <w:bottom w:val="none" w:sz="0" w:space="0" w:color="auto"/>
        <w:right w:val="none" w:sz="0" w:space="0" w:color="auto"/>
      </w:divBdr>
    </w:div>
    <w:div w:id="339356649">
      <w:bodyDiv w:val="1"/>
      <w:marLeft w:val="0"/>
      <w:marRight w:val="0"/>
      <w:marTop w:val="0"/>
      <w:marBottom w:val="0"/>
      <w:divBdr>
        <w:top w:val="none" w:sz="0" w:space="0" w:color="auto"/>
        <w:left w:val="none" w:sz="0" w:space="0" w:color="auto"/>
        <w:bottom w:val="none" w:sz="0" w:space="0" w:color="auto"/>
        <w:right w:val="none" w:sz="0" w:space="0" w:color="auto"/>
      </w:divBdr>
    </w:div>
    <w:div w:id="425344104">
      <w:bodyDiv w:val="1"/>
      <w:marLeft w:val="0"/>
      <w:marRight w:val="0"/>
      <w:marTop w:val="0"/>
      <w:marBottom w:val="0"/>
      <w:divBdr>
        <w:top w:val="none" w:sz="0" w:space="0" w:color="auto"/>
        <w:left w:val="none" w:sz="0" w:space="0" w:color="auto"/>
        <w:bottom w:val="none" w:sz="0" w:space="0" w:color="auto"/>
        <w:right w:val="none" w:sz="0" w:space="0" w:color="auto"/>
      </w:divBdr>
    </w:div>
    <w:div w:id="518272516">
      <w:bodyDiv w:val="1"/>
      <w:marLeft w:val="0"/>
      <w:marRight w:val="0"/>
      <w:marTop w:val="0"/>
      <w:marBottom w:val="0"/>
      <w:divBdr>
        <w:top w:val="none" w:sz="0" w:space="0" w:color="auto"/>
        <w:left w:val="none" w:sz="0" w:space="0" w:color="auto"/>
        <w:bottom w:val="none" w:sz="0" w:space="0" w:color="auto"/>
        <w:right w:val="none" w:sz="0" w:space="0" w:color="auto"/>
      </w:divBdr>
      <w:divsChild>
        <w:div w:id="1503741400">
          <w:marLeft w:val="0"/>
          <w:marRight w:val="0"/>
          <w:marTop w:val="0"/>
          <w:marBottom w:val="0"/>
          <w:divBdr>
            <w:top w:val="none" w:sz="0" w:space="0" w:color="auto"/>
            <w:left w:val="none" w:sz="0" w:space="0" w:color="auto"/>
            <w:bottom w:val="none" w:sz="0" w:space="0" w:color="auto"/>
            <w:right w:val="none" w:sz="0" w:space="0" w:color="auto"/>
          </w:divBdr>
          <w:divsChild>
            <w:div w:id="1832480738">
              <w:marLeft w:val="0"/>
              <w:marRight w:val="0"/>
              <w:marTop w:val="0"/>
              <w:marBottom w:val="0"/>
              <w:divBdr>
                <w:top w:val="none" w:sz="0" w:space="0" w:color="auto"/>
                <w:left w:val="none" w:sz="0" w:space="0" w:color="auto"/>
                <w:bottom w:val="none" w:sz="0" w:space="0" w:color="auto"/>
                <w:right w:val="none" w:sz="0" w:space="0" w:color="auto"/>
              </w:divBdr>
              <w:divsChild>
                <w:div w:id="302737898">
                  <w:marLeft w:val="0"/>
                  <w:marRight w:val="0"/>
                  <w:marTop w:val="0"/>
                  <w:marBottom w:val="0"/>
                  <w:divBdr>
                    <w:top w:val="none" w:sz="0" w:space="0" w:color="auto"/>
                    <w:left w:val="none" w:sz="0" w:space="0" w:color="auto"/>
                    <w:bottom w:val="none" w:sz="0" w:space="0" w:color="auto"/>
                    <w:right w:val="none" w:sz="0" w:space="0" w:color="auto"/>
                  </w:divBdr>
                  <w:divsChild>
                    <w:div w:id="380442422">
                      <w:marLeft w:val="0"/>
                      <w:marRight w:val="0"/>
                      <w:marTop w:val="0"/>
                      <w:marBottom w:val="0"/>
                      <w:divBdr>
                        <w:top w:val="none" w:sz="0" w:space="0" w:color="auto"/>
                        <w:left w:val="none" w:sz="0" w:space="0" w:color="auto"/>
                        <w:bottom w:val="none" w:sz="0" w:space="0" w:color="auto"/>
                        <w:right w:val="none" w:sz="0" w:space="0" w:color="auto"/>
                      </w:divBdr>
                      <w:divsChild>
                        <w:div w:id="813521096">
                          <w:marLeft w:val="0"/>
                          <w:marRight w:val="0"/>
                          <w:marTop w:val="0"/>
                          <w:marBottom w:val="0"/>
                          <w:divBdr>
                            <w:top w:val="none" w:sz="0" w:space="0" w:color="auto"/>
                            <w:left w:val="none" w:sz="0" w:space="0" w:color="auto"/>
                            <w:bottom w:val="none" w:sz="0" w:space="0" w:color="auto"/>
                            <w:right w:val="none" w:sz="0" w:space="0" w:color="auto"/>
                          </w:divBdr>
                          <w:divsChild>
                            <w:div w:id="4830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48250">
      <w:bodyDiv w:val="1"/>
      <w:marLeft w:val="0"/>
      <w:marRight w:val="0"/>
      <w:marTop w:val="0"/>
      <w:marBottom w:val="0"/>
      <w:divBdr>
        <w:top w:val="none" w:sz="0" w:space="0" w:color="auto"/>
        <w:left w:val="none" w:sz="0" w:space="0" w:color="auto"/>
        <w:bottom w:val="none" w:sz="0" w:space="0" w:color="auto"/>
        <w:right w:val="none" w:sz="0" w:space="0" w:color="auto"/>
      </w:divBdr>
    </w:div>
    <w:div w:id="806051145">
      <w:bodyDiv w:val="1"/>
      <w:marLeft w:val="0"/>
      <w:marRight w:val="0"/>
      <w:marTop w:val="0"/>
      <w:marBottom w:val="0"/>
      <w:divBdr>
        <w:top w:val="none" w:sz="0" w:space="0" w:color="auto"/>
        <w:left w:val="none" w:sz="0" w:space="0" w:color="auto"/>
        <w:bottom w:val="none" w:sz="0" w:space="0" w:color="auto"/>
        <w:right w:val="none" w:sz="0" w:space="0" w:color="auto"/>
      </w:divBdr>
      <w:divsChild>
        <w:div w:id="38627387">
          <w:marLeft w:val="0"/>
          <w:marRight w:val="0"/>
          <w:marTop w:val="0"/>
          <w:marBottom w:val="0"/>
          <w:divBdr>
            <w:top w:val="single" w:sz="2" w:space="0" w:color="E3E3E3"/>
            <w:left w:val="single" w:sz="2" w:space="0" w:color="E3E3E3"/>
            <w:bottom w:val="single" w:sz="2" w:space="0" w:color="E3E3E3"/>
            <w:right w:val="single" w:sz="2" w:space="0" w:color="E3E3E3"/>
          </w:divBdr>
          <w:divsChild>
            <w:div w:id="1860239603">
              <w:marLeft w:val="0"/>
              <w:marRight w:val="0"/>
              <w:marTop w:val="0"/>
              <w:marBottom w:val="0"/>
              <w:divBdr>
                <w:top w:val="single" w:sz="2" w:space="0" w:color="E3E3E3"/>
                <w:left w:val="single" w:sz="2" w:space="0" w:color="E3E3E3"/>
                <w:bottom w:val="single" w:sz="2" w:space="0" w:color="E3E3E3"/>
                <w:right w:val="single" w:sz="2" w:space="0" w:color="E3E3E3"/>
              </w:divBdr>
              <w:divsChild>
                <w:div w:id="1950162569">
                  <w:marLeft w:val="0"/>
                  <w:marRight w:val="0"/>
                  <w:marTop w:val="0"/>
                  <w:marBottom w:val="0"/>
                  <w:divBdr>
                    <w:top w:val="single" w:sz="2" w:space="0" w:color="E3E3E3"/>
                    <w:left w:val="single" w:sz="2" w:space="0" w:color="E3E3E3"/>
                    <w:bottom w:val="single" w:sz="2" w:space="0" w:color="E3E3E3"/>
                    <w:right w:val="single" w:sz="2" w:space="0" w:color="E3E3E3"/>
                  </w:divBdr>
                  <w:divsChild>
                    <w:div w:id="1749962046">
                      <w:marLeft w:val="0"/>
                      <w:marRight w:val="0"/>
                      <w:marTop w:val="0"/>
                      <w:marBottom w:val="0"/>
                      <w:divBdr>
                        <w:top w:val="single" w:sz="2" w:space="0" w:color="E3E3E3"/>
                        <w:left w:val="single" w:sz="2" w:space="0" w:color="E3E3E3"/>
                        <w:bottom w:val="single" w:sz="2" w:space="0" w:color="E3E3E3"/>
                        <w:right w:val="single" w:sz="2" w:space="0" w:color="E3E3E3"/>
                      </w:divBdr>
                      <w:divsChild>
                        <w:div w:id="2059545836">
                          <w:marLeft w:val="0"/>
                          <w:marRight w:val="0"/>
                          <w:marTop w:val="0"/>
                          <w:marBottom w:val="0"/>
                          <w:divBdr>
                            <w:top w:val="single" w:sz="2" w:space="0" w:color="E3E3E3"/>
                            <w:left w:val="single" w:sz="2" w:space="0" w:color="E3E3E3"/>
                            <w:bottom w:val="single" w:sz="2" w:space="0" w:color="E3E3E3"/>
                            <w:right w:val="single" w:sz="2" w:space="0" w:color="E3E3E3"/>
                          </w:divBdr>
                          <w:divsChild>
                            <w:div w:id="1948270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77158928">
                                  <w:marLeft w:val="0"/>
                                  <w:marRight w:val="0"/>
                                  <w:marTop w:val="0"/>
                                  <w:marBottom w:val="0"/>
                                  <w:divBdr>
                                    <w:top w:val="single" w:sz="2" w:space="0" w:color="E3E3E3"/>
                                    <w:left w:val="single" w:sz="2" w:space="0" w:color="E3E3E3"/>
                                    <w:bottom w:val="single" w:sz="2" w:space="0" w:color="E3E3E3"/>
                                    <w:right w:val="single" w:sz="2" w:space="0" w:color="E3E3E3"/>
                                  </w:divBdr>
                                  <w:divsChild>
                                    <w:div w:id="238488137">
                                      <w:marLeft w:val="0"/>
                                      <w:marRight w:val="0"/>
                                      <w:marTop w:val="0"/>
                                      <w:marBottom w:val="0"/>
                                      <w:divBdr>
                                        <w:top w:val="single" w:sz="2" w:space="0" w:color="E3E3E3"/>
                                        <w:left w:val="single" w:sz="2" w:space="0" w:color="E3E3E3"/>
                                        <w:bottom w:val="single" w:sz="2" w:space="0" w:color="E3E3E3"/>
                                        <w:right w:val="single" w:sz="2" w:space="0" w:color="E3E3E3"/>
                                      </w:divBdr>
                                      <w:divsChild>
                                        <w:div w:id="1023093823">
                                          <w:marLeft w:val="0"/>
                                          <w:marRight w:val="0"/>
                                          <w:marTop w:val="0"/>
                                          <w:marBottom w:val="0"/>
                                          <w:divBdr>
                                            <w:top w:val="single" w:sz="2" w:space="0" w:color="E3E3E3"/>
                                            <w:left w:val="single" w:sz="2" w:space="0" w:color="E3E3E3"/>
                                            <w:bottom w:val="single" w:sz="2" w:space="0" w:color="E3E3E3"/>
                                            <w:right w:val="single" w:sz="2" w:space="0" w:color="E3E3E3"/>
                                          </w:divBdr>
                                          <w:divsChild>
                                            <w:div w:id="842665860">
                                              <w:marLeft w:val="0"/>
                                              <w:marRight w:val="0"/>
                                              <w:marTop w:val="0"/>
                                              <w:marBottom w:val="0"/>
                                              <w:divBdr>
                                                <w:top w:val="single" w:sz="2" w:space="0" w:color="E3E3E3"/>
                                                <w:left w:val="single" w:sz="2" w:space="0" w:color="E3E3E3"/>
                                                <w:bottom w:val="single" w:sz="2" w:space="0" w:color="E3E3E3"/>
                                                <w:right w:val="single" w:sz="2" w:space="0" w:color="E3E3E3"/>
                                              </w:divBdr>
                                              <w:divsChild>
                                                <w:div w:id="1607495759">
                                                  <w:marLeft w:val="0"/>
                                                  <w:marRight w:val="0"/>
                                                  <w:marTop w:val="0"/>
                                                  <w:marBottom w:val="0"/>
                                                  <w:divBdr>
                                                    <w:top w:val="single" w:sz="2" w:space="0" w:color="E3E3E3"/>
                                                    <w:left w:val="single" w:sz="2" w:space="0" w:color="E3E3E3"/>
                                                    <w:bottom w:val="single" w:sz="2" w:space="0" w:color="E3E3E3"/>
                                                    <w:right w:val="single" w:sz="2" w:space="0" w:color="E3E3E3"/>
                                                  </w:divBdr>
                                                  <w:divsChild>
                                                    <w:div w:id="1325890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2910125">
          <w:marLeft w:val="0"/>
          <w:marRight w:val="0"/>
          <w:marTop w:val="0"/>
          <w:marBottom w:val="0"/>
          <w:divBdr>
            <w:top w:val="none" w:sz="0" w:space="0" w:color="auto"/>
            <w:left w:val="none" w:sz="0" w:space="0" w:color="auto"/>
            <w:bottom w:val="none" w:sz="0" w:space="0" w:color="auto"/>
            <w:right w:val="none" w:sz="0" w:space="0" w:color="auto"/>
          </w:divBdr>
        </w:div>
      </w:divsChild>
    </w:div>
    <w:div w:id="806702191">
      <w:bodyDiv w:val="1"/>
      <w:marLeft w:val="0"/>
      <w:marRight w:val="0"/>
      <w:marTop w:val="0"/>
      <w:marBottom w:val="0"/>
      <w:divBdr>
        <w:top w:val="none" w:sz="0" w:space="0" w:color="auto"/>
        <w:left w:val="none" w:sz="0" w:space="0" w:color="auto"/>
        <w:bottom w:val="none" w:sz="0" w:space="0" w:color="auto"/>
        <w:right w:val="none" w:sz="0" w:space="0" w:color="auto"/>
      </w:divBdr>
      <w:divsChild>
        <w:div w:id="686831315">
          <w:marLeft w:val="0"/>
          <w:marRight w:val="0"/>
          <w:marTop w:val="0"/>
          <w:marBottom w:val="0"/>
          <w:divBdr>
            <w:top w:val="single" w:sz="2" w:space="0" w:color="D9D9E3"/>
            <w:left w:val="single" w:sz="2" w:space="0" w:color="D9D9E3"/>
            <w:bottom w:val="single" w:sz="2" w:space="0" w:color="D9D9E3"/>
            <w:right w:val="single" w:sz="2" w:space="0" w:color="D9D9E3"/>
          </w:divBdr>
          <w:divsChild>
            <w:div w:id="1463186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095324580">
                  <w:marLeft w:val="0"/>
                  <w:marRight w:val="0"/>
                  <w:marTop w:val="0"/>
                  <w:marBottom w:val="0"/>
                  <w:divBdr>
                    <w:top w:val="single" w:sz="2" w:space="0" w:color="D9D9E3"/>
                    <w:left w:val="single" w:sz="2" w:space="0" w:color="D9D9E3"/>
                    <w:bottom w:val="single" w:sz="2" w:space="0" w:color="D9D9E3"/>
                    <w:right w:val="single" w:sz="2" w:space="0" w:color="D9D9E3"/>
                  </w:divBdr>
                  <w:divsChild>
                    <w:div w:id="1682464853">
                      <w:marLeft w:val="0"/>
                      <w:marRight w:val="0"/>
                      <w:marTop w:val="0"/>
                      <w:marBottom w:val="0"/>
                      <w:divBdr>
                        <w:top w:val="single" w:sz="2" w:space="0" w:color="D9D9E3"/>
                        <w:left w:val="single" w:sz="2" w:space="0" w:color="D9D9E3"/>
                        <w:bottom w:val="single" w:sz="2" w:space="0" w:color="D9D9E3"/>
                        <w:right w:val="single" w:sz="2" w:space="0" w:color="D9D9E3"/>
                      </w:divBdr>
                      <w:divsChild>
                        <w:div w:id="178158193">
                          <w:marLeft w:val="0"/>
                          <w:marRight w:val="0"/>
                          <w:marTop w:val="0"/>
                          <w:marBottom w:val="0"/>
                          <w:divBdr>
                            <w:top w:val="single" w:sz="2" w:space="0" w:color="D9D9E3"/>
                            <w:left w:val="single" w:sz="2" w:space="0" w:color="D9D9E3"/>
                            <w:bottom w:val="single" w:sz="2" w:space="0" w:color="D9D9E3"/>
                            <w:right w:val="single" w:sz="2" w:space="0" w:color="D9D9E3"/>
                          </w:divBdr>
                          <w:divsChild>
                            <w:div w:id="896864070">
                              <w:marLeft w:val="0"/>
                              <w:marRight w:val="0"/>
                              <w:marTop w:val="0"/>
                              <w:marBottom w:val="0"/>
                              <w:divBdr>
                                <w:top w:val="single" w:sz="2" w:space="0" w:color="D9D9E3"/>
                                <w:left w:val="single" w:sz="2" w:space="0" w:color="D9D9E3"/>
                                <w:bottom w:val="single" w:sz="2" w:space="0" w:color="D9D9E3"/>
                                <w:right w:val="single" w:sz="2" w:space="0" w:color="D9D9E3"/>
                              </w:divBdr>
                              <w:divsChild>
                                <w:div w:id="1450932741">
                                  <w:marLeft w:val="0"/>
                                  <w:marRight w:val="0"/>
                                  <w:marTop w:val="0"/>
                                  <w:marBottom w:val="0"/>
                                  <w:divBdr>
                                    <w:top w:val="single" w:sz="2" w:space="0" w:color="D9D9E3"/>
                                    <w:left w:val="single" w:sz="2" w:space="0" w:color="D9D9E3"/>
                                    <w:bottom w:val="single" w:sz="2" w:space="0" w:color="D9D9E3"/>
                                    <w:right w:val="single" w:sz="2" w:space="0" w:color="D9D9E3"/>
                                  </w:divBdr>
                                  <w:divsChild>
                                    <w:div w:id="19354346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57235702">
      <w:bodyDiv w:val="1"/>
      <w:marLeft w:val="0"/>
      <w:marRight w:val="0"/>
      <w:marTop w:val="0"/>
      <w:marBottom w:val="0"/>
      <w:divBdr>
        <w:top w:val="none" w:sz="0" w:space="0" w:color="auto"/>
        <w:left w:val="none" w:sz="0" w:space="0" w:color="auto"/>
        <w:bottom w:val="none" w:sz="0" w:space="0" w:color="auto"/>
        <w:right w:val="none" w:sz="0" w:space="0" w:color="auto"/>
      </w:divBdr>
    </w:div>
    <w:div w:id="892540874">
      <w:bodyDiv w:val="1"/>
      <w:marLeft w:val="0"/>
      <w:marRight w:val="0"/>
      <w:marTop w:val="0"/>
      <w:marBottom w:val="0"/>
      <w:divBdr>
        <w:top w:val="none" w:sz="0" w:space="0" w:color="auto"/>
        <w:left w:val="none" w:sz="0" w:space="0" w:color="auto"/>
        <w:bottom w:val="none" w:sz="0" w:space="0" w:color="auto"/>
        <w:right w:val="none" w:sz="0" w:space="0" w:color="auto"/>
      </w:divBdr>
    </w:div>
    <w:div w:id="924455039">
      <w:bodyDiv w:val="1"/>
      <w:marLeft w:val="0"/>
      <w:marRight w:val="0"/>
      <w:marTop w:val="0"/>
      <w:marBottom w:val="0"/>
      <w:divBdr>
        <w:top w:val="none" w:sz="0" w:space="0" w:color="auto"/>
        <w:left w:val="none" w:sz="0" w:space="0" w:color="auto"/>
        <w:bottom w:val="none" w:sz="0" w:space="0" w:color="auto"/>
        <w:right w:val="none" w:sz="0" w:space="0" w:color="auto"/>
      </w:divBdr>
    </w:div>
    <w:div w:id="933828491">
      <w:bodyDiv w:val="1"/>
      <w:marLeft w:val="0"/>
      <w:marRight w:val="0"/>
      <w:marTop w:val="0"/>
      <w:marBottom w:val="0"/>
      <w:divBdr>
        <w:top w:val="none" w:sz="0" w:space="0" w:color="auto"/>
        <w:left w:val="none" w:sz="0" w:space="0" w:color="auto"/>
        <w:bottom w:val="none" w:sz="0" w:space="0" w:color="auto"/>
        <w:right w:val="none" w:sz="0" w:space="0" w:color="auto"/>
      </w:divBdr>
    </w:div>
    <w:div w:id="1156872149">
      <w:bodyDiv w:val="1"/>
      <w:marLeft w:val="0"/>
      <w:marRight w:val="0"/>
      <w:marTop w:val="0"/>
      <w:marBottom w:val="0"/>
      <w:divBdr>
        <w:top w:val="none" w:sz="0" w:space="0" w:color="auto"/>
        <w:left w:val="none" w:sz="0" w:space="0" w:color="auto"/>
        <w:bottom w:val="none" w:sz="0" w:space="0" w:color="auto"/>
        <w:right w:val="none" w:sz="0" w:space="0" w:color="auto"/>
      </w:divBdr>
    </w:div>
    <w:div w:id="1167138137">
      <w:bodyDiv w:val="1"/>
      <w:marLeft w:val="0"/>
      <w:marRight w:val="0"/>
      <w:marTop w:val="0"/>
      <w:marBottom w:val="0"/>
      <w:divBdr>
        <w:top w:val="none" w:sz="0" w:space="0" w:color="auto"/>
        <w:left w:val="none" w:sz="0" w:space="0" w:color="auto"/>
        <w:bottom w:val="none" w:sz="0" w:space="0" w:color="auto"/>
        <w:right w:val="none" w:sz="0" w:space="0" w:color="auto"/>
      </w:divBdr>
    </w:div>
    <w:div w:id="1183206084">
      <w:bodyDiv w:val="1"/>
      <w:marLeft w:val="0"/>
      <w:marRight w:val="0"/>
      <w:marTop w:val="0"/>
      <w:marBottom w:val="0"/>
      <w:divBdr>
        <w:top w:val="none" w:sz="0" w:space="0" w:color="auto"/>
        <w:left w:val="none" w:sz="0" w:space="0" w:color="auto"/>
        <w:bottom w:val="none" w:sz="0" w:space="0" w:color="auto"/>
        <w:right w:val="none" w:sz="0" w:space="0" w:color="auto"/>
      </w:divBdr>
    </w:div>
    <w:div w:id="1279750989">
      <w:bodyDiv w:val="1"/>
      <w:marLeft w:val="0"/>
      <w:marRight w:val="0"/>
      <w:marTop w:val="0"/>
      <w:marBottom w:val="0"/>
      <w:divBdr>
        <w:top w:val="none" w:sz="0" w:space="0" w:color="auto"/>
        <w:left w:val="none" w:sz="0" w:space="0" w:color="auto"/>
        <w:bottom w:val="none" w:sz="0" w:space="0" w:color="auto"/>
        <w:right w:val="none" w:sz="0" w:space="0" w:color="auto"/>
      </w:divBdr>
    </w:div>
    <w:div w:id="1351026528">
      <w:bodyDiv w:val="1"/>
      <w:marLeft w:val="0"/>
      <w:marRight w:val="0"/>
      <w:marTop w:val="0"/>
      <w:marBottom w:val="0"/>
      <w:divBdr>
        <w:top w:val="none" w:sz="0" w:space="0" w:color="auto"/>
        <w:left w:val="none" w:sz="0" w:space="0" w:color="auto"/>
        <w:bottom w:val="none" w:sz="0" w:space="0" w:color="auto"/>
        <w:right w:val="none" w:sz="0" w:space="0" w:color="auto"/>
      </w:divBdr>
    </w:div>
    <w:div w:id="1440636206">
      <w:bodyDiv w:val="1"/>
      <w:marLeft w:val="0"/>
      <w:marRight w:val="0"/>
      <w:marTop w:val="0"/>
      <w:marBottom w:val="0"/>
      <w:divBdr>
        <w:top w:val="none" w:sz="0" w:space="0" w:color="auto"/>
        <w:left w:val="none" w:sz="0" w:space="0" w:color="auto"/>
        <w:bottom w:val="none" w:sz="0" w:space="0" w:color="auto"/>
        <w:right w:val="none" w:sz="0" w:space="0" w:color="auto"/>
      </w:divBdr>
      <w:divsChild>
        <w:div w:id="980228536">
          <w:marLeft w:val="0"/>
          <w:marRight w:val="0"/>
          <w:marTop w:val="0"/>
          <w:marBottom w:val="0"/>
          <w:divBdr>
            <w:top w:val="single" w:sz="2" w:space="0" w:color="E3E3E3"/>
            <w:left w:val="single" w:sz="2" w:space="0" w:color="E3E3E3"/>
            <w:bottom w:val="single" w:sz="2" w:space="0" w:color="E3E3E3"/>
            <w:right w:val="single" w:sz="2" w:space="0" w:color="E3E3E3"/>
          </w:divBdr>
          <w:divsChild>
            <w:div w:id="375198252">
              <w:marLeft w:val="0"/>
              <w:marRight w:val="0"/>
              <w:marTop w:val="0"/>
              <w:marBottom w:val="0"/>
              <w:divBdr>
                <w:top w:val="single" w:sz="2" w:space="0" w:color="E3E3E3"/>
                <w:left w:val="single" w:sz="2" w:space="0" w:color="E3E3E3"/>
                <w:bottom w:val="single" w:sz="2" w:space="0" w:color="E3E3E3"/>
                <w:right w:val="single" w:sz="2" w:space="0" w:color="E3E3E3"/>
              </w:divBdr>
              <w:divsChild>
                <w:div w:id="560479160">
                  <w:marLeft w:val="0"/>
                  <w:marRight w:val="0"/>
                  <w:marTop w:val="0"/>
                  <w:marBottom w:val="0"/>
                  <w:divBdr>
                    <w:top w:val="single" w:sz="2" w:space="0" w:color="E3E3E3"/>
                    <w:left w:val="single" w:sz="2" w:space="0" w:color="E3E3E3"/>
                    <w:bottom w:val="single" w:sz="2" w:space="0" w:color="E3E3E3"/>
                    <w:right w:val="single" w:sz="2" w:space="0" w:color="E3E3E3"/>
                  </w:divBdr>
                  <w:divsChild>
                    <w:div w:id="1156415284">
                      <w:marLeft w:val="0"/>
                      <w:marRight w:val="0"/>
                      <w:marTop w:val="0"/>
                      <w:marBottom w:val="0"/>
                      <w:divBdr>
                        <w:top w:val="single" w:sz="2" w:space="0" w:color="E3E3E3"/>
                        <w:left w:val="single" w:sz="2" w:space="0" w:color="E3E3E3"/>
                        <w:bottom w:val="single" w:sz="2" w:space="0" w:color="E3E3E3"/>
                        <w:right w:val="single" w:sz="2" w:space="0" w:color="E3E3E3"/>
                      </w:divBdr>
                      <w:divsChild>
                        <w:div w:id="2114938435">
                          <w:marLeft w:val="0"/>
                          <w:marRight w:val="0"/>
                          <w:marTop w:val="0"/>
                          <w:marBottom w:val="0"/>
                          <w:divBdr>
                            <w:top w:val="single" w:sz="2" w:space="0" w:color="E3E3E3"/>
                            <w:left w:val="single" w:sz="2" w:space="0" w:color="E3E3E3"/>
                            <w:bottom w:val="single" w:sz="2" w:space="0" w:color="E3E3E3"/>
                            <w:right w:val="single" w:sz="2" w:space="0" w:color="E3E3E3"/>
                          </w:divBdr>
                          <w:divsChild>
                            <w:div w:id="1821116667">
                              <w:marLeft w:val="0"/>
                              <w:marRight w:val="0"/>
                              <w:marTop w:val="0"/>
                              <w:marBottom w:val="0"/>
                              <w:divBdr>
                                <w:top w:val="single" w:sz="2" w:space="0" w:color="E3E3E3"/>
                                <w:left w:val="single" w:sz="2" w:space="0" w:color="E3E3E3"/>
                                <w:bottom w:val="single" w:sz="2" w:space="0" w:color="E3E3E3"/>
                                <w:right w:val="single" w:sz="2" w:space="0" w:color="E3E3E3"/>
                              </w:divBdr>
                              <w:divsChild>
                                <w:div w:id="12991453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283028">
                                      <w:marLeft w:val="0"/>
                                      <w:marRight w:val="0"/>
                                      <w:marTop w:val="0"/>
                                      <w:marBottom w:val="0"/>
                                      <w:divBdr>
                                        <w:top w:val="single" w:sz="2" w:space="0" w:color="E3E3E3"/>
                                        <w:left w:val="single" w:sz="2" w:space="0" w:color="E3E3E3"/>
                                        <w:bottom w:val="single" w:sz="2" w:space="0" w:color="E3E3E3"/>
                                        <w:right w:val="single" w:sz="2" w:space="0" w:color="E3E3E3"/>
                                      </w:divBdr>
                                      <w:divsChild>
                                        <w:div w:id="530456691">
                                          <w:marLeft w:val="0"/>
                                          <w:marRight w:val="0"/>
                                          <w:marTop w:val="0"/>
                                          <w:marBottom w:val="0"/>
                                          <w:divBdr>
                                            <w:top w:val="single" w:sz="2" w:space="0" w:color="E3E3E3"/>
                                            <w:left w:val="single" w:sz="2" w:space="0" w:color="E3E3E3"/>
                                            <w:bottom w:val="single" w:sz="2" w:space="0" w:color="E3E3E3"/>
                                            <w:right w:val="single" w:sz="2" w:space="0" w:color="E3E3E3"/>
                                          </w:divBdr>
                                          <w:divsChild>
                                            <w:div w:id="87772046">
                                              <w:marLeft w:val="0"/>
                                              <w:marRight w:val="0"/>
                                              <w:marTop w:val="0"/>
                                              <w:marBottom w:val="0"/>
                                              <w:divBdr>
                                                <w:top w:val="single" w:sz="2" w:space="0" w:color="E3E3E3"/>
                                                <w:left w:val="single" w:sz="2" w:space="0" w:color="E3E3E3"/>
                                                <w:bottom w:val="single" w:sz="2" w:space="0" w:color="E3E3E3"/>
                                                <w:right w:val="single" w:sz="2" w:space="0" w:color="E3E3E3"/>
                                              </w:divBdr>
                                              <w:divsChild>
                                                <w:div w:id="1710492573">
                                                  <w:marLeft w:val="0"/>
                                                  <w:marRight w:val="0"/>
                                                  <w:marTop w:val="0"/>
                                                  <w:marBottom w:val="0"/>
                                                  <w:divBdr>
                                                    <w:top w:val="single" w:sz="2" w:space="0" w:color="E3E3E3"/>
                                                    <w:left w:val="single" w:sz="2" w:space="0" w:color="E3E3E3"/>
                                                    <w:bottom w:val="single" w:sz="2" w:space="0" w:color="E3E3E3"/>
                                                    <w:right w:val="single" w:sz="2" w:space="0" w:color="E3E3E3"/>
                                                  </w:divBdr>
                                                  <w:divsChild>
                                                    <w:div w:id="1725176179">
                                                      <w:marLeft w:val="0"/>
                                                      <w:marRight w:val="0"/>
                                                      <w:marTop w:val="0"/>
                                                      <w:marBottom w:val="0"/>
                                                      <w:divBdr>
                                                        <w:top w:val="single" w:sz="2" w:space="0" w:color="E3E3E3"/>
                                                        <w:left w:val="single" w:sz="2" w:space="0" w:color="E3E3E3"/>
                                                        <w:bottom w:val="single" w:sz="2" w:space="0" w:color="E3E3E3"/>
                                                        <w:right w:val="single" w:sz="2" w:space="0" w:color="E3E3E3"/>
                                                      </w:divBdr>
                                                      <w:divsChild>
                                                        <w:div w:id="527331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1186054">
          <w:marLeft w:val="0"/>
          <w:marRight w:val="0"/>
          <w:marTop w:val="0"/>
          <w:marBottom w:val="0"/>
          <w:divBdr>
            <w:top w:val="none" w:sz="0" w:space="0" w:color="auto"/>
            <w:left w:val="none" w:sz="0" w:space="0" w:color="auto"/>
            <w:bottom w:val="none" w:sz="0" w:space="0" w:color="auto"/>
            <w:right w:val="none" w:sz="0" w:space="0" w:color="auto"/>
          </w:divBdr>
        </w:div>
      </w:divsChild>
    </w:div>
    <w:div w:id="1683049336">
      <w:bodyDiv w:val="1"/>
      <w:marLeft w:val="0"/>
      <w:marRight w:val="0"/>
      <w:marTop w:val="0"/>
      <w:marBottom w:val="0"/>
      <w:divBdr>
        <w:top w:val="none" w:sz="0" w:space="0" w:color="auto"/>
        <w:left w:val="none" w:sz="0" w:space="0" w:color="auto"/>
        <w:bottom w:val="none" w:sz="0" w:space="0" w:color="auto"/>
        <w:right w:val="none" w:sz="0" w:space="0" w:color="auto"/>
      </w:divBdr>
    </w:div>
    <w:div w:id="1831098232">
      <w:bodyDiv w:val="1"/>
      <w:marLeft w:val="0"/>
      <w:marRight w:val="0"/>
      <w:marTop w:val="0"/>
      <w:marBottom w:val="0"/>
      <w:divBdr>
        <w:top w:val="none" w:sz="0" w:space="0" w:color="auto"/>
        <w:left w:val="none" w:sz="0" w:space="0" w:color="auto"/>
        <w:bottom w:val="none" w:sz="0" w:space="0" w:color="auto"/>
        <w:right w:val="none" w:sz="0" w:space="0" w:color="auto"/>
      </w:divBdr>
    </w:div>
    <w:div w:id="1904098534">
      <w:bodyDiv w:val="1"/>
      <w:marLeft w:val="0"/>
      <w:marRight w:val="0"/>
      <w:marTop w:val="0"/>
      <w:marBottom w:val="0"/>
      <w:divBdr>
        <w:top w:val="none" w:sz="0" w:space="0" w:color="auto"/>
        <w:left w:val="none" w:sz="0" w:space="0" w:color="auto"/>
        <w:bottom w:val="none" w:sz="0" w:space="0" w:color="auto"/>
        <w:right w:val="none" w:sz="0" w:space="0" w:color="auto"/>
      </w:divBdr>
      <w:divsChild>
        <w:div w:id="1531724232">
          <w:marLeft w:val="0"/>
          <w:marRight w:val="0"/>
          <w:marTop w:val="0"/>
          <w:marBottom w:val="0"/>
          <w:divBdr>
            <w:top w:val="none" w:sz="0" w:space="0" w:color="auto"/>
            <w:left w:val="none" w:sz="0" w:space="0" w:color="auto"/>
            <w:bottom w:val="none" w:sz="0" w:space="0" w:color="auto"/>
            <w:right w:val="none" w:sz="0" w:space="0" w:color="auto"/>
          </w:divBdr>
          <w:divsChild>
            <w:div w:id="1331255421">
              <w:marLeft w:val="0"/>
              <w:marRight w:val="0"/>
              <w:marTop w:val="0"/>
              <w:marBottom w:val="0"/>
              <w:divBdr>
                <w:top w:val="none" w:sz="0" w:space="0" w:color="auto"/>
                <w:left w:val="none" w:sz="0" w:space="0" w:color="auto"/>
                <w:bottom w:val="none" w:sz="0" w:space="0" w:color="auto"/>
                <w:right w:val="none" w:sz="0" w:space="0" w:color="auto"/>
              </w:divBdr>
              <w:divsChild>
                <w:div w:id="737895897">
                  <w:marLeft w:val="0"/>
                  <w:marRight w:val="0"/>
                  <w:marTop w:val="0"/>
                  <w:marBottom w:val="0"/>
                  <w:divBdr>
                    <w:top w:val="none" w:sz="0" w:space="0" w:color="auto"/>
                    <w:left w:val="none" w:sz="0" w:space="0" w:color="auto"/>
                    <w:bottom w:val="none" w:sz="0" w:space="0" w:color="auto"/>
                    <w:right w:val="none" w:sz="0" w:space="0" w:color="auto"/>
                  </w:divBdr>
                  <w:divsChild>
                    <w:div w:id="2038962589">
                      <w:marLeft w:val="0"/>
                      <w:marRight w:val="0"/>
                      <w:marTop w:val="0"/>
                      <w:marBottom w:val="0"/>
                      <w:divBdr>
                        <w:top w:val="none" w:sz="0" w:space="0" w:color="auto"/>
                        <w:left w:val="none" w:sz="0" w:space="0" w:color="auto"/>
                        <w:bottom w:val="none" w:sz="0" w:space="0" w:color="auto"/>
                        <w:right w:val="none" w:sz="0" w:space="0" w:color="auto"/>
                      </w:divBdr>
                      <w:divsChild>
                        <w:div w:id="711731860">
                          <w:marLeft w:val="0"/>
                          <w:marRight w:val="0"/>
                          <w:marTop w:val="0"/>
                          <w:marBottom w:val="0"/>
                          <w:divBdr>
                            <w:top w:val="none" w:sz="0" w:space="0" w:color="auto"/>
                            <w:left w:val="none" w:sz="0" w:space="0" w:color="auto"/>
                            <w:bottom w:val="none" w:sz="0" w:space="0" w:color="auto"/>
                            <w:right w:val="none" w:sz="0" w:space="0" w:color="auto"/>
                          </w:divBdr>
                          <w:divsChild>
                            <w:div w:id="1479111526">
                              <w:marLeft w:val="0"/>
                              <w:marRight w:val="0"/>
                              <w:marTop w:val="0"/>
                              <w:marBottom w:val="0"/>
                              <w:divBdr>
                                <w:top w:val="none" w:sz="0" w:space="0" w:color="auto"/>
                                <w:left w:val="none" w:sz="0" w:space="0" w:color="auto"/>
                                <w:bottom w:val="none" w:sz="0" w:space="0" w:color="auto"/>
                                <w:right w:val="none" w:sz="0" w:space="0" w:color="auto"/>
                              </w:divBdr>
                              <w:divsChild>
                                <w:div w:id="1519583581">
                                  <w:marLeft w:val="0"/>
                                  <w:marRight w:val="0"/>
                                  <w:marTop w:val="0"/>
                                  <w:marBottom w:val="0"/>
                                  <w:divBdr>
                                    <w:top w:val="none" w:sz="0" w:space="0" w:color="auto"/>
                                    <w:left w:val="none" w:sz="0" w:space="0" w:color="auto"/>
                                    <w:bottom w:val="none" w:sz="0" w:space="0" w:color="auto"/>
                                    <w:right w:val="none" w:sz="0" w:space="0" w:color="auto"/>
                                  </w:divBdr>
                                  <w:divsChild>
                                    <w:div w:id="17325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89207">
          <w:marLeft w:val="0"/>
          <w:marRight w:val="0"/>
          <w:marTop w:val="0"/>
          <w:marBottom w:val="0"/>
          <w:divBdr>
            <w:top w:val="none" w:sz="0" w:space="0" w:color="auto"/>
            <w:left w:val="none" w:sz="0" w:space="0" w:color="auto"/>
            <w:bottom w:val="none" w:sz="0" w:space="0" w:color="auto"/>
            <w:right w:val="none" w:sz="0" w:space="0" w:color="auto"/>
          </w:divBdr>
          <w:divsChild>
            <w:div w:id="819539983">
              <w:marLeft w:val="0"/>
              <w:marRight w:val="0"/>
              <w:marTop w:val="0"/>
              <w:marBottom w:val="0"/>
              <w:divBdr>
                <w:top w:val="none" w:sz="0" w:space="0" w:color="auto"/>
                <w:left w:val="none" w:sz="0" w:space="0" w:color="auto"/>
                <w:bottom w:val="none" w:sz="0" w:space="0" w:color="auto"/>
                <w:right w:val="none" w:sz="0" w:space="0" w:color="auto"/>
              </w:divBdr>
              <w:divsChild>
                <w:div w:id="1231622660">
                  <w:marLeft w:val="0"/>
                  <w:marRight w:val="0"/>
                  <w:marTop w:val="0"/>
                  <w:marBottom w:val="0"/>
                  <w:divBdr>
                    <w:top w:val="none" w:sz="0" w:space="0" w:color="auto"/>
                    <w:left w:val="none" w:sz="0" w:space="0" w:color="auto"/>
                    <w:bottom w:val="none" w:sz="0" w:space="0" w:color="auto"/>
                    <w:right w:val="none" w:sz="0" w:space="0" w:color="auto"/>
                  </w:divBdr>
                  <w:divsChild>
                    <w:div w:id="808128275">
                      <w:marLeft w:val="0"/>
                      <w:marRight w:val="0"/>
                      <w:marTop w:val="0"/>
                      <w:marBottom w:val="0"/>
                      <w:divBdr>
                        <w:top w:val="none" w:sz="0" w:space="0" w:color="auto"/>
                        <w:left w:val="none" w:sz="0" w:space="0" w:color="auto"/>
                        <w:bottom w:val="none" w:sz="0" w:space="0" w:color="auto"/>
                        <w:right w:val="none" w:sz="0" w:space="0" w:color="auto"/>
                      </w:divBdr>
                      <w:divsChild>
                        <w:div w:id="411388137">
                          <w:marLeft w:val="0"/>
                          <w:marRight w:val="0"/>
                          <w:marTop w:val="0"/>
                          <w:marBottom w:val="0"/>
                          <w:divBdr>
                            <w:top w:val="none" w:sz="0" w:space="0" w:color="auto"/>
                            <w:left w:val="none" w:sz="0" w:space="0" w:color="auto"/>
                            <w:bottom w:val="none" w:sz="0" w:space="0" w:color="auto"/>
                            <w:right w:val="none" w:sz="0" w:space="0" w:color="auto"/>
                          </w:divBdr>
                          <w:divsChild>
                            <w:div w:id="1498766246">
                              <w:marLeft w:val="0"/>
                              <w:marRight w:val="0"/>
                              <w:marTop w:val="0"/>
                              <w:marBottom w:val="0"/>
                              <w:divBdr>
                                <w:top w:val="none" w:sz="0" w:space="0" w:color="auto"/>
                                <w:left w:val="none" w:sz="0" w:space="0" w:color="auto"/>
                                <w:bottom w:val="none" w:sz="0" w:space="0" w:color="auto"/>
                                <w:right w:val="none" w:sz="0" w:space="0" w:color="auto"/>
                              </w:divBdr>
                              <w:divsChild>
                                <w:div w:id="1855336794">
                                  <w:marLeft w:val="0"/>
                                  <w:marRight w:val="0"/>
                                  <w:marTop w:val="0"/>
                                  <w:marBottom w:val="0"/>
                                  <w:divBdr>
                                    <w:top w:val="none" w:sz="0" w:space="0" w:color="auto"/>
                                    <w:left w:val="none" w:sz="0" w:space="0" w:color="auto"/>
                                    <w:bottom w:val="none" w:sz="0" w:space="0" w:color="auto"/>
                                    <w:right w:val="none" w:sz="0" w:space="0" w:color="auto"/>
                                  </w:divBdr>
                                  <w:divsChild>
                                    <w:div w:id="199054451">
                                      <w:marLeft w:val="0"/>
                                      <w:marRight w:val="0"/>
                                      <w:marTop w:val="0"/>
                                      <w:marBottom w:val="0"/>
                                      <w:divBdr>
                                        <w:top w:val="none" w:sz="0" w:space="0" w:color="auto"/>
                                        <w:left w:val="none" w:sz="0" w:space="0" w:color="auto"/>
                                        <w:bottom w:val="none" w:sz="0" w:space="0" w:color="auto"/>
                                        <w:right w:val="none" w:sz="0" w:space="0" w:color="auto"/>
                                      </w:divBdr>
                                      <w:divsChild>
                                        <w:div w:id="231159909">
                                          <w:marLeft w:val="0"/>
                                          <w:marRight w:val="0"/>
                                          <w:marTop w:val="0"/>
                                          <w:marBottom w:val="0"/>
                                          <w:divBdr>
                                            <w:top w:val="none" w:sz="0" w:space="0" w:color="auto"/>
                                            <w:left w:val="none" w:sz="0" w:space="0" w:color="auto"/>
                                            <w:bottom w:val="none" w:sz="0" w:space="0" w:color="auto"/>
                                            <w:right w:val="none" w:sz="0" w:space="0" w:color="auto"/>
                                          </w:divBdr>
                                          <w:divsChild>
                                            <w:div w:id="9119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514732">
      <w:bodyDiv w:val="1"/>
      <w:marLeft w:val="0"/>
      <w:marRight w:val="0"/>
      <w:marTop w:val="0"/>
      <w:marBottom w:val="0"/>
      <w:divBdr>
        <w:top w:val="none" w:sz="0" w:space="0" w:color="auto"/>
        <w:left w:val="none" w:sz="0" w:space="0" w:color="auto"/>
        <w:bottom w:val="none" w:sz="0" w:space="0" w:color="auto"/>
        <w:right w:val="none" w:sz="0" w:space="0" w:color="auto"/>
      </w:divBdr>
      <w:divsChild>
        <w:div w:id="1510556787">
          <w:marLeft w:val="0"/>
          <w:marRight w:val="0"/>
          <w:marTop w:val="0"/>
          <w:marBottom w:val="0"/>
          <w:divBdr>
            <w:top w:val="single" w:sz="2" w:space="0" w:color="E3E3E3"/>
            <w:left w:val="single" w:sz="2" w:space="0" w:color="E3E3E3"/>
            <w:bottom w:val="single" w:sz="2" w:space="0" w:color="E3E3E3"/>
            <w:right w:val="single" w:sz="2" w:space="0" w:color="E3E3E3"/>
          </w:divBdr>
          <w:divsChild>
            <w:div w:id="2043432738">
              <w:marLeft w:val="0"/>
              <w:marRight w:val="0"/>
              <w:marTop w:val="0"/>
              <w:marBottom w:val="0"/>
              <w:divBdr>
                <w:top w:val="single" w:sz="2" w:space="0" w:color="E3E3E3"/>
                <w:left w:val="single" w:sz="2" w:space="0" w:color="E3E3E3"/>
                <w:bottom w:val="single" w:sz="2" w:space="0" w:color="E3E3E3"/>
                <w:right w:val="single" w:sz="2" w:space="0" w:color="E3E3E3"/>
              </w:divBdr>
              <w:divsChild>
                <w:div w:id="837381548">
                  <w:marLeft w:val="0"/>
                  <w:marRight w:val="0"/>
                  <w:marTop w:val="0"/>
                  <w:marBottom w:val="0"/>
                  <w:divBdr>
                    <w:top w:val="single" w:sz="2" w:space="0" w:color="E3E3E3"/>
                    <w:left w:val="single" w:sz="2" w:space="0" w:color="E3E3E3"/>
                    <w:bottom w:val="single" w:sz="2" w:space="0" w:color="E3E3E3"/>
                    <w:right w:val="single" w:sz="2" w:space="0" w:color="E3E3E3"/>
                  </w:divBdr>
                  <w:divsChild>
                    <w:div w:id="1239679855">
                      <w:marLeft w:val="0"/>
                      <w:marRight w:val="0"/>
                      <w:marTop w:val="0"/>
                      <w:marBottom w:val="0"/>
                      <w:divBdr>
                        <w:top w:val="single" w:sz="2" w:space="0" w:color="E3E3E3"/>
                        <w:left w:val="single" w:sz="2" w:space="0" w:color="E3E3E3"/>
                        <w:bottom w:val="single" w:sz="2" w:space="0" w:color="E3E3E3"/>
                        <w:right w:val="single" w:sz="2" w:space="0" w:color="E3E3E3"/>
                      </w:divBdr>
                      <w:divsChild>
                        <w:div w:id="610863754">
                          <w:marLeft w:val="0"/>
                          <w:marRight w:val="0"/>
                          <w:marTop w:val="0"/>
                          <w:marBottom w:val="0"/>
                          <w:divBdr>
                            <w:top w:val="single" w:sz="2" w:space="0" w:color="E3E3E3"/>
                            <w:left w:val="single" w:sz="2" w:space="0" w:color="E3E3E3"/>
                            <w:bottom w:val="single" w:sz="2" w:space="0" w:color="E3E3E3"/>
                            <w:right w:val="single" w:sz="2" w:space="0" w:color="E3E3E3"/>
                          </w:divBdr>
                          <w:divsChild>
                            <w:div w:id="177084939">
                              <w:marLeft w:val="0"/>
                              <w:marRight w:val="0"/>
                              <w:marTop w:val="0"/>
                              <w:marBottom w:val="0"/>
                              <w:divBdr>
                                <w:top w:val="single" w:sz="2" w:space="0" w:color="E3E3E3"/>
                                <w:left w:val="single" w:sz="2" w:space="0" w:color="E3E3E3"/>
                                <w:bottom w:val="single" w:sz="2" w:space="0" w:color="E3E3E3"/>
                                <w:right w:val="single" w:sz="2" w:space="0" w:color="E3E3E3"/>
                              </w:divBdr>
                              <w:divsChild>
                                <w:div w:id="7434509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50109176">
                                      <w:marLeft w:val="0"/>
                                      <w:marRight w:val="0"/>
                                      <w:marTop w:val="0"/>
                                      <w:marBottom w:val="0"/>
                                      <w:divBdr>
                                        <w:top w:val="single" w:sz="2" w:space="0" w:color="E3E3E3"/>
                                        <w:left w:val="single" w:sz="2" w:space="0" w:color="E3E3E3"/>
                                        <w:bottom w:val="single" w:sz="2" w:space="0" w:color="E3E3E3"/>
                                        <w:right w:val="single" w:sz="2" w:space="0" w:color="E3E3E3"/>
                                      </w:divBdr>
                                      <w:divsChild>
                                        <w:div w:id="916746880">
                                          <w:marLeft w:val="0"/>
                                          <w:marRight w:val="0"/>
                                          <w:marTop w:val="0"/>
                                          <w:marBottom w:val="0"/>
                                          <w:divBdr>
                                            <w:top w:val="single" w:sz="2" w:space="0" w:color="E3E3E3"/>
                                            <w:left w:val="single" w:sz="2" w:space="0" w:color="E3E3E3"/>
                                            <w:bottom w:val="single" w:sz="2" w:space="0" w:color="E3E3E3"/>
                                            <w:right w:val="single" w:sz="2" w:space="0" w:color="E3E3E3"/>
                                          </w:divBdr>
                                          <w:divsChild>
                                            <w:div w:id="833691241">
                                              <w:marLeft w:val="0"/>
                                              <w:marRight w:val="0"/>
                                              <w:marTop w:val="0"/>
                                              <w:marBottom w:val="0"/>
                                              <w:divBdr>
                                                <w:top w:val="single" w:sz="2" w:space="0" w:color="E3E3E3"/>
                                                <w:left w:val="single" w:sz="2" w:space="0" w:color="E3E3E3"/>
                                                <w:bottom w:val="single" w:sz="2" w:space="0" w:color="E3E3E3"/>
                                                <w:right w:val="single" w:sz="2" w:space="0" w:color="E3E3E3"/>
                                              </w:divBdr>
                                              <w:divsChild>
                                                <w:div w:id="448208019">
                                                  <w:marLeft w:val="0"/>
                                                  <w:marRight w:val="0"/>
                                                  <w:marTop w:val="0"/>
                                                  <w:marBottom w:val="0"/>
                                                  <w:divBdr>
                                                    <w:top w:val="single" w:sz="2" w:space="0" w:color="E3E3E3"/>
                                                    <w:left w:val="single" w:sz="2" w:space="0" w:color="E3E3E3"/>
                                                    <w:bottom w:val="single" w:sz="2" w:space="0" w:color="E3E3E3"/>
                                                    <w:right w:val="single" w:sz="2" w:space="0" w:color="E3E3E3"/>
                                                  </w:divBdr>
                                                  <w:divsChild>
                                                    <w:div w:id="1187252876">
                                                      <w:marLeft w:val="0"/>
                                                      <w:marRight w:val="0"/>
                                                      <w:marTop w:val="0"/>
                                                      <w:marBottom w:val="0"/>
                                                      <w:divBdr>
                                                        <w:top w:val="single" w:sz="2" w:space="0" w:color="E3E3E3"/>
                                                        <w:left w:val="single" w:sz="2" w:space="0" w:color="E3E3E3"/>
                                                        <w:bottom w:val="single" w:sz="2" w:space="0" w:color="E3E3E3"/>
                                                        <w:right w:val="single" w:sz="2" w:space="0" w:color="E3E3E3"/>
                                                      </w:divBdr>
                                                      <w:divsChild>
                                                        <w:div w:id="4580330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00388409">
          <w:marLeft w:val="0"/>
          <w:marRight w:val="0"/>
          <w:marTop w:val="0"/>
          <w:marBottom w:val="0"/>
          <w:divBdr>
            <w:top w:val="none" w:sz="0" w:space="0" w:color="auto"/>
            <w:left w:val="none" w:sz="0" w:space="0" w:color="auto"/>
            <w:bottom w:val="none" w:sz="0" w:space="0" w:color="auto"/>
            <w:right w:val="none" w:sz="0" w:space="0" w:color="auto"/>
          </w:divBdr>
        </w:div>
      </w:divsChild>
    </w:div>
    <w:div w:id="1943682841">
      <w:bodyDiv w:val="1"/>
      <w:marLeft w:val="0"/>
      <w:marRight w:val="0"/>
      <w:marTop w:val="0"/>
      <w:marBottom w:val="0"/>
      <w:divBdr>
        <w:top w:val="none" w:sz="0" w:space="0" w:color="auto"/>
        <w:left w:val="none" w:sz="0" w:space="0" w:color="auto"/>
        <w:bottom w:val="none" w:sz="0" w:space="0" w:color="auto"/>
        <w:right w:val="none" w:sz="0" w:space="0" w:color="auto"/>
      </w:divBdr>
    </w:div>
    <w:div w:id="2058239158">
      <w:bodyDiv w:val="1"/>
      <w:marLeft w:val="0"/>
      <w:marRight w:val="0"/>
      <w:marTop w:val="0"/>
      <w:marBottom w:val="0"/>
      <w:divBdr>
        <w:top w:val="none" w:sz="0" w:space="0" w:color="auto"/>
        <w:left w:val="none" w:sz="0" w:space="0" w:color="auto"/>
        <w:bottom w:val="none" w:sz="0" w:space="0" w:color="auto"/>
        <w:right w:val="none" w:sz="0" w:space="0" w:color="auto"/>
      </w:divBdr>
    </w:div>
    <w:div w:id="2102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vizhub.healthdata.org/gbd-compar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arushi\Downloads\Poonam%20Graphs%20final%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755924756625267"/>
          <c:y val="4.1872599227001206E-2"/>
          <c:w val="0.82607117724381818"/>
          <c:h val="0.74591221240955397"/>
        </c:manualLayout>
      </c:layout>
      <c:bar3DChart>
        <c:barDir val="col"/>
        <c:grouping val="clustered"/>
        <c:varyColors val="0"/>
        <c:ser>
          <c:idx val="0"/>
          <c:order val="0"/>
          <c:tx>
            <c:strRef>
              <c:f>'[Poonam Graphs final (1).xlsx]Nutr intake'!$Y$23</c:f>
              <c:strCache>
                <c:ptCount val="1"/>
                <c:pt idx="0">
                  <c:v>Urban Men</c:v>
                </c:pt>
              </c:strCache>
            </c:strRef>
          </c:tx>
          <c:spPr>
            <a:pattFill prst="sphere">
              <a:fgClr>
                <a:schemeClr val="tx1"/>
              </a:fgClr>
              <a:bgClr>
                <a:schemeClr val="bg1"/>
              </a:bgClr>
            </a:pattFill>
          </c:spPr>
          <c:invertIfNegative val="0"/>
          <c:dPt>
            <c:idx val="0"/>
            <c:invertIfNegative val="0"/>
            <c:bubble3D val="0"/>
            <c:spPr>
              <a:pattFill prst="sphere">
                <a:fgClr>
                  <a:schemeClr val="tx1"/>
                </a:fgClr>
                <a:bgClr>
                  <a:schemeClr val="bg1"/>
                </a:bgClr>
              </a:pattFill>
              <a:ln>
                <a:solidFill>
                  <a:schemeClr val="tx1"/>
                </a:solidFill>
              </a:ln>
            </c:spPr>
            <c:extLst>
              <c:ext xmlns:c16="http://schemas.microsoft.com/office/drawing/2014/chart" uri="{C3380CC4-5D6E-409C-BE32-E72D297353CC}">
                <c16:uniqueId val="{00000001-9ECC-40C5-BFA8-725B505E3AF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intake'!$Y$24:$Y$27</c:f>
              <c:numCache>
                <c:formatCode>General</c:formatCode>
                <c:ptCount val="4"/>
                <c:pt idx="0">
                  <c:v>77</c:v>
                </c:pt>
                <c:pt idx="1">
                  <c:v>98</c:v>
                </c:pt>
                <c:pt idx="2">
                  <c:v>175</c:v>
                </c:pt>
                <c:pt idx="3">
                  <c:v>216</c:v>
                </c:pt>
              </c:numCache>
            </c:numRef>
          </c:val>
          <c:extLst>
            <c:ext xmlns:c16="http://schemas.microsoft.com/office/drawing/2014/chart" uri="{C3380CC4-5D6E-409C-BE32-E72D297353CC}">
              <c16:uniqueId val="{00000002-9ECC-40C5-BFA8-725B505E3AF0}"/>
            </c:ext>
          </c:extLst>
        </c:ser>
        <c:ser>
          <c:idx val="1"/>
          <c:order val="1"/>
          <c:tx>
            <c:strRef>
              <c:f>'[Poonam Graphs final (1).xlsx]Nutr intake'!$Z$23</c:f>
              <c:strCache>
                <c:ptCount val="1"/>
                <c:pt idx="0">
                  <c:v>Rural Men</c:v>
                </c:pt>
              </c:strCache>
            </c:strRef>
          </c:tx>
          <c:spPr>
            <a:pattFill prst="narHorz">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intake'!$Z$24:$Z$27</c:f>
              <c:numCache>
                <c:formatCode>General</c:formatCode>
                <c:ptCount val="4"/>
                <c:pt idx="0">
                  <c:v>77</c:v>
                </c:pt>
                <c:pt idx="1">
                  <c:v>98</c:v>
                </c:pt>
                <c:pt idx="2">
                  <c:v>192</c:v>
                </c:pt>
                <c:pt idx="3">
                  <c:v>172</c:v>
                </c:pt>
              </c:numCache>
            </c:numRef>
          </c:val>
          <c:extLst>
            <c:ext xmlns:c16="http://schemas.microsoft.com/office/drawing/2014/chart" uri="{C3380CC4-5D6E-409C-BE32-E72D297353CC}">
              <c16:uniqueId val="{00000003-9ECC-40C5-BFA8-725B505E3AF0}"/>
            </c:ext>
          </c:extLst>
        </c:ser>
        <c:ser>
          <c:idx val="2"/>
          <c:order val="2"/>
          <c:tx>
            <c:strRef>
              <c:f>'[Poonam Graphs final (1).xlsx]Nutr intake'!$AA$23</c:f>
              <c:strCache>
                <c:ptCount val="1"/>
                <c:pt idx="0">
                  <c:v>Urban Women</c:v>
                </c:pt>
              </c:strCache>
            </c:strRef>
          </c:tx>
          <c:spPr>
            <a:pattFill prst="zigZag">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intake'!$AA$24:$AA$27</c:f>
              <c:numCache>
                <c:formatCode>General</c:formatCode>
                <c:ptCount val="4"/>
                <c:pt idx="0">
                  <c:v>88</c:v>
                </c:pt>
                <c:pt idx="1">
                  <c:v>99</c:v>
                </c:pt>
                <c:pt idx="2">
                  <c:v>150</c:v>
                </c:pt>
                <c:pt idx="3">
                  <c:v>260</c:v>
                </c:pt>
              </c:numCache>
            </c:numRef>
          </c:val>
          <c:extLst>
            <c:ext xmlns:c16="http://schemas.microsoft.com/office/drawing/2014/chart" uri="{C3380CC4-5D6E-409C-BE32-E72D297353CC}">
              <c16:uniqueId val="{00000004-9ECC-40C5-BFA8-725B505E3AF0}"/>
            </c:ext>
          </c:extLst>
        </c:ser>
        <c:ser>
          <c:idx val="3"/>
          <c:order val="3"/>
          <c:tx>
            <c:strRef>
              <c:f>'[Poonam Graphs final (1).xlsx]Nutr intake'!$AB$23</c:f>
              <c:strCache>
                <c:ptCount val="1"/>
                <c:pt idx="0">
                  <c:v>Rural women</c:v>
                </c:pt>
              </c:strCache>
            </c:strRef>
          </c:tx>
          <c:spPr>
            <a:pattFill prst="shingle">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'[Poonam Graphs final (1).xlsx]Nutr intake'!$X$24:$X$27</c:f>
              <c:strCache>
                <c:ptCount val="4"/>
                <c:pt idx="0">
                  <c:v>Energy</c:v>
                </c:pt>
                <c:pt idx="1">
                  <c:v>Protein</c:v>
                </c:pt>
                <c:pt idx="2">
                  <c:v>Carbohydrates</c:v>
                </c:pt>
                <c:pt idx="3">
                  <c:v>Fats</c:v>
                </c:pt>
              </c:strCache>
            </c:strRef>
          </c:cat>
          <c:val>
            <c:numRef>
              <c:f>'[Poonam Graphs final (1).xlsx]Nutr intake'!$AB$24:$AB$27</c:f>
              <c:numCache>
                <c:formatCode>General</c:formatCode>
                <c:ptCount val="4"/>
                <c:pt idx="0">
                  <c:v>85</c:v>
                </c:pt>
                <c:pt idx="1">
                  <c:v>97</c:v>
                </c:pt>
                <c:pt idx="2">
                  <c:v>165</c:v>
                </c:pt>
                <c:pt idx="3">
                  <c:v>190</c:v>
                </c:pt>
              </c:numCache>
            </c:numRef>
          </c:val>
          <c:extLst>
            <c:ext xmlns:c16="http://schemas.microsoft.com/office/drawing/2014/chart" uri="{C3380CC4-5D6E-409C-BE32-E72D297353CC}">
              <c16:uniqueId val="{00000005-9ECC-40C5-BFA8-725B505E3AF0}"/>
            </c:ext>
          </c:extLst>
        </c:ser>
        <c:dLbls>
          <c:showLegendKey val="0"/>
          <c:showVal val="1"/>
          <c:showCatName val="0"/>
          <c:showSerName val="0"/>
          <c:showPercent val="0"/>
          <c:showBubbleSize val="0"/>
        </c:dLbls>
        <c:gapWidth val="150"/>
        <c:shape val="cylinder"/>
        <c:axId val="190243200"/>
        <c:axId val="190245120"/>
        <c:axId val="0"/>
      </c:bar3DChart>
      <c:catAx>
        <c:axId val="190243200"/>
        <c:scaling>
          <c:orientation val="minMax"/>
        </c:scaling>
        <c:delete val="0"/>
        <c:axPos val="b"/>
        <c:title>
          <c:tx>
            <c:rich>
              <a:bodyPr/>
              <a:lstStyle/>
              <a:p>
                <a:pPr>
                  <a:defRPr/>
                </a:pPr>
                <a:r>
                  <a:rPr lang="en-US"/>
                  <a:t>Macro Nutrients</a:t>
                </a:r>
              </a:p>
            </c:rich>
          </c:tx>
          <c:overlay val="0"/>
        </c:title>
        <c:numFmt formatCode="General" sourceLinked="0"/>
        <c:majorTickMark val="out"/>
        <c:minorTickMark val="none"/>
        <c:tickLblPos val="nextTo"/>
        <c:txPr>
          <a:bodyPr/>
          <a:lstStyle/>
          <a:p>
            <a:pPr>
              <a:defRPr b="1"/>
            </a:pPr>
            <a:endParaRPr lang="en-US"/>
          </a:p>
        </c:txPr>
        <c:crossAx val="190245120"/>
        <c:crosses val="autoZero"/>
        <c:auto val="1"/>
        <c:lblAlgn val="ctr"/>
        <c:lblOffset val="100"/>
        <c:noMultiLvlLbl val="0"/>
      </c:catAx>
      <c:valAx>
        <c:axId val="190245120"/>
        <c:scaling>
          <c:orientation val="minMax"/>
        </c:scaling>
        <c:delete val="0"/>
        <c:axPos val="l"/>
        <c:majorGridlines/>
        <c:title>
          <c:tx>
            <c:rich>
              <a:bodyPr rot="-5400000" vert="horz"/>
              <a:lstStyle/>
              <a:p>
                <a:pPr>
                  <a:defRPr/>
                </a:pPr>
                <a:r>
                  <a:rPr lang="en-US"/>
                  <a:t>Percent Adequacy</a:t>
                </a:r>
              </a:p>
            </c:rich>
          </c:tx>
          <c:overlay val="0"/>
        </c:title>
        <c:numFmt formatCode="General" sourceLinked="1"/>
        <c:majorTickMark val="out"/>
        <c:minorTickMark val="none"/>
        <c:tickLblPos val="nextTo"/>
        <c:crossAx val="190243200"/>
        <c:crosses val="autoZero"/>
        <c:crossBetween val="between"/>
      </c:valAx>
    </c:plotArea>
    <c:legend>
      <c:legendPos val="b"/>
      <c:layout>
        <c:manualLayout>
          <c:xMode val="edge"/>
          <c:yMode val="edge"/>
          <c:x val="0.11924007449888437"/>
          <c:y val="0.90076709050944603"/>
          <c:w val="0.82006558699884524"/>
          <c:h val="7.8031496062992131E-2"/>
        </c:manualLayout>
      </c:layout>
      <c:overlay val="0"/>
      <c:txPr>
        <a:bodyPr/>
        <a:lstStyle/>
        <a:p>
          <a:pPr>
            <a:defRPr sz="10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5657</TotalTime>
  <Pages>23</Pages>
  <Words>7867</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Malavika Kashyap</dc:creator>
  <cp:keywords/>
  <dc:description/>
  <cp:lastModifiedBy>SDI 1089</cp:lastModifiedBy>
  <cp:revision>230</cp:revision>
  <dcterms:created xsi:type="dcterms:W3CDTF">2024-06-27T16:11:00Z</dcterms:created>
  <dcterms:modified xsi:type="dcterms:W3CDTF">2026-04-23T12:02:00Z</dcterms:modified>
</cp:coreProperties>
</file>