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A338" w14:textId="185E2E10" w:rsidR="00E6617D" w:rsidRDefault="002076D6" w:rsidP="002076D6">
      <w:pPr>
        <w:spacing w:line="360" w:lineRule="auto"/>
        <w:jc w:val="right"/>
        <w:rPr>
          <w:rFonts w:ascii="Arial" w:hAnsi="Arial" w:cs="Arial"/>
          <w:b/>
          <w:bCs/>
          <w:sz w:val="36"/>
          <w:szCs w:val="36"/>
          <w:lang w:val="en-US"/>
        </w:rPr>
      </w:pPr>
      <w:bookmarkStart w:id="0" w:name="_Hlk224395002"/>
      <w:r w:rsidRPr="002076D6">
        <w:rPr>
          <w:rFonts w:ascii="Arial" w:hAnsi="Arial" w:cs="Arial"/>
          <w:b/>
          <w:bCs/>
          <w:sz w:val="36"/>
          <w:szCs w:val="36"/>
          <w:lang w:val="en-US"/>
        </w:rPr>
        <w:t>Understanding Household Food Waste Behaviour: Typologies, Barriers, and Intervention Needs in Urban Nigeria</w:t>
      </w:r>
    </w:p>
    <w:p w14:paraId="35477ED7" w14:textId="5F863117" w:rsidR="005547E5" w:rsidRPr="00FC7BF7" w:rsidRDefault="00FC7BF7" w:rsidP="00FC7BF7">
      <w:pPr>
        <w:spacing w:line="360" w:lineRule="auto"/>
        <w:jc w:val="right"/>
        <w:rPr>
          <w:rFonts w:ascii="Arial" w:hAnsi="Arial" w:cs="Arial"/>
          <w:b/>
          <w:bCs/>
          <w:sz w:val="36"/>
          <w:szCs w:val="36"/>
        </w:rPr>
      </w:pPr>
      <w:r>
        <w:rPr>
          <w:rFonts w:ascii="Arial" w:hAnsi="Arial" w:cs="Arial"/>
          <w:b/>
          <w:bCs/>
          <w:sz w:val="36"/>
          <w:szCs w:val="36"/>
          <w:lang w:val="en-US"/>
        </w:rPr>
        <w:t>(Original Article</w:t>
      </w:r>
      <w:bookmarkEnd w:id="0"/>
      <w:r>
        <w:rPr>
          <w:rFonts w:ascii="Arial" w:hAnsi="Arial" w:cs="Arial"/>
          <w:b/>
          <w:bCs/>
          <w:sz w:val="36"/>
          <w:szCs w:val="36"/>
          <w:lang w:val="en-US"/>
        </w:rPr>
        <w:t>)</w:t>
      </w:r>
      <w:r w:rsidR="005547E5">
        <w:rPr>
          <w:rFonts w:ascii="Arial" w:hAnsi="Arial" w:cs="Arial"/>
          <w:bCs/>
          <w:sz w:val="20"/>
          <w:szCs w:val="20"/>
        </w:rPr>
        <w:t xml:space="preserve"> </w:t>
      </w:r>
    </w:p>
    <w:p w14:paraId="681B42C1" w14:textId="134115D8" w:rsidR="00AF7209" w:rsidRPr="00CA1DAC" w:rsidRDefault="00AF7209" w:rsidP="00CA1DAC">
      <w:pPr>
        <w:pStyle w:val="articleauthor-affiliation"/>
        <w:suppressLineNumbers/>
        <w:shd w:val="clear" w:color="auto" w:fill="FFFFFF"/>
        <w:spacing w:before="0" w:beforeAutospacing="0" w:after="0" w:afterAutospacing="0"/>
        <w:jc w:val="right"/>
        <w:rPr>
          <w:rFonts w:ascii="Arial" w:hAnsi="Arial" w:cs="Arial"/>
          <w:bCs/>
          <w:sz w:val="20"/>
          <w:szCs w:val="20"/>
        </w:rPr>
      </w:pPr>
      <w:r>
        <w:rPr>
          <w:rFonts w:ascii="Arial" w:hAnsi="Arial" w:cs="Arial"/>
          <w:bCs/>
          <w:noProof/>
          <w:sz w:val="20"/>
          <w:szCs w:val="20"/>
          <w:lang w:val="en-US" w:eastAsia="en-US"/>
          <w14:ligatures w14:val="standardContextual"/>
        </w:rPr>
        <mc:AlternateContent>
          <mc:Choice Requires="wps">
            <w:drawing>
              <wp:anchor distT="0" distB="0" distL="114300" distR="114300" simplePos="0" relativeHeight="251659264" behindDoc="0" locked="0" layoutInCell="1" allowOverlap="1" wp14:anchorId="42EFAF46" wp14:editId="42EF3C64">
                <wp:simplePos x="0" y="0"/>
                <wp:positionH relativeFrom="column">
                  <wp:posOffset>-53340</wp:posOffset>
                </wp:positionH>
                <wp:positionV relativeFrom="paragraph">
                  <wp:posOffset>94615</wp:posOffset>
                </wp:positionV>
                <wp:extent cx="6004560" cy="7620"/>
                <wp:effectExtent l="19050" t="19050" r="34290" b="30480"/>
                <wp:wrapNone/>
                <wp:docPr id="1491032967" name="Straight Connector 2"/>
                <wp:cNvGraphicFramePr/>
                <a:graphic xmlns:a="http://schemas.openxmlformats.org/drawingml/2006/main">
                  <a:graphicData uri="http://schemas.microsoft.com/office/word/2010/wordprocessingShape">
                    <wps:wsp>
                      <wps:cNvCnPr/>
                      <wps:spPr>
                        <a:xfrm>
                          <a:off x="0" y="0"/>
                          <a:ext cx="6004560" cy="76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09D8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7.45pt" to="468.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" strokecolor="black [3213]" strokeweight="2.25pt">
                <v:stroke joinstyle="miter"/>
              </v:line>
            </w:pict>
          </mc:Fallback>
        </mc:AlternateContent>
      </w:r>
    </w:p>
    <w:p w14:paraId="3B736073" w14:textId="13B208A2" w:rsidR="00E6617D" w:rsidRPr="00BF07AC" w:rsidRDefault="00BF07AC" w:rsidP="00BF07AC">
      <w:pPr>
        <w:spacing w:after="0" w:line="360" w:lineRule="auto"/>
        <w:rPr>
          <w:rFonts w:ascii="Arial" w:hAnsi="Arial" w:cs="Arial"/>
        </w:rPr>
      </w:pPr>
      <w:r w:rsidRPr="00BF07AC">
        <w:rPr>
          <w:rFonts w:ascii="Arial" w:hAnsi="Arial" w:cs="Arial"/>
          <w:b/>
          <w:bCs/>
        </w:rPr>
        <w:t>ABSTRACT</w:t>
      </w:r>
      <w:r w:rsidRPr="00BF07AC">
        <w:rPr>
          <w:rFonts w:ascii="Arial" w:hAnsi="Arial" w:cs="Arial"/>
        </w:rPr>
        <w:t xml:space="preserve"> </w:t>
      </w:r>
    </w:p>
    <w:p w14:paraId="3E82359B" w14:textId="77777777"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Aims:</w:t>
      </w:r>
      <w:r w:rsidRPr="00BD0CA1">
        <w:rPr>
          <w:rFonts w:ascii="Arial" w:hAnsi="Arial" w:cs="Arial"/>
          <w:sz w:val="20"/>
          <w:szCs w:val="20"/>
          <w:lang w:val="en-US"/>
        </w:rPr>
        <w:t xml:space="preserve"> To evaluate household food</w:t>
      </w:r>
      <w:r w:rsidRPr="00BD0CA1">
        <w:rPr>
          <w:rFonts w:ascii="Arial" w:hAnsi="Arial" w:cs="Arial"/>
          <w:sz w:val="20"/>
          <w:szCs w:val="20"/>
          <w:lang w:val="en-US"/>
        </w:rPr>
        <w:noBreakHyphen/>
        <w:t>waste behaviours in urban Oyo State, identify predictors of high waste (≥500 g/week), and assess the effectiveness of a community</w:t>
      </w:r>
      <w:r w:rsidRPr="00BD0CA1">
        <w:rPr>
          <w:rFonts w:ascii="Arial" w:hAnsi="Arial" w:cs="Arial"/>
          <w:sz w:val="20"/>
          <w:szCs w:val="20"/>
          <w:lang w:val="en-US"/>
        </w:rPr>
        <w:noBreakHyphen/>
        <w:t>based campaign intervention.</w:t>
      </w:r>
    </w:p>
    <w:p w14:paraId="244F5AFE" w14:textId="77777777"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Study Design:</w:t>
      </w:r>
      <w:r w:rsidRPr="00BD0CA1">
        <w:rPr>
          <w:rFonts w:ascii="Arial" w:hAnsi="Arial" w:cs="Arial"/>
          <w:sz w:val="20"/>
          <w:szCs w:val="20"/>
          <w:lang w:val="en-US"/>
        </w:rPr>
        <w:t xml:space="preserve"> Cross</w:t>
      </w:r>
      <w:r w:rsidRPr="00BD0CA1">
        <w:rPr>
          <w:rFonts w:ascii="Arial" w:hAnsi="Arial" w:cs="Arial"/>
          <w:sz w:val="20"/>
          <w:szCs w:val="20"/>
          <w:lang w:val="en-US"/>
        </w:rPr>
        <w:noBreakHyphen/>
        <w:t>sectional survey combined with a community</w:t>
      </w:r>
      <w:r w:rsidRPr="00BD0CA1">
        <w:rPr>
          <w:rFonts w:ascii="Arial" w:hAnsi="Arial" w:cs="Arial"/>
          <w:sz w:val="20"/>
          <w:szCs w:val="20"/>
          <w:lang w:val="en-US"/>
        </w:rPr>
        <w:noBreakHyphen/>
        <w:t>based campaign intervention.</w:t>
      </w:r>
    </w:p>
    <w:p w14:paraId="13629A64" w14:textId="77777777"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Place and Duration of Study:</w:t>
      </w:r>
      <w:r w:rsidRPr="00BD0CA1">
        <w:rPr>
          <w:rFonts w:ascii="Arial" w:hAnsi="Arial" w:cs="Arial"/>
          <w:sz w:val="20"/>
          <w:szCs w:val="20"/>
          <w:lang w:val="en-US"/>
        </w:rPr>
        <w:t xml:space="preserve"> Urban communities in Oyo State (Atiba, Afijio, Oyo West and Oyo East LGAs), Nigeria, between May 2025 and December 2025.</w:t>
      </w:r>
    </w:p>
    <w:p w14:paraId="48C9B92E" w14:textId="77245992"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Methodology:</w:t>
      </w:r>
      <w:r w:rsidRPr="00BD0CA1">
        <w:rPr>
          <w:rFonts w:ascii="Arial" w:hAnsi="Arial" w:cs="Arial"/>
          <w:sz w:val="20"/>
          <w:szCs w:val="20"/>
          <w:lang w:val="en-US"/>
        </w:rPr>
        <w:t xml:space="preserve"> </w:t>
      </w:r>
      <w:r w:rsidR="00421ACB" w:rsidRPr="00421ACB">
        <w:rPr>
          <w:rFonts w:ascii="Arial" w:hAnsi="Arial" w:cs="Arial"/>
          <w:sz w:val="20"/>
          <w:szCs w:val="20"/>
        </w:rPr>
        <w:t>A stratified random sample of 324 households was selected, of which 255 completed the</w:t>
      </w:r>
      <w:r w:rsidR="00421ACB" w:rsidRPr="00421ACB">
        <w:rPr>
          <w:rFonts w:ascii="Arial" w:hAnsi="Arial" w:cs="Arial"/>
          <w:b/>
          <w:bCs/>
          <w:sz w:val="20"/>
          <w:szCs w:val="20"/>
        </w:rPr>
        <w:t xml:space="preserve"> </w:t>
      </w:r>
      <w:r w:rsidR="00421ACB" w:rsidRPr="00421ACB">
        <w:rPr>
          <w:rFonts w:ascii="Arial" w:hAnsi="Arial" w:cs="Arial"/>
          <w:sz w:val="20"/>
          <w:szCs w:val="20"/>
        </w:rPr>
        <w:t>survey (78.7% response rate). Data were analysed using paired statistical tests, binary logistic regression, k</w:t>
      </w:r>
      <w:r w:rsidR="00421ACB" w:rsidRPr="00421ACB">
        <w:rPr>
          <w:rFonts w:ascii="Arial" w:hAnsi="Arial" w:cs="Arial"/>
          <w:sz w:val="20"/>
          <w:szCs w:val="20"/>
        </w:rPr>
        <w:noBreakHyphen/>
        <w:t>means cluster analysis, and chi</w:t>
      </w:r>
      <w:r w:rsidR="00421ACB" w:rsidRPr="00421ACB">
        <w:rPr>
          <w:rFonts w:ascii="Arial" w:hAnsi="Arial" w:cs="Arial"/>
          <w:sz w:val="20"/>
          <w:szCs w:val="20"/>
        </w:rPr>
        <w:noBreakHyphen/>
        <w:t>square tests.</w:t>
      </w:r>
    </w:p>
    <w:p w14:paraId="7DD20528" w14:textId="77777777"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Results:</w:t>
      </w:r>
      <w:r w:rsidRPr="00BD0CA1">
        <w:rPr>
          <w:rFonts w:ascii="Arial" w:hAnsi="Arial" w:cs="Arial"/>
          <w:sz w:val="20"/>
          <w:szCs w:val="20"/>
          <w:lang w:val="en-US"/>
        </w:rPr>
        <w:t xml:space="preserve"> The campaign did not significantly increase the overall number of food</w:t>
      </w:r>
      <w:r w:rsidRPr="00BD0CA1">
        <w:rPr>
          <w:rFonts w:ascii="Arial" w:hAnsi="Arial" w:cs="Arial"/>
          <w:sz w:val="20"/>
          <w:szCs w:val="20"/>
          <w:lang w:val="en-US"/>
        </w:rPr>
        <w:noBreakHyphen/>
        <w:t>waste reduction behaviours. Small improvements were observed in composting and food donation, while meal planning declined significantly. Logistic regression showed that larger household size and low confidence in food</w:t>
      </w:r>
      <w:r w:rsidRPr="00BD0CA1">
        <w:rPr>
          <w:rFonts w:ascii="Arial" w:hAnsi="Arial" w:cs="Arial"/>
          <w:sz w:val="20"/>
          <w:szCs w:val="20"/>
          <w:lang w:val="en-US"/>
        </w:rPr>
        <w:noBreakHyphen/>
        <w:t>storage practices strongly predicted high food waste, whereas motivation to reduce waste was protective. Cluster analysis identified three household typologies: “Unaware and Wasteful,” “Aware but Ineffective,” and “Motivated and Effective.” Key barriers included poor storage knowledge, lack of planning, and limited community support structures.</w:t>
      </w:r>
    </w:p>
    <w:p w14:paraId="7D1CBB80" w14:textId="77777777" w:rsidR="00BD0CA1" w:rsidRPr="00BD0CA1" w:rsidRDefault="00BD0CA1" w:rsidP="00BD0CA1">
      <w:pPr>
        <w:spacing w:after="0" w:line="240" w:lineRule="auto"/>
        <w:jc w:val="both"/>
        <w:rPr>
          <w:rFonts w:ascii="Arial" w:hAnsi="Arial" w:cs="Arial"/>
          <w:sz w:val="20"/>
          <w:szCs w:val="20"/>
          <w:lang w:val="en-US"/>
        </w:rPr>
      </w:pPr>
      <w:r w:rsidRPr="00BD0CA1">
        <w:rPr>
          <w:rFonts w:ascii="Arial" w:hAnsi="Arial" w:cs="Arial"/>
          <w:b/>
          <w:bCs/>
          <w:sz w:val="20"/>
          <w:szCs w:val="20"/>
          <w:lang w:val="en-US"/>
        </w:rPr>
        <w:t>Conclusion:</w:t>
      </w:r>
      <w:r w:rsidRPr="00BD0CA1">
        <w:rPr>
          <w:rFonts w:ascii="Arial" w:hAnsi="Arial" w:cs="Arial"/>
          <w:sz w:val="20"/>
          <w:szCs w:val="20"/>
          <w:lang w:val="en-US"/>
        </w:rPr>
        <w:t xml:space="preserve"> One</w:t>
      </w:r>
      <w:r w:rsidRPr="00BD0CA1">
        <w:rPr>
          <w:rFonts w:ascii="Arial" w:hAnsi="Arial" w:cs="Arial"/>
          <w:sz w:val="20"/>
          <w:szCs w:val="20"/>
          <w:lang w:val="en-US"/>
        </w:rPr>
        <w:noBreakHyphen/>
        <w:t>off campaigns may raise awareness but rarely produce sustained behavioural change without reinforcement, practical skill</w:t>
      </w:r>
      <w:r w:rsidRPr="00BD0CA1">
        <w:rPr>
          <w:rFonts w:ascii="Arial" w:hAnsi="Arial" w:cs="Arial"/>
          <w:sz w:val="20"/>
          <w:szCs w:val="20"/>
          <w:lang w:val="en-US"/>
        </w:rPr>
        <w:noBreakHyphen/>
        <w:t>building, and tailored interventions. The findings provide evidence</w:t>
      </w:r>
      <w:r w:rsidRPr="00BD0CA1">
        <w:rPr>
          <w:rFonts w:ascii="Arial" w:hAnsi="Arial" w:cs="Arial"/>
          <w:sz w:val="20"/>
          <w:szCs w:val="20"/>
          <w:lang w:val="en-US"/>
        </w:rPr>
        <w:noBreakHyphen/>
        <w:t>based insights for designing targeted, culturally relevant strategies to reduce household food waste in sub</w:t>
      </w:r>
      <w:r w:rsidRPr="00BD0CA1">
        <w:rPr>
          <w:rFonts w:ascii="Arial" w:hAnsi="Arial" w:cs="Arial"/>
          <w:sz w:val="20"/>
          <w:szCs w:val="20"/>
          <w:lang w:val="en-US"/>
        </w:rPr>
        <w:noBreakHyphen/>
        <w:t>Saharan Africa, with implications for policy, community programming, and municipal waste</w:t>
      </w:r>
      <w:r w:rsidRPr="00BD0CA1">
        <w:rPr>
          <w:rFonts w:ascii="Arial" w:hAnsi="Arial" w:cs="Arial"/>
          <w:sz w:val="20"/>
          <w:szCs w:val="20"/>
          <w:lang w:val="en-US"/>
        </w:rPr>
        <w:noBreakHyphen/>
        <w:t>management planning.</w:t>
      </w:r>
    </w:p>
    <w:p w14:paraId="1C1E35C9" w14:textId="77777777" w:rsidR="00161058" w:rsidRPr="00AD0648" w:rsidRDefault="00161058" w:rsidP="00AD0648">
      <w:pPr>
        <w:spacing w:after="0" w:line="240" w:lineRule="auto"/>
        <w:jc w:val="both"/>
        <w:rPr>
          <w:rFonts w:ascii="Arial" w:hAnsi="Arial" w:cs="Arial"/>
          <w:sz w:val="20"/>
          <w:szCs w:val="20"/>
          <w:lang w:val="en-US"/>
        </w:rPr>
      </w:pPr>
    </w:p>
    <w:p w14:paraId="21C2CD36" w14:textId="60E9D12C" w:rsidR="00F75B08" w:rsidRPr="004D644E" w:rsidRDefault="00E6617D" w:rsidP="004D644E">
      <w:pPr>
        <w:spacing w:line="360" w:lineRule="auto"/>
        <w:rPr>
          <w:rFonts w:ascii="Arial" w:hAnsi="Arial" w:cs="Arial"/>
          <w:i/>
          <w:iCs/>
          <w:sz w:val="20"/>
          <w:szCs w:val="20"/>
        </w:rPr>
      </w:pPr>
      <w:r w:rsidRPr="00AD0648">
        <w:rPr>
          <w:rFonts w:ascii="Arial" w:hAnsi="Arial" w:cs="Arial"/>
          <w:i/>
          <w:iCs/>
          <w:sz w:val="20"/>
          <w:szCs w:val="20"/>
        </w:rPr>
        <w:t>Keywords:</w:t>
      </w:r>
      <w:r w:rsidR="00AD0648">
        <w:rPr>
          <w:rFonts w:ascii="Times New Roman" w:hAnsi="Times New Roman" w:cs="Times New Roman"/>
          <w:sz w:val="24"/>
          <w:szCs w:val="24"/>
        </w:rPr>
        <w:t xml:space="preserve"> </w:t>
      </w:r>
      <w:r w:rsidR="00AD0648" w:rsidRPr="004D644E">
        <w:rPr>
          <w:rFonts w:ascii="Arial" w:hAnsi="Arial" w:cs="Arial"/>
          <w:i/>
          <w:iCs/>
          <w:sz w:val="20"/>
          <w:szCs w:val="20"/>
        </w:rPr>
        <w:t>[</w:t>
      </w:r>
      <w:r w:rsidRPr="004D644E">
        <w:rPr>
          <w:rFonts w:ascii="Arial" w:hAnsi="Arial" w:cs="Arial"/>
          <w:i/>
          <w:iCs/>
          <w:sz w:val="20"/>
          <w:szCs w:val="20"/>
        </w:rPr>
        <w:t>Waste reduction strategies, Predictors of food waste, Behavioural change, Community</w:t>
      </w:r>
      <w:r w:rsidRPr="004D644E">
        <w:rPr>
          <w:rFonts w:ascii="Arial" w:hAnsi="Arial" w:cs="Arial"/>
          <w:i/>
          <w:iCs/>
          <w:sz w:val="20"/>
          <w:szCs w:val="20"/>
        </w:rPr>
        <w:noBreakHyphen/>
        <w:t>based campaign</w:t>
      </w:r>
      <w:r w:rsidR="00AD0648" w:rsidRPr="004D644E">
        <w:rPr>
          <w:rFonts w:ascii="Arial" w:hAnsi="Arial" w:cs="Arial"/>
          <w:i/>
          <w:iCs/>
          <w:sz w:val="20"/>
          <w:szCs w:val="20"/>
        </w:rPr>
        <w:t>]</w:t>
      </w:r>
    </w:p>
    <w:p w14:paraId="0A810F6D" w14:textId="00DBE3EB" w:rsidR="004D644E" w:rsidRDefault="004D644E" w:rsidP="004D644E">
      <w:pPr>
        <w:pStyle w:val="ListParagraph"/>
        <w:numPr>
          <w:ilvl w:val="0"/>
          <w:numId w:val="4"/>
        </w:numPr>
        <w:spacing w:after="0" w:line="480" w:lineRule="auto"/>
        <w:jc w:val="both"/>
        <w:rPr>
          <w:rFonts w:ascii="Arial" w:hAnsi="Arial" w:cs="Arial"/>
          <w:b/>
          <w:bCs/>
        </w:rPr>
      </w:pPr>
      <w:r w:rsidRPr="004D644E">
        <w:rPr>
          <w:rFonts w:ascii="Arial" w:hAnsi="Arial" w:cs="Arial"/>
          <w:b/>
          <w:bCs/>
        </w:rPr>
        <w:t>INTRODUCTION</w:t>
      </w:r>
    </w:p>
    <w:p w14:paraId="6C0765DB" w14:textId="77777777" w:rsidR="00B75BA6" w:rsidRPr="00815850" w:rsidRDefault="00B75BA6" w:rsidP="00815850">
      <w:pPr>
        <w:spacing w:after="0" w:line="360" w:lineRule="auto"/>
        <w:jc w:val="both"/>
        <w:rPr>
          <w:rFonts w:ascii="Arial" w:eastAsia="Times New Roman" w:hAnsi="Arial" w:cs="Arial"/>
          <w:kern w:val="0"/>
          <w:sz w:val="20"/>
          <w:szCs w:val="20"/>
          <w:lang w:val="en-US"/>
          <w14:ligatures w14:val="none"/>
        </w:rPr>
      </w:pPr>
      <w:r w:rsidRPr="00815850">
        <w:rPr>
          <w:rFonts w:ascii="Arial" w:eastAsia="Times New Roman" w:hAnsi="Arial" w:cs="Arial"/>
          <w:kern w:val="0"/>
          <w:sz w:val="20"/>
          <w:szCs w:val="20"/>
          <w:lang w:val="en-US"/>
          <w14:ligatures w14:val="none"/>
        </w:rPr>
        <w:t>Food waste is a critical challenge within global agri</w:t>
      </w:r>
      <w:r w:rsidRPr="00815850">
        <w:rPr>
          <w:rFonts w:ascii="Arial" w:eastAsia="Times New Roman" w:hAnsi="Arial" w:cs="Arial"/>
          <w:kern w:val="0"/>
          <w:sz w:val="20"/>
          <w:szCs w:val="20"/>
          <w:lang w:val="en-US"/>
          <w14:ligatures w14:val="none"/>
        </w:rPr>
        <w:noBreakHyphen/>
        <w:t>food systems, undermining sustainability, food security, and climate resilience. The Food and Agriculture Organization (FAO) estimates that nearly one</w:t>
      </w:r>
      <w:r w:rsidRPr="00815850">
        <w:rPr>
          <w:rFonts w:ascii="Arial" w:eastAsia="Times New Roman" w:hAnsi="Arial" w:cs="Arial"/>
          <w:kern w:val="0"/>
          <w:sz w:val="20"/>
          <w:szCs w:val="20"/>
          <w:lang w:val="en-US"/>
          <w14:ligatures w14:val="none"/>
        </w:rPr>
        <w:noBreakHyphen/>
        <w:t>third of food produced for human consumption is lost or wasted annually, amounting to 1.3 billion tonnes worldwide (FAO, 2019). This waste not only represents a loss of valuable resources but also serves as an indicator of hunger and malnutrition, particularly in regions where access to adequate nutrition remains uneven.</w:t>
      </w:r>
    </w:p>
    <w:p w14:paraId="5547EEC5" w14:textId="77777777" w:rsidR="00B75BA6" w:rsidRPr="00815850" w:rsidRDefault="00B75BA6" w:rsidP="00815850">
      <w:pPr>
        <w:spacing w:after="0" w:line="360" w:lineRule="auto"/>
        <w:jc w:val="both"/>
        <w:rPr>
          <w:rFonts w:ascii="Arial" w:eastAsia="Times New Roman" w:hAnsi="Arial" w:cs="Arial"/>
          <w:kern w:val="0"/>
          <w:sz w:val="20"/>
          <w:szCs w:val="20"/>
          <w:lang w:val="en-US"/>
          <w14:ligatures w14:val="none"/>
        </w:rPr>
      </w:pPr>
    </w:p>
    <w:p w14:paraId="1620C243" w14:textId="60E7D9E7" w:rsidR="00005F9D" w:rsidRDefault="00B75BA6" w:rsidP="00E36F05">
      <w:pPr>
        <w:spacing w:after="0" w:line="360" w:lineRule="auto"/>
        <w:jc w:val="both"/>
        <w:rPr>
          <w:rFonts w:ascii="Arial" w:eastAsia="Times New Roman" w:hAnsi="Arial" w:cs="Arial"/>
          <w:kern w:val="0"/>
          <w:sz w:val="20"/>
          <w:szCs w:val="20"/>
          <w:lang w:val="en-US"/>
          <w14:ligatures w14:val="none"/>
        </w:rPr>
      </w:pPr>
      <w:r w:rsidRPr="00815850">
        <w:rPr>
          <w:rFonts w:ascii="Arial" w:eastAsia="Times New Roman" w:hAnsi="Arial" w:cs="Arial"/>
          <w:kern w:val="0"/>
          <w:sz w:val="20"/>
          <w:szCs w:val="20"/>
          <w:lang w:val="en-US"/>
          <w14:ligatures w14:val="none"/>
        </w:rPr>
        <w:t xml:space="preserve">In Africa, rapid urbanisation has reshaped household food environments, intensifying both consumption and waste patterns. South Africa alone wastes over 10 million tonnes of food annually, much of it at the consumer level (Nahman &amp; de Lange, 2013). Household food waste is increasingly recognised as a </w:t>
      </w:r>
      <w:r w:rsidRPr="00815850">
        <w:rPr>
          <w:rFonts w:ascii="Arial" w:eastAsia="Times New Roman" w:hAnsi="Arial" w:cs="Arial"/>
          <w:kern w:val="0"/>
          <w:sz w:val="20"/>
          <w:szCs w:val="20"/>
          <w:lang w:val="en-US"/>
          <w14:ligatures w14:val="none"/>
        </w:rPr>
        <w:lastRenderedPageBreak/>
        <w:t xml:space="preserve">behavioural issue, influenced by practices such as meal planning, storage, and perceptions of waste rather than demographics alone (Parfitt et al., 2010; Miti et al., 2025). </w:t>
      </w:r>
    </w:p>
    <w:p w14:paraId="32C5D851" w14:textId="027BCA2F" w:rsidR="00E36F05" w:rsidRPr="00815850" w:rsidRDefault="00E36F05" w:rsidP="00E36F05">
      <w:pPr>
        <w:spacing w:after="0" w:line="360" w:lineRule="auto"/>
        <w:jc w:val="both"/>
        <w:rPr>
          <w:rFonts w:ascii="Arial" w:eastAsia="Times New Roman" w:hAnsi="Arial" w:cs="Arial"/>
          <w:kern w:val="0"/>
          <w:sz w:val="20"/>
          <w:szCs w:val="20"/>
          <w:lang w:val="en-US"/>
          <w14:ligatures w14:val="none"/>
        </w:rPr>
      </w:pPr>
      <w:r w:rsidRPr="00E36F05">
        <w:rPr>
          <w:rFonts w:ascii="Arial" w:eastAsia="Times New Roman" w:hAnsi="Arial" w:cs="Arial"/>
          <w:kern w:val="0"/>
          <w:sz w:val="20"/>
          <w:szCs w:val="20"/>
          <w14:ligatures w14:val="none"/>
        </w:rPr>
        <w:t>The Theory of Planned Behaviour (TPB) provides a useful lens for understanding household food</w:t>
      </w:r>
      <w:r w:rsidRPr="00E36F05">
        <w:rPr>
          <w:rFonts w:ascii="Arial" w:eastAsia="Times New Roman" w:hAnsi="Arial" w:cs="Arial"/>
          <w:kern w:val="0"/>
          <w:sz w:val="20"/>
          <w:szCs w:val="20"/>
          <w14:ligatures w14:val="none"/>
        </w:rPr>
        <w:noBreakHyphen/>
        <w:t>waste behaviours, as it emphasises the roles of attitudes, subjective norms, and perceived behavioural control in shaping behavioural intentions. Previous studies have demonstrated the relevance of TPB in predicting food</w:t>
      </w:r>
      <w:r w:rsidRPr="00E36F05">
        <w:rPr>
          <w:rFonts w:ascii="Arial" w:eastAsia="Times New Roman" w:hAnsi="Arial" w:cs="Arial"/>
          <w:kern w:val="0"/>
          <w:sz w:val="20"/>
          <w:szCs w:val="20"/>
          <w14:ligatures w14:val="none"/>
        </w:rPr>
        <w:noBreakHyphen/>
        <w:t>waste practices; for example, Stancu et al. (2016) found that attitudes toward food waste, planning routines, and perceived behavioural control significantly influence the likelihood of household waste generation. This theoretical perspective strengthens the behavioural interpretation of the present study, particularly in relation to motivation, confidence in storage practices, and planning behaviours. Complementing this, behavioural interventions have been shown to influence household food</w:t>
      </w:r>
      <w:r w:rsidRPr="00E36F05">
        <w:rPr>
          <w:rFonts w:ascii="Arial" w:eastAsia="Times New Roman" w:hAnsi="Arial" w:cs="Arial"/>
          <w:kern w:val="0"/>
          <w:sz w:val="20"/>
          <w:szCs w:val="20"/>
          <w14:ligatures w14:val="none"/>
        </w:rPr>
        <w:noBreakHyphen/>
        <w:t>waste practices, especially when they incorporate nudges, skills</w:t>
      </w:r>
      <w:r w:rsidRPr="00E36F05">
        <w:rPr>
          <w:rFonts w:ascii="Arial" w:eastAsia="Times New Roman" w:hAnsi="Arial" w:cs="Arial"/>
          <w:kern w:val="0"/>
          <w:sz w:val="20"/>
          <w:szCs w:val="20"/>
          <w14:ligatures w14:val="none"/>
        </w:rPr>
        <w:noBreakHyphen/>
        <w:t>based training, and repeated reinforcement (Reynolds et al., 2020; Stöckli et al., 2021). Evidence from developing</w:t>
      </w:r>
      <w:r w:rsidRPr="00E36F05">
        <w:rPr>
          <w:rFonts w:ascii="Arial" w:eastAsia="Times New Roman" w:hAnsi="Arial" w:cs="Arial"/>
          <w:kern w:val="0"/>
          <w:sz w:val="20"/>
          <w:szCs w:val="20"/>
          <w14:ligatures w14:val="none"/>
        </w:rPr>
        <w:noBreakHyphen/>
        <w:t>country contexts further highlights the importance of culturally grounded strategies that address both structural and behavioural barriers simultaneously (Battersby, 2020; Parizeau et al., 2020), underscoring the need for integrated approaches that combine behavioural theory with practical, context</w:t>
      </w:r>
      <w:r w:rsidRPr="00E36F05">
        <w:rPr>
          <w:rFonts w:ascii="Arial" w:eastAsia="Times New Roman" w:hAnsi="Arial" w:cs="Arial"/>
          <w:kern w:val="0"/>
          <w:sz w:val="20"/>
          <w:szCs w:val="20"/>
          <w14:ligatures w14:val="none"/>
        </w:rPr>
        <w:noBreakHyphen/>
        <w:t>specific interventions.</w:t>
      </w:r>
    </w:p>
    <w:p w14:paraId="671AE847" w14:textId="20E9D690" w:rsidR="00B75BA6" w:rsidRDefault="00B75BA6" w:rsidP="00815850">
      <w:pPr>
        <w:spacing w:before="100" w:beforeAutospacing="1" w:after="0" w:line="360" w:lineRule="auto"/>
        <w:jc w:val="both"/>
        <w:rPr>
          <w:rFonts w:ascii="Arial" w:eastAsia="Times New Roman" w:hAnsi="Arial" w:cs="Arial"/>
          <w:kern w:val="0"/>
          <w:sz w:val="20"/>
          <w:szCs w:val="20"/>
          <w:lang w:val="en-US"/>
          <w14:ligatures w14:val="none"/>
        </w:rPr>
      </w:pPr>
      <w:r w:rsidRPr="00815850">
        <w:rPr>
          <w:rFonts w:ascii="Arial" w:eastAsia="Times New Roman" w:hAnsi="Arial" w:cs="Arial"/>
          <w:kern w:val="0"/>
          <w:sz w:val="20"/>
          <w:szCs w:val="20"/>
          <w:lang w:val="en-US"/>
          <w14:ligatures w14:val="none"/>
        </w:rPr>
        <w:t>Urban households also show significant variation across socio</w:t>
      </w:r>
      <w:r w:rsidRPr="00815850">
        <w:rPr>
          <w:rFonts w:ascii="Arial" w:eastAsia="Times New Roman" w:hAnsi="Arial" w:cs="Arial"/>
          <w:kern w:val="0"/>
          <w:sz w:val="20"/>
          <w:szCs w:val="20"/>
          <w:lang w:val="en-US"/>
          <w14:ligatures w14:val="none"/>
        </w:rPr>
        <w:noBreakHyphen/>
        <w:t>economic classes: higher</w:t>
      </w:r>
      <w:r w:rsidRPr="00815850">
        <w:rPr>
          <w:rFonts w:ascii="Arial" w:eastAsia="Times New Roman" w:hAnsi="Arial" w:cs="Arial"/>
          <w:kern w:val="0"/>
          <w:sz w:val="20"/>
          <w:szCs w:val="20"/>
          <w:lang w:val="en-US"/>
          <w14:ligatures w14:val="none"/>
        </w:rPr>
        <w:noBreakHyphen/>
        <w:t>income households tend to discard more food, while lower</w:t>
      </w:r>
      <w:r w:rsidRPr="00815850">
        <w:rPr>
          <w:rFonts w:ascii="Arial" w:eastAsia="Times New Roman" w:hAnsi="Arial" w:cs="Arial"/>
          <w:kern w:val="0"/>
          <w:sz w:val="20"/>
          <w:szCs w:val="20"/>
          <w:lang w:val="en-US"/>
          <w14:ligatures w14:val="none"/>
        </w:rPr>
        <w:noBreakHyphen/>
        <w:t>income households waste less but experience greater food insecurity (Adedayo et al., 2020). Nigeria presents a particularly urgent case. The United Nations Development Programme (UN</w:t>
      </w:r>
      <w:r w:rsidR="00C73D57">
        <w:rPr>
          <w:rFonts w:ascii="Arial" w:eastAsia="Times New Roman" w:hAnsi="Arial" w:cs="Arial"/>
          <w:kern w:val="0"/>
          <w:sz w:val="20"/>
          <w:szCs w:val="20"/>
          <w:lang w:val="en-US"/>
          <w14:ligatures w14:val="none"/>
        </w:rPr>
        <w:t>E</w:t>
      </w:r>
      <w:r w:rsidRPr="00815850">
        <w:rPr>
          <w:rFonts w:ascii="Arial" w:eastAsia="Times New Roman" w:hAnsi="Arial" w:cs="Arial"/>
          <w:kern w:val="0"/>
          <w:sz w:val="20"/>
          <w:szCs w:val="20"/>
          <w:lang w:val="en-US"/>
          <w14:ligatures w14:val="none"/>
        </w:rPr>
        <w:t>P, 2021; Aburime, 2024) estimates that the country wastes 37.9 million tonnes of food annually, equivalent to 187 kg per person per year. Structural and behavioural drivers including inadequate storage, limited knowledge, and inconsistent routines are central to food</w:t>
      </w:r>
      <w:r w:rsidRPr="00815850">
        <w:rPr>
          <w:rFonts w:ascii="Arial" w:eastAsia="Times New Roman" w:hAnsi="Arial" w:cs="Arial"/>
          <w:kern w:val="0"/>
          <w:sz w:val="20"/>
          <w:szCs w:val="20"/>
          <w:lang w:val="en-US"/>
          <w14:ligatures w14:val="none"/>
        </w:rPr>
        <w:noBreakHyphen/>
        <w:t>waste outcomes (</w:t>
      </w:r>
      <w:r w:rsidR="00C73D57">
        <w:rPr>
          <w:rFonts w:ascii="Arial" w:eastAsia="Times New Roman" w:hAnsi="Arial" w:cs="Arial"/>
          <w:kern w:val="0"/>
          <w:sz w:val="20"/>
          <w:szCs w:val="20"/>
          <w:lang w:val="en-US"/>
          <w14:ligatures w14:val="none"/>
        </w:rPr>
        <w:t>Sunday</w:t>
      </w:r>
      <w:r w:rsidRPr="00815850">
        <w:rPr>
          <w:rFonts w:ascii="Arial" w:eastAsia="Times New Roman" w:hAnsi="Arial" w:cs="Arial"/>
          <w:kern w:val="0"/>
          <w:sz w:val="20"/>
          <w:szCs w:val="20"/>
          <w:lang w:val="en-US"/>
          <w14:ligatures w14:val="none"/>
        </w:rPr>
        <w:t xml:space="preserve"> et al., 202</w:t>
      </w:r>
      <w:r w:rsidR="00C73D57">
        <w:rPr>
          <w:rFonts w:ascii="Arial" w:eastAsia="Times New Roman" w:hAnsi="Arial" w:cs="Arial"/>
          <w:kern w:val="0"/>
          <w:sz w:val="20"/>
          <w:szCs w:val="20"/>
          <w:lang w:val="en-US"/>
          <w14:ligatures w14:val="none"/>
        </w:rPr>
        <w:t>2</w:t>
      </w:r>
      <w:r w:rsidRPr="00815850">
        <w:rPr>
          <w:rFonts w:ascii="Arial" w:eastAsia="Times New Roman" w:hAnsi="Arial" w:cs="Arial"/>
          <w:kern w:val="0"/>
          <w:sz w:val="20"/>
          <w:szCs w:val="20"/>
          <w:lang w:val="en-US"/>
          <w14:ligatures w14:val="none"/>
        </w:rPr>
        <w:t xml:space="preserve">). </w:t>
      </w:r>
      <w:r w:rsidR="00E36F05" w:rsidRPr="00E36F05">
        <w:rPr>
          <w:rFonts w:ascii="Arial" w:eastAsia="Times New Roman" w:hAnsi="Arial" w:cs="Arial"/>
          <w:kern w:val="0"/>
          <w:sz w:val="20"/>
          <w:szCs w:val="20"/>
          <w14:ligatures w14:val="none"/>
        </w:rPr>
        <w:t>Studies in low</w:t>
      </w:r>
      <w:r w:rsidR="00E36F05" w:rsidRPr="00E36F05">
        <w:rPr>
          <w:rFonts w:ascii="Arial" w:eastAsia="Times New Roman" w:hAnsi="Arial" w:cs="Arial"/>
          <w:kern w:val="0"/>
          <w:sz w:val="20"/>
          <w:szCs w:val="20"/>
          <w14:ligatures w14:val="none"/>
        </w:rPr>
        <w:noBreakHyphen/>
        <w:t xml:space="preserve"> and middle</w:t>
      </w:r>
      <w:r w:rsidR="00E36F05" w:rsidRPr="00E36F05">
        <w:rPr>
          <w:rFonts w:ascii="Arial" w:eastAsia="Times New Roman" w:hAnsi="Arial" w:cs="Arial"/>
          <w:kern w:val="0"/>
          <w:sz w:val="20"/>
          <w:szCs w:val="20"/>
          <w14:ligatures w14:val="none"/>
        </w:rPr>
        <w:noBreakHyphen/>
        <w:t>income countries emphasise that urban food</w:t>
      </w:r>
      <w:r w:rsidR="00E36F05" w:rsidRPr="00E36F05">
        <w:rPr>
          <w:rFonts w:ascii="Arial" w:eastAsia="Times New Roman" w:hAnsi="Arial" w:cs="Arial"/>
          <w:kern w:val="0"/>
          <w:sz w:val="20"/>
          <w:szCs w:val="20"/>
          <w14:ligatures w14:val="none"/>
        </w:rPr>
        <w:noBreakHyphen/>
        <w:t>waste behaviours are shaped by a combination of infrastructural limitations, food</w:t>
      </w:r>
      <w:r w:rsidR="00E36F05" w:rsidRPr="00E36F05">
        <w:rPr>
          <w:rFonts w:ascii="Arial" w:eastAsia="Times New Roman" w:hAnsi="Arial" w:cs="Arial"/>
          <w:kern w:val="0"/>
          <w:sz w:val="20"/>
          <w:szCs w:val="20"/>
          <w14:ligatures w14:val="none"/>
        </w:rPr>
        <w:noBreakHyphen/>
        <w:t>storage constraints, and behavioural norms (Mmereki et al., 2024; Osei</w:t>
      </w:r>
      <w:r w:rsidR="00E36F05" w:rsidRPr="00E36F05">
        <w:rPr>
          <w:rFonts w:ascii="Arial" w:eastAsia="Times New Roman" w:hAnsi="Arial" w:cs="Arial"/>
          <w:kern w:val="0"/>
          <w:sz w:val="20"/>
          <w:szCs w:val="20"/>
          <w14:ligatures w14:val="none"/>
        </w:rPr>
        <w:noBreakHyphen/>
        <w:t>Kyei et al., 2023). Effective interventions therefore require both behavioural change mechanisms and improvements in community</w:t>
      </w:r>
      <w:r w:rsidR="00E36F05" w:rsidRPr="00E36F05">
        <w:rPr>
          <w:rFonts w:ascii="Arial" w:eastAsia="Times New Roman" w:hAnsi="Arial" w:cs="Arial"/>
          <w:kern w:val="0"/>
          <w:sz w:val="20"/>
          <w:szCs w:val="20"/>
          <w14:ligatures w14:val="none"/>
        </w:rPr>
        <w:noBreakHyphen/>
        <w:t>level waste</w:t>
      </w:r>
      <w:r w:rsidR="00E36F05" w:rsidRPr="00E36F05">
        <w:rPr>
          <w:rFonts w:ascii="Arial" w:eastAsia="Times New Roman" w:hAnsi="Arial" w:cs="Arial"/>
          <w:kern w:val="0"/>
          <w:sz w:val="20"/>
          <w:szCs w:val="20"/>
          <w14:ligatures w14:val="none"/>
        </w:rPr>
        <w:noBreakHyphen/>
        <w:t>management systems (UNEP, 2021; Aschemann</w:t>
      </w:r>
      <w:r w:rsidR="00E36F05" w:rsidRPr="00E36F05">
        <w:rPr>
          <w:rFonts w:ascii="Arial" w:eastAsia="Times New Roman" w:hAnsi="Arial" w:cs="Arial"/>
          <w:kern w:val="0"/>
          <w:sz w:val="20"/>
          <w:szCs w:val="20"/>
          <w14:ligatures w14:val="none"/>
        </w:rPr>
        <w:noBreakHyphen/>
        <w:t>Witzel et al., 2021)</w:t>
      </w:r>
      <w:r w:rsidR="00E36F05">
        <w:rPr>
          <w:rFonts w:ascii="Arial" w:eastAsia="Times New Roman" w:hAnsi="Arial" w:cs="Arial"/>
          <w:kern w:val="0"/>
          <w:sz w:val="20"/>
          <w:szCs w:val="20"/>
          <w:lang w:val="en-US"/>
          <w14:ligatures w14:val="none"/>
        </w:rPr>
        <w:t xml:space="preserve">. </w:t>
      </w:r>
      <w:r w:rsidRPr="00815850">
        <w:rPr>
          <w:rFonts w:ascii="Arial" w:eastAsia="Times New Roman" w:hAnsi="Arial" w:cs="Arial"/>
          <w:kern w:val="0"/>
          <w:sz w:val="20"/>
          <w:szCs w:val="20"/>
          <w:lang w:val="en-US"/>
          <w14:ligatures w14:val="none"/>
        </w:rPr>
        <w:t>These realities highlight the household as a critical node in Nigeria’s agri</w:t>
      </w:r>
      <w:r w:rsidRPr="00815850">
        <w:rPr>
          <w:rFonts w:ascii="Arial" w:eastAsia="Times New Roman" w:hAnsi="Arial" w:cs="Arial"/>
          <w:kern w:val="0"/>
          <w:sz w:val="20"/>
          <w:szCs w:val="20"/>
          <w:lang w:val="en-US"/>
          <w14:ligatures w14:val="none"/>
        </w:rPr>
        <w:noBreakHyphen/>
        <w:t>food system where targeted interventions can yield meaningful reductions.</w:t>
      </w:r>
    </w:p>
    <w:p w14:paraId="0E4DE51B" w14:textId="77777777" w:rsidR="00B75BA6" w:rsidRPr="00815850" w:rsidRDefault="00B75BA6" w:rsidP="00815850">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815850">
        <w:rPr>
          <w:rFonts w:ascii="Arial" w:eastAsia="Times New Roman" w:hAnsi="Arial" w:cs="Arial"/>
          <w:kern w:val="0"/>
          <w:sz w:val="20"/>
          <w:szCs w:val="20"/>
          <w:lang w:val="en-US"/>
          <w14:ligatures w14:val="none"/>
        </w:rPr>
        <w:t>Despite growing recognition of the problem, evidence on household typologies and tailored support needs remains limited in African contexts. Most interventions rely on generic awareness campaigns, yet research shows that knowledge alone does not consistently translate into practice (Parfitt et al., 2010). Recent studies emphasise the importance of segmenting households by behavioural and motivational profiles to design more effective interventions (Chisika &amp; Yeom, 2025). Without such differentiation, campaigns risk reinforcing existing practices or even displacing beneficial behaviours, as seen in cases where structured meal planning declined following intervention exposure (Miti et al., 2025).</w:t>
      </w:r>
    </w:p>
    <w:p w14:paraId="396DF71D" w14:textId="16D7E2E3" w:rsidR="00B75BA6" w:rsidRPr="00815850" w:rsidRDefault="00B75BA6" w:rsidP="00815850">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815850">
        <w:rPr>
          <w:rFonts w:ascii="Arial" w:eastAsia="Times New Roman" w:hAnsi="Arial" w:cs="Arial"/>
          <w:kern w:val="0"/>
          <w:sz w:val="20"/>
          <w:szCs w:val="20"/>
          <w:lang w:val="en-US"/>
          <w14:ligatures w14:val="none"/>
        </w:rPr>
        <w:lastRenderedPageBreak/>
        <w:t>This study addresses these gaps by examining who wastes food and why, focusing on household typologies, barriers, and support needs in urban Nigeria. Using behavioural analysis, logistic regression, and cluster segmentation, the research identifies predictors of high food waste, categorises households into distinct typologies, and prioritises barriers and support requirements. By linking behavioural insights to targeted support strategies, the study contributes to designing more effective community</w:t>
      </w:r>
      <w:r w:rsidRPr="00815850">
        <w:rPr>
          <w:rFonts w:ascii="Arial" w:eastAsia="Times New Roman" w:hAnsi="Arial" w:cs="Arial"/>
          <w:kern w:val="0"/>
          <w:sz w:val="20"/>
          <w:szCs w:val="20"/>
          <w:lang w:val="en-US"/>
          <w14:ligatures w14:val="none"/>
        </w:rPr>
        <w:noBreakHyphen/>
        <w:t>based interventions for food</w:t>
      </w:r>
      <w:r w:rsidRPr="00815850">
        <w:rPr>
          <w:rFonts w:ascii="Arial" w:eastAsia="Times New Roman" w:hAnsi="Arial" w:cs="Arial"/>
          <w:kern w:val="0"/>
          <w:sz w:val="20"/>
          <w:szCs w:val="20"/>
          <w:lang w:val="en-US"/>
          <w14:ligatures w14:val="none"/>
        </w:rPr>
        <w:noBreakHyphen/>
        <w:t>waste reduction, thereby advancing sustainable agri</w:t>
      </w:r>
      <w:r w:rsidRPr="00815850">
        <w:rPr>
          <w:rFonts w:ascii="Arial" w:eastAsia="Times New Roman" w:hAnsi="Arial" w:cs="Arial"/>
          <w:kern w:val="0"/>
          <w:sz w:val="20"/>
          <w:szCs w:val="20"/>
          <w:lang w:val="en-US"/>
          <w14:ligatures w14:val="none"/>
        </w:rPr>
        <w:noBreakHyphen/>
        <w:t>food systems in Africa.</w:t>
      </w:r>
    </w:p>
    <w:p w14:paraId="31613521" w14:textId="091CDDD3" w:rsidR="00553B1B" w:rsidRPr="004D644E" w:rsidRDefault="004D644E" w:rsidP="004D644E">
      <w:pPr>
        <w:pStyle w:val="ListParagraph"/>
        <w:numPr>
          <w:ilvl w:val="0"/>
          <w:numId w:val="4"/>
        </w:numPr>
        <w:spacing w:after="0" w:line="360" w:lineRule="auto"/>
        <w:rPr>
          <w:rFonts w:ascii="Arial" w:hAnsi="Arial" w:cs="Arial"/>
          <w:b/>
          <w:bCs/>
        </w:rPr>
      </w:pPr>
      <w:r w:rsidRPr="004D644E">
        <w:rPr>
          <w:rFonts w:ascii="Arial" w:hAnsi="Arial" w:cs="Arial"/>
          <w:b/>
          <w:bCs/>
        </w:rPr>
        <w:t>METHODOLOGY</w:t>
      </w:r>
    </w:p>
    <w:p w14:paraId="296A37D9" w14:textId="5243F10B" w:rsidR="00E6617D" w:rsidRPr="00CF0925" w:rsidRDefault="00387DF7" w:rsidP="00F12A27">
      <w:pPr>
        <w:spacing w:after="0" w:line="360" w:lineRule="auto"/>
        <w:jc w:val="both"/>
        <w:rPr>
          <w:rFonts w:ascii="Arial" w:hAnsi="Arial" w:cs="Arial"/>
          <w:b/>
          <w:bCs/>
          <w:lang w:val="en-GB"/>
        </w:rPr>
      </w:pPr>
      <w:r w:rsidRPr="00CF0925">
        <w:rPr>
          <w:rFonts w:ascii="Arial" w:hAnsi="Arial" w:cs="Arial"/>
          <w:b/>
          <w:bCs/>
          <w:lang w:val="en-GB"/>
        </w:rPr>
        <w:t>2.1</w:t>
      </w:r>
      <w:r w:rsidRPr="00CF0925">
        <w:rPr>
          <w:rFonts w:ascii="Arial" w:hAnsi="Arial" w:cs="Arial"/>
          <w:b/>
          <w:bCs/>
          <w:lang w:val="en-GB"/>
        </w:rPr>
        <w:tab/>
      </w:r>
      <w:r w:rsidR="00E6617D" w:rsidRPr="00CF0925">
        <w:rPr>
          <w:rFonts w:ascii="Arial" w:hAnsi="Arial" w:cs="Arial"/>
          <w:b/>
          <w:bCs/>
          <w:lang w:val="en-GB"/>
        </w:rPr>
        <w:t>Study Area</w:t>
      </w:r>
    </w:p>
    <w:p w14:paraId="6E3DF7EA" w14:textId="25F23453" w:rsidR="00815850" w:rsidRDefault="00815850" w:rsidP="001C3D62">
      <w:pPr>
        <w:spacing w:after="0" w:line="360" w:lineRule="auto"/>
        <w:jc w:val="both"/>
        <w:rPr>
          <w:rFonts w:ascii="Arial" w:hAnsi="Arial" w:cs="Arial"/>
          <w:sz w:val="20"/>
          <w:szCs w:val="20"/>
        </w:rPr>
      </w:pPr>
      <w:r w:rsidRPr="00815850">
        <w:rPr>
          <w:rFonts w:ascii="Arial" w:hAnsi="Arial" w:cs="Arial"/>
          <w:sz w:val="20"/>
          <w:szCs w:val="20"/>
        </w:rPr>
        <w:t>Oyo metropolis is a major urban centre in Oyo State, south</w:t>
      </w:r>
      <w:r w:rsidRPr="00815850">
        <w:rPr>
          <w:rFonts w:ascii="Arial" w:hAnsi="Arial" w:cs="Arial"/>
          <w:sz w:val="20"/>
          <w:szCs w:val="20"/>
        </w:rPr>
        <w:noBreakHyphen/>
        <w:t>western Nigeria, comprising the Atiba, Afijio, Oyo West, and Oyo East Local Government Areas (LGAs). The area lies within the derived savannah zone and experiences a tropical wet–dry climate. Its rapidly growing population is engaged primarily in civil service, trading, artisan work, and small</w:t>
      </w:r>
      <w:r w:rsidRPr="00815850">
        <w:rPr>
          <w:rFonts w:ascii="Arial" w:hAnsi="Arial" w:cs="Arial"/>
          <w:sz w:val="20"/>
          <w:szCs w:val="20"/>
        </w:rPr>
        <w:noBreakHyphen/>
        <w:t>scale farming. These mixed livelihood activities, combined with expanding food markets, make Oyo metropolis a suitable setting for examining household food wastage, awareness of food</w:t>
      </w:r>
      <w:r w:rsidRPr="00815850">
        <w:rPr>
          <w:rFonts w:ascii="Arial" w:hAnsi="Arial" w:cs="Arial"/>
          <w:sz w:val="20"/>
          <w:szCs w:val="20"/>
        </w:rPr>
        <w:noBreakHyphen/>
        <w:t>waste issues, and meal</w:t>
      </w:r>
      <w:r w:rsidRPr="00815850">
        <w:rPr>
          <w:rFonts w:ascii="Arial" w:hAnsi="Arial" w:cs="Arial"/>
          <w:sz w:val="20"/>
          <w:szCs w:val="20"/>
        </w:rPr>
        <w:noBreakHyphen/>
        <w:t>planning practices.</w:t>
      </w:r>
    </w:p>
    <w:p w14:paraId="793FF1B3" w14:textId="67F6483B" w:rsidR="00553B1B" w:rsidRPr="00581FDB" w:rsidRDefault="00387DF7" w:rsidP="001C3D62">
      <w:pPr>
        <w:spacing w:after="0" w:line="360" w:lineRule="auto"/>
        <w:jc w:val="both"/>
        <w:rPr>
          <w:rFonts w:ascii="Arial" w:hAnsi="Arial" w:cs="Arial"/>
          <w:b/>
          <w:bCs/>
        </w:rPr>
      </w:pPr>
      <w:r w:rsidRPr="00581FDB">
        <w:rPr>
          <w:rFonts w:ascii="Arial" w:hAnsi="Arial" w:cs="Arial"/>
          <w:b/>
          <w:bCs/>
        </w:rPr>
        <w:t>2.2</w:t>
      </w:r>
      <w:r w:rsidRPr="00581FDB">
        <w:rPr>
          <w:rFonts w:ascii="Arial" w:hAnsi="Arial" w:cs="Arial"/>
          <w:b/>
          <w:bCs/>
        </w:rPr>
        <w:tab/>
      </w:r>
      <w:r w:rsidR="00553B1B" w:rsidRPr="00581FDB">
        <w:rPr>
          <w:rFonts w:ascii="Arial" w:hAnsi="Arial" w:cs="Arial"/>
          <w:b/>
          <w:bCs/>
        </w:rPr>
        <w:t>Research design</w:t>
      </w:r>
    </w:p>
    <w:p w14:paraId="357257B6" w14:textId="1CDE31C3" w:rsidR="00815850" w:rsidRDefault="00815850" w:rsidP="001C3D62">
      <w:pPr>
        <w:spacing w:after="0" w:line="360" w:lineRule="auto"/>
        <w:jc w:val="both"/>
        <w:rPr>
          <w:rFonts w:ascii="Arial" w:hAnsi="Arial" w:cs="Arial"/>
          <w:sz w:val="20"/>
          <w:szCs w:val="20"/>
        </w:rPr>
      </w:pPr>
      <w:r w:rsidRPr="00815850">
        <w:rPr>
          <w:rFonts w:ascii="Arial" w:hAnsi="Arial" w:cs="Arial"/>
          <w:sz w:val="20"/>
          <w:szCs w:val="20"/>
        </w:rPr>
        <w:t>The study employed a cross</w:t>
      </w:r>
      <w:r w:rsidRPr="00815850">
        <w:rPr>
          <w:rFonts w:ascii="Arial" w:hAnsi="Arial" w:cs="Arial"/>
          <w:sz w:val="20"/>
          <w:szCs w:val="20"/>
        </w:rPr>
        <w:noBreakHyphen/>
        <w:t>sectional survey design combined with a community</w:t>
      </w:r>
      <w:r w:rsidRPr="00815850">
        <w:rPr>
          <w:rFonts w:ascii="Arial" w:hAnsi="Arial" w:cs="Arial"/>
          <w:sz w:val="20"/>
          <w:szCs w:val="20"/>
        </w:rPr>
        <w:noBreakHyphen/>
        <w:t>based campaign intervention. This approach was appropriate for evaluating household food</w:t>
      </w:r>
      <w:r w:rsidRPr="00815850">
        <w:rPr>
          <w:rFonts w:ascii="Arial" w:hAnsi="Arial" w:cs="Arial"/>
          <w:sz w:val="20"/>
          <w:szCs w:val="20"/>
        </w:rPr>
        <w:noBreakHyphen/>
        <w:t>waste behaviours before and after exposure to campaign messages, while also identifying predictors of high food waste and segmenting households into behavioural typologies. The design enabled behavioural</w:t>
      </w:r>
      <w:r w:rsidRPr="00815850">
        <w:rPr>
          <w:rFonts w:ascii="Arial" w:hAnsi="Arial" w:cs="Arial"/>
          <w:sz w:val="20"/>
          <w:szCs w:val="20"/>
        </w:rPr>
        <w:noBreakHyphen/>
        <w:t>change analysis using paired statistical tests (McNemar’s χ², paired t</w:t>
      </w:r>
      <w:r w:rsidRPr="00815850">
        <w:rPr>
          <w:rFonts w:ascii="Arial" w:hAnsi="Arial" w:cs="Arial"/>
          <w:sz w:val="20"/>
          <w:szCs w:val="20"/>
        </w:rPr>
        <w:noBreakHyphen/>
        <w:t>test, and Wilcoxon signed</w:t>
      </w:r>
      <w:r w:rsidRPr="00815850">
        <w:rPr>
          <w:rFonts w:ascii="Arial" w:hAnsi="Arial" w:cs="Arial"/>
          <w:sz w:val="20"/>
          <w:szCs w:val="20"/>
        </w:rPr>
        <w:noBreakHyphen/>
        <w:t>rank test), predictive modelling of high food waste (≥500 g/week) through binary logistic regression, household segmentation via k</w:t>
      </w:r>
      <w:r w:rsidRPr="00815850">
        <w:rPr>
          <w:rFonts w:ascii="Arial" w:hAnsi="Arial" w:cs="Arial"/>
          <w:sz w:val="20"/>
          <w:szCs w:val="20"/>
        </w:rPr>
        <w:noBreakHyphen/>
        <w:t>means cluster analysis to classify practices, awareness, and motivation, and the prioritisation of barriers and support needs using multi</w:t>
      </w:r>
      <w:r w:rsidRPr="00815850">
        <w:rPr>
          <w:rFonts w:ascii="Arial" w:hAnsi="Arial" w:cs="Arial"/>
          <w:sz w:val="20"/>
          <w:szCs w:val="20"/>
        </w:rPr>
        <w:noBreakHyphen/>
        <w:t>response frequency analysis and chi</w:t>
      </w:r>
      <w:r w:rsidRPr="00815850">
        <w:rPr>
          <w:rFonts w:ascii="Arial" w:hAnsi="Arial" w:cs="Arial"/>
          <w:sz w:val="20"/>
          <w:szCs w:val="20"/>
        </w:rPr>
        <w:noBreakHyphen/>
        <w:t>square tests.</w:t>
      </w:r>
    </w:p>
    <w:p w14:paraId="193166E9" w14:textId="0E3F8231" w:rsidR="00553B1B" w:rsidRPr="00581FDB" w:rsidRDefault="00387DF7" w:rsidP="001C3D62">
      <w:pPr>
        <w:spacing w:after="0" w:line="360" w:lineRule="auto"/>
        <w:jc w:val="both"/>
        <w:rPr>
          <w:rFonts w:ascii="Arial" w:hAnsi="Arial" w:cs="Arial"/>
          <w:b/>
          <w:bCs/>
        </w:rPr>
      </w:pPr>
      <w:r w:rsidRPr="00581FDB">
        <w:rPr>
          <w:rFonts w:ascii="Arial" w:hAnsi="Arial" w:cs="Arial"/>
          <w:b/>
          <w:bCs/>
        </w:rPr>
        <w:t>2.3</w:t>
      </w:r>
      <w:r w:rsidRPr="00581FDB">
        <w:rPr>
          <w:rFonts w:ascii="Arial" w:hAnsi="Arial" w:cs="Arial"/>
          <w:b/>
          <w:bCs/>
        </w:rPr>
        <w:tab/>
      </w:r>
      <w:r w:rsidR="00553B1B" w:rsidRPr="00581FDB">
        <w:rPr>
          <w:rFonts w:ascii="Arial" w:hAnsi="Arial" w:cs="Arial"/>
          <w:b/>
          <w:bCs/>
        </w:rPr>
        <w:t>Study population and sampling</w:t>
      </w:r>
    </w:p>
    <w:p w14:paraId="5CD56CA7" w14:textId="79397D94" w:rsidR="00815850"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rPr>
        <w:t>The study population comprised adult household members aged 18 years and above who were directly responsible for food purchasing, preparation, and storage. To ensure adequate representation across diverse socio</w:t>
      </w:r>
      <w:r w:rsidRPr="00815850">
        <w:rPr>
          <w:rFonts w:ascii="Arial" w:hAnsi="Arial" w:cs="Arial"/>
          <w:sz w:val="20"/>
          <w:szCs w:val="20"/>
        </w:rPr>
        <w:noBreakHyphen/>
        <w:t>demographic groups, a stratified random sampling technique was employed. The metropolis was divided into three strata representing different socio</w:t>
      </w:r>
      <w:r w:rsidRPr="00815850">
        <w:rPr>
          <w:rFonts w:ascii="Arial" w:hAnsi="Arial" w:cs="Arial"/>
          <w:sz w:val="20"/>
          <w:szCs w:val="20"/>
        </w:rPr>
        <w:noBreakHyphen/>
        <w:t>economic zones: high</w:t>
      </w:r>
      <w:r w:rsidRPr="00815850">
        <w:rPr>
          <w:rFonts w:ascii="Arial" w:hAnsi="Arial" w:cs="Arial"/>
          <w:sz w:val="20"/>
          <w:szCs w:val="20"/>
        </w:rPr>
        <w:noBreakHyphen/>
        <w:t>income, middle</w:t>
      </w:r>
      <w:r w:rsidRPr="00815850">
        <w:rPr>
          <w:rFonts w:ascii="Arial" w:hAnsi="Arial" w:cs="Arial"/>
          <w:sz w:val="20"/>
          <w:szCs w:val="20"/>
        </w:rPr>
        <w:noBreakHyphen/>
        <w:t>income, and low</w:t>
      </w:r>
      <w:r w:rsidRPr="00815850">
        <w:rPr>
          <w:rFonts w:ascii="Arial" w:hAnsi="Arial" w:cs="Arial"/>
          <w:sz w:val="20"/>
          <w:szCs w:val="20"/>
        </w:rPr>
        <w:noBreakHyphen/>
        <w:t>income residential areas. A total sample size of 324 participants was determined using Cochran’s formula (Equation 1) for large populations, where Z=1.96 (95% confidence level), p=0.5 (population proportion), q=0.5, and e=0.055 (margin of error). Participants were proportionally allocated across the three strata, and random selection was conducted within each stratum.</w:t>
      </w:r>
    </w:p>
    <w:p w14:paraId="63684F16" w14:textId="297A888E" w:rsidR="000404C3" w:rsidRPr="00581FDB" w:rsidRDefault="000404C3" w:rsidP="00F12A27">
      <w:pPr>
        <w:spacing w:after="0" w:line="360" w:lineRule="auto"/>
        <w:jc w:val="center"/>
        <w:rPr>
          <w:rFonts w:ascii="Arial" w:hAnsi="Arial" w:cs="Arial"/>
          <w:sz w:val="20"/>
          <w:szCs w:val="20"/>
          <w:lang w:val="en-GB"/>
        </w:rPr>
      </w:pPr>
      <m:oMath>
        <m:r>
          <m:rPr>
            <m:sty m:val="p"/>
          </m:rPr>
          <w:rPr>
            <w:rFonts w:ascii="Cambria Math" w:hAnsi="Cambria Math" w:cs="Arial"/>
            <w:sz w:val="20"/>
            <w:szCs w:val="20"/>
            <w:lang w:val="en-GB"/>
          </w:rPr>
          <m:t xml:space="preserve">n= </m:t>
        </m:r>
        <m:f>
          <m:fPr>
            <m:ctrlPr>
              <w:rPr>
                <w:rFonts w:ascii="Cambria Math" w:hAnsi="Cambria Math" w:cs="Arial"/>
                <w:sz w:val="20"/>
                <w:szCs w:val="20"/>
                <w:lang w:val="en-GB"/>
              </w:rPr>
            </m:ctrlPr>
          </m:fPr>
          <m:num>
            <m:sSup>
              <m:sSupPr>
                <m:ctrlPr>
                  <w:rPr>
                    <w:rFonts w:ascii="Cambria Math" w:hAnsi="Cambria Math" w:cs="Arial"/>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m:rPr>
                <m:sty m:val="p"/>
              </m:rPr>
              <w:rPr>
                <w:rFonts w:ascii="Cambria Math" w:hAnsi="Cambria Math" w:cs="Arial"/>
                <w:sz w:val="20"/>
                <w:szCs w:val="20"/>
                <w:lang w:val="en-GB"/>
              </w:rPr>
              <m:t>pq</m:t>
            </m:r>
          </m:num>
          <m:den>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w:rPr>
            <w:rFonts w:ascii="Cambria Math" w:hAnsi="Cambria Math" w:cs="Arial"/>
            <w:sz w:val="20"/>
            <w:szCs w:val="20"/>
            <w:lang w:val="en-GB"/>
          </w:rPr>
          <m:t xml:space="preserve"> </m:t>
        </m:r>
      </m:oMath>
      <w:r w:rsidRPr="00581FDB">
        <w:rPr>
          <w:rFonts w:ascii="Arial" w:eastAsiaTheme="minorEastAsia" w:hAnsi="Arial" w:cs="Arial"/>
          <w:sz w:val="20"/>
          <w:szCs w:val="20"/>
          <w:lang w:val="en-GB"/>
        </w:rPr>
        <w:t xml:space="preserve">                                  </w:t>
      </w:r>
      <w:r w:rsidR="00F75B08" w:rsidRPr="00581FDB">
        <w:rPr>
          <w:rFonts w:ascii="Arial" w:eastAsiaTheme="minorEastAsia" w:hAnsi="Arial" w:cs="Arial"/>
          <w:sz w:val="20"/>
          <w:szCs w:val="20"/>
          <w:lang w:val="en-GB"/>
        </w:rPr>
        <w:t xml:space="preserve">             </w:t>
      </w:r>
      <w:r w:rsidRPr="00581FDB">
        <w:rPr>
          <w:rFonts w:ascii="Arial" w:eastAsiaTheme="minorEastAsia" w:hAnsi="Arial" w:cs="Arial"/>
          <w:sz w:val="20"/>
          <w:szCs w:val="20"/>
          <w:lang w:val="en-GB"/>
        </w:rPr>
        <w:t>(1)</w:t>
      </w:r>
    </w:p>
    <w:p w14:paraId="13106E77" w14:textId="4EC10CD1" w:rsidR="00815850" w:rsidRDefault="00815850" w:rsidP="001C3D62">
      <w:pPr>
        <w:spacing w:after="0" w:line="360" w:lineRule="auto"/>
        <w:jc w:val="both"/>
        <w:rPr>
          <w:rFonts w:ascii="Arial" w:hAnsi="Arial" w:cs="Arial"/>
          <w:sz w:val="20"/>
          <w:szCs w:val="20"/>
          <w:lang w:val="en-US"/>
        </w:rPr>
      </w:pPr>
      <w:r w:rsidRPr="00815850">
        <w:rPr>
          <w:rFonts w:ascii="Arial" w:hAnsi="Arial" w:cs="Arial"/>
          <w:sz w:val="20"/>
          <w:szCs w:val="20"/>
        </w:rPr>
        <w:t xml:space="preserve">Out of the 324 households approached, 255 completed the survey, yielding a response rate of 78.7%. Although a formal statistical power analysis was not conducted due to the exploratory nature of the study, the achieved sample size of 255 completed responses is consistent with similar behavioural and household </w:t>
      </w:r>
      <w:r w:rsidRPr="00815850">
        <w:rPr>
          <w:rFonts w:ascii="Arial" w:hAnsi="Arial" w:cs="Arial"/>
          <w:sz w:val="20"/>
          <w:szCs w:val="20"/>
        </w:rPr>
        <w:lastRenderedPageBreak/>
        <w:t>food</w:t>
      </w:r>
      <w:r w:rsidRPr="00815850">
        <w:rPr>
          <w:rFonts w:ascii="Arial" w:hAnsi="Arial" w:cs="Arial"/>
          <w:sz w:val="20"/>
          <w:szCs w:val="20"/>
        </w:rPr>
        <w:noBreakHyphen/>
        <w:t>waste studies conducted in sub</w:t>
      </w:r>
      <w:r w:rsidRPr="00815850">
        <w:rPr>
          <w:rFonts w:ascii="Arial" w:hAnsi="Arial" w:cs="Arial"/>
          <w:sz w:val="20"/>
          <w:szCs w:val="20"/>
        </w:rPr>
        <w:noBreakHyphen/>
        <w:t>Saharan Africa. The response rate of 78.7% also provides reasonable confidence in the representativeness of the sample. Nonetheless, the possibility of non</w:t>
      </w:r>
      <w:r w:rsidRPr="00815850">
        <w:rPr>
          <w:rFonts w:ascii="Arial" w:hAnsi="Arial" w:cs="Arial"/>
          <w:sz w:val="20"/>
          <w:szCs w:val="20"/>
        </w:rPr>
        <w:noBreakHyphen/>
        <w:t>response bias cannot be entirely ruled out, as households that declined participation or discontinued the survey may differ systematically from those who completed it. This potential bias has been acknowledged and considered when interpreting the findings.</w:t>
      </w:r>
    </w:p>
    <w:p w14:paraId="3B064510" w14:textId="2D939D90" w:rsidR="00251BBF" w:rsidRPr="00581FDB" w:rsidRDefault="00387DF7" w:rsidP="001C3D62">
      <w:pPr>
        <w:spacing w:after="0" w:line="360" w:lineRule="auto"/>
        <w:jc w:val="both"/>
        <w:rPr>
          <w:rFonts w:ascii="Arial" w:hAnsi="Arial" w:cs="Arial"/>
          <w:b/>
          <w:bCs/>
          <w:lang w:val="en-US"/>
        </w:rPr>
      </w:pPr>
      <w:r w:rsidRPr="00581FDB">
        <w:rPr>
          <w:rFonts w:ascii="Arial" w:hAnsi="Arial" w:cs="Arial"/>
          <w:b/>
          <w:bCs/>
          <w:lang w:val="en-US"/>
        </w:rPr>
        <w:t>2.4</w:t>
      </w:r>
      <w:r w:rsidRPr="00581FDB">
        <w:rPr>
          <w:rFonts w:ascii="Arial" w:hAnsi="Arial" w:cs="Arial"/>
          <w:b/>
          <w:bCs/>
          <w:lang w:val="en-US"/>
        </w:rPr>
        <w:tab/>
      </w:r>
      <w:r w:rsidR="00251BBF" w:rsidRPr="00581FDB">
        <w:rPr>
          <w:rFonts w:ascii="Arial" w:hAnsi="Arial" w:cs="Arial"/>
          <w:b/>
          <w:bCs/>
          <w:lang w:val="en-US"/>
        </w:rPr>
        <w:t xml:space="preserve">Data </w:t>
      </w:r>
      <w:r w:rsidR="008C62B7">
        <w:rPr>
          <w:rFonts w:ascii="Arial" w:hAnsi="Arial" w:cs="Arial"/>
          <w:b/>
          <w:bCs/>
          <w:lang w:val="en-US"/>
        </w:rPr>
        <w:t>c</w:t>
      </w:r>
      <w:r w:rsidR="00251BBF" w:rsidRPr="00581FDB">
        <w:rPr>
          <w:rFonts w:ascii="Arial" w:hAnsi="Arial" w:cs="Arial"/>
          <w:b/>
          <w:bCs/>
          <w:lang w:val="en-US"/>
        </w:rPr>
        <w:t>ollection</w:t>
      </w:r>
    </w:p>
    <w:p w14:paraId="1C575D22" w14:textId="77777777" w:rsidR="00815850" w:rsidRPr="00815850" w:rsidRDefault="00815850" w:rsidP="00815850">
      <w:pPr>
        <w:spacing w:line="360" w:lineRule="auto"/>
        <w:jc w:val="both"/>
        <w:rPr>
          <w:rFonts w:ascii="Arial" w:hAnsi="Arial" w:cs="Arial"/>
          <w:sz w:val="20"/>
          <w:szCs w:val="20"/>
          <w:lang w:val="en-US"/>
        </w:rPr>
      </w:pPr>
      <w:r w:rsidRPr="00815850">
        <w:rPr>
          <w:rFonts w:ascii="Arial" w:hAnsi="Arial" w:cs="Arial"/>
          <w:sz w:val="20"/>
          <w:szCs w:val="20"/>
          <w:lang w:val="en-US"/>
        </w:rPr>
        <w:t>Data were collected using a structured questionnaire administered through face</w:t>
      </w:r>
      <w:r w:rsidRPr="00815850">
        <w:rPr>
          <w:rFonts w:ascii="Arial" w:hAnsi="Arial" w:cs="Arial"/>
          <w:sz w:val="20"/>
          <w:szCs w:val="20"/>
          <w:lang w:val="en-US"/>
        </w:rPr>
        <w:noBreakHyphen/>
        <w:t>to</w:t>
      </w:r>
      <w:r w:rsidRPr="00815850">
        <w:rPr>
          <w:rFonts w:ascii="Arial" w:hAnsi="Arial" w:cs="Arial"/>
          <w:sz w:val="20"/>
          <w:szCs w:val="20"/>
          <w:lang w:val="en-US"/>
        </w:rPr>
        <w:noBreakHyphen/>
        <w:t>face interviews with adult household members (≥18 years) who were directly responsible for food purchasing, preparation, and storage. The questionnaire captured socio</w:t>
      </w:r>
      <w:r w:rsidRPr="00815850">
        <w:rPr>
          <w:rFonts w:ascii="Arial" w:hAnsi="Arial" w:cs="Arial"/>
          <w:sz w:val="20"/>
          <w:szCs w:val="20"/>
          <w:lang w:val="en-US"/>
        </w:rPr>
        <w:noBreakHyphen/>
        <w:t>demographic information, behavioural practices, perceptions, and exposure to campaign messages. Specifically, it included items on household characteristics (age, gender, size, income, education), food</w:t>
      </w:r>
      <w:r w:rsidRPr="00815850">
        <w:rPr>
          <w:rFonts w:ascii="Arial" w:hAnsi="Arial" w:cs="Arial"/>
          <w:sz w:val="20"/>
          <w:szCs w:val="20"/>
          <w:lang w:val="en-US"/>
        </w:rPr>
        <w:noBreakHyphen/>
        <w:t>management behaviours (meal planning, shopping</w:t>
      </w:r>
      <w:r w:rsidRPr="00815850">
        <w:rPr>
          <w:rFonts w:ascii="Arial" w:hAnsi="Arial" w:cs="Arial"/>
          <w:sz w:val="20"/>
          <w:szCs w:val="20"/>
          <w:lang w:val="en-US"/>
        </w:rPr>
        <w:noBreakHyphen/>
        <w:t>list use, storage methods, leftover use, donation, and composting), perceptions of food waste (awareness, seriousness, confidence in storage, motivation), and engagement with community</w:t>
      </w:r>
      <w:r w:rsidRPr="00815850">
        <w:rPr>
          <w:rFonts w:ascii="Arial" w:hAnsi="Arial" w:cs="Arial"/>
          <w:sz w:val="20"/>
          <w:szCs w:val="20"/>
          <w:lang w:val="en-US"/>
        </w:rPr>
        <w:noBreakHyphen/>
        <w:t>based campaign activities.</w:t>
      </w:r>
    </w:p>
    <w:p w14:paraId="5E9CAAC8" w14:textId="77777777" w:rsidR="00815850" w:rsidRPr="00815850" w:rsidRDefault="00815850" w:rsidP="00815850">
      <w:pPr>
        <w:spacing w:line="360" w:lineRule="auto"/>
        <w:jc w:val="both"/>
        <w:rPr>
          <w:rFonts w:ascii="Arial" w:hAnsi="Arial" w:cs="Arial"/>
          <w:sz w:val="20"/>
          <w:szCs w:val="20"/>
          <w:lang w:val="en-US"/>
        </w:rPr>
      </w:pPr>
      <w:r w:rsidRPr="00815850">
        <w:rPr>
          <w:rFonts w:ascii="Arial" w:hAnsi="Arial" w:cs="Arial"/>
          <w:sz w:val="20"/>
          <w:szCs w:val="20"/>
          <w:lang w:val="en-US"/>
        </w:rPr>
        <w:t>Prior to deployment, the instrument was pre</w:t>
      </w:r>
      <w:r w:rsidRPr="00815850">
        <w:rPr>
          <w:rFonts w:ascii="Arial" w:hAnsi="Arial" w:cs="Arial"/>
          <w:sz w:val="20"/>
          <w:szCs w:val="20"/>
          <w:lang w:val="en-US"/>
        </w:rPr>
        <w:noBreakHyphen/>
        <w:t>tested with 20 households to ensure clarity, reliability, and cultural appropriateness. Feedback from the pilot informed minor revisions to wording and question sequencing. Data collection was conducted by trained field assistants fluent in both English and Yoruba, ensuring effective communication and accurate responses across diverse socio</w:t>
      </w:r>
      <w:r w:rsidRPr="00815850">
        <w:rPr>
          <w:rFonts w:ascii="Arial" w:hAnsi="Arial" w:cs="Arial"/>
          <w:sz w:val="20"/>
          <w:szCs w:val="20"/>
          <w:lang w:val="en-US"/>
        </w:rPr>
        <w:noBreakHyphen/>
        <w:t>economic groups.</w:t>
      </w:r>
    </w:p>
    <w:p w14:paraId="77B4EC59" w14:textId="10229E32" w:rsidR="00581FDB" w:rsidRPr="00581FDB" w:rsidRDefault="00815850" w:rsidP="00F12A27">
      <w:pPr>
        <w:spacing w:line="360" w:lineRule="auto"/>
        <w:jc w:val="both"/>
        <w:rPr>
          <w:rFonts w:ascii="Arial" w:hAnsi="Arial" w:cs="Arial"/>
          <w:sz w:val="20"/>
          <w:szCs w:val="20"/>
          <w:lang w:val="en-US"/>
        </w:rPr>
      </w:pPr>
      <w:r w:rsidRPr="00815850">
        <w:rPr>
          <w:rFonts w:ascii="Arial" w:hAnsi="Arial" w:cs="Arial"/>
          <w:sz w:val="20"/>
          <w:szCs w:val="20"/>
          <w:lang w:val="en-US"/>
        </w:rPr>
        <w:t>To enhance validity, respondents were asked to recall and report their food</w:t>
      </w:r>
      <w:r w:rsidRPr="00815850">
        <w:rPr>
          <w:rFonts w:ascii="Arial" w:hAnsi="Arial" w:cs="Arial"/>
          <w:sz w:val="20"/>
          <w:szCs w:val="20"/>
          <w:lang w:val="en-US"/>
        </w:rPr>
        <w:noBreakHyphen/>
        <w:t>management behaviours over the preceding week. Multi</w:t>
      </w:r>
      <w:r w:rsidRPr="00815850">
        <w:rPr>
          <w:rFonts w:ascii="Arial" w:hAnsi="Arial" w:cs="Arial"/>
          <w:sz w:val="20"/>
          <w:szCs w:val="20"/>
          <w:lang w:val="en-US"/>
        </w:rPr>
        <w:noBreakHyphen/>
        <w:t>response options were included to capture the diversity of practices and barriers. Completed questionnaires were checked daily for completeness and consistency before being entered into the database, ensuring high</w:t>
      </w:r>
      <w:r w:rsidRPr="00815850">
        <w:rPr>
          <w:rFonts w:ascii="Arial" w:hAnsi="Arial" w:cs="Arial"/>
          <w:sz w:val="20"/>
          <w:szCs w:val="20"/>
          <w:lang w:val="en-US"/>
        </w:rPr>
        <w:noBreakHyphen/>
        <w:t>quality data for subsequent analysis.</w:t>
      </w:r>
    </w:p>
    <w:p w14:paraId="675D811D" w14:textId="69C60317" w:rsidR="002643BE" w:rsidRPr="00815850" w:rsidRDefault="00EB0544" w:rsidP="00815850">
      <w:pPr>
        <w:pStyle w:val="ListParagraph"/>
        <w:numPr>
          <w:ilvl w:val="1"/>
          <w:numId w:val="4"/>
        </w:numPr>
        <w:spacing w:after="0" w:line="360" w:lineRule="auto"/>
        <w:jc w:val="both"/>
        <w:rPr>
          <w:rFonts w:ascii="Arial" w:hAnsi="Arial" w:cs="Arial"/>
          <w:b/>
          <w:bCs/>
        </w:rPr>
      </w:pPr>
      <w:r w:rsidRPr="00815850">
        <w:rPr>
          <w:rFonts w:ascii="Arial" w:hAnsi="Arial" w:cs="Arial"/>
          <w:b/>
          <w:bCs/>
        </w:rPr>
        <w:t xml:space="preserve">Analytical </w:t>
      </w:r>
      <w:r w:rsidR="008C62B7" w:rsidRPr="00815850">
        <w:rPr>
          <w:rFonts w:ascii="Arial" w:hAnsi="Arial" w:cs="Arial"/>
          <w:b/>
          <w:bCs/>
        </w:rPr>
        <w:t>t</w:t>
      </w:r>
      <w:r w:rsidRPr="00815850">
        <w:rPr>
          <w:rFonts w:ascii="Arial" w:hAnsi="Arial" w:cs="Arial"/>
          <w:b/>
          <w:bCs/>
        </w:rPr>
        <w:t>echniques</w:t>
      </w:r>
    </w:p>
    <w:p w14:paraId="44396AE1" w14:textId="77777777" w:rsidR="00815850" w:rsidRDefault="00815850" w:rsidP="00815850">
      <w:pPr>
        <w:spacing w:after="0" w:line="360" w:lineRule="auto"/>
        <w:jc w:val="both"/>
        <w:rPr>
          <w:rFonts w:ascii="Arial" w:hAnsi="Arial" w:cs="Arial"/>
          <w:b/>
          <w:bCs/>
        </w:rPr>
      </w:pPr>
    </w:p>
    <w:p w14:paraId="03C76541" w14:textId="38AF20EE" w:rsidR="00671363"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lang w:val="en-US"/>
        </w:rPr>
        <w:t>Key study variables were operationalised to ensure consistency in measurement and analysis. Household food waste was categorised using a threshold of ≥500 g/week, based on respondents’ self</w:t>
      </w:r>
      <w:r w:rsidRPr="00815850">
        <w:rPr>
          <w:rFonts w:ascii="Arial" w:hAnsi="Arial" w:cs="Arial"/>
          <w:sz w:val="20"/>
          <w:szCs w:val="20"/>
          <w:lang w:val="en-US"/>
        </w:rPr>
        <w:noBreakHyphen/>
        <w:t xml:space="preserve">reported estimates of the quantity of edible food discarded in the preceding week. </w:t>
      </w:r>
      <w:r w:rsidR="00671363" w:rsidRPr="00671363">
        <w:rPr>
          <w:rFonts w:ascii="Arial" w:hAnsi="Arial" w:cs="Arial"/>
          <w:sz w:val="20"/>
          <w:szCs w:val="20"/>
        </w:rPr>
        <w:t>High household food waste was defined as ≥500 g/week, based on a combination of empirical distribution and benchmarks used in previous household food</w:t>
      </w:r>
      <w:r w:rsidR="00671363" w:rsidRPr="00671363">
        <w:rPr>
          <w:rFonts w:ascii="Arial" w:hAnsi="Arial" w:cs="Arial"/>
          <w:sz w:val="20"/>
          <w:szCs w:val="20"/>
        </w:rPr>
        <w:noBreakHyphen/>
        <w:t>waste studies. The threshold corresponds approximately to the upper third of the waste distribution in the sample and aligns with cut</w:t>
      </w:r>
      <w:r w:rsidR="00671363" w:rsidRPr="00671363">
        <w:rPr>
          <w:rFonts w:ascii="Arial" w:hAnsi="Arial" w:cs="Arial"/>
          <w:sz w:val="20"/>
          <w:szCs w:val="20"/>
        </w:rPr>
        <w:noBreakHyphen/>
        <w:t>offs applied in similar research within sub</w:t>
      </w:r>
      <w:r w:rsidR="00671363" w:rsidRPr="00671363">
        <w:rPr>
          <w:rFonts w:ascii="Arial" w:hAnsi="Arial" w:cs="Arial"/>
          <w:sz w:val="20"/>
          <w:szCs w:val="20"/>
        </w:rPr>
        <w:noBreakHyphen/>
        <w:t>Saharan Africa and other low</w:t>
      </w:r>
      <w:r w:rsidR="00671363" w:rsidRPr="00671363">
        <w:rPr>
          <w:rFonts w:ascii="Arial" w:hAnsi="Arial" w:cs="Arial"/>
          <w:sz w:val="20"/>
          <w:szCs w:val="20"/>
        </w:rPr>
        <w:noBreakHyphen/>
        <w:t xml:space="preserve"> and middle</w:t>
      </w:r>
      <w:r w:rsidR="00671363" w:rsidRPr="00671363">
        <w:rPr>
          <w:rFonts w:ascii="Arial" w:hAnsi="Arial" w:cs="Arial"/>
          <w:sz w:val="20"/>
          <w:szCs w:val="20"/>
        </w:rPr>
        <w:noBreakHyphen/>
        <w:t>income contexts. Weekly food</w:t>
      </w:r>
      <w:r w:rsidR="00671363" w:rsidRPr="00671363">
        <w:rPr>
          <w:rFonts w:ascii="Arial" w:hAnsi="Arial" w:cs="Arial"/>
          <w:sz w:val="20"/>
          <w:szCs w:val="20"/>
        </w:rPr>
        <w:noBreakHyphen/>
        <w:t>waste quantities were calculated from household self</w:t>
      </w:r>
      <w:r w:rsidR="00671363" w:rsidRPr="00671363">
        <w:rPr>
          <w:rFonts w:ascii="Arial" w:hAnsi="Arial" w:cs="Arial"/>
          <w:sz w:val="20"/>
          <w:szCs w:val="20"/>
        </w:rPr>
        <w:noBreakHyphen/>
        <w:t>reports using standardised measurement prompts. Households generating ≥500 g/week were coded as “high waste” (1), while those below this threshold were coded as “low waste” (0) for the logistic regression analysis.</w:t>
      </w:r>
    </w:p>
    <w:p w14:paraId="4E9E23B8" w14:textId="77777777" w:rsidR="00671363" w:rsidRDefault="00671363" w:rsidP="00815850">
      <w:pPr>
        <w:spacing w:after="0" w:line="360" w:lineRule="auto"/>
        <w:jc w:val="both"/>
        <w:rPr>
          <w:rFonts w:ascii="Arial" w:hAnsi="Arial" w:cs="Arial"/>
          <w:sz w:val="20"/>
          <w:szCs w:val="20"/>
          <w:lang w:val="en-US"/>
        </w:rPr>
      </w:pPr>
    </w:p>
    <w:p w14:paraId="78C35408" w14:textId="13841ECC" w:rsidR="00815850" w:rsidRPr="00815850"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lang w:val="en-US"/>
        </w:rPr>
        <w:t>This threshold aligns with previous behavioural studies in sub</w:t>
      </w:r>
      <w:r w:rsidRPr="00815850">
        <w:rPr>
          <w:rFonts w:ascii="Arial" w:hAnsi="Arial" w:cs="Arial"/>
          <w:sz w:val="20"/>
          <w:szCs w:val="20"/>
          <w:lang w:val="en-US"/>
        </w:rPr>
        <w:noBreakHyphen/>
        <w:t>Saharan Africa and served as the criterion for defining ‘high’ food</w:t>
      </w:r>
      <w:r w:rsidRPr="00815850">
        <w:rPr>
          <w:rFonts w:ascii="Arial" w:hAnsi="Arial" w:cs="Arial"/>
          <w:sz w:val="20"/>
          <w:szCs w:val="20"/>
          <w:lang w:val="en-US"/>
        </w:rPr>
        <w:noBreakHyphen/>
        <w:t xml:space="preserve">waste households in the logistic regression model. Behavioural variables included </w:t>
      </w:r>
      <w:r w:rsidRPr="00815850">
        <w:rPr>
          <w:rFonts w:ascii="Arial" w:hAnsi="Arial" w:cs="Arial"/>
          <w:sz w:val="20"/>
          <w:szCs w:val="20"/>
          <w:lang w:val="en-US"/>
        </w:rPr>
        <w:lastRenderedPageBreak/>
        <w:t>meal planning, shopping</w:t>
      </w:r>
      <w:r w:rsidRPr="00815850">
        <w:rPr>
          <w:rFonts w:ascii="Arial" w:hAnsi="Arial" w:cs="Arial"/>
          <w:sz w:val="20"/>
          <w:szCs w:val="20"/>
          <w:lang w:val="en-US"/>
        </w:rPr>
        <w:noBreakHyphen/>
        <w:t>list use, storage practices, leftover utilisation, composting, and food donation, each measured on ordinal or binary scales. Perceptual variables</w:t>
      </w:r>
      <w:r w:rsidR="000D495E">
        <w:rPr>
          <w:rFonts w:ascii="Arial" w:hAnsi="Arial" w:cs="Arial"/>
          <w:sz w:val="20"/>
          <w:szCs w:val="20"/>
          <w:lang w:val="en-US"/>
        </w:rPr>
        <w:t xml:space="preserve"> </w:t>
      </w:r>
      <w:r w:rsidRPr="00815850">
        <w:rPr>
          <w:rFonts w:ascii="Arial" w:hAnsi="Arial" w:cs="Arial"/>
          <w:sz w:val="20"/>
          <w:szCs w:val="20"/>
          <w:lang w:val="en-US"/>
        </w:rPr>
        <w:t>such as awareness, perceived seriousness of food waste, confidence in storage practices, and motivation to reduce waste</w:t>
      </w:r>
      <w:r w:rsidR="000D495E">
        <w:rPr>
          <w:rFonts w:ascii="Arial" w:hAnsi="Arial" w:cs="Arial"/>
          <w:sz w:val="20"/>
          <w:szCs w:val="20"/>
          <w:lang w:val="en-US"/>
        </w:rPr>
        <w:t xml:space="preserve"> </w:t>
      </w:r>
      <w:r w:rsidRPr="00815850">
        <w:rPr>
          <w:rFonts w:ascii="Arial" w:hAnsi="Arial" w:cs="Arial"/>
          <w:sz w:val="20"/>
          <w:szCs w:val="20"/>
          <w:lang w:val="en-US"/>
        </w:rPr>
        <w:t>were measured using Likert</w:t>
      </w:r>
      <w:r w:rsidRPr="00815850">
        <w:rPr>
          <w:rFonts w:ascii="Arial" w:hAnsi="Arial" w:cs="Arial"/>
          <w:sz w:val="20"/>
          <w:szCs w:val="20"/>
          <w:lang w:val="en-US"/>
        </w:rPr>
        <w:noBreakHyphen/>
        <w:t>type scales. Sociodemographic variables included age, gender, household size, income, and education.</w:t>
      </w:r>
    </w:p>
    <w:p w14:paraId="140ED428" w14:textId="77777777" w:rsidR="000D495E" w:rsidRDefault="000D495E" w:rsidP="00815850">
      <w:pPr>
        <w:spacing w:after="0" w:line="360" w:lineRule="auto"/>
        <w:jc w:val="both"/>
        <w:rPr>
          <w:rFonts w:ascii="Arial" w:hAnsi="Arial" w:cs="Arial"/>
          <w:sz w:val="20"/>
          <w:szCs w:val="20"/>
          <w:lang w:val="en-US"/>
        </w:rPr>
      </w:pPr>
    </w:p>
    <w:p w14:paraId="787BAA84" w14:textId="15A5C8A3" w:rsidR="00815850" w:rsidRPr="00815850"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lang w:val="en-US"/>
        </w:rPr>
        <w:t>Data analysis was conducted using a combination of descriptive and inferential statistical methods aligned with the study objectives. Behavioural</w:t>
      </w:r>
      <w:r w:rsidRPr="00815850">
        <w:rPr>
          <w:rFonts w:ascii="Arial" w:hAnsi="Arial" w:cs="Arial"/>
          <w:sz w:val="20"/>
          <w:szCs w:val="20"/>
          <w:lang w:val="en-US"/>
        </w:rPr>
        <w:noBreakHyphen/>
        <w:t>change analysis was performed using McNemar’s χ² test for paired categorical variables, alongside paired t</w:t>
      </w:r>
      <w:r w:rsidRPr="00815850">
        <w:rPr>
          <w:rFonts w:ascii="Arial" w:hAnsi="Arial" w:cs="Arial"/>
          <w:sz w:val="20"/>
          <w:szCs w:val="20"/>
          <w:lang w:val="en-US"/>
        </w:rPr>
        <w:noBreakHyphen/>
        <w:t>tests and Wilcoxon signed</w:t>
      </w:r>
      <w:r w:rsidRPr="00815850">
        <w:rPr>
          <w:rFonts w:ascii="Arial" w:hAnsi="Arial" w:cs="Arial"/>
          <w:sz w:val="20"/>
          <w:szCs w:val="20"/>
          <w:lang w:val="en-US"/>
        </w:rPr>
        <w:noBreakHyphen/>
        <w:t>rank tests to compare mean counts of behaviours before and after the campaign intervention. Predictors of high household food waste (≥500 g/week) were examined using binary logistic regression, with odds ratios (ORs) and 95% confidence intervals reported to identify significant behavioural and perceptual determinants.</w:t>
      </w:r>
    </w:p>
    <w:p w14:paraId="18BF161F" w14:textId="77777777" w:rsidR="000D495E" w:rsidRDefault="000D495E" w:rsidP="00815850">
      <w:pPr>
        <w:spacing w:after="0" w:line="360" w:lineRule="auto"/>
        <w:jc w:val="both"/>
        <w:rPr>
          <w:rFonts w:ascii="Arial" w:hAnsi="Arial" w:cs="Arial"/>
          <w:sz w:val="20"/>
          <w:szCs w:val="20"/>
          <w:lang w:val="en-US"/>
        </w:rPr>
      </w:pPr>
    </w:p>
    <w:p w14:paraId="3B4994A5" w14:textId="17EDCC30" w:rsidR="00815850" w:rsidRPr="00815850"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lang w:val="en-US"/>
        </w:rPr>
        <w:t>To classify households into distinct typologies, k</w:t>
      </w:r>
      <w:r w:rsidRPr="00815850">
        <w:rPr>
          <w:rFonts w:ascii="Arial" w:hAnsi="Arial" w:cs="Arial"/>
          <w:sz w:val="20"/>
          <w:szCs w:val="20"/>
          <w:lang w:val="en-US"/>
        </w:rPr>
        <w:noBreakHyphen/>
        <w:t>means cluster analysis was employed. This method was selected because regression analysis alone cannot capture the multidimensional patterns underlying food</w:t>
      </w:r>
      <w:r w:rsidRPr="00815850">
        <w:rPr>
          <w:rFonts w:ascii="Arial" w:hAnsi="Arial" w:cs="Arial"/>
          <w:sz w:val="20"/>
          <w:szCs w:val="20"/>
          <w:lang w:val="en-US"/>
        </w:rPr>
        <w:noBreakHyphen/>
        <w:t>management behaviours, awareness levels, and motivation. Cluster analysis enables the identification of internally homogeneous but externally distinct household groups, providing deeper insight into how combinations of practices and perceptions shape food</w:t>
      </w:r>
      <w:r w:rsidRPr="00815850">
        <w:rPr>
          <w:rFonts w:ascii="Arial" w:hAnsi="Arial" w:cs="Arial"/>
          <w:sz w:val="20"/>
          <w:szCs w:val="20"/>
          <w:lang w:val="en-US"/>
        </w:rPr>
        <w:noBreakHyphen/>
        <w:t>waste outcomes. This segmentation approach is particularly useful for designing targeted interventions, as it highlights differences that are not observable through single</w:t>
      </w:r>
      <w:r w:rsidRPr="00815850">
        <w:rPr>
          <w:rFonts w:ascii="Arial" w:hAnsi="Arial" w:cs="Arial"/>
          <w:sz w:val="20"/>
          <w:szCs w:val="20"/>
          <w:lang w:val="en-US"/>
        </w:rPr>
        <w:noBreakHyphen/>
        <w:t>variable analysis.</w:t>
      </w:r>
    </w:p>
    <w:p w14:paraId="68C81528" w14:textId="08D95BDC" w:rsidR="00815850" w:rsidRPr="000D495E" w:rsidRDefault="00815850" w:rsidP="00815850">
      <w:pPr>
        <w:spacing w:after="0" w:line="360" w:lineRule="auto"/>
        <w:jc w:val="both"/>
        <w:rPr>
          <w:rFonts w:ascii="Arial" w:hAnsi="Arial" w:cs="Arial"/>
          <w:sz w:val="20"/>
          <w:szCs w:val="20"/>
          <w:lang w:val="en-US"/>
        </w:rPr>
      </w:pPr>
      <w:r w:rsidRPr="00815850">
        <w:rPr>
          <w:rFonts w:ascii="Arial" w:hAnsi="Arial" w:cs="Arial"/>
          <w:sz w:val="20"/>
          <w:szCs w:val="20"/>
          <w:lang w:val="en-US"/>
        </w:rPr>
        <w:t>Finally, barriers and support needs were analysed using multi</w:t>
      </w:r>
      <w:r w:rsidRPr="00815850">
        <w:rPr>
          <w:rFonts w:ascii="Arial" w:hAnsi="Arial" w:cs="Arial"/>
          <w:sz w:val="20"/>
          <w:szCs w:val="20"/>
          <w:lang w:val="en-US"/>
        </w:rPr>
        <w:noBreakHyphen/>
        <w:t>response frequency analysis, supplemented by chi</w:t>
      </w:r>
      <w:r w:rsidRPr="00815850">
        <w:rPr>
          <w:rFonts w:ascii="Arial" w:hAnsi="Arial" w:cs="Arial"/>
          <w:sz w:val="20"/>
          <w:szCs w:val="20"/>
          <w:lang w:val="en-US"/>
        </w:rPr>
        <w:noBreakHyphen/>
        <w:t>square tests to assess differences between high</w:t>
      </w:r>
      <w:r w:rsidRPr="00815850">
        <w:rPr>
          <w:rFonts w:ascii="Arial" w:hAnsi="Arial" w:cs="Arial"/>
          <w:sz w:val="20"/>
          <w:szCs w:val="20"/>
          <w:lang w:val="en-US"/>
        </w:rPr>
        <w:noBreakHyphen/>
        <w:t xml:space="preserve"> and low</w:t>
      </w:r>
      <w:r w:rsidRPr="00815850">
        <w:rPr>
          <w:rFonts w:ascii="Arial" w:hAnsi="Arial" w:cs="Arial"/>
          <w:sz w:val="20"/>
          <w:szCs w:val="20"/>
          <w:lang w:val="en-US"/>
        </w:rPr>
        <w:noBreakHyphen/>
        <w:t>waste households. This integrated analytical approach provided both descriptive insights into household behaviours and inferential evidence on predictors and typologies.</w:t>
      </w:r>
    </w:p>
    <w:p w14:paraId="712204C7" w14:textId="1D01E527" w:rsidR="000E34BB" w:rsidRPr="008C62B7" w:rsidRDefault="008C62B7" w:rsidP="00387DF7">
      <w:pPr>
        <w:pStyle w:val="ListParagraph"/>
        <w:numPr>
          <w:ilvl w:val="0"/>
          <w:numId w:val="4"/>
        </w:numPr>
        <w:spacing w:after="0" w:line="360" w:lineRule="auto"/>
        <w:jc w:val="both"/>
        <w:rPr>
          <w:rFonts w:ascii="Arial" w:hAnsi="Arial" w:cs="Arial"/>
          <w:b/>
          <w:bCs/>
        </w:rPr>
      </w:pPr>
      <w:r w:rsidRPr="008C62B7">
        <w:rPr>
          <w:rFonts w:ascii="Arial" w:hAnsi="Arial" w:cs="Arial"/>
          <w:b/>
          <w:bCs/>
        </w:rPr>
        <w:t>RESULTS</w:t>
      </w:r>
    </w:p>
    <w:p w14:paraId="3F685DE0" w14:textId="054473F6" w:rsidR="00E47719" w:rsidRPr="00F12A27" w:rsidRDefault="00387DF7" w:rsidP="001C3D6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E47719" w:rsidRPr="008C62B7">
        <w:rPr>
          <w:rFonts w:ascii="Arial" w:hAnsi="Arial" w:cs="Arial"/>
          <w:b/>
          <w:bCs/>
        </w:rPr>
        <w:t xml:space="preserve">Changes in </w:t>
      </w:r>
      <w:r w:rsidR="008C62B7">
        <w:rPr>
          <w:rFonts w:ascii="Arial" w:hAnsi="Arial" w:cs="Arial"/>
          <w:b/>
          <w:bCs/>
        </w:rPr>
        <w:t>h</w:t>
      </w:r>
      <w:r w:rsidR="00E47719" w:rsidRPr="008C62B7">
        <w:rPr>
          <w:rFonts w:ascii="Arial" w:hAnsi="Arial" w:cs="Arial"/>
          <w:b/>
          <w:bCs/>
        </w:rPr>
        <w:t xml:space="preserve">ousehold </w:t>
      </w:r>
      <w:r w:rsidR="008C62B7">
        <w:rPr>
          <w:rFonts w:ascii="Arial" w:hAnsi="Arial" w:cs="Arial"/>
          <w:b/>
          <w:bCs/>
        </w:rPr>
        <w:t>f</w:t>
      </w:r>
      <w:r w:rsidR="00E47719" w:rsidRPr="008C62B7">
        <w:rPr>
          <w:rFonts w:ascii="Arial" w:hAnsi="Arial" w:cs="Arial"/>
          <w:b/>
          <w:bCs/>
        </w:rPr>
        <w:t>ood</w:t>
      </w:r>
      <w:r w:rsidR="00E47719" w:rsidRPr="008C62B7">
        <w:rPr>
          <w:rFonts w:ascii="Arial" w:hAnsi="Arial" w:cs="Arial"/>
          <w:b/>
          <w:bCs/>
        </w:rPr>
        <w:noBreakHyphen/>
      </w:r>
      <w:r w:rsidR="008C62B7">
        <w:rPr>
          <w:rFonts w:ascii="Arial" w:hAnsi="Arial" w:cs="Arial"/>
          <w:b/>
          <w:bCs/>
        </w:rPr>
        <w:t>w</w:t>
      </w:r>
      <w:r w:rsidR="00E47719" w:rsidRPr="008C62B7">
        <w:rPr>
          <w:rFonts w:ascii="Arial" w:hAnsi="Arial" w:cs="Arial"/>
          <w:b/>
          <w:bCs/>
        </w:rPr>
        <w:t xml:space="preserve">aste </w:t>
      </w:r>
      <w:r w:rsidR="008C62B7">
        <w:rPr>
          <w:rFonts w:ascii="Arial" w:hAnsi="Arial" w:cs="Arial"/>
          <w:b/>
          <w:bCs/>
        </w:rPr>
        <w:t>r</w:t>
      </w:r>
      <w:r w:rsidR="00E47719" w:rsidRPr="008C62B7">
        <w:rPr>
          <w:rFonts w:ascii="Arial" w:hAnsi="Arial" w:cs="Arial"/>
          <w:b/>
          <w:bCs/>
        </w:rPr>
        <w:t xml:space="preserve">eduction </w:t>
      </w:r>
      <w:r w:rsidR="008C62B7">
        <w:rPr>
          <w:rFonts w:ascii="Arial" w:hAnsi="Arial" w:cs="Arial"/>
          <w:b/>
          <w:bCs/>
        </w:rPr>
        <w:t>b</w:t>
      </w:r>
      <w:r w:rsidR="00E47719" w:rsidRPr="008C62B7">
        <w:rPr>
          <w:rFonts w:ascii="Arial" w:hAnsi="Arial" w:cs="Arial"/>
          <w:b/>
          <w:bCs/>
        </w:rPr>
        <w:t>ehaviours</w:t>
      </w:r>
    </w:p>
    <w:p w14:paraId="734C6C06" w14:textId="77777777" w:rsidR="004600F2" w:rsidRPr="004600F2" w:rsidRDefault="004600F2" w:rsidP="004600F2">
      <w:pPr>
        <w:spacing w:line="360" w:lineRule="auto"/>
        <w:jc w:val="both"/>
        <w:rPr>
          <w:rFonts w:ascii="Arial" w:hAnsi="Arial" w:cs="Arial"/>
          <w:sz w:val="20"/>
          <w:szCs w:val="20"/>
          <w:lang w:val="en-US"/>
        </w:rPr>
      </w:pPr>
      <w:r w:rsidRPr="004600F2">
        <w:rPr>
          <w:rFonts w:ascii="Arial" w:hAnsi="Arial" w:cs="Arial"/>
          <w:sz w:val="20"/>
          <w:szCs w:val="20"/>
          <w:lang w:val="en-US"/>
        </w:rPr>
        <w:t>Table 1 presents the descriptive findings on household food</w:t>
      </w:r>
      <w:r w:rsidRPr="004600F2">
        <w:rPr>
          <w:rFonts w:ascii="Arial" w:hAnsi="Arial" w:cs="Arial"/>
          <w:sz w:val="20"/>
          <w:szCs w:val="20"/>
          <w:lang w:val="en-US"/>
        </w:rPr>
        <w:noBreakHyphen/>
        <w:t>waste reduction behaviours before and after the campaign. Overall, households reported modest changes across the measured behaviours. Small increases were observed in composting and food donation, while the frequency of meal planning declined. Confidence in food</w:t>
      </w:r>
      <w:r w:rsidRPr="004600F2">
        <w:rPr>
          <w:rFonts w:ascii="Arial" w:hAnsi="Arial" w:cs="Arial"/>
          <w:sz w:val="20"/>
          <w:szCs w:val="20"/>
          <w:lang w:val="en-US"/>
        </w:rPr>
        <w:noBreakHyphen/>
        <w:t>storage practices remained generally low, with a substantial proportion of households indicating uncertainty about appropriate storage methods. Motivation to reduce food waste was relatively high across the sample, although this did not consistently translate into improved behavioural practices.</w:t>
      </w:r>
    </w:p>
    <w:p w14:paraId="55D91964" w14:textId="77777777" w:rsidR="004600F2" w:rsidRPr="004600F2" w:rsidRDefault="004600F2" w:rsidP="004600F2">
      <w:pPr>
        <w:spacing w:line="360" w:lineRule="auto"/>
        <w:jc w:val="both"/>
        <w:rPr>
          <w:rFonts w:ascii="Arial" w:hAnsi="Arial" w:cs="Arial"/>
          <w:sz w:val="20"/>
          <w:szCs w:val="20"/>
          <w:lang w:val="en-US"/>
        </w:rPr>
      </w:pPr>
      <w:r w:rsidRPr="004600F2">
        <w:rPr>
          <w:rFonts w:ascii="Arial" w:hAnsi="Arial" w:cs="Arial"/>
          <w:sz w:val="20"/>
          <w:szCs w:val="20"/>
          <w:lang w:val="en-US"/>
        </w:rPr>
        <w:t>Regarding household characteristics, larger households (≥6 members) were more common in the high</w:t>
      </w:r>
      <w:r w:rsidRPr="004600F2">
        <w:rPr>
          <w:rFonts w:ascii="Arial" w:hAnsi="Arial" w:cs="Arial"/>
          <w:sz w:val="20"/>
          <w:szCs w:val="20"/>
          <w:lang w:val="en-US"/>
        </w:rPr>
        <w:noBreakHyphen/>
        <w:t>waste category, and households reporting low confidence in food</w:t>
      </w:r>
      <w:r w:rsidRPr="004600F2">
        <w:rPr>
          <w:rFonts w:ascii="Arial" w:hAnsi="Arial" w:cs="Arial"/>
          <w:sz w:val="20"/>
          <w:szCs w:val="20"/>
          <w:lang w:val="en-US"/>
        </w:rPr>
        <w:noBreakHyphen/>
        <w:t>storage practices were also more frequently represented among those generating higher quantities of waste. Motivation levels varied, with a notable share of households expressing strong intentions to reduce waste. Income level and educational attainment showed no clear descriptive pattern in relation to waste levels.</w:t>
      </w:r>
    </w:p>
    <w:p w14:paraId="1C315C9A" w14:textId="77777777" w:rsidR="004600F2" w:rsidRDefault="004600F2" w:rsidP="00F12A27">
      <w:pPr>
        <w:spacing w:line="360" w:lineRule="auto"/>
        <w:jc w:val="both"/>
        <w:rPr>
          <w:rFonts w:ascii="Arial" w:hAnsi="Arial" w:cs="Arial"/>
          <w:sz w:val="20"/>
          <w:szCs w:val="20"/>
          <w:lang w:val="en-US"/>
        </w:rPr>
      </w:pPr>
    </w:p>
    <w:p w14:paraId="58FA84E4" w14:textId="747A8AF2" w:rsidR="00105487" w:rsidRPr="00DA7306" w:rsidRDefault="00105487" w:rsidP="00F12A27">
      <w:pPr>
        <w:spacing w:line="360" w:lineRule="auto"/>
        <w:jc w:val="both"/>
        <w:rPr>
          <w:rFonts w:ascii="Arial" w:hAnsi="Arial" w:cs="Arial"/>
          <w:b/>
          <w:bCs/>
        </w:rPr>
      </w:pPr>
      <w:r w:rsidRPr="00DA7306">
        <w:rPr>
          <w:rFonts w:ascii="Arial" w:hAnsi="Arial" w:cs="Arial"/>
          <w:b/>
          <w:bCs/>
        </w:rPr>
        <w:t>Table 1: Changes in household food-waste reduction behaviours before and after the campaign</w:t>
      </w:r>
    </w:p>
    <w:tbl>
      <w:tblPr>
        <w:tblStyle w:val="TableGrid"/>
        <w:tblW w:w="0" w:type="auto"/>
        <w:jc w:val="center"/>
        <w:tblLook w:val="04A0" w:firstRow="1" w:lastRow="0" w:firstColumn="1" w:lastColumn="0" w:noHBand="0" w:noVBand="1"/>
      </w:tblPr>
      <w:tblGrid>
        <w:gridCol w:w="4008"/>
        <w:gridCol w:w="1172"/>
        <w:gridCol w:w="1005"/>
        <w:gridCol w:w="1310"/>
        <w:gridCol w:w="872"/>
      </w:tblGrid>
      <w:tr w:rsidR="00105487" w:rsidRPr="00DA7306" w14:paraId="7511BC76" w14:textId="77777777">
        <w:trPr>
          <w:jc w:val="center"/>
        </w:trPr>
        <w:tc>
          <w:tcPr>
            <w:tcW w:w="0" w:type="auto"/>
            <w:hideMark/>
          </w:tcPr>
          <w:p w14:paraId="1DC8F6F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Behaviour</w:t>
            </w:r>
          </w:p>
        </w:tc>
        <w:tc>
          <w:tcPr>
            <w:tcW w:w="0" w:type="auto"/>
            <w:hideMark/>
          </w:tcPr>
          <w:p w14:paraId="41B66CC5"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Before (%)</w:t>
            </w:r>
          </w:p>
        </w:tc>
        <w:tc>
          <w:tcPr>
            <w:tcW w:w="0" w:type="auto"/>
            <w:hideMark/>
          </w:tcPr>
          <w:p w14:paraId="0E7786A7"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After (%)</w:t>
            </w:r>
          </w:p>
        </w:tc>
        <w:tc>
          <w:tcPr>
            <w:tcW w:w="0" w:type="auto"/>
            <w:hideMark/>
          </w:tcPr>
          <w:p w14:paraId="1A757A47"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McNemar χ²</w:t>
            </w:r>
          </w:p>
        </w:tc>
        <w:tc>
          <w:tcPr>
            <w:tcW w:w="0" w:type="auto"/>
            <w:hideMark/>
          </w:tcPr>
          <w:p w14:paraId="27E0C5D1"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p-value</w:t>
            </w:r>
          </w:p>
        </w:tc>
      </w:tr>
      <w:tr w:rsidR="00105487" w:rsidRPr="00DA7306" w14:paraId="66B06581" w14:textId="77777777">
        <w:trPr>
          <w:jc w:val="center"/>
        </w:trPr>
        <w:tc>
          <w:tcPr>
            <w:tcW w:w="0" w:type="auto"/>
            <w:hideMark/>
          </w:tcPr>
          <w:p w14:paraId="4477FD6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Checking expiration dates before shopping</w:t>
            </w:r>
          </w:p>
        </w:tc>
        <w:tc>
          <w:tcPr>
            <w:tcW w:w="0" w:type="auto"/>
            <w:hideMark/>
          </w:tcPr>
          <w:p w14:paraId="4A40CF5A"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42.6</w:t>
            </w:r>
          </w:p>
        </w:tc>
        <w:tc>
          <w:tcPr>
            <w:tcW w:w="0" w:type="auto"/>
            <w:hideMark/>
          </w:tcPr>
          <w:p w14:paraId="335F8A5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43.5</w:t>
            </w:r>
          </w:p>
        </w:tc>
        <w:tc>
          <w:tcPr>
            <w:tcW w:w="0" w:type="auto"/>
            <w:hideMark/>
          </w:tcPr>
          <w:p w14:paraId="734BBD0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0.06</w:t>
            </w:r>
          </w:p>
        </w:tc>
        <w:tc>
          <w:tcPr>
            <w:tcW w:w="0" w:type="auto"/>
            <w:hideMark/>
          </w:tcPr>
          <w:p w14:paraId="3B9F3B3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0.810</w:t>
            </w:r>
          </w:p>
        </w:tc>
      </w:tr>
      <w:tr w:rsidR="00105487" w:rsidRPr="00DA7306" w14:paraId="18829DF4" w14:textId="77777777">
        <w:trPr>
          <w:jc w:val="center"/>
        </w:trPr>
        <w:tc>
          <w:tcPr>
            <w:tcW w:w="0" w:type="auto"/>
            <w:hideMark/>
          </w:tcPr>
          <w:p w14:paraId="1832F79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Composting food scraps</w:t>
            </w:r>
          </w:p>
        </w:tc>
        <w:tc>
          <w:tcPr>
            <w:tcW w:w="0" w:type="auto"/>
            <w:hideMark/>
          </w:tcPr>
          <w:p w14:paraId="7651C4CE"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10.2</w:t>
            </w:r>
          </w:p>
        </w:tc>
        <w:tc>
          <w:tcPr>
            <w:tcW w:w="0" w:type="auto"/>
            <w:hideMark/>
          </w:tcPr>
          <w:p w14:paraId="39F80853"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13.9</w:t>
            </w:r>
          </w:p>
        </w:tc>
        <w:tc>
          <w:tcPr>
            <w:tcW w:w="0" w:type="auto"/>
            <w:hideMark/>
          </w:tcPr>
          <w:p w14:paraId="7B642AC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2.88</w:t>
            </w:r>
          </w:p>
        </w:tc>
        <w:tc>
          <w:tcPr>
            <w:tcW w:w="0" w:type="auto"/>
            <w:hideMark/>
          </w:tcPr>
          <w:p w14:paraId="4CCABB5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0.090</w:t>
            </w:r>
          </w:p>
        </w:tc>
      </w:tr>
      <w:tr w:rsidR="00105487" w:rsidRPr="00DA7306" w14:paraId="08DDD8E3" w14:textId="77777777">
        <w:trPr>
          <w:jc w:val="center"/>
        </w:trPr>
        <w:tc>
          <w:tcPr>
            <w:tcW w:w="0" w:type="auto"/>
            <w:hideMark/>
          </w:tcPr>
          <w:p w14:paraId="65F251D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Donating excess edible food</w:t>
            </w:r>
          </w:p>
        </w:tc>
        <w:tc>
          <w:tcPr>
            <w:tcW w:w="0" w:type="auto"/>
            <w:hideMark/>
          </w:tcPr>
          <w:p w14:paraId="1C3A616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23.1</w:t>
            </w:r>
          </w:p>
        </w:tc>
        <w:tc>
          <w:tcPr>
            <w:tcW w:w="0" w:type="auto"/>
            <w:hideMark/>
          </w:tcPr>
          <w:p w14:paraId="06B84E8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26.9</w:t>
            </w:r>
          </w:p>
        </w:tc>
        <w:tc>
          <w:tcPr>
            <w:tcW w:w="0" w:type="auto"/>
            <w:hideMark/>
          </w:tcPr>
          <w:p w14:paraId="67A9E9F5"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3.36</w:t>
            </w:r>
          </w:p>
        </w:tc>
        <w:tc>
          <w:tcPr>
            <w:tcW w:w="0" w:type="auto"/>
            <w:hideMark/>
          </w:tcPr>
          <w:p w14:paraId="7C81566F"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0.067</w:t>
            </w:r>
          </w:p>
        </w:tc>
      </w:tr>
      <w:tr w:rsidR="00105487" w:rsidRPr="00DA7306" w14:paraId="483058A8" w14:textId="77777777">
        <w:trPr>
          <w:jc w:val="center"/>
        </w:trPr>
        <w:tc>
          <w:tcPr>
            <w:tcW w:w="0" w:type="auto"/>
            <w:hideMark/>
          </w:tcPr>
          <w:p w14:paraId="41D639F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Meal planning</w:t>
            </w:r>
          </w:p>
        </w:tc>
        <w:tc>
          <w:tcPr>
            <w:tcW w:w="0" w:type="auto"/>
            <w:hideMark/>
          </w:tcPr>
          <w:p w14:paraId="527B30E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62.0</w:t>
            </w:r>
          </w:p>
        </w:tc>
        <w:tc>
          <w:tcPr>
            <w:tcW w:w="0" w:type="auto"/>
            <w:hideMark/>
          </w:tcPr>
          <w:p w14:paraId="5B0F8B7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54.6</w:t>
            </w:r>
          </w:p>
        </w:tc>
        <w:tc>
          <w:tcPr>
            <w:tcW w:w="0" w:type="auto"/>
            <w:hideMark/>
          </w:tcPr>
          <w:p w14:paraId="7E656E79"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5.19</w:t>
            </w:r>
          </w:p>
        </w:tc>
        <w:tc>
          <w:tcPr>
            <w:tcW w:w="0" w:type="auto"/>
            <w:hideMark/>
          </w:tcPr>
          <w:p w14:paraId="144C24E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0.023</w:t>
            </w:r>
          </w:p>
        </w:tc>
      </w:tr>
      <w:tr w:rsidR="00105487" w:rsidRPr="00DA7306" w14:paraId="3711615C" w14:textId="77777777">
        <w:trPr>
          <w:jc w:val="center"/>
        </w:trPr>
        <w:tc>
          <w:tcPr>
            <w:tcW w:w="0" w:type="auto"/>
            <w:hideMark/>
          </w:tcPr>
          <w:p w14:paraId="01C5FB5A"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Proper food storage techniques</w:t>
            </w:r>
          </w:p>
        </w:tc>
        <w:tc>
          <w:tcPr>
            <w:tcW w:w="0" w:type="auto"/>
            <w:hideMark/>
          </w:tcPr>
          <w:p w14:paraId="234868C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51.9</w:t>
            </w:r>
          </w:p>
        </w:tc>
        <w:tc>
          <w:tcPr>
            <w:tcW w:w="0" w:type="auto"/>
            <w:hideMark/>
          </w:tcPr>
          <w:p w14:paraId="2BE7DC1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50.0</w:t>
            </w:r>
          </w:p>
        </w:tc>
        <w:tc>
          <w:tcPr>
            <w:tcW w:w="0" w:type="auto"/>
            <w:hideMark/>
          </w:tcPr>
          <w:p w14:paraId="78F3CB6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0.25</w:t>
            </w:r>
          </w:p>
        </w:tc>
        <w:tc>
          <w:tcPr>
            <w:tcW w:w="0" w:type="auto"/>
            <w:hideMark/>
          </w:tcPr>
          <w:p w14:paraId="3BD009B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0.621</w:t>
            </w:r>
          </w:p>
        </w:tc>
      </w:tr>
      <w:tr w:rsidR="00105487" w:rsidRPr="00DA7306" w14:paraId="49F1ECC2" w14:textId="77777777">
        <w:trPr>
          <w:jc w:val="center"/>
        </w:trPr>
        <w:tc>
          <w:tcPr>
            <w:tcW w:w="0" w:type="auto"/>
            <w:hideMark/>
          </w:tcPr>
          <w:p w14:paraId="30D0E2E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Using leftovers creatively</w:t>
            </w:r>
          </w:p>
        </w:tc>
        <w:tc>
          <w:tcPr>
            <w:tcW w:w="0" w:type="auto"/>
            <w:hideMark/>
          </w:tcPr>
          <w:p w14:paraId="589CD77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27.8</w:t>
            </w:r>
          </w:p>
        </w:tc>
        <w:tc>
          <w:tcPr>
            <w:tcW w:w="0" w:type="auto"/>
            <w:hideMark/>
          </w:tcPr>
          <w:p w14:paraId="140392A8"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25.9</w:t>
            </w:r>
          </w:p>
        </w:tc>
        <w:tc>
          <w:tcPr>
            <w:tcW w:w="0" w:type="auto"/>
            <w:hideMark/>
          </w:tcPr>
          <w:p w14:paraId="681DEC01"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0.30</w:t>
            </w:r>
          </w:p>
        </w:tc>
        <w:tc>
          <w:tcPr>
            <w:tcW w:w="0" w:type="auto"/>
            <w:hideMark/>
          </w:tcPr>
          <w:p w14:paraId="5EF3CC4F"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0.585</w:t>
            </w:r>
          </w:p>
        </w:tc>
      </w:tr>
    </w:tbl>
    <w:p w14:paraId="3F83F00B" w14:textId="29264A4B" w:rsidR="000D495E" w:rsidRPr="004600F2" w:rsidRDefault="00105487" w:rsidP="004600F2">
      <w:pPr>
        <w:spacing w:line="360" w:lineRule="auto"/>
        <w:jc w:val="both"/>
        <w:rPr>
          <w:rFonts w:ascii="Arial" w:hAnsi="Arial" w:cs="Arial"/>
          <w:sz w:val="20"/>
          <w:szCs w:val="20"/>
        </w:rPr>
      </w:pPr>
      <w:r w:rsidRPr="008C62B7">
        <w:rPr>
          <w:rFonts w:ascii="Arial" w:hAnsi="Arial" w:cs="Arial"/>
          <w:sz w:val="20"/>
          <w:szCs w:val="20"/>
        </w:rPr>
        <w:t xml:space="preserve">Mean behaviour count: before = 2.18; after = 2.15, Paired t-test: </w:t>
      </w:r>
      <w:r w:rsidRPr="008C62B7">
        <w:rPr>
          <w:rFonts w:ascii="Arial" w:hAnsi="Arial" w:cs="Arial"/>
          <w:i/>
          <w:iCs/>
          <w:sz w:val="20"/>
          <w:szCs w:val="20"/>
        </w:rPr>
        <w:t>p</w:t>
      </w:r>
      <w:r w:rsidRPr="008C62B7">
        <w:rPr>
          <w:rFonts w:ascii="Arial" w:hAnsi="Arial" w:cs="Arial"/>
          <w:sz w:val="20"/>
          <w:szCs w:val="20"/>
        </w:rPr>
        <w:t xml:space="preserve"> = 0.629; Wilcoxon test: </w:t>
      </w:r>
      <w:r w:rsidRPr="008C62B7">
        <w:rPr>
          <w:rFonts w:ascii="Arial" w:hAnsi="Arial" w:cs="Arial"/>
          <w:i/>
          <w:iCs/>
          <w:sz w:val="20"/>
          <w:szCs w:val="20"/>
        </w:rPr>
        <w:t>p</w:t>
      </w:r>
      <w:r w:rsidRPr="008C62B7">
        <w:rPr>
          <w:rFonts w:ascii="Arial" w:hAnsi="Arial" w:cs="Arial"/>
          <w:sz w:val="20"/>
          <w:szCs w:val="20"/>
        </w:rPr>
        <w:t xml:space="preserve"> = 0.948</w:t>
      </w:r>
    </w:p>
    <w:p w14:paraId="46E047DE" w14:textId="370114B3" w:rsidR="00026418" w:rsidRPr="008C62B7" w:rsidRDefault="00387DF7" w:rsidP="00255A74">
      <w:pPr>
        <w:spacing w:after="0" w:line="360" w:lineRule="auto"/>
        <w:jc w:val="both"/>
        <w:rPr>
          <w:rFonts w:ascii="Arial" w:hAnsi="Arial" w:cs="Arial"/>
          <w:b/>
          <w:bCs/>
          <w:lang w:val="en-US"/>
        </w:rPr>
      </w:pPr>
      <w:r w:rsidRPr="008C62B7">
        <w:rPr>
          <w:rFonts w:ascii="Arial" w:hAnsi="Arial" w:cs="Arial"/>
          <w:b/>
          <w:bCs/>
        </w:rPr>
        <w:t>3.2</w:t>
      </w:r>
      <w:r w:rsidRPr="008C62B7">
        <w:rPr>
          <w:rFonts w:ascii="Arial" w:hAnsi="Arial" w:cs="Arial"/>
          <w:b/>
          <w:bCs/>
        </w:rPr>
        <w:tab/>
      </w:r>
      <w:r w:rsidR="00026418" w:rsidRPr="008C62B7">
        <w:rPr>
          <w:rFonts w:ascii="Arial" w:hAnsi="Arial" w:cs="Arial"/>
          <w:b/>
          <w:bCs/>
        </w:rPr>
        <w:t>Predictors of higher household food waste (≥500 g/week)</w:t>
      </w:r>
    </w:p>
    <w:p w14:paraId="515775C1" w14:textId="6D75536C" w:rsidR="004600F2" w:rsidRDefault="004600F2" w:rsidP="00694610">
      <w:pPr>
        <w:spacing w:line="360" w:lineRule="auto"/>
        <w:jc w:val="both"/>
        <w:rPr>
          <w:rFonts w:ascii="Arial" w:hAnsi="Arial" w:cs="Arial"/>
          <w:sz w:val="20"/>
          <w:szCs w:val="20"/>
          <w:lang w:val="en-US"/>
        </w:rPr>
      </w:pPr>
      <w:r w:rsidRPr="004600F2">
        <w:rPr>
          <w:rFonts w:ascii="Arial" w:hAnsi="Arial" w:cs="Arial"/>
          <w:sz w:val="20"/>
          <w:szCs w:val="20"/>
        </w:rPr>
        <w:t>Table 2 presents the results of the binary logistic regression analysis examining predictors of high household food waste (≥500 g/week). Meal planning showed a significant protective effect (OR = 0.611, p = 0.036), indicating that households engaging in meal planning were less likely to generate high levels of waste. In contrast, shopping list use was positively associated with high waste (OR = 2.628, p = 0.030). Low confidence in food</w:t>
      </w:r>
      <w:r w:rsidRPr="004600F2">
        <w:rPr>
          <w:rFonts w:ascii="Arial" w:hAnsi="Arial" w:cs="Arial"/>
          <w:sz w:val="20"/>
          <w:szCs w:val="20"/>
        </w:rPr>
        <w:noBreakHyphen/>
        <w:t>storage practices also emerged as a strong predictor of high waste (OR = 2.565, p = 0.001). Perceiving food waste as a serious issue reduced the likelihood of high waste (OR = 0.596, p = 0.004). Other variables, including gender, age, household size, income, storage use, and awareness, did not show statistically significant associations with high food waste in the model.</w:t>
      </w:r>
    </w:p>
    <w:p w14:paraId="099BB5A4" w14:textId="231D5083" w:rsidR="00026418" w:rsidRPr="008C62B7" w:rsidRDefault="00026418" w:rsidP="00F12A27">
      <w:pPr>
        <w:spacing w:line="360" w:lineRule="auto"/>
        <w:jc w:val="both"/>
        <w:rPr>
          <w:rFonts w:ascii="Arial" w:hAnsi="Arial" w:cs="Arial"/>
          <w:b/>
          <w:bCs/>
        </w:rPr>
      </w:pPr>
      <w:r w:rsidRPr="008C62B7">
        <w:rPr>
          <w:rFonts w:ascii="Arial" w:hAnsi="Arial" w:cs="Arial"/>
          <w:b/>
          <w:bCs/>
        </w:rPr>
        <w:t>Table 2: Logistic regression predicting high household food waste (≥500 g/week)</w:t>
      </w:r>
    </w:p>
    <w:tbl>
      <w:tblPr>
        <w:tblStyle w:val="TableGrid"/>
        <w:tblW w:w="0" w:type="auto"/>
        <w:jc w:val="center"/>
        <w:tblLook w:val="04A0" w:firstRow="1" w:lastRow="0" w:firstColumn="1" w:lastColumn="0" w:noHBand="0" w:noVBand="1"/>
      </w:tblPr>
      <w:tblGrid>
        <w:gridCol w:w="3474"/>
        <w:gridCol w:w="717"/>
        <w:gridCol w:w="1461"/>
        <w:gridCol w:w="1505"/>
        <w:gridCol w:w="917"/>
      </w:tblGrid>
      <w:tr w:rsidR="00026418" w:rsidRPr="00DA7306" w14:paraId="09486F4C" w14:textId="77777777" w:rsidTr="00DB6AE6">
        <w:trPr>
          <w:jc w:val="center"/>
        </w:trPr>
        <w:tc>
          <w:tcPr>
            <w:tcW w:w="0" w:type="auto"/>
            <w:hideMark/>
          </w:tcPr>
          <w:p w14:paraId="35940163"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Predictor</w:t>
            </w:r>
          </w:p>
        </w:tc>
        <w:tc>
          <w:tcPr>
            <w:tcW w:w="0" w:type="auto"/>
            <w:hideMark/>
          </w:tcPr>
          <w:p w14:paraId="0A05FE45"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OR</w:t>
            </w:r>
          </w:p>
        </w:tc>
        <w:tc>
          <w:tcPr>
            <w:tcW w:w="0" w:type="auto"/>
            <w:hideMark/>
          </w:tcPr>
          <w:p w14:paraId="22F86599"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95% CI (Low)</w:t>
            </w:r>
          </w:p>
        </w:tc>
        <w:tc>
          <w:tcPr>
            <w:tcW w:w="0" w:type="auto"/>
            <w:hideMark/>
          </w:tcPr>
          <w:p w14:paraId="2E5E71D4"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95% CI (High)</w:t>
            </w:r>
          </w:p>
        </w:tc>
        <w:tc>
          <w:tcPr>
            <w:tcW w:w="0" w:type="auto"/>
            <w:hideMark/>
          </w:tcPr>
          <w:p w14:paraId="7841A449"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p-value</w:t>
            </w:r>
          </w:p>
        </w:tc>
      </w:tr>
      <w:tr w:rsidR="00026418" w:rsidRPr="00DA7306" w14:paraId="2718A4C9" w14:textId="77777777" w:rsidTr="00DB6AE6">
        <w:trPr>
          <w:jc w:val="center"/>
        </w:trPr>
        <w:tc>
          <w:tcPr>
            <w:tcW w:w="0" w:type="auto"/>
            <w:hideMark/>
          </w:tcPr>
          <w:p w14:paraId="3AE263F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Intercept</w:t>
            </w:r>
          </w:p>
        </w:tc>
        <w:tc>
          <w:tcPr>
            <w:tcW w:w="0" w:type="auto"/>
            <w:hideMark/>
          </w:tcPr>
          <w:p w14:paraId="1A20EA4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1.206</w:t>
            </w:r>
          </w:p>
        </w:tc>
        <w:tc>
          <w:tcPr>
            <w:tcW w:w="0" w:type="auto"/>
            <w:hideMark/>
          </w:tcPr>
          <w:p w14:paraId="7BC82B1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0.068</w:t>
            </w:r>
          </w:p>
        </w:tc>
        <w:tc>
          <w:tcPr>
            <w:tcW w:w="0" w:type="auto"/>
            <w:hideMark/>
          </w:tcPr>
          <w:p w14:paraId="492ACD67"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21.253</w:t>
            </w:r>
          </w:p>
        </w:tc>
        <w:tc>
          <w:tcPr>
            <w:tcW w:w="0" w:type="auto"/>
            <w:hideMark/>
          </w:tcPr>
          <w:p w14:paraId="0A16C88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0.898</w:t>
            </w:r>
          </w:p>
        </w:tc>
      </w:tr>
      <w:tr w:rsidR="00026418" w:rsidRPr="00DA7306" w14:paraId="07E53870" w14:textId="77777777" w:rsidTr="00DB6AE6">
        <w:trPr>
          <w:jc w:val="center"/>
        </w:trPr>
        <w:tc>
          <w:tcPr>
            <w:tcW w:w="0" w:type="auto"/>
            <w:hideMark/>
          </w:tcPr>
          <w:p w14:paraId="77768B8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Gender (code 2 vs 1)</w:t>
            </w:r>
          </w:p>
        </w:tc>
        <w:tc>
          <w:tcPr>
            <w:tcW w:w="0" w:type="auto"/>
            <w:hideMark/>
          </w:tcPr>
          <w:p w14:paraId="19D2E7E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0.652</w:t>
            </w:r>
          </w:p>
        </w:tc>
        <w:tc>
          <w:tcPr>
            <w:tcW w:w="0" w:type="auto"/>
            <w:hideMark/>
          </w:tcPr>
          <w:p w14:paraId="4B181F9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0.283</w:t>
            </w:r>
          </w:p>
        </w:tc>
        <w:tc>
          <w:tcPr>
            <w:tcW w:w="0" w:type="auto"/>
            <w:hideMark/>
          </w:tcPr>
          <w:p w14:paraId="7780383F"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1.501</w:t>
            </w:r>
          </w:p>
        </w:tc>
        <w:tc>
          <w:tcPr>
            <w:tcW w:w="0" w:type="auto"/>
            <w:hideMark/>
          </w:tcPr>
          <w:p w14:paraId="0CFAADA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0.315</w:t>
            </w:r>
          </w:p>
        </w:tc>
      </w:tr>
      <w:tr w:rsidR="00026418" w:rsidRPr="00DA7306" w14:paraId="370E5B89" w14:textId="77777777" w:rsidTr="00DB6AE6">
        <w:trPr>
          <w:jc w:val="center"/>
        </w:trPr>
        <w:tc>
          <w:tcPr>
            <w:tcW w:w="0" w:type="auto"/>
            <w:hideMark/>
          </w:tcPr>
          <w:p w14:paraId="7FB2E6D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Age (years)</w:t>
            </w:r>
          </w:p>
        </w:tc>
        <w:tc>
          <w:tcPr>
            <w:tcW w:w="0" w:type="auto"/>
            <w:hideMark/>
          </w:tcPr>
          <w:p w14:paraId="0D4DE0B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1.014</w:t>
            </w:r>
          </w:p>
        </w:tc>
        <w:tc>
          <w:tcPr>
            <w:tcW w:w="0" w:type="auto"/>
            <w:hideMark/>
          </w:tcPr>
          <w:p w14:paraId="7FB322B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0.728</w:t>
            </w:r>
          </w:p>
        </w:tc>
        <w:tc>
          <w:tcPr>
            <w:tcW w:w="0" w:type="auto"/>
            <w:hideMark/>
          </w:tcPr>
          <w:p w14:paraId="164712C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1.412</w:t>
            </w:r>
          </w:p>
        </w:tc>
        <w:tc>
          <w:tcPr>
            <w:tcW w:w="0" w:type="auto"/>
            <w:hideMark/>
          </w:tcPr>
          <w:p w14:paraId="3FA84FE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0.935</w:t>
            </w:r>
          </w:p>
        </w:tc>
      </w:tr>
      <w:tr w:rsidR="00026418" w:rsidRPr="00DA7306" w14:paraId="5B8179BE" w14:textId="77777777" w:rsidTr="00DB6AE6">
        <w:trPr>
          <w:jc w:val="center"/>
        </w:trPr>
        <w:tc>
          <w:tcPr>
            <w:tcW w:w="0" w:type="auto"/>
            <w:hideMark/>
          </w:tcPr>
          <w:p w14:paraId="3CDA71F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Household size</w:t>
            </w:r>
          </w:p>
        </w:tc>
        <w:tc>
          <w:tcPr>
            <w:tcW w:w="0" w:type="auto"/>
            <w:hideMark/>
          </w:tcPr>
          <w:p w14:paraId="2352A00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1.171</w:t>
            </w:r>
          </w:p>
        </w:tc>
        <w:tc>
          <w:tcPr>
            <w:tcW w:w="0" w:type="auto"/>
            <w:hideMark/>
          </w:tcPr>
          <w:p w14:paraId="33D1956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0.619</w:t>
            </w:r>
          </w:p>
        </w:tc>
        <w:tc>
          <w:tcPr>
            <w:tcW w:w="0" w:type="auto"/>
            <w:hideMark/>
          </w:tcPr>
          <w:p w14:paraId="0A5CF24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2.214</w:t>
            </w:r>
          </w:p>
        </w:tc>
        <w:tc>
          <w:tcPr>
            <w:tcW w:w="0" w:type="auto"/>
            <w:hideMark/>
          </w:tcPr>
          <w:p w14:paraId="2AC826B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0.627</w:t>
            </w:r>
          </w:p>
        </w:tc>
      </w:tr>
      <w:tr w:rsidR="00026418" w:rsidRPr="00DA7306" w14:paraId="566B259B" w14:textId="77777777" w:rsidTr="00DB6AE6">
        <w:trPr>
          <w:jc w:val="center"/>
        </w:trPr>
        <w:tc>
          <w:tcPr>
            <w:tcW w:w="0" w:type="auto"/>
            <w:hideMark/>
          </w:tcPr>
          <w:p w14:paraId="11284A4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Monthly income</w:t>
            </w:r>
          </w:p>
        </w:tc>
        <w:tc>
          <w:tcPr>
            <w:tcW w:w="0" w:type="auto"/>
            <w:hideMark/>
          </w:tcPr>
          <w:p w14:paraId="51B5B6D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1.221</w:t>
            </w:r>
          </w:p>
        </w:tc>
        <w:tc>
          <w:tcPr>
            <w:tcW w:w="0" w:type="auto"/>
            <w:hideMark/>
          </w:tcPr>
          <w:p w14:paraId="43335EE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0.908</w:t>
            </w:r>
          </w:p>
        </w:tc>
        <w:tc>
          <w:tcPr>
            <w:tcW w:w="0" w:type="auto"/>
            <w:hideMark/>
          </w:tcPr>
          <w:p w14:paraId="24CC516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1.642</w:t>
            </w:r>
          </w:p>
        </w:tc>
        <w:tc>
          <w:tcPr>
            <w:tcW w:w="0" w:type="auto"/>
            <w:hideMark/>
          </w:tcPr>
          <w:p w14:paraId="4D5BD0E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0.187</w:t>
            </w:r>
          </w:p>
        </w:tc>
      </w:tr>
      <w:tr w:rsidR="00026418" w:rsidRPr="00DA7306" w14:paraId="1486B730" w14:textId="77777777" w:rsidTr="00DB6AE6">
        <w:trPr>
          <w:jc w:val="center"/>
        </w:trPr>
        <w:tc>
          <w:tcPr>
            <w:tcW w:w="0" w:type="auto"/>
            <w:hideMark/>
          </w:tcPr>
          <w:p w14:paraId="678EA1C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lastRenderedPageBreak/>
              <w:t>Meal planning (ordinal)</w:t>
            </w:r>
          </w:p>
        </w:tc>
        <w:tc>
          <w:tcPr>
            <w:tcW w:w="0" w:type="auto"/>
            <w:hideMark/>
          </w:tcPr>
          <w:p w14:paraId="65E0E31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0.611</w:t>
            </w:r>
          </w:p>
        </w:tc>
        <w:tc>
          <w:tcPr>
            <w:tcW w:w="0" w:type="auto"/>
            <w:hideMark/>
          </w:tcPr>
          <w:p w14:paraId="7F7427F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0.386</w:t>
            </w:r>
          </w:p>
        </w:tc>
        <w:tc>
          <w:tcPr>
            <w:tcW w:w="0" w:type="auto"/>
            <w:hideMark/>
          </w:tcPr>
          <w:p w14:paraId="262D32C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0.967</w:t>
            </w:r>
          </w:p>
        </w:tc>
        <w:tc>
          <w:tcPr>
            <w:tcW w:w="0" w:type="auto"/>
            <w:hideMark/>
          </w:tcPr>
          <w:p w14:paraId="2F02ABD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0.036</w:t>
            </w:r>
          </w:p>
        </w:tc>
      </w:tr>
      <w:tr w:rsidR="00026418" w:rsidRPr="00DA7306" w14:paraId="03CDB4F7" w14:textId="77777777" w:rsidTr="00DB6AE6">
        <w:trPr>
          <w:jc w:val="center"/>
        </w:trPr>
        <w:tc>
          <w:tcPr>
            <w:tcW w:w="0" w:type="auto"/>
            <w:hideMark/>
          </w:tcPr>
          <w:p w14:paraId="0F2E77B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Shopping list use</w:t>
            </w:r>
          </w:p>
        </w:tc>
        <w:tc>
          <w:tcPr>
            <w:tcW w:w="0" w:type="auto"/>
            <w:hideMark/>
          </w:tcPr>
          <w:p w14:paraId="04B47C8F"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2.628</w:t>
            </w:r>
          </w:p>
        </w:tc>
        <w:tc>
          <w:tcPr>
            <w:tcW w:w="0" w:type="auto"/>
            <w:hideMark/>
          </w:tcPr>
          <w:p w14:paraId="1B1B26D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1.097</w:t>
            </w:r>
          </w:p>
        </w:tc>
        <w:tc>
          <w:tcPr>
            <w:tcW w:w="0" w:type="auto"/>
            <w:hideMark/>
          </w:tcPr>
          <w:p w14:paraId="7BAD8BA6"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6.296</w:t>
            </w:r>
          </w:p>
        </w:tc>
        <w:tc>
          <w:tcPr>
            <w:tcW w:w="0" w:type="auto"/>
            <w:hideMark/>
          </w:tcPr>
          <w:p w14:paraId="4BD34A1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0.030</w:t>
            </w:r>
          </w:p>
        </w:tc>
      </w:tr>
      <w:tr w:rsidR="00026418" w:rsidRPr="00DA7306" w14:paraId="02C42985" w14:textId="77777777" w:rsidTr="00DB6AE6">
        <w:trPr>
          <w:jc w:val="center"/>
        </w:trPr>
        <w:tc>
          <w:tcPr>
            <w:tcW w:w="0" w:type="auto"/>
            <w:hideMark/>
          </w:tcPr>
          <w:p w14:paraId="05A41717"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Storage use (ordinal)</w:t>
            </w:r>
          </w:p>
        </w:tc>
        <w:tc>
          <w:tcPr>
            <w:tcW w:w="0" w:type="auto"/>
            <w:hideMark/>
          </w:tcPr>
          <w:p w14:paraId="0316790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1.015</w:t>
            </w:r>
          </w:p>
        </w:tc>
        <w:tc>
          <w:tcPr>
            <w:tcW w:w="0" w:type="auto"/>
            <w:hideMark/>
          </w:tcPr>
          <w:p w14:paraId="102E4A8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0.671</w:t>
            </w:r>
          </w:p>
        </w:tc>
        <w:tc>
          <w:tcPr>
            <w:tcW w:w="0" w:type="auto"/>
            <w:hideMark/>
          </w:tcPr>
          <w:p w14:paraId="5AECF07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1.536</w:t>
            </w:r>
          </w:p>
        </w:tc>
        <w:tc>
          <w:tcPr>
            <w:tcW w:w="0" w:type="auto"/>
            <w:hideMark/>
          </w:tcPr>
          <w:p w14:paraId="4ED2A9A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0.945</w:t>
            </w:r>
          </w:p>
        </w:tc>
      </w:tr>
      <w:tr w:rsidR="00026418" w:rsidRPr="00DA7306" w14:paraId="4A14B634" w14:textId="77777777" w:rsidTr="00DB6AE6">
        <w:trPr>
          <w:jc w:val="center"/>
        </w:trPr>
        <w:tc>
          <w:tcPr>
            <w:tcW w:w="0" w:type="auto"/>
            <w:hideMark/>
          </w:tcPr>
          <w:p w14:paraId="3A79745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Confidence in storage</w:t>
            </w:r>
          </w:p>
        </w:tc>
        <w:tc>
          <w:tcPr>
            <w:tcW w:w="0" w:type="auto"/>
            <w:hideMark/>
          </w:tcPr>
          <w:p w14:paraId="6071CB3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2.565</w:t>
            </w:r>
          </w:p>
        </w:tc>
        <w:tc>
          <w:tcPr>
            <w:tcW w:w="0" w:type="auto"/>
            <w:hideMark/>
          </w:tcPr>
          <w:p w14:paraId="088E972A"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1.440</w:t>
            </w:r>
          </w:p>
        </w:tc>
        <w:tc>
          <w:tcPr>
            <w:tcW w:w="0" w:type="auto"/>
            <w:hideMark/>
          </w:tcPr>
          <w:p w14:paraId="6149DBF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4.569</w:t>
            </w:r>
          </w:p>
        </w:tc>
        <w:tc>
          <w:tcPr>
            <w:tcW w:w="0" w:type="auto"/>
            <w:hideMark/>
          </w:tcPr>
          <w:p w14:paraId="69890F16"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0.001</w:t>
            </w:r>
          </w:p>
        </w:tc>
      </w:tr>
      <w:tr w:rsidR="00026418" w:rsidRPr="00DA7306" w14:paraId="3E724198" w14:textId="77777777" w:rsidTr="00DB6AE6">
        <w:trPr>
          <w:jc w:val="center"/>
        </w:trPr>
        <w:tc>
          <w:tcPr>
            <w:tcW w:w="0" w:type="auto"/>
            <w:hideMark/>
          </w:tcPr>
          <w:p w14:paraId="179EC25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Awareness score</w:t>
            </w:r>
          </w:p>
        </w:tc>
        <w:tc>
          <w:tcPr>
            <w:tcW w:w="0" w:type="auto"/>
            <w:hideMark/>
          </w:tcPr>
          <w:p w14:paraId="4092F24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0.774</w:t>
            </w:r>
          </w:p>
        </w:tc>
        <w:tc>
          <w:tcPr>
            <w:tcW w:w="0" w:type="auto"/>
            <w:hideMark/>
          </w:tcPr>
          <w:p w14:paraId="60646F3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0.522</w:t>
            </w:r>
          </w:p>
        </w:tc>
        <w:tc>
          <w:tcPr>
            <w:tcW w:w="0" w:type="auto"/>
            <w:hideMark/>
          </w:tcPr>
          <w:p w14:paraId="080C903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1.149</w:t>
            </w:r>
          </w:p>
        </w:tc>
        <w:tc>
          <w:tcPr>
            <w:tcW w:w="0" w:type="auto"/>
            <w:hideMark/>
          </w:tcPr>
          <w:p w14:paraId="6506518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0.203</w:t>
            </w:r>
          </w:p>
        </w:tc>
      </w:tr>
      <w:tr w:rsidR="00026418" w:rsidRPr="00DA7306" w14:paraId="5D6752CA" w14:textId="77777777" w:rsidTr="00DB6AE6">
        <w:trPr>
          <w:jc w:val="center"/>
        </w:trPr>
        <w:tc>
          <w:tcPr>
            <w:tcW w:w="0" w:type="auto"/>
            <w:hideMark/>
          </w:tcPr>
          <w:p w14:paraId="404B3BB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Perceived seriousness of food waste</w:t>
            </w:r>
          </w:p>
        </w:tc>
        <w:tc>
          <w:tcPr>
            <w:tcW w:w="0" w:type="auto"/>
            <w:hideMark/>
          </w:tcPr>
          <w:p w14:paraId="213F7B2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0.596</w:t>
            </w:r>
          </w:p>
        </w:tc>
        <w:tc>
          <w:tcPr>
            <w:tcW w:w="0" w:type="auto"/>
            <w:hideMark/>
          </w:tcPr>
          <w:p w14:paraId="1B63870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0.418</w:t>
            </w:r>
          </w:p>
        </w:tc>
        <w:tc>
          <w:tcPr>
            <w:tcW w:w="0" w:type="auto"/>
            <w:hideMark/>
          </w:tcPr>
          <w:p w14:paraId="5440739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0.850</w:t>
            </w:r>
          </w:p>
        </w:tc>
        <w:tc>
          <w:tcPr>
            <w:tcW w:w="0" w:type="auto"/>
            <w:hideMark/>
          </w:tcPr>
          <w:p w14:paraId="479FED8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0.004</w:t>
            </w:r>
          </w:p>
        </w:tc>
      </w:tr>
    </w:tbl>
    <w:p w14:paraId="445096D8" w14:textId="1C5E33B4" w:rsidR="004B6201" w:rsidRPr="008C62B7" w:rsidRDefault="00387DF7" w:rsidP="00255A74">
      <w:pPr>
        <w:spacing w:after="0" w:line="360" w:lineRule="auto"/>
        <w:jc w:val="both"/>
        <w:rPr>
          <w:rFonts w:ascii="Arial" w:hAnsi="Arial" w:cs="Arial"/>
          <w:b/>
          <w:bCs/>
        </w:rPr>
      </w:pPr>
      <w:r w:rsidRPr="008C62B7">
        <w:rPr>
          <w:rFonts w:ascii="Arial" w:hAnsi="Arial" w:cs="Arial"/>
          <w:b/>
          <w:bCs/>
          <w:lang w:val="en-US"/>
        </w:rPr>
        <w:t>3.3</w:t>
      </w:r>
      <w:r w:rsidRPr="008C62B7">
        <w:rPr>
          <w:rFonts w:ascii="Arial" w:hAnsi="Arial" w:cs="Arial"/>
          <w:b/>
          <w:bCs/>
          <w:lang w:val="en-US"/>
        </w:rPr>
        <w:tab/>
      </w:r>
      <w:r w:rsidR="004B6201" w:rsidRPr="008C62B7">
        <w:rPr>
          <w:rFonts w:ascii="Arial" w:hAnsi="Arial" w:cs="Arial"/>
          <w:b/>
          <w:bCs/>
          <w:lang w:val="en-US"/>
        </w:rPr>
        <w:t xml:space="preserve">Household </w:t>
      </w:r>
      <w:r w:rsidR="003A1C8C" w:rsidRPr="008C62B7">
        <w:rPr>
          <w:rFonts w:ascii="Arial" w:hAnsi="Arial" w:cs="Arial"/>
          <w:b/>
          <w:bCs/>
          <w:lang w:val="en-US"/>
        </w:rPr>
        <w:t>t</w:t>
      </w:r>
      <w:r w:rsidR="004B6201" w:rsidRPr="008C62B7">
        <w:rPr>
          <w:rFonts w:ascii="Arial" w:hAnsi="Arial" w:cs="Arial"/>
          <w:b/>
          <w:bCs/>
          <w:lang w:val="en-US"/>
        </w:rPr>
        <w:t>ypologies</w:t>
      </w:r>
      <w:r w:rsidR="003A1C8C" w:rsidRPr="008C62B7">
        <w:rPr>
          <w:rFonts w:ascii="Arial" w:hAnsi="Arial" w:cs="Arial"/>
          <w:b/>
          <w:bCs/>
          <w:lang w:val="en-US"/>
        </w:rPr>
        <w:t xml:space="preserve"> </w:t>
      </w:r>
      <w:r w:rsidR="003A1C8C" w:rsidRPr="008C62B7">
        <w:rPr>
          <w:rFonts w:ascii="Arial" w:hAnsi="Arial" w:cs="Arial"/>
          <w:b/>
          <w:bCs/>
        </w:rPr>
        <w:t>based on practices, awareness, and motivation</w:t>
      </w:r>
    </w:p>
    <w:p w14:paraId="6C1727C2" w14:textId="0EE77EED" w:rsidR="005A0C05" w:rsidRPr="005A0C05" w:rsidRDefault="00FB5A75" w:rsidP="00F12A27">
      <w:pPr>
        <w:spacing w:line="360" w:lineRule="auto"/>
        <w:jc w:val="both"/>
        <w:rPr>
          <w:rFonts w:ascii="Arial" w:hAnsi="Arial" w:cs="Arial"/>
          <w:sz w:val="20"/>
          <w:szCs w:val="20"/>
          <w:lang w:val="en-US"/>
        </w:rPr>
      </w:pPr>
      <w:r w:rsidRPr="00FB5A75">
        <w:rPr>
          <w:rFonts w:ascii="Arial" w:hAnsi="Arial" w:cs="Arial"/>
          <w:sz w:val="20"/>
          <w:szCs w:val="20"/>
          <w:lang w:val="en-US"/>
        </w:rPr>
        <w:t>As shown in Table 3, the cluster analysis identified three distinct household typologies based on food</w:t>
      </w:r>
      <w:r w:rsidRPr="00FB5A75">
        <w:rPr>
          <w:rFonts w:ascii="Arial" w:hAnsi="Arial" w:cs="Arial"/>
          <w:sz w:val="20"/>
          <w:szCs w:val="20"/>
          <w:lang w:val="en-US"/>
        </w:rPr>
        <w:noBreakHyphen/>
        <w:t>waste behaviours, awareness, and motivation. The first cluster (“Unaware and Wasteful”) comprised 28.6% of households and was characterised by low awareness, poor storage practices, and high levels of waste. The second cluster (“Aware but Ineffective”) included 41.2% of households, who demonstrated moderate awareness and motivation but lacked effective behavioural practices, resulting in moderate waste levels. The third cluster (“Motivated and Effective”) represented 30.2% of households and was characterised by high awareness, strong motivation, and effective practices such as meal planning and creative leftover use, leading to low levels of waste.</w:t>
      </w:r>
    </w:p>
    <w:p w14:paraId="7139486A" w14:textId="2F946C9A" w:rsidR="00542BF1" w:rsidRPr="00CE072E" w:rsidRDefault="00542BF1" w:rsidP="00F12A27">
      <w:pPr>
        <w:spacing w:line="360" w:lineRule="auto"/>
        <w:jc w:val="both"/>
        <w:rPr>
          <w:rFonts w:ascii="Arial" w:hAnsi="Arial" w:cs="Arial"/>
          <w:sz w:val="20"/>
          <w:szCs w:val="20"/>
        </w:rPr>
      </w:pPr>
      <w:r w:rsidRPr="00CE072E">
        <w:rPr>
          <w:rFonts w:ascii="Arial" w:hAnsi="Arial" w:cs="Arial"/>
          <w:sz w:val="20"/>
          <w:szCs w:val="20"/>
        </w:rPr>
        <w:t>Table 3: Household typologies based on practices, awareness, and motivation (cluster means)</w:t>
      </w:r>
    </w:p>
    <w:tbl>
      <w:tblPr>
        <w:tblStyle w:val="TableGrid"/>
        <w:tblW w:w="10800" w:type="dxa"/>
        <w:tblInd w:w="-815" w:type="dxa"/>
        <w:tblLayout w:type="fixed"/>
        <w:tblLook w:val="04A0" w:firstRow="1" w:lastRow="0" w:firstColumn="1" w:lastColumn="0" w:noHBand="0" w:noVBand="1"/>
      </w:tblPr>
      <w:tblGrid>
        <w:gridCol w:w="1260"/>
        <w:gridCol w:w="631"/>
        <w:gridCol w:w="1169"/>
        <w:gridCol w:w="1080"/>
        <w:gridCol w:w="1350"/>
        <w:gridCol w:w="1260"/>
        <w:gridCol w:w="1350"/>
        <w:gridCol w:w="1350"/>
        <w:gridCol w:w="1350"/>
      </w:tblGrid>
      <w:tr w:rsidR="003A1C8C" w:rsidRPr="00DA7306" w14:paraId="7F9A3487" w14:textId="77777777" w:rsidTr="003A1C8C">
        <w:tc>
          <w:tcPr>
            <w:tcW w:w="1260" w:type="dxa"/>
            <w:hideMark/>
          </w:tcPr>
          <w:p w14:paraId="2853FDDB"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Segment</w:t>
            </w:r>
          </w:p>
        </w:tc>
        <w:tc>
          <w:tcPr>
            <w:tcW w:w="631" w:type="dxa"/>
            <w:hideMark/>
          </w:tcPr>
          <w:p w14:paraId="393E7D78" w14:textId="295B5BF0" w:rsidR="003A1C8C" w:rsidRPr="00DA7306" w:rsidRDefault="005B6B4E" w:rsidP="00F12A27">
            <w:pPr>
              <w:spacing w:after="160" w:line="360" w:lineRule="auto"/>
              <w:jc w:val="both"/>
              <w:rPr>
                <w:rFonts w:ascii="Arial" w:hAnsi="Arial" w:cs="Arial"/>
                <w:b/>
                <w:bCs/>
                <w:sz w:val="20"/>
                <w:szCs w:val="20"/>
              </w:rPr>
            </w:pPr>
            <w:r w:rsidRPr="00DA7306">
              <w:rPr>
                <w:rFonts w:ascii="Arial" w:hAnsi="Arial" w:cs="Arial"/>
                <w:b/>
                <w:bCs/>
                <w:sz w:val="20"/>
                <w:szCs w:val="20"/>
              </w:rPr>
              <w:t>N</w:t>
            </w:r>
          </w:p>
        </w:tc>
        <w:tc>
          <w:tcPr>
            <w:tcW w:w="1169" w:type="dxa"/>
            <w:hideMark/>
          </w:tcPr>
          <w:p w14:paraId="2D60464D"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Meal planning</w:t>
            </w:r>
          </w:p>
        </w:tc>
        <w:tc>
          <w:tcPr>
            <w:tcW w:w="1080" w:type="dxa"/>
            <w:hideMark/>
          </w:tcPr>
          <w:p w14:paraId="6175CC6A"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Storage use</w:t>
            </w:r>
          </w:p>
        </w:tc>
        <w:tc>
          <w:tcPr>
            <w:tcW w:w="1350" w:type="dxa"/>
            <w:hideMark/>
          </w:tcPr>
          <w:p w14:paraId="7F2FF38B"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Storage confidence</w:t>
            </w:r>
          </w:p>
        </w:tc>
        <w:tc>
          <w:tcPr>
            <w:tcW w:w="1260" w:type="dxa"/>
            <w:hideMark/>
          </w:tcPr>
          <w:p w14:paraId="6D9F110E"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Shopping list</w:t>
            </w:r>
          </w:p>
        </w:tc>
        <w:tc>
          <w:tcPr>
            <w:tcW w:w="1350" w:type="dxa"/>
            <w:hideMark/>
          </w:tcPr>
          <w:p w14:paraId="0A5E4624"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Awareness</w:t>
            </w:r>
          </w:p>
        </w:tc>
        <w:tc>
          <w:tcPr>
            <w:tcW w:w="1350" w:type="dxa"/>
            <w:hideMark/>
          </w:tcPr>
          <w:p w14:paraId="5DB596E3"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Campaign effect</w:t>
            </w:r>
          </w:p>
        </w:tc>
        <w:tc>
          <w:tcPr>
            <w:tcW w:w="1350" w:type="dxa"/>
            <w:hideMark/>
          </w:tcPr>
          <w:p w14:paraId="1A6A6B11"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Motivation</w:t>
            </w:r>
          </w:p>
        </w:tc>
      </w:tr>
      <w:tr w:rsidR="003A1C8C" w:rsidRPr="00DA7306" w14:paraId="7965B3B8" w14:textId="77777777" w:rsidTr="003A1C8C">
        <w:tc>
          <w:tcPr>
            <w:tcW w:w="1260" w:type="dxa"/>
            <w:hideMark/>
          </w:tcPr>
          <w:p w14:paraId="59DE189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w:t>
            </w:r>
          </w:p>
        </w:tc>
        <w:tc>
          <w:tcPr>
            <w:tcW w:w="631" w:type="dxa"/>
            <w:hideMark/>
          </w:tcPr>
          <w:p w14:paraId="3861B13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99</w:t>
            </w:r>
          </w:p>
        </w:tc>
        <w:tc>
          <w:tcPr>
            <w:tcW w:w="1169" w:type="dxa"/>
            <w:hideMark/>
          </w:tcPr>
          <w:p w14:paraId="16D887D0"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4.15</w:t>
            </w:r>
          </w:p>
        </w:tc>
        <w:tc>
          <w:tcPr>
            <w:tcW w:w="1080" w:type="dxa"/>
            <w:hideMark/>
          </w:tcPr>
          <w:p w14:paraId="0BDF0192"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4.45</w:t>
            </w:r>
          </w:p>
        </w:tc>
        <w:tc>
          <w:tcPr>
            <w:tcW w:w="1350" w:type="dxa"/>
            <w:hideMark/>
          </w:tcPr>
          <w:p w14:paraId="054BEAB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3.30</w:t>
            </w:r>
          </w:p>
        </w:tc>
        <w:tc>
          <w:tcPr>
            <w:tcW w:w="1260" w:type="dxa"/>
            <w:hideMark/>
          </w:tcPr>
          <w:p w14:paraId="4C779265"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0.61</w:t>
            </w:r>
          </w:p>
        </w:tc>
        <w:tc>
          <w:tcPr>
            <w:tcW w:w="1350" w:type="dxa"/>
            <w:hideMark/>
          </w:tcPr>
          <w:p w14:paraId="2237FD77"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3.70</w:t>
            </w:r>
          </w:p>
        </w:tc>
        <w:tc>
          <w:tcPr>
            <w:tcW w:w="1350" w:type="dxa"/>
            <w:hideMark/>
          </w:tcPr>
          <w:p w14:paraId="590390B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3.30</w:t>
            </w:r>
          </w:p>
        </w:tc>
        <w:tc>
          <w:tcPr>
            <w:tcW w:w="1350" w:type="dxa"/>
            <w:hideMark/>
          </w:tcPr>
          <w:p w14:paraId="78D408E2"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4.21</w:t>
            </w:r>
          </w:p>
        </w:tc>
      </w:tr>
      <w:tr w:rsidR="003A1C8C" w:rsidRPr="00DA7306" w14:paraId="0C256293" w14:textId="77777777" w:rsidTr="003A1C8C">
        <w:tc>
          <w:tcPr>
            <w:tcW w:w="1260" w:type="dxa"/>
            <w:hideMark/>
          </w:tcPr>
          <w:p w14:paraId="4DAC902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w:t>
            </w:r>
          </w:p>
        </w:tc>
        <w:tc>
          <w:tcPr>
            <w:tcW w:w="631" w:type="dxa"/>
            <w:hideMark/>
          </w:tcPr>
          <w:p w14:paraId="7023212D"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120</w:t>
            </w:r>
          </w:p>
        </w:tc>
        <w:tc>
          <w:tcPr>
            <w:tcW w:w="1169" w:type="dxa"/>
            <w:hideMark/>
          </w:tcPr>
          <w:p w14:paraId="0EBCA29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3.32</w:t>
            </w:r>
          </w:p>
        </w:tc>
        <w:tc>
          <w:tcPr>
            <w:tcW w:w="1080" w:type="dxa"/>
            <w:hideMark/>
          </w:tcPr>
          <w:p w14:paraId="75B6AD1B"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2.55</w:t>
            </w:r>
          </w:p>
        </w:tc>
        <w:tc>
          <w:tcPr>
            <w:tcW w:w="1350" w:type="dxa"/>
            <w:hideMark/>
          </w:tcPr>
          <w:p w14:paraId="7C1BE9B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2.17</w:t>
            </w:r>
          </w:p>
        </w:tc>
        <w:tc>
          <w:tcPr>
            <w:tcW w:w="1260" w:type="dxa"/>
            <w:hideMark/>
          </w:tcPr>
          <w:p w14:paraId="55E28DC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0.40</w:t>
            </w:r>
          </w:p>
        </w:tc>
        <w:tc>
          <w:tcPr>
            <w:tcW w:w="1350" w:type="dxa"/>
            <w:hideMark/>
          </w:tcPr>
          <w:p w14:paraId="6F65622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2.75</w:t>
            </w:r>
          </w:p>
        </w:tc>
        <w:tc>
          <w:tcPr>
            <w:tcW w:w="1350" w:type="dxa"/>
            <w:hideMark/>
          </w:tcPr>
          <w:p w14:paraId="1F737D16"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3.75</w:t>
            </w:r>
          </w:p>
        </w:tc>
        <w:tc>
          <w:tcPr>
            <w:tcW w:w="1350" w:type="dxa"/>
            <w:hideMark/>
          </w:tcPr>
          <w:p w14:paraId="2C9285D7"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4.28</w:t>
            </w:r>
          </w:p>
        </w:tc>
      </w:tr>
      <w:tr w:rsidR="003A1C8C" w:rsidRPr="00DA7306" w14:paraId="5534B06F" w14:textId="77777777" w:rsidTr="003A1C8C">
        <w:tc>
          <w:tcPr>
            <w:tcW w:w="1260" w:type="dxa"/>
            <w:hideMark/>
          </w:tcPr>
          <w:p w14:paraId="1143503C"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w:t>
            </w:r>
          </w:p>
        </w:tc>
        <w:tc>
          <w:tcPr>
            <w:tcW w:w="631" w:type="dxa"/>
            <w:hideMark/>
          </w:tcPr>
          <w:p w14:paraId="5E69D56D"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105</w:t>
            </w:r>
          </w:p>
        </w:tc>
        <w:tc>
          <w:tcPr>
            <w:tcW w:w="1169" w:type="dxa"/>
            <w:hideMark/>
          </w:tcPr>
          <w:p w14:paraId="1D2DA951"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4.23</w:t>
            </w:r>
          </w:p>
        </w:tc>
        <w:tc>
          <w:tcPr>
            <w:tcW w:w="1080" w:type="dxa"/>
            <w:hideMark/>
          </w:tcPr>
          <w:p w14:paraId="7BC53F6B"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4.03</w:t>
            </w:r>
          </w:p>
        </w:tc>
        <w:tc>
          <w:tcPr>
            <w:tcW w:w="1350" w:type="dxa"/>
            <w:hideMark/>
          </w:tcPr>
          <w:p w14:paraId="591EF88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3.17</w:t>
            </w:r>
          </w:p>
        </w:tc>
        <w:tc>
          <w:tcPr>
            <w:tcW w:w="1260" w:type="dxa"/>
            <w:hideMark/>
          </w:tcPr>
          <w:p w14:paraId="1430912F"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0.80</w:t>
            </w:r>
          </w:p>
        </w:tc>
        <w:tc>
          <w:tcPr>
            <w:tcW w:w="1350" w:type="dxa"/>
            <w:hideMark/>
          </w:tcPr>
          <w:p w14:paraId="263E7884"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3.80</w:t>
            </w:r>
          </w:p>
        </w:tc>
        <w:tc>
          <w:tcPr>
            <w:tcW w:w="1350" w:type="dxa"/>
            <w:hideMark/>
          </w:tcPr>
          <w:p w14:paraId="45A21B85"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4.74</w:t>
            </w:r>
          </w:p>
        </w:tc>
        <w:tc>
          <w:tcPr>
            <w:tcW w:w="1350" w:type="dxa"/>
            <w:hideMark/>
          </w:tcPr>
          <w:p w14:paraId="7706A6A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4.97</w:t>
            </w:r>
          </w:p>
        </w:tc>
      </w:tr>
    </w:tbl>
    <w:p w14:paraId="7A37B51B" w14:textId="366F56D7" w:rsidR="00542BF1" w:rsidRPr="00B97C15" w:rsidRDefault="00387DF7" w:rsidP="00255A74">
      <w:pPr>
        <w:spacing w:after="0" w:line="360" w:lineRule="auto"/>
        <w:jc w:val="both"/>
        <w:rPr>
          <w:rFonts w:ascii="Arial" w:hAnsi="Arial" w:cs="Arial"/>
          <w:b/>
          <w:bCs/>
        </w:rPr>
      </w:pPr>
      <w:r w:rsidRPr="00B97C15">
        <w:rPr>
          <w:rFonts w:ascii="Arial" w:hAnsi="Arial" w:cs="Arial"/>
          <w:b/>
          <w:bCs/>
        </w:rPr>
        <w:t>3.4</w:t>
      </w:r>
      <w:r w:rsidRPr="00B97C15">
        <w:rPr>
          <w:rFonts w:ascii="Arial" w:hAnsi="Arial" w:cs="Arial"/>
          <w:b/>
          <w:bCs/>
        </w:rPr>
        <w:tab/>
      </w:r>
      <w:r w:rsidR="00542BF1" w:rsidRPr="00B97C15">
        <w:rPr>
          <w:rFonts w:ascii="Arial" w:hAnsi="Arial" w:cs="Arial"/>
          <w:b/>
          <w:bCs/>
        </w:rPr>
        <w:t>Barriers</w:t>
      </w:r>
      <w:r w:rsidR="00AF7C7A" w:rsidRPr="00B97C15">
        <w:rPr>
          <w:rFonts w:ascii="Arial" w:hAnsi="Arial" w:cs="Arial"/>
          <w:b/>
          <w:bCs/>
        </w:rPr>
        <w:t xml:space="preserve">, </w:t>
      </w:r>
      <w:r w:rsidR="00542BF1" w:rsidRPr="00B97C15">
        <w:rPr>
          <w:rFonts w:ascii="Arial" w:hAnsi="Arial" w:cs="Arial"/>
          <w:b/>
          <w:bCs/>
        </w:rPr>
        <w:t>support needs</w:t>
      </w:r>
      <w:r w:rsidR="00AF7C7A" w:rsidRPr="00B97C15">
        <w:rPr>
          <w:rFonts w:ascii="Arial" w:hAnsi="Arial" w:cs="Arial"/>
          <w:b/>
          <w:bCs/>
        </w:rPr>
        <w:t xml:space="preserve"> and differences by waste level</w:t>
      </w:r>
    </w:p>
    <w:p w14:paraId="17F0272D" w14:textId="3B71F401" w:rsidR="00FB5A75" w:rsidRPr="00FB5A75" w:rsidRDefault="00FB5A75" w:rsidP="005A0C05">
      <w:pPr>
        <w:spacing w:line="360" w:lineRule="auto"/>
        <w:jc w:val="both"/>
        <w:rPr>
          <w:rFonts w:ascii="Arial" w:hAnsi="Arial" w:cs="Arial"/>
          <w:sz w:val="20"/>
          <w:szCs w:val="20"/>
          <w:lang w:val="en-US"/>
        </w:rPr>
      </w:pPr>
      <w:r w:rsidRPr="00FB5A75">
        <w:rPr>
          <w:rFonts w:ascii="Arial" w:hAnsi="Arial" w:cs="Arial"/>
          <w:sz w:val="20"/>
          <w:szCs w:val="20"/>
          <w:lang w:val="en-US"/>
        </w:rPr>
        <w:t>Table 4a shows that poor knowledge of food</w:t>
      </w:r>
      <w:r w:rsidRPr="00FB5A75">
        <w:rPr>
          <w:rFonts w:ascii="Arial" w:hAnsi="Arial" w:cs="Arial"/>
          <w:sz w:val="20"/>
          <w:szCs w:val="20"/>
          <w:lang w:val="en-US"/>
        </w:rPr>
        <w:noBreakHyphen/>
        <w:t>storage methods (46.7%) and lack of meal planning (39.4%) were the most frequently cited barriers to reducing household food waste. Other barriers included limited community support structures (28.9%), time constraints (21.6%), and inadequate composting facilities (17.3%). Table 4b highlights households’ support needs, with practical training on food</w:t>
      </w:r>
      <w:r w:rsidRPr="00FB5A75">
        <w:rPr>
          <w:rFonts w:ascii="Arial" w:hAnsi="Arial" w:cs="Arial"/>
          <w:sz w:val="20"/>
          <w:szCs w:val="20"/>
          <w:lang w:val="en-US"/>
        </w:rPr>
        <w:noBreakHyphen/>
        <w:t>storage techniques (52.1%) ranked highest, followed by the provision of community composting facilities (34.5%) and regular awareness campaigns (31.8%). Table 4c compares barriers and support needs between high</w:t>
      </w:r>
      <w:r w:rsidRPr="00FB5A75">
        <w:rPr>
          <w:rFonts w:ascii="Arial" w:hAnsi="Arial" w:cs="Arial"/>
          <w:sz w:val="20"/>
          <w:szCs w:val="20"/>
          <w:lang w:val="en-US"/>
        </w:rPr>
        <w:noBreakHyphen/>
        <w:t xml:space="preserve"> and low</w:t>
      </w:r>
      <w:r w:rsidRPr="00FB5A75">
        <w:rPr>
          <w:rFonts w:ascii="Arial" w:hAnsi="Arial" w:cs="Arial"/>
          <w:sz w:val="20"/>
          <w:szCs w:val="20"/>
          <w:lang w:val="en-US"/>
        </w:rPr>
        <w:noBreakHyphen/>
        <w:t xml:space="preserve">waste households. </w:t>
      </w:r>
    </w:p>
    <w:p w14:paraId="246ACBA9" w14:textId="77777777" w:rsidR="00C31DCB" w:rsidRPr="00B97C15" w:rsidRDefault="00C31DCB" w:rsidP="00F12A27">
      <w:pPr>
        <w:spacing w:line="360" w:lineRule="auto"/>
        <w:jc w:val="both"/>
        <w:rPr>
          <w:rFonts w:ascii="Arial" w:hAnsi="Arial" w:cs="Arial"/>
          <w:b/>
          <w:bCs/>
        </w:rPr>
      </w:pPr>
      <w:r w:rsidRPr="00B97C15">
        <w:rPr>
          <w:rFonts w:ascii="Arial" w:hAnsi="Arial" w:cs="Arial"/>
          <w:b/>
          <w:bCs/>
        </w:rPr>
        <w:t>Table 4a: Top perceived barriers to reducing household food waste</w:t>
      </w:r>
    </w:p>
    <w:tbl>
      <w:tblPr>
        <w:tblStyle w:val="TableGrid"/>
        <w:tblW w:w="0" w:type="auto"/>
        <w:jc w:val="center"/>
        <w:tblLook w:val="04A0" w:firstRow="1" w:lastRow="0" w:firstColumn="1" w:lastColumn="0" w:noHBand="0" w:noVBand="1"/>
      </w:tblPr>
      <w:tblGrid>
        <w:gridCol w:w="550"/>
        <w:gridCol w:w="4619"/>
        <w:gridCol w:w="1228"/>
      </w:tblGrid>
      <w:tr w:rsidR="00C31DCB" w:rsidRPr="00DA7306" w14:paraId="3917B71D" w14:textId="77777777" w:rsidTr="00D1441C">
        <w:trPr>
          <w:jc w:val="center"/>
        </w:trPr>
        <w:tc>
          <w:tcPr>
            <w:tcW w:w="0" w:type="auto"/>
          </w:tcPr>
          <w:p w14:paraId="3013DFCC" w14:textId="77777777" w:rsidR="00C31DCB" w:rsidRPr="00DA7306" w:rsidRDefault="00C31DCB" w:rsidP="00F12A27">
            <w:pPr>
              <w:spacing w:line="360" w:lineRule="auto"/>
              <w:jc w:val="center"/>
              <w:rPr>
                <w:rFonts w:ascii="Arial" w:hAnsi="Arial" w:cs="Arial"/>
                <w:b/>
                <w:bCs/>
                <w:sz w:val="20"/>
                <w:szCs w:val="20"/>
              </w:rPr>
            </w:pPr>
            <w:r w:rsidRPr="00DA7306">
              <w:rPr>
                <w:rFonts w:ascii="Arial" w:hAnsi="Arial" w:cs="Arial"/>
                <w:b/>
                <w:bCs/>
                <w:sz w:val="20"/>
                <w:szCs w:val="20"/>
              </w:rPr>
              <w:lastRenderedPageBreak/>
              <w:t>S/N</w:t>
            </w:r>
          </w:p>
        </w:tc>
        <w:tc>
          <w:tcPr>
            <w:tcW w:w="0" w:type="auto"/>
            <w:hideMark/>
          </w:tcPr>
          <w:p w14:paraId="057D60F1"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Barrier</w:t>
            </w:r>
          </w:p>
        </w:tc>
        <w:tc>
          <w:tcPr>
            <w:tcW w:w="0" w:type="auto"/>
            <w:hideMark/>
          </w:tcPr>
          <w:p w14:paraId="35FCAA22"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Frequency</w:t>
            </w:r>
          </w:p>
        </w:tc>
      </w:tr>
      <w:tr w:rsidR="00C31DCB" w:rsidRPr="00DA7306" w14:paraId="7F4EF117" w14:textId="77777777" w:rsidTr="00D1441C">
        <w:trPr>
          <w:jc w:val="center"/>
        </w:trPr>
        <w:tc>
          <w:tcPr>
            <w:tcW w:w="0" w:type="auto"/>
          </w:tcPr>
          <w:p w14:paraId="5DD8A86D"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5BC2561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Insufficient tools or storage containers</w:t>
            </w:r>
          </w:p>
        </w:tc>
        <w:tc>
          <w:tcPr>
            <w:tcW w:w="0" w:type="auto"/>
            <w:hideMark/>
          </w:tcPr>
          <w:p w14:paraId="496D407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144</w:t>
            </w:r>
          </w:p>
        </w:tc>
      </w:tr>
      <w:tr w:rsidR="00C31DCB" w:rsidRPr="00DA7306" w14:paraId="0E72DB40" w14:textId="77777777" w:rsidTr="00D1441C">
        <w:trPr>
          <w:jc w:val="center"/>
        </w:trPr>
        <w:tc>
          <w:tcPr>
            <w:tcW w:w="0" w:type="auto"/>
          </w:tcPr>
          <w:p w14:paraId="1283F3B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2</w:t>
            </w:r>
          </w:p>
        </w:tc>
        <w:tc>
          <w:tcPr>
            <w:tcW w:w="0" w:type="auto"/>
            <w:hideMark/>
          </w:tcPr>
          <w:p w14:paraId="6B29B721"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knowledge about proper food storage</w:t>
            </w:r>
          </w:p>
        </w:tc>
        <w:tc>
          <w:tcPr>
            <w:tcW w:w="0" w:type="auto"/>
            <w:hideMark/>
          </w:tcPr>
          <w:p w14:paraId="3A634C4C"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102</w:t>
            </w:r>
          </w:p>
        </w:tc>
      </w:tr>
      <w:tr w:rsidR="00C31DCB" w:rsidRPr="00DA7306" w14:paraId="70894B70" w14:textId="77777777" w:rsidTr="00D1441C">
        <w:trPr>
          <w:jc w:val="center"/>
        </w:trPr>
        <w:tc>
          <w:tcPr>
            <w:tcW w:w="0" w:type="auto"/>
          </w:tcPr>
          <w:p w14:paraId="6751DF58"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4AF21C8B"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Limited storage space</w:t>
            </w:r>
          </w:p>
        </w:tc>
        <w:tc>
          <w:tcPr>
            <w:tcW w:w="0" w:type="auto"/>
            <w:hideMark/>
          </w:tcPr>
          <w:p w14:paraId="453DD7B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87</w:t>
            </w:r>
          </w:p>
        </w:tc>
      </w:tr>
      <w:tr w:rsidR="00C31DCB" w:rsidRPr="00DA7306" w14:paraId="16FBECAE" w14:textId="77777777" w:rsidTr="00D1441C">
        <w:trPr>
          <w:jc w:val="center"/>
        </w:trPr>
        <w:tc>
          <w:tcPr>
            <w:tcW w:w="0" w:type="auto"/>
          </w:tcPr>
          <w:p w14:paraId="5E1FFE3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0C68B85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time to plan meals or use leftovers</w:t>
            </w:r>
          </w:p>
        </w:tc>
        <w:tc>
          <w:tcPr>
            <w:tcW w:w="0" w:type="auto"/>
            <w:hideMark/>
          </w:tcPr>
          <w:p w14:paraId="287476BD"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84</w:t>
            </w:r>
          </w:p>
        </w:tc>
      </w:tr>
      <w:tr w:rsidR="00C31DCB" w:rsidRPr="00DA7306" w14:paraId="0E438C57" w14:textId="77777777" w:rsidTr="00D1441C">
        <w:trPr>
          <w:jc w:val="center"/>
        </w:trPr>
        <w:tc>
          <w:tcPr>
            <w:tcW w:w="0" w:type="auto"/>
          </w:tcPr>
          <w:p w14:paraId="59B395A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5980AAE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Family preferences leading to discarding leftovers</w:t>
            </w:r>
          </w:p>
        </w:tc>
        <w:tc>
          <w:tcPr>
            <w:tcW w:w="0" w:type="auto"/>
            <w:hideMark/>
          </w:tcPr>
          <w:p w14:paraId="3828BF6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81</w:t>
            </w:r>
          </w:p>
        </w:tc>
      </w:tr>
      <w:tr w:rsidR="00C31DCB" w:rsidRPr="00DA7306" w14:paraId="517C1B63" w14:textId="77777777" w:rsidTr="00D1441C">
        <w:trPr>
          <w:jc w:val="center"/>
        </w:trPr>
        <w:tc>
          <w:tcPr>
            <w:tcW w:w="0" w:type="auto"/>
          </w:tcPr>
          <w:p w14:paraId="506BA8B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6</w:t>
            </w:r>
          </w:p>
        </w:tc>
        <w:tc>
          <w:tcPr>
            <w:tcW w:w="0" w:type="auto"/>
            <w:hideMark/>
          </w:tcPr>
          <w:p w14:paraId="4D35514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Inconsistent household routines</w:t>
            </w:r>
          </w:p>
        </w:tc>
        <w:tc>
          <w:tcPr>
            <w:tcW w:w="0" w:type="auto"/>
            <w:hideMark/>
          </w:tcPr>
          <w:p w14:paraId="117BB28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72</w:t>
            </w:r>
          </w:p>
        </w:tc>
      </w:tr>
      <w:tr w:rsidR="00C31DCB" w:rsidRPr="00DA7306" w14:paraId="564D640E" w14:textId="77777777" w:rsidTr="00D1441C">
        <w:trPr>
          <w:jc w:val="center"/>
        </w:trPr>
        <w:tc>
          <w:tcPr>
            <w:tcW w:w="0" w:type="auto"/>
          </w:tcPr>
          <w:p w14:paraId="21338FF7"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7</w:t>
            </w:r>
          </w:p>
        </w:tc>
        <w:tc>
          <w:tcPr>
            <w:tcW w:w="0" w:type="auto"/>
            <w:hideMark/>
          </w:tcPr>
          <w:p w14:paraId="5226B8E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Perception that some food waste is unavoidable</w:t>
            </w:r>
          </w:p>
        </w:tc>
        <w:tc>
          <w:tcPr>
            <w:tcW w:w="0" w:type="auto"/>
            <w:hideMark/>
          </w:tcPr>
          <w:p w14:paraId="328FEB9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54</w:t>
            </w:r>
          </w:p>
        </w:tc>
      </w:tr>
      <w:tr w:rsidR="00C31DCB" w:rsidRPr="00DA7306" w14:paraId="0153B592" w14:textId="77777777" w:rsidTr="00D1441C">
        <w:trPr>
          <w:jc w:val="center"/>
        </w:trPr>
        <w:tc>
          <w:tcPr>
            <w:tcW w:w="0" w:type="auto"/>
          </w:tcPr>
          <w:p w14:paraId="72045E60"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8</w:t>
            </w:r>
          </w:p>
        </w:tc>
        <w:tc>
          <w:tcPr>
            <w:tcW w:w="0" w:type="auto"/>
            <w:hideMark/>
          </w:tcPr>
          <w:p w14:paraId="2CA57B4B"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motivation or interest</w:t>
            </w:r>
          </w:p>
        </w:tc>
        <w:tc>
          <w:tcPr>
            <w:tcW w:w="0" w:type="auto"/>
            <w:hideMark/>
          </w:tcPr>
          <w:p w14:paraId="6377ADC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45</w:t>
            </w:r>
          </w:p>
        </w:tc>
      </w:tr>
      <w:tr w:rsidR="00C31DCB" w:rsidRPr="00DA7306" w14:paraId="01F6DFF2" w14:textId="77777777" w:rsidTr="00D1441C">
        <w:trPr>
          <w:jc w:val="center"/>
        </w:trPr>
        <w:tc>
          <w:tcPr>
            <w:tcW w:w="0" w:type="auto"/>
          </w:tcPr>
          <w:p w14:paraId="03694D9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9</w:t>
            </w:r>
          </w:p>
        </w:tc>
        <w:tc>
          <w:tcPr>
            <w:tcW w:w="0" w:type="auto"/>
            <w:hideMark/>
          </w:tcPr>
          <w:p w14:paraId="79D1C85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Difficulty composting or disposing waste</w:t>
            </w:r>
          </w:p>
        </w:tc>
        <w:tc>
          <w:tcPr>
            <w:tcW w:w="0" w:type="auto"/>
            <w:hideMark/>
          </w:tcPr>
          <w:p w14:paraId="7FFF589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39</w:t>
            </w:r>
          </w:p>
        </w:tc>
      </w:tr>
      <w:tr w:rsidR="00C31DCB" w:rsidRPr="00DA7306" w14:paraId="08B9D076" w14:textId="77777777" w:rsidTr="00D1441C">
        <w:trPr>
          <w:jc w:val="center"/>
        </w:trPr>
        <w:tc>
          <w:tcPr>
            <w:tcW w:w="0" w:type="auto"/>
          </w:tcPr>
          <w:p w14:paraId="76F9EBDA"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10</w:t>
            </w:r>
          </w:p>
        </w:tc>
        <w:tc>
          <w:tcPr>
            <w:tcW w:w="0" w:type="auto"/>
            <w:hideMark/>
          </w:tcPr>
          <w:p w14:paraId="6CD9F91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Confusion about food expiry labels</w:t>
            </w:r>
          </w:p>
        </w:tc>
        <w:tc>
          <w:tcPr>
            <w:tcW w:w="0" w:type="auto"/>
            <w:hideMark/>
          </w:tcPr>
          <w:p w14:paraId="0135D1A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24</w:t>
            </w:r>
          </w:p>
        </w:tc>
      </w:tr>
    </w:tbl>
    <w:p w14:paraId="09C84910" w14:textId="77777777" w:rsidR="00DA7306" w:rsidRDefault="00DA7306" w:rsidP="00F12A27">
      <w:pPr>
        <w:spacing w:line="360" w:lineRule="auto"/>
        <w:jc w:val="both"/>
        <w:rPr>
          <w:rFonts w:ascii="Times New Roman" w:hAnsi="Times New Roman" w:cs="Times New Roman"/>
          <w:b/>
          <w:bCs/>
          <w:sz w:val="24"/>
          <w:szCs w:val="24"/>
        </w:rPr>
      </w:pPr>
    </w:p>
    <w:p w14:paraId="333A7394" w14:textId="3D448C54" w:rsidR="00C31DCB" w:rsidRPr="00DA7306" w:rsidRDefault="00C31DCB" w:rsidP="00F12A27">
      <w:pPr>
        <w:spacing w:line="360" w:lineRule="auto"/>
        <w:jc w:val="both"/>
        <w:rPr>
          <w:rFonts w:ascii="Arial" w:hAnsi="Arial" w:cs="Arial"/>
          <w:b/>
          <w:bCs/>
        </w:rPr>
      </w:pPr>
      <w:r w:rsidRPr="00DA7306">
        <w:rPr>
          <w:rFonts w:ascii="Arial" w:hAnsi="Arial" w:cs="Arial"/>
          <w:b/>
          <w:bCs/>
        </w:rPr>
        <w:t>Table 4b: Top support needs identified by households</w:t>
      </w:r>
    </w:p>
    <w:tbl>
      <w:tblPr>
        <w:tblStyle w:val="TableGrid"/>
        <w:tblW w:w="0" w:type="auto"/>
        <w:jc w:val="center"/>
        <w:tblLook w:val="04A0" w:firstRow="1" w:lastRow="0" w:firstColumn="1" w:lastColumn="0" w:noHBand="0" w:noVBand="1"/>
      </w:tblPr>
      <w:tblGrid>
        <w:gridCol w:w="550"/>
        <w:gridCol w:w="3484"/>
        <w:gridCol w:w="1228"/>
      </w:tblGrid>
      <w:tr w:rsidR="00C31DCB" w:rsidRPr="00DA7306" w14:paraId="5C9C1AFC" w14:textId="77777777" w:rsidTr="00D1441C">
        <w:trPr>
          <w:jc w:val="center"/>
        </w:trPr>
        <w:tc>
          <w:tcPr>
            <w:tcW w:w="0" w:type="auto"/>
          </w:tcPr>
          <w:p w14:paraId="6470C816" w14:textId="77777777" w:rsidR="00C31DCB" w:rsidRPr="00DA7306" w:rsidRDefault="00C31DCB" w:rsidP="00F12A27">
            <w:pPr>
              <w:spacing w:line="360" w:lineRule="auto"/>
              <w:jc w:val="both"/>
              <w:rPr>
                <w:rFonts w:ascii="Arial" w:hAnsi="Arial" w:cs="Arial"/>
                <w:b/>
                <w:bCs/>
                <w:sz w:val="20"/>
                <w:szCs w:val="20"/>
              </w:rPr>
            </w:pPr>
            <w:r w:rsidRPr="00DA7306">
              <w:rPr>
                <w:rFonts w:ascii="Arial" w:hAnsi="Arial" w:cs="Arial"/>
                <w:b/>
                <w:bCs/>
                <w:sz w:val="20"/>
                <w:szCs w:val="20"/>
              </w:rPr>
              <w:t>S/N</w:t>
            </w:r>
          </w:p>
        </w:tc>
        <w:tc>
          <w:tcPr>
            <w:tcW w:w="0" w:type="auto"/>
            <w:hideMark/>
          </w:tcPr>
          <w:p w14:paraId="55B8CD3B" w14:textId="77777777" w:rsidR="00C31DCB" w:rsidRPr="00DA7306" w:rsidRDefault="00C31DCB" w:rsidP="00F12A27">
            <w:pPr>
              <w:spacing w:after="160" w:line="360" w:lineRule="auto"/>
              <w:jc w:val="both"/>
              <w:rPr>
                <w:rFonts w:ascii="Arial" w:hAnsi="Arial" w:cs="Arial"/>
                <w:b/>
                <w:bCs/>
                <w:sz w:val="20"/>
                <w:szCs w:val="20"/>
              </w:rPr>
            </w:pPr>
            <w:r w:rsidRPr="00DA7306">
              <w:rPr>
                <w:rFonts w:ascii="Arial" w:hAnsi="Arial" w:cs="Arial"/>
                <w:b/>
                <w:bCs/>
                <w:sz w:val="20"/>
                <w:szCs w:val="20"/>
              </w:rPr>
              <w:t>Support needed</w:t>
            </w:r>
          </w:p>
        </w:tc>
        <w:tc>
          <w:tcPr>
            <w:tcW w:w="0" w:type="auto"/>
            <w:hideMark/>
          </w:tcPr>
          <w:p w14:paraId="2DA63716" w14:textId="77777777" w:rsidR="00C31DCB" w:rsidRPr="00DA7306" w:rsidRDefault="00C31DCB" w:rsidP="00F12A27">
            <w:pPr>
              <w:spacing w:after="160" w:line="360" w:lineRule="auto"/>
              <w:jc w:val="both"/>
              <w:rPr>
                <w:rFonts w:ascii="Arial" w:hAnsi="Arial" w:cs="Arial"/>
                <w:b/>
                <w:bCs/>
                <w:sz w:val="20"/>
                <w:szCs w:val="20"/>
              </w:rPr>
            </w:pPr>
            <w:r w:rsidRPr="00DA7306">
              <w:rPr>
                <w:rFonts w:ascii="Arial" w:hAnsi="Arial" w:cs="Arial"/>
                <w:b/>
                <w:bCs/>
                <w:sz w:val="20"/>
                <w:szCs w:val="20"/>
              </w:rPr>
              <w:t>Frequency</w:t>
            </w:r>
          </w:p>
        </w:tc>
      </w:tr>
      <w:tr w:rsidR="00C31DCB" w:rsidRPr="00DA7306" w14:paraId="052210AF" w14:textId="77777777" w:rsidTr="00D1441C">
        <w:trPr>
          <w:jc w:val="center"/>
        </w:trPr>
        <w:tc>
          <w:tcPr>
            <w:tcW w:w="0" w:type="auto"/>
          </w:tcPr>
          <w:p w14:paraId="6BC4272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5F1E51A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Meal planning tools or apps</w:t>
            </w:r>
          </w:p>
        </w:tc>
        <w:tc>
          <w:tcPr>
            <w:tcW w:w="0" w:type="auto"/>
            <w:hideMark/>
          </w:tcPr>
          <w:p w14:paraId="292ED80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201</w:t>
            </w:r>
          </w:p>
        </w:tc>
      </w:tr>
      <w:tr w:rsidR="00C31DCB" w:rsidRPr="00DA7306" w14:paraId="7914610E" w14:textId="77777777" w:rsidTr="00D1441C">
        <w:trPr>
          <w:jc w:val="center"/>
        </w:trPr>
        <w:tc>
          <w:tcPr>
            <w:tcW w:w="0" w:type="auto"/>
          </w:tcPr>
          <w:p w14:paraId="06E6CD6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2</w:t>
            </w:r>
          </w:p>
        </w:tc>
        <w:tc>
          <w:tcPr>
            <w:tcW w:w="0" w:type="auto"/>
            <w:hideMark/>
          </w:tcPr>
          <w:p w14:paraId="5F62113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Improved food storage options</w:t>
            </w:r>
          </w:p>
        </w:tc>
        <w:tc>
          <w:tcPr>
            <w:tcW w:w="0" w:type="auto"/>
            <w:hideMark/>
          </w:tcPr>
          <w:p w14:paraId="503AC13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180</w:t>
            </w:r>
          </w:p>
        </w:tc>
      </w:tr>
      <w:tr w:rsidR="00C31DCB" w:rsidRPr="00DA7306" w14:paraId="14545D9A" w14:textId="77777777" w:rsidTr="00D1441C">
        <w:trPr>
          <w:jc w:val="center"/>
        </w:trPr>
        <w:tc>
          <w:tcPr>
            <w:tcW w:w="0" w:type="auto"/>
          </w:tcPr>
          <w:p w14:paraId="1DDC47C1"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26B97FB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Social support groups</w:t>
            </w:r>
          </w:p>
        </w:tc>
        <w:tc>
          <w:tcPr>
            <w:tcW w:w="0" w:type="auto"/>
            <w:hideMark/>
          </w:tcPr>
          <w:p w14:paraId="3565900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108</w:t>
            </w:r>
          </w:p>
        </w:tc>
      </w:tr>
      <w:tr w:rsidR="00C31DCB" w:rsidRPr="00DA7306" w14:paraId="63D7CC8C" w14:textId="77777777" w:rsidTr="00D1441C">
        <w:trPr>
          <w:jc w:val="center"/>
        </w:trPr>
        <w:tc>
          <w:tcPr>
            <w:tcW w:w="0" w:type="auto"/>
          </w:tcPr>
          <w:p w14:paraId="0397A1BC"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6B24530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Educational materials or workshops</w:t>
            </w:r>
          </w:p>
        </w:tc>
        <w:tc>
          <w:tcPr>
            <w:tcW w:w="0" w:type="auto"/>
            <w:hideMark/>
          </w:tcPr>
          <w:p w14:paraId="6B923A6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81</w:t>
            </w:r>
          </w:p>
        </w:tc>
      </w:tr>
      <w:tr w:rsidR="00C31DCB" w:rsidRPr="00DA7306" w14:paraId="2B61B3B5" w14:textId="77777777" w:rsidTr="00D1441C">
        <w:trPr>
          <w:jc w:val="center"/>
        </w:trPr>
        <w:tc>
          <w:tcPr>
            <w:tcW w:w="0" w:type="auto"/>
          </w:tcPr>
          <w:p w14:paraId="68CF012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686D383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Community food sharing platforms</w:t>
            </w:r>
          </w:p>
        </w:tc>
        <w:tc>
          <w:tcPr>
            <w:tcW w:w="0" w:type="auto"/>
            <w:hideMark/>
          </w:tcPr>
          <w:p w14:paraId="4113B05D"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72</w:t>
            </w:r>
          </w:p>
        </w:tc>
      </w:tr>
      <w:tr w:rsidR="00C31DCB" w:rsidRPr="00DA7306" w14:paraId="5529C42C" w14:textId="77777777" w:rsidTr="00D1441C">
        <w:trPr>
          <w:jc w:val="center"/>
        </w:trPr>
        <w:tc>
          <w:tcPr>
            <w:tcW w:w="0" w:type="auto"/>
          </w:tcPr>
          <w:p w14:paraId="5E37EB0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6</w:t>
            </w:r>
          </w:p>
        </w:tc>
        <w:tc>
          <w:tcPr>
            <w:tcW w:w="0" w:type="auto"/>
            <w:hideMark/>
          </w:tcPr>
          <w:p w14:paraId="223FBE2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Community composting programmes</w:t>
            </w:r>
          </w:p>
        </w:tc>
        <w:tc>
          <w:tcPr>
            <w:tcW w:w="0" w:type="auto"/>
            <w:hideMark/>
          </w:tcPr>
          <w:p w14:paraId="026E1BB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69</w:t>
            </w:r>
          </w:p>
        </w:tc>
      </w:tr>
      <w:tr w:rsidR="00C31DCB" w:rsidRPr="00DA7306" w14:paraId="4D859474" w14:textId="77777777" w:rsidTr="00D1441C">
        <w:trPr>
          <w:jc w:val="center"/>
        </w:trPr>
        <w:tc>
          <w:tcPr>
            <w:tcW w:w="0" w:type="auto"/>
          </w:tcPr>
          <w:p w14:paraId="3E57A886"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7</w:t>
            </w:r>
          </w:p>
        </w:tc>
        <w:tc>
          <w:tcPr>
            <w:tcW w:w="0" w:type="auto"/>
            <w:hideMark/>
          </w:tcPr>
          <w:p w14:paraId="43E8F3AC"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Financial incentives</w:t>
            </w:r>
          </w:p>
        </w:tc>
        <w:tc>
          <w:tcPr>
            <w:tcW w:w="0" w:type="auto"/>
            <w:hideMark/>
          </w:tcPr>
          <w:p w14:paraId="5AD8E2E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66</w:t>
            </w:r>
          </w:p>
        </w:tc>
      </w:tr>
      <w:tr w:rsidR="00C31DCB" w:rsidRPr="00DA7306" w14:paraId="5FE3A55D" w14:textId="77777777" w:rsidTr="00D1441C">
        <w:trPr>
          <w:jc w:val="center"/>
        </w:trPr>
        <w:tc>
          <w:tcPr>
            <w:tcW w:w="0" w:type="auto"/>
          </w:tcPr>
          <w:p w14:paraId="189D0C7F"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8</w:t>
            </w:r>
          </w:p>
        </w:tc>
        <w:tc>
          <w:tcPr>
            <w:tcW w:w="0" w:type="auto"/>
            <w:hideMark/>
          </w:tcPr>
          <w:p w14:paraId="5BF51C42"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Regular reminders or tips</w:t>
            </w:r>
          </w:p>
        </w:tc>
        <w:tc>
          <w:tcPr>
            <w:tcW w:w="0" w:type="auto"/>
            <w:hideMark/>
          </w:tcPr>
          <w:p w14:paraId="6549EBB0"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48</w:t>
            </w:r>
          </w:p>
        </w:tc>
      </w:tr>
    </w:tbl>
    <w:p w14:paraId="7D18572D" w14:textId="77777777" w:rsidR="00C31DCB" w:rsidRPr="00DA7306" w:rsidRDefault="00C31DCB" w:rsidP="00F12A27">
      <w:pPr>
        <w:spacing w:line="360" w:lineRule="auto"/>
        <w:jc w:val="both"/>
        <w:rPr>
          <w:rFonts w:ascii="Arial" w:hAnsi="Arial" w:cs="Arial"/>
          <w:b/>
          <w:bCs/>
        </w:rPr>
      </w:pPr>
    </w:p>
    <w:p w14:paraId="6500E9C0" w14:textId="09542B93" w:rsidR="00C31DCB" w:rsidRPr="00DA7306" w:rsidRDefault="00C31DCB" w:rsidP="00F12A27">
      <w:pPr>
        <w:spacing w:line="360" w:lineRule="auto"/>
        <w:jc w:val="both"/>
        <w:rPr>
          <w:rFonts w:ascii="Arial" w:hAnsi="Arial" w:cs="Arial"/>
          <w:b/>
          <w:bCs/>
        </w:rPr>
      </w:pPr>
      <w:r w:rsidRPr="00DA7306">
        <w:rPr>
          <w:rFonts w:ascii="Arial" w:hAnsi="Arial" w:cs="Arial"/>
          <w:b/>
          <w:bCs/>
        </w:rPr>
        <w:t>Table 4c: Selected barrier differences by waste level</w:t>
      </w:r>
    </w:p>
    <w:tbl>
      <w:tblPr>
        <w:tblStyle w:val="TableGrid"/>
        <w:tblW w:w="0" w:type="auto"/>
        <w:jc w:val="center"/>
        <w:tblLook w:val="04A0" w:firstRow="1" w:lastRow="0" w:firstColumn="1" w:lastColumn="0" w:noHBand="0" w:noVBand="1"/>
      </w:tblPr>
      <w:tblGrid>
        <w:gridCol w:w="550"/>
        <w:gridCol w:w="3207"/>
        <w:gridCol w:w="606"/>
        <w:gridCol w:w="917"/>
      </w:tblGrid>
      <w:tr w:rsidR="00C31DCB" w:rsidRPr="00DA7306" w14:paraId="66D3E392" w14:textId="77777777" w:rsidTr="00D1441C">
        <w:trPr>
          <w:jc w:val="center"/>
        </w:trPr>
        <w:tc>
          <w:tcPr>
            <w:tcW w:w="0" w:type="auto"/>
          </w:tcPr>
          <w:p w14:paraId="6F14518D" w14:textId="77777777" w:rsidR="00C31DCB" w:rsidRPr="00DA7306" w:rsidRDefault="00C31DCB" w:rsidP="00F12A27">
            <w:pPr>
              <w:spacing w:line="360" w:lineRule="auto"/>
              <w:jc w:val="center"/>
              <w:rPr>
                <w:rFonts w:ascii="Arial" w:hAnsi="Arial" w:cs="Arial"/>
                <w:b/>
                <w:bCs/>
                <w:sz w:val="20"/>
                <w:szCs w:val="20"/>
              </w:rPr>
            </w:pPr>
            <w:r w:rsidRPr="00DA7306">
              <w:rPr>
                <w:rFonts w:ascii="Arial" w:hAnsi="Arial" w:cs="Arial"/>
                <w:b/>
                <w:bCs/>
                <w:sz w:val="20"/>
                <w:szCs w:val="20"/>
              </w:rPr>
              <w:lastRenderedPageBreak/>
              <w:t>S/N</w:t>
            </w:r>
          </w:p>
        </w:tc>
        <w:tc>
          <w:tcPr>
            <w:tcW w:w="0" w:type="auto"/>
            <w:hideMark/>
          </w:tcPr>
          <w:p w14:paraId="79897027"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Barrier</w:t>
            </w:r>
          </w:p>
        </w:tc>
        <w:tc>
          <w:tcPr>
            <w:tcW w:w="0" w:type="auto"/>
            <w:hideMark/>
          </w:tcPr>
          <w:p w14:paraId="28A07198"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χ²</w:t>
            </w:r>
          </w:p>
        </w:tc>
        <w:tc>
          <w:tcPr>
            <w:tcW w:w="0" w:type="auto"/>
            <w:hideMark/>
          </w:tcPr>
          <w:p w14:paraId="2E329D93"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p-value</w:t>
            </w:r>
          </w:p>
        </w:tc>
      </w:tr>
      <w:tr w:rsidR="00C31DCB" w:rsidRPr="00DA7306" w14:paraId="782815BA" w14:textId="77777777" w:rsidTr="00D1441C">
        <w:trPr>
          <w:jc w:val="center"/>
        </w:trPr>
        <w:tc>
          <w:tcPr>
            <w:tcW w:w="0" w:type="auto"/>
          </w:tcPr>
          <w:p w14:paraId="69CE49B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29EE6D4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Insufficient tools or containers</w:t>
            </w:r>
          </w:p>
        </w:tc>
        <w:tc>
          <w:tcPr>
            <w:tcW w:w="0" w:type="auto"/>
            <w:hideMark/>
          </w:tcPr>
          <w:p w14:paraId="3AE35CC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0.72</w:t>
            </w:r>
          </w:p>
        </w:tc>
        <w:tc>
          <w:tcPr>
            <w:tcW w:w="0" w:type="auto"/>
            <w:hideMark/>
          </w:tcPr>
          <w:p w14:paraId="3F6A9D7A"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0.395</w:t>
            </w:r>
          </w:p>
        </w:tc>
      </w:tr>
      <w:tr w:rsidR="00C31DCB" w:rsidRPr="00DA7306" w14:paraId="76DD46B7" w14:textId="77777777" w:rsidTr="00D1441C">
        <w:trPr>
          <w:jc w:val="center"/>
        </w:trPr>
        <w:tc>
          <w:tcPr>
            <w:tcW w:w="0" w:type="auto"/>
          </w:tcPr>
          <w:p w14:paraId="34D67A8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2</w:t>
            </w:r>
          </w:p>
        </w:tc>
        <w:tc>
          <w:tcPr>
            <w:tcW w:w="0" w:type="auto"/>
            <w:hideMark/>
          </w:tcPr>
          <w:p w14:paraId="2328685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storage knowledge</w:t>
            </w:r>
          </w:p>
        </w:tc>
        <w:tc>
          <w:tcPr>
            <w:tcW w:w="0" w:type="auto"/>
            <w:hideMark/>
          </w:tcPr>
          <w:p w14:paraId="6037816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0.73</w:t>
            </w:r>
          </w:p>
        </w:tc>
        <w:tc>
          <w:tcPr>
            <w:tcW w:w="0" w:type="auto"/>
            <w:hideMark/>
          </w:tcPr>
          <w:p w14:paraId="4C6C6EA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0.393</w:t>
            </w:r>
          </w:p>
        </w:tc>
      </w:tr>
      <w:tr w:rsidR="00C31DCB" w:rsidRPr="00DA7306" w14:paraId="6D5BCA19" w14:textId="77777777" w:rsidTr="00D1441C">
        <w:trPr>
          <w:jc w:val="center"/>
        </w:trPr>
        <w:tc>
          <w:tcPr>
            <w:tcW w:w="0" w:type="auto"/>
          </w:tcPr>
          <w:p w14:paraId="21EEE31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648A2ED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Limited storage space</w:t>
            </w:r>
          </w:p>
        </w:tc>
        <w:tc>
          <w:tcPr>
            <w:tcW w:w="0" w:type="auto"/>
            <w:hideMark/>
          </w:tcPr>
          <w:p w14:paraId="2433A6E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0.00</w:t>
            </w:r>
          </w:p>
        </w:tc>
        <w:tc>
          <w:tcPr>
            <w:tcW w:w="0" w:type="auto"/>
            <w:hideMark/>
          </w:tcPr>
          <w:p w14:paraId="6C96B99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1.000</w:t>
            </w:r>
          </w:p>
        </w:tc>
      </w:tr>
      <w:tr w:rsidR="00C31DCB" w:rsidRPr="00DA7306" w14:paraId="2B751944" w14:textId="77777777" w:rsidTr="00D1441C">
        <w:trPr>
          <w:jc w:val="center"/>
        </w:trPr>
        <w:tc>
          <w:tcPr>
            <w:tcW w:w="0" w:type="auto"/>
          </w:tcPr>
          <w:p w14:paraId="756509E7"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4039E79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time for planning/leftovers</w:t>
            </w:r>
          </w:p>
        </w:tc>
        <w:tc>
          <w:tcPr>
            <w:tcW w:w="0" w:type="auto"/>
            <w:hideMark/>
          </w:tcPr>
          <w:p w14:paraId="08776641"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6.20</w:t>
            </w:r>
          </w:p>
        </w:tc>
        <w:tc>
          <w:tcPr>
            <w:tcW w:w="0" w:type="auto"/>
            <w:hideMark/>
          </w:tcPr>
          <w:p w14:paraId="679A748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0.013</w:t>
            </w:r>
          </w:p>
        </w:tc>
      </w:tr>
      <w:tr w:rsidR="00C31DCB" w:rsidRPr="00DA7306" w14:paraId="61B14BB6" w14:textId="77777777" w:rsidTr="00D1441C">
        <w:trPr>
          <w:jc w:val="center"/>
        </w:trPr>
        <w:tc>
          <w:tcPr>
            <w:tcW w:w="0" w:type="auto"/>
          </w:tcPr>
          <w:p w14:paraId="4656FE5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1268827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Family preferences</w:t>
            </w:r>
          </w:p>
        </w:tc>
        <w:tc>
          <w:tcPr>
            <w:tcW w:w="0" w:type="auto"/>
            <w:hideMark/>
          </w:tcPr>
          <w:p w14:paraId="4E61B272"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0.38</w:t>
            </w:r>
          </w:p>
        </w:tc>
        <w:tc>
          <w:tcPr>
            <w:tcW w:w="0" w:type="auto"/>
            <w:hideMark/>
          </w:tcPr>
          <w:p w14:paraId="1507A77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0.535</w:t>
            </w:r>
          </w:p>
        </w:tc>
      </w:tr>
    </w:tbl>
    <w:p w14:paraId="0D433CA5" w14:textId="207180BF" w:rsidR="00A85D07" w:rsidRDefault="005A0C05" w:rsidP="00A85D07">
      <w:pPr>
        <w:pStyle w:val="ListParagraph"/>
        <w:numPr>
          <w:ilvl w:val="0"/>
          <w:numId w:val="4"/>
        </w:numPr>
        <w:spacing w:after="0" w:line="360" w:lineRule="auto"/>
        <w:jc w:val="both"/>
        <w:rPr>
          <w:rFonts w:ascii="Arial" w:hAnsi="Arial" w:cs="Arial"/>
          <w:b/>
          <w:bCs/>
        </w:rPr>
      </w:pPr>
      <w:r w:rsidRPr="005A0C05">
        <w:rPr>
          <w:rFonts w:ascii="Arial" w:hAnsi="Arial" w:cs="Arial"/>
          <w:b/>
          <w:bCs/>
        </w:rPr>
        <w:t>DISCUSSION</w:t>
      </w:r>
    </w:p>
    <w:p w14:paraId="62A37B4E" w14:textId="77777777" w:rsidR="00A85D07" w:rsidRDefault="00A85D07" w:rsidP="00A85D07">
      <w:pPr>
        <w:spacing w:after="0" w:line="360" w:lineRule="auto"/>
        <w:jc w:val="both"/>
        <w:rPr>
          <w:rFonts w:ascii="Arial" w:hAnsi="Arial" w:cs="Arial"/>
          <w:b/>
          <w:bCs/>
        </w:rPr>
      </w:pPr>
    </w:p>
    <w:p w14:paraId="0F296C13" w14:textId="4B05A3C1"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The finding that larger households are more prone to high food waste aligns with evidence from Nigeria and other African contexts, where household size often correlates with increased purchasing and preparation, resulting in surplus and spoilage (</w:t>
      </w:r>
      <w:r w:rsidR="00C73D57">
        <w:rPr>
          <w:rFonts w:ascii="Arial" w:hAnsi="Arial" w:cs="Arial"/>
          <w:sz w:val="20"/>
          <w:szCs w:val="20"/>
          <w:lang w:val="en-US"/>
        </w:rPr>
        <w:t>Sunday</w:t>
      </w:r>
      <w:r w:rsidRPr="00A85D07">
        <w:rPr>
          <w:rFonts w:ascii="Arial" w:hAnsi="Arial" w:cs="Arial"/>
          <w:sz w:val="20"/>
          <w:szCs w:val="20"/>
          <w:lang w:val="en-US"/>
        </w:rPr>
        <w:t xml:space="preserve"> et al., 2025). Similar associations have been reported in European settings, where larger families frequently struggle with portion control and meal planning (Stancu et al., 2016). These patterns highlight the need for interventions that support households in aligning food quantities with actual consumption needs.</w:t>
      </w:r>
    </w:p>
    <w:p w14:paraId="4323CA7A" w14:textId="54E9DD33"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Low confidence in food</w:t>
      </w:r>
      <w:r w:rsidRPr="00A85D07">
        <w:rPr>
          <w:rFonts w:ascii="Arial" w:hAnsi="Arial" w:cs="Arial"/>
          <w:sz w:val="20"/>
          <w:szCs w:val="20"/>
          <w:lang w:val="en-US"/>
        </w:rPr>
        <w:noBreakHyphen/>
        <w:t>storage practices also emerged as a strong predictor of high waste, underscoring the central role of food literacy in waste</w:t>
      </w:r>
      <w:r w:rsidRPr="00A85D07">
        <w:rPr>
          <w:rFonts w:ascii="Arial" w:hAnsi="Arial" w:cs="Arial"/>
          <w:sz w:val="20"/>
          <w:szCs w:val="20"/>
          <w:lang w:val="en-US"/>
        </w:rPr>
        <w:noBreakHyphen/>
        <w:t>reduction efforts. Studies in South Africa and Kenya have shown that inadequate knowledge of storage methods</w:t>
      </w:r>
      <w:r>
        <w:rPr>
          <w:rFonts w:ascii="Arial" w:hAnsi="Arial" w:cs="Arial"/>
          <w:sz w:val="20"/>
          <w:szCs w:val="20"/>
          <w:lang w:val="en-US"/>
        </w:rPr>
        <w:t xml:space="preserve"> </w:t>
      </w:r>
      <w:r w:rsidRPr="00A85D07">
        <w:rPr>
          <w:rFonts w:ascii="Arial" w:hAnsi="Arial" w:cs="Arial"/>
          <w:sz w:val="20"/>
          <w:szCs w:val="20"/>
          <w:lang w:val="en-US"/>
        </w:rPr>
        <w:t>such as refrigeration, airtight containers, and proper handling of perishable foods</w:t>
      </w:r>
      <w:r>
        <w:rPr>
          <w:rFonts w:ascii="Arial" w:hAnsi="Arial" w:cs="Arial"/>
          <w:sz w:val="20"/>
          <w:szCs w:val="20"/>
          <w:lang w:val="en-US"/>
        </w:rPr>
        <w:t xml:space="preserve"> </w:t>
      </w:r>
      <w:r w:rsidRPr="00A85D07">
        <w:rPr>
          <w:rFonts w:ascii="Arial" w:hAnsi="Arial" w:cs="Arial"/>
          <w:sz w:val="20"/>
          <w:szCs w:val="20"/>
          <w:lang w:val="en-US"/>
        </w:rPr>
        <w:t>contributes significantly to spoilage (Crush &amp; Frayne, 2011; Miti et al., 2025; Chisika &amp; Yeom, 2025). This suggests that interventions should prioritise practical, skills</w:t>
      </w:r>
      <w:r w:rsidRPr="00A85D07">
        <w:rPr>
          <w:rFonts w:ascii="Arial" w:hAnsi="Arial" w:cs="Arial"/>
          <w:sz w:val="20"/>
          <w:szCs w:val="20"/>
          <w:lang w:val="en-US"/>
        </w:rPr>
        <w:noBreakHyphen/>
        <w:t>based training on storage techniques rather than relying solely on awareness campaigns.</w:t>
      </w:r>
    </w:p>
    <w:p w14:paraId="4F1B7F4A" w14:textId="77777777"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The protective effect of motivation to reduce food waste is consistent with behavioural models that emphasise self</w:t>
      </w:r>
      <w:r w:rsidRPr="00A85D07">
        <w:rPr>
          <w:rFonts w:ascii="Arial" w:hAnsi="Arial" w:cs="Arial"/>
          <w:sz w:val="20"/>
          <w:szCs w:val="20"/>
          <w:lang w:val="en-US"/>
        </w:rPr>
        <w:noBreakHyphen/>
        <w:t>efficacy and intrinsic motivation. Principato et al. (2020) found that households with strong pro</w:t>
      </w:r>
      <w:r w:rsidRPr="00A85D07">
        <w:rPr>
          <w:rFonts w:ascii="Arial" w:hAnsi="Arial" w:cs="Arial"/>
          <w:sz w:val="20"/>
          <w:szCs w:val="20"/>
          <w:lang w:val="en-US"/>
        </w:rPr>
        <w:noBreakHyphen/>
        <w:t>environmental attitudes and motivation were more likely to adopt waste</w:t>
      </w:r>
      <w:r w:rsidRPr="00A85D07">
        <w:rPr>
          <w:rFonts w:ascii="Arial" w:hAnsi="Arial" w:cs="Arial"/>
          <w:sz w:val="20"/>
          <w:szCs w:val="20"/>
          <w:lang w:val="en-US"/>
        </w:rPr>
        <w:noBreakHyphen/>
        <w:t>reduction behaviours, even without external incentives. The absence of significant effects for income and education in this study further suggests that food</w:t>
      </w:r>
      <w:r w:rsidRPr="00A85D07">
        <w:rPr>
          <w:rFonts w:ascii="Arial" w:hAnsi="Arial" w:cs="Arial"/>
          <w:sz w:val="20"/>
          <w:szCs w:val="20"/>
          <w:lang w:val="en-US"/>
        </w:rPr>
        <w:noBreakHyphen/>
        <w:t>waste behaviours cut across socio</w:t>
      </w:r>
      <w:r w:rsidRPr="00A85D07">
        <w:rPr>
          <w:rFonts w:ascii="Arial" w:hAnsi="Arial" w:cs="Arial"/>
          <w:sz w:val="20"/>
          <w:szCs w:val="20"/>
          <w:lang w:val="en-US"/>
        </w:rPr>
        <w:noBreakHyphen/>
        <w:t>economic lines, reinforcing findings from Etim et al. (2025) that behavioural and perceptual factors are stronger determinants of waste outcomes than structural characteristics.</w:t>
      </w:r>
    </w:p>
    <w:p w14:paraId="6CEF12F8" w14:textId="77777777"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The identification of three household typologies provides deeper insight into the heterogeneity of food</w:t>
      </w:r>
      <w:r w:rsidRPr="00A85D07">
        <w:rPr>
          <w:rFonts w:ascii="Arial" w:hAnsi="Arial" w:cs="Arial"/>
          <w:sz w:val="20"/>
          <w:szCs w:val="20"/>
          <w:lang w:val="en-US"/>
        </w:rPr>
        <w:noBreakHyphen/>
        <w:t>waste behaviours in urban Nigeria. The “Unaware and Wasteful” group mirrors findings from earlier studies, where households with limited knowledge of food storage and the consequences of waste consistently exhibited high waste levels (Adedayo et al., 2020). This suggests that awareness campaigns alone may be insufficient; targeted interventions focusing on practical skills and hands</w:t>
      </w:r>
      <w:r w:rsidRPr="00A85D07">
        <w:rPr>
          <w:rFonts w:ascii="Arial" w:hAnsi="Arial" w:cs="Arial"/>
          <w:sz w:val="20"/>
          <w:szCs w:val="20"/>
          <w:lang w:val="en-US"/>
        </w:rPr>
        <w:noBreakHyphen/>
        <w:t>on demonstrations are essential for this group.</w:t>
      </w:r>
    </w:p>
    <w:p w14:paraId="2AB7B32C" w14:textId="77777777"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lastRenderedPageBreak/>
        <w:t>The “Aware but Ineffective” cluster reflects households that recognise the problem but struggle to translate awareness into action. Similar patterns have been documented elsewhere, where awareness alone did not lead to behavioural change without structural support such as portioning tools, reminders, or community</w:t>
      </w:r>
      <w:r w:rsidRPr="00A85D07">
        <w:rPr>
          <w:rFonts w:ascii="Arial" w:hAnsi="Arial" w:cs="Arial"/>
          <w:sz w:val="20"/>
          <w:szCs w:val="20"/>
          <w:lang w:val="en-US"/>
        </w:rPr>
        <w:noBreakHyphen/>
        <w:t>based incentives (Principato et al., 2020; Ufua et al., 2023). The limited impact of the one</w:t>
      </w:r>
      <w:r w:rsidRPr="00A85D07">
        <w:rPr>
          <w:rFonts w:ascii="Arial" w:hAnsi="Arial" w:cs="Arial"/>
          <w:sz w:val="20"/>
          <w:szCs w:val="20"/>
          <w:lang w:val="en-US"/>
        </w:rPr>
        <w:noBreakHyphen/>
        <w:t>off campaign observed in this study aligns with evidence showing that behavioural change is rarely sustained without reinforcement, practical skill</w:t>
      </w:r>
      <w:r w:rsidRPr="00A85D07">
        <w:rPr>
          <w:rFonts w:ascii="Arial" w:hAnsi="Arial" w:cs="Arial"/>
          <w:sz w:val="20"/>
          <w:szCs w:val="20"/>
          <w:lang w:val="en-US"/>
        </w:rPr>
        <w:noBreakHyphen/>
        <w:t>building, and supportive environmental structures (Hebrok &amp; Boks, 2020; Chisika &amp; Yeom, 2025). Urban studies in African cities further emphasise the need for integrated approaches that combine household</w:t>
      </w:r>
      <w:r w:rsidRPr="00A85D07">
        <w:rPr>
          <w:rFonts w:ascii="Arial" w:hAnsi="Arial" w:cs="Arial"/>
          <w:sz w:val="20"/>
          <w:szCs w:val="20"/>
          <w:lang w:val="en-US"/>
        </w:rPr>
        <w:noBreakHyphen/>
        <w:t>level education with improved waste</w:t>
      </w:r>
      <w:r w:rsidRPr="00A85D07">
        <w:rPr>
          <w:rFonts w:ascii="Arial" w:hAnsi="Arial" w:cs="Arial"/>
          <w:sz w:val="20"/>
          <w:szCs w:val="20"/>
          <w:lang w:val="en-US"/>
        </w:rPr>
        <w:noBreakHyphen/>
        <w:t>management infrastructure (Mmereki et al., 2024; Battersby, 2020). Together, these findings underscore the importance of bridging the gap between knowledge and practice through behavioural nudges, accessible tools, and enabling community systems.</w:t>
      </w:r>
    </w:p>
    <w:p w14:paraId="64617B38" w14:textId="77777777"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The “Motivated and Effective” cluster aligns with global evidence showing that households with strong intrinsic motivation and confidence in their practices achieve lower waste levels. Studies in Denmark and South Africa have demonstrated that motivated households consistently adopt behaviours such as meal planning, proper storage, and leftover reuse, resulting in measurable reductions in waste (Stancu et al., 2016; Miti et al., 2025). These typologies therefore provide a useful framework for tailoring interventions: intensive awareness</w:t>
      </w:r>
      <w:r w:rsidRPr="00A85D07">
        <w:rPr>
          <w:rFonts w:ascii="Arial" w:hAnsi="Arial" w:cs="Arial"/>
          <w:sz w:val="20"/>
          <w:szCs w:val="20"/>
          <w:lang w:val="en-US"/>
        </w:rPr>
        <w:noBreakHyphen/>
        <w:t>raising and skill</w:t>
      </w:r>
      <w:r w:rsidRPr="00A85D07">
        <w:rPr>
          <w:rFonts w:ascii="Arial" w:hAnsi="Arial" w:cs="Arial"/>
          <w:sz w:val="20"/>
          <w:szCs w:val="20"/>
          <w:lang w:val="en-US"/>
        </w:rPr>
        <w:noBreakHyphen/>
        <w:t>building for the “Unaware and Wasteful,” behavioural reinforcement and practical support for the “Aware but Ineffective,” and sustained motivation and recognition mechanisms for the “Motivated and Effective.”</w:t>
      </w:r>
    </w:p>
    <w:p w14:paraId="0AC10430" w14:textId="77777777"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Differences in perceived barriers between high</w:t>
      </w:r>
      <w:r w:rsidRPr="00A85D07">
        <w:rPr>
          <w:rFonts w:ascii="Arial" w:hAnsi="Arial" w:cs="Arial"/>
          <w:sz w:val="20"/>
          <w:szCs w:val="20"/>
          <w:lang w:val="en-US"/>
        </w:rPr>
        <w:noBreakHyphen/>
        <w:t xml:space="preserve"> and low</w:t>
      </w:r>
      <w:r w:rsidRPr="00A85D07">
        <w:rPr>
          <w:rFonts w:ascii="Arial" w:hAnsi="Arial" w:cs="Arial"/>
          <w:sz w:val="20"/>
          <w:szCs w:val="20"/>
          <w:lang w:val="en-US"/>
        </w:rPr>
        <w:noBreakHyphen/>
        <w:t>waste households offer further insight into intervention design. High</w:t>
      </w:r>
      <w:r w:rsidRPr="00A85D07">
        <w:rPr>
          <w:rFonts w:ascii="Arial" w:hAnsi="Arial" w:cs="Arial"/>
          <w:sz w:val="20"/>
          <w:szCs w:val="20"/>
          <w:lang w:val="en-US"/>
        </w:rPr>
        <w:noBreakHyphen/>
        <w:t>waste households were more likely to report poor storage knowledge and lack of planning as key barriers, while low</w:t>
      </w:r>
      <w:r w:rsidRPr="00A85D07">
        <w:rPr>
          <w:rFonts w:ascii="Arial" w:hAnsi="Arial" w:cs="Arial"/>
          <w:sz w:val="20"/>
          <w:szCs w:val="20"/>
          <w:lang w:val="en-US"/>
        </w:rPr>
        <w:noBreakHyphen/>
        <w:t>waste households emphasised the need for community composting facilities and reinforcement of awareness campaigns (Shu et al., 2023). The prioritisation of poor storage knowledge as the leading barrier aligns with previous studies in which households reported spoilage due to inadequate refrigeration, improper packaging, and limited understanding of storage techniques (Graham</w:t>
      </w:r>
      <w:r w:rsidRPr="00A85D07">
        <w:rPr>
          <w:rFonts w:ascii="Arial" w:hAnsi="Arial" w:cs="Arial"/>
          <w:sz w:val="20"/>
          <w:szCs w:val="20"/>
          <w:lang w:val="en-US"/>
        </w:rPr>
        <w:noBreakHyphen/>
        <w:t>Rowe et al., 2014; Adedayo et al., 2020; Miti et al., 2025). This reinforces the importance of food</w:t>
      </w:r>
      <w:r w:rsidRPr="00A85D07">
        <w:rPr>
          <w:rFonts w:ascii="Arial" w:hAnsi="Arial" w:cs="Arial"/>
          <w:sz w:val="20"/>
          <w:szCs w:val="20"/>
          <w:lang w:val="en-US"/>
        </w:rPr>
        <w:noBreakHyphen/>
        <w:t>literacy interventions that provide hands</w:t>
      </w:r>
      <w:r w:rsidRPr="00A85D07">
        <w:rPr>
          <w:rFonts w:ascii="Arial" w:hAnsi="Arial" w:cs="Arial"/>
          <w:sz w:val="20"/>
          <w:szCs w:val="20"/>
          <w:lang w:val="en-US"/>
        </w:rPr>
        <w:noBreakHyphen/>
        <w:t>on training rather than relying solely on informational messages.</w:t>
      </w:r>
    </w:p>
    <w:p w14:paraId="29CA6E0B" w14:textId="686625CA"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The prominence of meal</w:t>
      </w:r>
      <w:r w:rsidRPr="00A85D07">
        <w:rPr>
          <w:rFonts w:ascii="Arial" w:hAnsi="Arial" w:cs="Arial"/>
          <w:sz w:val="20"/>
          <w:szCs w:val="20"/>
          <w:lang w:val="en-US"/>
        </w:rPr>
        <w:noBreakHyphen/>
        <w:t>planning challenges also reflects earlier findings showing a decline in planning behaviours post</w:t>
      </w:r>
      <w:r w:rsidRPr="00A85D07">
        <w:rPr>
          <w:rFonts w:ascii="Arial" w:hAnsi="Arial" w:cs="Arial"/>
          <w:sz w:val="20"/>
          <w:szCs w:val="20"/>
          <w:lang w:val="en-US"/>
        </w:rPr>
        <w:noBreakHyphen/>
        <w:t>campaign. International evidence confirms that meal planning is one of the most effective strategies for reducing household food waste (</w:t>
      </w:r>
      <w:r w:rsidR="00B05039">
        <w:rPr>
          <w:rFonts w:ascii="Arial" w:hAnsi="Arial" w:cs="Arial"/>
          <w:sz w:val="20"/>
          <w:szCs w:val="20"/>
          <w:lang w:val="en-US"/>
        </w:rPr>
        <w:t xml:space="preserve">Liechti et al., </w:t>
      </w:r>
      <w:r w:rsidRPr="00A85D07">
        <w:rPr>
          <w:rFonts w:ascii="Arial" w:hAnsi="Arial" w:cs="Arial"/>
          <w:sz w:val="20"/>
          <w:szCs w:val="20"/>
          <w:lang w:val="en-US"/>
        </w:rPr>
        <w:t>2023; Principato et al., 2020). Campaigns should therefore prioritise strengthening planning behaviours rather than shifting attention to less impactful practices.</w:t>
      </w:r>
    </w:p>
    <w:p w14:paraId="55EC7635" w14:textId="355CFC2E"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Support needs</w:t>
      </w:r>
      <w:r>
        <w:rPr>
          <w:rFonts w:ascii="Arial" w:hAnsi="Arial" w:cs="Arial"/>
          <w:sz w:val="20"/>
          <w:szCs w:val="20"/>
          <w:lang w:val="en-US"/>
        </w:rPr>
        <w:t xml:space="preserve"> </w:t>
      </w:r>
      <w:r w:rsidRPr="00A85D07">
        <w:rPr>
          <w:rFonts w:ascii="Arial" w:hAnsi="Arial" w:cs="Arial"/>
          <w:sz w:val="20"/>
          <w:szCs w:val="20"/>
          <w:lang w:val="en-US"/>
        </w:rPr>
        <w:t>particularly the demand for practical training and community composting facilities</w:t>
      </w:r>
      <w:r>
        <w:rPr>
          <w:rFonts w:ascii="Arial" w:hAnsi="Arial" w:cs="Arial"/>
          <w:sz w:val="20"/>
          <w:szCs w:val="20"/>
          <w:lang w:val="en-US"/>
        </w:rPr>
        <w:t xml:space="preserve"> </w:t>
      </w:r>
      <w:r w:rsidRPr="00A85D07">
        <w:rPr>
          <w:rFonts w:ascii="Arial" w:hAnsi="Arial" w:cs="Arial"/>
          <w:sz w:val="20"/>
          <w:szCs w:val="20"/>
          <w:lang w:val="en-US"/>
        </w:rPr>
        <w:t xml:space="preserve">reflect households’ desire for both knowledge and infrastructure (UNEP, 2021). Similar findings have been reported in Kenya and South Africa, where households expressed willingness to compost but lacked access to facilities or municipal support (Battersby, 2020; Mmereki et al., 2024; Chisika &amp; Yeom, 2025). Addressing </w:t>
      </w:r>
      <w:r w:rsidRPr="00A85D07">
        <w:rPr>
          <w:rFonts w:ascii="Arial" w:hAnsi="Arial" w:cs="Arial"/>
          <w:sz w:val="20"/>
          <w:szCs w:val="20"/>
          <w:lang w:val="en-US"/>
        </w:rPr>
        <w:lastRenderedPageBreak/>
        <w:t>these needs requires policy</w:t>
      </w:r>
      <w:r w:rsidRPr="00A85D07">
        <w:rPr>
          <w:rFonts w:ascii="Arial" w:hAnsi="Arial" w:cs="Arial"/>
          <w:sz w:val="20"/>
          <w:szCs w:val="20"/>
          <w:lang w:val="en-US"/>
        </w:rPr>
        <w:noBreakHyphen/>
        <w:t>level interventions, including investment in community composting hubs and integration of food</w:t>
      </w:r>
      <w:r w:rsidRPr="00A85D07">
        <w:rPr>
          <w:rFonts w:ascii="Arial" w:hAnsi="Arial" w:cs="Arial"/>
          <w:sz w:val="20"/>
          <w:szCs w:val="20"/>
          <w:lang w:val="en-US"/>
        </w:rPr>
        <w:noBreakHyphen/>
        <w:t>waste reduction into municipal waste</w:t>
      </w:r>
      <w:r w:rsidRPr="00A85D07">
        <w:rPr>
          <w:rFonts w:ascii="Arial" w:hAnsi="Arial" w:cs="Arial"/>
          <w:sz w:val="20"/>
          <w:szCs w:val="20"/>
          <w:lang w:val="en-US"/>
        </w:rPr>
        <w:noBreakHyphen/>
        <w:t>management systems.</w:t>
      </w:r>
    </w:p>
    <w:p w14:paraId="27166E1D" w14:textId="4B4339B1" w:rsidR="00A85D07" w:rsidRPr="00A85D07" w:rsidRDefault="00A85D07" w:rsidP="00A85D07">
      <w:pPr>
        <w:spacing w:after="0" w:line="360" w:lineRule="auto"/>
        <w:jc w:val="both"/>
        <w:rPr>
          <w:rFonts w:ascii="Arial" w:hAnsi="Arial" w:cs="Arial"/>
          <w:sz w:val="20"/>
          <w:szCs w:val="20"/>
          <w:lang w:val="en-US"/>
        </w:rPr>
      </w:pPr>
      <w:r w:rsidRPr="00A85D07">
        <w:rPr>
          <w:rFonts w:ascii="Arial" w:hAnsi="Arial" w:cs="Arial"/>
          <w:sz w:val="20"/>
          <w:szCs w:val="20"/>
          <w:lang w:val="en-US"/>
        </w:rPr>
        <w:t>Overall, differences by waste level highlight the importance of tailored interventions. High</w:t>
      </w:r>
      <w:r w:rsidRPr="00A85D07">
        <w:rPr>
          <w:rFonts w:ascii="Arial" w:hAnsi="Arial" w:cs="Arial"/>
          <w:sz w:val="20"/>
          <w:szCs w:val="20"/>
          <w:lang w:val="en-US"/>
        </w:rPr>
        <w:noBreakHyphen/>
        <w:t>waste households’ emphasis on storage and planning barriers suggests that targeted training and behavioural reinforcement are critical for this group. In contrast, low</w:t>
      </w:r>
      <w:r w:rsidRPr="00A85D07">
        <w:rPr>
          <w:rFonts w:ascii="Arial" w:hAnsi="Arial" w:cs="Arial"/>
          <w:sz w:val="20"/>
          <w:szCs w:val="20"/>
          <w:lang w:val="en-US"/>
        </w:rPr>
        <w:noBreakHyphen/>
        <w:t>waste households’ focus on community facilities and awareness campaigns indicates that sustaining motivation and providing structural support are key to maintaining low waste levels (Carvalho et al., 2024). These findings align with global recommendations that emphasise multi</w:t>
      </w:r>
      <w:r w:rsidRPr="00A85D07">
        <w:rPr>
          <w:rFonts w:ascii="Arial" w:hAnsi="Arial" w:cs="Arial"/>
          <w:sz w:val="20"/>
          <w:szCs w:val="20"/>
          <w:lang w:val="en-US"/>
        </w:rPr>
        <w:noBreakHyphen/>
        <w:t>level interventions combining household education, infrastructure provision, and sustained public messaging (Quested et al., 2011; Etim et al., 2025).</w:t>
      </w:r>
    </w:p>
    <w:p w14:paraId="2A807804" w14:textId="6C70EA50" w:rsidR="00DA7306" w:rsidRPr="005A0C05" w:rsidRDefault="008F0861" w:rsidP="005A0C05">
      <w:pPr>
        <w:pStyle w:val="ListParagraph"/>
        <w:numPr>
          <w:ilvl w:val="0"/>
          <w:numId w:val="4"/>
        </w:numPr>
        <w:spacing w:after="0" w:line="360" w:lineRule="auto"/>
        <w:jc w:val="both"/>
        <w:rPr>
          <w:rFonts w:ascii="Times New Roman" w:hAnsi="Times New Roman" w:cs="Times New Roman"/>
          <w:b/>
          <w:bCs/>
          <w:sz w:val="24"/>
          <w:szCs w:val="24"/>
        </w:rPr>
      </w:pPr>
      <w:r w:rsidRPr="005A0C05">
        <w:rPr>
          <w:rFonts w:ascii="Times New Roman" w:hAnsi="Times New Roman" w:cs="Times New Roman"/>
          <w:b/>
          <w:bCs/>
          <w:sz w:val="24"/>
          <w:szCs w:val="24"/>
        </w:rPr>
        <w:t>Limitations</w:t>
      </w:r>
    </w:p>
    <w:p w14:paraId="6F4A37E9" w14:textId="6D0911FE" w:rsidR="00FC38B8" w:rsidRPr="00FC38B8" w:rsidRDefault="008F0861" w:rsidP="00255A74">
      <w:pPr>
        <w:spacing w:after="0" w:line="360" w:lineRule="auto"/>
        <w:jc w:val="both"/>
        <w:rPr>
          <w:rFonts w:ascii="Arial" w:hAnsi="Arial" w:cs="Arial"/>
          <w:sz w:val="20"/>
          <w:szCs w:val="20"/>
        </w:rPr>
      </w:pPr>
      <w:r w:rsidRPr="00FC38B8">
        <w:rPr>
          <w:rFonts w:ascii="Arial" w:hAnsi="Arial" w:cs="Arial"/>
          <w:sz w:val="20"/>
          <w:szCs w:val="20"/>
        </w:rPr>
        <w:t>This study has several limitations that should be acknowledged when interpreting the findings. Firstly, household food waste was measured using self</w:t>
      </w:r>
      <w:r w:rsidRPr="00FC38B8">
        <w:rPr>
          <w:rFonts w:ascii="Arial" w:hAnsi="Arial" w:cs="Arial"/>
          <w:sz w:val="20"/>
          <w:szCs w:val="20"/>
        </w:rPr>
        <w:noBreakHyphen/>
        <w:t>reported estimates rather than direct weighing, which may introduce inaccuracies due to under</w:t>
      </w:r>
      <w:r w:rsidRPr="00FC38B8">
        <w:rPr>
          <w:rFonts w:ascii="Arial" w:hAnsi="Arial" w:cs="Arial"/>
          <w:sz w:val="20"/>
          <w:szCs w:val="20"/>
        </w:rPr>
        <w:noBreakHyphen/>
        <w:t xml:space="preserve"> or over</w:t>
      </w:r>
      <w:r w:rsidRPr="00FC38B8">
        <w:rPr>
          <w:rFonts w:ascii="Arial" w:hAnsi="Arial" w:cs="Arial"/>
          <w:sz w:val="20"/>
          <w:szCs w:val="20"/>
        </w:rPr>
        <w:noBreakHyphen/>
        <w:t>estimation. Secondly, the reliance on respondents’ recall of food</w:t>
      </w:r>
      <w:r w:rsidRPr="00FC38B8">
        <w:rPr>
          <w:rFonts w:ascii="Arial" w:hAnsi="Arial" w:cs="Arial"/>
          <w:sz w:val="20"/>
          <w:szCs w:val="20"/>
        </w:rPr>
        <w:noBreakHyphen/>
        <w:t>management behaviours over the preceding week may be subject to recall bias, particularly for routine practices such as storage and leftover use. Thirdly, the study did not include a long</w:t>
      </w:r>
      <w:r w:rsidRPr="00FC38B8">
        <w:rPr>
          <w:rFonts w:ascii="Arial" w:hAnsi="Arial" w:cs="Arial"/>
          <w:sz w:val="20"/>
          <w:szCs w:val="20"/>
        </w:rPr>
        <w:noBreakHyphen/>
        <w:t>term follow</w:t>
      </w:r>
      <w:r w:rsidRPr="00FC38B8">
        <w:rPr>
          <w:rFonts w:ascii="Arial" w:hAnsi="Arial" w:cs="Arial"/>
          <w:sz w:val="20"/>
          <w:szCs w:val="20"/>
        </w:rPr>
        <w:noBreakHyphen/>
        <w:t>up to assess whether behavioural changes observed after the campaign were sustained over time. As a result, the persistence of campaign effects cannot be determined. Fourthly, no formal statistical power analysis was conducted prior to data collection due to the exploratory nature of the research; however, the achieved sample size aligns with similar behavioural studies in the region. Finally, although the response rate was relatively high (78.7%), the potential for non</w:t>
      </w:r>
      <w:r w:rsidRPr="00FC38B8">
        <w:rPr>
          <w:rFonts w:ascii="Arial" w:hAnsi="Arial" w:cs="Arial"/>
          <w:sz w:val="20"/>
          <w:szCs w:val="20"/>
        </w:rPr>
        <w:noBreakHyphen/>
        <w:t>response bias remains, as households that declined participation may differ systematically from those who completed the survey. These limitations highlight the need for future studies incorporating direct waste measurement, longitudinal designs, and more robust sampling frameworks.</w:t>
      </w:r>
    </w:p>
    <w:p w14:paraId="054ECF57" w14:textId="616AF33D" w:rsidR="000E34BB" w:rsidRPr="008F0861" w:rsidRDefault="008F0861" w:rsidP="008F0861">
      <w:pPr>
        <w:spacing w:after="0" w:line="360" w:lineRule="auto"/>
        <w:jc w:val="both"/>
        <w:rPr>
          <w:rFonts w:ascii="Arial" w:hAnsi="Arial" w:cs="Arial"/>
          <w:b/>
          <w:bCs/>
        </w:rPr>
      </w:pPr>
      <w:r>
        <w:rPr>
          <w:rFonts w:ascii="Arial" w:hAnsi="Arial" w:cs="Arial"/>
          <w:b/>
          <w:bCs/>
        </w:rPr>
        <w:t>6.</w:t>
      </w:r>
      <w:r>
        <w:rPr>
          <w:rFonts w:ascii="Arial" w:hAnsi="Arial" w:cs="Arial"/>
          <w:b/>
          <w:bCs/>
        </w:rPr>
        <w:tab/>
      </w:r>
      <w:r w:rsidR="00DA7306" w:rsidRPr="008F0861">
        <w:rPr>
          <w:rFonts w:ascii="Arial" w:hAnsi="Arial" w:cs="Arial"/>
          <w:b/>
          <w:bCs/>
        </w:rPr>
        <w:t>CONCLUSION</w:t>
      </w:r>
    </w:p>
    <w:p w14:paraId="4EA0C314" w14:textId="5276B2F6" w:rsidR="002136E5" w:rsidRPr="00DA7306" w:rsidRDefault="002136E5" w:rsidP="00F12A27">
      <w:pPr>
        <w:spacing w:line="360" w:lineRule="auto"/>
        <w:jc w:val="both"/>
        <w:rPr>
          <w:rFonts w:ascii="Arial" w:hAnsi="Arial" w:cs="Arial"/>
          <w:sz w:val="20"/>
          <w:szCs w:val="20"/>
          <w:lang w:val="en-US"/>
        </w:rPr>
      </w:pPr>
      <w:r w:rsidRPr="00DA7306">
        <w:rPr>
          <w:rFonts w:ascii="Arial" w:hAnsi="Arial" w:cs="Arial"/>
          <w:sz w:val="20"/>
          <w:szCs w:val="20"/>
          <w:lang w:val="en-US"/>
        </w:rPr>
        <w:t>This study examined household food</w:t>
      </w:r>
      <w:r w:rsidRPr="00DA7306">
        <w:rPr>
          <w:rFonts w:ascii="Arial" w:hAnsi="Arial" w:cs="Arial"/>
          <w:sz w:val="20"/>
          <w:szCs w:val="20"/>
          <w:lang w:val="en-US"/>
        </w:rPr>
        <w:noBreakHyphen/>
        <w:t>waste behaviours, predictors, typologies, and barriers in urban Nigeria, using a community</w:t>
      </w:r>
      <w:r w:rsidRPr="00DA7306">
        <w:rPr>
          <w:rFonts w:ascii="Arial" w:hAnsi="Arial" w:cs="Arial"/>
          <w:sz w:val="20"/>
          <w:szCs w:val="20"/>
          <w:lang w:val="en-US"/>
        </w:rPr>
        <w:noBreakHyphen/>
        <w:t>based campaign intervention. The results revealed that short</w:t>
      </w:r>
      <w:r w:rsidRPr="00DA7306">
        <w:rPr>
          <w:rFonts w:ascii="Arial" w:hAnsi="Arial" w:cs="Arial"/>
          <w:sz w:val="20"/>
          <w:szCs w:val="20"/>
          <w:lang w:val="en-US"/>
        </w:rPr>
        <w:noBreakHyphen/>
        <w:t>term campaigns alone did not significantly increase the adoption of food</w:t>
      </w:r>
      <w:r w:rsidRPr="00DA7306">
        <w:rPr>
          <w:rFonts w:ascii="Arial" w:hAnsi="Arial" w:cs="Arial"/>
          <w:sz w:val="20"/>
          <w:szCs w:val="20"/>
          <w:lang w:val="en-US"/>
        </w:rPr>
        <w:noBreakHyphen/>
        <w:t>waste reduction behaviours, with meal planning even declining post</w:t>
      </w:r>
      <w:r w:rsidRPr="00DA7306">
        <w:rPr>
          <w:rFonts w:ascii="Arial" w:hAnsi="Arial" w:cs="Arial"/>
          <w:sz w:val="20"/>
          <w:szCs w:val="20"/>
          <w:lang w:val="en-US"/>
        </w:rPr>
        <w:noBreakHyphen/>
        <w:t>intervention. Logistic regression highlighted household size and low confidence in storage practices as strong predictors of high waste, while motivation to reduce waste emerged as protective. Cluster analysis identified three distinct household typologies “Unaware and Wasteful,” “Aware but Ineffective,” and “Motivated and Effective” underscoring the heterogeneity of household practices. Barriers such as poor storage knowledge and lack of planning were most frequently cited, while households expressed support needs for practical training, community composting facilities, and sustained awareness campaigns.</w:t>
      </w:r>
    </w:p>
    <w:p w14:paraId="0E823811" w14:textId="7B69B728" w:rsidR="007623F7" w:rsidRPr="001E43E2" w:rsidRDefault="002136E5" w:rsidP="00CA7060">
      <w:pPr>
        <w:spacing w:line="360" w:lineRule="auto"/>
        <w:jc w:val="both"/>
        <w:rPr>
          <w:rFonts w:ascii="Arial" w:hAnsi="Arial" w:cs="Arial"/>
          <w:sz w:val="20"/>
          <w:szCs w:val="20"/>
          <w:lang w:val="en-US"/>
        </w:rPr>
      </w:pPr>
      <w:r w:rsidRPr="00DA7306">
        <w:rPr>
          <w:rFonts w:ascii="Arial" w:hAnsi="Arial" w:cs="Arial"/>
          <w:sz w:val="20"/>
          <w:szCs w:val="20"/>
          <w:lang w:val="en-US"/>
        </w:rPr>
        <w:t>These findings demonstrate that food</w:t>
      </w:r>
      <w:r w:rsidRPr="00DA7306">
        <w:rPr>
          <w:rFonts w:ascii="Arial" w:hAnsi="Arial" w:cs="Arial"/>
          <w:sz w:val="20"/>
          <w:szCs w:val="20"/>
          <w:lang w:val="en-US"/>
        </w:rPr>
        <w:noBreakHyphen/>
        <w:t>waste reduction in urban Nigeria requires more than one</w:t>
      </w:r>
      <w:r w:rsidRPr="00DA7306">
        <w:rPr>
          <w:rFonts w:ascii="Arial" w:hAnsi="Arial" w:cs="Arial"/>
          <w:sz w:val="20"/>
          <w:szCs w:val="20"/>
          <w:lang w:val="en-US"/>
        </w:rPr>
        <w:noBreakHyphen/>
        <w:t>off awareness campaigns. Effective strategies must combine practical skill</w:t>
      </w:r>
      <w:r w:rsidRPr="00DA7306">
        <w:rPr>
          <w:rFonts w:ascii="Arial" w:hAnsi="Arial" w:cs="Arial"/>
          <w:sz w:val="20"/>
          <w:szCs w:val="20"/>
          <w:lang w:val="en-US"/>
        </w:rPr>
        <w:noBreakHyphen/>
        <w:t xml:space="preserve">building, behavioural reinforcement, and infrastructural support, tailored to household typologies and waste levels. Policy </w:t>
      </w:r>
      <w:r w:rsidRPr="00DA7306">
        <w:rPr>
          <w:rFonts w:ascii="Arial" w:hAnsi="Arial" w:cs="Arial"/>
          <w:sz w:val="20"/>
          <w:szCs w:val="20"/>
          <w:lang w:val="en-US"/>
        </w:rPr>
        <w:lastRenderedPageBreak/>
        <w:t>interventions should prioritize community</w:t>
      </w:r>
      <w:r w:rsidRPr="00DA7306">
        <w:rPr>
          <w:rFonts w:ascii="Arial" w:hAnsi="Arial" w:cs="Arial"/>
          <w:sz w:val="20"/>
          <w:szCs w:val="20"/>
          <w:lang w:val="en-US"/>
        </w:rPr>
        <w:noBreakHyphen/>
        <w:t>level facilities and integrate food</w:t>
      </w:r>
      <w:r w:rsidRPr="00DA7306">
        <w:rPr>
          <w:rFonts w:ascii="Arial" w:hAnsi="Arial" w:cs="Arial"/>
          <w:sz w:val="20"/>
          <w:szCs w:val="20"/>
          <w:lang w:val="en-US"/>
        </w:rPr>
        <w:noBreakHyphen/>
        <w:t>waste reduction into municipal waste management systems. By addressing both behavioural and structural determinants, targeted interventions can contribute to meaningful reductions in household food waste and advance urban sustainability goals.</w:t>
      </w:r>
    </w:p>
    <w:p w14:paraId="65184CE9" w14:textId="77777777" w:rsidR="007623F7" w:rsidRPr="00786D36" w:rsidRDefault="007623F7" w:rsidP="007623F7">
      <w:pPr>
        <w:pStyle w:val="ReferHead"/>
        <w:spacing w:after="0"/>
        <w:jc w:val="both"/>
        <w:rPr>
          <w:rFonts w:ascii="Arial" w:hAnsi="Arial" w:cs="Arial"/>
          <w:bCs/>
        </w:rPr>
      </w:pPr>
      <w:r w:rsidRPr="00786D36">
        <w:rPr>
          <w:rFonts w:ascii="Arial" w:hAnsi="Arial" w:cs="Arial"/>
          <w:bCs/>
        </w:rPr>
        <w:t>Competing interests</w:t>
      </w:r>
    </w:p>
    <w:p w14:paraId="1AA1B14E" w14:textId="77777777" w:rsidR="007623F7" w:rsidRDefault="007623F7" w:rsidP="007623F7">
      <w:pPr>
        <w:pStyle w:val="ReferHead"/>
        <w:spacing w:after="0"/>
        <w:jc w:val="both"/>
        <w:rPr>
          <w:rFonts w:ascii="Arial" w:hAnsi="Arial" w:cs="Arial"/>
          <w:b w:val="0"/>
          <w:caps w:val="0"/>
          <w:sz w:val="20"/>
          <w:u w:val="single"/>
        </w:rPr>
      </w:pPr>
    </w:p>
    <w:p w14:paraId="18B3204A" w14:textId="6977ABF0" w:rsidR="007623F7" w:rsidRDefault="007623F7" w:rsidP="007623F7">
      <w:pPr>
        <w:pStyle w:val="ReferHead"/>
        <w:spacing w:after="0"/>
        <w:jc w:val="both"/>
        <w:rPr>
          <w:rFonts w:ascii="Arial" w:hAnsi="Arial" w:cs="Arial"/>
          <w:b w:val="0"/>
          <w:caps w:val="0"/>
          <w:sz w:val="20"/>
        </w:rPr>
      </w:pPr>
      <w:r w:rsidRPr="007623F7">
        <w:rPr>
          <w:rFonts w:ascii="Arial" w:hAnsi="Arial" w:cs="Arial"/>
          <w:b w:val="0"/>
          <w:caps w:val="0"/>
          <w:sz w:val="20"/>
        </w:rPr>
        <w:t>Authors have declared that no competing interests exist.</w:t>
      </w:r>
    </w:p>
    <w:p w14:paraId="12D49A08" w14:textId="77777777" w:rsidR="00FB7D5B" w:rsidRDefault="00FB7D5B" w:rsidP="00FB7D5B">
      <w:pPr>
        <w:pStyle w:val="ReferHead"/>
        <w:rPr>
          <w:rFonts w:ascii="Arial" w:hAnsi="Arial" w:cs="Arial"/>
          <w:bCs/>
          <w:sz w:val="20"/>
        </w:rPr>
      </w:pPr>
    </w:p>
    <w:p w14:paraId="7D6AA6D7" w14:textId="061FF3B2" w:rsidR="00FB7D5B" w:rsidRPr="00FB7D5B" w:rsidRDefault="00FB7D5B" w:rsidP="00FB7D5B">
      <w:pPr>
        <w:pStyle w:val="ReferHead"/>
        <w:rPr>
          <w:rFonts w:ascii="Arial" w:hAnsi="Arial" w:cs="Arial"/>
          <w:sz w:val="20"/>
        </w:rPr>
      </w:pPr>
      <w:r w:rsidRPr="00FB7D5B">
        <w:rPr>
          <w:rFonts w:ascii="Arial" w:hAnsi="Arial" w:cs="Arial"/>
          <w:bCs/>
          <w:sz w:val="20"/>
        </w:rPr>
        <w:t>AUTHORS’ CONTRIBUTIONS</w:t>
      </w:r>
    </w:p>
    <w:p w14:paraId="2CFC93D4" w14:textId="6F26125D" w:rsidR="007623F7" w:rsidRPr="00FB7D5B" w:rsidRDefault="00FB7D5B" w:rsidP="007623F7">
      <w:pPr>
        <w:pStyle w:val="ReferHead"/>
        <w:spacing w:after="0"/>
        <w:jc w:val="both"/>
        <w:rPr>
          <w:rFonts w:ascii="Arial" w:hAnsi="Arial" w:cs="Arial"/>
          <w:b w:val="0"/>
          <w:bCs/>
          <w:sz w:val="20"/>
        </w:rPr>
      </w:pPr>
      <w:r w:rsidRPr="00FB7D5B">
        <w:rPr>
          <w:rFonts w:ascii="Arial" w:hAnsi="Arial" w:cs="Arial"/>
          <w:b w:val="0"/>
          <w:bCs/>
          <w:caps w:val="0"/>
          <w:sz w:val="20"/>
        </w:rPr>
        <w:t xml:space="preserve">Oluwadiran O.O. and </w:t>
      </w:r>
      <w:r>
        <w:rPr>
          <w:rFonts w:ascii="Arial" w:hAnsi="Arial" w:cs="Arial"/>
          <w:b w:val="0"/>
          <w:bCs/>
          <w:caps w:val="0"/>
          <w:sz w:val="20"/>
        </w:rPr>
        <w:t>O</w:t>
      </w:r>
      <w:r w:rsidRPr="00FB7D5B">
        <w:rPr>
          <w:rFonts w:ascii="Arial" w:hAnsi="Arial" w:cs="Arial"/>
          <w:b w:val="0"/>
          <w:bCs/>
          <w:caps w:val="0"/>
          <w:sz w:val="20"/>
        </w:rPr>
        <w:t>yedare O.O. designed the study, performed the statistical analysis, wrote the protocol, and wrote the first draft of the manuscript. Ogunjinmi O.O. managed the literature searches and edited the final draft. All authors read and approved the final manuscript.</w:t>
      </w:r>
    </w:p>
    <w:p w14:paraId="1FDF2A4C" w14:textId="77777777" w:rsidR="004B00D1" w:rsidRDefault="004B00D1" w:rsidP="004B00D1">
      <w:pPr>
        <w:pStyle w:val="ReferHead"/>
        <w:spacing w:after="0"/>
        <w:jc w:val="both"/>
        <w:rPr>
          <w:rFonts w:ascii="Arial" w:hAnsi="Arial" w:cs="Arial"/>
          <w:bCs/>
        </w:rPr>
      </w:pPr>
    </w:p>
    <w:p w14:paraId="7179C61A" w14:textId="7D256D4D" w:rsidR="004B00D1" w:rsidRDefault="004B00D1" w:rsidP="004B00D1">
      <w:pPr>
        <w:pStyle w:val="ReferHead"/>
        <w:spacing w:after="0"/>
        <w:jc w:val="both"/>
        <w:rPr>
          <w:rFonts w:ascii="Arial" w:hAnsi="Arial" w:cs="Arial"/>
          <w:bCs/>
        </w:rPr>
      </w:pPr>
      <w:r>
        <w:rPr>
          <w:rFonts w:ascii="Arial" w:hAnsi="Arial" w:cs="Arial"/>
          <w:bCs/>
        </w:rPr>
        <w:t>Ethical approval</w:t>
      </w:r>
    </w:p>
    <w:p w14:paraId="7D8F1483" w14:textId="77777777" w:rsidR="004B00D1" w:rsidRDefault="004B00D1" w:rsidP="004B00D1">
      <w:pPr>
        <w:pStyle w:val="ReferHead"/>
        <w:spacing w:after="0"/>
        <w:jc w:val="both"/>
        <w:rPr>
          <w:rFonts w:ascii="Arial" w:hAnsi="Arial" w:cs="Arial"/>
          <w:b w:val="0"/>
          <w:caps w:val="0"/>
          <w:sz w:val="20"/>
        </w:rPr>
      </w:pPr>
    </w:p>
    <w:p w14:paraId="78F9AA85" w14:textId="3B6BCDFA" w:rsidR="004B00D1" w:rsidRDefault="004B00D1" w:rsidP="004B00D1">
      <w:pPr>
        <w:spacing w:line="360" w:lineRule="auto"/>
        <w:jc w:val="both"/>
        <w:rPr>
          <w:rFonts w:ascii="Times New Roman" w:hAnsi="Times New Roman" w:cs="Times New Roman"/>
          <w:sz w:val="20"/>
          <w:szCs w:val="20"/>
        </w:rPr>
      </w:pPr>
      <w:r w:rsidRPr="008C62B7">
        <w:rPr>
          <w:rFonts w:ascii="Times New Roman" w:hAnsi="Times New Roman" w:cs="Times New Roman"/>
          <w:sz w:val="20"/>
          <w:szCs w:val="20"/>
          <w:lang w:val="en-US"/>
        </w:rPr>
        <w:t xml:space="preserve">Participation in the study was entirely voluntary, and informed consent was obtained from all respondents prior to data collection. Each participant was briefed on the purpose of the research, the confidentiality of their responses, and their right to withdraw at any stage without penalty. To protect privacy, no identifying information was recorded, and all data were anonymised during entry and analysis. </w:t>
      </w:r>
      <w:r w:rsidRPr="008C62B7">
        <w:rPr>
          <w:rFonts w:ascii="Times New Roman" w:hAnsi="Times New Roman" w:cs="Times New Roman"/>
          <w:sz w:val="20"/>
          <w:szCs w:val="20"/>
        </w:rPr>
        <w:t>Ethical approval was obtained from the Directorate of Research Management and International Programmes, Emmanuel Alayande University of Education, Oyo.</w:t>
      </w:r>
    </w:p>
    <w:p w14:paraId="2A7C7AAB" w14:textId="77777777" w:rsidR="004A26E3" w:rsidRPr="004A26E3" w:rsidRDefault="004A26E3" w:rsidP="004A26E3">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r w:rsidRPr="004A26E3">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574E25D6" w14:textId="5293CA9C" w:rsidR="004B00D1" w:rsidRPr="00B05039" w:rsidRDefault="004A26E3" w:rsidP="00B05039">
      <w:pPr>
        <w:spacing w:line="360" w:lineRule="auto"/>
        <w:jc w:val="both"/>
        <w:rPr>
          <w:rFonts w:ascii="Times New Roman" w:hAnsi="Times New Roman" w:cs="Times New Roman"/>
          <w:sz w:val="20"/>
          <w:szCs w:val="20"/>
          <w:lang w:val="en-US"/>
        </w:rPr>
      </w:pPr>
      <w:r w:rsidRPr="004A26E3">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p>
    <w:p w14:paraId="43043083" w14:textId="445CCE9F" w:rsidR="000E34BB" w:rsidRDefault="00053798" w:rsidP="00255A74">
      <w:pPr>
        <w:spacing w:after="0" w:line="360" w:lineRule="auto"/>
        <w:jc w:val="both"/>
        <w:rPr>
          <w:rFonts w:ascii="Arial" w:hAnsi="Arial" w:cs="Arial"/>
          <w:b/>
          <w:bCs/>
        </w:rPr>
      </w:pPr>
      <w:r w:rsidRPr="00053798">
        <w:rPr>
          <w:rFonts w:ascii="Arial" w:hAnsi="Arial" w:cs="Arial"/>
          <w:b/>
          <w:bCs/>
        </w:rPr>
        <w:t>REFERENCES</w:t>
      </w:r>
    </w:p>
    <w:p w14:paraId="4E272016"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FAO. (2019). </w:t>
      </w:r>
      <w:r w:rsidRPr="009F12D6">
        <w:rPr>
          <w:rFonts w:ascii="Arial" w:hAnsi="Arial" w:cs="Arial"/>
          <w:i/>
          <w:iCs/>
          <w:sz w:val="20"/>
          <w:szCs w:val="20"/>
        </w:rPr>
        <w:t>The State of Food and Agriculture 2019: Moving forward on food loss and waste reduction</w:t>
      </w:r>
      <w:r w:rsidRPr="009F12D6">
        <w:rPr>
          <w:rFonts w:ascii="Arial" w:hAnsi="Arial" w:cs="Arial"/>
          <w:sz w:val="20"/>
          <w:szCs w:val="20"/>
        </w:rPr>
        <w:t>. Food and Agriculture Organization of the United Nations</w:t>
      </w:r>
    </w:p>
    <w:p w14:paraId="4E06D44B" w14:textId="77777777" w:rsidR="00970C8C" w:rsidRPr="009F12D6" w:rsidRDefault="00970C8C" w:rsidP="00970C8C">
      <w:pPr>
        <w:pStyle w:val="ListParagraph"/>
        <w:jc w:val="both"/>
        <w:rPr>
          <w:rFonts w:ascii="Arial" w:hAnsi="Arial" w:cs="Arial"/>
          <w:sz w:val="20"/>
          <w:szCs w:val="20"/>
        </w:rPr>
      </w:pPr>
      <w:r w:rsidRPr="009F12D6">
        <w:rPr>
          <w:rFonts w:ascii="Arial" w:hAnsi="Arial" w:cs="Arial"/>
          <w:sz w:val="20"/>
          <w:szCs w:val="20"/>
        </w:rPr>
        <w:t>.</w:t>
      </w:r>
    </w:p>
    <w:p w14:paraId="770B1516"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Nahman, A., &amp; de Lange, W. (2013). Costs of food waste in South Africa. </w:t>
      </w:r>
      <w:r w:rsidRPr="009F12D6">
        <w:rPr>
          <w:rFonts w:ascii="Arial" w:hAnsi="Arial" w:cs="Arial"/>
          <w:i/>
          <w:iCs/>
          <w:sz w:val="20"/>
          <w:szCs w:val="20"/>
        </w:rPr>
        <w:t>Waste Management</w:t>
      </w:r>
      <w:r w:rsidRPr="009F12D6">
        <w:rPr>
          <w:rFonts w:ascii="Arial" w:hAnsi="Arial" w:cs="Arial"/>
          <w:sz w:val="20"/>
          <w:szCs w:val="20"/>
        </w:rPr>
        <w:t xml:space="preserve">, 33(11), 2647–2653. </w:t>
      </w:r>
      <w:hyperlink r:id="rId7" w:history="1">
        <w:r w:rsidRPr="001C427A">
          <w:rPr>
            <w:rStyle w:val="Hyperlink"/>
            <w:rFonts w:ascii="Arial" w:hAnsi="Arial" w:cs="Arial"/>
            <w:sz w:val="20"/>
            <w:szCs w:val="20"/>
          </w:rPr>
          <w:t>https://doi.org/10.1016/j.wasman.2013.08.016</w:t>
        </w:r>
      </w:hyperlink>
    </w:p>
    <w:p w14:paraId="7F34F702" w14:textId="77777777" w:rsidR="00970C8C" w:rsidRPr="009F12D6" w:rsidRDefault="00970C8C" w:rsidP="00970C8C">
      <w:pPr>
        <w:pStyle w:val="ListParagraph"/>
        <w:jc w:val="both"/>
        <w:rPr>
          <w:rFonts w:ascii="Arial" w:hAnsi="Arial" w:cs="Arial"/>
          <w:sz w:val="20"/>
          <w:szCs w:val="20"/>
        </w:rPr>
      </w:pPr>
    </w:p>
    <w:p w14:paraId="2DF4F80C"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Parfitt, J., Barthel, M., &amp; Macnaughton, S. (2010). Food waste within food supply chains: Quantification and potential for change. </w:t>
      </w:r>
      <w:r w:rsidRPr="009F12D6">
        <w:rPr>
          <w:rFonts w:ascii="Arial" w:hAnsi="Arial" w:cs="Arial"/>
          <w:i/>
          <w:iCs/>
          <w:sz w:val="20"/>
          <w:szCs w:val="20"/>
        </w:rPr>
        <w:t>Philosophical Transactions of the Royal Society B: Biological Sciences</w:t>
      </w:r>
      <w:r w:rsidRPr="009F12D6">
        <w:rPr>
          <w:rFonts w:ascii="Arial" w:hAnsi="Arial" w:cs="Arial"/>
          <w:sz w:val="20"/>
          <w:szCs w:val="20"/>
        </w:rPr>
        <w:t xml:space="preserve">, 365(1554), 3065–3081. </w:t>
      </w:r>
      <w:hyperlink r:id="rId8" w:history="1">
        <w:r w:rsidRPr="001C427A">
          <w:rPr>
            <w:rStyle w:val="Hyperlink"/>
            <w:rFonts w:ascii="Arial" w:hAnsi="Arial" w:cs="Arial"/>
            <w:sz w:val="20"/>
            <w:szCs w:val="20"/>
          </w:rPr>
          <w:t>https://doi.org/10.1098/rstb.2010.0126</w:t>
        </w:r>
      </w:hyperlink>
    </w:p>
    <w:p w14:paraId="29DCA2A0" w14:textId="77777777" w:rsidR="00970C8C" w:rsidRPr="009F12D6" w:rsidRDefault="00970C8C" w:rsidP="00970C8C">
      <w:pPr>
        <w:pStyle w:val="ListParagraph"/>
        <w:rPr>
          <w:rFonts w:ascii="Arial" w:hAnsi="Arial" w:cs="Arial"/>
          <w:sz w:val="20"/>
          <w:szCs w:val="20"/>
        </w:rPr>
      </w:pPr>
    </w:p>
    <w:p w14:paraId="1057ABCB" w14:textId="77777777" w:rsidR="00970C8C" w:rsidRPr="009F12D6" w:rsidRDefault="00970C8C" w:rsidP="00970C8C">
      <w:pPr>
        <w:pStyle w:val="ListParagraph"/>
        <w:jc w:val="both"/>
        <w:rPr>
          <w:rFonts w:ascii="Arial" w:hAnsi="Arial" w:cs="Arial"/>
          <w:sz w:val="20"/>
          <w:szCs w:val="20"/>
        </w:rPr>
      </w:pPr>
    </w:p>
    <w:p w14:paraId="0E665228"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Miti, N., Naicker, A., Grobbelaar, H. G., &amp; Pal, I. P. (2025). Effectiveness of food literacy on household food waste in KwaDukuza municipality, South Africa. </w:t>
      </w:r>
      <w:r w:rsidRPr="009F12D6">
        <w:rPr>
          <w:rFonts w:ascii="Arial" w:hAnsi="Arial" w:cs="Arial"/>
          <w:i/>
          <w:iCs/>
          <w:sz w:val="20"/>
          <w:szCs w:val="20"/>
        </w:rPr>
        <w:t>Frontiers in Sustainable Food Systems</w:t>
      </w:r>
      <w:r w:rsidRPr="009F12D6">
        <w:rPr>
          <w:rFonts w:ascii="Arial" w:hAnsi="Arial" w:cs="Arial"/>
          <w:sz w:val="20"/>
          <w:szCs w:val="20"/>
        </w:rPr>
        <w:t xml:space="preserve">, 9, 1556003. </w:t>
      </w:r>
      <w:hyperlink r:id="rId9" w:history="1">
        <w:r w:rsidRPr="001C427A">
          <w:rPr>
            <w:rStyle w:val="Hyperlink"/>
            <w:rFonts w:ascii="Arial" w:hAnsi="Arial" w:cs="Arial"/>
            <w:sz w:val="20"/>
            <w:szCs w:val="20"/>
          </w:rPr>
          <w:t>https://doi.org/10.3389/fsufs.2025.1556003</w:t>
        </w:r>
      </w:hyperlink>
    </w:p>
    <w:p w14:paraId="066A7FFB" w14:textId="77777777" w:rsidR="00970C8C" w:rsidRPr="009F12D6" w:rsidRDefault="00970C8C" w:rsidP="00970C8C">
      <w:pPr>
        <w:pStyle w:val="ListParagraph"/>
        <w:jc w:val="both"/>
        <w:rPr>
          <w:rFonts w:ascii="Arial" w:hAnsi="Arial" w:cs="Arial"/>
          <w:sz w:val="20"/>
          <w:szCs w:val="20"/>
        </w:rPr>
      </w:pPr>
    </w:p>
    <w:p w14:paraId="3EBC838B"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lastRenderedPageBreak/>
        <w:t xml:space="preserve">Stancu, V., Haugaard, P., &amp; Lähteenmäki, L. (2016). Determinants of consumer food waste behaviour: Two routes to food waste. </w:t>
      </w:r>
      <w:r w:rsidRPr="009F12D6">
        <w:rPr>
          <w:rFonts w:ascii="Arial" w:hAnsi="Arial" w:cs="Arial"/>
          <w:i/>
          <w:iCs/>
          <w:sz w:val="20"/>
          <w:szCs w:val="20"/>
        </w:rPr>
        <w:t>Appetite</w:t>
      </w:r>
      <w:r w:rsidRPr="009F12D6">
        <w:rPr>
          <w:rFonts w:ascii="Arial" w:hAnsi="Arial" w:cs="Arial"/>
          <w:sz w:val="20"/>
          <w:szCs w:val="20"/>
        </w:rPr>
        <w:t xml:space="preserve">, 96, 7–17. </w:t>
      </w:r>
      <w:hyperlink r:id="rId10" w:history="1">
        <w:r w:rsidRPr="001C427A">
          <w:rPr>
            <w:rStyle w:val="Hyperlink"/>
            <w:rFonts w:ascii="Arial" w:hAnsi="Arial" w:cs="Arial"/>
            <w:sz w:val="20"/>
            <w:szCs w:val="20"/>
          </w:rPr>
          <w:t>https://doi.org/10.1016/j.appet.2015.08.025</w:t>
        </w:r>
      </w:hyperlink>
    </w:p>
    <w:p w14:paraId="610F50A6" w14:textId="77777777" w:rsidR="00970C8C" w:rsidRPr="009F12D6" w:rsidRDefault="00970C8C" w:rsidP="00970C8C">
      <w:pPr>
        <w:pStyle w:val="ListParagraph"/>
        <w:jc w:val="both"/>
        <w:rPr>
          <w:rFonts w:ascii="Arial" w:hAnsi="Arial" w:cs="Arial"/>
          <w:sz w:val="20"/>
          <w:szCs w:val="20"/>
        </w:rPr>
      </w:pPr>
    </w:p>
    <w:p w14:paraId="2395D263"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Reynolds, C., Piantadosi, J., &amp; Boland, J. (2020). A framework for behaviour change to reduce household food waste. </w:t>
      </w:r>
      <w:r w:rsidRPr="009F12D6">
        <w:rPr>
          <w:rFonts w:ascii="Arial" w:hAnsi="Arial" w:cs="Arial"/>
          <w:i/>
          <w:iCs/>
          <w:sz w:val="20"/>
          <w:szCs w:val="20"/>
        </w:rPr>
        <w:t>Global Food Security</w:t>
      </w:r>
      <w:r w:rsidRPr="009F12D6">
        <w:rPr>
          <w:rFonts w:ascii="Arial" w:hAnsi="Arial" w:cs="Arial"/>
          <w:sz w:val="20"/>
          <w:szCs w:val="20"/>
        </w:rPr>
        <w:t xml:space="preserve">, 26, 100403. </w:t>
      </w:r>
      <w:hyperlink r:id="rId11" w:history="1">
        <w:r w:rsidRPr="001C427A">
          <w:rPr>
            <w:rStyle w:val="Hyperlink"/>
            <w:rFonts w:ascii="Arial" w:hAnsi="Arial" w:cs="Arial"/>
            <w:sz w:val="20"/>
            <w:szCs w:val="20"/>
          </w:rPr>
          <w:t>https://doi.org/10.1016/j.gfs.2020.100403</w:t>
        </w:r>
      </w:hyperlink>
    </w:p>
    <w:p w14:paraId="45B4F0E3" w14:textId="77777777" w:rsidR="00970C8C" w:rsidRPr="009F12D6" w:rsidRDefault="00970C8C" w:rsidP="00970C8C">
      <w:pPr>
        <w:pStyle w:val="ListParagraph"/>
        <w:jc w:val="both"/>
        <w:rPr>
          <w:rFonts w:ascii="Arial" w:hAnsi="Arial" w:cs="Arial"/>
          <w:sz w:val="20"/>
          <w:szCs w:val="20"/>
        </w:rPr>
      </w:pPr>
    </w:p>
    <w:p w14:paraId="498A14E6"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Stöckli, S., Niklaus, E., &amp; Dorn, M. (2018). Call for testing interventions to prevent consumer food waste. </w:t>
      </w:r>
      <w:r w:rsidRPr="009F12D6">
        <w:rPr>
          <w:rFonts w:ascii="Arial" w:hAnsi="Arial" w:cs="Arial"/>
          <w:i/>
          <w:iCs/>
          <w:sz w:val="20"/>
          <w:szCs w:val="20"/>
        </w:rPr>
        <w:t>Resources, Conservation &amp; Recycling</w:t>
      </w:r>
      <w:r w:rsidRPr="009F12D6">
        <w:rPr>
          <w:rFonts w:ascii="Arial" w:hAnsi="Arial" w:cs="Arial"/>
          <w:sz w:val="20"/>
          <w:szCs w:val="20"/>
        </w:rPr>
        <w:t xml:space="preserve">, 136, 445–462. </w:t>
      </w:r>
      <w:hyperlink r:id="rId12" w:history="1">
        <w:r w:rsidRPr="001C427A">
          <w:rPr>
            <w:rStyle w:val="Hyperlink"/>
            <w:rFonts w:ascii="Arial" w:hAnsi="Arial" w:cs="Arial"/>
            <w:sz w:val="20"/>
            <w:szCs w:val="20"/>
          </w:rPr>
          <w:t>https://doi.org/10.1016/j.resconrec.2018.03.029</w:t>
        </w:r>
      </w:hyperlink>
    </w:p>
    <w:p w14:paraId="51508CA0" w14:textId="77777777" w:rsidR="00970C8C" w:rsidRPr="009F12D6" w:rsidRDefault="00970C8C" w:rsidP="00970C8C">
      <w:pPr>
        <w:pStyle w:val="ListParagraph"/>
        <w:rPr>
          <w:rFonts w:ascii="Arial" w:hAnsi="Arial" w:cs="Arial"/>
          <w:sz w:val="20"/>
          <w:szCs w:val="20"/>
        </w:rPr>
      </w:pPr>
    </w:p>
    <w:p w14:paraId="1A2FC47F" w14:textId="77777777" w:rsidR="00970C8C" w:rsidRPr="009F12D6" w:rsidRDefault="00970C8C" w:rsidP="00970C8C">
      <w:pPr>
        <w:pStyle w:val="ListParagraph"/>
        <w:jc w:val="both"/>
        <w:rPr>
          <w:rFonts w:ascii="Arial" w:hAnsi="Arial" w:cs="Arial"/>
          <w:sz w:val="20"/>
          <w:szCs w:val="20"/>
        </w:rPr>
      </w:pPr>
    </w:p>
    <w:p w14:paraId="359204F8"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Battersby, J. (2020). Food system transformation in Africa: Urban food governance and food security. </w:t>
      </w:r>
      <w:r w:rsidRPr="009F12D6">
        <w:rPr>
          <w:rFonts w:ascii="Arial" w:hAnsi="Arial" w:cs="Arial"/>
          <w:i/>
          <w:iCs/>
          <w:sz w:val="20"/>
          <w:szCs w:val="20"/>
        </w:rPr>
        <w:t>Urban Forum</w:t>
      </w:r>
      <w:r w:rsidRPr="009F12D6">
        <w:rPr>
          <w:rFonts w:ascii="Arial" w:hAnsi="Arial" w:cs="Arial"/>
          <w:sz w:val="20"/>
          <w:szCs w:val="20"/>
        </w:rPr>
        <w:t xml:space="preserve">, 31(1), 1–17. </w:t>
      </w:r>
      <w:hyperlink r:id="rId13" w:history="1">
        <w:r w:rsidRPr="001C427A">
          <w:rPr>
            <w:rStyle w:val="Hyperlink"/>
            <w:rFonts w:ascii="Arial" w:hAnsi="Arial" w:cs="Arial"/>
            <w:sz w:val="20"/>
            <w:szCs w:val="20"/>
          </w:rPr>
          <w:t>https://doi.org/10.1007/s12132-019-09380-1</w:t>
        </w:r>
      </w:hyperlink>
    </w:p>
    <w:p w14:paraId="3DD566D9" w14:textId="77777777" w:rsidR="00970C8C" w:rsidRPr="009F12D6" w:rsidRDefault="00970C8C" w:rsidP="00970C8C">
      <w:pPr>
        <w:pStyle w:val="ListParagraph"/>
        <w:jc w:val="both"/>
        <w:rPr>
          <w:rFonts w:ascii="Arial" w:hAnsi="Arial" w:cs="Arial"/>
          <w:sz w:val="20"/>
          <w:szCs w:val="20"/>
        </w:rPr>
      </w:pPr>
    </w:p>
    <w:p w14:paraId="3ED77AFC"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Parizeau, K. (2020). Household food waste. In C. Reynolds, T. Soma, C. Spring, &amp; J. Lazell (Eds.), </w:t>
      </w:r>
      <w:r w:rsidRPr="009F12D6">
        <w:rPr>
          <w:rFonts w:ascii="Arial" w:hAnsi="Arial" w:cs="Arial"/>
          <w:i/>
          <w:iCs/>
          <w:sz w:val="20"/>
          <w:szCs w:val="20"/>
        </w:rPr>
        <w:t>Routledge handbook of food waste</w:t>
      </w:r>
      <w:r w:rsidRPr="009F12D6">
        <w:rPr>
          <w:rFonts w:ascii="Arial" w:hAnsi="Arial" w:cs="Arial"/>
          <w:sz w:val="20"/>
          <w:szCs w:val="20"/>
        </w:rPr>
        <w:t xml:space="preserve"> (pp. 15–28). Routledge. </w:t>
      </w:r>
      <w:hyperlink r:id="rId14" w:history="1">
        <w:r w:rsidRPr="001C427A">
          <w:rPr>
            <w:rStyle w:val="Hyperlink"/>
            <w:rFonts w:ascii="Arial" w:hAnsi="Arial" w:cs="Arial"/>
            <w:sz w:val="20"/>
            <w:szCs w:val="20"/>
          </w:rPr>
          <w:t>https://doi.org/10.4324/9780429462795</w:t>
        </w:r>
      </w:hyperlink>
    </w:p>
    <w:p w14:paraId="6B95DB74" w14:textId="77777777" w:rsidR="00970C8C" w:rsidRPr="009F12D6" w:rsidRDefault="00970C8C" w:rsidP="00970C8C">
      <w:pPr>
        <w:pStyle w:val="ListParagraph"/>
        <w:rPr>
          <w:rFonts w:ascii="Arial" w:hAnsi="Arial" w:cs="Arial"/>
          <w:sz w:val="20"/>
          <w:szCs w:val="20"/>
        </w:rPr>
      </w:pPr>
    </w:p>
    <w:p w14:paraId="6F10DD09" w14:textId="77777777" w:rsidR="00970C8C" w:rsidRPr="009F12D6" w:rsidRDefault="00970C8C" w:rsidP="00970C8C">
      <w:pPr>
        <w:pStyle w:val="ListParagraph"/>
        <w:jc w:val="both"/>
        <w:rPr>
          <w:rFonts w:ascii="Arial" w:hAnsi="Arial" w:cs="Arial"/>
          <w:sz w:val="20"/>
          <w:szCs w:val="20"/>
        </w:rPr>
      </w:pPr>
    </w:p>
    <w:p w14:paraId="74FC91AF"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Adedayo, V., Adeaga, O., &amp; Akomolafe, D. (2020). Volume and content estimate of household food waste: A strategy for reducing food insecurity in Lagos State, Nigeria. </w:t>
      </w:r>
      <w:r w:rsidRPr="009F12D6">
        <w:rPr>
          <w:rFonts w:ascii="Arial" w:hAnsi="Arial" w:cs="Arial"/>
          <w:i/>
          <w:iCs/>
          <w:sz w:val="20"/>
          <w:szCs w:val="20"/>
        </w:rPr>
        <w:t>Direct Research Journal of Agriculture and Food Science</w:t>
      </w:r>
      <w:r w:rsidRPr="009F12D6">
        <w:rPr>
          <w:rFonts w:ascii="Arial" w:hAnsi="Arial" w:cs="Arial"/>
          <w:sz w:val="20"/>
          <w:szCs w:val="20"/>
        </w:rPr>
        <w:t xml:space="preserve">, 8(6), 208–216. </w:t>
      </w:r>
      <w:hyperlink r:id="rId15" w:history="1">
        <w:r w:rsidRPr="001C427A">
          <w:rPr>
            <w:rStyle w:val="Hyperlink"/>
            <w:rFonts w:ascii="Arial" w:hAnsi="Arial" w:cs="Arial"/>
            <w:sz w:val="20"/>
            <w:szCs w:val="20"/>
          </w:rPr>
          <w:t>https://doi.org/10.26765/DRJAFS17559199</w:t>
        </w:r>
      </w:hyperlink>
    </w:p>
    <w:p w14:paraId="186DEAAD" w14:textId="77777777" w:rsidR="00970C8C" w:rsidRPr="009F12D6" w:rsidRDefault="00970C8C" w:rsidP="00970C8C">
      <w:pPr>
        <w:pStyle w:val="ListParagraph"/>
        <w:jc w:val="both"/>
        <w:rPr>
          <w:rFonts w:ascii="Arial" w:hAnsi="Arial" w:cs="Arial"/>
          <w:sz w:val="20"/>
          <w:szCs w:val="20"/>
        </w:rPr>
      </w:pPr>
    </w:p>
    <w:p w14:paraId="4BD0AB50"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United Nations Environment Programme. (2021). </w:t>
      </w:r>
      <w:r w:rsidRPr="009F12D6">
        <w:rPr>
          <w:rFonts w:ascii="Arial" w:hAnsi="Arial" w:cs="Arial"/>
          <w:i/>
          <w:iCs/>
          <w:sz w:val="20"/>
          <w:szCs w:val="20"/>
        </w:rPr>
        <w:t>Food Waste Index Report 2021</w:t>
      </w:r>
      <w:r w:rsidRPr="009F12D6">
        <w:rPr>
          <w:rFonts w:ascii="Arial" w:hAnsi="Arial" w:cs="Arial"/>
          <w:sz w:val="20"/>
          <w:szCs w:val="20"/>
        </w:rPr>
        <w:t xml:space="preserve">. UNEP. </w:t>
      </w:r>
      <w:hyperlink r:id="rId16" w:history="1">
        <w:r w:rsidRPr="001C427A">
          <w:rPr>
            <w:rStyle w:val="Hyperlink"/>
            <w:rFonts w:ascii="Arial" w:hAnsi="Arial" w:cs="Arial"/>
            <w:sz w:val="20"/>
            <w:szCs w:val="20"/>
          </w:rPr>
          <w:t>https://wedocs.unep.org/20.500.11822/35280</w:t>
        </w:r>
      </w:hyperlink>
    </w:p>
    <w:p w14:paraId="1F490C4F" w14:textId="77777777" w:rsidR="00970C8C" w:rsidRPr="009F12D6" w:rsidRDefault="00970C8C" w:rsidP="00970C8C">
      <w:pPr>
        <w:pStyle w:val="ListParagraph"/>
        <w:rPr>
          <w:rFonts w:ascii="Arial" w:hAnsi="Arial" w:cs="Arial"/>
          <w:sz w:val="20"/>
          <w:szCs w:val="20"/>
        </w:rPr>
      </w:pPr>
    </w:p>
    <w:p w14:paraId="5069E9EC" w14:textId="77777777" w:rsidR="00970C8C" w:rsidRPr="009F12D6" w:rsidRDefault="00970C8C" w:rsidP="00970C8C">
      <w:pPr>
        <w:pStyle w:val="ListParagraph"/>
        <w:jc w:val="both"/>
        <w:rPr>
          <w:rFonts w:ascii="Arial" w:hAnsi="Arial" w:cs="Arial"/>
          <w:sz w:val="20"/>
          <w:szCs w:val="20"/>
        </w:rPr>
      </w:pPr>
    </w:p>
    <w:p w14:paraId="0A3FD78F"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Aburime, L. (2024). The state of food loss and waste in Nigeria: Causes, impacts, efforts to reduce the menace, and way forward. </w:t>
      </w:r>
      <w:r w:rsidRPr="009F12D6">
        <w:rPr>
          <w:rFonts w:ascii="Arial" w:hAnsi="Arial" w:cs="Arial"/>
          <w:i/>
          <w:iCs/>
          <w:sz w:val="20"/>
          <w:szCs w:val="20"/>
        </w:rPr>
        <w:t>Nigerian Journal of Nutritional Sciences</w:t>
      </w:r>
      <w:r w:rsidRPr="009F12D6">
        <w:rPr>
          <w:rFonts w:ascii="Arial" w:hAnsi="Arial" w:cs="Arial"/>
          <w:sz w:val="20"/>
          <w:szCs w:val="20"/>
        </w:rPr>
        <w:t xml:space="preserve">, 44(2), 48–54. </w:t>
      </w:r>
      <w:hyperlink r:id="rId17" w:history="1">
        <w:r w:rsidRPr="001C427A">
          <w:rPr>
            <w:rStyle w:val="Hyperlink"/>
            <w:rFonts w:ascii="Arial" w:hAnsi="Arial" w:cs="Arial"/>
            <w:sz w:val="20"/>
            <w:szCs w:val="20"/>
          </w:rPr>
          <w:t>https://doi.org/10.51704/njns.v44i2.2024.48</w:t>
        </w:r>
      </w:hyperlink>
    </w:p>
    <w:p w14:paraId="4E3D2DBD" w14:textId="77777777" w:rsidR="00970C8C" w:rsidRPr="009F12D6" w:rsidRDefault="00970C8C" w:rsidP="00970C8C">
      <w:pPr>
        <w:pStyle w:val="ListParagraph"/>
        <w:jc w:val="both"/>
        <w:rPr>
          <w:rFonts w:ascii="Arial" w:hAnsi="Arial" w:cs="Arial"/>
          <w:sz w:val="20"/>
          <w:szCs w:val="20"/>
        </w:rPr>
      </w:pPr>
    </w:p>
    <w:p w14:paraId="1C108C9F"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Sunday, C. O., Sowunmi, F. A., Obayelu, O. A., Awoyemi, A. E., Omotayo, A. O., &amp; Ogunniyi, A. I. (2022). Disentangling drivers of food waste in households: Evidence from Nigeria. </w:t>
      </w:r>
      <w:r w:rsidRPr="009F12D6">
        <w:rPr>
          <w:rFonts w:ascii="Arial" w:hAnsi="Arial" w:cs="Arial"/>
          <w:i/>
          <w:iCs/>
          <w:sz w:val="20"/>
          <w:szCs w:val="20"/>
        </w:rPr>
        <w:t>Foods</w:t>
      </w:r>
      <w:r w:rsidRPr="009F12D6">
        <w:rPr>
          <w:rFonts w:ascii="Arial" w:hAnsi="Arial" w:cs="Arial"/>
          <w:sz w:val="20"/>
          <w:szCs w:val="20"/>
        </w:rPr>
        <w:t xml:space="preserve">, 11(8), 1103. </w:t>
      </w:r>
      <w:hyperlink r:id="rId18" w:history="1">
        <w:r w:rsidRPr="001C427A">
          <w:rPr>
            <w:rStyle w:val="Hyperlink"/>
            <w:rFonts w:ascii="Arial" w:hAnsi="Arial" w:cs="Arial"/>
            <w:sz w:val="20"/>
            <w:szCs w:val="20"/>
          </w:rPr>
          <w:t>https://doi.org/10.3390/foods11081103</w:t>
        </w:r>
      </w:hyperlink>
    </w:p>
    <w:p w14:paraId="41EF64E3" w14:textId="77777777" w:rsidR="00970C8C" w:rsidRPr="009F12D6" w:rsidRDefault="00970C8C" w:rsidP="00970C8C">
      <w:pPr>
        <w:pStyle w:val="ListParagraph"/>
        <w:rPr>
          <w:rFonts w:ascii="Arial" w:hAnsi="Arial" w:cs="Arial"/>
          <w:sz w:val="20"/>
          <w:szCs w:val="20"/>
        </w:rPr>
      </w:pPr>
    </w:p>
    <w:p w14:paraId="17FE29FD" w14:textId="77777777" w:rsidR="00970C8C" w:rsidRPr="009F12D6" w:rsidRDefault="00970C8C" w:rsidP="00970C8C">
      <w:pPr>
        <w:pStyle w:val="ListParagraph"/>
        <w:jc w:val="both"/>
        <w:rPr>
          <w:rFonts w:ascii="Arial" w:hAnsi="Arial" w:cs="Arial"/>
          <w:sz w:val="20"/>
          <w:szCs w:val="20"/>
        </w:rPr>
      </w:pPr>
    </w:p>
    <w:p w14:paraId="0C9D9A5E"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Mmereki, D., David, V. E., &amp; Brownell, A. H. W. (2024). The management and prevention of food losses and waste in low and middle income countries: A mini review in the Africa region. </w:t>
      </w:r>
      <w:r w:rsidRPr="009F12D6">
        <w:rPr>
          <w:rFonts w:ascii="Arial" w:hAnsi="Arial" w:cs="Arial"/>
          <w:i/>
          <w:iCs/>
          <w:sz w:val="20"/>
          <w:szCs w:val="20"/>
        </w:rPr>
        <w:t>Waste Management &amp; Research</w:t>
      </w:r>
      <w:r w:rsidRPr="009F12D6">
        <w:rPr>
          <w:rFonts w:ascii="Arial" w:hAnsi="Arial" w:cs="Arial"/>
          <w:sz w:val="20"/>
          <w:szCs w:val="20"/>
        </w:rPr>
        <w:t xml:space="preserve">, 42(4), 287–307. </w:t>
      </w:r>
      <w:hyperlink r:id="rId19" w:history="1">
        <w:r w:rsidRPr="001C427A">
          <w:rPr>
            <w:rStyle w:val="Hyperlink"/>
            <w:rFonts w:ascii="Arial" w:hAnsi="Arial" w:cs="Arial"/>
            <w:sz w:val="20"/>
            <w:szCs w:val="20"/>
          </w:rPr>
          <w:t>https://doi.org/10.1177/0734242X231184444</w:t>
        </w:r>
      </w:hyperlink>
    </w:p>
    <w:p w14:paraId="1537B841" w14:textId="77777777" w:rsidR="00970C8C" w:rsidRPr="009F12D6" w:rsidRDefault="00970C8C" w:rsidP="00970C8C">
      <w:pPr>
        <w:pStyle w:val="ListParagraph"/>
        <w:jc w:val="both"/>
        <w:rPr>
          <w:rFonts w:ascii="Arial" w:hAnsi="Arial" w:cs="Arial"/>
          <w:sz w:val="20"/>
          <w:szCs w:val="20"/>
        </w:rPr>
      </w:pPr>
    </w:p>
    <w:p w14:paraId="15A4609F"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Osei Kyei, R., Aigbavboa, C., &amp; Thwala, W. (2023). Urban waste governance in West Africa: Challenges, innovations, and policy pathways. </w:t>
      </w:r>
      <w:r w:rsidRPr="009F12D6">
        <w:rPr>
          <w:rFonts w:ascii="Arial" w:hAnsi="Arial" w:cs="Arial"/>
          <w:i/>
          <w:iCs/>
          <w:sz w:val="20"/>
          <w:szCs w:val="20"/>
        </w:rPr>
        <w:t>Journal of Urban Management</w:t>
      </w:r>
      <w:r w:rsidRPr="009F12D6">
        <w:rPr>
          <w:rFonts w:ascii="Arial" w:hAnsi="Arial" w:cs="Arial"/>
          <w:sz w:val="20"/>
          <w:szCs w:val="20"/>
        </w:rPr>
        <w:t xml:space="preserve">, 12(3), 245–258. </w:t>
      </w:r>
      <w:hyperlink r:id="rId20" w:history="1">
        <w:r w:rsidRPr="001C427A">
          <w:rPr>
            <w:rStyle w:val="Hyperlink"/>
            <w:rFonts w:ascii="Arial" w:hAnsi="Arial" w:cs="Arial"/>
            <w:sz w:val="20"/>
            <w:szCs w:val="20"/>
          </w:rPr>
          <w:t>https://doi.org/10.1016/j.jum.2023.05.004</w:t>
        </w:r>
      </w:hyperlink>
    </w:p>
    <w:p w14:paraId="5E1B606B" w14:textId="77777777" w:rsidR="00970C8C" w:rsidRPr="009F12D6" w:rsidRDefault="00970C8C" w:rsidP="00970C8C">
      <w:pPr>
        <w:pStyle w:val="ListParagraph"/>
        <w:rPr>
          <w:rFonts w:ascii="Arial" w:hAnsi="Arial" w:cs="Arial"/>
          <w:sz w:val="20"/>
          <w:szCs w:val="20"/>
        </w:rPr>
      </w:pPr>
    </w:p>
    <w:p w14:paraId="5B4ECC99" w14:textId="77777777" w:rsidR="00970C8C" w:rsidRPr="009F12D6" w:rsidRDefault="00970C8C" w:rsidP="00970C8C">
      <w:pPr>
        <w:pStyle w:val="ListParagraph"/>
        <w:jc w:val="both"/>
        <w:rPr>
          <w:rFonts w:ascii="Arial" w:hAnsi="Arial" w:cs="Arial"/>
          <w:sz w:val="20"/>
          <w:szCs w:val="20"/>
        </w:rPr>
      </w:pPr>
    </w:p>
    <w:p w14:paraId="790C00B7"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Aschemann-Witzel, J. (2021). Food waste in retail: Pitfalls and actions. </w:t>
      </w:r>
      <w:r w:rsidRPr="009F12D6">
        <w:rPr>
          <w:rFonts w:ascii="Arial" w:hAnsi="Arial" w:cs="Arial"/>
          <w:i/>
          <w:iCs/>
          <w:sz w:val="20"/>
          <w:szCs w:val="20"/>
        </w:rPr>
        <w:t>Marketing Review St. Gallen</w:t>
      </w:r>
      <w:r w:rsidRPr="009F12D6">
        <w:rPr>
          <w:rFonts w:ascii="Arial" w:hAnsi="Arial" w:cs="Arial"/>
          <w:sz w:val="20"/>
          <w:szCs w:val="20"/>
        </w:rPr>
        <w:t xml:space="preserve">, 38(3), 44–51. </w:t>
      </w:r>
      <w:hyperlink r:id="rId21" w:history="1">
        <w:r w:rsidRPr="001C427A">
          <w:rPr>
            <w:rStyle w:val="Hyperlink"/>
            <w:rFonts w:ascii="Arial" w:hAnsi="Arial" w:cs="Arial"/>
            <w:sz w:val="20"/>
            <w:szCs w:val="20"/>
          </w:rPr>
          <w:t>https://hdl.handle.net/10419/276142</w:t>
        </w:r>
      </w:hyperlink>
    </w:p>
    <w:p w14:paraId="5C846557" w14:textId="77777777" w:rsidR="00970C8C" w:rsidRPr="009F12D6" w:rsidRDefault="00970C8C" w:rsidP="00970C8C">
      <w:pPr>
        <w:pStyle w:val="ListParagraph"/>
        <w:jc w:val="both"/>
        <w:rPr>
          <w:rFonts w:ascii="Arial" w:hAnsi="Arial" w:cs="Arial"/>
          <w:sz w:val="20"/>
          <w:szCs w:val="20"/>
        </w:rPr>
      </w:pPr>
    </w:p>
    <w:p w14:paraId="5E3093FE"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lastRenderedPageBreak/>
        <w:t xml:space="preserve">Chisika, S. N., &amp; Yeom, C. (2025). Key factors influencing sustainable management of food waste in Africa: Household, retail, and industrial perspectives. </w:t>
      </w:r>
      <w:r w:rsidRPr="009F12D6">
        <w:rPr>
          <w:rFonts w:ascii="Arial" w:hAnsi="Arial" w:cs="Arial"/>
          <w:i/>
          <w:iCs/>
          <w:sz w:val="20"/>
          <w:szCs w:val="20"/>
        </w:rPr>
        <w:t>Asia Pacific Journal of Circular Research</w:t>
      </w:r>
      <w:r w:rsidRPr="009F12D6">
        <w:rPr>
          <w:rFonts w:ascii="Arial" w:hAnsi="Arial" w:cs="Arial"/>
          <w:sz w:val="20"/>
          <w:szCs w:val="20"/>
        </w:rPr>
        <w:t xml:space="preserve">, 11(4), 171–186. </w:t>
      </w:r>
      <w:hyperlink r:id="rId22" w:history="1">
        <w:r w:rsidRPr="001C427A">
          <w:rPr>
            <w:rStyle w:val="Hyperlink"/>
            <w:rFonts w:ascii="Arial" w:hAnsi="Arial" w:cs="Arial"/>
            <w:sz w:val="20"/>
            <w:szCs w:val="20"/>
          </w:rPr>
          <w:t>https://doi.org/10.47116/apjcri.2025.04.12</w:t>
        </w:r>
      </w:hyperlink>
    </w:p>
    <w:p w14:paraId="08AA6BDE" w14:textId="77777777" w:rsidR="00970C8C" w:rsidRPr="009F12D6" w:rsidRDefault="00970C8C" w:rsidP="00970C8C">
      <w:pPr>
        <w:pStyle w:val="ListParagraph"/>
        <w:rPr>
          <w:rFonts w:ascii="Arial" w:hAnsi="Arial" w:cs="Arial"/>
          <w:sz w:val="20"/>
          <w:szCs w:val="20"/>
        </w:rPr>
      </w:pPr>
    </w:p>
    <w:p w14:paraId="0CF8C90B" w14:textId="77777777" w:rsidR="00970C8C" w:rsidRPr="009F12D6" w:rsidRDefault="00970C8C" w:rsidP="00970C8C">
      <w:pPr>
        <w:pStyle w:val="ListParagraph"/>
        <w:jc w:val="both"/>
        <w:rPr>
          <w:rFonts w:ascii="Arial" w:hAnsi="Arial" w:cs="Arial"/>
          <w:sz w:val="20"/>
          <w:szCs w:val="20"/>
        </w:rPr>
      </w:pPr>
    </w:p>
    <w:p w14:paraId="3F45509C"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Stancu, V., Haugaard, P., &amp; Lähteenmäki, L. (2016). Determinants of consumer food waste behaviour: A theoretical framework and empirical findings. </w:t>
      </w:r>
      <w:r w:rsidRPr="009F12D6">
        <w:rPr>
          <w:rFonts w:ascii="Arial" w:hAnsi="Arial" w:cs="Arial"/>
          <w:i/>
          <w:iCs/>
          <w:sz w:val="20"/>
          <w:szCs w:val="20"/>
        </w:rPr>
        <w:t>Waste Management</w:t>
      </w:r>
      <w:r w:rsidRPr="009F12D6">
        <w:rPr>
          <w:rFonts w:ascii="Arial" w:hAnsi="Arial" w:cs="Arial"/>
          <w:sz w:val="20"/>
          <w:szCs w:val="20"/>
        </w:rPr>
        <w:t xml:space="preserve">, 52, 107–116. </w:t>
      </w:r>
      <w:hyperlink r:id="rId23" w:history="1">
        <w:r w:rsidRPr="001C427A">
          <w:rPr>
            <w:rStyle w:val="Hyperlink"/>
            <w:rFonts w:ascii="Arial" w:hAnsi="Arial" w:cs="Arial"/>
            <w:sz w:val="20"/>
            <w:szCs w:val="20"/>
          </w:rPr>
          <w:t>https://doi.org/10.1016/j.wasman.2016.03.034</w:t>
        </w:r>
      </w:hyperlink>
    </w:p>
    <w:p w14:paraId="6132518D" w14:textId="77777777" w:rsidR="00970C8C" w:rsidRPr="009F12D6" w:rsidRDefault="00970C8C" w:rsidP="00970C8C">
      <w:pPr>
        <w:pStyle w:val="ListParagraph"/>
        <w:jc w:val="both"/>
        <w:rPr>
          <w:rFonts w:ascii="Arial" w:hAnsi="Arial" w:cs="Arial"/>
          <w:sz w:val="20"/>
          <w:szCs w:val="20"/>
        </w:rPr>
      </w:pPr>
    </w:p>
    <w:p w14:paraId="626F891A"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Crush, J., &amp; Frayne, B. (2011). Urban food insecurity and the new international food security agenda. </w:t>
      </w:r>
      <w:r w:rsidRPr="009F12D6">
        <w:rPr>
          <w:rFonts w:ascii="Arial" w:hAnsi="Arial" w:cs="Arial"/>
          <w:i/>
          <w:iCs/>
          <w:sz w:val="20"/>
          <w:szCs w:val="20"/>
        </w:rPr>
        <w:t>Development Southern Africa</w:t>
      </w:r>
      <w:r w:rsidRPr="009F12D6">
        <w:rPr>
          <w:rFonts w:ascii="Arial" w:hAnsi="Arial" w:cs="Arial"/>
          <w:sz w:val="20"/>
          <w:szCs w:val="20"/>
        </w:rPr>
        <w:t xml:space="preserve">, 28(4), 527–544. </w:t>
      </w:r>
      <w:hyperlink r:id="rId24" w:history="1">
        <w:r w:rsidRPr="001C427A">
          <w:rPr>
            <w:rStyle w:val="Hyperlink"/>
            <w:rFonts w:ascii="Arial" w:hAnsi="Arial" w:cs="Arial"/>
            <w:sz w:val="20"/>
            <w:szCs w:val="20"/>
          </w:rPr>
          <w:t>https://doi.org/10.1080/0376835X.2011.605571</w:t>
        </w:r>
      </w:hyperlink>
    </w:p>
    <w:p w14:paraId="6BEBA673" w14:textId="77777777" w:rsidR="00970C8C" w:rsidRPr="009F12D6" w:rsidRDefault="00970C8C" w:rsidP="00970C8C">
      <w:pPr>
        <w:pStyle w:val="ListParagraph"/>
        <w:rPr>
          <w:rFonts w:ascii="Arial" w:hAnsi="Arial" w:cs="Arial"/>
          <w:sz w:val="20"/>
          <w:szCs w:val="20"/>
        </w:rPr>
      </w:pPr>
    </w:p>
    <w:p w14:paraId="4A5D7B38" w14:textId="77777777" w:rsidR="00970C8C" w:rsidRPr="009F12D6" w:rsidRDefault="00970C8C" w:rsidP="00970C8C">
      <w:pPr>
        <w:pStyle w:val="ListParagraph"/>
        <w:jc w:val="both"/>
        <w:rPr>
          <w:rFonts w:ascii="Arial" w:hAnsi="Arial" w:cs="Arial"/>
          <w:sz w:val="20"/>
          <w:szCs w:val="20"/>
        </w:rPr>
      </w:pPr>
    </w:p>
    <w:p w14:paraId="7F4CED7B"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Principato, L., Secondi, L., &amp; Pratesi, C. A. (2020). Reducing food waste: An investigation on the behaviour of Italian households. </w:t>
      </w:r>
      <w:r w:rsidRPr="009F12D6">
        <w:rPr>
          <w:rFonts w:ascii="Arial" w:hAnsi="Arial" w:cs="Arial"/>
          <w:i/>
          <w:iCs/>
          <w:sz w:val="20"/>
          <w:szCs w:val="20"/>
        </w:rPr>
        <w:t>International Journal of Consumer Studies</w:t>
      </w:r>
      <w:r w:rsidRPr="009F12D6">
        <w:rPr>
          <w:rFonts w:ascii="Arial" w:hAnsi="Arial" w:cs="Arial"/>
          <w:sz w:val="20"/>
          <w:szCs w:val="20"/>
        </w:rPr>
        <w:t xml:space="preserve">, 44(1), 16–25. </w:t>
      </w:r>
      <w:hyperlink r:id="rId25" w:history="1">
        <w:r w:rsidRPr="001C427A">
          <w:rPr>
            <w:rStyle w:val="Hyperlink"/>
            <w:rFonts w:ascii="Arial" w:hAnsi="Arial" w:cs="Arial"/>
            <w:sz w:val="20"/>
            <w:szCs w:val="20"/>
          </w:rPr>
          <w:t>https://doi.org/10.1111/ijcs.12556</w:t>
        </w:r>
      </w:hyperlink>
    </w:p>
    <w:p w14:paraId="453F753B" w14:textId="77777777" w:rsidR="00970C8C" w:rsidRPr="009F12D6" w:rsidRDefault="00970C8C" w:rsidP="00970C8C">
      <w:pPr>
        <w:pStyle w:val="ListParagraph"/>
        <w:jc w:val="both"/>
        <w:rPr>
          <w:rFonts w:ascii="Arial" w:hAnsi="Arial" w:cs="Arial"/>
          <w:sz w:val="20"/>
          <w:szCs w:val="20"/>
        </w:rPr>
      </w:pPr>
    </w:p>
    <w:p w14:paraId="2E81217D"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Ufua, D. E., Babalola, O. S., Olonade, O. Y., Al Faryan, M. A. S., Amaihian, A. B., &amp; Gudeta, K. H. (2023). Household food waste management among working class Nigerians and the drive for sustainable food availability. </w:t>
      </w:r>
      <w:r w:rsidRPr="009F12D6">
        <w:rPr>
          <w:rFonts w:ascii="Arial" w:hAnsi="Arial" w:cs="Arial"/>
          <w:i/>
          <w:iCs/>
          <w:sz w:val="20"/>
          <w:szCs w:val="20"/>
        </w:rPr>
        <w:t>Environmental Management and Sustainable Development</w:t>
      </w:r>
      <w:r w:rsidRPr="009F12D6">
        <w:rPr>
          <w:rFonts w:ascii="Arial" w:hAnsi="Arial" w:cs="Arial"/>
          <w:sz w:val="20"/>
          <w:szCs w:val="20"/>
        </w:rPr>
        <w:t xml:space="preserve">, 12(2), 45–62. </w:t>
      </w:r>
      <w:hyperlink r:id="rId26" w:history="1">
        <w:r w:rsidRPr="001C427A">
          <w:rPr>
            <w:rStyle w:val="Hyperlink"/>
            <w:rFonts w:ascii="Arial" w:hAnsi="Arial" w:cs="Arial"/>
            <w:sz w:val="20"/>
            <w:szCs w:val="20"/>
          </w:rPr>
          <w:t>https://doi.org/10.5296/emsd.v12i2.12345</w:t>
        </w:r>
      </w:hyperlink>
    </w:p>
    <w:p w14:paraId="2AEE9612" w14:textId="77777777" w:rsidR="00970C8C" w:rsidRPr="009F12D6" w:rsidRDefault="00970C8C" w:rsidP="00970C8C">
      <w:pPr>
        <w:pStyle w:val="ListParagraph"/>
        <w:rPr>
          <w:rFonts w:ascii="Arial" w:hAnsi="Arial" w:cs="Arial"/>
          <w:sz w:val="20"/>
          <w:szCs w:val="20"/>
        </w:rPr>
      </w:pPr>
    </w:p>
    <w:p w14:paraId="1E000C54" w14:textId="77777777" w:rsidR="00970C8C" w:rsidRPr="009F12D6" w:rsidRDefault="00970C8C" w:rsidP="00970C8C">
      <w:pPr>
        <w:pStyle w:val="ListParagraph"/>
        <w:jc w:val="both"/>
        <w:rPr>
          <w:rFonts w:ascii="Arial" w:hAnsi="Arial" w:cs="Arial"/>
          <w:sz w:val="20"/>
          <w:szCs w:val="20"/>
        </w:rPr>
      </w:pPr>
    </w:p>
    <w:p w14:paraId="02E5B98D"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Hebrok, M., &amp; Boks, C. (2017). Household food waste: Drivers and potential intervention points for design – An extensive review. </w:t>
      </w:r>
      <w:r w:rsidRPr="009F12D6">
        <w:rPr>
          <w:rFonts w:ascii="Arial" w:hAnsi="Arial" w:cs="Arial"/>
          <w:i/>
          <w:iCs/>
          <w:sz w:val="20"/>
          <w:szCs w:val="20"/>
        </w:rPr>
        <w:t>Journal of Cleaner Production</w:t>
      </w:r>
      <w:r w:rsidRPr="009F12D6">
        <w:rPr>
          <w:rFonts w:ascii="Arial" w:hAnsi="Arial" w:cs="Arial"/>
          <w:sz w:val="20"/>
          <w:szCs w:val="20"/>
        </w:rPr>
        <w:t xml:space="preserve">, 151, 380–392. </w:t>
      </w:r>
      <w:hyperlink r:id="rId27" w:history="1">
        <w:r w:rsidRPr="001C427A">
          <w:rPr>
            <w:rStyle w:val="Hyperlink"/>
            <w:rFonts w:ascii="Arial" w:hAnsi="Arial" w:cs="Arial"/>
            <w:sz w:val="20"/>
            <w:szCs w:val="20"/>
          </w:rPr>
          <w:t>https://doi.org/10.1016/j.jclepro.2017.03.109</w:t>
        </w:r>
      </w:hyperlink>
    </w:p>
    <w:p w14:paraId="420C1131" w14:textId="77777777" w:rsidR="00970C8C" w:rsidRPr="009F12D6" w:rsidRDefault="00970C8C" w:rsidP="00970C8C">
      <w:pPr>
        <w:pStyle w:val="ListParagraph"/>
        <w:jc w:val="both"/>
        <w:rPr>
          <w:rFonts w:ascii="Arial" w:hAnsi="Arial" w:cs="Arial"/>
          <w:sz w:val="20"/>
          <w:szCs w:val="20"/>
        </w:rPr>
      </w:pPr>
    </w:p>
    <w:p w14:paraId="63FC5CC4"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Shu, Y., Booker, A., Karetny, J., O’Keefe, K., Rees, K., Schroder, L., &amp; Roe, B. E. (2023). Evaluation of a community-based food waste campaign using a national control group. </w:t>
      </w:r>
      <w:r w:rsidRPr="009F12D6">
        <w:rPr>
          <w:rFonts w:ascii="Arial" w:hAnsi="Arial" w:cs="Arial"/>
          <w:i/>
          <w:iCs/>
          <w:sz w:val="20"/>
          <w:szCs w:val="20"/>
        </w:rPr>
        <w:t>Waste Management</w:t>
      </w:r>
      <w:r w:rsidRPr="009F12D6">
        <w:rPr>
          <w:rFonts w:ascii="Arial" w:hAnsi="Arial" w:cs="Arial"/>
          <w:sz w:val="20"/>
          <w:szCs w:val="20"/>
        </w:rPr>
        <w:t xml:space="preserve">, 160, 101–111. </w:t>
      </w:r>
      <w:hyperlink r:id="rId28" w:history="1">
        <w:r w:rsidRPr="001C427A">
          <w:rPr>
            <w:rStyle w:val="Hyperlink"/>
            <w:rFonts w:ascii="Arial" w:hAnsi="Arial" w:cs="Arial"/>
            <w:sz w:val="20"/>
            <w:szCs w:val="20"/>
          </w:rPr>
          <w:t>https://doi.org/10.1016/j.wasman.2023.01.045</w:t>
        </w:r>
      </w:hyperlink>
    </w:p>
    <w:p w14:paraId="637FC57C" w14:textId="77777777" w:rsidR="00970C8C" w:rsidRPr="009F12D6" w:rsidRDefault="00970C8C" w:rsidP="00970C8C">
      <w:pPr>
        <w:pStyle w:val="ListParagraph"/>
        <w:rPr>
          <w:rFonts w:ascii="Arial" w:hAnsi="Arial" w:cs="Arial"/>
          <w:sz w:val="20"/>
          <w:szCs w:val="20"/>
        </w:rPr>
      </w:pPr>
    </w:p>
    <w:p w14:paraId="37C810AC" w14:textId="77777777" w:rsidR="00970C8C" w:rsidRPr="009F12D6" w:rsidRDefault="00970C8C" w:rsidP="00970C8C">
      <w:pPr>
        <w:pStyle w:val="ListParagraph"/>
        <w:jc w:val="both"/>
        <w:rPr>
          <w:rFonts w:ascii="Arial" w:hAnsi="Arial" w:cs="Arial"/>
          <w:sz w:val="20"/>
          <w:szCs w:val="20"/>
        </w:rPr>
      </w:pPr>
    </w:p>
    <w:p w14:paraId="11345C2C"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Graham-Rowe, E., Jessop, D. C., &amp; Sparks, P. (2014). Identifying motivations and barriers to minimising household food waste. </w:t>
      </w:r>
      <w:r w:rsidRPr="009F12D6">
        <w:rPr>
          <w:rFonts w:ascii="Arial" w:hAnsi="Arial" w:cs="Arial"/>
          <w:i/>
          <w:iCs/>
          <w:sz w:val="20"/>
          <w:szCs w:val="20"/>
        </w:rPr>
        <w:t>Resources, Conservation and Recycling</w:t>
      </w:r>
      <w:r w:rsidRPr="009F12D6">
        <w:rPr>
          <w:rFonts w:ascii="Arial" w:hAnsi="Arial" w:cs="Arial"/>
          <w:sz w:val="20"/>
          <w:szCs w:val="20"/>
        </w:rPr>
        <w:t xml:space="preserve">, 84, 15–23. </w:t>
      </w:r>
      <w:hyperlink r:id="rId29" w:history="1">
        <w:r w:rsidRPr="001C427A">
          <w:rPr>
            <w:rStyle w:val="Hyperlink"/>
            <w:rFonts w:ascii="Arial" w:hAnsi="Arial" w:cs="Arial"/>
            <w:sz w:val="20"/>
            <w:szCs w:val="20"/>
          </w:rPr>
          <w:t>https://doi.org/10.1016/j.resconrec.2013.12.005</w:t>
        </w:r>
      </w:hyperlink>
    </w:p>
    <w:p w14:paraId="20C0B49D" w14:textId="77777777" w:rsidR="00970C8C" w:rsidRPr="009F12D6" w:rsidRDefault="00970C8C" w:rsidP="00970C8C">
      <w:pPr>
        <w:pStyle w:val="ListParagraph"/>
        <w:jc w:val="both"/>
        <w:rPr>
          <w:rFonts w:ascii="Arial" w:hAnsi="Arial" w:cs="Arial"/>
          <w:sz w:val="20"/>
          <w:szCs w:val="20"/>
        </w:rPr>
      </w:pPr>
    </w:p>
    <w:p w14:paraId="1BDDC075"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Liechti, C., Mack, G., &amp; Ammann, J. (2023). A systematic literature review of impactful food waste interventions. </w:t>
      </w:r>
      <w:r w:rsidRPr="009F12D6">
        <w:rPr>
          <w:rFonts w:ascii="Arial" w:hAnsi="Arial" w:cs="Arial"/>
          <w:i/>
          <w:iCs/>
          <w:sz w:val="20"/>
          <w:szCs w:val="20"/>
        </w:rPr>
        <w:t>Agrarforschung Schweiz</w:t>
      </w:r>
      <w:r w:rsidRPr="009F12D6">
        <w:rPr>
          <w:rFonts w:ascii="Arial" w:hAnsi="Arial" w:cs="Arial"/>
          <w:sz w:val="20"/>
          <w:szCs w:val="20"/>
        </w:rPr>
        <w:t>, 14(3), 120–132.</w:t>
      </w:r>
    </w:p>
    <w:p w14:paraId="252CFEAE" w14:textId="77777777" w:rsidR="00970C8C" w:rsidRPr="009F12D6" w:rsidRDefault="00970C8C" w:rsidP="00970C8C">
      <w:pPr>
        <w:pStyle w:val="ListParagraph"/>
        <w:rPr>
          <w:rFonts w:ascii="Arial" w:hAnsi="Arial" w:cs="Arial"/>
          <w:sz w:val="20"/>
          <w:szCs w:val="20"/>
        </w:rPr>
      </w:pPr>
    </w:p>
    <w:p w14:paraId="4A331933" w14:textId="77777777" w:rsidR="00970C8C" w:rsidRPr="009F12D6" w:rsidRDefault="00970C8C" w:rsidP="00970C8C">
      <w:pPr>
        <w:pStyle w:val="ListParagraph"/>
        <w:jc w:val="both"/>
        <w:rPr>
          <w:rFonts w:ascii="Arial" w:hAnsi="Arial" w:cs="Arial"/>
          <w:sz w:val="20"/>
          <w:szCs w:val="20"/>
        </w:rPr>
      </w:pPr>
    </w:p>
    <w:p w14:paraId="255A9804"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Battersby, J. (2020). </w:t>
      </w:r>
      <w:r w:rsidRPr="009F12D6">
        <w:rPr>
          <w:rFonts w:ascii="Arial" w:hAnsi="Arial" w:cs="Arial"/>
          <w:i/>
          <w:iCs/>
          <w:sz w:val="20"/>
          <w:szCs w:val="20"/>
        </w:rPr>
        <w:t>Food system transformation in Africa: The role of urban food governance</w:t>
      </w:r>
      <w:r w:rsidRPr="009F12D6">
        <w:rPr>
          <w:rFonts w:ascii="Arial" w:hAnsi="Arial" w:cs="Arial"/>
          <w:sz w:val="20"/>
          <w:szCs w:val="20"/>
        </w:rPr>
        <w:t>. Routledge.</w:t>
      </w:r>
    </w:p>
    <w:p w14:paraId="1F8686CE" w14:textId="77777777" w:rsidR="00970C8C" w:rsidRPr="009F12D6" w:rsidRDefault="00970C8C" w:rsidP="00970C8C">
      <w:pPr>
        <w:pStyle w:val="ListParagraph"/>
        <w:jc w:val="both"/>
        <w:rPr>
          <w:rFonts w:ascii="Arial" w:hAnsi="Arial" w:cs="Arial"/>
          <w:sz w:val="20"/>
          <w:szCs w:val="20"/>
        </w:rPr>
      </w:pPr>
    </w:p>
    <w:p w14:paraId="06EE4CE7"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Carvalho, R., Lucas, M. R., &amp; Marta Costa, A. (2024). Food waste reduction: A systematic literature review on integrating policies, consumer behavior, and innovation. </w:t>
      </w:r>
      <w:r w:rsidRPr="009F12D6">
        <w:rPr>
          <w:rFonts w:ascii="Arial" w:hAnsi="Arial" w:cs="Arial"/>
          <w:i/>
          <w:iCs/>
          <w:sz w:val="20"/>
          <w:szCs w:val="20"/>
        </w:rPr>
        <w:t>Sustainability</w:t>
      </w:r>
      <w:r w:rsidRPr="009F12D6">
        <w:rPr>
          <w:rFonts w:ascii="Arial" w:hAnsi="Arial" w:cs="Arial"/>
          <w:sz w:val="20"/>
          <w:szCs w:val="20"/>
        </w:rPr>
        <w:t xml:space="preserve">, 17(7), 3236. </w:t>
      </w:r>
      <w:hyperlink r:id="rId30" w:history="1">
        <w:r w:rsidRPr="001C427A">
          <w:rPr>
            <w:rStyle w:val="Hyperlink"/>
            <w:rFonts w:ascii="Arial" w:hAnsi="Arial" w:cs="Arial"/>
            <w:sz w:val="20"/>
            <w:szCs w:val="20"/>
          </w:rPr>
          <w:t>https://doi.org/10.3390/su17073236</w:t>
        </w:r>
      </w:hyperlink>
    </w:p>
    <w:p w14:paraId="7F08F901" w14:textId="77777777" w:rsidR="00970C8C" w:rsidRPr="009F12D6" w:rsidRDefault="00970C8C" w:rsidP="00970C8C">
      <w:pPr>
        <w:pStyle w:val="ListParagraph"/>
        <w:rPr>
          <w:rFonts w:ascii="Arial" w:hAnsi="Arial" w:cs="Arial"/>
          <w:sz w:val="20"/>
          <w:szCs w:val="20"/>
        </w:rPr>
      </w:pPr>
    </w:p>
    <w:p w14:paraId="16459952" w14:textId="77777777" w:rsidR="00970C8C" w:rsidRPr="009F12D6" w:rsidRDefault="00970C8C" w:rsidP="00970C8C">
      <w:pPr>
        <w:pStyle w:val="ListParagraph"/>
        <w:jc w:val="both"/>
        <w:rPr>
          <w:rFonts w:ascii="Arial" w:hAnsi="Arial" w:cs="Arial"/>
          <w:sz w:val="20"/>
          <w:szCs w:val="20"/>
        </w:rPr>
      </w:pPr>
    </w:p>
    <w:p w14:paraId="07179F4E"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lastRenderedPageBreak/>
        <w:t xml:space="preserve">Quested, T. E., Parry, A. D., Easteal, S., &amp; Swannell, R. (2011). Food and drink waste from households in the UK. </w:t>
      </w:r>
      <w:r w:rsidRPr="009F12D6">
        <w:rPr>
          <w:rFonts w:ascii="Arial" w:hAnsi="Arial" w:cs="Arial"/>
          <w:i/>
          <w:iCs/>
          <w:sz w:val="20"/>
          <w:szCs w:val="20"/>
        </w:rPr>
        <w:t>Nutrition Bulletin</w:t>
      </w:r>
      <w:r w:rsidRPr="009F12D6">
        <w:rPr>
          <w:rFonts w:ascii="Arial" w:hAnsi="Arial" w:cs="Arial"/>
          <w:sz w:val="20"/>
          <w:szCs w:val="20"/>
        </w:rPr>
        <w:t xml:space="preserve">, 36(4), 460–467. </w:t>
      </w:r>
      <w:hyperlink r:id="rId31" w:history="1">
        <w:r w:rsidRPr="001C427A">
          <w:rPr>
            <w:rStyle w:val="Hyperlink"/>
            <w:rFonts w:ascii="Arial" w:hAnsi="Arial" w:cs="Arial"/>
            <w:sz w:val="20"/>
            <w:szCs w:val="20"/>
          </w:rPr>
          <w:t>https://doi.org/10.1111/j.1467-3010.2011.01924.x</w:t>
        </w:r>
      </w:hyperlink>
    </w:p>
    <w:p w14:paraId="304735E0" w14:textId="77777777" w:rsidR="00970C8C" w:rsidRPr="009F12D6" w:rsidRDefault="00970C8C" w:rsidP="00970C8C">
      <w:pPr>
        <w:pStyle w:val="ListParagraph"/>
        <w:jc w:val="both"/>
        <w:rPr>
          <w:rFonts w:ascii="Arial" w:hAnsi="Arial" w:cs="Arial"/>
          <w:sz w:val="20"/>
          <w:szCs w:val="20"/>
        </w:rPr>
      </w:pPr>
    </w:p>
    <w:p w14:paraId="36EA913E" w14:textId="77777777" w:rsidR="00970C8C" w:rsidRDefault="00970C8C" w:rsidP="00970C8C">
      <w:pPr>
        <w:pStyle w:val="ListParagraph"/>
        <w:numPr>
          <w:ilvl w:val="0"/>
          <w:numId w:val="6"/>
        </w:numPr>
        <w:spacing w:after="200" w:line="276" w:lineRule="auto"/>
        <w:jc w:val="both"/>
        <w:rPr>
          <w:rFonts w:ascii="Arial" w:hAnsi="Arial" w:cs="Arial"/>
          <w:sz w:val="20"/>
          <w:szCs w:val="20"/>
        </w:rPr>
      </w:pPr>
      <w:r w:rsidRPr="009F12D6">
        <w:rPr>
          <w:rFonts w:ascii="Arial" w:hAnsi="Arial" w:cs="Arial"/>
          <w:sz w:val="20"/>
          <w:szCs w:val="20"/>
        </w:rPr>
        <w:t xml:space="preserve">Etim, E., Choedron, K. T., Ajai, O., Duke, O., &amp; Jijingi, H. E. (2025). Systematic review of factors influencing household food waste behaviour: Applying the theory of planned behaviour. </w:t>
      </w:r>
      <w:r w:rsidRPr="009F12D6">
        <w:rPr>
          <w:rFonts w:ascii="Arial" w:hAnsi="Arial" w:cs="Arial"/>
          <w:i/>
          <w:iCs/>
          <w:sz w:val="20"/>
          <w:szCs w:val="20"/>
        </w:rPr>
        <w:t>Waste Management &amp; Research</w:t>
      </w:r>
      <w:r w:rsidRPr="009F12D6">
        <w:rPr>
          <w:rFonts w:ascii="Arial" w:hAnsi="Arial" w:cs="Arial"/>
          <w:sz w:val="20"/>
          <w:szCs w:val="20"/>
        </w:rPr>
        <w:t xml:space="preserve">, 43(6), 803–827. </w:t>
      </w:r>
      <w:hyperlink r:id="rId32" w:history="1">
        <w:r w:rsidRPr="001C427A">
          <w:rPr>
            <w:rStyle w:val="Hyperlink"/>
            <w:rFonts w:ascii="Arial" w:hAnsi="Arial" w:cs="Arial"/>
            <w:sz w:val="20"/>
            <w:szCs w:val="20"/>
          </w:rPr>
          <w:t>https://doi.org/10.1177/0734242X241285423</w:t>
        </w:r>
      </w:hyperlink>
    </w:p>
    <w:p w14:paraId="5FD2BA35" w14:textId="77777777" w:rsidR="00970C8C" w:rsidRPr="009F12D6" w:rsidRDefault="00970C8C" w:rsidP="00970C8C">
      <w:pPr>
        <w:pStyle w:val="ListParagraph"/>
        <w:rPr>
          <w:rFonts w:ascii="Arial" w:hAnsi="Arial" w:cs="Arial"/>
          <w:sz w:val="20"/>
          <w:szCs w:val="20"/>
        </w:rPr>
      </w:pPr>
    </w:p>
    <w:sectPr w:rsidR="00970C8C" w:rsidRPr="009F12D6">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980F" w14:textId="77777777" w:rsidR="00820DEE" w:rsidRDefault="00820DEE" w:rsidP="00F75B08">
      <w:pPr>
        <w:spacing w:after="0" w:line="240" w:lineRule="auto"/>
      </w:pPr>
      <w:r>
        <w:separator/>
      </w:r>
    </w:p>
  </w:endnote>
  <w:endnote w:type="continuationSeparator" w:id="0">
    <w:p w14:paraId="3F055ABA" w14:textId="77777777" w:rsidR="00820DEE" w:rsidRDefault="00820DEE" w:rsidP="00F7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7CF3" w14:textId="77777777" w:rsidR="00174A5E" w:rsidRDefault="0017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3D56" w14:textId="77777777" w:rsidR="00174A5E" w:rsidRDefault="0017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170" w14:textId="77777777" w:rsidR="00174A5E" w:rsidRDefault="0017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09A5" w14:textId="77777777" w:rsidR="00820DEE" w:rsidRDefault="00820DEE" w:rsidP="00F75B08">
      <w:pPr>
        <w:spacing w:after="0" w:line="240" w:lineRule="auto"/>
      </w:pPr>
      <w:r>
        <w:separator/>
      </w:r>
    </w:p>
  </w:footnote>
  <w:footnote w:type="continuationSeparator" w:id="0">
    <w:p w14:paraId="59EE2954" w14:textId="77777777" w:rsidR="00820DEE" w:rsidRDefault="00820DEE" w:rsidP="00F7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F8CA" w14:textId="61AFDA4C" w:rsidR="00174A5E" w:rsidRDefault="00000000">
    <w:pPr>
      <w:pStyle w:val="Header"/>
    </w:pPr>
    <w:r>
      <w:rPr>
        <w:noProof/>
      </w:rPr>
      <w:pict w14:anchorId="6229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E874" w14:textId="5464798C" w:rsidR="00174A5E" w:rsidRDefault="00000000">
    <w:pPr>
      <w:pStyle w:val="Header"/>
    </w:pPr>
    <w:r>
      <w:rPr>
        <w:noProof/>
      </w:rPr>
      <w:pict w14:anchorId="315C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1141" w14:textId="27E24F90" w:rsidR="00174A5E" w:rsidRDefault="00000000">
    <w:pPr>
      <w:pStyle w:val="Header"/>
    </w:pPr>
    <w:r>
      <w:rPr>
        <w:noProof/>
      </w:rPr>
      <w:pict w14:anchorId="3DE57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2FD"/>
    <w:multiLevelType w:val="hybridMultilevel"/>
    <w:tmpl w:val="BB1A67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287D3A"/>
    <w:multiLevelType w:val="multilevel"/>
    <w:tmpl w:val="2804948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582441"/>
    <w:multiLevelType w:val="hybridMultilevel"/>
    <w:tmpl w:val="2892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C0D48"/>
    <w:multiLevelType w:val="multilevel"/>
    <w:tmpl w:val="58D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C0A4B"/>
    <w:multiLevelType w:val="multilevel"/>
    <w:tmpl w:val="1F9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E58CD"/>
    <w:multiLevelType w:val="hybridMultilevel"/>
    <w:tmpl w:val="EB86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176314">
    <w:abstractNumId w:val="0"/>
  </w:num>
  <w:num w:numId="2" w16cid:durableId="271861823">
    <w:abstractNumId w:val="4"/>
  </w:num>
  <w:num w:numId="3" w16cid:durableId="576403164">
    <w:abstractNumId w:val="3"/>
  </w:num>
  <w:num w:numId="4" w16cid:durableId="224071244">
    <w:abstractNumId w:val="1"/>
  </w:num>
  <w:num w:numId="5" w16cid:durableId="1065491146">
    <w:abstractNumId w:val="5"/>
  </w:num>
  <w:num w:numId="6" w16cid:durableId="1903053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Y0MrIwNzcyMLZU0lEKTi0uzszPAykwqgUAK3Z5CiwAAAA="/>
  </w:docVars>
  <w:rsids>
    <w:rsidRoot w:val="00097896"/>
    <w:rsid w:val="00005F9D"/>
    <w:rsid w:val="0001392F"/>
    <w:rsid w:val="00026418"/>
    <w:rsid w:val="000404C3"/>
    <w:rsid w:val="0004050C"/>
    <w:rsid w:val="00053798"/>
    <w:rsid w:val="00097896"/>
    <w:rsid w:val="000D495E"/>
    <w:rsid w:val="000E34BB"/>
    <w:rsid w:val="001024A9"/>
    <w:rsid w:val="00105487"/>
    <w:rsid w:val="00152D2E"/>
    <w:rsid w:val="0015400D"/>
    <w:rsid w:val="00161058"/>
    <w:rsid w:val="00162F43"/>
    <w:rsid w:val="00174A5E"/>
    <w:rsid w:val="00197870"/>
    <w:rsid w:val="001B4317"/>
    <w:rsid w:val="001C3D62"/>
    <w:rsid w:val="001E43E2"/>
    <w:rsid w:val="00203A95"/>
    <w:rsid w:val="00206E57"/>
    <w:rsid w:val="002076D6"/>
    <w:rsid w:val="002129C0"/>
    <w:rsid w:val="002136E5"/>
    <w:rsid w:val="00251BBF"/>
    <w:rsid w:val="00255A74"/>
    <w:rsid w:val="002643BE"/>
    <w:rsid w:val="002B2430"/>
    <w:rsid w:val="002C5683"/>
    <w:rsid w:val="002C6F59"/>
    <w:rsid w:val="002E4E96"/>
    <w:rsid w:val="002F51B2"/>
    <w:rsid w:val="003130A9"/>
    <w:rsid w:val="00337886"/>
    <w:rsid w:val="003502A3"/>
    <w:rsid w:val="003633C8"/>
    <w:rsid w:val="00387DF7"/>
    <w:rsid w:val="003A1C8C"/>
    <w:rsid w:val="003E1BA1"/>
    <w:rsid w:val="003E57BF"/>
    <w:rsid w:val="00421ACB"/>
    <w:rsid w:val="00422E43"/>
    <w:rsid w:val="004600F2"/>
    <w:rsid w:val="004A26E3"/>
    <w:rsid w:val="004B00D1"/>
    <w:rsid w:val="004B47B6"/>
    <w:rsid w:val="004B56BE"/>
    <w:rsid w:val="004B6201"/>
    <w:rsid w:val="004C1AAE"/>
    <w:rsid w:val="004D644E"/>
    <w:rsid w:val="00505726"/>
    <w:rsid w:val="005363E6"/>
    <w:rsid w:val="00542BF1"/>
    <w:rsid w:val="00547C2B"/>
    <w:rsid w:val="00553B1B"/>
    <w:rsid w:val="005547E5"/>
    <w:rsid w:val="00581FDB"/>
    <w:rsid w:val="005904C4"/>
    <w:rsid w:val="005A0C05"/>
    <w:rsid w:val="005B6B4E"/>
    <w:rsid w:val="005E3C35"/>
    <w:rsid w:val="005E40CC"/>
    <w:rsid w:val="00631A1C"/>
    <w:rsid w:val="00654C2E"/>
    <w:rsid w:val="006607A8"/>
    <w:rsid w:val="00671363"/>
    <w:rsid w:val="00676431"/>
    <w:rsid w:val="0068292D"/>
    <w:rsid w:val="0069331C"/>
    <w:rsid w:val="00694610"/>
    <w:rsid w:val="006B6C75"/>
    <w:rsid w:val="006C6C78"/>
    <w:rsid w:val="006E3DD6"/>
    <w:rsid w:val="007130BD"/>
    <w:rsid w:val="007623F7"/>
    <w:rsid w:val="007A693F"/>
    <w:rsid w:val="007C4245"/>
    <w:rsid w:val="00815850"/>
    <w:rsid w:val="00820DEE"/>
    <w:rsid w:val="00832C1B"/>
    <w:rsid w:val="00850FBB"/>
    <w:rsid w:val="00877AB4"/>
    <w:rsid w:val="008A7091"/>
    <w:rsid w:val="008B7A9C"/>
    <w:rsid w:val="008C62B7"/>
    <w:rsid w:val="008D083D"/>
    <w:rsid w:val="008F0861"/>
    <w:rsid w:val="00921B00"/>
    <w:rsid w:val="00950232"/>
    <w:rsid w:val="00955F18"/>
    <w:rsid w:val="00970C8C"/>
    <w:rsid w:val="009D5400"/>
    <w:rsid w:val="009F6363"/>
    <w:rsid w:val="00A019A6"/>
    <w:rsid w:val="00A02813"/>
    <w:rsid w:val="00A1099F"/>
    <w:rsid w:val="00A32096"/>
    <w:rsid w:val="00A41BEE"/>
    <w:rsid w:val="00A46536"/>
    <w:rsid w:val="00A85D07"/>
    <w:rsid w:val="00AA2508"/>
    <w:rsid w:val="00AC532B"/>
    <w:rsid w:val="00AC7BA6"/>
    <w:rsid w:val="00AD0648"/>
    <w:rsid w:val="00AF7209"/>
    <w:rsid w:val="00AF7C7A"/>
    <w:rsid w:val="00B05039"/>
    <w:rsid w:val="00B3690D"/>
    <w:rsid w:val="00B47355"/>
    <w:rsid w:val="00B75BA6"/>
    <w:rsid w:val="00B760E9"/>
    <w:rsid w:val="00B97C15"/>
    <w:rsid w:val="00BD0CA1"/>
    <w:rsid w:val="00BE250A"/>
    <w:rsid w:val="00BF07AC"/>
    <w:rsid w:val="00BF0B92"/>
    <w:rsid w:val="00BF335A"/>
    <w:rsid w:val="00C31DCB"/>
    <w:rsid w:val="00C73D57"/>
    <w:rsid w:val="00C85291"/>
    <w:rsid w:val="00C866DB"/>
    <w:rsid w:val="00CA1DAC"/>
    <w:rsid w:val="00CA7060"/>
    <w:rsid w:val="00CE072E"/>
    <w:rsid w:val="00CF0925"/>
    <w:rsid w:val="00CF398B"/>
    <w:rsid w:val="00D20997"/>
    <w:rsid w:val="00D60F4E"/>
    <w:rsid w:val="00D66D0B"/>
    <w:rsid w:val="00DA7306"/>
    <w:rsid w:val="00DB3879"/>
    <w:rsid w:val="00DB6AE6"/>
    <w:rsid w:val="00DC2EE6"/>
    <w:rsid w:val="00DF0421"/>
    <w:rsid w:val="00E1565F"/>
    <w:rsid w:val="00E36F05"/>
    <w:rsid w:val="00E47719"/>
    <w:rsid w:val="00E506E1"/>
    <w:rsid w:val="00E6617D"/>
    <w:rsid w:val="00E72D6F"/>
    <w:rsid w:val="00E83F06"/>
    <w:rsid w:val="00EA236D"/>
    <w:rsid w:val="00EA5EAF"/>
    <w:rsid w:val="00EA639B"/>
    <w:rsid w:val="00EB0544"/>
    <w:rsid w:val="00EC4F38"/>
    <w:rsid w:val="00EE04CA"/>
    <w:rsid w:val="00EF11C0"/>
    <w:rsid w:val="00EF55F8"/>
    <w:rsid w:val="00F04D91"/>
    <w:rsid w:val="00F05604"/>
    <w:rsid w:val="00F12A27"/>
    <w:rsid w:val="00F13233"/>
    <w:rsid w:val="00F16E18"/>
    <w:rsid w:val="00F25CB5"/>
    <w:rsid w:val="00F364D4"/>
    <w:rsid w:val="00F75B08"/>
    <w:rsid w:val="00FB5A75"/>
    <w:rsid w:val="00FB7D5B"/>
    <w:rsid w:val="00FC38B8"/>
    <w:rsid w:val="00FC7B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B72A"/>
  <w15:chartTrackingRefBased/>
  <w15:docId w15:val="{C1C08567-0B74-4F43-A632-846C8611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96"/>
    <w:rPr>
      <w:rFonts w:eastAsiaTheme="majorEastAsia" w:cstheme="majorBidi"/>
      <w:color w:val="272727" w:themeColor="text1" w:themeTint="D8"/>
    </w:rPr>
  </w:style>
  <w:style w:type="paragraph" w:styleId="Title">
    <w:name w:val="Title"/>
    <w:basedOn w:val="Normal"/>
    <w:next w:val="Normal"/>
    <w:link w:val="TitleChar"/>
    <w:uiPriority w:val="10"/>
    <w:qFormat/>
    <w:rsid w:val="0009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96"/>
    <w:pPr>
      <w:spacing w:before="160"/>
      <w:jc w:val="center"/>
    </w:pPr>
    <w:rPr>
      <w:i/>
      <w:iCs/>
      <w:color w:val="404040" w:themeColor="text1" w:themeTint="BF"/>
    </w:rPr>
  </w:style>
  <w:style w:type="character" w:customStyle="1" w:styleId="QuoteChar">
    <w:name w:val="Quote Char"/>
    <w:basedOn w:val="DefaultParagraphFont"/>
    <w:link w:val="Quote"/>
    <w:uiPriority w:val="29"/>
    <w:rsid w:val="00097896"/>
    <w:rPr>
      <w:i/>
      <w:iCs/>
      <w:color w:val="404040" w:themeColor="text1" w:themeTint="BF"/>
    </w:rPr>
  </w:style>
  <w:style w:type="paragraph" w:styleId="ListParagraph">
    <w:name w:val="List Paragraph"/>
    <w:basedOn w:val="Normal"/>
    <w:uiPriority w:val="34"/>
    <w:qFormat/>
    <w:rsid w:val="00097896"/>
    <w:pPr>
      <w:ind w:left="720"/>
      <w:contextualSpacing/>
    </w:pPr>
  </w:style>
  <w:style w:type="character" w:styleId="IntenseEmphasis">
    <w:name w:val="Intense Emphasis"/>
    <w:basedOn w:val="DefaultParagraphFont"/>
    <w:uiPriority w:val="21"/>
    <w:qFormat/>
    <w:rsid w:val="00097896"/>
    <w:rPr>
      <w:i/>
      <w:iCs/>
      <w:color w:val="2F5496" w:themeColor="accent1" w:themeShade="BF"/>
    </w:rPr>
  </w:style>
  <w:style w:type="paragraph" w:styleId="IntenseQuote">
    <w:name w:val="Intense Quote"/>
    <w:basedOn w:val="Normal"/>
    <w:next w:val="Normal"/>
    <w:link w:val="IntenseQuoteChar"/>
    <w:uiPriority w:val="30"/>
    <w:qFormat/>
    <w:rsid w:val="00097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896"/>
    <w:rPr>
      <w:i/>
      <w:iCs/>
      <w:color w:val="2F5496" w:themeColor="accent1" w:themeShade="BF"/>
    </w:rPr>
  </w:style>
  <w:style w:type="character" w:styleId="IntenseReference">
    <w:name w:val="Intense Reference"/>
    <w:basedOn w:val="DefaultParagraphFont"/>
    <w:uiPriority w:val="32"/>
    <w:qFormat/>
    <w:rsid w:val="00097896"/>
    <w:rPr>
      <w:b/>
      <w:bCs/>
      <w:smallCaps/>
      <w:color w:val="2F5496" w:themeColor="accent1" w:themeShade="BF"/>
      <w:spacing w:val="5"/>
    </w:rPr>
  </w:style>
  <w:style w:type="table" w:styleId="TableGrid">
    <w:name w:val="Table Grid"/>
    <w:basedOn w:val="TableNormal"/>
    <w:uiPriority w:val="39"/>
    <w:rsid w:val="0009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author-affiliation">
    <w:name w:val="article__author-affiliation"/>
    <w:basedOn w:val="Normal"/>
    <w:rsid w:val="001B431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semiHidden/>
    <w:unhideWhenUsed/>
    <w:rsid w:val="003E57BF"/>
    <w:rPr>
      <w:rFonts w:ascii="Times New Roman" w:hAnsi="Times New Roman" w:cs="Times New Roman"/>
      <w:sz w:val="24"/>
      <w:szCs w:val="24"/>
    </w:rPr>
  </w:style>
  <w:style w:type="character" w:styleId="Hyperlink">
    <w:name w:val="Hyperlink"/>
    <w:basedOn w:val="DefaultParagraphFont"/>
    <w:uiPriority w:val="99"/>
    <w:unhideWhenUsed/>
    <w:rsid w:val="007C4245"/>
    <w:rPr>
      <w:color w:val="0563C1" w:themeColor="hyperlink"/>
      <w:u w:val="single"/>
    </w:rPr>
  </w:style>
  <w:style w:type="character" w:customStyle="1" w:styleId="UnresolvedMention1">
    <w:name w:val="Unresolved Mention1"/>
    <w:basedOn w:val="DefaultParagraphFont"/>
    <w:uiPriority w:val="99"/>
    <w:semiHidden/>
    <w:unhideWhenUsed/>
    <w:rsid w:val="007C4245"/>
    <w:rPr>
      <w:color w:val="605E5C"/>
      <w:shd w:val="clear" w:color="auto" w:fill="E1DFDD"/>
    </w:rPr>
  </w:style>
  <w:style w:type="paragraph" w:styleId="Header">
    <w:name w:val="header"/>
    <w:basedOn w:val="Normal"/>
    <w:link w:val="HeaderChar"/>
    <w:uiPriority w:val="99"/>
    <w:unhideWhenUsed/>
    <w:rsid w:val="00F7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08"/>
  </w:style>
  <w:style w:type="paragraph" w:styleId="Footer">
    <w:name w:val="footer"/>
    <w:basedOn w:val="Normal"/>
    <w:link w:val="FooterChar"/>
    <w:uiPriority w:val="99"/>
    <w:unhideWhenUsed/>
    <w:rsid w:val="00F7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08"/>
  </w:style>
  <w:style w:type="paragraph" w:customStyle="1" w:styleId="ReferHead">
    <w:name w:val="Refer Head"/>
    <w:basedOn w:val="Normal"/>
    <w:rsid w:val="007623F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Figure">
    <w:name w:val="Figure"/>
    <w:basedOn w:val="Normal"/>
    <w:rsid w:val="004B00D1"/>
    <w:pPr>
      <w:spacing w:after="240" w:line="200" w:lineRule="exact"/>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2132-019-09380-1" TargetMode="External"/><Relationship Id="rId18" Type="http://schemas.openxmlformats.org/officeDocument/2006/relationships/hyperlink" Target="https://doi.org/10.3390/foods11081103" TargetMode="External"/><Relationship Id="rId26" Type="http://schemas.openxmlformats.org/officeDocument/2006/relationships/hyperlink" Target="https://doi.org/10.5296/emsd.v12i2.12345" TargetMode="External"/><Relationship Id="rId39" Type="http://schemas.openxmlformats.org/officeDocument/2006/relationships/fontTable" Target="fontTable.xml"/><Relationship Id="rId21" Type="http://schemas.openxmlformats.org/officeDocument/2006/relationships/hyperlink" Target="https://hdl.handle.net/10419/276142" TargetMode="External"/><Relationship Id="rId34" Type="http://schemas.openxmlformats.org/officeDocument/2006/relationships/header" Target="header2.xml"/><Relationship Id="rId7" Type="http://schemas.openxmlformats.org/officeDocument/2006/relationships/hyperlink" Target="https://doi.org/10.1016/j.wasman.2013.08.016" TargetMode="External"/><Relationship Id="rId12" Type="http://schemas.openxmlformats.org/officeDocument/2006/relationships/hyperlink" Target="https://doi.org/10.1016/j.resconrec.2018.03.029" TargetMode="External"/><Relationship Id="rId17" Type="http://schemas.openxmlformats.org/officeDocument/2006/relationships/hyperlink" Target="https://doi.org/10.51704/njns.v44i2.2024.48" TargetMode="External"/><Relationship Id="rId25" Type="http://schemas.openxmlformats.org/officeDocument/2006/relationships/hyperlink" Target="https://doi.org/10.1111/ijcs.1255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edocs.unep.org/20.500.11822/35280" TargetMode="External"/><Relationship Id="rId20" Type="http://schemas.openxmlformats.org/officeDocument/2006/relationships/hyperlink" Target="https://doi.org/10.1016/j.jum.2023.05.004" TargetMode="External"/><Relationship Id="rId29" Type="http://schemas.openxmlformats.org/officeDocument/2006/relationships/hyperlink" Target="https://doi.org/10.1016/j.resconrec.2013.12.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gfs.2020.100403" TargetMode="External"/><Relationship Id="rId24" Type="http://schemas.openxmlformats.org/officeDocument/2006/relationships/hyperlink" Target="https://doi.org/10.1080/0376835X.2011.605571" TargetMode="External"/><Relationship Id="rId32" Type="http://schemas.openxmlformats.org/officeDocument/2006/relationships/hyperlink" Target="https://doi.org/10.1177/0734242X24128542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6765/DRJAFS17559199" TargetMode="External"/><Relationship Id="rId23" Type="http://schemas.openxmlformats.org/officeDocument/2006/relationships/hyperlink" Target="https://doi.org/10.1016/j.wasman.2016.03.034" TargetMode="External"/><Relationship Id="rId28" Type="http://schemas.openxmlformats.org/officeDocument/2006/relationships/hyperlink" Target="https://doi.org/10.1016/j.wasman.2023.01.045" TargetMode="External"/><Relationship Id="rId36" Type="http://schemas.openxmlformats.org/officeDocument/2006/relationships/footer" Target="footer2.xml"/><Relationship Id="rId10" Type="http://schemas.openxmlformats.org/officeDocument/2006/relationships/hyperlink" Target="https://doi.org/10.1016/j.appet.2015.08.025" TargetMode="External"/><Relationship Id="rId19" Type="http://schemas.openxmlformats.org/officeDocument/2006/relationships/hyperlink" Target="https://doi.org/10.1177/0734242X231184444" TargetMode="External"/><Relationship Id="rId31" Type="http://schemas.openxmlformats.org/officeDocument/2006/relationships/hyperlink" Target="https://doi.org/10.1111/j.1467-3010.2011.01924.x" TargetMode="External"/><Relationship Id="rId4" Type="http://schemas.openxmlformats.org/officeDocument/2006/relationships/webSettings" Target="webSettings.xml"/><Relationship Id="rId9" Type="http://schemas.openxmlformats.org/officeDocument/2006/relationships/hyperlink" Target="https://doi.org/10.3389/fsufs.2025.1556003" TargetMode="External"/><Relationship Id="rId14" Type="http://schemas.openxmlformats.org/officeDocument/2006/relationships/hyperlink" Target="https://doi.org/10.4324/9780429462795" TargetMode="External"/><Relationship Id="rId22" Type="http://schemas.openxmlformats.org/officeDocument/2006/relationships/hyperlink" Target="https://doi.org/10.47116/apjcri.2025.04.12" TargetMode="External"/><Relationship Id="rId27" Type="http://schemas.openxmlformats.org/officeDocument/2006/relationships/hyperlink" Target="https://doi.org/10.1016/j.jclepro.2017.03.109" TargetMode="External"/><Relationship Id="rId30" Type="http://schemas.openxmlformats.org/officeDocument/2006/relationships/hyperlink" Target="https://doi.org/10.3390/su17073236" TargetMode="External"/><Relationship Id="rId35" Type="http://schemas.openxmlformats.org/officeDocument/2006/relationships/footer" Target="footer1.xml"/><Relationship Id="rId8" Type="http://schemas.openxmlformats.org/officeDocument/2006/relationships/hyperlink" Target="https://doi.org/10.1098/rstb.2010.012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9431</TotalTime>
  <Pages>15</Pages>
  <Words>5878</Words>
  <Characters>33507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Farmstead Solutions</dc:creator>
  <cp:keywords/>
  <dc:description/>
  <cp:lastModifiedBy>HP</cp:lastModifiedBy>
  <cp:revision>59</cp:revision>
  <dcterms:created xsi:type="dcterms:W3CDTF">2026-02-03T09:51:00Z</dcterms:created>
  <dcterms:modified xsi:type="dcterms:W3CDTF">2026-03-25T04:15:00Z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42472c9c-9d6a-4617-82d9-a03d42324893</vt:lpwstr>
  </property>
</Properties>
</file>