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ED42" w14:textId="77777777" w:rsidR="001E2684" w:rsidRPr="00B40EF7" w:rsidRDefault="001E2684" w:rsidP="00B40EF7">
      <w:pPr>
        <w:spacing w:after="0" w:line="480" w:lineRule="auto"/>
        <w:jc w:val="both"/>
        <w:rPr>
          <w:rFonts w:ascii="Times New Roman" w:hAnsi="Times New Roman"/>
          <w:b/>
          <w:sz w:val="20"/>
          <w:szCs w:val="20"/>
          <w:lang w:val="en-IN"/>
        </w:rPr>
      </w:pPr>
      <w:bookmarkStart w:id="0" w:name="_Hlk201577908"/>
    </w:p>
    <w:p w14:paraId="46E92AE4" w14:textId="16FD933B" w:rsidR="005278BB" w:rsidRPr="00B40EF7" w:rsidRDefault="005278BB"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 xml:space="preserve">Impact of Temperature Stress on </w:t>
      </w:r>
      <w:r w:rsidR="00791594" w:rsidRPr="00B40EF7">
        <w:rPr>
          <w:rFonts w:ascii="Times New Roman" w:hAnsi="Times New Roman"/>
          <w:bCs/>
          <w:sz w:val="20"/>
          <w:szCs w:val="20"/>
          <w:lang w:val="en-IN"/>
        </w:rPr>
        <w:t>Adaptive</w:t>
      </w:r>
      <w:r w:rsidRPr="00B40EF7">
        <w:rPr>
          <w:rFonts w:ascii="Times New Roman" w:hAnsi="Times New Roman"/>
          <w:bCs/>
          <w:sz w:val="20"/>
          <w:szCs w:val="20"/>
          <w:lang w:val="en-IN"/>
        </w:rPr>
        <w:t xml:space="preserve"> Mechanisms in Zebra 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w:t>
      </w:r>
    </w:p>
    <w:p w14:paraId="4EFAFBC2" w14:textId="2622AAEF" w:rsidR="005278BB" w:rsidRPr="00B40EF7" w:rsidRDefault="005278BB" w:rsidP="00B40EF7">
      <w:pPr>
        <w:spacing w:line="360" w:lineRule="auto"/>
        <w:jc w:val="both"/>
        <w:rPr>
          <w:rFonts w:ascii="Times New Roman" w:hAnsi="Times New Roman"/>
          <w:color w:val="222222"/>
          <w:sz w:val="20"/>
          <w:szCs w:val="20"/>
          <w:shd w:val="clear" w:color="auto" w:fill="FFFFFF"/>
        </w:rPr>
      </w:pPr>
    </w:p>
    <w:bookmarkEnd w:id="0"/>
    <w:p w14:paraId="6460AF32" w14:textId="77777777" w:rsidR="003F67E5" w:rsidRPr="00B40EF7" w:rsidRDefault="003F67E5" w:rsidP="00B40EF7">
      <w:pPr>
        <w:spacing w:after="0" w:line="480" w:lineRule="auto"/>
        <w:jc w:val="center"/>
        <w:rPr>
          <w:rFonts w:ascii="Times New Roman" w:hAnsi="Times New Roman"/>
          <w:b/>
          <w:bCs/>
          <w:sz w:val="20"/>
          <w:szCs w:val="20"/>
        </w:rPr>
      </w:pPr>
    </w:p>
    <w:p w14:paraId="0CBA5347" w14:textId="0C6D9E5B" w:rsidR="003F67E5" w:rsidRPr="00B40EF7" w:rsidRDefault="003F67E5" w:rsidP="00B40EF7">
      <w:pPr>
        <w:spacing w:after="0" w:line="480" w:lineRule="auto"/>
        <w:rPr>
          <w:rFonts w:ascii="Times New Roman" w:hAnsi="Times New Roman"/>
          <w:b/>
          <w:bCs/>
          <w:sz w:val="20"/>
          <w:szCs w:val="20"/>
        </w:rPr>
      </w:pPr>
      <w:r w:rsidRPr="00B40EF7">
        <w:rPr>
          <w:rFonts w:ascii="Times New Roman" w:hAnsi="Times New Roman"/>
          <w:b/>
          <w:bCs/>
          <w:sz w:val="20"/>
          <w:szCs w:val="20"/>
        </w:rPr>
        <w:t>Abstract</w:t>
      </w:r>
    </w:p>
    <w:p w14:paraId="631984DC" w14:textId="7F38A364" w:rsidR="003F67E5"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Environmental temperature plays a crucial role in regulating physiological and biochemical processes in ectothermic organisms such as zebrafish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 xml:space="preserve">). Thermal stress can disrupt homeostasis by elevating reactive oxygen species (ROS), leading to oxidative damage in vital tissues. The present study investigates the impact of gradual temperature stress on antioxidant and metabolic enzyme responses in zebrafish, with a focus on key antioxidant enzymes like superoxide dismutase (SOD), catalase (CAT), glutathione (GSH) and metabolic markers such as acid phosphatase (ACP), alkaline phosphatase (ALP), </w:t>
      </w:r>
      <w:r w:rsidR="00853B34" w:rsidRPr="00B40EF7">
        <w:rPr>
          <w:rFonts w:ascii="Times New Roman" w:hAnsi="Times New Roman"/>
          <w:bCs/>
          <w:sz w:val="20"/>
          <w:szCs w:val="20"/>
          <w:lang w:val="en-IN"/>
        </w:rPr>
        <w:t>Β</w:t>
      </w:r>
      <w:r w:rsidRPr="00B40EF7">
        <w:rPr>
          <w:rFonts w:ascii="Times New Roman" w:hAnsi="Times New Roman"/>
          <w:bCs/>
          <w:sz w:val="20"/>
          <w:szCs w:val="20"/>
          <w:lang w:val="en-IN"/>
        </w:rPr>
        <w:t xml:space="preserve"> amylase, and Acetylcholinesterase (</w:t>
      </w:r>
      <w:proofErr w:type="spellStart"/>
      <w:r w:rsidRPr="00B40EF7">
        <w:rPr>
          <w:rFonts w:ascii="Times New Roman" w:hAnsi="Times New Roman"/>
          <w:bCs/>
          <w:sz w:val="20"/>
          <w:szCs w:val="20"/>
          <w:lang w:val="en-IN"/>
        </w:rPr>
        <w:t>AChE</w:t>
      </w:r>
      <w:proofErr w:type="spellEnd"/>
      <w:r w:rsidRPr="00B40EF7">
        <w:rPr>
          <w:rFonts w:ascii="Times New Roman" w:hAnsi="Times New Roman"/>
          <w:bCs/>
          <w:sz w:val="20"/>
          <w:szCs w:val="20"/>
          <w:lang w:val="en-IN"/>
        </w:rPr>
        <w:t xml:space="preserve">) along with the lipid peroxidation marker malonaldehyde (MDA). </w:t>
      </w:r>
      <w:r w:rsidR="00442044" w:rsidRPr="00442044">
        <w:rPr>
          <w:rFonts w:ascii="Times New Roman" w:hAnsi="Times New Roman"/>
          <w:bCs/>
          <w:sz w:val="20"/>
          <w:szCs w:val="20"/>
          <w:lang w:val="en-IN"/>
        </w:rPr>
        <w:t>Results demonstrated a significant increase in oxidative stress markers, with MDA levels rising by approximately 6.20-fold at 32°C and 6.48-fold at 38°C relative to control, indicating enhanced lipid peroxidation. Antioxidant responses were markedly elevated, with SOD activity increasing by 1.87-fold and 2.43-fold, CAT by 1.97-fold and 2.41-fold, and GSH by 1.97-fold and 2.02-fold at 32°C and 38°C, respectively. Metabolic enzymes exhibited temperature-dependent upregulation, with ALP increasing by 1.63-fold and 2.09-fold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ACP by 1.57-fold and 1.66-fold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and β-amylase by 1.20-fold and 1.70-fold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 xml:space="preserve">at 32°C and 38°C, respectively, suggesting enhanced metabolic turnover and energy mobilization. </w:t>
      </w:r>
      <w:proofErr w:type="spellStart"/>
      <w:r w:rsidR="00442044" w:rsidRPr="00442044">
        <w:rPr>
          <w:rFonts w:ascii="Times New Roman" w:hAnsi="Times New Roman"/>
          <w:bCs/>
          <w:sz w:val="20"/>
          <w:szCs w:val="20"/>
          <w:lang w:val="en-IN"/>
        </w:rPr>
        <w:t>AChE</w:t>
      </w:r>
      <w:proofErr w:type="spellEnd"/>
      <w:r w:rsidR="00442044" w:rsidRPr="00442044">
        <w:rPr>
          <w:rFonts w:ascii="Times New Roman" w:hAnsi="Times New Roman"/>
          <w:bCs/>
          <w:sz w:val="20"/>
          <w:szCs w:val="20"/>
          <w:lang w:val="en-IN"/>
        </w:rPr>
        <w:t xml:space="preserve"> activity also increased moderately (1.18-fold and 1.56-fold</w:t>
      </w:r>
      <w:r w:rsidR="00442044">
        <w:rPr>
          <w:rFonts w:ascii="Times New Roman" w:hAnsi="Times New Roman"/>
          <w:bCs/>
          <w:sz w:val="20"/>
          <w:szCs w:val="20"/>
          <w:lang w:val="en-IN"/>
        </w:rPr>
        <w:t xml:space="preserve"> </w:t>
      </w:r>
      <w:r w:rsidR="00442044" w:rsidRPr="00442044">
        <w:rPr>
          <w:rFonts w:ascii="Times New Roman" w:hAnsi="Times New Roman"/>
          <w:bCs/>
          <w:sz w:val="20"/>
          <w:szCs w:val="20"/>
          <w:lang w:val="en-IN"/>
        </w:rPr>
        <w:t>at 32°C and 38°C, respectively, indicating altered neurophysiological dynamics under thermal stress.</w:t>
      </w:r>
      <w:r w:rsidR="00442044">
        <w:rPr>
          <w:rFonts w:ascii="Times New Roman" w:hAnsi="Times New Roman"/>
          <w:bCs/>
          <w:sz w:val="20"/>
          <w:szCs w:val="20"/>
          <w:lang w:val="en-IN"/>
        </w:rPr>
        <w:t xml:space="preserve"> </w:t>
      </w:r>
      <w:r w:rsidRPr="00B40EF7">
        <w:rPr>
          <w:rFonts w:ascii="Times New Roman" w:hAnsi="Times New Roman"/>
          <w:bCs/>
          <w:sz w:val="20"/>
          <w:szCs w:val="20"/>
          <w:lang w:val="en-IN"/>
        </w:rPr>
        <w:t>These findings highlight the sensitivity of zebrafish antioxidant systems to temperature fluctuations and underscore the importance of rate and duration of thermal exposure. This study contributes to understanding how climate-induced temperature changes can affect aquatic vertebrate physiology at the molecular and biochemical levels.</w:t>
      </w:r>
    </w:p>
    <w:p w14:paraId="650AE35B" w14:textId="77777777" w:rsidR="003F67E5" w:rsidRPr="00B40EF7" w:rsidRDefault="003F67E5" w:rsidP="00B40EF7">
      <w:pPr>
        <w:spacing w:after="0" w:line="480" w:lineRule="auto"/>
        <w:jc w:val="both"/>
        <w:rPr>
          <w:rFonts w:ascii="Times New Roman" w:hAnsi="Times New Roman"/>
          <w:b/>
          <w:bCs/>
          <w:sz w:val="20"/>
          <w:szCs w:val="20"/>
        </w:rPr>
      </w:pPr>
    </w:p>
    <w:p w14:paraId="216D2CCB" w14:textId="4E029B38" w:rsidR="003F67E5"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
          <w:bCs/>
          <w:sz w:val="20"/>
          <w:szCs w:val="20"/>
        </w:rPr>
        <w:t>Keywords:</w:t>
      </w:r>
      <w:r w:rsidRPr="00B40EF7">
        <w:rPr>
          <w:rFonts w:ascii="Times New Roman" w:hAnsi="Times New Roman"/>
          <w:sz w:val="20"/>
          <w:szCs w:val="20"/>
        </w:rPr>
        <w:t xml:space="preserve"> Zebra fish (</w:t>
      </w:r>
      <w:r w:rsidRPr="00B40EF7">
        <w:rPr>
          <w:rFonts w:ascii="Times New Roman" w:hAnsi="Times New Roman"/>
          <w:i/>
          <w:sz w:val="20"/>
          <w:szCs w:val="20"/>
        </w:rPr>
        <w:t>Danio rerio</w:t>
      </w:r>
      <w:r w:rsidRPr="00B40EF7">
        <w:rPr>
          <w:rFonts w:ascii="Times New Roman" w:hAnsi="Times New Roman"/>
          <w:sz w:val="20"/>
          <w:szCs w:val="20"/>
        </w:rPr>
        <w:t xml:space="preserve">), </w:t>
      </w:r>
      <w:r w:rsidR="007073F2" w:rsidRPr="00B40EF7">
        <w:rPr>
          <w:rFonts w:ascii="Times New Roman" w:hAnsi="Times New Roman"/>
          <w:sz w:val="20"/>
          <w:szCs w:val="20"/>
        </w:rPr>
        <w:t xml:space="preserve">temperature stress, </w:t>
      </w:r>
      <w:r w:rsidRPr="00B40EF7">
        <w:rPr>
          <w:rFonts w:ascii="Times New Roman" w:hAnsi="Times New Roman"/>
          <w:sz w:val="20"/>
          <w:szCs w:val="20"/>
        </w:rPr>
        <w:t xml:space="preserve">reactive oxygen species (ROS), </w:t>
      </w:r>
      <w:r w:rsidR="00F86B64" w:rsidRPr="00B40EF7">
        <w:rPr>
          <w:rFonts w:ascii="Times New Roman" w:hAnsi="Times New Roman"/>
          <w:sz w:val="20"/>
          <w:szCs w:val="20"/>
        </w:rPr>
        <w:t>s</w:t>
      </w:r>
      <w:r w:rsidRPr="00B40EF7">
        <w:rPr>
          <w:rFonts w:ascii="Times New Roman" w:hAnsi="Times New Roman"/>
          <w:sz w:val="20"/>
          <w:szCs w:val="20"/>
        </w:rPr>
        <w:t>uperoxide dismutase, acetylcholinesterase</w:t>
      </w:r>
      <w:r w:rsidR="007073F2" w:rsidRPr="00B40EF7">
        <w:rPr>
          <w:rFonts w:ascii="Times New Roman" w:hAnsi="Times New Roman"/>
          <w:sz w:val="20"/>
          <w:szCs w:val="20"/>
        </w:rPr>
        <w:t xml:space="preserve">, </w:t>
      </w:r>
      <w:r w:rsidRPr="00B40EF7">
        <w:rPr>
          <w:rFonts w:ascii="Times New Roman" w:hAnsi="Times New Roman"/>
          <w:sz w:val="20"/>
          <w:szCs w:val="20"/>
        </w:rPr>
        <w:t>lipid peroxidation</w:t>
      </w:r>
      <w:r w:rsidR="007073F2" w:rsidRPr="00B40EF7">
        <w:rPr>
          <w:rFonts w:ascii="Times New Roman" w:hAnsi="Times New Roman"/>
          <w:sz w:val="20"/>
          <w:szCs w:val="20"/>
        </w:rPr>
        <w:t>.</w:t>
      </w:r>
    </w:p>
    <w:p w14:paraId="07E558C0" w14:textId="77777777" w:rsidR="008D1948" w:rsidRPr="00B40EF7" w:rsidRDefault="008D1948" w:rsidP="00B40EF7">
      <w:pPr>
        <w:spacing w:line="480" w:lineRule="auto"/>
        <w:rPr>
          <w:rFonts w:ascii="Times New Roman" w:hAnsi="Times New Roman"/>
          <w:sz w:val="20"/>
          <w:szCs w:val="20"/>
        </w:rPr>
      </w:pPr>
    </w:p>
    <w:p w14:paraId="0A31EC51" w14:textId="77777777" w:rsidR="009C563F" w:rsidRPr="00B40EF7" w:rsidRDefault="009C563F" w:rsidP="00B40EF7">
      <w:pPr>
        <w:spacing w:after="0" w:line="480" w:lineRule="auto"/>
        <w:jc w:val="both"/>
        <w:rPr>
          <w:rFonts w:ascii="Times New Roman" w:hAnsi="Times New Roman"/>
          <w:b/>
          <w:bCs/>
          <w:sz w:val="20"/>
          <w:szCs w:val="20"/>
        </w:rPr>
      </w:pPr>
    </w:p>
    <w:p w14:paraId="0367AF0A" w14:textId="77777777" w:rsidR="009C563F" w:rsidRPr="00B40EF7" w:rsidRDefault="009C563F" w:rsidP="00B40EF7">
      <w:pPr>
        <w:spacing w:after="0" w:line="480" w:lineRule="auto"/>
        <w:jc w:val="both"/>
        <w:rPr>
          <w:rFonts w:ascii="Times New Roman" w:hAnsi="Times New Roman"/>
          <w:b/>
          <w:bCs/>
          <w:sz w:val="20"/>
          <w:szCs w:val="20"/>
        </w:rPr>
      </w:pPr>
    </w:p>
    <w:p w14:paraId="0092792E" w14:textId="04ED55EA"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lastRenderedPageBreak/>
        <w:t>Introduction</w:t>
      </w:r>
    </w:p>
    <w:p w14:paraId="66DF4F98" w14:textId="03F2EF1D" w:rsidR="00AC0A29"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Temperature is a primary environmental factor modulating physiological and biochemical processes in ectotherms like</w:t>
      </w:r>
      <w:r w:rsidR="00B92B98">
        <w:rPr>
          <w:rFonts w:ascii="Times New Roman" w:hAnsi="Times New Roman"/>
          <w:bCs/>
          <w:sz w:val="20"/>
          <w:szCs w:val="20"/>
          <w:lang w:val="en-IN"/>
        </w:rPr>
        <w:t xml:space="preserve"> fish</w:t>
      </w:r>
      <w:r w:rsidRPr="00B40EF7">
        <w:rPr>
          <w:rFonts w:ascii="Times New Roman" w:hAnsi="Times New Roman"/>
          <w:bCs/>
          <w:sz w:val="20"/>
          <w:szCs w:val="20"/>
          <w:lang w:val="en-IN"/>
        </w:rPr>
        <w:t>. Thermal fluctuations lead to shifts in metabolic rate and can generate excessive reactive oxygen species (ROS) from mitochondrial respiration and other redox reactions</w:t>
      </w:r>
      <w:r w:rsidR="006C09A5" w:rsidRPr="00B40EF7">
        <w:rPr>
          <w:rFonts w:ascii="Times New Roman" w:hAnsi="Times New Roman"/>
          <w:bCs/>
          <w:sz w:val="20"/>
          <w:szCs w:val="20"/>
          <w:lang w:val="en-IN"/>
        </w:rPr>
        <w:t xml:space="preserve"> (Banh et al., 2016)</w:t>
      </w:r>
      <w:r w:rsidR="00F365C1" w:rsidRPr="00B40EF7">
        <w:rPr>
          <w:rFonts w:ascii="Times New Roman" w:hAnsi="Times New Roman"/>
          <w:bCs/>
          <w:sz w:val="20"/>
          <w:szCs w:val="20"/>
          <w:lang w:val="en-IN"/>
        </w:rPr>
        <w:t>.</w:t>
      </w:r>
      <w:r w:rsidRPr="00B40EF7">
        <w:rPr>
          <w:rFonts w:ascii="Times New Roman" w:hAnsi="Times New Roman"/>
          <w:bCs/>
          <w:sz w:val="20"/>
          <w:szCs w:val="20"/>
          <w:lang w:val="en-IN"/>
        </w:rPr>
        <w:t xml:space="preserve"> If unchecked, ROS such as superoxide anions (O₂⁻), hydrogen peroxide (H₂O₂), and hydroxyl radicals (·OH) can oxidize lipids, proteins, and DNA, disrupting cellular integrity and function. To counteract ROS, organisms employ antioxidant defence mechanisms</w:t>
      </w:r>
      <w:r w:rsidR="003373B6" w:rsidRPr="00B40EF7">
        <w:rPr>
          <w:rFonts w:ascii="Times New Roman" w:hAnsi="Times New Roman"/>
          <w:bCs/>
          <w:sz w:val="20"/>
          <w:szCs w:val="20"/>
          <w:lang w:val="en-IN"/>
        </w:rPr>
        <w:t xml:space="preserve"> (Guderley</w:t>
      </w:r>
      <w:r w:rsidR="00413FFF" w:rsidRPr="00B40EF7">
        <w:rPr>
          <w:rFonts w:ascii="Times New Roman" w:hAnsi="Times New Roman"/>
          <w:bCs/>
          <w:sz w:val="20"/>
          <w:szCs w:val="20"/>
          <w:lang w:val="en-IN"/>
        </w:rPr>
        <w:t>, 2004)</w:t>
      </w:r>
      <w:r w:rsidRPr="00B40EF7">
        <w:rPr>
          <w:rFonts w:ascii="Times New Roman" w:hAnsi="Times New Roman"/>
          <w:bCs/>
          <w:sz w:val="20"/>
          <w:szCs w:val="20"/>
          <w:lang w:val="en-IN"/>
        </w:rPr>
        <w:t>.</w:t>
      </w:r>
      <w:r w:rsidR="00413FFF" w:rsidRPr="00B40EF7">
        <w:rPr>
          <w:rFonts w:ascii="Times New Roman" w:hAnsi="Times New Roman"/>
          <w:bCs/>
          <w:sz w:val="20"/>
          <w:szCs w:val="20"/>
          <w:lang w:val="en-IN"/>
        </w:rPr>
        <w:t xml:space="preserve"> </w:t>
      </w:r>
      <w:r w:rsidR="00926FDB">
        <w:rPr>
          <w:rFonts w:ascii="Times New Roman" w:hAnsi="Times New Roman"/>
          <w:bCs/>
          <w:sz w:val="20"/>
          <w:szCs w:val="20"/>
          <w:lang w:val="en-IN"/>
        </w:rPr>
        <w:t xml:space="preserve">Fish as </w:t>
      </w:r>
      <w:r w:rsidR="00346640" w:rsidRPr="00B40EF7">
        <w:rPr>
          <w:rFonts w:ascii="Times New Roman" w:hAnsi="Times New Roman"/>
          <w:bCs/>
          <w:sz w:val="20"/>
          <w:szCs w:val="20"/>
          <w:lang w:val="en-IN"/>
        </w:rPr>
        <w:t xml:space="preserve">Ectothermic organisms </w:t>
      </w:r>
      <w:r w:rsidR="00926FDB">
        <w:rPr>
          <w:rFonts w:ascii="Times New Roman" w:hAnsi="Times New Roman"/>
          <w:bCs/>
          <w:sz w:val="20"/>
          <w:szCs w:val="20"/>
          <w:lang w:val="en-IN"/>
        </w:rPr>
        <w:t>depend</w:t>
      </w:r>
      <w:r w:rsidR="00346640" w:rsidRPr="00B40EF7">
        <w:rPr>
          <w:rFonts w:ascii="Times New Roman" w:hAnsi="Times New Roman"/>
          <w:bCs/>
          <w:sz w:val="20"/>
          <w:szCs w:val="20"/>
          <w:lang w:val="en-IN"/>
        </w:rPr>
        <w:t xml:space="preserve"> on external environmental temperatures to regulate their physiological processes</w:t>
      </w:r>
      <w:r w:rsidR="005E5B4C">
        <w:rPr>
          <w:rFonts w:ascii="Times New Roman" w:hAnsi="Times New Roman"/>
          <w:bCs/>
          <w:sz w:val="20"/>
          <w:szCs w:val="20"/>
          <w:lang w:val="en-IN"/>
        </w:rPr>
        <w:t>.</w:t>
      </w:r>
      <w:r w:rsidR="0099085E">
        <w:rPr>
          <w:rFonts w:ascii="Times New Roman" w:hAnsi="Times New Roman"/>
          <w:bCs/>
          <w:sz w:val="20"/>
          <w:szCs w:val="20"/>
          <w:lang w:val="en-IN"/>
        </w:rPr>
        <w:t xml:space="preserve"> </w:t>
      </w:r>
      <w:r w:rsidR="003E5E88" w:rsidRPr="003E5E88">
        <w:rPr>
          <w:rFonts w:ascii="Times New Roman" w:hAnsi="Times New Roman"/>
          <w:bCs/>
          <w:sz w:val="20"/>
          <w:szCs w:val="20"/>
          <w:lang w:val="en-IN"/>
        </w:rPr>
        <w:t>Even slight variations in water temperature can significantly affect their survival. Such fluctuations disrupt metabolic homeostasis, leading to energy imbalance and cellular stress, particularly during sensitive life stages such as embryonic development, early growth, and reproduction</w:t>
      </w:r>
      <w:r w:rsidR="003E5E88">
        <w:rPr>
          <w:rFonts w:ascii="Times New Roman" w:hAnsi="Times New Roman"/>
          <w:bCs/>
          <w:sz w:val="20"/>
          <w:szCs w:val="20"/>
          <w:lang w:val="en-IN"/>
        </w:rPr>
        <w:t xml:space="preserve"> </w:t>
      </w:r>
      <w:r w:rsidR="00213615" w:rsidRPr="00B40EF7">
        <w:rPr>
          <w:rFonts w:ascii="Times New Roman" w:hAnsi="Times New Roman"/>
          <w:bCs/>
          <w:sz w:val="20"/>
          <w:szCs w:val="20"/>
          <w:lang w:val="en-IN"/>
        </w:rPr>
        <w:t xml:space="preserve">(Portner et al., </w:t>
      </w:r>
      <w:r w:rsidR="00CE2AD7" w:rsidRPr="00B40EF7">
        <w:rPr>
          <w:rFonts w:ascii="Times New Roman" w:hAnsi="Times New Roman"/>
          <w:bCs/>
          <w:sz w:val="20"/>
          <w:szCs w:val="20"/>
          <w:lang w:val="en-IN"/>
        </w:rPr>
        <w:t>2007)</w:t>
      </w:r>
      <w:r w:rsidR="00346640" w:rsidRPr="00B40EF7">
        <w:rPr>
          <w:rFonts w:ascii="Times New Roman" w:hAnsi="Times New Roman"/>
          <w:bCs/>
          <w:sz w:val="20"/>
          <w:szCs w:val="20"/>
          <w:lang w:val="en-IN"/>
        </w:rPr>
        <w:t xml:space="preserve">. </w:t>
      </w:r>
      <w:r w:rsidR="00F45247" w:rsidRPr="00F45247">
        <w:rPr>
          <w:rFonts w:ascii="Times New Roman" w:hAnsi="Times New Roman"/>
          <w:bCs/>
          <w:sz w:val="20"/>
          <w:szCs w:val="20"/>
          <w:lang w:val="en-IN"/>
        </w:rPr>
        <w:t>Despite this sensitivity, fish play a crucial role in maintaining the survival, distribution, and overall health of aquatic ecosystems.</w:t>
      </w:r>
      <w:r w:rsidR="006D62DF" w:rsidRPr="00B40EF7">
        <w:rPr>
          <w:rFonts w:ascii="Times New Roman" w:hAnsi="Times New Roman"/>
          <w:bCs/>
          <w:sz w:val="20"/>
          <w:szCs w:val="20"/>
          <w:lang w:val="en-IN"/>
        </w:rPr>
        <w:t xml:space="preserve"> Temperature directly impacts metabolic rate in fish, leading to increased oxygen consumption, heart rate, and ATP turnover</w:t>
      </w:r>
      <w:r w:rsidR="00D16E86" w:rsidRPr="00B40EF7">
        <w:rPr>
          <w:rFonts w:ascii="Times New Roman" w:hAnsi="Times New Roman"/>
          <w:bCs/>
          <w:sz w:val="20"/>
          <w:szCs w:val="20"/>
          <w:lang w:val="en-IN"/>
        </w:rPr>
        <w:t xml:space="preserve"> (</w:t>
      </w:r>
      <w:proofErr w:type="spellStart"/>
      <w:r w:rsidR="00D16E86" w:rsidRPr="00B40EF7">
        <w:rPr>
          <w:rFonts w:ascii="Times New Roman" w:hAnsi="Times New Roman"/>
          <w:bCs/>
          <w:sz w:val="20"/>
          <w:szCs w:val="20"/>
          <w:lang w:val="en-IN"/>
        </w:rPr>
        <w:t>Guderley</w:t>
      </w:r>
      <w:proofErr w:type="spellEnd"/>
      <w:r w:rsidR="00D16E86" w:rsidRPr="00B40EF7">
        <w:rPr>
          <w:rFonts w:ascii="Times New Roman" w:hAnsi="Times New Roman"/>
          <w:bCs/>
          <w:sz w:val="20"/>
          <w:szCs w:val="20"/>
          <w:lang w:val="en-IN"/>
        </w:rPr>
        <w:t>, 2004)</w:t>
      </w:r>
      <w:r w:rsidR="006D62DF" w:rsidRPr="00B40EF7">
        <w:rPr>
          <w:rFonts w:ascii="Times New Roman" w:hAnsi="Times New Roman"/>
          <w:bCs/>
          <w:sz w:val="20"/>
          <w:szCs w:val="20"/>
          <w:lang w:val="en-IN"/>
        </w:rPr>
        <w:t>. This escalation is often accompanied by increased mitochondrial activity, resulting in the excessive generation of reactive oxygen species (ROS)</w:t>
      </w:r>
      <w:r w:rsidR="00BF4357" w:rsidRPr="00B40EF7">
        <w:rPr>
          <w:rFonts w:ascii="Times New Roman" w:hAnsi="Times New Roman"/>
          <w:bCs/>
          <w:sz w:val="20"/>
          <w:szCs w:val="20"/>
          <w:lang w:val="en-IN"/>
        </w:rPr>
        <w:t xml:space="preserve"> (Saha et al., 2025)</w:t>
      </w:r>
      <w:r w:rsidR="006D62DF" w:rsidRPr="00B40EF7">
        <w:rPr>
          <w:rFonts w:ascii="Times New Roman" w:hAnsi="Times New Roman"/>
          <w:bCs/>
          <w:sz w:val="20"/>
          <w:szCs w:val="20"/>
          <w:lang w:val="en-IN"/>
        </w:rPr>
        <w:t xml:space="preserve">. Under normal conditions, ROS play crucial roles in cell </w:t>
      </w:r>
      <w:proofErr w:type="spellStart"/>
      <w:r w:rsidR="006D62DF" w:rsidRPr="00B40EF7">
        <w:rPr>
          <w:rFonts w:ascii="Times New Roman" w:hAnsi="Times New Roman"/>
          <w:bCs/>
          <w:sz w:val="20"/>
          <w:szCs w:val="20"/>
          <w:lang w:val="en-IN"/>
        </w:rPr>
        <w:t>signaling</w:t>
      </w:r>
      <w:proofErr w:type="spellEnd"/>
      <w:r w:rsidR="006D62DF" w:rsidRPr="00B40EF7">
        <w:rPr>
          <w:rFonts w:ascii="Times New Roman" w:hAnsi="Times New Roman"/>
          <w:bCs/>
          <w:sz w:val="20"/>
          <w:szCs w:val="20"/>
          <w:lang w:val="en-IN"/>
        </w:rPr>
        <w:t xml:space="preserve"> and homeostasis. Thermal stress, either hypothermic or hyperthermic, can disrupt this balance, causing oxidative stress. Temperature stress can also modify membrane fluidity, alter ion gradients, and destabilize protein structure.</w:t>
      </w:r>
      <w:r w:rsidR="00DD073D" w:rsidRPr="00B40EF7">
        <w:rPr>
          <w:rFonts w:ascii="Times New Roman" w:hAnsi="Times New Roman"/>
          <w:bCs/>
          <w:sz w:val="20"/>
          <w:szCs w:val="20"/>
          <w:lang w:val="en-IN"/>
        </w:rPr>
        <w:t xml:space="preserve"> </w:t>
      </w:r>
    </w:p>
    <w:p w14:paraId="6C4D906D" w14:textId="3C093D6F" w:rsidR="00837DEF" w:rsidRDefault="00723983" w:rsidP="00837DEF">
      <w:pPr>
        <w:spacing w:after="0" w:line="480" w:lineRule="auto"/>
        <w:jc w:val="both"/>
        <w:rPr>
          <w:rFonts w:ascii="Times New Roman" w:hAnsi="Times New Roman"/>
          <w:bCs/>
          <w:sz w:val="20"/>
          <w:szCs w:val="20"/>
          <w:lang w:val="en-IN"/>
        </w:rPr>
      </w:pPr>
      <w:r w:rsidRPr="00723983">
        <w:rPr>
          <w:rFonts w:ascii="Times New Roman" w:hAnsi="Times New Roman"/>
          <w:bCs/>
          <w:sz w:val="20"/>
          <w:szCs w:val="20"/>
          <w:lang w:val="en-IN"/>
        </w:rPr>
        <w:t>Zebrafish (Danio rerio), native to the warm, slow-moving freshwater streams of South Asia, are a crucial model organism in environmental biology and toxicology due to their genetic tractability, transparent embryos, rapid development, and physiological similarities to higher vertebrates</w:t>
      </w:r>
      <w:r>
        <w:rPr>
          <w:rFonts w:ascii="Times New Roman" w:hAnsi="Times New Roman"/>
          <w:bCs/>
          <w:sz w:val="20"/>
          <w:szCs w:val="20"/>
          <w:lang w:val="en-IN"/>
        </w:rPr>
        <w:t xml:space="preserve"> </w:t>
      </w:r>
      <w:r w:rsidR="008E3F93" w:rsidRPr="00B40EF7">
        <w:rPr>
          <w:rFonts w:ascii="Times New Roman" w:hAnsi="Times New Roman"/>
          <w:bCs/>
          <w:sz w:val="20"/>
          <w:szCs w:val="20"/>
          <w:lang w:val="en-IN"/>
        </w:rPr>
        <w:t>(</w:t>
      </w:r>
      <w:r w:rsidR="00F67022" w:rsidRPr="00B40EF7">
        <w:rPr>
          <w:rFonts w:ascii="Times New Roman" w:hAnsi="Times New Roman"/>
          <w:bCs/>
          <w:sz w:val="20"/>
          <w:szCs w:val="20"/>
          <w:lang w:val="en-IN"/>
        </w:rPr>
        <w:t>Basu</w:t>
      </w:r>
      <w:r w:rsidR="008E3F93" w:rsidRPr="00B40EF7">
        <w:rPr>
          <w:rFonts w:ascii="Times New Roman" w:hAnsi="Times New Roman"/>
          <w:bCs/>
          <w:sz w:val="20"/>
          <w:szCs w:val="20"/>
          <w:lang w:val="en-IN"/>
        </w:rPr>
        <w:t xml:space="preserve"> et al., 20</w:t>
      </w:r>
      <w:r w:rsidR="00F67022" w:rsidRPr="00B40EF7">
        <w:rPr>
          <w:rFonts w:ascii="Times New Roman" w:hAnsi="Times New Roman"/>
          <w:bCs/>
          <w:sz w:val="20"/>
          <w:szCs w:val="20"/>
          <w:lang w:val="en-IN"/>
        </w:rPr>
        <w:t>13</w:t>
      </w:r>
      <w:r w:rsidR="008E3F93" w:rsidRPr="00B40EF7">
        <w:rPr>
          <w:rFonts w:ascii="Times New Roman" w:hAnsi="Times New Roman"/>
          <w:bCs/>
          <w:sz w:val="20"/>
          <w:szCs w:val="20"/>
          <w:lang w:val="en-IN"/>
        </w:rPr>
        <w:t>)</w:t>
      </w:r>
      <w:r w:rsidR="00DD073D" w:rsidRPr="00B40EF7">
        <w:rPr>
          <w:rFonts w:ascii="Times New Roman" w:hAnsi="Times New Roman"/>
          <w:bCs/>
          <w:sz w:val="20"/>
          <w:szCs w:val="20"/>
          <w:lang w:val="en-IN"/>
        </w:rPr>
        <w:t xml:space="preserve">. Their well-annotated genome and </w:t>
      </w:r>
      <w:r>
        <w:rPr>
          <w:rFonts w:ascii="Times New Roman" w:hAnsi="Times New Roman"/>
          <w:bCs/>
          <w:sz w:val="20"/>
          <w:szCs w:val="20"/>
          <w:lang w:val="en-IN"/>
        </w:rPr>
        <w:t xml:space="preserve">the </w:t>
      </w:r>
      <w:r w:rsidR="00DD073D" w:rsidRPr="00B40EF7">
        <w:rPr>
          <w:rFonts w:ascii="Times New Roman" w:hAnsi="Times New Roman"/>
          <w:bCs/>
          <w:sz w:val="20"/>
          <w:szCs w:val="20"/>
          <w:lang w:val="en-IN"/>
        </w:rPr>
        <w:t xml:space="preserve">availability of transgenic and mutant lines enable advanced studies in stress physiology, oxidative biology, and metabolism. </w:t>
      </w:r>
      <w:r w:rsidR="00720549">
        <w:rPr>
          <w:rFonts w:ascii="Times New Roman" w:hAnsi="Times New Roman"/>
          <w:bCs/>
          <w:sz w:val="20"/>
          <w:szCs w:val="20"/>
          <w:lang w:val="en-IN"/>
        </w:rPr>
        <w:t xml:space="preserve">The small size </w:t>
      </w:r>
      <w:r w:rsidR="00DD073D" w:rsidRPr="00B40EF7">
        <w:rPr>
          <w:rFonts w:ascii="Times New Roman" w:hAnsi="Times New Roman"/>
          <w:bCs/>
          <w:sz w:val="20"/>
          <w:szCs w:val="20"/>
          <w:lang w:val="en-IN"/>
        </w:rPr>
        <w:t>Zebrafish</w:t>
      </w:r>
      <w:r w:rsidR="00720549">
        <w:rPr>
          <w:rFonts w:ascii="Times New Roman" w:hAnsi="Times New Roman"/>
          <w:bCs/>
          <w:sz w:val="20"/>
          <w:szCs w:val="20"/>
          <w:lang w:val="en-IN"/>
        </w:rPr>
        <w:t xml:space="preserve"> </w:t>
      </w:r>
      <w:r w:rsidR="00DD073D" w:rsidRPr="00B40EF7">
        <w:rPr>
          <w:rFonts w:ascii="Times New Roman" w:hAnsi="Times New Roman"/>
          <w:bCs/>
          <w:sz w:val="20"/>
          <w:szCs w:val="20"/>
          <w:lang w:val="en-IN"/>
        </w:rPr>
        <w:t xml:space="preserve">and ease of maintenance make them suitable for high-throughput assays and temperature-controlled experiments. Understanding their biochemical and molecular responses to thermal stress provides </w:t>
      </w:r>
      <w:r w:rsidR="00720549">
        <w:rPr>
          <w:rFonts w:ascii="Times New Roman" w:hAnsi="Times New Roman"/>
          <w:bCs/>
          <w:sz w:val="20"/>
          <w:szCs w:val="20"/>
          <w:lang w:val="en-IN"/>
        </w:rPr>
        <w:t xml:space="preserve">valuable </w:t>
      </w:r>
      <w:r w:rsidR="00DD073D" w:rsidRPr="00B40EF7">
        <w:rPr>
          <w:rFonts w:ascii="Times New Roman" w:hAnsi="Times New Roman"/>
          <w:bCs/>
          <w:sz w:val="20"/>
          <w:szCs w:val="20"/>
          <w:lang w:val="en-IN"/>
        </w:rPr>
        <w:t>insights into resilience mechanisms and potential tipping points in aquatic environments</w:t>
      </w:r>
      <w:r w:rsidR="00BA648A" w:rsidRPr="00B40EF7">
        <w:rPr>
          <w:rFonts w:ascii="Times New Roman" w:hAnsi="Times New Roman"/>
          <w:bCs/>
          <w:sz w:val="20"/>
          <w:szCs w:val="20"/>
          <w:lang w:val="en-IN"/>
        </w:rPr>
        <w:t xml:space="preserve"> (Saha et al., 2024)</w:t>
      </w:r>
      <w:r w:rsidR="00DD073D" w:rsidRPr="00B40EF7">
        <w:rPr>
          <w:rFonts w:ascii="Times New Roman" w:hAnsi="Times New Roman"/>
          <w:bCs/>
          <w:sz w:val="20"/>
          <w:szCs w:val="20"/>
          <w:lang w:val="en-IN"/>
        </w:rPr>
        <w:t xml:space="preserve">. Their utility extends to conservation physiology, aquaculture, and ecotoxicology, where managing temperature stress has ecological and economic implications. </w:t>
      </w:r>
      <w:r w:rsidR="00C770B2" w:rsidRPr="00B40EF7">
        <w:rPr>
          <w:rFonts w:ascii="Times New Roman" w:hAnsi="Times New Roman"/>
          <w:bCs/>
          <w:sz w:val="20"/>
          <w:szCs w:val="20"/>
          <w:lang w:val="en-IN"/>
        </w:rPr>
        <w:t xml:space="preserve">Reactive oxygen species (ROS) are chemically reactive molecules produced by normal cellular metabolism, essential for cell </w:t>
      </w:r>
      <w:proofErr w:type="spellStart"/>
      <w:r w:rsidR="00C770B2" w:rsidRPr="00B40EF7">
        <w:rPr>
          <w:rFonts w:ascii="Times New Roman" w:hAnsi="Times New Roman"/>
          <w:bCs/>
          <w:sz w:val="20"/>
          <w:szCs w:val="20"/>
          <w:lang w:val="en-IN"/>
        </w:rPr>
        <w:t>signaling</w:t>
      </w:r>
      <w:proofErr w:type="spellEnd"/>
      <w:r w:rsidR="00C770B2" w:rsidRPr="00B40EF7">
        <w:rPr>
          <w:rFonts w:ascii="Times New Roman" w:hAnsi="Times New Roman"/>
          <w:bCs/>
          <w:sz w:val="20"/>
          <w:szCs w:val="20"/>
          <w:lang w:val="en-IN"/>
        </w:rPr>
        <w:t xml:space="preserve"> and immune responses</w:t>
      </w:r>
      <w:r w:rsidR="00735B1C" w:rsidRPr="00B40EF7">
        <w:rPr>
          <w:rFonts w:ascii="Times New Roman" w:hAnsi="Times New Roman"/>
          <w:bCs/>
          <w:sz w:val="20"/>
          <w:szCs w:val="20"/>
          <w:lang w:val="en-IN"/>
        </w:rPr>
        <w:t xml:space="preserve"> (Gao et al., 2024)</w:t>
      </w:r>
      <w:r w:rsidR="00C770B2" w:rsidRPr="00B40EF7">
        <w:rPr>
          <w:rFonts w:ascii="Times New Roman" w:hAnsi="Times New Roman"/>
          <w:bCs/>
          <w:sz w:val="20"/>
          <w:szCs w:val="20"/>
          <w:lang w:val="en-IN"/>
        </w:rPr>
        <w:t>. They can cause oxidative damage and cellular dysfunction under stress conditions</w:t>
      </w:r>
      <w:r w:rsidR="00780737" w:rsidRPr="00B40EF7">
        <w:rPr>
          <w:rFonts w:ascii="Times New Roman" w:hAnsi="Times New Roman"/>
          <w:bCs/>
          <w:sz w:val="20"/>
          <w:szCs w:val="20"/>
          <w:lang w:val="en-IN"/>
        </w:rPr>
        <w:t xml:space="preserve"> (Saha et al., 2024)</w:t>
      </w:r>
      <w:r w:rsidR="00C770B2" w:rsidRPr="00B40EF7">
        <w:rPr>
          <w:rFonts w:ascii="Times New Roman" w:hAnsi="Times New Roman"/>
          <w:bCs/>
          <w:sz w:val="20"/>
          <w:szCs w:val="20"/>
          <w:lang w:val="en-IN"/>
        </w:rPr>
        <w:t>. In aerobic organisms, mitochondria are the primary sources of ROS, while environmental temperature significantly affects mitochondrial production</w:t>
      </w:r>
      <w:r w:rsidR="002C5E8B" w:rsidRPr="00B40EF7">
        <w:rPr>
          <w:rFonts w:ascii="Times New Roman" w:hAnsi="Times New Roman"/>
          <w:bCs/>
          <w:sz w:val="20"/>
          <w:szCs w:val="20"/>
          <w:lang w:val="en-IN"/>
        </w:rPr>
        <w:t xml:space="preserve"> (Banh et al., </w:t>
      </w:r>
      <w:r w:rsidR="00DD54A5" w:rsidRPr="00B40EF7">
        <w:rPr>
          <w:rFonts w:ascii="Times New Roman" w:hAnsi="Times New Roman"/>
          <w:bCs/>
          <w:sz w:val="20"/>
          <w:szCs w:val="20"/>
          <w:lang w:val="en-IN"/>
        </w:rPr>
        <w:t>2016)</w:t>
      </w:r>
      <w:r w:rsidR="00C770B2" w:rsidRPr="00B40EF7">
        <w:rPr>
          <w:rFonts w:ascii="Times New Roman" w:hAnsi="Times New Roman"/>
          <w:bCs/>
          <w:sz w:val="20"/>
          <w:szCs w:val="20"/>
          <w:lang w:val="en-IN"/>
        </w:rPr>
        <w:t xml:space="preserve">. </w:t>
      </w:r>
      <w:r w:rsidR="00837DEF" w:rsidRPr="00837DEF">
        <w:rPr>
          <w:rFonts w:ascii="Times New Roman" w:hAnsi="Times New Roman"/>
          <w:bCs/>
          <w:sz w:val="20"/>
          <w:szCs w:val="20"/>
          <w:lang w:val="en-IN"/>
        </w:rPr>
        <w:t xml:space="preserve">Understanding these interactions </w:t>
      </w:r>
      <w:r w:rsidR="00837DEF" w:rsidRPr="00837DEF">
        <w:rPr>
          <w:rFonts w:ascii="Times New Roman" w:hAnsi="Times New Roman"/>
          <w:bCs/>
          <w:sz w:val="20"/>
          <w:szCs w:val="20"/>
          <w:lang w:val="en-IN"/>
        </w:rPr>
        <w:lastRenderedPageBreak/>
        <w:t xml:space="preserve">is crucial for interpreting the physiological responses of zebrafish to temperature fluctuations and for integrating oxidative stress biomarkers into ecological risk assessment and conservation physiology. Organisms have evolved intricate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systems to combat reactive oxygen species (ROS) and restore redox homeostasis (Liu et al., 2024</w:t>
      </w:r>
      <w:r w:rsidR="00844128">
        <w:rPr>
          <w:rFonts w:ascii="Times New Roman" w:hAnsi="Times New Roman"/>
          <w:bCs/>
          <w:sz w:val="20"/>
          <w:szCs w:val="20"/>
          <w:lang w:val="en-IN"/>
        </w:rPr>
        <w:t>; Saha</w:t>
      </w:r>
      <w:r w:rsidR="00C623FC">
        <w:rPr>
          <w:rFonts w:ascii="Times New Roman" w:hAnsi="Times New Roman"/>
          <w:bCs/>
          <w:sz w:val="20"/>
          <w:szCs w:val="20"/>
          <w:lang w:val="en-IN"/>
        </w:rPr>
        <w:t xml:space="preserve"> et al., 2026</w:t>
      </w:r>
      <w:r w:rsidR="00837DEF" w:rsidRPr="00837DEF">
        <w:rPr>
          <w:rFonts w:ascii="Times New Roman" w:hAnsi="Times New Roman"/>
          <w:bCs/>
          <w:sz w:val="20"/>
          <w:szCs w:val="20"/>
          <w:lang w:val="en-IN"/>
        </w:rPr>
        <w:t>). In zebrafish (Danio rerio), the immune system plays a crucial role in maintaining cellular homeostasis under environmental stress. Understanding the physiological and biochemical responses of Danio rerio to thermal stress is essential for integrating oxidative stress biomarkers into ecological risk assessment and conservation physiology (Wei et al., 2018). The present study evaluated the physiological responses of Danio rerio (zebrafish) to varying degrees of thermal stress through a comprehensive biochemical analysis. Enzymatic assays were performed to quantify the activities of alkaline phosphatase (ALP), acid phosphatase (ACP), β-amylase, acetylcholinesterase (</w:t>
      </w:r>
      <w:proofErr w:type="spellStart"/>
      <w:r w:rsidR="00837DEF" w:rsidRPr="00837DEF">
        <w:rPr>
          <w:rFonts w:ascii="Times New Roman" w:hAnsi="Times New Roman"/>
          <w:bCs/>
          <w:sz w:val="20"/>
          <w:szCs w:val="20"/>
          <w:lang w:val="en-IN"/>
        </w:rPr>
        <w:t>AChE</w:t>
      </w:r>
      <w:proofErr w:type="spellEnd"/>
      <w:r w:rsidR="00837DEF" w:rsidRPr="00837DEF">
        <w:rPr>
          <w:rFonts w:ascii="Times New Roman" w:hAnsi="Times New Roman"/>
          <w:bCs/>
          <w:sz w:val="20"/>
          <w:szCs w:val="20"/>
          <w:lang w:val="en-IN"/>
        </w:rPr>
        <w:t xml:space="preserve">), superoxide dismutase (SOD), catalase, as well as the levels of malondialdehyde (MDA) and reduced glutathione (GSH). The results revealed significant correlations between thermal stress and the modulation of stress-related enzymes and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mechanisms. These findings provide valuable insights for future research and practical applications across various subfields of fisheries science, including aquaculture management, environmental monitoring, and fish health assessment.</w:t>
      </w:r>
    </w:p>
    <w:p w14:paraId="05257AB3" w14:textId="37AFBF60" w:rsidR="003F67E5" w:rsidRPr="00B40EF7" w:rsidRDefault="003F67E5" w:rsidP="00837DEF">
      <w:pPr>
        <w:spacing w:after="0" w:line="480" w:lineRule="auto"/>
        <w:jc w:val="both"/>
        <w:rPr>
          <w:rFonts w:ascii="Times New Roman" w:hAnsi="Times New Roman"/>
          <w:bCs/>
          <w:sz w:val="20"/>
          <w:szCs w:val="20"/>
        </w:rPr>
      </w:pPr>
      <w:r w:rsidRPr="00B40EF7">
        <w:rPr>
          <w:rFonts w:ascii="Times New Roman" w:hAnsi="Times New Roman"/>
          <w:b/>
          <w:bCs/>
          <w:sz w:val="20"/>
          <w:szCs w:val="20"/>
        </w:rPr>
        <w:t>Materials and Methods</w:t>
      </w:r>
    </w:p>
    <w:p w14:paraId="09E0CEB1"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iCs/>
          <w:sz w:val="20"/>
          <w:szCs w:val="20"/>
        </w:rPr>
        <w:t>Experimental animal</w:t>
      </w:r>
    </w:p>
    <w:p w14:paraId="366C977C" w14:textId="606AAD20"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 xml:space="preserve">Selected fresh water fish species, </w:t>
      </w:r>
      <w:r w:rsidRPr="00B40EF7">
        <w:rPr>
          <w:rFonts w:ascii="Times New Roman" w:hAnsi="Times New Roman"/>
          <w:bCs/>
          <w:i/>
          <w:iCs/>
          <w:sz w:val="20"/>
          <w:szCs w:val="20"/>
        </w:rPr>
        <w:t>D</w:t>
      </w:r>
      <w:r w:rsidR="00151121">
        <w:rPr>
          <w:rFonts w:ascii="Times New Roman" w:hAnsi="Times New Roman"/>
          <w:bCs/>
          <w:i/>
          <w:iCs/>
          <w:sz w:val="20"/>
          <w:szCs w:val="20"/>
        </w:rPr>
        <w:t>a</w:t>
      </w:r>
      <w:r w:rsidRPr="00B40EF7">
        <w:rPr>
          <w:rFonts w:ascii="Times New Roman" w:hAnsi="Times New Roman"/>
          <w:bCs/>
          <w:i/>
          <w:iCs/>
          <w:sz w:val="20"/>
          <w:szCs w:val="20"/>
        </w:rPr>
        <w:t>nio rerio</w:t>
      </w:r>
      <w:r w:rsidRPr="00B40EF7">
        <w:rPr>
          <w:rFonts w:ascii="Times New Roman" w:hAnsi="Times New Roman"/>
          <w:bCs/>
          <w:sz w:val="20"/>
          <w:szCs w:val="20"/>
        </w:rPr>
        <w:t xml:space="preserve"> after being collected from </w:t>
      </w:r>
      <w:r w:rsidR="006B05F2" w:rsidRPr="00B40EF7">
        <w:rPr>
          <w:rFonts w:ascii="Times New Roman" w:hAnsi="Times New Roman"/>
          <w:bCs/>
          <w:sz w:val="20"/>
          <w:szCs w:val="20"/>
        </w:rPr>
        <w:t>ornamental fish farm</w:t>
      </w:r>
      <w:r w:rsidRPr="00B40EF7">
        <w:rPr>
          <w:rFonts w:ascii="Times New Roman" w:hAnsi="Times New Roman"/>
          <w:bCs/>
          <w:sz w:val="20"/>
          <w:szCs w:val="20"/>
        </w:rPr>
        <w:t xml:space="preserve"> by hand net, immediately shifted to water filled bucket and acclimatize in laboratory aquarium for seven days. </w:t>
      </w:r>
      <w:r w:rsidR="00B40EF7">
        <w:rPr>
          <w:rFonts w:ascii="Times New Roman" w:hAnsi="Times New Roman"/>
          <w:bCs/>
          <w:sz w:val="20"/>
          <w:szCs w:val="20"/>
        </w:rPr>
        <w:t xml:space="preserve">Samples size 3 ± 0.5 cm and weight 400 ± 50 mg. </w:t>
      </w:r>
      <w:r w:rsidRPr="00B40EF7">
        <w:rPr>
          <w:rFonts w:ascii="Times New Roman" w:hAnsi="Times New Roman"/>
          <w:bCs/>
          <w:sz w:val="20"/>
          <w:szCs w:val="20"/>
        </w:rPr>
        <w:t>After that heat stress treatment (28-38</w:t>
      </w:r>
      <w:r w:rsidRPr="00B40EF7">
        <w:rPr>
          <w:rFonts w:ascii="Times New Roman" w:hAnsi="Times New Roman"/>
          <w:bCs/>
          <w:sz w:val="20"/>
          <w:szCs w:val="20"/>
          <w:vertAlign w:val="superscript"/>
        </w:rPr>
        <w:t>0</w:t>
      </w:r>
      <w:r w:rsidRPr="00B40EF7">
        <w:rPr>
          <w:rFonts w:ascii="Times New Roman" w:hAnsi="Times New Roman"/>
          <w:bCs/>
          <w:sz w:val="20"/>
          <w:szCs w:val="20"/>
        </w:rPr>
        <w:t>C) w</w:t>
      </w:r>
      <w:r w:rsidR="0061592D" w:rsidRPr="00B40EF7">
        <w:rPr>
          <w:rFonts w:ascii="Times New Roman" w:hAnsi="Times New Roman"/>
          <w:bCs/>
          <w:sz w:val="20"/>
          <w:szCs w:val="20"/>
        </w:rPr>
        <w:t>as</w:t>
      </w:r>
      <w:r w:rsidRPr="00B40EF7">
        <w:rPr>
          <w:rFonts w:ascii="Times New Roman" w:hAnsi="Times New Roman"/>
          <w:bCs/>
          <w:sz w:val="20"/>
          <w:szCs w:val="20"/>
        </w:rPr>
        <w:t xml:space="preserve"> start in thermostatic aquarium for 30 days</w:t>
      </w:r>
      <w:r w:rsidR="00A961E0" w:rsidRPr="00B40EF7">
        <w:rPr>
          <w:rFonts w:ascii="Times New Roman" w:hAnsi="Times New Roman"/>
          <w:bCs/>
          <w:sz w:val="20"/>
          <w:szCs w:val="20"/>
        </w:rPr>
        <w:t xml:space="preserve"> </w:t>
      </w:r>
      <w:r w:rsidR="00CA1BC6" w:rsidRPr="00B40EF7">
        <w:rPr>
          <w:rFonts w:ascii="Times New Roman" w:hAnsi="Times New Roman"/>
          <w:bCs/>
          <w:sz w:val="20"/>
          <w:szCs w:val="20"/>
        </w:rPr>
        <w:t xml:space="preserve">by increasing 1ºC </w:t>
      </w:r>
      <w:r w:rsidR="00A961E0" w:rsidRPr="00B40EF7">
        <w:rPr>
          <w:rFonts w:ascii="Times New Roman" w:hAnsi="Times New Roman"/>
          <w:bCs/>
          <w:sz w:val="20"/>
          <w:szCs w:val="20"/>
        </w:rPr>
        <w:t xml:space="preserve">in the </w:t>
      </w:r>
      <w:r w:rsidR="00A50B1C" w:rsidRPr="00B40EF7">
        <w:rPr>
          <w:rFonts w:ascii="Times New Roman" w:hAnsi="Times New Roman"/>
          <w:bCs/>
          <w:sz w:val="20"/>
          <w:szCs w:val="20"/>
        </w:rPr>
        <w:t>interval of</w:t>
      </w:r>
      <w:r w:rsidR="00B13DF6" w:rsidRPr="00B40EF7">
        <w:rPr>
          <w:rFonts w:ascii="Times New Roman" w:hAnsi="Times New Roman"/>
          <w:bCs/>
          <w:sz w:val="20"/>
          <w:szCs w:val="20"/>
        </w:rPr>
        <w:t xml:space="preserve"> </w:t>
      </w:r>
      <w:r w:rsidR="00A1482C" w:rsidRPr="00B40EF7">
        <w:rPr>
          <w:rFonts w:ascii="Times New Roman" w:hAnsi="Times New Roman"/>
          <w:bCs/>
          <w:sz w:val="20"/>
          <w:szCs w:val="20"/>
        </w:rPr>
        <w:t>3 days</w:t>
      </w:r>
      <w:r w:rsidRPr="00B40EF7">
        <w:rPr>
          <w:rFonts w:ascii="Times New Roman" w:hAnsi="Times New Roman"/>
          <w:bCs/>
          <w:sz w:val="20"/>
          <w:szCs w:val="20"/>
        </w:rPr>
        <w:t xml:space="preserve">. </w:t>
      </w:r>
      <w:r w:rsidR="00B40EF7">
        <w:rPr>
          <w:rFonts w:ascii="Times New Roman" w:hAnsi="Times New Roman"/>
          <w:bCs/>
          <w:sz w:val="20"/>
          <w:szCs w:val="20"/>
        </w:rPr>
        <w:t>28ºC set as control temperature.</w:t>
      </w:r>
      <w:r w:rsidR="007C3AE2">
        <w:rPr>
          <w:rFonts w:ascii="Times New Roman" w:hAnsi="Times New Roman"/>
          <w:bCs/>
          <w:sz w:val="20"/>
          <w:szCs w:val="20"/>
        </w:rPr>
        <w:t xml:space="preserve"> </w:t>
      </w:r>
      <w:r w:rsidR="007C3AE2" w:rsidRPr="007C3AE2">
        <w:rPr>
          <w:rFonts w:ascii="Times New Roman" w:hAnsi="Times New Roman"/>
          <w:bCs/>
          <w:sz w:val="20"/>
          <w:szCs w:val="20"/>
        </w:rPr>
        <w:t xml:space="preserve">All experimental procedures were conducted in accordance with Institutional Animal Ethical Committee (IAEC) guidelines. The </w:t>
      </w:r>
      <w:r w:rsidR="007C3AE2">
        <w:rPr>
          <w:rFonts w:ascii="Times New Roman" w:hAnsi="Times New Roman"/>
          <w:bCs/>
          <w:sz w:val="20"/>
          <w:szCs w:val="20"/>
        </w:rPr>
        <w:t>fishes</w:t>
      </w:r>
      <w:r w:rsidR="007C3AE2" w:rsidRPr="007C3AE2">
        <w:rPr>
          <w:rFonts w:ascii="Times New Roman" w:hAnsi="Times New Roman"/>
          <w:bCs/>
          <w:sz w:val="20"/>
          <w:szCs w:val="20"/>
        </w:rPr>
        <w:t xml:space="preserve"> were sacrificed under ethical conditions</w:t>
      </w:r>
      <w:r w:rsidR="007C3AE2">
        <w:rPr>
          <w:rFonts w:ascii="Times New Roman" w:hAnsi="Times New Roman"/>
          <w:bCs/>
          <w:sz w:val="20"/>
          <w:szCs w:val="20"/>
        </w:rPr>
        <w:t>.</w:t>
      </w:r>
      <w:r w:rsidR="00B40EF7">
        <w:rPr>
          <w:rFonts w:ascii="Times New Roman" w:hAnsi="Times New Roman"/>
          <w:bCs/>
          <w:sz w:val="20"/>
          <w:szCs w:val="20"/>
        </w:rPr>
        <w:t xml:space="preserve"> </w:t>
      </w:r>
      <w:r w:rsidR="007844AA">
        <w:rPr>
          <w:rFonts w:ascii="Times New Roman" w:hAnsi="Times New Roman"/>
          <w:bCs/>
          <w:sz w:val="20"/>
          <w:szCs w:val="20"/>
        </w:rPr>
        <w:t xml:space="preserve">Triplicate the </w:t>
      </w:r>
      <w:r w:rsidR="00BE2E24">
        <w:rPr>
          <w:rFonts w:ascii="Times New Roman" w:hAnsi="Times New Roman"/>
          <w:bCs/>
          <w:sz w:val="20"/>
          <w:szCs w:val="20"/>
        </w:rPr>
        <w:t xml:space="preserve">experimental </w:t>
      </w:r>
      <w:r w:rsidR="007844AA">
        <w:rPr>
          <w:rFonts w:ascii="Times New Roman" w:hAnsi="Times New Roman"/>
          <w:bCs/>
          <w:sz w:val="20"/>
          <w:szCs w:val="20"/>
        </w:rPr>
        <w:t xml:space="preserve">data and </w:t>
      </w:r>
      <w:r w:rsidR="00396CAC">
        <w:rPr>
          <w:rFonts w:ascii="Times New Roman" w:hAnsi="Times New Roman"/>
          <w:bCs/>
          <w:sz w:val="20"/>
          <w:szCs w:val="20"/>
        </w:rPr>
        <w:t xml:space="preserve">whole-body </w:t>
      </w:r>
      <w:r w:rsidR="00BE2E24">
        <w:rPr>
          <w:rFonts w:ascii="Times New Roman" w:hAnsi="Times New Roman"/>
          <w:bCs/>
          <w:sz w:val="20"/>
          <w:szCs w:val="20"/>
        </w:rPr>
        <w:t>t</w:t>
      </w:r>
      <w:r w:rsidRPr="00B40EF7">
        <w:rPr>
          <w:rFonts w:ascii="Times New Roman" w:hAnsi="Times New Roman"/>
          <w:bCs/>
          <w:sz w:val="20"/>
          <w:szCs w:val="20"/>
        </w:rPr>
        <w:t>issues was collected from heat adapted fishes for further biochemical studies</w:t>
      </w:r>
      <w:r w:rsidR="001C219D">
        <w:rPr>
          <w:rFonts w:ascii="Times New Roman" w:hAnsi="Times New Roman"/>
          <w:bCs/>
          <w:sz w:val="20"/>
          <w:szCs w:val="20"/>
        </w:rPr>
        <w:t xml:space="preserve"> </w:t>
      </w:r>
      <w:r w:rsidRPr="00B40EF7">
        <w:rPr>
          <w:rFonts w:ascii="Times New Roman" w:hAnsi="Times New Roman"/>
          <w:bCs/>
          <w:sz w:val="20"/>
          <w:szCs w:val="20"/>
        </w:rPr>
        <w:t>(</w:t>
      </w:r>
      <w:r w:rsidRPr="00B40EF7">
        <w:rPr>
          <w:rFonts w:ascii="Times New Roman" w:hAnsi="Times New Roman"/>
          <w:b/>
          <w:sz w:val="20"/>
          <w:szCs w:val="20"/>
        </w:rPr>
        <w:t>Fig 1 &amp; 2</w:t>
      </w:r>
      <w:r w:rsidRPr="00B40EF7">
        <w:rPr>
          <w:rFonts w:ascii="Times New Roman" w:hAnsi="Times New Roman"/>
          <w:bCs/>
          <w:sz w:val="20"/>
          <w:szCs w:val="20"/>
        </w:rPr>
        <w:t>).</w:t>
      </w:r>
    </w:p>
    <w:p w14:paraId="7EFC338E" w14:textId="77777777" w:rsidR="003F67E5" w:rsidRPr="00B40EF7" w:rsidRDefault="003F67E5" w:rsidP="00B40EF7">
      <w:pPr>
        <w:numPr>
          <w:ilvl w:val="0"/>
          <w:numId w:val="1"/>
        </w:numPr>
        <w:spacing w:after="0" w:line="480" w:lineRule="auto"/>
        <w:jc w:val="both"/>
        <w:rPr>
          <w:rFonts w:ascii="Times New Roman" w:hAnsi="Times New Roman"/>
          <w:b/>
          <w:bCs/>
          <w:sz w:val="20"/>
          <w:szCs w:val="20"/>
        </w:rPr>
      </w:pPr>
      <w:r w:rsidRPr="00B40EF7">
        <w:rPr>
          <w:rFonts w:ascii="Times New Roman" w:hAnsi="Times New Roman"/>
          <w:b/>
          <w:bCs/>
          <w:sz w:val="20"/>
          <w:szCs w:val="20"/>
        </w:rPr>
        <w:t>Protein Estimation</w:t>
      </w:r>
    </w:p>
    <w:p w14:paraId="2C52C1AD" w14:textId="12A7FB5E"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Total protein content was estimated by the standard method (Lowry et al., 1951). Bovine Serum Albumin was used as standard</w:t>
      </w:r>
      <w:r w:rsidR="00CB5E6F" w:rsidRPr="00B40EF7">
        <w:rPr>
          <w:rFonts w:ascii="Times New Roman" w:hAnsi="Times New Roman"/>
          <w:bCs/>
          <w:sz w:val="20"/>
          <w:szCs w:val="20"/>
        </w:rPr>
        <w:t xml:space="preserve">. </w:t>
      </w:r>
      <w:r w:rsidR="00971487" w:rsidRPr="00B40EF7">
        <w:rPr>
          <w:rFonts w:ascii="Times New Roman" w:hAnsi="Times New Roman"/>
          <w:bCs/>
          <w:sz w:val="20"/>
          <w:szCs w:val="20"/>
        </w:rPr>
        <w:t>The absorbance was recorded at 720</w:t>
      </w:r>
      <w:r w:rsidR="003D0E6A" w:rsidRPr="00B40EF7">
        <w:rPr>
          <w:rFonts w:ascii="Times New Roman" w:hAnsi="Times New Roman"/>
          <w:bCs/>
          <w:sz w:val="20"/>
          <w:szCs w:val="20"/>
        </w:rPr>
        <w:t xml:space="preserve"> </w:t>
      </w:r>
      <w:r w:rsidR="00971487" w:rsidRPr="00B40EF7">
        <w:rPr>
          <w:rFonts w:ascii="Times New Roman" w:hAnsi="Times New Roman"/>
          <w:bCs/>
          <w:sz w:val="20"/>
          <w:szCs w:val="20"/>
        </w:rPr>
        <w:t>nm in spectrophotom</w:t>
      </w:r>
      <w:r w:rsidR="003D0E6A" w:rsidRPr="00B40EF7">
        <w:rPr>
          <w:rFonts w:ascii="Times New Roman" w:hAnsi="Times New Roman"/>
          <w:bCs/>
          <w:sz w:val="20"/>
          <w:szCs w:val="20"/>
        </w:rPr>
        <w:t xml:space="preserve">etrically against blank. </w:t>
      </w:r>
      <w:r w:rsidRPr="00B40EF7">
        <w:rPr>
          <w:rFonts w:ascii="Times New Roman" w:hAnsi="Times New Roman"/>
          <w:bCs/>
          <w:sz w:val="20"/>
          <w:szCs w:val="20"/>
        </w:rPr>
        <w:t>Protein concentration was calculated and the protein concentrations were expressed as µg/m</w:t>
      </w:r>
      <w:r w:rsidR="00F95EC2" w:rsidRPr="00B40EF7">
        <w:rPr>
          <w:rFonts w:ascii="Times New Roman" w:hAnsi="Times New Roman"/>
          <w:bCs/>
          <w:sz w:val="20"/>
          <w:szCs w:val="20"/>
        </w:rPr>
        <w:t>l</w:t>
      </w:r>
      <w:r w:rsidRPr="00B40EF7">
        <w:rPr>
          <w:rFonts w:ascii="Times New Roman" w:hAnsi="Times New Roman"/>
          <w:bCs/>
          <w:sz w:val="20"/>
          <w:szCs w:val="20"/>
        </w:rPr>
        <w:t xml:space="preserve"> wet tissue</w:t>
      </w:r>
      <w:r w:rsidR="00844F91" w:rsidRPr="00B40EF7">
        <w:rPr>
          <w:rFonts w:ascii="Times New Roman" w:hAnsi="Times New Roman"/>
          <w:bCs/>
          <w:sz w:val="20"/>
          <w:szCs w:val="20"/>
        </w:rPr>
        <w:t xml:space="preserve"> (</w:t>
      </w:r>
      <w:proofErr w:type="spellStart"/>
      <w:r w:rsidR="00844F91" w:rsidRPr="00B40EF7">
        <w:rPr>
          <w:rFonts w:ascii="Times New Roman" w:hAnsi="Times New Roman"/>
          <w:bCs/>
          <w:sz w:val="20"/>
          <w:szCs w:val="20"/>
        </w:rPr>
        <w:t>Dednath</w:t>
      </w:r>
      <w:proofErr w:type="spellEnd"/>
      <w:r w:rsidR="00844F91" w:rsidRPr="00B40EF7">
        <w:rPr>
          <w:rFonts w:ascii="Times New Roman" w:hAnsi="Times New Roman"/>
          <w:bCs/>
          <w:sz w:val="20"/>
          <w:szCs w:val="20"/>
        </w:rPr>
        <w:t xml:space="preserve"> et al., 2007)</w:t>
      </w:r>
      <w:r w:rsidRPr="00B40EF7">
        <w:rPr>
          <w:rFonts w:ascii="Times New Roman" w:hAnsi="Times New Roman"/>
          <w:bCs/>
          <w:sz w:val="20"/>
          <w:szCs w:val="20"/>
        </w:rPr>
        <w:t>.</w:t>
      </w:r>
    </w:p>
    <w:p w14:paraId="7DDCE3AF"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Estimation of</w:t>
      </w:r>
      <w:r w:rsidRPr="00B40EF7">
        <w:rPr>
          <w:rFonts w:ascii="Times New Roman" w:hAnsi="Times New Roman"/>
          <w:bCs/>
          <w:sz w:val="20"/>
          <w:szCs w:val="20"/>
        </w:rPr>
        <w:t xml:space="preserve"> </w:t>
      </w:r>
      <w:r w:rsidRPr="00B40EF7">
        <w:rPr>
          <w:rFonts w:ascii="Times New Roman" w:hAnsi="Times New Roman"/>
          <w:b/>
          <w:bCs/>
          <w:sz w:val="20"/>
          <w:szCs w:val="20"/>
        </w:rPr>
        <w:t>malonaldehyde (MDA)</w:t>
      </w:r>
    </w:p>
    <w:p w14:paraId="1E17A89D" w14:textId="7DE1E7A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lastRenderedPageBreak/>
        <w:t xml:space="preserve">MDA was conducted following the protocol as in Buege and Aust,1978. </w:t>
      </w:r>
      <w:r w:rsidR="00F20510" w:rsidRPr="00B40EF7">
        <w:rPr>
          <w:rFonts w:ascii="Times New Roman" w:hAnsi="Times New Roman"/>
          <w:bCs/>
          <w:sz w:val="20"/>
          <w:szCs w:val="20"/>
        </w:rPr>
        <w:t>T</w:t>
      </w:r>
      <w:r w:rsidRPr="00B40EF7">
        <w:rPr>
          <w:rFonts w:ascii="Times New Roman" w:hAnsi="Times New Roman"/>
          <w:bCs/>
          <w:sz w:val="20"/>
          <w:szCs w:val="20"/>
        </w:rPr>
        <w:t>he MDA is measured at 540 nm in spectrophotometer</w:t>
      </w:r>
      <w:r w:rsidR="002F15E1" w:rsidRPr="00B40EF7">
        <w:rPr>
          <w:rFonts w:ascii="Times New Roman" w:hAnsi="Times New Roman"/>
          <w:bCs/>
          <w:sz w:val="20"/>
          <w:szCs w:val="20"/>
        </w:rPr>
        <w:t xml:space="preserve"> against blank</w:t>
      </w:r>
      <w:r w:rsidRPr="00B40EF7">
        <w:rPr>
          <w:rFonts w:ascii="Times New Roman" w:hAnsi="Times New Roman"/>
          <w:b/>
          <w:bCs/>
          <w:sz w:val="20"/>
          <w:szCs w:val="20"/>
        </w:rPr>
        <w:t>.</w:t>
      </w:r>
      <w:r w:rsidR="00A62A9A" w:rsidRPr="00B40EF7">
        <w:rPr>
          <w:rFonts w:ascii="Times New Roman" w:hAnsi="Times New Roman"/>
          <w:b/>
          <w:bCs/>
          <w:sz w:val="20"/>
          <w:szCs w:val="20"/>
        </w:rPr>
        <w:t xml:space="preserve"> </w:t>
      </w:r>
      <w:r w:rsidR="00A62A9A" w:rsidRPr="00B40EF7">
        <w:rPr>
          <w:rFonts w:ascii="Times New Roman" w:hAnsi="Times New Roman"/>
          <w:sz w:val="20"/>
          <w:szCs w:val="20"/>
        </w:rPr>
        <w:t xml:space="preserve">Enzyme activity was calculated using the molar extinction coefficient of </w:t>
      </w:r>
      <w:r w:rsidR="00034D5B" w:rsidRPr="00B40EF7">
        <w:rPr>
          <w:rFonts w:ascii="Times New Roman" w:hAnsi="Times New Roman"/>
          <w:sz w:val="20"/>
          <w:szCs w:val="20"/>
        </w:rPr>
        <w:t>MDA</w:t>
      </w:r>
      <w:r w:rsidR="00A62A9A" w:rsidRPr="00B40EF7">
        <w:rPr>
          <w:rFonts w:ascii="Times New Roman" w:hAnsi="Times New Roman"/>
          <w:sz w:val="20"/>
          <w:szCs w:val="20"/>
        </w:rPr>
        <w:t xml:space="preserve"> (</w:t>
      </w:r>
      <w:r w:rsidR="00655FC8" w:rsidRPr="00B40EF7">
        <w:rPr>
          <w:rFonts w:ascii="Times New Roman" w:hAnsi="Times New Roman"/>
          <w:sz w:val="20"/>
          <w:szCs w:val="20"/>
        </w:rPr>
        <w:t>1.56 × 10⁵ M⁻¹cm⁻¹</w:t>
      </w:r>
      <w:r w:rsidR="00A62A9A" w:rsidRPr="00B40EF7">
        <w:rPr>
          <w:rFonts w:ascii="Times New Roman" w:hAnsi="Times New Roman"/>
          <w:sz w:val="20"/>
          <w:szCs w:val="20"/>
        </w:rPr>
        <w:t xml:space="preserve">) and expressed </w:t>
      </w:r>
      <w:r w:rsidR="00A66193" w:rsidRPr="00B40EF7">
        <w:rPr>
          <w:rFonts w:ascii="Times New Roman" w:hAnsi="Times New Roman"/>
          <w:sz w:val="20"/>
          <w:szCs w:val="20"/>
        </w:rPr>
        <w:t xml:space="preserve">as </w:t>
      </w:r>
      <w:r w:rsidR="00F20510" w:rsidRPr="00B40EF7">
        <w:rPr>
          <w:rFonts w:ascii="Times New Roman" w:hAnsi="Times New Roman"/>
          <w:sz w:val="20"/>
          <w:szCs w:val="20"/>
        </w:rPr>
        <w:t>nmol</w:t>
      </w:r>
      <w:r w:rsidR="00862F7E" w:rsidRPr="00B40EF7">
        <w:rPr>
          <w:rFonts w:ascii="Times New Roman" w:hAnsi="Times New Roman"/>
          <w:sz w:val="20"/>
          <w:szCs w:val="20"/>
        </w:rPr>
        <w:t xml:space="preserve"> of MDA</w:t>
      </w:r>
      <w:r w:rsidR="00F20510" w:rsidRPr="00B40EF7">
        <w:rPr>
          <w:rFonts w:ascii="Times New Roman" w:hAnsi="Times New Roman"/>
          <w:sz w:val="20"/>
          <w:szCs w:val="20"/>
        </w:rPr>
        <w:t>/mg protein</w:t>
      </w:r>
      <w:r w:rsidR="002E0632" w:rsidRPr="00B40EF7">
        <w:rPr>
          <w:rFonts w:ascii="Times New Roman" w:hAnsi="Times New Roman"/>
          <w:sz w:val="20"/>
          <w:szCs w:val="20"/>
        </w:rPr>
        <w:t xml:space="preserve"> (Osazee et al., 2024)</w:t>
      </w:r>
      <w:r w:rsidR="00A62A9A" w:rsidRPr="00B40EF7">
        <w:rPr>
          <w:rFonts w:ascii="Times New Roman" w:hAnsi="Times New Roman"/>
          <w:sz w:val="20"/>
          <w:szCs w:val="20"/>
        </w:rPr>
        <w:t>.</w:t>
      </w:r>
    </w:p>
    <w:p w14:paraId="0CAC4237"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Superoxide dismutase (SOD)</w:t>
      </w:r>
      <w:r w:rsidRPr="00B40EF7">
        <w:rPr>
          <w:rFonts w:ascii="Times New Roman" w:hAnsi="Times New Roman"/>
          <w:bCs/>
          <w:sz w:val="20"/>
          <w:szCs w:val="20"/>
        </w:rPr>
        <w:t xml:space="preserve"> </w:t>
      </w:r>
    </w:p>
    <w:p w14:paraId="60C36C50" w14:textId="7FAB485D" w:rsidR="002F62DF"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Cs/>
          <w:sz w:val="20"/>
          <w:szCs w:val="20"/>
        </w:rPr>
        <w:t xml:space="preserve">Superoxide dismutase (SOD) activity was assessed by the ability of the enzyme to inhibit the auto-oxidation of pyrogallol (Marklund et al., 1974). </w:t>
      </w:r>
      <w:r w:rsidR="002F62DF" w:rsidRPr="00B40EF7">
        <w:rPr>
          <w:rFonts w:ascii="Times New Roman" w:hAnsi="Times New Roman"/>
          <w:bCs/>
          <w:sz w:val="20"/>
          <w:szCs w:val="20"/>
        </w:rPr>
        <w:t>T</w:t>
      </w:r>
      <w:r w:rsidRPr="00B40EF7">
        <w:rPr>
          <w:rFonts w:ascii="Times New Roman" w:hAnsi="Times New Roman"/>
          <w:bCs/>
          <w:sz w:val="20"/>
          <w:szCs w:val="20"/>
        </w:rPr>
        <w:t xml:space="preserve">he absorbance </w:t>
      </w:r>
      <w:r w:rsidR="002F62DF" w:rsidRPr="00B40EF7">
        <w:rPr>
          <w:rFonts w:ascii="Times New Roman" w:hAnsi="Times New Roman"/>
          <w:bCs/>
          <w:sz w:val="20"/>
          <w:szCs w:val="20"/>
        </w:rPr>
        <w:t xml:space="preserve">at 560 nm </w:t>
      </w:r>
      <w:r w:rsidR="002F62DF" w:rsidRPr="00B40EF7">
        <w:rPr>
          <w:rFonts w:ascii="Times New Roman" w:hAnsi="Times New Roman"/>
          <w:sz w:val="20"/>
          <w:szCs w:val="20"/>
        </w:rPr>
        <w:t>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bCs/>
          <w:sz w:val="20"/>
          <w:szCs w:val="20"/>
        </w:rPr>
        <w:t>.</w:t>
      </w:r>
      <w:r w:rsidR="002F62DF" w:rsidRPr="00B40EF7">
        <w:rPr>
          <w:rFonts w:ascii="Times New Roman" w:hAnsi="Times New Roman"/>
          <w:bCs/>
          <w:sz w:val="20"/>
          <w:szCs w:val="20"/>
        </w:rPr>
        <w:t xml:space="preserve"> </w:t>
      </w:r>
      <w:r w:rsidR="002F62DF" w:rsidRPr="00B40EF7">
        <w:rPr>
          <w:rFonts w:ascii="Times New Roman" w:hAnsi="Times New Roman"/>
          <w:sz w:val="20"/>
          <w:szCs w:val="20"/>
        </w:rPr>
        <w:t xml:space="preserve">Enzyme activity was calculated using </w:t>
      </w:r>
      <w:r w:rsidR="00EE3EB7" w:rsidRPr="00B40EF7">
        <w:rPr>
          <w:rFonts w:ascii="Times New Roman" w:hAnsi="Times New Roman"/>
          <w:sz w:val="20"/>
          <w:szCs w:val="20"/>
        </w:rPr>
        <w:t>One unit of SOD activity is defined as the amount of enzyme that inhibits the rate of pyrogallol auto-oxidation by 50%</w:t>
      </w:r>
      <w:r w:rsidR="009E1E60" w:rsidRPr="00B40EF7">
        <w:rPr>
          <w:rFonts w:ascii="Times New Roman" w:hAnsi="Times New Roman"/>
          <w:sz w:val="20"/>
          <w:szCs w:val="20"/>
        </w:rPr>
        <w:t xml:space="preserve"> and </w:t>
      </w:r>
      <w:r w:rsidR="00975D65" w:rsidRPr="00B40EF7">
        <w:rPr>
          <w:rFonts w:ascii="Times New Roman" w:hAnsi="Times New Roman"/>
          <w:sz w:val="20"/>
          <w:szCs w:val="20"/>
        </w:rPr>
        <w:t>e</w:t>
      </w:r>
      <w:r w:rsidR="009E1E60" w:rsidRPr="00B40EF7">
        <w:rPr>
          <w:rFonts w:ascii="Times New Roman" w:hAnsi="Times New Roman"/>
          <w:sz w:val="20"/>
          <w:szCs w:val="20"/>
        </w:rPr>
        <w:t>xpress activity as units/mg protein</w:t>
      </w:r>
      <w:r w:rsidR="00B16C9F" w:rsidRPr="00B40EF7">
        <w:rPr>
          <w:rFonts w:ascii="Times New Roman" w:hAnsi="Times New Roman"/>
          <w:sz w:val="20"/>
          <w:szCs w:val="20"/>
        </w:rPr>
        <w:t xml:space="preserve"> (Kaur et al., 2014)</w:t>
      </w:r>
      <w:r w:rsidR="00975D65" w:rsidRPr="00B40EF7">
        <w:rPr>
          <w:rFonts w:ascii="Times New Roman" w:hAnsi="Times New Roman"/>
          <w:sz w:val="20"/>
          <w:szCs w:val="20"/>
        </w:rPr>
        <w:t xml:space="preserve">. </w:t>
      </w:r>
    </w:p>
    <w:p w14:paraId="12489F5A" w14:textId="441F325F" w:rsidR="003F67E5" w:rsidRPr="00B40EF7" w:rsidRDefault="003F67E5" w:rsidP="00B40EF7">
      <w:pPr>
        <w:spacing w:after="0" w:line="480" w:lineRule="auto"/>
        <w:jc w:val="both"/>
        <w:rPr>
          <w:rFonts w:ascii="Times New Roman" w:hAnsi="Times New Roman"/>
          <w:bCs/>
          <w:sz w:val="20"/>
          <w:szCs w:val="20"/>
        </w:rPr>
      </w:pPr>
    </w:p>
    <w:p w14:paraId="0715F32D" w14:textId="77777777"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sz w:val="20"/>
          <w:szCs w:val="20"/>
        </w:rPr>
        <w:t>5.</w:t>
      </w:r>
      <w:r w:rsidRPr="00B40EF7">
        <w:rPr>
          <w:rFonts w:ascii="Times New Roman" w:hAnsi="Times New Roman"/>
          <w:bCs/>
          <w:sz w:val="20"/>
          <w:szCs w:val="20"/>
        </w:rPr>
        <w:t xml:space="preserve">  </w:t>
      </w:r>
      <w:r w:rsidRPr="00B40EF7">
        <w:rPr>
          <w:rFonts w:ascii="Times New Roman" w:hAnsi="Times New Roman"/>
          <w:b/>
          <w:bCs/>
          <w:sz w:val="20"/>
          <w:szCs w:val="20"/>
        </w:rPr>
        <w:t>Catalase (CAT)</w:t>
      </w:r>
    </w:p>
    <w:p w14:paraId="646BF66B" w14:textId="0696BC2C"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sz w:val="20"/>
          <w:szCs w:val="20"/>
        </w:rPr>
        <w:t>Catalase activity was estimated following the method of Aebi (1984), which involves monitoring the decomposition of hydrogen peroxide (H₂O₂) by catalase. The</w:t>
      </w:r>
      <w:r w:rsidR="002F62DF" w:rsidRPr="00B40EF7">
        <w:rPr>
          <w:rFonts w:ascii="Times New Roman" w:hAnsi="Times New Roman"/>
          <w:sz w:val="20"/>
          <w:szCs w:val="20"/>
        </w:rPr>
        <w:t xml:space="preserve"> </w:t>
      </w:r>
      <w:r w:rsidRPr="00B40EF7">
        <w:rPr>
          <w:rFonts w:ascii="Times New Roman" w:hAnsi="Times New Roman"/>
          <w:sz w:val="20"/>
          <w:szCs w:val="20"/>
        </w:rPr>
        <w:t>absorbance at 240 nm 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sz w:val="20"/>
          <w:szCs w:val="20"/>
        </w:rPr>
        <w:t xml:space="preserve">. Enzyme activity was calculated using the molar extinction coefficient of H₂O₂ (43.6 M⁻¹ cm⁻¹) and expressed as </w:t>
      </w:r>
      <w:proofErr w:type="spellStart"/>
      <w:r w:rsidRPr="00B40EF7">
        <w:rPr>
          <w:rFonts w:ascii="Times New Roman" w:hAnsi="Times New Roman"/>
          <w:sz w:val="20"/>
          <w:szCs w:val="20"/>
        </w:rPr>
        <w:t>μmol</w:t>
      </w:r>
      <w:proofErr w:type="spellEnd"/>
      <w:r w:rsidRPr="00B40EF7">
        <w:rPr>
          <w:rFonts w:ascii="Times New Roman" w:hAnsi="Times New Roman"/>
          <w:sz w:val="20"/>
          <w:szCs w:val="20"/>
        </w:rPr>
        <w:t xml:space="preserve"> H₂O₂ decomposed per minute per mg protein</w:t>
      </w:r>
      <w:r w:rsidR="00E1337A" w:rsidRPr="00B40EF7">
        <w:rPr>
          <w:rFonts w:ascii="Times New Roman" w:hAnsi="Times New Roman"/>
          <w:sz w:val="20"/>
          <w:szCs w:val="20"/>
        </w:rPr>
        <w:t xml:space="preserve"> (</w:t>
      </w:r>
      <w:proofErr w:type="spellStart"/>
      <w:r w:rsidR="00E1337A" w:rsidRPr="00B40EF7">
        <w:rPr>
          <w:rFonts w:ascii="Times New Roman" w:hAnsi="Times New Roman"/>
          <w:sz w:val="20"/>
          <w:szCs w:val="20"/>
        </w:rPr>
        <w:t>Hadwan</w:t>
      </w:r>
      <w:proofErr w:type="spellEnd"/>
      <w:r w:rsidR="00E1337A" w:rsidRPr="00B40EF7">
        <w:rPr>
          <w:rFonts w:ascii="Times New Roman" w:hAnsi="Times New Roman"/>
          <w:sz w:val="20"/>
          <w:szCs w:val="20"/>
        </w:rPr>
        <w:t xml:space="preserve"> et al., 2016)</w:t>
      </w:r>
      <w:r w:rsidRPr="00B40EF7">
        <w:rPr>
          <w:rFonts w:ascii="Times New Roman" w:hAnsi="Times New Roman"/>
          <w:sz w:val="20"/>
          <w:szCs w:val="20"/>
        </w:rPr>
        <w:t>.</w:t>
      </w:r>
    </w:p>
    <w:p w14:paraId="1CD95B89"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 xml:space="preserve">6. Estimation of </w:t>
      </w:r>
      <w:r w:rsidRPr="00B40EF7">
        <w:rPr>
          <w:rFonts w:ascii="Times New Roman" w:hAnsi="Times New Roman"/>
          <w:b/>
          <w:sz w:val="20"/>
          <w:szCs w:val="20"/>
        </w:rPr>
        <w:t>GSH</w:t>
      </w:r>
    </w:p>
    <w:p w14:paraId="67E64DF3" w14:textId="6B4BA4D8" w:rsidR="00A64043"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Reduced Glutathione (GSH)</w:t>
      </w:r>
      <w:r w:rsidRPr="00B40EF7">
        <w:rPr>
          <w:rFonts w:ascii="Times New Roman" w:hAnsi="Times New Roman"/>
          <w:bCs/>
          <w:sz w:val="20"/>
          <w:szCs w:val="20"/>
        </w:rPr>
        <w:t xml:space="preserve"> has been estimated as initially described by Ellman (1959) and modified according to the method of Davila et al., (1991). </w:t>
      </w:r>
      <w:r w:rsidR="00524CD5" w:rsidRPr="00B40EF7">
        <w:rPr>
          <w:rFonts w:ascii="Times New Roman" w:hAnsi="Times New Roman"/>
          <w:bCs/>
          <w:sz w:val="20"/>
          <w:szCs w:val="20"/>
        </w:rPr>
        <w:t>The absorbance at</w:t>
      </w:r>
      <w:r w:rsidRPr="00B40EF7">
        <w:rPr>
          <w:rFonts w:ascii="Times New Roman" w:hAnsi="Times New Roman"/>
          <w:bCs/>
          <w:sz w:val="20"/>
          <w:szCs w:val="20"/>
        </w:rPr>
        <w:t xml:space="preserve"> 412 nm</w:t>
      </w:r>
      <w:r w:rsidR="00524CD5" w:rsidRPr="00B40EF7">
        <w:rPr>
          <w:rFonts w:ascii="Times New Roman" w:hAnsi="Times New Roman"/>
          <w:bCs/>
          <w:sz w:val="20"/>
          <w:szCs w:val="20"/>
        </w:rPr>
        <w:t xml:space="preserve"> was </w:t>
      </w:r>
      <w:r w:rsidR="00374BC8" w:rsidRPr="00B40EF7">
        <w:rPr>
          <w:rFonts w:ascii="Times New Roman" w:hAnsi="Times New Roman"/>
          <w:bCs/>
          <w:sz w:val="20"/>
          <w:szCs w:val="20"/>
        </w:rPr>
        <w:t>recorded spectrophotometrically</w:t>
      </w:r>
      <w:r w:rsidR="002F15E1" w:rsidRPr="00B40EF7">
        <w:rPr>
          <w:rFonts w:ascii="Times New Roman" w:hAnsi="Times New Roman"/>
          <w:bCs/>
          <w:sz w:val="20"/>
          <w:szCs w:val="20"/>
        </w:rPr>
        <w:t xml:space="preserve"> against blank</w:t>
      </w:r>
      <w:r w:rsidRPr="00B40EF7">
        <w:rPr>
          <w:rFonts w:ascii="Times New Roman" w:hAnsi="Times New Roman"/>
          <w:bCs/>
          <w:sz w:val="20"/>
          <w:szCs w:val="20"/>
        </w:rPr>
        <w:t>. Absorbance values were compared with a standard curve generated from known GSH concentration to compute tissue GSH levels.</w:t>
      </w:r>
      <w:r w:rsidR="00963842" w:rsidRPr="00B40EF7">
        <w:rPr>
          <w:rFonts w:ascii="Times New Roman" w:hAnsi="Times New Roman"/>
          <w:bCs/>
          <w:sz w:val="20"/>
          <w:szCs w:val="20"/>
        </w:rPr>
        <w:t xml:space="preserve"> The enzyme activity was </w:t>
      </w:r>
      <w:r w:rsidR="00735161" w:rsidRPr="00B40EF7">
        <w:rPr>
          <w:rFonts w:ascii="Times New Roman" w:hAnsi="Times New Roman"/>
          <w:bCs/>
          <w:sz w:val="20"/>
          <w:szCs w:val="20"/>
        </w:rPr>
        <w:t>expressed as µmol of GSH/</w:t>
      </w:r>
      <w:r w:rsidR="00735161" w:rsidRPr="00B40EF7">
        <w:rPr>
          <w:rFonts w:ascii="Times New Roman" w:hAnsi="Times New Roman"/>
          <w:sz w:val="20"/>
          <w:szCs w:val="20"/>
        </w:rPr>
        <w:t>mg protein</w:t>
      </w:r>
      <w:r w:rsidR="00C64B0A" w:rsidRPr="00B40EF7">
        <w:rPr>
          <w:rFonts w:ascii="Times New Roman" w:hAnsi="Times New Roman"/>
          <w:sz w:val="20"/>
          <w:szCs w:val="20"/>
        </w:rPr>
        <w:t xml:space="preserve"> (Maiti et al., 2001)</w:t>
      </w:r>
      <w:r w:rsidR="00735161" w:rsidRPr="00B40EF7">
        <w:rPr>
          <w:rFonts w:ascii="Times New Roman" w:hAnsi="Times New Roman"/>
          <w:sz w:val="20"/>
          <w:szCs w:val="20"/>
        </w:rPr>
        <w:t xml:space="preserve">. </w:t>
      </w:r>
    </w:p>
    <w:p w14:paraId="02BC4B40" w14:textId="77777777" w:rsidR="00A64043"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7.</w:t>
      </w:r>
      <w:r w:rsidRPr="00B40EF7">
        <w:rPr>
          <w:rFonts w:ascii="Times New Roman" w:hAnsi="Times New Roman"/>
          <w:bCs/>
          <w:sz w:val="20"/>
          <w:szCs w:val="20"/>
        </w:rPr>
        <w:t xml:space="preserve"> </w:t>
      </w:r>
      <w:r w:rsidRPr="00B40EF7">
        <w:rPr>
          <w:rFonts w:ascii="Times New Roman" w:hAnsi="Times New Roman"/>
          <w:b/>
          <w:sz w:val="20"/>
          <w:szCs w:val="20"/>
        </w:rPr>
        <w:t xml:space="preserve">Estimation of β-amylase </w:t>
      </w:r>
    </w:p>
    <w:p w14:paraId="1BB3D7BF" w14:textId="54A5C5E7" w:rsidR="003F67E5" w:rsidRPr="00B40EF7" w:rsidRDefault="00853B34" w:rsidP="00B40EF7">
      <w:pPr>
        <w:spacing w:line="480" w:lineRule="auto"/>
        <w:jc w:val="both"/>
        <w:rPr>
          <w:rFonts w:ascii="Times New Roman" w:hAnsi="Times New Roman"/>
          <w:bCs/>
          <w:sz w:val="20"/>
          <w:szCs w:val="20"/>
        </w:rPr>
      </w:pPr>
      <w:r w:rsidRPr="00B40EF7">
        <w:rPr>
          <w:rFonts w:ascii="Times New Roman" w:hAnsi="Times New Roman"/>
          <w:sz w:val="20"/>
          <w:szCs w:val="20"/>
        </w:rPr>
        <w:t>Β</w:t>
      </w:r>
      <w:r w:rsidR="003F67E5" w:rsidRPr="00B40EF7">
        <w:rPr>
          <w:rFonts w:ascii="Times New Roman" w:hAnsi="Times New Roman"/>
          <w:sz w:val="20"/>
          <w:szCs w:val="20"/>
        </w:rPr>
        <w:t xml:space="preserve">-amylase activity was estimated by measuring the amount of </w:t>
      </w:r>
      <w:r w:rsidR="003F67E5" w:rsidRPr="00B40EF7">
        <w:rPr>
          <w:rStyle w:val="Strong"/>
          <w:rFonts w:ascii="Times New Roman" w:hAnsi="Times New Roman"/>
          <w:b w:val="0"/>
          <w:bCs w:val="0"/>
          <w:sz w:val="20"/>
          <w:szCs w:val="20"/>
        </w:rPr>
        <w:t>maltose released</w:t>
      </w:r>
      <w:r w:rsidR="003F67E5" w:rsidRPr="00B40EF7">
        <w:rPr>
          <w:rFonts w:ascii="Times New Roman" w:hAnsi="Times New Roman"/>
          <w:sz w:val="20"/>
          <w:szCs w:val="20"/>
        </w:rPr>
        <w:t xml:space="preserve"> from starch substrate followed by</w:t>
      </w:r>
      <w:r w:rsidR="003F67E5" w:rsidRPr="00B40EF7">
        <w:rPr>
          <w:rStyle w:val="Heading1Char"/>
          <w:rFonts w:ascii="Times New Roman" w:hAnsi="Times New Roman" w:cs="Times New Roman"/>
          <w:sz w:val="20"/>
          <w:szCs w:val="20"/>
        </w:rPr>
        <w:t xml:space="preserve"> </w:t>
      </w:r>
      <w:r w:rsidR="003F67E5" w:rsidRPr="00B40EF7">
        <w:rPr>
          <w:rStyle w:val="Strong"/>
          <w:rFonts w:ascii="Times New Roman" w:hAnsi="Times New Roman"/>
          <w:b w:val="0"/>
          <w:bCs w:val="0"/>
          <w:sz w:val="20"/>
          <w:szCs w:val="20"/>
        </w:rPr>
        <w:t>Miller (1959)</w:t>
      </w:r>
      <w:r w:rsidR="003F67E5" w:rsidRPr="00B40EF7">
        <w:rPr>
          <w:rFonts w:ascii="Times New Roman" w:hAnsi="Times New Roman"/>
          <w:b/>
          <w:bCs/>
          <w:sz w:val="20"/>
          <w:szCs w:val="20"/>
        </w:rPr>
        <w:t>.</w:t>
      </w:r>
      <w:r w:rsidR="003F67E5" w:rsidRPr="00B40EF7">
        <w:rPr>
          <w:rFonts w:ascii="Times New Roman" w:hAnsi="Times New Roman"/>
          <w:sz w:val="20"/>
          <w:szCs w:val="20"/>
        </w:rPr>
        <w:t xml:space="preserve"> The absorbance</w:t>
      </w:r>
      <w:r w:rsidR="00266E86" w:rsidRPr="00B40EF7">
        <w:rPr>
          <w:rFonts w:ascii="Times New Roman" w:hAnsi="Times New Roman"/>
          <w:sz w:val="20"/>
          <w:szCs w:val="20"/>
        </w:rPr>
        <w:t xml:space="preserve"> at 540 nm </w:t>
      </w:r>
      <w:r w:rsidR="003F67E5" w:rsidRPr="00B40EF7">
        <w:rPr>
          <w:rFonts w:ascii="Times New Roman" w:hAnsi="Times New Roman"/>
          <w:sz w:val="20"/>
          <w:szCs w:val="20"/>
        </w:rPr>
        <w:t xml:space="preserve">was </w:t>
      </w:r>
      <w:r w:rsidR="00266E86" w:rsidRPr="00B40EF7">
        <w:rPr>
          <w:rFonts w:ascii="Times New Roman" w:hAnsi="Times New Roman"/>
          <w:sz w:val="20"/>
          <w:szCs w:val="20"/>
        </w:rPr>
        <w:t xml:space="preserve">recorded </w:t>
      </w:r>
      <w:r w:rsidR="00CB5E6F" w:rsidRPr="00B40EF7">
        <w:rPr>
          <w:rStyle w:val="Strong"/>
          <w:rFonts w:ascii="Times New Roman" w:hAnsi="Times New Roman"/>
          <w:b w:val="0"/>
          <w:bCs w:val="0"/>
          <w:sz w:val="20"/>
          <w:szCs w:val="20"/>
        </w:rPr>
        <w:t xml:space="preserve">in </w:t>
      </w:r>
      <w:r w:rsidR="00266E86" w:rsidRPr="00B40EF7">
        <w:rPr>
          <w:rStyle w:val="Strong"/>
          <w:rFonts w:ascii="Times New Roman" w:hAnsi="Times New Roman"/>
          <w:b w:val="0"/>
          <w:bCs w:val="0"/>
          <w:sz w:val="20"/>
          <w:szCs w:val="20"/>
        </w:rPr>
        <w:t>spectrophotometrically</w:t>
      </w:r>
      <w:r w:rsidR="002F15E1" w:rsidRPr="00B40EF7">
        <w:rPr>
          <w:rStyle w:val="Strong"/>
          <w:rFonts w:ascii="Times New Roman" w:hAnsi="Times New Roman"/>
          <w:b w:val="0"/>
          <w:bCs w:val="0"/>
          <w:sz w:val="20"/>
          <w:szCs w:val="20"/>
        </w:rPr>
        <w:t xml:space="preserve"> against blank</w:t>
      </w:r>
      <w:r w:rsidR="003F67E5" w:rsidRPr="00B40EF7">
        <w:rPr>
          <w:rFonts w:ascii="Times New Roman" w:hAnsi="Times New Roman"/>
          <w:sz w:val="20"/>
          <w:szCs w:val="20"/>
        </w:rPr>
        <w:t xml:space="preserve">, </w:t>
      </w:r>
      <w:r w:rsidR="005622D9" w:rsidRPr="00B40EF7">
        <w:rPr>
          <w:rFonts w:ascii="Times New Roman" w:hAnsi="Times New Roman"/>
          <w:bCs/>
          <w:sz w:val="20"/>
          <w:szCs w:val="20"/>
        </w:rPr>
        <w:t xml:space="preserve">Absorbance values were compared with a standard curve generated from known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concentration to compute tissue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levels. </w:t>
      </w:r>
      <w:r w:rsidR="003F67E5" w:rsidRPr="00B40EF7">
        <w:rPr>
          <w:rFonts w:ascii="Times New Roman" w:hAnsi="Times New Roman"/>
          <w:sz w:val="20"/>
          <w:szCs w:val="20"/>
        </w:rPr>
        <w:t xml:space="preserve">Enzyme activity was expressed as </w:t>
      </w:r>
      <w:proofErr w:type="spellStart"/>
      <w:r w:rsidR="003F67E5" w:rsidRPr="00B40EF7">
        <w:rPr>
          <w:rFonts w:ascii="Times New Roman" w:hAnsi="Times New Roman"/>
          <w:sz w:val="20"/>
          <w:szCs w:val="20"/>
        </w:rPr>
        <w:t>μmol</w:t>
      </w:r>
      <w:proofErr w:type="spellEnd"/>
      <w:r w:rsidR="003F67E5" w:rsidRPr="00B40EF7">
        <w:rPr>
          <w:rFonts w:ascii="Times New Roman" w:hAnsi="Times New Roman"/>
          <w:sz w:val="20"/>
          <w:szCs w:val="20"/>
        </w:rPr>
        <w:t xml:space="preserve"> maltose released</w:t>
      </w:r>
      <w:r w:rsidR="000F15F7" w:rsidRPr="00B40EF7">
        <w:rPr>
          <w:rFonts w:ascii="Times New Roman" w:hAnsi="Times New Roman"/>
          <w:sz w:val="20"/>
          <w:szCs w:val="20"/>
        </w:rPr>
        <w:t>/</w:t>
      </w:r>
      <w:r w:rsidR="003F67E5" w:rsidRPr="00B40EF7">
        <w:rPr>
          <w:rFonts w:ascii="Times New Roman" w:hAnsi="Times New Roman"/>
          <w:sz w:val="20"/>
          <w:szCs w:val="20"/>
        </w:rPr>
        <w:t>minute</w:t>
      </w:r>
      <w:r w:rsidR="000F15F7" w:rsidRPr="00B40EF7">
        <w:rPr>
          <w:rFonts w:ascii="Times New Roman" w:hAnsi="Times New Roman"/>
          <w:sz w:val="20"/>
          <w:szCs w:val="20"/>
        </w:rPr>
        <w:t>/</w:t>
      </w:r>
      <w:r w:rsidR="003F67E5" w:rsidRPr="00B40EF7">
        <w:rPr>
          <w:rFonts w:ascii="Times New Roman" w:hAnsi="Times New Roman"/>
          <w:sz w:val="20"/>
          <w:szCs w:val="20"/>
        </w:rPr>
        <w:t>mg protein</w:t>
      </w:r>
      <w:r w:rsidR="006969EA" w:rsidRPr="00B40EF7">
        <w:rPr>
          <w:rFonts w:ascii="Times New Roman" w:hAnsi="Times New Roman"/>
          <w:sz w:val="20"/>
          <w:szCs w:val="20"/>
        </w:rPr>
        <w:t xml:space="preserve"> (Araujo-Silva et al., 2018)</w:t>
      </w:r>
      <w:r w:rsidR="003F67E5" w:rsidRPr="00B40EF7">
        <w:rPr>
          <w:rFonts w:ascii="Times New Roman" w:hAnsi="Times New Roman"/>
          <w:sz w:val="20"/>
          <w:szCs w:val="20"/>
        </w:rPr>
        <w:t>.</w:t>
      </w:r>
    </w:p>
    <w:p w14:paraId="79A36C8A" w14:textId="77777777" w:rsidR="00215C4F" w:rsidRDefault="00215C4F" w:rsidP="00B40EF7">
      <w:pPr>
        <w:spacing w:after="0" w:line="480" w:lineRule="auto"/>
        <w:jc w:val="both"/>
        <w:rPr>
          <w:rFonts w:ascii="Times New Roman" w:hAnsi="Times New Roman"/>
          <w:b/>
          <w:bCs/>
          <w:sz w:val="20"/>
          <w:szCs w:val="20"/>
        </w:rPr>
      </w:pPr>
    </w:p>
    <w:p w14:paraId="2EF13C8D" w14:textId="77777777" w:rsidR="00215C4F" w:rsidRDefault="00215C4F" w:rsidP="00B40EF7">
      <w:pPr>
        <w:spacing w:after="0" w:line="480" w:lineRule="auto"/>
        <w:jc w:val="both"/>
        <w:rPr>
          <w:rFonts w:ascii="Times New Roman" w:hAnsi="Times New Roman"/>
          <w:b/>
          <w:bCs/>
          <w:sz w:val="20"/>
          <w:szCs w:val="20"/>
        </w:rPr>
      </w:pPr>
    </w:p>
    <w:p w14:paraId="423F1936" w14:textId="0D87D489"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bCs/>
          <w:sz w:val="20"/>
          <w:szCs w:val="20"/>
        </w:rPr>
        <w:lastRenderedPageBreak/>
        <w:t>8.</w:t>
      </w:r>
      <w:r w:rsidRPr="00B40EF7">
        <w:rPr>
          <w:rFonts w:ascii="Times New Roman" w:hAnsi="Times New Roman"/>
          <w:sz w:val="20"/>
          <w:szCs w:val="20"/>
        </w:rPr>
        <w:t xml:space="preserve"> </w:t>
      </w:r>
      <w:r w:rsidRPr="00B40EF7">
        <w:rPr>
          <w:rFonts w:ascii="Times New Roman" w:hAnsi="Times New Roman"/>
          <w:b/>
          <w:sz w:val="20"/>
          <w:szCs w:val="20"/>
        </w:rPr>
        <w:t>Estimation of Alkaline Phosphatase</w:t>
      </w:r>
    </w:p>
    <w:p w14:paraId="6910B72C" w14:textId="7732BBF2" w:rsidR="00DF0EAF"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ALP activity will be determined by the method of Garen and Levinthal (1960). Then the </w:t>
      </w:r>
      <w:r w:rsidR="004270A7" w:rsidRPr="00B40EF7">
        <w:rPr>
          <w:rFonts w:ascii="Times New Roman" w:hAnsi="Times New Roman"/>
          <w:bCs/>
          <w:sz w:val="20"/>
          <w:szCs w:val="20"/>
        </w:rPr>
        <w:t>absorbance</w:t>
      </w:r>
      <w:r w:rsidRPr="00B40EF7">
        <w:rPr>
          <w:rFonts w:ascii="Times New Roman" w:hAnsi="Times New Roman"/>
          <w:bCs/>
          <w:sz w:val="20"/>
          <w:szCs w:val="20"/>
        </w:rPr>
        <w:t xml:space="preserve"> was </w:t>
      </w:r>
      <w:r w:rsidR="004270A7" w:rsidRPr="00B40EF7">
        <w:rPr>
          <w:rFonts w:ascii="Times New Roman" w:hAnsi="Times New Roman"/>
          <w:bCs/>
          <w:sz w:val="20"/>
          <w:szCs w:val="20"/>
        </w:rPr>
        <w:t>recorded</w:t>
      </w:r>
      <w:r w:rsidRPr="00B40EF7">
        <w:rPr>
          <w:rFonts w:ascii="Times New Roman" w:hAnsi="Times New Roman"/>
          <w:bCs/>
          <w:sz w:val="20"/>
          <w:szCs w:val="20"/>
        </w:rPr>
        <w:t xml:space="preserve"> at 410 nm in spectrophotometer against the blank.</w:t>
      </w:r>
      <w:r w:rsidR="003D0E6A" w:rsidRPr="00B40EF7">
        <w:rPr>
          <w:rFonts w:ascii="Times New Roman" w:hAnsi="Times New Roman"/>
          <w:bCs/>
          <w:sz w:val="20"/>
          <w:szCs w:val="20"/>
        </w:rPr>
        <w:t xml:space="preserve"> </w:t>
      </w:r>
      <w:r w:rsidR="00AD732F" w:rsidRPr="00B40EF7">
        <w:rPr>
          <w:rFonts w:ascii="Times New Roman" w:hAnsi="Times New Roman"/>
          <w:bCs/>
          <w:sz w:val="20"/>
          <w:szCs w:val="20"/>
        </w:rPr>
        <w:t>Absorbance values were compared with a standard curve generated from known p</w:t>
      </w:r>
      <w:r w:rsidR="001C395C" w:rsidRPr="00B40EF7">
        <w:rPr>
          <w:rFonts w:ascii="Times New Roman" w:hAnsi="Times New Roman"/>
          <w:bCs/>
          <w:sz w:val="20"/>
          <w:szCs w:val="20"/>
        </w:rPr>
        <w:t>-N</w:t>
      </w:r>
      <w:r w:rsidR="00223281" w:rsidRPr="00B40EF7">
        <w:rPr>
          <w:rFonts w:ascii="Times New Roman" w:hAnsi="Times New Roman"/>
          <w:bCs/>
          <w:sz w:val="20"/>
          <w:szCs w:val="20"/>
        </w:rPr>
        <w:t>it</w:t>
      </w:r>
      <w:r w:rsidR="001C395C" w:rsidRPr="00B40EF7">
        <w:rPr>
          <w:rFonts w:ascii="Times New Roman" w:hAnsi="Times New Roman"/>
          <w:bCs/>
          <w:sz w:val="20"/>
          <w:szCs w:val="20"/>
        </w:rPr>
        <w:t>r</w:t>
      </w:r>
      <w:r w:rsidR="00223281" w:rsidRPr="00B40EF7">
        <w:rPr>
          <w:rFonts w:ascii="Times New Roman" w:hAnsi="Times New Roman"/>
          <w:bCs/>
          <w:sz w:val="20"/>
          <w:szCs w:val="20"/>
        </w:rPr>
        <w:t>ophenol</w:t>
      </w:r>
      <w:r w:rsidR="00AD732F" w:rsidRPr="00B40EF7">
        <w:rPr>
          <w:rFonts w:ascii="Times New Roman" w:hAnsi="Times New Roman"/>
          <w:bCs/>
          <w:sz w:val="20"/>
          <w:szCs w:val="20"/>
        </w:rPr>
        <w:t xml:space="preserve"> concentration</w:t>
      </w:r>
      <w:r w:rsidR="00DF0EAF" w:rsidRPr="00B40EF7">
        <w:rPr>
          <w:rFonts w:ascii="Times New Roman" w:hAnsi="Times New Roman"/>
          <w:bCs/>
          <w:sz w:val="20"/>
          <w:szCs w:val="20"/>
        </w:rPr>
        <w:t xml:space="preserve">. </w:t>
      </w:r>
      <w:r w:rsidR="00DF0EAF" w:rsidRPr="00B40EF7">
        <w:rPr>
          <w:rFonts w:ascii="Times New Roman" w:hAnsi="Times New Roman"/>
          <w:sz w:val="20"/>
          <w:szCs w:val="20"/>
        </w:rPr>
        <w:t xml:space="preserve">Enzyme activity was expressed as </w:t>
      </w:r>
      <w:r w:rsidR="00362CF6" w:rsidRPr="00B40EF7">
        <w:rPr>
          <w:rFonts w:ascii="Times New Roman" w:hAnsi="Times New Roman"/>
          <w:sz w:val="20"/>
          <w:szCs w:val="20"/>
        </w:rPr>
        <w:t>units/</w:t>
      </w:r>
      <w:r w:rsidR="00DF0EAF" w:rsidRPr="00B40EF7">
        <w:rPr>
          <w:rFonts w:ascii="Times New Roman" w:hAnsi="Times New Roman"/>
          <w:sz w:val="20"/>
          <w:szCs w:val="20"/>
        </w:rPr>
        <w:t>mg protein</w:t>
      </w:r>
      <w:r w:rsidR="00882C1C" w:rsidRPr="00B40EF7">
        <w:rPr>
          <w:rFonts w:ascii="Times New Roman" w:hAnsi="Times New Roman"/>
          <w:sz w:val="20"/>
          <w:szCs w:val="20"/>
        </w:rPr>
        <w:t xml:space="preserve"> (Debnath et al., 2007)</w:t>
      </w:r>
      <w:r w:rsidR="00DF0EAF" w:rsidRPr="00B40EF7">
        <w:rPr>
          <w:rFonts w:ascii="Times New Roman" w:hAnsi="Times New Roman"/>
          <w:sz w:val="20"/>
          <w:szCs w:val="20"/>
        </w:rPr>
        <w:t>.</w:t>
      </w:r>
    </w:p>
    <w:p w14:paraId="4F1D758D" w14:textId="72F2D635"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9.</w:t>
      </w:r>
      <w:r w:rsidRPr="00B40EF7">
        <w:rPr>
          <w:rFonts w:ascii="Times New Roman" w:hAnsi="Times New Roman"/>
          <w:bCs/>
          <w:sz w:val="20"/>
          <w:szCs w:val="20"/>
        </w:rPr>
        <w:t xml:space="preserve"> </w:t>
      </w:r>
      <w:r w:rsidRPr="00B40EF7">
        <w:rPr>
          <w:rFonts w:ascii="Times New Roman" w:hAnsi="Times New Roman"/>
          <w:b/>
          <w:sz w:val="20"/>
          <w:szCs w:val="20"/>
        </w:rPr>
        <w:t>Estimation of Acid Phosphatase</w:t>
      </w:r>
    </w:p>
    <w:p w14:paraId="38338FFE" w14:textId="7C40268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t>The procedure will be adopted for ACP activity same as for ALP activity except the buffer will be used in ACP assay is acetate buffer (0.2 M, pH 5.0) instead of bicarbonate buffer (0.2 M, pH 9.5) followed by</w:t>
      </w:r>
      <w:r w:rsidRPr="00B40EF7">
        <w:rPr>
          <w:rFonts w:ascii="Times New Roman" w:hAnsi="Times New Roman"/>
          <w:sz w:val="20"/>
          <w:szCs w:val="20"/>
        </w:rPr>
        <w:t xml:space="preserve"> Bergmeyer, H.U. (1974)</w:t>
      </w:r>
      <w:r w:rsidRPr="00B40EF7">
        <w:rPr>
          <w:rFonts w:ascii="Times New Roman" w:hAnsi="Times New Roman"/>
          <w:bCs/>
          <w:sz w:val="20"/>
          <w:szCs w:val="20"/>
        </w:rPr>
        <w:t>.</w:t>
      </w:r>
      <w:r w:rsidR="001E6617" w:rsidRPr="00B40EF7">
        <w:rPr>
          <w:rFonts w:ascii="Times New Roman" w:hAnsi="Times New Roman"/>
          <w:bCs/>
          <w:sz w:val="20"/>
          <w:szCs w:val="20"/>
        </w:rPr>
        <w:t xml:space="preserve"> Then the absorbance was recorded at 410 nm in spectrophotometer against the blank. Absorbance values were compared with a standard curve generated from known p-Nitrophenol concentration. </w:t>
      </w:r>
      <w:r w:rsidR="001E6617" w:rsidRPr="00B40EF7">
        <w:rPr>
          <w:rFonts w:ascii="Times New Roman" w:hAnsi="Times New Roman"/>
          <w:sz w:val="20"/>
          <w:szCs w:val="20"/>
        </w:rPr>
        <w:t>Enzyme activity was expressed as units/mg protein</w:t>
      </w:r>
      <w:r w:rsidR="00664C66" w:rsidRPr="00B40EF7">
        <w:rPr>
          <w:rFonts w:ascii="Times New Roman" w:hAnsi="Times New Roman"/>
          <w:sz w:val="20"/>
          <w:szCs w:val="20"/>
        </w:rPr>
        <w:t xml:space="preserve"> (</w:t>
      </w:r>
      <w:proofErr w:type="spellStart"/>
      <w:r w:rsidR="00664C66" w:rsidRPr="00B40EF7">
        <w:rPr>
          <w:rFonts w:ascii="Times New Roman" w:hAnsi="Times New Roman"/>
          <w:sz w:val="20"/>
          <w:szCs w:val="20"/>
        </w:rPr>
        <w:t>Yengkokpam</w:t>
      </w:r>
      <w:proofErr w:type="spellEnd"/>
      <w:r w:rsidR="00664C66" w:rsidRPr="00B40EF7">
        <w:rPr>
          <w:rFonts w:ascii="Times New Roman" w:hAnsi="Times New Roman"/>
          <w:sz w:val="20"/>
          <w:szCs w:val="20"/>
        </w:rPr>
        <w:t xml:space="preserve"> et al., 2013)</w:t>
      </w:r>
      <w:r w:rsidR="001E6617" w:rsidRPr="00B40EF7">
        <w:rPr>
          <w:rFonts w:ascii="Times New Roman" w:hAnsi="Times New Roman"/>
          <w:sz w:val="20"/>
          <w:szCs w:val="20"/>
        </w:rPr>
        <w:t>.</w:t>
      </w:r>
    </w:p>
    <w:p w14:paraId="2D27E116" w14:textId="77777777"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10.</w:t>
      </w:r>
      <w:r w:rsidRPr="00B40EF7">
        <w:rPr>
          <w:rFonts w:ascii="Times New Roman" w:hAnsi="Times New Roman"/>
          <w:bCs/>
          <w:sz w:val="20"/>
          <w:szCs w:val="20"/>
        </w:rPr>
        <w:t xml:space="preserve"> </w:t>
      </w:r>
      <w:r w:rsidRPr="00B40EF7">
        <w:rPr>
          <w:rFonts w:ascii="Times New Roman" w:hAnsi="Times New Roman"/>
          <w:b/>
          <w:sz w:val="20"/>
          <w:szCs w:val="20"/>
        </w:rPr>
        <w:t>Estimation of Acetylcholinesterase</w:t>
      </w:r>
    </w:p>
    <w:p w14:paraId="50C80D4C" w14:textId="44C705C8" w:rsidR="00983EB4"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enzyme activity was measured by the method of </w:t>
      </w:r>
      <w:r w:rsidR="00C845BD" w:rsidRPr="00B40EF7">
        <w:rPr>
          <w:rFonts w:ascii="Times New Roman" w:hAnsi="Times New Roman"/>
          <w:sz w:val="20"/>
          <w:szCs w:val="20"/>
          <w:lang w:val="en-IN"/>
        </w:rPr>
        <w:t>Ellman’s colorimetric method</w:t>
      </w:r>
      <w:r w:rsidR="009D07AA" w:rsidRPr="00B40EF7">
        <w:rPr>
          <w:rFonts w:ascii="Times New Roman" w:hAnsi="Times New Roman"/>
          <w:sz w:val="20"/>
          <w:szCs w:val="20"/>
          <w:lang w:val="en-IN"/>
        </w:rPr>
        <w:t xml:space="preserve"> (1961)</w:t>
      </w:r>
      <w:r w:rsidRPr="00B40EF7">
        <w:rPr>
          <w:rFonts w:ascii="Times New Roman" w:hAnsi="Times New Roman"/>
          <w:bCs/>
          <w:sz w:val="20"/>
          <w:szCs w:val="20"/>
        </w:rPr>
        <w:t xml:space="preserve">. </w:t>
      </w:r>
      <w:r w:rsidR="002D798C" w:rsidRPr="00B40EF7">
        <w:rPr>
          <w:rFonts w:ascii="Times New Roman" w:hAnsi="Times New Roman"/>
          <w:sz w:val="20"/>
          <w:szCs w:val="20"/>
        </w:rPr>
        <w:t>The absorbance at 412 nm was recorded spectrophotometrically blank. Enzyme activity was calculated using the molar extinction coefficient of DTNB (</w:t>
      </w:r>
      <w:r w:rsidR="00F70D5B" w:rsidRPr="00B40EF7">
        <w:rPr>
          <w:rFonts w:ascii="Times New Roman" w:hAnsi="Times New Roman"/>
          <w:sz w:val="20"/>
          <w:szCs w:val="20"/>
        </w:rPr>
        <w:t>13600 M⁻¹cm⁻¹</w:t>
      </w:r>
      <w:r w:rsidR="002D798C" w:rsidRPr="00B40EF7">
        <w:rPr>
          <w:rFonts w:ascii="Times New Roman" w:hAnsi="Times New Roman"/>
          <w:sz w:val="20"/>
          <w:szCs w:val="20"/>
        </w:rPr>
        <w:t xml:space="preserve">) and expressed as </w:t>
      </w:r>
      <w:r w:rsidR="00983EB4" w:rsidRPr="00B40EF7">
        <w:rPr>
          <w:rFonts w:ascii="Times New Roman" w:hAnsi="Times New Roman"/>
          <w:sz w:val="20"/>
          <w:szCs w:val="20"/>
        </w:rPr>
        <w:t>µmol/min/mg protein</w:t>
      </w:r>
      <w:r w:rsidR="00C9779A" w:rsidRPr="00B40EF7">
        <w:rPr>
          <w:rFonts w:ascii="Times New Roman" w:hAnsi="Times New Roman"/>
          <w:sz w:val="20"/>
          <w:szCs w:val="20"/>
        </w:rPr>
        <w:t xml:space="preserve"> (Sinko et al., 2007)</w:t>
      </w:r>
      <w:r w:rsidR="002D798C" w:rsidRPr="00B40EF7">
        <w:rPr>
          <w:rFonts w:ascii="Times New Roman" w:hAnsi="Times New Roman"/>
          <w:sz w:val="20"/>
          <w:szCs w:val="20"/>
        </w:rPr>
        <w:t>.</w:t>
      </w:r>
    </w:p>
    <w:p w14:paraId="32CF3DF9" w14:textId="72375BC2" w:rsidR="003F67E5" w:rsidRPr="00B40EF7" w:rsidRDefault="003F67E5" w:rsidP="00B40EF7">
      <w:pPr>
        <w:spacing w:line="480" w:lineRule="auto"/>
        <w:jc w:val="both"/>
        <w:rPr>
          <w:rFonts w:ascii="Times New Roman" w:hAnsi="Times New Roman"/>
          <w:b/>
          <w:bCs/>
          <w:sz w:val="20"/>
          <w:szCs w:val="20"/>
        </w:rPr>
      </w:pPr>
      <w:r w:rsidRPr="00B40EF7">
        <w:rPr>
          <w:rFonts w:ascii="Times New Roman" w:hAnsi="Times New Roman"/>
          <w:b/>
          <w:bCs/>
          <w:sz w:val="20"/>
          <w:szCs w:val="20"/>
        </w:rPr>
        <w:t>Results</w:t>
      </w:r>
    </w:p>
    <w:p w14:paraId="5E53F7C4" w14:textId="5521E3B4"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Malondialdehyde (MDA) levels were significantly elevated in Zebrafish tissues exposed to thermal stress compared to the control group. Activity was found almost 6.20 folds, and 6.48 folds increase than the control sample in 32⁰C, and 38⁰C respectively (</w:t>
      </w:r>
      <w:r w:rsidRPr="00B40EF7">
        <w:rPr>
          <w:rFonts w:ascii="Times New Roman" w:hAnsi="Times New Roman"/>
          <w:b/>
          <w:bCs/>
          <w:sz w:val="20"/>
          <w:szCs w:val="20"/>
        </w:rPr>
        <w:t>Fig. 3</w:t>
      </w:r>
      <w:r w:rsidRPr="00B40EF7">
        <w:rPr>
          <w:rFonts w:ascii="Times New Roman" w:hAnsi="Times New Roman"/>
          <w:sz w:val="20"/>
          <w:szCs w:val="20"/>
        </w:rPr>
        <w:t xml:space="preserve">). This increase in MDA concentration reflects enhanced </w:t>
      </w:r>
      <w:r w:rsidRPr="00B40EF7">
        <w:rPr>
          <w:rStyle w:val="Strong"/>
          <w:rFonts w:ascii="Times New Roman" w:hAnsi="Times New Roman"/>
          <w:b w:val="0"/>
          <w:bCs w:val="0"/>
          <w:sz w:val="20"/>
          <w:szCs w:val="20"/>
        </w:rPr>
        <w:t>lipid peroxidation</w:t>
      </w:r>
      <w:r w:rsidRPr="00B40EF7">
        <w:rPr>
          <w:rFonts w:ascii="Times New Roman" w:hAnsi="Times New Roman"/>
          <w:sz w:val="20"/>
          <w:szCs w:val="20"/>
        </w:rPr>
        <w:t xml:space="preserve">, indicating greater </w:t>
      </w:r>
      <w:r w:rsidRPr="00B40EF7">
        <w:rPr>
          <w:rStyle w:val="Strong"/>
          <w:rFonts w:ascii="Times New Roman" w:hAnsi="Times New Roman"/>
          <w:b w:val="0"/>
          <w:bCs w:val="0"/>
          <w:sz w:val="20"/>
          <w:szCs w:val="20"/>
        </w:rPr>
        <w:t>oxidative damage to cellular membranes</w:t>
      </w:r>
      <w:r w:rsidRPr="00B40EF7">
        <w:rPr>
          <w:rFonts w:ascii="Times New Roman" w:hAnsi="Times New Roman"/>
          <w:sz w:val="20"/>
          <w:szCs w:val="20"/>
        </w:rPr>
        <w:t xml:space="preserve"> due to excessive generation of reactive oxygen species (ROS).</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1511B0F0" w14:textId="705A779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Superoxide dismutase (SOD) activity showed a significant increase (p &lt; 0.05) in thermally stressed zebrafish compared to controls, indicating an enhanced antioxidant response to elevated levels of superoxide radicals. It was found almost 1.87 folds, and 2.43 folds increased than the control sample in 32⁰C, and 38⁰C respectively (</w:t>
      </w:r>
      <w:r w:rsidRPr="00B40EF7">
        <w:rPr>
          <w:rFonts w:ascii="Times New Roman" w:hAnsi="Times New Roman"/>
          <w:b/>
          <w:bCs/>
          <w:sz w:val="20"/>
          <w:szCs w:val="20"/>
        </w:rPr>
        <w:t>Fig. 5</w:t>
      </w:r>
      <w:r w:rsidRPr="00B40EF7">
        <w:rPr>
          <w:rFonts w:ascii="Times New Roman" w:hAnsi="Times New Roman"/>
          <w:sz w:val="20"/>
          <w:szCs w:val="20"/>
        </w:rPr>
        <w:t xml:space="preserve">). This upregulation suggests that </w:t>
      </w:r>
      <w:r w:rsidRPr="00B40EF7">
        <w:rPr>
          <w:rStyle w:val="Emphasis"/>
          <w:rFonts w:ascii="Times New Roman" w:hAnsi="Times New Roman"/>
          <w:sz w:val="20"/>
          <w:szCs w:val="20"/>
        </w:rPr>
        <w:t>Danio rerio</w:t>
      </w:r>
      <w:r w:rsidRPr="00B40EF7">
        <w:rPr>
          <w:rFonts w:ascii="Times New Roman" w:hAnsi="Times New Roman"/>
          <w:sz w:val="20"/>
          <w:szCs w:val="20"/>
        </w:rPr>
        <w:t xml:space="preserve"> mounts an initial defense mechanism against reactive oxygen </w:t>
      </w:r>
      <w:r w:rsidRPr="00B40EF7">
        <w:rPr>
          <w:rFonts w:ascii="Times New Roman" w:hAnsi="Times New Roman"/>
          <w:sz w:val="20"/>
          <w:szCs w:val="20"/>
        </w:rPr>
        <w:lastRenderedPageBreak/>
        <w:t xml:space="preserve">species (ROS) during thermal stress. </w:t>
      </w:r>
      <w:r w:rsidR="00396CAC" w:rsidRPr="00396CAC">
        <w:rPr>
          <w:rFonts w:ascii="Times New Roman" w:hAnsi="Times New Roman"/>
          <w:sz w:val="20"/>
          <w:szCs w:val="20"/>
        </w:rPr>
        <w:t>ANOVA followed by Tukey’s multiple comparison test. P&lt;0.05 was considered statistically significant. ****p &lt;0.0001.</w:t>
      </w:r>
    </w:p>
    <w:p w14:paraId="1F4D98A6" w14:textId="616316F5"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Catalase (CAT) activity was significantly elevated in zebrafish exposed to elevated temperatures. Specifically, CAT activity increased by approximately </w:t>
      </w:r>
      <w:r w:rsidRPr="00B40EF7">
        <w:rPr>
          <w:rStyle w:val="Strong"/>
          <w:rFonts w:ascii="Times New Roman" w:hAnsi="Times New Roman"/>
          <w:b w:val="0"/>
          <w:bCs w:val="0"/>
          <w:sz w:val="20"/>
          <w:szCs w:val="20"/>
        </w:rPr>
        <w:t>1.97 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group and </w:t>
      </w:r>
      <w:r w:rsidRPr="00B40EF7">
        <w:rPr>
          <w:rStyle w:val="Strong"/>
          <w:rFonts w:ascii="Times New Roman" w:hAnsi="Times New Roman"/>
          <w:b w:val="0"/>
          <w:bCs w:val="0"/>
          <w:sz w:val="20"/>
          <w:szCs w:val="20"/>
        </w:rPr>
        <w:t>2.41folds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group compared to the control maintained at ambient temperature. This rise indicates an adaptive enzymatic response to elevated hydrogen peroxide levels generated under thermal stress. The enhanced catalase activity suggests an effective upregulation of antioxidant defenses aimed at minimizing oxidative damage caused by the accumulation of reactive oxygen species (ROS) during heat stress (</w:t>
      </w:r>
      <w:r w:rsidRPr="00B40EF7">
        <w:rPr>
          <w:rFonts w:ascii="Times New Roman" w:hAnsi="Times New Roman"/>
          <w:b/>
          <w:sz w:val="20"/>
          <w:szCs w:val="20"/>
        </w:rPr>
        <w:t>Fig. 6</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50DBA86C" w14:textId="233F9870"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Reduced glutathione (GSH) levels exhibited a marked increase in response to thermal stress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GSH activity was found to be approximately </w:t>
      </w:r>
      <w:r w:rsidRPr="00B40EF7">
        <w:rPr>
          <w:rStyle w:val="Strong"/>
          <w:rFonts w:ascii="Times New Roman" w:hAnsi="Times New Roman"/>
          <w:b w:val="0"/>
          <w:bCs w:val="0"/>
          <w:sz w:val="20"/>
          <w:szCs w:val="20"/>
        </w:rPr>
        <w:t>1.97-fold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 xml:space="preserve"> </w:t>
      </w:r>
      <w:r w:rsidRPr="00B40EF7">
        <w:rPr>
          <w:rFonts w:ascii="Times New Roman" w:hAnsi="Times New Roman"/>
          <w:sz w:val="20"/>
          <w:szCs w:val="20"/>
        </w:rPr>
        <w:t xml:space="preserve">and </w:t>
      </w:r>
      <w:r w:rsidRPr="00B40EF7">
        <w:rPr>
          <w:rStyle w:val="Strong"/>
          <w:rFonts w:ascii="Times New Roman" w:hAnsi="Times New Roman"/>
          <w:b w:val="0"/>
          <w:bCs w:val="0"/>
          <w:sz w:val="20"/>
          <w:szCs w:val="20"/>
        </w:rPr>
        <w:t>2.02-fold higher</w:t>
      </w:r>
      <w:r w:rsidRPr="00B40EF7">
        <w:rPr>
          <w:rFonts w:ascii="Times New Roman" w:hAnsi="Times New Roman"/>
          <w:b/>
          <w:sz w:val="20"/>
          <w:szCs w:val="20"/>
        </w:rPr>
        <w:t xml:space="preserve"> </w:t>
      </w:r>
      <w:r w:rsidRPr="00B40EF7">
        <w:rPr>
          <w:rFonts w:ascii="Times New Roman" w:hAnsi="Times New Roman"/>
          <w:sz w:val="20"/>
          <w:szCs w:val="20"/>
        </w:rPr>
        <w:t xml:space="preserve">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maintained at ambient temperature. This elevation indicates the activation of non-enzymatic antioxidant defenses to counteract the rise in reactive oxygen species (ROS) induced by heat stress. The increased GSH concentration reflects its critical role in maintaining redox homeostasis and protecting cellular components from oxidative damage under elevated temperature conditions (</w:t>
      </w:r>
      <w:r w:rsidRPr="00B40EF7">
        <w:rPr>
          <w:rFonts w:ascii="Times New Roman" w:hAnsi="Times New Roman"/>
          <w:b/>
          <w:bCs/>
          <w:sz w:val="20"/>
          <w:szCs w:val="20"/>
        </w:rPr>
        <w:t>Fig. 4</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44CF87CC" w14:textId="10B02FA9"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β -Amylase activity showed a notable increase in zebrafish (</w:t>
      </w:r>
      <w:r w:rsidRPr="00B40EF7">
        <w:rPr>
          <w:rStyle w:val="Emphasis"/>
          <w:rFonts w:ascii="Times New Roman" w:hAnsi="Times New Roman"/>
          <w:sz w:val="20"/>
          <w:szCs w:val="20"/>
        </w:rPr>
        <w:t>Danio rerio</w:t>
      </w:r>
      <w:r w:rsidRPr="00B40EF7">
        <w:rPr>
          <w:rFonts w:ascii="Times New Roman" w:hAnsi="Times New Roman"/>
          <w:sz w:val="20"/>
          <w:szCs w:val="20"/>
        </w:rPr>
        <w:t xml:space="preserve">) subjected to elevated temperature conditions. The enzyme activity was approximately </w:t>
      </w:r>
      <w:r w:rsidRPr="00B40EF7">
        <w:rPr>
          <w:rStyle w:val="Strong"/>
          <w:rFonts w:ascii="Times New Roman" w:hAnsi="Times New Roman"/>
          <w:b w:val="0"/>
          <w:bCs w:val="0"/>
          <w:sz w:val="20"/>
          <w:szCs w:val="20"/>
        </w:rPr>
        <w:t>1.20 folds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1.70-fold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rise in activity suggests enhanced starch degradation and mobilization of energy reserves as part of the metabolic adjustment to thermal stress. The increase in β-amylase activity reflects a physiological adaptation to meet higher energy demands and maintain cellular homeostasis under heat-induced stress conditions. (</w:t>
      </w:r>
      <w:r w:rsidRPr="00B40EF7">
        <w:rPr>
          <w:rFonts w:ascii="Times New Roman" w:hAnsi="Times New Roman"/>
          <w:b/>
          <w:bCs/>
          <w:sz w:val="20"/>
          <w:szCs w:val="20"/>
        </w:rPr>
        <w:t>Fig. 10</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61C8A1B5" w14:textId="04906FEA"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Alkaline phosphatase (ALP) activity significantly increased in zebrafish subjected to elevated temperature stress.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ALP activity was approximately </w:t>
      </w:r>
      <w:r w:rsidRPr="00B40EF7">
        <w:rPr>
          <w:rStyle w:val="Strong"/>
          <w:rFonts w:ascii="Times New Roman" w:hAnsi="Times New Roman"/>
          <w:b w:val="0"/>
          <w:bCs w:val="0"/>
          <w:sz w:val="20"/>
          <w:szCs w:val="20"/>
        </w:rPr>
        <w:t>1.63-fold higher</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rose to about </w:t>
      </w:r>
      <w:r w:rsidRPr="00B40EF7">
        <w:rPr>
          <w:rStyle w:val="Strong"/>
          <w:rFonts w:ascii="Times New Roman" w:hAnsi="Times New Roman"/>
          <w:b w:val="0"/>
          <w:bCs w:val="0"/>
          <w:sz w:val="20"/>
          <w:szCs w:val="20"/>
        </w:rPr>
        <w:t>2.09-fold</w:t>
      </w:r>
      <w:r w:rsidRPr="00B40EF7">
        <w:rPr>
          <w:rFonts w:ascii="Times New Roman" w:hAnsi="Times New Roman"/>
          <w:sz w:val="20"/>
          <w:szCs w:val="20"/>
        </w:rPr>
        <w:t xml:space="preserve"> compared to the control group. This enhancement indicates increased membrane turnover and cellular metabolic activity in response to thermal stress. The elevated ALP levels suggest its potential role as a biochemical marker for tissue remodeling and stress adaptation under rising temperature conditions (</w:t>
      </w:r>
      <w:r w:rsidRPr="00B40EF7">
        <w:rPr>
          <w:rFonts w:ascii="Times New Roman" w:hAnsi="Times New Roman"/>
          <w:b/>
          <w:bCs/>
          <w:sz w:val="20"/>
          <w:szCs w:val="20"/>
        </w:rPr>
        <w:t>Fig. 7</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6E809A2D" w14:textId="4C35ECDC"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lastRenderedPageBreak/>
        <w:t xml:space="preserve">Acid phosphatase (ACP) activity showed a significant elevation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under thermal stress. The activity increased by approximately </w:t>
      </w:r>
      <w:r w:rsidRPr="00B40EF7">
        <w:rPr>
          <w:rStyle w:val="Strong"/>
          <w:rFonts w:ascii="Times New Roman" w:hAnsi="Times New Roman"/>
          <w:b w:val="0"/>
          <w:bCs w:val="0"/>
          <w:sz w:val="20"/>
          <w:szCs w:val="20"/>
        </w:rPr>
        <w:t>1.57-fold</w:t>
      </w:r>
      <w:r w:rsidRPr="00B40EF7">
        <w:rPr>
          <w:rFonts w:ascii="Times New Roman" w:hAnsi="Times New Roman"/>
          <w:b/>
          <w:sz w:val="20"/>
          <w:szCs w:val="20"/>
        </w:rPr>
        <w:t xml:space="preserve"> </w:t>
      </w:r>
      <w:r w:rsidRPr="00B40EF7">
        <w:rPr>
          <w:rFonts w:ascii="Times New Roman" w:hAnsi="Times New Roman"/>
          <w:sz w:val="20"/>
          <w:szCs w:val="20"/>
        </w:rPr>
        <w:t>at</w:t>
      </w:r>
      <w:r w:rsidRPr="00B40EF7">
        <w:rPr>
          <w:rFonts w:ascii="Times New Roman" w:hAnsi="Times New Roman"/>
          <w:b/>
          <w:sz w:val="20"/>
          <w:szCs w:val="20"/>
        </w:rPr>
        <w:t xml:space="preserv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1.66-fold</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increase suggests enhanced lysosomal activity and cellular turnover as a response to stress-induced tissue remodeling or damage. The rise in ACP levels under heat stress conditions indicates its involvement in intracellular degradation processes and serves as a potential biomarker of physiological stress in zebrafish (</w:t>
      </w:r>
      <w:r w:rsidRPr="00B40EF7">
        <w:rPr>
          <w:rFonts w:ascii="Times New Roman" w:hAnsi="Times New Roman"/>
          <w:b/>
          <w:bCs/>
          <w:sz w:val="20"/>
          <w:szCs w:val="20"/>
        </w:rPr>
        <w:t>Fig. 8</w:t>
      </w:r>
      <w:r w:rsidRPr="00B40EF7">
        <w:rPr>
          <w:rFonts w:ascii="Times New Roman" w:hAnsi="Times New Roman"/>
          <w:sz w:val="20"/>
          <w:szCs w:val="20"/>
        </w:rPr>
        <w:t>).</w:t>
      </w:r>
      <w:r w:rsidR="002A3A4A" w:rsidRPr="00B40EF7">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052DF0EE" w14:textId="7E9C5B05" w:rsidR="003F67E5"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Acetylcholinesterase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exhibited a moderate but significant increase in zebrafish exposed to elevated temperatures.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w:t>
      </w:r>
      <w:r w:rsidRPr="00B40EF7">
        <w:rPr>
          <w:rFonts w:ascii="Times New Roman" w:hAnsi="Times New Roman"/>
          <w:sz w:val="20"/>
          <w:szCs w:val="20"/>
        </w:rPr>
        <w:t xml:space="preserv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rose by approximately </w:t>
      </w:r>
      <w:r w:rsidRPr="00B40EF7">
        <w:rPr>
          <w:rStyle w:val="Strong"/>
          <w:rFonts w:ascii="Times New Roman" w:hAnsi="Times New Roman"/>
          <w:b w:val="0"/>
          <w:bCs w:val="0"/>
          <w:sz w:val="20"/>
          <w:szCs w:val="20"/>
        </w:rPr>
        <w:t>1.18 folds</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increased to about </w:t>
      </w:r>
      <w:r w:rsidRPr="00B40EF7">
        <w:rPr>
          <w:rStyle w:val="Strong"/>
          <w:rFonts w:ascii="Times New Roman" w:hAnsi="Times New Roman"/>
          <w:b w:val="0"/>
          <w:bCs w:val="0"/>
          <w:sz w:val="20"/>
          <w:szCs w:val="20"/>
        </w:rPr>
        <w:t>1.56 folds</w:t>
      </w:r>
      <w:r w:rsidRPr="00B40EF7">
        <w:rPr>
          <w:rFonts w:ascii="Times New Roman" w:hAnsi="Times New Roman"/>
          <w:sz w:val="20"/>
          <w:szCs w:val="20"/>
        </w:rPr>
        <w:t xml:space="preserve"> compared to the control group. This elevation suggests enhanced cholinergic neurotransmission and neural excitability in response to thermal stress. The increase in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may reflect adaptive neurophysiological adjustments or early signs of stress-related neural stimulation in </w:t>
      </w:r>
      <w:r w:rsidRPr="00B40EF7">
        <w:rPr>
          <w:rStyle w:val="Emphasis"/>
          <w:rFonts w:ascii="Times New Roman" w:hAnsi="Times New Roman"/>
          <w:sz w:val="20"/>
          <w:szCs w:val="20"/>
        </w:rPr>
        <w:t>Danio rerio</w:t>
      </w:r>
      <w:r w:rsidRPr="00B40EF7">
        <w:rPr>
          <w:rFonts w:ascii="Times New Roman" w:hAnsi="Times New Roman"/>
          <w:sz w:val="20"/>
          <w:szCs w:val="20"/>
        </w:rPr>
        <w:t>" (</w:t>
      </w:r>
      <w:r w:rsidRPr="00B40EF7">
        <w:rPr>
          <w:rFonts w:ascii="Times New Roman" w:hAnsi="Times New Roman"/>
          <w:b/>
          <w:bCs/>
          <w:sz w:val="20"/>
          <w:szCs w:val="20"/>
        </w:rPr>
        <w:t>Fig. 9</w:t>
      </w:r>
      <w:r w:rsidRPr="00B40EF7">
        <w:rPr>
          <w:rFonts w:ascii="Times New Roman" w:hAnsi="Times New Roman"/>
          <w:sz w:val="20"/>
          <w:szCs w:val="20"/>
        </w:rPr>
        <w:t>).</w:t>
      </w:r>
      <w:r w:rsidR="00396CAC">
        <w:rPr>
          <w:rFonts w:ascii="Times New Roman" w:hAnsi="Times New Roman"/>
          <w:sz w:val="20"/>
          <w:szCs w:val="20"/>
        </w:rPr>
        <w:t xml:space="preserve"> </w:t>
      </w:r>
      <w:r w:rsidR="00396CAC" w:rsidRPr="00396CAC">
        <w:rPr>
          <w:rFonts w:ascii="Times New Roman" w:hAnsi="Times New Roman"/>
          <w:sz w:val="20"/>
          <w:szCs w:val="20"/>
        </w:rPr>
        <w:t>ANOVA followed by Tukey’s multiple comparison test. P&lt;0.05 was considered statistically significant. ****p &lt;0.0001.</w:t>
      </w:r>
    </w:p>
    <w:p w14:paraId="5D510AE7" w14:textId="77777777" w:rsidR="00020DFB"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b/>
          <w:bCs/>
          <w:sz w:val="20"/>
          <w:szCs w:val="20"/>
        </w:rPr>
        <w:t>Interpretation of Correlation Results (Table 1)</w:t>
      </w:r>
    </w:p>
    <w:p w14:paraId="04552427" w14:textId="0B42C10E" w:rsidR="00D82156"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sz w:val="20"/>
          <w:szCs w:val="20"/>
          <w:lang w:val="en-IN"/>
        </w:rPr>
        <w:t xml:space="preserve">Correlation analysis provides insight into the interrelationships between different biochemical markers in response to thermal stress. In your study, the analysis reveals both positive and negative correlations among antioxidant enzymes (SOD, CAT, GSH), oxidative damage marker (MDA), metabolic enzymes (ALP, ACP, β-amylase), and the </w:t>
      </w:r>
      <w:proofErr w:type="spellStart"/>
      <w:r w:rsidRPr="00B40EF7">
        <w:rPr>
          <w:rFonts w:ascii="Times New Roman" w:hAnsi="Times New Roman"/>
          <w:sz w:val="20"/>
          <w:szCs w:val="20"/>
          <w:lang w:val="en-IN"/>
        </w:rPr>
        <w:t>neuroenzyme</w:t>
      </w:r>
      <w:proofErr w:type="spellEnd"/>
      <w:r w:rsidRPr="00B40EF7">
        <w:rPr>
          <w:rFonts w:ascii="Times New Roman" w:hAnsi="Times New Roman"/>
          <w:sz w:val="20"/>
          <w:szCs w:val="20"/>
          <w:lang w:val="en-IN"/>
        </w:rPr>
        <w:t xml:space="preserve"> </w:t>
      </w:r>
      <w:proofErr w:type="spellStart"/>
      <w:r w:rsidRPr="00B40EF7">
        <w:rPr>
          <w:rFonts w:ascii="Times New Roman" w:hAnsi="Times New Roman"/>
          <w:sz w:val="20"/>
          <w:szCs w:val="20"/>
          <w:lang w:val="en-IN"/>
        </w:rPr>
        <w:t>AChE</w:t>
      </w:r>
      <w:proofErr w:type="spellEnd"/>
      <w:r w:rsidRPr="00B40EF7">
        <w:rPr>
          <w:rFonts w:ascii="Times New Roman" w:hAnsi="Times New Roman"/>
          <w:sz w:val="20"/>
          <w:szCs w:val="20"/>
          <w:lang w:val="en-IN"/>
        </w:rPr>
        <w:t>.</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A </w:t>
      </w:r>
      <w:r w:rsidR="003F67E5" w:rsidRPr="00B40EF7">
        <w:rPr>
          <w:rStyle w:val="Strong"/>
          <w:rFonts w:ascii="Times New Roman" w:eastAsiaTheme="majorEastAsia" w:hAnsi="Times New Roman"/>
          <w:b w:val="0"/>
          <w:bCs w:val="0"/>
          <w:sz w:val="20"/>
          <w:szCs w:val="20"/>
        </w:rPr>
        <w:t>strong positive correlation</w:t>
      </w:r>
      <w:r w:rsidR="003F67E5" w:rsidRPr="00B40EF7">
        <w:rPr>
          <w:rFonts w:ascii="Times New Roman" w:hAnsi="Times New Roman"/>
          <w:sz w:val="20"/>
          <w:szCs w:val="20"/>
        </w:rPr>
        <w:t xml:space="preserve"> was observed among </w:t>
      </w:r>
      <w:r w:rsidR="003F67E5" w:rsidRPr="00B40EF7">
        <w:rPr>
          <w:rStyle w:val="Strong"/>
          <w:rFonts w:ascii="Times New Roman" w:eastAsiaTheme="majorEastAsia" w:hAnsi="Times New Roman"/>
          <w:b w:val="0"/>
          <w:bCs w:val="0"/>
          <w:sz w:val="20"/>
          <w:szCs w:val="20"/>
        </w:rPr>
        <w:t>SOD, CAT, and GSH</w:t>
      </w:r>
      <w:r w:rsidR="003F67E5" w:rsidRPr="00B40EF7">
        <w:rPr>
          <w:rFonts w:ascii="Times New Roman" w:hAnsi="Times New Roman"/>
          <w:sz w:val="20"/>
          <w:szCs w:val="20"/>
        </w:rPr>
        <w:t xml:space="preserve">. This suggests a </w:t>
      </w:r>
      <w:r w:rsidR="003F67E5" w:rsidRPr="00B40EF7">
        <w:rPr>
          <w:rStyle w:val="Strong"/>
          <w:rFonts w:ascii="Times New Roman" w:eastAsiaTheme="majorEastAsia" w:hAnsi="Times New Roman"/>
          <w:b w:val="0"/>
          <w:bCs w:val="0"/>
          <w:sz w:val="20"/>
          <w:szCs w:val="20"/>
        </w:rPr>
        <w:t>coordinated</w:t>
      </w:r>
      <w:r w:rsidR="003F67E5" w:rsidRPr="00B40EF7">
        <w:rPr>
          <w:rStyle w:val="Strong"/>
          <w:rFonts w:ascii="Times New Roman" w:eastAsiaTheme="majorEastAsia" w:hAnsi="Times New Roman"/>
          <w:sz w:val="20"/>
          <w:szCs w:val="20"/>
        </w:rPr>
        <w:t xml:space="preserve"> </w:t>
      </w:r>
      <w:r w:rsidR="003F67E5" w:rsidRPr="00B40EF7">
        <w:rPr>
          <w:rStyle w:val="Strong"/>
          <w:rFonts w:ascii="Times New Roman" w:eastAsiaTheme="majorEastAsia" w:hAnsi="Times New Roman"/>
          <w:b w:val="0"/>
          <w:bCs w:val="0"/>
          <w:sz w:val="20"/>
          <w:szCs w:val="20"/>
        </w:rPr>
        <w:t>antioxidant defense system</w:t>
      </w:r>
      <w:r w:rsidR="003F67E5" w:rsidRPr="00B40EF7">
        <w:rPr>
          <w:rFonts w:ascii="Times New Roman" w:hAnsi="Times New Roman"/>
          <w:sz w:val="20"/>
          <w:szCs w:val="20"/>
        </w:rPr>
        <w:t xml:space="preserve">, where activation of one enzyme supports or induces the upregulation of others. Such relationships are expected under oxidative stress, as superoxide radicals (handled by SOD) are converted to hydrogen peroxide (handled by CAT), while GSH contributes to detoxification and redox balance. This alignment reflects the </w:t>
      </w:r>
      <w:r w:rsidR="003F67E5" w:rsidRPr="00B40EF7">
        <w:rPr>
          <w:rStyle w:val="Strong"/>
          <w:rFonts w:ascii="Times New Roman" w:eastAsiaTheme="majorEastAsia" w:hAnsi="Times New Roman"/>
          <w:b w:val="0"/>
          <w:bCs w:val="0"/>
          <w:sz w:val="20"/>
          <w:szCs w:val="20"/>
        </w:rPr>
        <w:t>synergistic action of enzymatic and non-enzymatic antioxidants</w:t>
      </w:r>
      <w:r w:rsidR="003F67E5" w:rsidRPr="00B40EF7">
        <w:rPr>
          <w:rFonts w:ascii="Times New Roman" w:hAnsi="Times New Roman"/>
          <w:sz w:val="20"/>
          <w:szCs w:val="20"/>
        </w:rPr>
        <w:t xml:space="preserve"> to maintain redox homeostasis.</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The positive correlation of </w:t>
      </w:r>
      <w:r w:rsidR="003F67E5" w:rsidRPr="00B40EF7">
        <w:rPr>
          <w:rStyle w:val="Strong"/>
          <w:rFonts w:ascii="Times New Roman" w:eastAsiaTheme="majorEastAsia" w:hAnsi="Times New Roman"/>
          <w:b w:val="0"/>
          <w:bCs w:val="0"/>
          <w:sz w:val="20"/>
          <w:szCs w:val="20"/>
        </w:rPr>
        <w:t>MDA</w:t>
      </w:r>
      <w:r w:rsidR="003F67E5" w:rsidRPr="00B40EF7">
        <w:rPr>
          <w:rFonts w:ascii="Times New Roman" w:hAnsi="Times New Roman"/>
          <w:sz w:val="20"/>
          <w:szCs w:val="20"/>
        </w:rPr>
        <w:t xml:space="preserve"> with </w:t>
      </w:r>
      <w:r w:rsidR="003F67E5" w:rsidRPr="00B40EF7">
        <w:rPr>
          <w:rStyle w:val="Strong"/>
          <w:rFonts w:ascii="Times New Roman" w:eastAsiaTheme="majorEastAsia" w:hAnsi="Times New Roman"/>
          <w:b w:val="0"/>
          <w:bCs w:val="0"/>
          <w:sz w:val="20"/>
          <w:szCs w:val="20"/>
        </w:rPr>
        <w:t>ALP</w:t>
      </w:r>
      <w:r w:rsidR="003F67E5" w:rsidRPr="00B40EF7">
        <w:rPr>
          <w:rFonts w:ascii="Times New Roman" w:hAnsi="Times New Roman"/>
          <w:sz w:val="20"/>
          <w:szCs w:val="20"/>
        </w:rPr>
        <w:t xml:space="preserve"> and </w:t>
      </w:r>
      <w:r w:rsidR="003F67E5" w:rsidRPr="00B40EF7">
        <w:rPr>
          <w:rStyle w:val="Strong"/>
          <w:rFonts w:ascii="Times New Roman" w:eastAsiaTheme="majorEastAsia" w:hAnsi="Times New Roman"/>
          <w:b w:val="0"/>
          <w:bCs w:val="0"/>
          <w:sz w:val="20"/>
          <w:szCs w:val="20"/>
        </w:rPr>
        <w:t>ACP</w:t>
      </w:r>
      <w:r w:rsidR="003F67E5" w:rsidRPr="00B40EF7">
        <w:rPr>
          <w:rFonts w:ascii="Times New Roman" w:hAnsi="Times New Roman"/>
          <w:sz w:val="20"/>
          <w:szCs w:val="20"/>
        </w:rPr>
        <w:t xml:space="preserve"> indicates that</w:t>
      </w:r>
      <w:r w:rsidR="003F67E5" w:rsidRPr="00B40EF7">
        <w:rPr>
          <w:rFonts w:ascii="Times New Roman" w:hAnsi="Times New Roman"/>
          <w:b/>
          <w:bCs/>
          <w:sz w:val="20"/>
          <w:szCs w:val="20"/>
        </w:rPr>
        <w:t xml:space="preserve"> </w:t>
      </w:r>
      <w:r w:rsidR="003F67E5" w:rsidRPr="00B40EF7">
        <w:rPr>
          <w:rStyle w:val="Strong"/>
          <w:rFonts w:ascii="Times New Roman" w:eastAsiaTheme="majorEastAsia" w:hAnsi="Times New Roman"/>
          <w:b w:val="0"/>
          <w:bCs w:val="0"/>
          <w:sz w:val="20"/>
          <w:szCs w:val="20"/>
        </w:rPr>
        <w:t>increased oxidative stress is linked with elevated phosphatase activity</w:t>
      </w:r>
      <w:r w:rsidR="003F67E5" w:rsidRPr="00B40EF7">
        <w:rPr>
          <w:rFonts w:ascii="Times New Roman" w:hAnsi="Times New Roman"/>
          <w:b/>
          <w:bCs/>
          <w:sz w:val="20"/>
          <w:szCs w:val="20"/>
        </w:rPr>
        <w:t>.</w:t>
      </w:r>
      <w:r w:rsidR="003F67E5" w:rsidRPr="00B40EF7">
        <w:rPr>
          <w:rFonts w:ascii="Times New Roman" w:hAnsi="Times New Roman"/>
          <w:b/>
          <w:sz w:val="20"/>
          <w:szCs w:val="20"/>
        </w:rPr>
        <w:t xml:space="preserve"> </w:t>
      </w:r>
      <w:r w:rsidR="003F67E5" w:rsidRPr="00B40EF7">
        <w:rPr>
          <w:rFonts w:ascii="Times New Roman" w:hAnsi="Times New Roman"/>
          <w:sz w:val="20"/>
          <w:szCs w:val="20"/>
        </w:rPr>
        <w:t xml:space="preserve">As MDA levels rise due to lipid peroxidation, ALP and ACP likely respond to </w:t>
      </w:r>
      <w:r w:rsidR="003F67E5" w:rsidRPr="00B40EF7">
        <w:rPr>
          <w:rStyle w:val="Strong"/>
          <w:rFonts w:ascii="Times New Roman" w:eastAsiaTheme="majorEastAsia" w:hAnsi="Times New Roman"/>
          <w:b w:val="0"/>
          <w:bCs w:val="0"/>
          <w:sz w:val="20"/>
          <w:szCs w:val="20"/>
        </w:rPr>
        <w:t>membrane damage and cellular stress</w:t>
      </w:r>
      <w:r w:rsidR="003F67E5" w:rsidRPr="00B40EF7">
        <w:rPr>
          <w:rFonts w:ascii="Times New Roman" w:hAnsi="Times New Roman"/>
          <w:sz w:val="20"/>
          <w:szCs w:val="20"/>
        </w:rPr>
        <w:t xml:space="preserve">, possibly as part of a tissue repair or </w:t>
      </w:r>
      <w:proofErr w:type="spellStart"/>
      <w:r w:rsidR="003F67E5" w:rsidRPr="00B40EF7">
        <w:rPr>
          <w:rFonts w:ascii="Times New Roman" w:hAnsi="Times New Roman"/>
          <w:sz w:val="20"/>
          <w:szCs w:val="20"/>
        </w:rPr>
        <w:t>remodelling</w:t>
      </w:r>
      <w:proofErr w:type="spellEnd"/>
      <w:r w:rsidR="003F67E5" w:rsidRPr="00B40EF7">
        <w:rPr>
          <w:rFonts w:ascii="Times New Roman" w:hAnsi="Times New Roman"/>
          <w:sz w:val="20"/>
          <w:szCs w:val="20"/>
        </w:rPr>
        <w:t xml:space="preserve"> mechanism.</w:t>
      </w:r>
      <w:r w:rsidR="003F67E5" w:rsidRPr="00B40EF7">
        <w:rPr>
          <w:rFonts w:ascii="Times New Roman" w:hAnsi="Times New Roman"/>
          <w:b/>
          <w:sz w:val="20"/>
          <w:szCs w:val="20"/>
        </w:rPr>
        <w:t xml:space="preserve"> </w:t>
      </w:r>
      <w:r w:rsidR="003F67E5" w:rsidRPr="00B40EF7">
        <w:rPr>
          <w:rFonts w:ascii="Times New Roman" w:hAnsi="Times New Roman"/>
          <w:sz w:val="20"/>
          <w:szCs w:val="20"/>
        </w:rPr>
        <w:t>These results suggest that</w:t>
      </w:r>
      <w:r w:rsidR="003F67E5" w:rsidRPr="00B40EF7">
        <w:rPr>
          <w:rFonts w:ascii="Times New Roman" w:hAnsi="Times New Roman"/>
          <w:b/>
          <w:sz w:val="20"/>
          <w:szCs w:val="20"/>
        </w:rPr>
        <w:t xml:space="preserve"> </w:t>
      </w:r>
      <w:r w:rsidR="003F67E5" w:rsidRPr="00B40EF7">
        <w:rPr>
          <w:rStyle w:val="Strong"/>
          <w:rFonts w:ascii="Times New Roman" w:eastAsiaTheme="majorEastAsia" w:hAnsi="Times New Roman"/>
          <w:b w:val="0"/>
          <w:bCs w:val="0"/>
          <w:sz w:val="20"/>
          <w:szCs w:val="20"/>
        </w:rPr>
        <w:t>ALP and ACP may serve as secondary stress markers</w:t>
      </w:r>
      <w:r w:rsidR="003F67E5" w:rsidRPr="00B40EF7">
        <w:rPr>
          <w:rFonts w:ascii="Times New Roman" w:hAnsi="Times New Roman"/>
          <w:sz w:val="20"/>
          <w:szCs w:val="20"/>
        </w:rPr>
        <w:t xml:space="preserve"> triggered by ROS-induced membrane instability.</w:t>
      </w:r>
      <w:r w:rsidR="002A3A4A" w:rsidRPr="00B40EF7">
        <w:rPr>
          <w:rFonts w:ascii="Times New Roman" w:hAnsi="Times New Roman"/>
          <w:sz w:val="20"/>
          <w:szCs w:val="20"/>
        </w:rPr>
        <w:t xml:space="preserve"> </w:t>
      </w:r>
      <w:r w:rsidR="003F67E5" w:rsidRPr="00B40EF7">
        <w:rPr>
          <w:rFonts w:ascii="Times New Roman" w:hAnsi="Times New Roman"/>
          <w:sz w:val="20"/>
          <w:szCs w:val="20"/>
        </w:rPr>
        <w:t xml:space="preserve">The significant positive correlation between </w:t>
      </w:r>
      <w:proofErr w:type="spellStart"/>
      <w:r w:rsidR="003F67E5" w:rsidRPr="00B40EF7">
        <w:rPr>
          <w:rStyle w:val="Strong"/>
          <w:rFonts w:ascii="Times New Roman" w:eastAsiaTheme="majorEastAsia" w:hAnsi="Times New Roman"/>
          <w:b w:val="0"/>
          <w:bCs w:val="0"/>
          <w:sz w:val="20"/>
          <w:szCs w:val="20"/>
        </w:rPr>
        <w:t>AChE</w:t>
      </w:r>
      <w:proofErr w:type="spellEnd"/>
      <w:r w:rsidR="003F67E5" w:rsidRPr="00B40EF7">
        <w:rPr>
          <w:rStyle w:val="Strong"/>
          <w:rFonts w:ascii="Times New Roman" w:eastAsiaTheme="majorEastAsia" w:hAnsi="Times New Roman"/>
          <w:b w:val="0"/>
          <w:bCs w:val="0"/>
          <w:sz w:val="20"/>
          <w:szCs w:val="20"/>
        </w:rPr>
        <w:t xml:space="preserve"> and SOD/CAT</w:t>
      </w:r>
      <w:r w:rsidR="003F67E5" w:rsidRPr="00B40EF7">
        <w:rPr>
          <w:rFonts w:ascii="Times New Roman" w:hAnsi="Times New Roman"/>
          <w:sz w:val="20"/>
          <w:szCs w:val="20"/>
        </w:rPr>
        <w:t xml:space="preserve"> indicates a </w:t>
      </w:r>
      <w:r w:rsidR="003F67E5" w:rsidRPr="00B40EF7">
        <w:rPr>
          <w:rStyle w:val="Strong"/>
          <w:rFonts w:ascii="Times New Roman" w:eastAsiaTheme="majorEastAsia" w:hAnsi="Times New Roman"/>
          <w:b w:val="0"/>
          <w:bCs w:val="0"/>
          <w:sz w:val="20"/>
          <w:szCs w:val="20"/>
        </w:rPr>
        <w:t>neuroprotective relationship</w:t>
      </w:r>
      <w:r w:rsidR="003F67E5" w:rsidRPr="00B40EF7">
        <w:rPr>
          <w:rFonts w:ascii="Times New Roman" w:hAnsi="Times New Roman"/>
          <w:sz w:val="20"/>
          <w:szCs w:val="20"/>
        </w:rPr>
        <w:t xml:space="preserve">, where the nervous system increases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activity alongside antioxidant defenses to maintain neurotransmission under </w:t>
      </w:r>
      <w:proofErr w:type="spellStart"/>
      <w:r w:rsidR="003F67E5" w:rsidRPr="00B40EF7">
        <w:rPr>
          <w:rFonts w:ascii="Times New Roman" w:hAnsi="Times New Roman"/>
          <w:sz w:val="20"/>
          <w:szCs w:val="20"/>
        </w:rPr>
        <w:t>stress.This</w:t>
      </w:r>
      <w:proofErr w:type="spellEnd"/>
      <w:r w:rsidR="003F67E5" w:rsidRPr="00B40EF7">
        <w:rPr>
          <w:rFonts w:ascii="Times New Roman" w:hAnsi="Times New Roman"/>
          <w:sz w:val="20"/>
          <w:szCs w:val="20"/>
        </w:rPr>
        <w:t xml:space="preserve"> suggests that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is not only a neurotoxicity marker but also </w:t>
      </w:r>
      <w:r w:rsidR="003F67E5" w:rsidRPr="00B40EF7">
        <w:rPr>
          <w:rFonts w:ascii="Times New Roman" w:hAnsi="Times New Roman"/>
          <w:sz w:val="20"/>
          <w:szCs w:val="20"/>
        </w:rPr>
        <w:lastRenderedPageBreak/>
        <w:t xml:space="preserve">may reflect </w:t>
      </w:r>
      <w:r w:rsidR="003F67E5" w:rsidRPr="00B40EF7">
        <w:rPr>
          <w:rStyle w:val="Strong"/>
          <w:rFonts w:ascii="Times New Roman" w:eastAsiaTheme="majorEastAsia" w:hAnsi="Times New Roman"/>
          <w:b w:val="0"/>
          <w:bCs w:val="0"/>
          <w:sz w:val="20"/>
          <w:szCs w:val="20"/>
        </w:rPr>
        <w:t>adaptive neural responses</w:t>
      </w:r>
      <w:r w:rsidR="003F67E5" w:rsidRPr="00B40EF7">
        <w:rPr>
          <w:rFonts w:ascii="Times New Roman" w:hAnsi="Times New Roman"/>
          <w:b/>
          <w:bCs/>
          <w:sz w:val="20"/>
          <w:szCs w:val="20"/>
        </w:rPr>
        <w:t xml:space="preserve"> </w:t>
      </w:r>
      <w:r w:rsidR="003F67E5" w:rsidRPr="00B40EF7">
        <w:rPr>
          <w:rFonts w:ascii="Times New Roman" w:hAnsi="Times New Roman"/>
          <w:sz w:val="20"/>
          <w:szCs w:val="20"/>
        </w:rPr>
        <w:t>in early or moderate thermal stress.</w:t>
      </w:r>
      <w:r w:rsidR="002A3A4A" w:rsidRPr="00B40EF7">
        <w:rPr>
          <w:rFonts w:ascii="Times New Roman" w:hAnsi="Times New Roman"/>
          <w:sz w:val="20"/>
          <w:szCs w:val="20"/>
        </w:rPr>
        <w:t xml:space="preserve"> </w:t>
      </w:r>
      <w:r w:rsidRPr="00B40EF7">
        <w:rPr>
          <w:rFonts w:ascii="Times New Roman" w:hAnsi="Times New Roman"/>
          <w:sz w:val="20"/>
          <w:szCs w:val="20"/>
        </w:rPr>
        <w:t>β-Amylase showed a moderate to strong positive correlation with both GSH and MDA, indicating a link between energy metabolism and oxidative status. This may reflect increased glycogen breakdown to meet energy demands, which in turn could exacerbate ROS generation through elevated metabolic activity.</w:t>
      </w:r>
    </w:p>
    <w:p w14:paraId="634D936D" w14:textId="4061FFEE" w:rsidR="003F67E5" w:rsidRPr="00B40EF7" w:rsidRDefault="003F67E5" w:rsidP="00B40EF7">
      <w:pPr>
        <w:suppressAutoHyphens w:val="0"/>
        <w:spacing w:after="160" w:line="480" w:lineRule="auto"/>
        <w:rPr>
          <w:rFonts w:ascii="Times New Roman" w:hAnsi="Times New Roman"/>
          <w:sz w:val="20"/>
          <w:szCs w:val="20"/>
        </w:rPr>
      </w:pPr>
      <w:r w:rsidRPr="00B40EF7">
        <w:rPr>
          <w:rFonts w:ascii="Times New Roman" w:hAnsi="Times New Roman"/>
          <w:b/>
          <w:bCs/>
          <w:sz w:val="20"/>
          <w:szCs w:val="20"/>
        </w:rPr>
        <w:t>Discussion</w:t>
      </w:r>
    </w:p>
    <w:p w14:paraId="0C525C9A" w14:textId="2AE37888" w:rsidR="003F67E5" w:rsidRPr="00B40EF7" w:rsidRDefault="003F67E5" w:rsidP="00B40EF7">
      <w:pPr>
        <w:pStyle w:val="NormalWeb"/>
        <w:spacing w:line="480" w:lineRule="auto"/>
        <w:jc w:val="both"/>
        <w:rPr>
          <w:sz w:val="20"/>
          <w:szCs w:val="20"/>
        </w:rPr>
      </w:pPr>
      <w:r w:rsidRPr="00B40EF7">
        <w:rPr>
          <w:sz w:val="20"/>
          <w:szCs w:val="20"/>
        </w:rPr>
        <w:t xml:space="preserve">Thermal stress is a significant environmental factor affecting the physiological and biochemical balance in ectothermic aquatic organisms such as </w:t>
      </w:r>
      <w:r w:rsidRPr="00B40EF7">
        <w:rPr>
          <w:rStyle w:val="Emphasis"/>
          <w:rFonts w:eastAsiaTheme="majorEastAsia"/>
          <w:sz w:val="20"/>
          <w:szCs w:val="20"/>
        </w:rPr>
        <w:t>Danio rerio</w:t>
      </w:r>
      <w:r w:rsidRPr="00B40EF7">
        <w:rPr>
          <w:sz w:val="20"/>
          <w:szCs w:val="20"/>
        </w:rPr>
        <w:t>. The present study explored the effects of elevated temperature (32°C and 38°C) on various biochemical markers, including antioxidant enzymes (SOD, CAT, GSH), lipid peroxidation (MDA), metabolic enzymes (ALP, ACP, β-amylase), and the neurotoxicological marker acetylcholinesterase (</w:t>
      </w:r>
      <w:proofErr w:type="spellStart"/>
      <w:r w:rsidRPr="00B40EF7">
        <w:rPr>
          <w:sz w:val="20"/>
          <w:szCs w:val="20"/>
        </w:rPr>
        <w:t>AChE</w:t>
      </w:r>
      <w:proofErr w:type="spellEnd"/>
      <w:r w:rsidRPr="00B40EF7">
        <w:rPr>
          <w:sz w:val="20"/>
          <w:szCs w:val="20"/>
        </w:rPr>
        <w:t>). The findings indicate a coordinated but variable stress response among different biochemical systems in zebrafish, reflective of their adaptive physiological mechanisms.</w:t>
      </w:r>
      <w:r w:rsidR="00D82156" w:rsidRPr="00B40EF7">
        <w:rPr>
          <w:sz w:val="20"/>
          <w:szCs w:val="20"/>
        </w:rPr>
        <w:t xml:space="preserve"> </w:t>
      </w:r>
      <w:r w:rsidRPr="00B40EF7">
        <w:rPr>
          <w:sz w:val="20"/>
          <w:szCs w:val="20"/>
        </w:rPr>
        <w:t xml:space="preserve">The activity of </w:t>
      </w:r>
      <w:r w:rsidRPr="00B40EF7">
        <w:rPr>
          <w:rStyle w:val="Strong"/>
          <w:rFonts w:eastAsiaTheme="majorEastAsia"/>
          <w:b w:val="0"/>
          <w:bCs w:val="0"/>
          <w:sz w:val="20"/>
          <w:szCs w:val="20"/>
        </w:rPr>
        <w:t>superoxide dismutase (SOD)</w:t>
      </w:r>
      <w:r w:rsidRPr="00B40EF7">
        <w:rPr>
          <w:sz w:val="20"/>
          <w:szCs w:val="20"/>
        </w:rPr>
        <w:t xml:space="preserve"> showed a significant increase under both temperature conditions, indicating an upregulation of the primary antioxidant </w:t>
      </w:r>
      <w:proofErr w:type="spellStart"/>
      <w:r w:rsidRPr="00B40EF7">
        <w:rPr>
          <w:sz w:val="20"/>
          <w:szCs w:val="20"/>
        </w:rPr>
        <w:t>defense</w:t>
      </w:r>
      <w:proofErr w:type="spellEnd"/>
      <w:r w:rsidRPr="00B40EF7">
        <w:rPr>
          <w:sz w:val="20"/>
          <w:szCs w:val="20"/>
        </w:rPr>
        <w:t xml:space="preserve"> mechanism</w:t>
      </w:r>
      <w:r w:rsidR="00885BDD" w:rsidRPr="00B40EF7">
        <w:rPr>
          <w:sz w:val="20"/>
          <w:szCs w:val="20"/>
        </w:rPr>
        <w:t xml:space="preserve"> (</w:t>
      </w:r>
      <w:r w:rsidR="00237626" w:rsidRPr="00B40EF7">
        <w:rPr>
          <w:sz w:val="20"/>
          <w:szCs w:val="20"/>
        </w:rPr>
        <w:t>Yu et al., 2017)</w:t>
      </w:r>
      <w:r w:rsidRPr="00B40EF7">
        <w:rPr>
          <w:sz w:val="20"/>
          <w:szCs w:val="20"/>
        </w:rPr>
        <w:t xml:space="preserve">. SOD </w:t>
      </w:r>
      <w:proofErr w:type="spellStart"/>
      <w:r w:rsidRPr="00B40EF7">
        <w:rPr>
          <w:sz w:val="20"/>
          <w:szCs w:val="20"/>
        </w:rPr>
        <w:t>catalyzes</w:t>
      </w:r>
      <w:proofErr w:type="spellEnd"/>
      <w:r w:rsidRPr="00B40EF7">
        <w:rPr>
          <w:sz w:val="20"/>
          <w:szCs w:val="20"/>
        </w:rPr>
        <w:t xml:space="preserve"> the dismutation of superoxide radicals into hydrogen peroxide, which is subsequently neutralized by </w:t>
      </w:r>
      <w:r w:rsidRPr="00B40EF7">
        <w:rPr>
          <w:rStyle w:val="Strong"/>
          <w:rFonts w:eastAsiaTheme="majorEastAsia"/>
          <w:b w:val="0"/>
          <w:bCs w:val="0"/>
          <w:sz w:val="20"/>
          <w:szCs w:val="20"/>
        </w:rPr>
        <w:t>catalase (CAT)</w:t>
      </w:r>
      <w:r w:rsidRPr="00B40EF7">
        <w:rPr>
          <w:b/>
          <w:bCs/>
          <w:sz w:val="20"/>
          <w:szCs w:val="20"/>
        </w:rPr>
        <w:t>.</w:t>
      </w:r>
      <w:r w:rsidRPr="00B40EF7">
        <w:rPr>
          <w:sz w:val="20"/>
          <w:szCs w:val="20"/>
        </w:rPr>
        <w:t xml:space="preserve"> In the current study, CAT activity also exhibited a strong positive response, with a </w:t>
      </w:r>
      <w:r w:rsidRPr="00B40EF7">
        <w:rPr>
          <w:rStyle w:val="Strong"/>
          <w:rFonts w:eastAsiaTheme="majorEastAsia"/>
          <w:b w:val="0"/>
          <w:bCs w:val="0"/>
          <w:sz w:val="20"/>
          <w:szCs w:val="20"/>
        </w:rPr>
        <w:t>1.97-fold increase at 32°C</w:t>
      </w:r>
      <w:r w:rsidRPr="00B40EF7">
        <w:rPr>
          <w:sz w:val="20"/>
          <w:szCs w:val="20"/>
        </w:rPr>
        <w:t xml:space="preserve"> and a </w:t>
      </w:r>
      <w:r w:rsidRPr="00B40EF7">
        <w:rPr>
          <w:rStyle w:val="Strong"/>
          <w:rFonts w:eastAsiaTheme="majorEastAsia"/>
          <w:b w:val="0"/>
          <w:bCs w:val="0"/>
          <w:sz w:val="20"/>
          <w:szCs w:val="20"/>
        </w:rPr>
        <w:t>2.41-fold increase at 38°C</w:t>
      </w:r>
      <w:r w:rsidRPr="00B40EF7">
        <w:rPr>
          <w:b/>
          <w:bCs/>
          <w:sz w:val="20"/>
          <w:szCs w:val="20"/>
        </w:rPr>
        <w:t>,</w:t>
      </w:r>
      <w:r w:rsidRPr="00B40EF7">
        <w:rPr>
          <w:sz w:val="20"/>
          <w:szCs w:val="20"/>
        </w:rPr>
        <w:t xml:space="preserve"> demonstrating an enhanced enzymatic ability to detoxify hydrogen peroxide generated during oxidative stress. This synergistic rise in SOD and CAT highlights a well-coordinated antioxidant response to thermal challenge</w:t>
      </w:r>
      <w:r w:rsidR="0024018F" w:rsidRPr="00B40EF7">
        <w:rPr>
          <w:sz w:val="20"/>
          <w:szCs w:val="20"/>
        </w:rPr>
        <w:t xml:space="preserve"> (</w:t>
      </w:r>
      <w:proofErr w:type="spellStart"/>
      <w:r w:rsidR="0024018F" w:rsidRPr="00B40EF7">
        <w:rPr>
          <w:sz w:val="20"/>
          <w:szCs w:val="20"/>
        </w:rPr>
        <w:t>Okogwu</w:t>
      </w:r>
      <w:proofErr w:type="spellEnd"/>
      <w:r w:rsidR="0024018F" w:rsidRPr="00B40EF7">
        <w:rPr>
          <w:sz w:val="20"/>
          <w:szCs w:val="20"/>
        </w:rPr>
        <w:t xml:space="preserve"> et al., 2014)</w:t>
      </w:r>
      <w:r w:rsidRPr="00B40EF7">
        <w:rPr>
          <w:sz w:val="20"/>
          <w:szCs w:val="20"/>
        </w:rPr>
        <w:t>.</w:t>
      </w:r>
      <w:r w:rsidR="00D82156" w:rsidRPr="00B40EF7">
        <w:rPr>
          <w:sz w:val="20"/>
          <w:szCs w:val="20"/>
        </w:rPr>
        <w:t xml:space="preserve"> </w:t>
      </w:r>
      <w:r w:rsidRPr="00B40EF7">
        <w:rPr>
          <w:sz w:val="20"/>
          <w:szCs w:val="20"/>
        </w:rPr>
        <w:t xml:space="preserve">Similarly, </w:t>
      </w:r>
      <w:r w:rsidRPr="00B40EF7">
        <w:rPr>
          <w:rStyle w:val="Strong"/>
          <w:rFonts w:eastAsiaTheme="majorEastAsia"/>
          <w:b w:val="0"/>
          <w:bCs w:val="0"/>
          <w:sz w:val="20"/>
          <w:szCs w:val="20"/>
        </w:rPr>
        <w:t>reduced glutathione (GSH)</w:t>
      </w:r>
      <w:r w:rsidRPr="00B40EF7">
        <w:rPr>
          <w:b/>
          <w:bCs/>
          <w:sz w:val="20"/>
          <w:szCs w:val="20"/>
        </w:rPr>
        <w:t xml:space="preserve"> </w:t>
      </w:r>
      <w:r w:rsidRPr="00B40EF7">
        <w:rPr>
          <w:sz w:val="20"/>
          <w:szCs w:val="20"/>
        </w:rPr>
        <w:t>levels were elevated (</w:t>
      </w:r>
      <w:r w:rsidRPr="00B40EF7">
        <w:rPr>
          <w:rStyle w:val="Strong"/>
          <w:rFonts w:eastAsiaTheme="majorEastAsia"/>
          <w:b w:val="0"/>
          <w:bCs w:val="0"/>
          <w:sz w:val="20"/>
          <w:szCs w:val="20"/>
        </w:rPr>
        <w:t>1.97-fold at 32°C</w:t>
      </w:r>
      <w:r w:rsidRPr="00B40EF7">
        <w:rPr>
          <w:b/>
          <w:sz w:val="20"/>
          <w:szCs w:val="20"/>
        </w:rPr>
        <w:t xml:space="preserve"> </w:t>
      </w:r>
      <w:r w:rsidRPr="00B40EF7">
        <w:rPr>
          <w:sz w:val="20"/>
          <w:szCs w:val="20"/>
        </w:rPr>
        <w:t>and</w:t>
      </w:r>
      <w:r w:rsidRPr="00B40EF7">
        <w:rPr>
          <w:b/>
          <w:sz w:val="20"/>
          <w:szCs w:val="20"/>
        </w:rPr>
        <w:t xml:space="preserve"> </w:t>
      </w:r>
      <w:r w:rsidRPr="00B40EF7">
        <w:rPr>
          <w:rStyle w:val="Strong"/>
          <w:rFonts w:eastAsiaTheme="majorEastAsia"/>
          <w:b w:val="0"/>
          <w:bCs w:val="0"/>
          <w:sz w:val="20"/>
          <w:szCs w:val="20"/>
        </w:rPr>
        <w:t>2.02-fold at 38°C</w:t>
      </w:r>
      <w:r w:rsidRPr="00B40EF7">
        <w:rPr>
          <w:sz w:val="20"/>
          <w:szCs w:val="20"/>
        </w:rPr>
        <w:t xml:space="preserve">), suggesting reinforcement of the non-enzymatic antioxidant </w:t>
      </w:r>
      <w:proofErr w:type="spellStart"/>
      <w:r w:rsidRPr="00B40EF7">
        <w:rPr>
          <w:sz w:val="20"/>
          <w:szCs w:val="20"/>
        </w:rPr>
        <w:t>defense</w:t>
      </w:r>
      <w:proofErr w:type="spellEnd"/>
      <w:r w:rsidRPr="00B40EF7">
        <w:rPr>
          <w:sz w:val="20"/>
          <w:szCs w:val="20"/>
        </w:rPr>
        <w:t xml:space="preserve"> system</w:t>
      </w:r>
      <w:r w:rsidR="00FB0C16" w:rsidRPr="00B40EF7">
        <w:rPr>
          <w:sz w:val="20"/>
          <w:szCs w:val="20"/>
        </w:rPr>
        <w:t xml:space="preserve"> (Li et al., 2020)</w:t>
      </w:r>
      <w:r w:rsidRPr="00B40EF7">
        <w:rPr>
          <w:sz w:val="20"/>
          <w:szCs w:val="20"/>
        </w:rPr>
        <w:t xml:space="preserve">. GSH plays a critical role in ROS scavenging and maintaining redox balance, and its upregulation is consistent with heightened oxidative load. Together, the increased activities of SOD, CAT, and GSH underline the organism’s effort to maintain redox homeostasis under thermal stress. Despite the activation of antioxidant defences, </w:t>
      </w:r>
      <w:r w:rsidRPr="00B40EF7">
        <w:rPr>
          <w:rStyle w:val="Strong"/>
          <w:rFonts w:eastAsiaTheme="majorEastAsia"/>
          <w:b w:val="0"/>
          <w:bCs w:val="0"/>
          <w:sz w:val="20"/>
          <w:szCs w:val="20"/>
        </w:rPr>
        <w:t>malondialdehyde (MDA)</w:t>
      </w:r>
      <w:r w:rsidRPr="00B40EF7">
        <w:rPr>
          <w:b/>
          <w:bCs/>
          <w:sz w:val="20"/>
          <w:szCs w:val="20"/>
        </w:rPr>
        <w:t xml:space="preserve"> </w:t>
      </w:r>
      <w:r w:rsidRPr="00B40EF7">
        <w:rPr>
          <w:sz w:val="20"/>
          <w:szCs w:val="20"/>
        </w:rPr>
        <w:t>levels an index of lipid peroxidation were significantly elevated in all heat-exposed groups</w:t>
      </w:r>
      <w:r w:rsidR="00475147" w:rsidRPr="00B40EF7">
        <w:rPr>
          <w:sz w:val="20"/>
          <w:szCs w:val="20"/>
        </w:rPr>
        <w:t xml:space="preserve"> (</w:t>
      </w:r>
      <w:proofErr w:type="spellStart"/>
      <w:r w:rsidR="00475147" w:rsidRPr="00B40EF7">
        <w:rPr>
          <w:sz w:val="20"/>
          <w:szCs w:val="20"/>
        </w:rPr>
        <w:t>Forg</w:t>
      </w:r>
      <w:r w:rsidR="00A60AA2" w:rsidRPr="00B40EF7">
        <w:rPr>
          <w:sz w:val="20"/>
          <w:szCs w:val="20"/>
        </w:rPr>
        <w:t>a</w:t>
      </w:r>
      <w:r w:rsidR="00475147" w:rsidRPr="00B40EF7">
        <w:rPr>
          <w:sz w:val="20"/>
          <w:szCs w:val="20"/>
        </w:rPr>
        <w:t>ti</w:t>
      </w:r>
      <w:proofErr w:type="spellEnd"/>
      <w:r w:rsidR="00475147" w:rsidRPr="00B40EF7">
        <w:rPr>
          <w:sz w:val="20"/>
          <w:szCs w:val="20"/>
        </w:rPr>
        <w:t xml:space="preserve"> </w:t>
      </w:r>
      <w:r w:rsidR="00A60AA2" w:rsidRPr="00B40EF7">
        <w:rPr>
          <w:sz w:val="20"/>
          <w:szCs w:val="20"/>
        </w:rPr>
        <w:t>et al., 2017)</w:t>
      </w:r>
      <w:r w:rsidRPr="00B40EF7">
        <w:rPr>
          <w:sz w:val="20"/>
          <w:szCs w:val="20"/>
        </w:rPr>
        <w:t>. This indicates that while antioxidant enzymes were upregulated, they were not fully able to neutralize all ROS, leading to oxidative damage of membrane lipids</w:t>
      </w:r>
      <w:r w:rsidR="00816280" w:rsidRPr="00B40EF7">
        <w:rPr>
          <w:sz w:val="20"/>
          <w:szCs w:val="20"/>
        </w:rPr>
        <w:t xml:space="preserve"> (</w:t>
      </w:r>
      <w:proofErr w:type="spellStart"/>
      <w:r w:rsidR="00816280" w:rsidRPr="00B40EF7">
        <w:rPr>
          <w:sz w:val="20"/>
          <w:szCs w:val="20"/>
        </w:rPr>
        <w:t>Hoseinifer</w:t>
      </w:r>
      <w:proofErr w:type="spellEnd"/>
      <w:r w:rsidR="00816280" w:rsidRPr="00B40EF7">
        <w:rPr>
          <w:sz w:val="20"/>
          <w:szCs w:val="20"/>
        </w:rPr>
        <w:t xml:space="preserve"> et al., </w:t>
      </w:r>
      <w:r w:rsidR="007F6433" w:rsidRPr="00B40EF7">
        <w:rPr>
          <w:sz w:val="20"/>
          <w:szCs w:val="20"/>
        </w:rPr>
        <w:t>2020)</w:t>
      </w:r>
      <w:r w:rsidRPr="00B40EF7">
        <w:rPr>
          <w:sz w:val="20"/>
          <w:szCs w:val="20"/>
        </w:rPr>
        <w:t xml:space="preserve">. The elevated MDA content suggests that </w:t>
      </w:r>
      <w:r w:rsidRPr="00B40EF7">
        <w:rPr>
          <w:rStyle w:val="Strong"/>
          <w:rFonts w:eastAsiaTheme="majorEastAsia"/>
          <w:b w:val="0"/>
          <w:bCs w:val="0"/>
          <w:sz w:val="20"/>
          <w:szCs w:val="20"/>
        </w:rPr>
        <w:t>cell membrane integrity was compromised</w:t>
      </w:r>
      <w:r w:rsidRPr="00B40EF7">
        <w:rPr>
          <w:sz w:val="20"/>
          <w:szCs w:val="20"/>
        </w:rPr>
        <w:t>, especially at higher temperatures, reinforcing the notion of oxidative damage despite the antioxidant response</w:t>
      </w:r>
      <w:r w:rsidR="00481651" w:rsidRPr="00B40EF7">
        <w:rPr>
          <w:sz w:val="20"/>
          <w:szCs w:val="20"/>
        </w:rPr>
        <w:t xml:space="preserve"> (Chowdhury et al., </w:t>
      </w:r>
      <w:r w:rsidR="00EC5FF7" w:rsidRPr="00B40EF7">
        <w:rPr>
          <w:sz w:val="20"/>
          <w:szCs w:val="20"/>
        </w:rPr>
        <w:t>2020)</w:t>
      </w:r>
      <w:r w:rsidR="00B2645A" w:rsidRPr="00B40EF7">
        <w:rPr>
          <w:sz w:val="20"/>
          <w:szCs w:val="20"/>
        </w:rPr>
        <w:t xml:space="preserve"> (</w:t>
      </w:r>
      <w:r w:rsidR="00B2645A" w:rsidRPr="00B40EF7">
        <w:rPr>
          <w:b/>
          <w:bCs/>
          <w:sz w:val="20"/>
          <w:szCs w:val="20"/>
        </w:rPr>
        <w:t>Fig. 11</w:t>
      </w:r>
      <w:r w:rsidR="00B2645A" w:rsidRPr="00B40EF7">
        <w:rPr>
          <w:sz w:val="20"/>
          <w:szCs w:val="20"/>
        </w:rPr>
        <w:t>)</w:t>
      </w:r>
      <w:r w:rsidRPr="00B40EF7">
        <w:rPr>
          <w:sz w:val="20"/>
          <w:szCs w:val="20"/>
        </w:rPr>
        <w:t>.</w:t>
      </w:r>
      <w:r w:rsidR="00D82156" w:rsidRPr="00B40EF7">
        <w:rPr>
          <w:sz w:val="20"/>
          <w:szCs w:val="20"/>
        </w:rPr>
        <w:t xml:space="preserve"> </w:t>
      </w:r>
      <w:r w:rsidRPr="00B40EF7">
        <w:rPr>
          <w:sz w:val="20"/>
          <w:szCs w:val="20"/>
        </w:rPr>
        <w:t>Thermal stress also altered the activity of key metabolic enzymes</w:t>
      </w:r>
      <w:r w:rsidR="00223568" w:rsidRPr="00B40EF7">
        <w:rPr>
          <w:sz w:val="20"/>
          <w:szCs w:val="20"/>
        </w:rPr>
        <w:t xml:space="preserve"> (Yang et al., 2020)</w:t>
      </w:r>
      <w:r w:rsidRPr="00B40EF7">
        <w:rPr>
          <w:sz w:val="20"/>
          <w:szCs w:val="20"/>
        </w:rPr>
        <w:t xml:space="preserve">. </w:t>
      </w:r>
      <w:r w:rsidRPr="00B40EF7">
        <w:rPr>
          <w:rStyle w:val="Strong"/>
          <w:rFonts w:eastAsiaTheme="majorEastAsia"/>
          <w:b w:val="0"/>
          <w:bCs w:val="0"/>
          <w:sz w:val="20"/>
          <w:szCs w:val="20"/>
        </w:rPr>
        <w:t>ALP</w:t>
      </w:r>
      <w:r w:rsidRPr="00B40EF7">
        <w:rPr>
          <w:b/>
          <w:bCs/>
          <w:sz w:val="20"/>
          <w:szCs w:val="20"/>
        </w:rPr>
        <w:t xml:space="preserve"> </w:t>
      </w:r>
      <w:r w:rsidRPr="00B40EF7">
        <w:rPr>
          <w:sz w:val="20"/>
          <w:szCs w:val="20"/>
        </w:rPr>
        <w:t xml:space="preserve">activity increased significantly </w:t>
      </w:r>
      <w:r w:rsidRPr="00B40EF7">
        <w:rPr>
          <w:rStyle w:val="Strong"/>
          <w:rFonts w:eastAsiaTheme="majorEastAsia"/>
          <w:b w:val="0"/>
          <w:bCs w:val="0"/>
          <w:sz w:val="20"/>
          <w:szCs w:val="20"/>
        </w:rPr>
        <w:t>1.63-fold at 32°C</w:t>
      </w:r>
      <w:r w:rsidRPr="00B40EF7">
        <w:rPr>
          <w:sz w:val="20"/>
          <w:szCs w:val="20"/>
        </w:rPr>
        <w:t xml:space="preserve"> and </w:t>
      </w:r>
      <w:r w:rsidRPr="00B40EF7">
        <w:rPr>
          <w:rStyle w:val="Strong"/>
          <w:rFonts w:eastAsiaTheme="majorEastAsia"/>
          <w:b w:val="0"/>
          <w:bCs w:val="0"/>
          <w:sz w:val="20"/>
          <w:szCs w:val="20"/>
        </w:rPr>
        <w:t>2.09-fold at 38°C</w:t>
      </w:r>
      <w:r w:rsidRPr="00B40EF7">
        <w:rPr>
          <w:rStyle w:val="Strong"/>
          <w:rFonts w:eastAsiaTheme="majorEastAsia"/>
          <w:sz w:val="20"/>
          <w:szCs w:val="20"/>
        </w:rPr>
        <w:t xml:space="preserve"> </w:t>
      </w:r>
      <w:r w:rsidRPr="00B40EF7">
        <w:rPr>
          <w:sz w:val="20"/>
          <w:szCs w:val="20"/>
        </w:rPr>
        <w:t xml:space="preserve">suggesting enhanced cellular membrane activity, tissue </w:t>
      </w:r>
      <w:r w:rsidRPr="00B40EF7">
        <w:rPr>
          <w:sz w:val="20"/>
          <w:szCs w:val="20"/>
        </w:rPr>
        <w:lastRenderedPageBreak/>
        <w:t xml:space="preserve">remodelling, or stress-induced changes in phosphate metabolism. Similarly, </w:t>
      </w:r>
      <w:r w:rsidRPr="00B40EF7">
        <w:rPr>
          <w:rStyle w:val="Strong"/>
          <w:rFonts w:eastAsiaTheme="majorEastAsia"/>
          <w:b w:val="0"/>
          <w:bCs w:val="0"/>
          <w:sz w:val="20"/>
          <w:szCs w:val="20"/>
        </w:rPr>
        <w:t>ACP</w:t>
      </w:r>
      <w:r w:rsidRPr="00B40EF7">
        <w:rPr>
          <w:sz w:val="20"/>
          <w:szCs w:val="20"/>
        </w:rPr>
        <w:t xml:space="preserve"> activity was elevated </w:t>
      </w:r>
      <w:r w:rsidRPr="00B40EF7">
        <w:rPr>
          <w:rStyle w:val="Strong"/>
          <w:rFonts w:eastAsiaTheme="majorEastAsia"/>
          <w:b w:val="0"/>
          <w:bCs w:val="0"/>
          <w:sz w:val="20"/>
          <w:szCs w:val="20"/>
        </w:rPr>
        <w:t>1.57-fold and 1.66-fold</w:t>
      </w:r>
      <w:r w:rsidRPr="00B40EF7">
        <w:rPr>
          <w:sz w:val="20"/>
          <w:szCs w:val="20"/>
        </w:rPr>
        <w:t xml:space="preserve">, respectively which may reflect increased lysosomal activity and autophagic processes triggered by heat-induced cellular stress. </w:t>
      </w:r>
      <w:r w:rsidRPr="00B40EF7">
        <w:rPr>
          <w:rStyle w:val="Strong"/>
          <w:rFonts w:eastAsiaTheme="majorEastAsia"/>
          <w:b w:val="0"/>
          <w:bCs w:val="0"/>
          <w:sz w:val="20"/>
          <w:szCs w:val="20"/>
        </w:rPr>
        <w:t>β-Amylase</w:t>
      </w:r>
      <w:r w:rsidRPr="00B40EF7">
        <w:rPr>
          <w:rStyle w:val="Strong"/>
          <w:rFonts w:eastAsiaTheme="majorEastAsia"/>
          <w:sz w:val="20"/>
          <w:szCs w:val="20"/>
        </w:rPr>
        <w:t xml:space="preserve"> </w:t>
      </w:r>
      <w:r w:rsidRPr="00B40EF7">
        <w:rPr>
          <w:rStyle w:val="Strong"/>
          <w:rFonts w:eastAsiaTheme="majorEastAsia"/>
          <w:b w:val="0"/>
          <w:bCs w:val="0"/>
          <w:sz w:val="20"/>
          <w:szCs w:val="20"/>
        </w:rPr>
        <w:t>activity</w:t>
      </w:r>
      <w:r w:rsidRPr="00B40EF7">
        <w:rPr>
          <w:sz w:val="20"/>
          <w:szCs w:val="20"/>
        </w:rPr>
        <w:t xml:space="preserve"> showed a rising trend with temperature </w:t>
      </w:r>
      <w:r w:rsidRPr="00B40EF7">
        <w:rPr>
          <w:rStyle w:val="Strong"/>
          <w:rFonts w:eastAsiaTheme="majorEastAsia"/>
          <w:b w:val="0"/>
          <w:bCs w:val="0"/>
          <w:sz w:val="20"/>
          <w:szCs w:val="20"/>
        </w:rPr>
        <w:t>1.20-fold at 32°C</w:t>
      </w:r>
      <w:r w:rsidRPr="00B40EF7">
        <w:rPr>
          <w:sz w:val="20"/>
          <w:szCs w:val="20"/>
        </w:rPr>
        <w:t xml:space="preserve"> and </w:t>
      </w:r>
      <w:r w:rsidRPr="00B40EF7">
        <w:rPr>
          <w:rStyle w:val="Strong"/>
          <w:rFonts w:eastAsiaTheme="majorEastAsia"/>
          <w:b w:val="0"/>
          <w:bCs w:val="0"/>
          <w:sz w:val="20"/>
          <w:szCs w:val="20"/>
        </w:rPr>
        <w:t>1.70-fold at 38°C</w:t>
      </w:r>
      <w:r w:rsidRPr="00B40EF7">
        <w:rPr>
          <w:sz w:val="20"/>
          <w:szCs w:val="20"/>
        </w:rPr>
        <w:t>, indicating enhanced carbohydrate metabolism. This likely reflects increased energy demands for coping with thermal stress. The upregulation of β-amylase suggests that zebrafish may mobilize stored glycogen more rapidly under elevated temperatures to support heightened metabolic activity</w:t>
      </w:r>
      <w:r w:rsidR="00117979" w:rsidRPr="00B40EF7">
        <w:rPr>
          <w:sz w:val="20"/>
          <w:szCs w:val="20"/>
        </w:rPr>
        <w:t xml:space="preserve"> (Webb et al., 2019)</w:t>
      </w:r>
      <w:r w:rsidRPr="00B40EF7">
        <w:rPr>
          <w:sz w:val="20"/>
          <w:szCs w:val="20"/>
        </w:rPr>
        <w:t xml:space="preserve">. </w:t>
      </w:r>
      <w:proofErr w:type="spellStart"/>
      <w:r w:rsidRPr="00B40EF7">
        <w:rPr>
          <w:rStyle w:val="Strong"/>
          <w:rFonts w:eastAsiaTheme="majorEastAsia"/>
          <w:b w:val="0"/>
          <w:bCs w:val="0"/>
          <w:sz w:val="20"/>
          <w:szCs w:val="20"/>
        </w:rPr>
        <w:t>AChE</w:t>
      </w:r>
      <w:proofErr w:type="spellEnd"/>
      <w:r w:rsidRPr="00B40EF7">
        <w:rPr>
          <w:b/>
          <w:bCs/>
          <w:sz w:val="20"/>
          <w:szCs w:val="20"/>
        </w:rPr>
        <w:t xml:space="preserve"> </w:t>
      </w:r>
      <w:r w:rsidRPr="00B40EF7">
        <w:rPr>
          <w:sz w:val="20"/>
          <w:szCs w:val="20"/>
        </w:rPr>
        <w:t xml:space="preserve">activity also increased in a temperature-dependent manner </w:t>
      </w:r>
      <w:r w:rsidRPr="00B40EF7">
        <w:rPr>
          <w:rStyle w:val="Strong"/>
          <w:rFonts w:eastAsiaTheme="majorEastAsia"/>
          <w:b w:val="0"/>
          <w:bCs w:val="0"/>
          <w:sz w:val="20"/>
          <w:szCs w:val="20"/>
        </w:rPr>
        <w:t>1.18-fold at 32°C</w:t>
      </w:r>
      <w:r w:rsidRPr="00B40EF7">
        <w:rPr>
          <w:sz w:val="20"/>
          <w:szCs w:val="20"/>
        </w:rPr>
        <w:t xml:space="preserve"> and </w:t>
      </w:r>
      <w:r w:rsidRPr="00B40EF7">
        <w:rPr>
          <w:rStyle w:val="Strong"/>
          <w:rFonts w:eastAsiaTheme="majorEastAsia"/>
          <w:b w:val="0"/>
          <w:bCs w:val="0"/>
          <w:sz w:val="20"/>
          <w:szCs w:val="20"/>
        </w:rPr>
        <w:t>1.56-fold at 38°C</w:t>
      </w:r>
      <w:r w:rsidRPr="00B40EF7">
        <w:rPr>
          <w:b/>
          <w:bCs/>
          <w:sz w:val="20"/>
          <w:szCs w:val="20"/>
        </w:rPr>
        <w:t>,</w:t>
      </w:r>
      <w:r w:rsidRPr="00B40EF7">
        <w:rPr>
          <w:sz w:val="20"/>
          <w:szCs w:val="20"/>
        </w:rPr>
        <w:t xml:space="preserve"> which may represent an adaptive response to increased neural activity under stress. </w:t>
      </w:r>
      <w:proofErr w:type="spellStart"/>
      <w:r w:rsidRPr="00B40EF7">
        <w:rPr>
          <w:sz w:val="20"/>
          <w:szCs w:val="20"/>
        </w:rPr>
        <w:t>AChE</w:t>
      </w:r>
      <w:proofErr w:type="spellEnd"/>
      <w:r w:rsidRPr="00B40EF7">
        <w:rPr>
          <w:sz w:val="20"/>
          <w:szCs w:val="20"/>
        </w:rPr>
        <w:t xml:space="preserve"> regulates synaptic acetylcholine levels and thus controls neurotransmission; its elevation may be a compensatory mechanism for enhanced cholinergic signalling or mild neurotoxic stress</w:t>
      </w:r>
      <w:r w:rsidR="0024141B" w:rsidRPr="00B40EF7">
        <w:rPr>
          <w:sz w:val="20"/>
          <w:szCs w:val="20"/>
        </w:rPr>
        <w:t xml:space="preserve"> (Yuan et al., 2025)</w:t>
      </w:r>
      <w:r w:rsidRPr="00B40EF7">
        <w:rPr>
          <w:sz w:val="20"/>
          <w:szCs w:val="20"/>
        </w:rPr>
        <w:t xml:space="preserve">. Although often associated with inhibition under toxicant exposure, a moderate increase in </w:t>
      </w:r>
      <w:proofErr w:type="spellStart"/>
      <w:r w:rsidRPr="00B40EF7">
        <w:rPr>
          <w:sz w:val="20"/>
          <w:szCs w:val="20"/>
        </w:rPr>
        <w:t>AChE</w:t>
      </w:r>
      <w:proofErr w:type="spellEnd"/>
      <w:r w:rsidRPr="00B40EF7">
        <w:rPr>
          <w:sz w:val="20"/>
          <w:szCs w:val="20"/>
        </w:rPr>
        <w:t xml:space="preserve"> under thermal stress may also suggest increased neural excitation or metabolic compensation.</w:t>
      </w:r>
      <w:r w:rsidR="00D82156" w:rsidRPr="00B40EF7">
        <w:rPr>
          <w:sz w:val="20"/>
          <w:szCs w:val="20"/>
        </w:rPr>
        <w:t xml:space="preserve"> </w:t>
      </w:r>
      <w:r w:rsidRPr="00B40EF7">
        <w:rPr>
          <w:sz w:val="20"/>
          <w:szCs w:val="20"/>
        </w:rPr>
        <w:t xml:space="preserve">Overall, the results point to a </w:t>
      </w:r>
      <w:r w:rsidRPr="00B40EF7">
        <w:rPr>
          <w:rStyle w:val="Strong"/>
          <w:rFonts w:eastAsiaTheme="majorEastAsia"/>
          <w:b w:val="0"/>
          <w:bCs w:val="0"/>
          <w:sz w:val="20"/>
          <w:szCs w:val="20"/>
        </w:rPr>
        <w:t>complex interplay between stress perception, metabolic compensation, and antioxidant activation</w:t>
      </w:r>
      <w:r w:rsidRPr="00B40EF7">
        <w:rPr>
          <w:b/>
          <w:bCs/>
          <w:sz w:val="20"/>
          <w:szCs w:val="20"/>
        </w:rPr>
        <w:t>.</w:t>
      </w:r>
      <w:r w:rsidRPr="00B40EF7">
        <w:rPr>
          <w:sz w:val="20"/>
          <w:szCs w:val="20"/>
        </w:rPr>
        <w:t xml:space="preserve"> Thermal stress in </w:t>
      </w:r>
      <w:r w:rsidRPr="00B40EF7">
        <w:rPr>
          <w:rStyle w:val="Emphasis"/>
          <w:rFonts w:eastAsiaTheme="majorEastAsia"/>
          <w:sz w:val="20"/>
          <w:szCs w:val="20"/>
        </w:rPr>
        <w:t>Danio rerio</w:t>
      </w:r>
      <w:r w:rsidRPr="00B40EF7">
        <w:rPr>
          <w:sz w:val="20"/>
          <w:szCs w:val="20"/>
        </w:rPr>
        <w:t xml:space="preserve"> activates both enzymatic and non-enzymatic antioxidant systems, elevates metabolic enzyme activities, and induces lipid peroxidation, highlighting cellular strain despite protective responses. The tissue-specific elevations of ALP, ACP, and β-amylase further suggest active involvement of liver and muscle tissues in coping with thermal changes.</w:t>
      </w:r>
      <w:r w:rsidR="00D82156" w:rsidRPr="00B40EF7">
        <w:rPr>
          <w:sz w:val="20"/>
          <w:szCs w:val="20"/>
        </w:rPr>
        <w:t xml:space="preserve"> </w:t>
      </w:r>
      <w:r w:rsidRPr="00B40EF7">
        <w:rPr>
          <w:sz w:val="20"/>
          <w:szCs w:val="20"/>
        </w:rPr>
        <w:t xml:space="preserve">The coordinated increase in SOD, CAT, GSH, and metabolic enzymes indicates an </w:t>
      </w:r>
      <w:r w:rsidRPr="00B40EF7">
        <w:rPr>
          <w:rStyle w:val="Strong"/>
          <w:rFonts w:eastAsiaTheme="majorEastAsia"/>
          <w:b w:val="0"/>
          <w:bCs w:val="0"/>
          <w:sz w:val="20"/>
          <w:szCs w:val="20"/>
        </w:rPr>
        <w:t>adaptive physiological adjustment</w:t>
      </w:r>
      <w:r w:rsidRPr="00B40EF7">
        <w:rPr>
          <w:b/>
          <w:bCs/>
          <w:sz w:val="20"/>
          <w:szCs w:val="20"/>
        </w:rPr>
        <w:t>,</w:t>
      </w:r>
      <w:r w:rsidRPr="00B40EF7">
        <w:rPr>
          <w:sz w:val="20"/>
          <w:szCs w:val="20"/>
        </w:rPr>
        <w:t xml:space="preserve"> while elevated MDA and </w:t>
      </w:r>
      <w:proofErr w:type="spellStart"/>
      <w:r w:rsidRPr="00B40EF7">
        <w:rPr>
          <w:sz w:val="20"/>
          <w:szCs w:val="20"/>
        </w:rPr>
        <w:t>AChE</w:t>
      </w:r>
      <w:proofErr w:type="spellEnd"/>
      <w:r w:rsidRPr="00B40EF7">
        <w:rPr>
          <w:sz w:val="20"/>
          <w:szCs w:val="20"/>
        </w:rPr>
        <w:t xml:space="preserve"> levels serve as early markers of </w:t>
      </w:r>
      <w:r w:rsidRPr="00B40EF7">
        <w:rPr>
          <w:rStyle w:val="Strong"/>
          <w:rFonts w:eastAsiaTheme="majorEastAsia"/>
          <w:b w:val="0"/>
          <w:bCs w:val="0"/>
          <w:sz w:val="20"/>
          <w:szCs w:val="20"/>
        </w:rPr>
        <w:t>oxidative and neuro-metabolic strain</w:t>
      </w:r>
      <w:r w:rsidRPr="00B40EF7">
        <w:rPr>
          <w:sz w:val="20"/>
          <w:szCs w:val="20"/>
        </w:rPr>
        <w:t>. These findings are consistent with previous studies reporting thermal stress-induced ROS generation, antioxidant modulation, and enzyme fluctuation in fish species</w:t>
      </w:r>
      <w:r w:rsidR="004B55C0" w:rsidRPr="00B40EF7">
        <w:rPr>
          <w:sz w:val="20"/>
          <w:szCs w:val="20"/>
        </w:rPr>
        <w:t xml:space="preserve"> (Liu et al., 2024</w:t>
      </w:r>
      <w:r w:rsidR="00173AE5" w:rsidRPr="00B40EF7">
        <w:rPr>
          <w:sz w:val="20"/>
          <w:szCs w:val="20"/>
        </w:rPr>
        <w:t xml:space="preserve">; Zheng et al., </w:t>
      </w:r>
      <w:r w:rsidR="00EC1C41" w:rsidRPr="00B40EF7">
        <w:rPr>
          <w:sz w:val="20"/>
          <w:szCs w:val="20"/>
        </w:rPr>
        <w:t>2019</w:t>
      </w:r>
      <w:r w:rsidR="004B55C0" w:rsidRPr="00B40EF7">
        <w:rPr>
          <w:sz w:val="20"/>
          <w:szCs w:val="20"/>
        </w:rPr>
        <w:t>)</w:t>
      </w:r>
      <w:r w:rsidRPr="00B40EF7">
        <w:rPr>
          <w:sz w:val="20"/>
          <w:szCs w:val="20"/>
        </w:rPr>
        <w:t>.</w:t>
      </w:r>
      <w:r w:rsidR="00D82156" w:rsidRPr="00B40EF7">
        <w:rPr>
          <w:sz w:val="20"/>
          <w:szCs w:val="20"/>
        </w:rPr>
        <w:t xml:space="preserve"> </w:t>
      </w:r>
      <w:r w:rsidRPr="00B40EF7">
        <w:rPr>
          <w:sz w:val="20"/>
          <w:szCs w:val="20"/>
        </w:rPr>
        <w:t xml:space="preserve">The correlation data support the notion that </w:t>
      </w:r>
      <w:r w:rsidRPr="00B40EF7">
        <w:rPr>
          <w:rStyle w:val="Strong"/>
          <w:rFonts w:eastAsiaTheme="majorEastAsia"/>
          <w:b w:val="0"/>
          <w:bCs w:val="0"/>
          <w:sz w:val="20"/>
          <w:szCs w:val="20"/>
        </w:rPr>
        <w:t>thermal stress in</w:t>
      </w:r>
      <w:r w:rsidRPr="00B40EF7">
        <w:rPr>
          <w:rStyle w:val="Strong"/>
          <w:rFonts w:eastAsiaTheme="majorEastAsia"/>
          <w:sz w:val="20"/>
          <w:szCs w:val="20"/>
        </w:rPr>
        <w:t xml:space="preserve"> </w:t>
      </w:r>
      <w:r w:rsidRPr="00B40EF7">
        <w:rPr>
          <w:rStyle w:val="Emphasis"/>
          <w:rFonts w:eastAsiaTheme="majorEastAsia"/>
          <w:bCs/>
          <w:sz w:val="20"/>
          <w:szCs w:val="20"/>
        </w:rPr>
        <w:t>Danio rerio</w:t>
      </w:r>
      <w:r w:rsidRPr="00B40EF7">
        <w:rPr>
          <w:rStyle w:val="Strong"/>
          <w:rFonts w:eastAsiaTheme="majorEastAsia"/>
          <w:sz w:val="20"/>
          <w:szCs w:val="20"/>
        </w:rPr>
        <w:t xml:space="preserve"> </w:t>
      </w:r>
      <w:r w:rsidRPr="00B40EF7">
        <w:rPr>
          <w:rStyle w:val="Strong"/>
          <w:rFonts w:eastAsiaTheme="majorEastAsia"/>
          <w:b w:val="0"/>
          <w:bCs w:val="0"/>
          <w:sz w:val="20"/>
          <w:szCs w:val="20"/>
        </w:rPr>
        <w:t>induces a system-wide biochemical response</w:t>
      </w:r>
      <w:r w:rsidRPr="00B40EF7">
        <w:rPr>
          <w:sz w:val="20"/>
          <w:szCs w:val="20"/>
        </w:rPr>
        <w:t xml:space="preserve">, involving tightly linked pathways of oxidative </w:t>
      </w:r>
      <w:proofErr w:type="spellStart"/>
      <w:r w:rsidRPr="00B40EF7">
        <w:rPr>
          <w:sz w:val="20"/>
          <w:szCs w:val="20"/>
        </w:rPr>
        <w:t>defense</w:t>
      </w:r>
      <w:proofErr w:type="spellEnd"/>
      <w:r w:rsidRPr="00B40EF7">
        <w:rPr>
          <w:sz w:val="20"/>
          <w:szCs w:val="20"/>
        </w:rPr>
        <w:t xml:space="preserve">, membrane integrity, metabolic adjustment, and neural activity. The strong positive associations among antioxidant enzymes confirm the existence of a </w:t>
      </w:r>
      <w:r w:rsidRPr="00B40EF7">
        <w:rPr>
          <w:rStyle w:val="Strong"/>
          <w:rFonts w:eastAsiaTheme="majorEastAsia"/>
          <w:b w:val="0"/>
          <w:bCs w:val="0"/>
          <w:sz w:val="20"/>
          <w:szCs w:val="20"/>
        </w:rPr>
        <w:t xml:space="preserve">well-orchestrated </w:t>
      </w:r>
      <w:proofErr w:type="spellStart"/>
      <w:r w:rsidRPr="00B40EF7">
        <w:rPr>
          <w:rStyle w:val="Strong"/>
          <w:rFonts w:eastAsiaTheme="majorEastAsia"/>
          <w:b w:val="0"/>
          <w:bCs w:val="0"/>
          <w:sz w:val="20"/>
          <w:szCs w:val="20"/>
        </w:rPr>
        <w:t>defense</w:t>
      </w:r>
      <w:proofErr w:type="spellEnd"/>
      <w:r w:rsidRPr="00B40EF7">
        <w:rPr>
          <w:rStyle w:val="Strong"/>
          <w:rFonts w:eastAsiaTheme="majorEastAsia"/>
          <w:b w:val="0"/>
          <w:bCs w:val="0"/>
          <w:sz w:val="20"/>
          <w:szCs w:val="20"/>
        </w:rPr>
        <w:t xml:space="preserve"> mechanism</w:t>
      </w:r>
      <w:r w:rsidRPr="00B40EF7">
        <w:rPr>
          <w:b/>
          <w:sz w:val="20"/>
          <w:szCs w:val="20"/>
        </w:rPr>
        <w:t>,</w:t>
      </w:r>
      <w:r w:rsidRPr="00B40EF7">
        <w:rPr>
          <w:sz w:val="20"/>
          <w:szCs w:val="20"/>
        </w:rPr>
        <w:t xml:space="preserve"> while the relationship of MDA with phosphatases emphasizes their </w:t>
      </w:r>
      <w:r w:rsidRPr="00B40EF7">
        <w:rPr>
          <w:rStyle w:val="Strong"/>
          <w:rFonts w:eastAsiaTheme="majorEastAsia"/>
          <w:b w:val="0"/>
          <w:bCs w:val="0"/>
          <w:sz w:val="20"/>
          <w:szCs w:val="20"/>
        </w:rPr>
        <w:t>roles as indirect oxidative stress indicators</w:t>
      </w:r>
      <w:r w:rsidRPr="00B40EF7">
        <w:rPr>
          <w:sz w:val="20"/>
          <w:szCs w:val="20"/>
        </w:rPr>
        <w:t xml:space="preserve">. Furthermore, the correlations involving </w:t>
      </w:r>
      <w:proofErr w:type="spellStart"/>
      <w:r w:rsidRPr="00B40EF7">
        <w:rPr>
          <w:sz w:val="20"/>
          <w:szCs w:val="20"/>
        </w:rPr>
        <w:t>AChE</w:t>
      </w:r>
      <w:proofErr w:type="spellEnd"/>
      <w:r w:rsidRPr="00B40EF7">
        <w:rPr>
          <w:sz w:val="20"/>
          <w:szCs w:val="20"/>
        </w:rPr>
        <w:t xml:space="preserve"> and β-amylase reflect the </w:t>
      </w:r>
      <w:r w:rsidRPr="00B40EF7">
        <w:rPr>
          <w:rStyle w:val="Strong"/>
          <w:rFonts w:eastAsiaTheme="majorEastAsia"/>
          <w:b w:val="0"/>
          <w:bCs w:val="0"/>
          <w:sz w:val="20"/>
          <w:szCs w:val="20"/>
        </w:rPr>
        <w:t>neuro-metabolic integration</w:t>
      </w:r>
      <w:r w:rsidRPr="00B40EF7">
        <w:rPr>
          <w:sz w:val="20"/>
          <w:szCs w:val="20"/>
        </w:rPr>
        <w:t xml:space="preserve"> in stress adaptation, providing a holistic picture of how zebrafish cope with environmental heat challenges.</w:t>
      </w:r>
      <w:r w:rsidR="00D82156" w:rsidRPr="00B40EF7">
        <w:rPr>
          <w:sz w:val="20"/>
          <w:szCs w:val="20"/>
        </w:rPr>
        <w:t xml:space="preserve"> </w:t>
      </w:r>
      <w:r w:rsidRPr="00B40EF7">
        <w:rPr>
          <w:sz w:val="20"/>
          <w:szCs w:val="20"/>
        </w:rPr>
        <w:t xml:space="preserve">These correlations not only validate the individual biochemical findings but also demonstrate that these markers can be used together to form a </w:t>
      </w:r>
      <w:r w:rsidRPr="00B40EF7">
        <w:rPr>
          <w:rStyle w:val="Strong"/>
          <w:rFonts w:eastAsiaTheme="majorEastAsia"/>
          <w:b w:val="0"/>
          <w:bCs w:val="0"/>
          <w:sz w:val="20"/>
          <w:szCs w:val="20"/>
        </w:rPr>
        <w:t>multi-biomarker index</w:t>
      </w:r>
      <w:r w:rsidRPr="00B40EF7">
        <w:rPr>
          <w:sz w:val="20"/>
          <w:szCs w:val="20"/>
        </w:rPr>
        <w:t xml:space="preserve"> for evaluating thermal stress in aquatic organisms.</w:t>
      </w:r>
    </w:p>
    <w:p w14:paraId="7769BAC7"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Conclusion</w:t>
      </w:r>
    </w:p>
    <w:p w14:paraId="76A3AA67" w14:textId="461C8594" w:rsidR="00C73608" w:rsidRDefault="00C73608" w:rsidP="00B40EF7">
      <w:pPr>
        <w:spacing w:line="480" w:lineRule="auto"/>
        <w:jc w:val="both"/>
        <w:rPr>
          <w:rFonts w:ascii="Times New Roman" w:eastAsia="Times New Roman" w:hAnsi="Times New Roman"/>
          <w:sz w:val="20"/>
          <w:szCs w:val="20"/>
          <w:lang w:val="en-IN" w:eastAsia="en-IN"/>
        </w:rPr>
      </w:pPr>
      <w:r w:rsidRPr="00B40EF7">
        <w:rPr>
          <w:rFonts w:ascii="Times New Roman" w:eastAsia="Times New Roman" w:hAnsi="Times New Roman"/>
          <w:sz w:val="20"/>
          <w:szCs w:val="20"/>
          <w:lang w:val="en-IN" w:eastAsia="en-IN"/>
        </w:rPr>
        <w:lastRenderedPageBreak/>
        <w:t xml:space="preserve">The study investigates the physiological and biochemical responses of Danio rerio (Zebrafish) to thermal stress, focusing on antioxidant </w:t>
      </w:r>
      <w:proofErr w:type="spellStart"/>
      <w:r w:rsidRPr="00B40EF7">
        <w:rPr>
          <w:rFonts w:ascii="Times New Roman" w:eastAsia="Times New Roman" w:hAnsi="Times New Roman"/>
          <w:sz w:val="20"/>
          <w:szCs w:val="20"/>
          <w:lang w:val="en-IN" w:eastAsia="en-IN"/>
        </w:rPr>
        <w:t>defense</w:t>
      </w:r>
      <w:proofErr w:type="spellEnd"/>
      <w:r w:rsidRPr="00B40EF7">
        <w:rPr>
          <w:rFonts w:ascii="Times New Roman" w:eastAsia="Times New Roman" w:hAnsi="Times New Roman"/>
          <w:sz w:val="20"/>
          <w:szCs w:val="20"/>
          <w:lang w:val="en-IN" w:eastAsia="en-IN"/>
        </w:rPr>
        <w:t xml:space="preserve"> mechanisms, oxidative damage, metabolic enzyme activity, and neurophysiological adaptation. It found that thermal stress increases oxidative stress, leading to upregulation of antioxidant enzymes like SOD, catalase, and GSH. Metabolic enzymes like ALP, ACP, and β-amylase also show increased activity, suggesting increased tissue metabolism and energy mobilization. </w:t>
      </w:r>
      <w:r w:rsidR="00442044" w:rsidRPr="00442044">
        <w:rPr>
          <w:rFonts w:ascii="Times New Roman" w:eastAsia="Times New Roman" w:hAnsi="Times New Roman"/>
          <w:sz w:val="20"/>
          <w:szCs w:val="20"/>
          <w:lang w:val="en-IN" w:eastAsia="en-IN"/>
        </w:rPr>
        <w:t>the study employs a gradual temperature increase (1°C every 3 days), but intermediate physiological responses during this progression are not reported. This limits the ability to distinguish between acute and chronic thermal stress effects.</w:t>
      </w:r>
      <w:r w:rsidR="00442044">
        <w:rPr>
          <w:rFonts w:ascii="Times New Roman" w:eastAsia="Times New Roman" w:hAnsi="Times New Roman"/>
          <w:sz w:val="20"/>
          <w:szCs w:val="20"/>
          <w:lang w:val="en-IN" w:eastAsia="en-IN"/>
        </w:rPr>
        <w:t xml:space="preserve"> </w:t>
      </w:r>
      <w:r w:rsidRPr="00B40EF7">
        <w:rPr>
          <w:rFonts w:ascii="Times New Roman" w:eastAsia="Times New Roman" w:hAnsi="Times New Roman"/>
          <w:sz w:val="20"/>
          <w:szCs w:val="20"/>
          <w:lang w:val="en-IN" w:eastAsia="en-IN"/>
        </w:rPr>
        <w:t>The study suggests that thermal stress induces a systemic biochemical shift in zebrafish, providing valuable tools for ecotoxicological assessment and environmental monitoring.</w:t>
      </w:r>
    </w:p>
    <w:p w14:paraId="6C8483EB" w14:textId="77777777" w:rsidR="00086CE3" w:rsidRPr="00086CE3" w:rsidRDefault="00086CE3" w:rsidP="00086CE3">
      <w:pPr>
        <w:spacing w:line="480" w:lineRule="auto"/>
        <w:jc w:val="both"/>
        <w:rPr>
          <w:rFonts w:ascii="Times New Roman" w:eastAsia="Times New Roman" w:hAnsi="Times New Roman"/>
          <w:sz w:val="20"/>
          <w:szCs w:val="20"/>
          <w:lang w:val="en-IN" w:eastAsia="en-IN"/>
        </w:rPr>
      </w:pPr>
      <w:r w:rsidRPr="00086CE3">
        <w:rPr>
          <w:rFonts w:ascii="Times New Roman" w:eastAsia="Times New Roman" w:hAnsi="Times New Roman"/>
          <w:sz w:val="20"/>
          <w:szCs w:val="20"/>
          <w:lang w:val="en-IN" w:eastAsia="en-IN"/>
        </w:rPr>
        <w:t>Ethical Approval</w:t>
      </w:r>
    </w:p>
    <w:p w14:paraId="4F3D6844" w14:textId="32C5C416" w:rsidR="00086CE3" w:rsidRPr="00B40EF7" w:rsidRDefault="00086CE3" w:rsidP="00086CE3">
      <w:pPr>
        <w:spacing w:line="480" w:lineRule="auto"/>
        <w:jc w:val="both"/>
        <w:rPr>
          <w:rFonts w:ascii="Times New Roman" w:eastAsia="Times New Roman" w:hAnsi="Times New Roman"/>
          <w:sz w:val="20"/>
          <w:szCs w:val="20"/>
          <w:lang w:val="en-IN" w:eastAsia="en-IN"/>
        </w:rPr>
      </w:pPr>
      <w:r w:rsidRPr="00086CE3">
        <w:rPr>
          <w:rFonts w:ascii="Times New Roman" w:eastAsia="Times New Roman" w:hAnsi="Times New Roman"/>
          <w:sz w:val="20"/>
          <w:szCs w:val="20"/>
          <w:lang w:val="en-IN" w:eastAsia="en-IN"/>
        </w:rPr>
        <w:t>Animal Ethic committee approval has been collected and preserved by the author(s)</w:t>
      </w:r>
      <w:bookmarkStart w:id="1" w:name="_GoBack"/>
      <w:bookmarkEnd w:id="1"/>
    </w:p>
    <w:p w14:paraId="5CF60345" w14:textId="77777777" w:rsidR="00215C4F" w:rsidRPr="00B40EF7" w:rsidRDefault="00215C4F" w:rsidP="00215C4F">
      <w:pPr>
        <w:spacing w:line="480" w:lineRule="auto"/>
        <w:jc w:val="both"/>
        <w:rPr>
          <w:rFonts w:ascii="Times New Roman" w:hAnsi="Times New Roman"/>
          <w:sz w:val="20"/>
          <w:szCs w:val="20"/>
        </w:rPr>
      </w:pPr>
      <w:r w:rsidRPr="00B40EF7">
        <w:rPr>
          <w:rFonts w:ascii="Times New Roman" w:hAnsi="Times New Roman"/>
          <w:b/>
          <w:bCs/>
          <w:color w:val="222222"/>
          <w:sz w:val="20"/>
          <w:szCs w:val="20"/>
          <w:shd w:val="clear" w:color="auto" w:fill="FFFFFF"/>
        </w:rPr>
        <w:t xml:space="preserve">Conflict of Interest: </w:t>
      </w:r>
      <w:r w:rsidRPr="00B40EF7">
        <w:rPr>
          <w:rFonts w:ascii="Times New Roman" w:hAnsi="Times New Roman"/>
          <w:color w:val="222222"/>
          <w:sz w:val="20"/>
          <w:szCs w:val="20"/>
          <w:shd w:val="clear" w:color="auto" w:fill="FFFFFF"/>
        </w:rPr>
        <w:t>The writers say they have no competing interests.</w:t>
      </w:r>
    </w:p>
    <w:p w14:paraId="64E85E88" w14:textId="4F2445E7" w:rsidR="00215C4F" w:rsidRDefault="00215C4F" w:rsidP="00215C4F">
      <w:pPr>
        <w:spacing w:line="480" w:lineRule="auto"/>
        <w:jc w:val="both"/>
        <w:rPr>
          <w:rFonts w:ascii="Times New Roman" w:hAnsi="Times New Roman"/>
          <w:color w:val="222222"/>
          <w:sz w:val="20"/>
          <w:szCs w:val="20"/>
          <w:shd w:val="clear" w:color="auto" w:fill="FFFFFF"/>
        </w:rPr>
      </w:pPr>
      <w:r w:rsidRPr="00B40EF7">
        <w:rPr>
          <w:rFonts w:ascii="Times New Roman" w:hAnsi="Times New Roman"/>
          <w:b/>
          <w:bCs/>
          <w:color w:val="222222"/>
          <w:sz w:val="20"/>
          <w:szCs w:val="20"/>
          <w:shd w:val="clear" w:color="auto" w:fill="FFFFFF"/>
        </w:rPr>
        <w:t xml:space="preserve">Data and Materials Availability: </w:t>
      </w:r>
      <w:r w:rsidRPr="00B40EF7">
        <w:rPr>
          <w:rFonts w:ascii="Times New Roman" w:hAnsi="Times New Roman"/>
          <w:color w:val="222222"/>
          <w:sz w:val="20"/>
          <w:szCs w:val="20"/>
          <w:shd w:val="clear" w:color="auto" w:fill="FFFFFF"/>
        </w:rPr>
        <w:t xml:space="preserve">Every dataset that was examined for this study is accessible </w:t>
      </w:r>
      <w:r w:rsidR="009103B5">
        <w:rPr>
          <w:rFonts w:ascii="Times New Roman" w:hAnsi="Times New Roman"/>
          <w:color w:val="222222"/>
          <w:sz w:val="20"/>
          <w:szCs w:val="20"/>
          <w:shd w:val="clear" w:color="auto" w:fill="FFFFFF"/>
        </w:rPr>
        <w:t>on request</w:t>
      </w:r>
      <w:r w:rsidRPr="00B40EF7">
        <w:rPr>
          <w:rFonts w:ascii="Times New Roman" w:hAnsi="Times New Roman"/>
          <w:color w:val="222222"/>
          <w:sz w:val="20"/>
          <w:szCs w:val="20"/>
          <w:shd w:val="clear" w:color="auto" w:fill="FFFFFF"/>
        </w:rPr>
        <w:t>.</w:t>
      </w:r>
    </w:p>
    <w:p w14:paraId="038FBE00" w14:textId="65DB26AC" w:rsidR="00F22029" w:rsidRDefault="00F22029" w:rsidP="00215C4F">
      <w:pPr>
        <w:spacing w:line="480" w:lineRule="auto"/>
        <w:jc w:val="both"/>
        <w:rPr>
          <w:rFonts w:ascii="Times New Roman" w:hAnsi="Times New Roman"/>
          <w:color w:val="222222"/>
          <w:sz w:val="20"/>
          <w:szCs w:val="20"/>
          <w:shd w:val="clear" w:color="auto" w:fill="FFFFFF"/>
        </w:rPr>
      </w:pPr>
      <w:r w:rsidRPr="00F22029">
        <w:rPr>
          <w:rFonts w:ascii="Times New Roman" w:hAnsi="Times New Roman"/>
          <w:b/>
          <w:bCs/>
          <w:color w:val="222222"/>
          <w:sz w:val="20"/>
          <w:szCs w:val="20"/>
          <w:shd w:val="clear" w:color="auto" w:fill="FFFFFF"/>
        </w:rPr>
        <w:t>Acknowledgement:</w:t>
      </w:r>
      <w:r w:rsidRPr="00F22029">
        <w:rPr>
          <w:rFonts w:ascii="Times New Roman" w:hAnsi="Times New Roman"/>
          <w:color w:val="222222"/>
          <w:sz w:val="20"/>
          <w:szCs w:val="20"/>
          <w:shd w:val="clear" w:color="auto" w:fill="FFFFFF"/>
        </w:rPr>
        <w:t xml:space="preserve"> </w:t>
      </w:r>
      <w:r>
        <w:rPr>
          <w:rFonts w:ascii="Times New Roman" w:hAnsi="Times New Roman"/>
          <w:color w:val="222222"/>
          <w:sz w:val="20"/>
          <w:szCs w:val="20"/>
          <w:shd w:val="clear" w:color="auto" w:fill="FFFFFF"/>
        </w:rPr>
        <w:t>The writers</w:t>
      </w:r>
      <w:r w:rsidRPr="00F22029">
        <w:rPr>
          <w:rFonts w:ascii="Times New Roman" w:hAnsi="Times New Roman"/>
          <w:color w:val="222222"/>
          <w:sz w:val="20"/>
          <w:szCs w:val="20"/>
          <w:shd w:val="clear" w:color="auto" w:fill="FFFFFF"/>
        </w:rPr>
        <w:t xml:space="preserve"> are grateful to </w:t>
      </w:r>
      <w:r>
        <w:rPr>
          <w:rFonts w:ascii="Times New Roman" w:hAnsi="Times New Roman"/>
          <w:color w:val="222222"/>
          <w:sz w:val="20"/>
          <w:szCs w:val="20"/>
          <w:shd w:val="clear" w:color="auto" w:fill="FFFFFF"/>
        </w:rPr>
        <w:t xml:space="preserve">Dr. Pradip Ghosh, </w:t>
      </w:r>
      <w:proofErr w:type="spellStart"/>
      <w:r>
        <w:rPr>
          <w:rFonts w:ascii="Times New Roman" w:hAnsi="Times New Roman"/>
          <w:color w:val="222222"/>
          <w:sz w:val="20"/>
          <w:szCs w:val="20"/>
          <w:shd w:val="clear" w:color="auto" w:fill="FFFFFF"/>
        </w:rPr>
        <w:t>Hono</w:t>
      </w:r>
      <w:r w:rsidR="00937959">
        <w:rPr>
          <w:rFonts w:ascii="Times New Roman" w:hAnsi="Times New Roman"/>
          <w:color w:val="222222"/>
          <w:sz w:val="20"/>
          <w:szCs w:val="20"/>
          <w:shd w:val="clear" w:color="auto" w:fill="FFFFFF"/>
        </w:rPr>
        <w:t>u</w:t>
      </w:r>
      <w:r>
        <w:rPr>
          <w:rFonts w:ascii="Times New Roman" w:hAnsi="Times New Roman"/>
          <w:color w:val="222222"/>
          <w:sz w:val="20"/>
          <w:szCs w:val="20"/>
          <w:shd w:val="clear" w:color="auto" w:fill="FFFFFF"/>
        </w:rPr>
        <w:t>rable</w:t>
      </w:r>
      <w:proofErr w:type="spellEnd"/>
      <w:r>
        <w:rPr>
          <w:rFonts w:ascii="Times New Roman" w:hAnsi="Times New Roman"/>
          <w:color w:val="222222"/>
          <w:sz w:val="20"/>
          <w:szCs w:val="20"/>
          <w:shd w:val="clear" w:color="auto" w:fill="FFFFFF"/>
        </w:rPr>
        <w:t xml:space="preserve"> director, Midnapore City College, and all the </w:t>
      </w:r>
      <w:r w:rsidRPr="00F22029">
        <w:rPr>
          <w:rFonts w:ascii="Times New Roman" w:hAnsi="Times New Roman"/>
          <w:color w:val="222222"/>
          <w:sz w:val="20"/>
          <w:szCs w:val="20"/>
          <w:shd w:val="clear" w:color="auto" w:fill="FFFFFF"/>
        </w:rPr>
        <w:t xml:space="preserve">Higher Authorities of Biodiversity and Environmental Studies Research Centre, Midnapore City College, for </w:t>
      </w:r>
      <w:r>
        <w:rPr>
          <w:rFonts w:ascii="Times New Roman" w:hAnsi="Times New Roman"/>
          <w:color w:val="222222"/>
          <w:sz w:val="20"/>
          <w:szCs w:val="20"/>
          <w:shd w:val="clear" w:color="auto" w:fill="FFFFFF"/>
        </w:rPr>
        <w:t>providing all the necessary assistance in order to complete this work</w:t>
      </w:r>
      <w:r w:rsidRPr="00F22029">
        <w:rPr>
          <w:rFonts w:ascii="Times New Roman" w:hAnsi="Times New Roman"/>
          <w:color w:val="222222"/>
          <w:sz w:val="20"/>
          <w:szCs w:val="20"/>
          <w:shd w:val="clear" w:color="auto" w:fill="FFFFFF"/>
        </w:rPr>
        <w:t xml:space="preserve">. </w:t>
      </w:r>
    </w:p>
    <w:p w14:paraId="64E6233E" w14:textId="77777777" w:rsidR="009B69A7" w:rsidRPr="009B69A7" w:rsidRDefault="009B69A7" w:rsidP="009B69A7">
      <w:pPr>
        <w:keepNext/>
        <w:keepLines/>
        <w:suppressAutoHyphens w:val="0"/>
        <w:spacing w:before="120" w:after="120" w:line="360" w:lineRule="auto"/>
        <w:jc w:val="both"/>
        <w:outlineLvl w:val="1"/>
        <w:rPr>
          <w:rFonts w:ascii="Times New Roman" w:eastAsia="Times New Roman" w:hAnsi="Times New Roman"/>
          <w:bCs/>
          <w:sz w:val="24"/>
          <w:szCs w:val="24"/>
          <w:highlight w:val="yellow"/>
          <w:lang w:val="en-GB" w:eastAsia="en-IN"/>
        </w:rPr>
      </w:pPr>
      <w:bookmarkStart w:id="2" w:name="_Hlk218867759"/>
      <w:r w:rsidRPr="009B69A7">
        <w:rPr>
          <w:rFonts w:ascii="Times New Roman" w:eastAsia="Times New Roman" w:hAnsi="Times New Roman"/>
          <w:bCs/>
          <w:sz w:val="24"/>
          <w:szCs w:val="24"/>
          <w:highlight w:val="yellow"/>
          <w:lang w:val="en-GB" w:eastAsia="en-IN"/>
        </w:rPr>
        <w:t>Disclaimer (Artificial intelligence)</w:t>
      </w:r>
    </w:p>
    <w:p w14:paraId="6BE2F1B0" w14:textId="77777777" w:rsidR="009B69A7" w:rsidRPr="009B69A7" w:rsidRDefault="009B69A7" w:rsidP="009B69A7">
      <w:pPr>
        <w:keepNext/>
        <w:keepLines/>
        <w:suppressAutoHyphens w:val="0"/>
        <w:spacing w:before="120" w:after="120" w:line="360" w:lineRule="auto"/>
        <w:jc w:val="both"/>
        <w:outlineLvl w:val="1"/>
        <w:rPr>
          <w:rFonts w:ascii="Times New Roman" w:eastAsia="Times New Roman" w:hAnsi="Times New Roman"/>
          <w:bCs/>
          <w:sz w:val="24"/>
          <w:szCs w:val="24"/>
          <w:lang w:val="en-GB" w:eastAsia="en-IN"/>
        </w:rPr>
      </w:pPr>
      <w:r w:rsidRPr="009B69A7">
        <w:rPr>
          <w:rFonts w:ascii="Times New Roman" w:eastAsia="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9B69A7">
        <w:rPr>
          <w:rFonts w:ascii="Times New Roman" w:eastAsia="Times New Roman" w:hAnsi="Times New Roman"/>
          <w:bCs/>
          <w:sz w:val="24"/>
          <w:szCs w:val="24"/>
          <w:lang w:val="en-GB" w:eastAsia="en-IN"/>
        </w:rPr>
        <w:t xml:space="preserve"> </w:t>
      </w:r>
    </w:p>
    <w:bookmarkEnd w:id="2"/>
    <w:p w14:paraId="4E72EEE6" w14:textId="77777777" w:rsidR="009B69A7" w:rsidRPr="00B40EF7" w:rsidRDefault="009B69A7" w:rsidP="00215C4F">
      <w:pPr>
        <w:spacing w:line="480" w:lineRule="auto"/>
        <w:jc w:val="both"/>
        <w:rPr>
          <w:rFonts w:ascii="Times New Roman" w:hAnsi="Times New Roman"/>
          <w:b/>
          <w:bCs/>
          <w:color w:val="222222"/>
          <w:sz w:val="20"/>
          <w:szCs w:val="20"/>
          <w:shd w:val="clear" w:color="auto" w:fill="FFFFFF"/>
        </w:rPr>
      </w:pPr>
    </w:p>
    <w:p w14:paraId="2EDB0DEB" w14:textId="39C009E9" w:rsidR="004017C7" w:rsidRPr="00B40EF7" w:rsidRDefault="003F67E5" w:rsidP="00B40EF7">
      <w:pPr>
        <w:spacing w:line="480" w:lineRule="auto"/>
        <w:jc w:val="both"/>
        <w:rPr>
          <w:rFonts w:ascii="Times New Roman" w:hAnsi="Times New Roman"/>
          <w:b/>
          <w:bCs/>
          <w:sz w:val="20"/>
          <w:szCs w:val="20"/>
          <w:lang w:val="en-IN"/>
        </w:rPr>
      </w:pPr>
      <w:r w:rsidRPr="00B40EF7">
        <w:rPr>
          <w:rFonts w:ascii="Times New Roman" w:hAnsi="Times New Roman"/>
          <w:b/>
          <w:bCs/>
          <w:sz w:val="20"/>
          <w:szCs w:val="20"/>
          <w:lang w:val="en-IN"/>
        </w:rPr>
        <w:t>References</w:t>
      </w:r>
    </w:p>
    <w:p w14:paraId="6BA28EE5" w14:textId="3E7660E4" w:rsidR="00647A76" w:rsidRPr="00B40EF7" w:rsidRDefault="009800BE"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Araujo-Silva, R., Mafra, A. C. O., Rojas, M. J., Kopp, W., Giordano, R. D. C., Fernandez-Lafuente, R., &amp; </w:t>
      </w:r>
      <w:proofErr w:type="spellStart"/>
      <w:r w:rsidRPr="00B40EF7">
        <w:rPr>
          <w:rFonts w:ascii="Times New Roman" w:hAnsi="Times New Roman"/>
          <w:sz w:val="20"/>
          <w:szCs w:val="20"/>
        </w:rPr>
        <w:t>Tardioli</w:t>
      </w:r>
      <w:proofErr w:type="spellEnd"/>
      <w:r w:rsidRPr="00B40EF7">
        <w:rPr>
          <w:rFonts w:ascii="Times New Roman" w:hAnsi="Times New Roman"/>
          <w:sz w:val="20"/>
          <w:szCs w:val="20"/>
        </w:rPr>
        <w:t>, P. W. (2018). Maltose production using starch from cassava bagasse catalyzed by cross-linked β-amylase aggregates. </w:t>
      </w:r>
      <w:r w:rsidRPr="00B40EF7">
        <w:rPr>
          <w:rFonts w:ascii="Times New Roman" w:hAnsi="Times New Roman"/>
          <w:i/>
          <w:iCs/>
          <w:sz w:val="20"/>
          <w:szCs w:val="20"/>
        </w:rPr>
        <w:t>Catalysts</w:t>
      </w:r>
      <w:r w:rsidRPr="00B40EF7">
        <w:rPr>
          <w:rFonts w:ascii="Times New Roman" w:hAnsi="Times New Roman"/>
          <w:sz w:val="20"/>
          <w:szCs w:val="20"/>
        </w:rPr>
        <w:t>, </w:t>
      </w:r>
      <w:r w:rsidRPr="00B40EF7">
        <w:rPr>
          <w:rFonts w:ascii="Times New Roman" w:hAnsi="Times New Roman"/>
          <w:i/>
          <w:iCs/>
          <w:sz w:val="20"/>
          <w:szCs w:val="20"/>
        </w:rPr>
        <w:t>8</w:t>
      </w:r>
      <w:r w:rsidRPr="00B40EF7">
        <w:rPr>
          <w:rFonts w:ascii="Times New Roman" w:hAnsi="Times New Roman"/>
          <w:sz w:val="20"/>
          <w:szCs w:val="20"/>
        </w:rPr>
        <w:t>(4), 170.</w:t>
      </w:r>
      <w:r w:rsidR="00EC1C41" w:rsidRPr="00B40EF7">
        <w:rPr>
          <w:rFonts w:ascii="Times New Roman" w:hAnsi="Times New Roman"/>
          <w:sz w:val="20"/>
          <w:szCs w:val="20"/>
        </w:rPr>
        <w:t xml:space="preserve"> </w:t>
      </w:r>
      <w:hyperlink r:id="rId7" w:history="1">
        <w:r w:rsidR="00EC1C41" w:rsidRPr="00B40EF7">
          <w:rPr>
            <w:rStyle w:val="Hyperlink"/>
            <w:rFonts w:ascii="Times New Roman" w:hAnsi="Times New Roman"/>
            <w:sz w:val="20"/>
            <w:szCs w:val="20"/>
          </w:rPr>
          <w:t>https://doi.org/10.3</w:t>
        </w:r>
        <w:r w:rsidR="00B40EF7">
          <w:rPr>
            <w:rStyle w:val="Hyperlink"/>
            <w:rFonts w:ascii="Times New Roman" w:hAnsi="Times New Roman"/>
            <w:sz w:val="20"/>
            <w:szCs w:val="20"/>
          </w:rPr>
          <w:t>º</w:t>
        </w:r>
        <w:r w:rsidR="00EC1C41" w:rsidRPr="00B40EF7">
          <w:rPr>
            <w:rStyle w:val="Hyperlink"/>
            <w:rFonts w:ascii="Times New Roman" w:hAnsi="Times New Roman"/>
            <w:sz w:val="20"/>
            <w:szCs w:val="20"/>
          </w:rPr>
          <w:t>0/catal8040170</w:t>
        </w:r>
      </w:hyperlink>
      <w:r w:rsidR="00647A76" w:rsidRPr="00B40EF7">
        <w:rPr>
          <w:rFonts w:ascii="Times New Roman" w:hAnsi="Times New Roman"/>
          <w:sz w:val="20"/>
          <w:szCs w:val="20"/>
          <w:lang w:val="en-IN"/>
        </w:rPr>
        <w:t xml:space="preserve"> </w:t>
      </w:r>
    </w:p>
    <w:p w14:paraId="5B754D7F" w14:textId="5314EF76" w:rsidR="00463E86" w:rsidRPr="00B40EF7" w:rsidRDefault="00463E8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Banh, S., Wiens, L., </w:t>
      </w:r>
      <w:proofErr w:type="spellStart"/>
      <w:r w:rsidRPr="00B40EF7">
        <w:rPr>
          <w:rFonts w:ascii="Times New Roman" w:hAnsi="Times New Roman"/>
          <w:sz w:val="20"/>
          <w:szCs w:val="20"/>
        </w:rPr>
        <w:t>Sotiri</w:t>
      </w:r>
      <w:proofErr w:type="spellEnd"/>
      <w:r w:rsidRPr="00B40EF7">
        <w:rPr>
          <w:rFonts w:ascii="Times New Roman" w:hAnsi="Times New Roman"/>
          <w:sz w:val="20"/>
          <w:szCs w:val="20"/>
        </w:rPr>
        <w:t xml:space="preserve">, E., &amp; </w:t>
      </w:r>
      <w:proofErr w:type="spellStart"/>
      <w:r w:rsidRPr="00B40EF7">
        <w:rPr>
          <w:rFonts w:ascii="Times New Roman" w:hAnsi="Times New Roman"/>
          <w:sz w:val="20"/>
          <w:szCs w:val="20"/>
        </w:rPr>
        <w:t>Treberg</w:t>
      </w:r>
      <w:proofErr w:type="spellEnd"/>
      <w:r w:rsidRPr="00B40EF7">
        <w:rPr>
          <w:rFonts w:ascii="Times New Roman" w:hAnsi="Times New Roman"/>
          <w:sz w:val="20"/>
          <w:szCs w:val="20"/>
        </w:rPr>
        <w:t>, J. R. (2016). Mitochondrial reactive oxygen species production by fish muscle mitochondria: potential role in acute heat-induced oxidative stress. </w:t>
      </w:r>
      <w:r w:rsidRPr="00B40EF7">
        <w:rPr>
          <w:rFonts w:ascii="Times New Roman" w:hAnsi="Times New Roman"/>
          <w:i/>
          <w:iCs/>
          <w:sz w:val="20"/>
          <w:szCs w:val="20"/>
        </w:rPr>
        <w:t xml:space="preserve">Comparative </w:t>
      </w:r>
      <w:r w:rsidRPr="00B40EF7">
        <w:rPr>
          <w:rFonts w:ascii="Times New Roman" w:hAnsi="Times New Roman"/>
          <w:i/>
          <w:iCs/>
          <w:sz w:val="20"/>
          <w:szCs w:val="20"/>
        </w:rPr>
        <w:lastRenderedPageBreak/>
        <w:t>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191</w:t>
      </w:r>
      <w:r w:rsidRPr="00B40EF7">
        <w:rPr>
          <w:rFonts w:ascii="Times New Roman" w:hAnsi="Times New Roman"/>
          <w:sz w:val="20"/>
          <w:szCs w:val="20"/>
        </w:rPr>
        <w:t xml:space="preserve">, 99-107. </w:t>
      </w:r>
      <w:hyperlink r:id="rId8" w:history="1">
        <w:r w:rsidR="00413FFF" w:rsidRPr="00B40EF7">
          <w:rPr>
            <w:rStyle w:val="Hyperlink"/>
            <w:rFonts w:ascii="Times New Roman" w:hAnsi="Times New Roman"/>
            <w:sz w:val="20"/>
            <w:szCs w:val="20"/>
          </w:rPr>
          <w:t>https://doi.org/10.1016/j.cbpb.2015.10.001</w:t>
        </w:r>
      </w:hyperlink>
    </w:p>
    <w:p w14:paraId="7E332E29" w14:textId="15188497" w:rsidR="00F67022" w:rsidRPr="00B40EF7" w:rsidRDefault="00F67022"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Basu, S., &amp; </w:t>
      </w:r>
      <w:proofErr w:type="spellStart"/>
      <w:r w:rsidRPr="00B40EF7">
        <w:rPr>
          <w:rFonts w:ascii="Times New Roman" w:hAnsi="Times New Roman"/>
          <w:sz w:val="20"/>
          <w:szCs w:val="20"/>
        </w:rPr>
        <w:t>Sachidanandan</w:t>
      </w:r>
      <w:proofErr w:type="spellEnd"/>
      <w:r w:rsidRPr="00B40EF7">
        <w:rPr>
          <w:rFonts w:ascii="Times New Roman" w:hAnsi="Times New Roman"/>
          <w:sz w:val="20"/>
          <w:szCs w:val="20"/>
        </w:rPr>
        <w:t>, C. (2013). Zebrafish: a multifaceted tool for chemical biologists. </w:t>
      </w:r>
      <w:r w:rsidRPr="00B40EF7">
        <w:rPr>
          <w:rFonts w:ascii="Times New Roman" w:hAnsi="Times New Roman"/>
          <w:i/>
          <w:iCs/>
          <w:sz w:val="20"/>
          <w:szCs w:val="20"/>
        </w:rPr>
        <w:t>Chemical reviews</w:t>
      </w:r>
      <w:r w:rsidRPr="00B40EF7">
        <w:rPr>
          <w:rFonts w:ascii="Times New Roman" w:hAnsi="Times New Roman"/>
          <w:sz w:val="20"/>
          <w:szCs w:val="20"/>
        </w:rPr>
        <w:t>, </w:t>
      </w:r>
      <w:r w:rsidRPr="00B40EF7">
        <w:rPr>
          <w:rFonts w:ascii="Times New Roman" w:hAnsi="Times New Roman"/>
          <w:i/>
          <w:iCs/>
          <w:sz w:val="20"/>
          <w:szCs w:val="20"/>
        </w:rPr>
        <w:t>113</w:t>
      </w:r>
      <w:r w:rsidRPr="00B40EF7">
        <w:rPr>
          <w:rFonts w:ascii="Times New Roman" w:hAnsi="Times New Roman"/>
          <w:sz w:val="20"/>
          <w:szCs w:val="20"/>
        </w:rPr>
        <w:t xml:space="preserve">(10), 7952-7980. </w:t>
      </w:r>
      <w:r w:rsidR="004017C7" w:rsidRPr="00B40EF7">
        <w:rPr>
          <w:rFonts w:ascii="Times New Roman" w:hAnsi="Times New Roman"/>
          <w:sz w:val="20"/>
          <w:szCs w:val="20"/>
        </w:rPr>
        <w:t xml:space="preserve"> </w:t>
      </w:r>
      <w:hyperlink r:id="rId9" w:history="1">
        <w:r w:rsidR="004017C7" w:rsidRPr="00B40EF7">
          <w:rPr>
            <w:rStyle w:val="Hyperlink"/>
            <w:rFonts w:ascii="Times New Roman" w:hAnsi="Times New Roman"/>
            <w:sz w:val="20"/>
            <w:szCs w:val="20"/>
          </w:rPr>
          <w:t>https://pubs.acs.org/doi/10.1021/cr4000013</w:t>
        </w:r>
      </w:hyperlink>
    </w:p>
    <w:p w14:paraId="09B1FA02" w14:textId="1534998F" w:rsidR="00EC5FF7" w:rsidRPr="00B40EF7" w:rsidRDefault="00EC5FF7"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Chowdhury, S., &amp; Saikia, S. K. (2020). Oxidative stress in fish: a review. </w:t>
      </w:r>
      <w:r w:rsidRPr="00B40EF7">
        <w:rPr>
          <w:rFonts w:ascii="Times New Roman" w:hAnsi="Times New Roman"/>
          <w:i/>
          <w:iCs/>
          <w:sz w:val="20"/>
          <w:szCs w:val="20"/>
        </w:rPr>
        <w:t>Journal of Scientific Research</w:t>
      </w:r>
      <w:r w:rsidRPr="00B40EF7">
        <w:rPr>
          <w:rFonts w:ascii="Times New Roman" w:hAnsi="Times New Roman"/>
          <w:sz w:val="20"/>
          <w:szCs w:val="20"/>
        </w:rPr>
        <w:t>, </w:t>
      </w:r>
      <w:r w:rsidRPr="00B40EF7">
        <w:rPr>
          <w:rFonts w:ascii="Times New Roman" w:hAnsi="Times New Roman"/>
          <w:i/>
          <w:iCs/>
          <w:sz w:val="20"/>
          <w:szCs w:val="20"/>
        </w:rPr>
        <w:t>12</w:t>
      </w:r>
      <w:r w:rsidRPr="00B40EF7">
        <w:rPr>
          <w:rFonts w:ascii="Times New Roman" w:hAnsi="Times New Roman"/>
          <w:sz w:val="20"/>
          <w:szCs w:val="20"/>
        </w:rPr>
        <w:t>(1), 145-160.</w:t>
      </w:r>
      <w:r w:rsidR="00EC1C41" w:rsidRPr="00B40EF7">
        <w:rPr>
          <w:rFonts w:ascii="Times New Roman" w:hAnsi="Times New Roman"/>
          <w:sz w:val="20"/>
          <w:szCs w:val="20"/>
        </w:rPr>
        <w:t xml:space="preserve"> </w:t>
      </w:r>
      <w:hyperlink r:id="rId10" w:history="1">
        <w:r w:rsidR="00EC1C41" w:rsidRPr="00B40EF7">
          <w:rPr>
            <w:rStyle w:val="Hyperlink"/>
            <w:rFonts w:ascii="Times New Roman" w:hAnsi="Times New Roman"/>
            <w:sz w:val="20"/>
            <w:szCs w:val="20"/>
          </w:rPr>
          <w:t>https://doi.org/10.3329/jsr.v12i1.41716</w:t>
        </w:r>
      </w:hyperlink>
    </w:p>
    <w:p w14:paraId="6AF20FAD" w14:textId="601BC9E4" w:rsidR="001B393B" w:rsidRPr="00B40EF7" w:rsidRDefault="001B393B"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Debnath, D., Pal, A. K., Sahu, N. P., </w:t>
      </w:r>
      <w:proofErr w:type="spellStart"/>
      <w:r w:rsidRPr="00B40EF7">
        <w:rPr>
          <w:rFonts w:ascii="Times New Roman" w:hAnsi="Times New Roman"/>
          <w:sz w:val="20"/>
          <w:szCs w:val="20"/>
        </w:rPr>
        <w:t>Yengkokpam</w:t>
      </w:r>
      <w:proofErr w:type="spellEnd"/>
      <w:r w:rsidRPr="00B40EF7">
        <w:rPr>
          <w:rFonts w:ascii="Times New Roman" w:hAnsi="Times New Roman"/>
          <w:sz w:val="20"/>
          <w:szCs w:val="20"/>
        </w:rPr>
        <w:t xml:space="preserve">, S., Baruah, K., Choudhury, D., &amp; </w:t>
      </w:r>
      <w:proofErr w:type="spellStart"/>
      <w:r w:rsidRPr="00B40EF7">
        <w:rPr>
          <w:rFonts w:ascii="Times New Roman" w:hAnsi="Times New Roman"/>
          <w:sz w:val="20"/>
          <w:szCs w:val="20"/>
        </w:rPr>
        <w:t>Venkateshwarlu</w:t>
      </w:r>
      <w:proofErr w:type="spellEnd"/>
      <w:r w:rsidRPr="00B40EF7">
        <w:rPr>
          <w:rFonts w:ascii="Times New Roman" w:hAnsi="Times New Roman"/>
          <w:sz w:val="20"/>
          <w:szCs w:val="20"/>
        </w:rPr>
        <w:t xml:space="preserve">, G. (2007). Digestive enzymes and metabolic profile of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fed diets with different crude protein levels. </w:t>
      </w:r>
      <w:r w:rsidRPr="00B40EF7">
        <w:rPr>
          <w:rFonts w:ascii="Times New Roman" w:hAnsi="Times New Roman"/>
          <w:i/>
          <w:iCs/>
          <w:sz w:val="20"/>
          <w:szCs w:val="20"/>
        </w:rPr>
        <w:t>Comparative 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146</w:t>
      </w:r>
      <w:r w:rsidRPr="00B40EF7">
        <w:rPr>
          <w:rFonts w:ascii="Times New Roman" w:hAnsi="Times New Roman"/>
          <w:sz w:val="20"/>
          <w:szCs w:val="20"/>
        </w:rPr>
        <w:t>(1), 107-114.</w:t>
      </w:r>
      <w:r w:rsidR="00EC1C41" w:rsidRPr="00B40EF7">
        <w:rPr>
          <w:rFonts w:ascii="Times New Roman" w:hAnsi="Times New Roman"/>
          <w:sz w:val="20"/>
          <w:szCs w:val="20"/>
        </w:rPr>
        <w:t xml:space="preserve"> </w:t>
      </w:r>
      <w:hyperlink r:id="rId11" w:history="1">
        <w:r w:rsidR="00EC1C41" w:rsidRPr="00B40EF7">
          <w:rPr>
            <w:rStyle w:val="Hyperlink"/>
            <w:rFonts w:ascii="Times New Roman" w:hAnsi="Times New Roman"/>
            <w:sz w:val="20"/>
            <w:szCs w:val="20"/>
          </w:rPr>
          <w:t>https://doi.org/10.1016/j.cbpb.2006.09.008</w:t>
        </w:r>
      </w:hyperlink>
    </w:p>
    <w:p w14:paraId="1C6C94B1" w14:textId="60408422" w:rsidR="00A60AA2" w:rsidRPr="00B40EF7" w:rsidRDefault="00A60AA2"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Forgati</w:t>
      </w:r>
      <w:proofErr w:type="spellEnd"/>
      <w:r w:rsidRPr="00B40EF7">
        <w:rPr>
          <w:rFonts w:ascii="Times New Roman" w:hAnsi="Times New Roman"/>
          <w:sz w:val="20"/>
          <w:szCs w:val="20"/>
        </w:rPr>
        <w:t xml:space="preserve">, M., Kandalski, P. K., Herrerias, T., Zaleski, T., Machado, C., Souza, M. R. D. P., &amp; </w:t>
      </w:r>
      <w:proofErr w:type="spellStart"/>
      <w:r w:rsidRPr="00B40EF7">
        <w:rPr>
          <w:rFonts w:ascii="Times New Roman" w:hAnsi="Times New Roman"/>
          <w:sz w:val="20"/>
          <w:szCs w:val="20"/>
        </w:rPr>
        <w:t>Donatti</w:t>
      </w:r>
      <w:proofErr w:type="spellEnd"/>
      <w:r w:rsidRPr="00B40EF7">
        <w:rPr>
          <w:rFonts w:ascii="Times New Roman" w:hAnsi="Times New Roman"/>
          <w:sz w:val="20"/>
          <w:szCs w:val="20"/>
        </w:rPr>
        <w:t>, L. (2017). Effects of heat stress on the renal and branchial carbohydrate metabolism and antioxidant system of Antarctic fish. </w:t>
      </w:r>
      <w:r w:rsidRPr="00B40EF7">
        <w:rPr>
          <w:rFonts w:ascii="Times New Roman" w:hAnsi="Times New Roman"/>
          <w:i/>
          <w:iCs/>
          <w:sz w:val="20"/>
          <w:szCs w:val="20"/>
        </w:rPr>
        <w:t>Journal of Comparative Physiology B</w:t>
      </w:r>
      <w:r w:rsidRPr="00B40EF7">
        <w:rPr>
          <w:rFonts w:ascii="Times New Roman" w:hAnsi="Times New Roman"/>
          <w:sz w:val="20"/>
          <w:szCs w:val="20"/>
        </w:rPr>
        <w:t>, </w:t>
      </w:r>
      <w:r w:rsidRPr="00B40EF7">
        <w:rPr>
          <w:rFonts w:ascii="Times New Roman" w:hAnsi="Times New Roman"/>
          <w:i/>
          <w:iCs/>
          <w:sz w:val="20"/>
          <w:szCs w:val="20"/>
        </w:rPr>
        <w:t>187</w:t>
      </w:r>
      <w:r w:rsidRPr="00B40EF7">
        <w:rPr>
          <w:rFonts w:ascii="Times New Roman" w:hAnsi="Times New Roman"/>
          <w:sz w:val="20"/>
          <w:szCs w:val="20"/>
        </w:rPr>
        <w:t>(8), 1137-1154.</w:t>
      </w:r>
      <w:r w:rsidR="00EC1C41" w:rsidRPr="00B40EF7">
        <w:rPr>
          <w:rFonts w:ascii="Times New Roman" w:hAnsi="Times New Roman"/>
          <w:sz w:val="20"/>
          <w:szCs w:val="20"/>
        </w:rPr>
        <w:t xml:space="preserve"> </w:t>
      </w:r>
      <w:hyperlink r:id="rId12" w:history="1">
        <w:r w:rsidR="00EC1C41" w:rsidRPr="00B40EF7">
          <w:rPr>
            <w:rStyle w:val="Hyperlink"/>
            <w:rFonts w:ascii="Times New Roman" w:hAnsi="Times New Roman"/>
            <w:sz w:val="20"/>
            <w:szCs w:val="20"/>
          </w:rPr>
          <w:t>https://doi.org/10.1007/s00360-017-1088-3</w:t>
        </w:r>
      </w:hyperlink>
    </w:p>
    <w:p w14:paraId="5E35E2EC" w14:textId="5DD99794" w:rsidR="00735B1C" w:rsidRPr="00B40EF7" w:rsidRDefault="00735B1C"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Gao, F., Zhao, Y., Shi, X., Qiao, D., Pei, C., &amp; Kong, X. (2024). </w:t>
      </w:r>
      <w:proofErr w:type="spellStart"/>
      <w:r w:rsidRPr="00B40EF7">
        <w:rPr>
          <w:rFonts w:ascii="Times New Roman" w:hAnsi="Times New Roman"/>
          <w:sz w:val="20"/>
          <w:szCs w:val="20"/>
        </w:rPr>
        <w:t>Signalling</w:t>
      </w:r>
      <w:proofErr w:type="spellEnd"/>
      <w:r w:rsidRPr="00B40EF7">
        <w:rPr>
          <w:rFonts w:ascii="Times New Roman" w:hAnsi="Times New Roman"/>
          <w:sz w:val="20"/>
          <w:szCs w:val="20"/>
        </w:rPr>
        <w:t xml:space="preserve"> regulation of reactive oxygen species in fish inflammation. </w:t>
      </w:r>
      <w:r w:rsidRPr="00B40EF7">
        <w:rPr>
          <w:rFonts w:ascii="Times New Roman" w:hAnsi="Times New Roman"/>
          <w:i/>
          <w:iCs/>
          <w:sz w:val="20"/>
          <w:szCs w:val="20"/>
        </w:rPr>
        <w:t>Reviews in Aquaculture</w:t>
      </w:r>
      <w:r w:rsidRPr="00B40EF7">
        <w:rPr>
          <w:rFonts w:ascii="Times New Roman" w:hAnsi="Times New Roman"/>
          <w:sz w:val="20"/>
          <w:szCs w:val="20"/>
        </w:rPr>
        <w:t>, </w:t>
      </w:r>
      <w:r w:rsidRPr="00B40EF7">
        <w:rPr>
          <w:rFonts w:ascii="Times New Roman" w:hAnsi="Times New Roman"/>
          <w:i/>
          <w:iCs/>
          <w:sz w:val="20"/>
          <w:szCs w:val="20"/>
        </w:rPr>
        <w:t>16</w:t>
      </w:r>
      <w:r w:rsidRPr="00B40EF7">
        <w:rPr>
          <w:rFonts w:ascii="Times New Roman" w:hAnsi="Times New Roman"/>
          <w:sz w:val="20"/>
          <w:szCs w:val="20"/>
        </w:rPr>
        <w:t>(3), 1266-1285.</w:t>
      </w:r>
      <w:r w:rsidR="00ED243C" w:rsidRPr="00B40EF7">
        <w:rPr>
          <w:rFonts w:ascii="Times New Roman" w:hAnsi="Times New Roman"/>
          <w:sz w:val="20"/>
          <w:szCs w:val="20"/>
        </w:rPr>
        <w:t xml:space="preserve"> </w:t>
      </w:r>
      <w:hyperlink r:id="rId13" w:history="1">
        <w:r w:rsidR="00AC1396" w:rsidRPr="00B40EF7">
          <w:rPr>
            <w:rStyle w:val="Hyperlink"/>
            <w:rFonts w:ascii="Times New Roman" w:hAnsi="Times New Roman"/>
            <w:sz w:val="20"/>
            <w:szCs w:val="20"/>
          </w:rPr>
          <w:t>https://doi.org/10.1111/raq.12895</w:t>
        </w:r>
      </w:hyperlink>
    </w:p>
    <w:p w14:paraId="49FA7F9A" w14:textId="3F188F97" w:rsidR="00413FFF" w:rsidRPr="00B40EF7" w:rsidRDefault="00413FFF"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Guderley, H. (2004). Metabolic responses to low temperature in fish muscle. </w:t>
      </w:r>
      <w:r w:rsidRPr="00B40EF7">
        <w:rPr>
          <w:rFonts w:ascii="Times New Roman" w:hAnsi="Times New Roman"/>
          <w:i/>
          <w:iCs/>
          <w:sz w:val="20"/>
          <w:szCs w:val="20"/>
        </w:rPr>
        <w:t>Biological reviews</w:t>
      </w:r>
      <w:r w:rsidRPr="00B40EF7">
        <w:rPr>
          <w:rFonts w:ascii="Times New Roman" w:hAnsi="Times New Roman"/>
          <w:sz w:val="20"/>
          <w:szCs w:val="20"/>
        </w:rPr>
        <w:t>, </w:t>
      </w:r>
      <w:r w:rsidRPr="00B40EF7">
        <w:rPr>
          <w:rFonts w:ascii="Times New Roman" w:hAnsi="Times New Roman"/>
          <w:i/>
          <w:iCs/>
          <w:sz w:val="20"/>
          <w:szCs w:val="20"/>
        </w:rPr>
        <w:t>79</w:t>
      </w:r>
      <w:r w:rsidRPr="00B40EF7">
        <w:rPr>
          <w:rFonts w:ascii="Times New Roman" w:hAnsi="Times New Roman"/>
          <w:sz w:val="20"/>
          <w:szCs w:val="20"/>
        </w:rPr>
        <w:t>(2), 409-427.</w:t>
      </w:r>
      <w:r w:rsidR="00EC1C41" w:rsidRPr="00B40EF7">
        <w:rPr>
          <w:rFonts w:ascii="Times New Roman" w:hAnsi="Times New Roman"/>
          <w:sz w:val="20"/>
          <w:szCs w:val="20"/>
        </w:rPr>
        <w:t xml:space="preserve"> </w:t>
      </w:r>
      <w:hyperlink r:id="rId14" w:history="1">
        <w:r w:rsidR="00EC1C41" w:rsidRPr="00B40EF7">
          <w:rPr>
            <w:rStyle w:val="Hyperlink"/>
            <w:rFonts w:ascii="Times New Roman" w:hAnsi="Times New Roman"/>
            <w:sz w:val="20"/>
            <w:szCs w:val="20"/>
          </w:rPr>
          <w:t>https://doi.org/10.1017/S1464793103006328</w:t>
        </w:r>
      </w:hyperlink>
    </w:p>
    <w:p w14:paraId="089BEDB4" w14:textId="3D8DA23A" w:rsidR="00E1337A" w:rsidRPr="00B40EF7" w:rsidRDefault="00E1337A"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Hadwan</w:t>
      </w:r>
      <w:proofErr w:type="spellEnd"/>
      <w:r w:rsidRPr="00B40EF7">
        <w:rPr>
          <w:rFonts w:ascii="Times New Roman" w:hAnsi="Times New Roman"/>
          <w:sz w:val="20"/>
          <w:szCs w:val="20"/>
        </w:rPr>
        <w:t>, M. H., &amp; Abed, H. N. (2016). Data supporting the spectrophotometric method for the estimation of catalase activity. </w:t>
      </w:r>
      <w:r w:rsidRPr="00B40EF7">
        <w:rPr>
          <w:rFonts w:ascii="Times New Roman" w:hAnsi="Times New Roman"/>
          <w:i/>
          <w:iCs/>
          <w:sz w:val="20"/>
          <w:szCs w:val="20"/>
        </w:rPr>
        <w:t>Data in brief</w:t>
      </w:r>
      <w:r w:rsidRPr="00B40EF7">
        <w:rPr>
          <w:rFonts w:ascii="Times New Roman" w:hAnsi="Times New Roman"/>
          <w:sz w:val="20"/>
          <w:szCs w:val="20"/>
        </w:rPr>
        <w:t>, </w:t>
      </w:r>
      <w:r w:rsidRPr="00B40EF7">
        <w:rPr>
          <w:rFonts w:ascii="Times New Roman" w:hAnsi="Times New Roman"/>
          <w:i/>
          <w:iCs/>
          <w:sz w:val="20"/>
          <w:szCs w:val="20"/>
        </w:rPr>
        <w:t>6</w:t>
      </w:r>
      <w:r w:rsidRPr="00B40EF7">
        <w:rPr>
          <w:rFonts w:ascii="Times New Roman" w:hAnsi="Times New Roman"/>
          <w:sz w:val="20"/>
          <w:szCs w:val="20"/>
        </w:rPr>
        <w:t>, 194-199.</w:t>
      </w:r>
      <w:r w:rsidR="00EC1C41" w:rsidRPr="00B40EF7">
        <w:rPr>
          <w:rFonts w:ascii="Times New Roman" w:hAnsi="Times New Roman"/>
          <w:sz w:val="20"/>
          <w:szCs w:val="20"/>
        </w:rPr>
        <w:t xml:space="preserve"> </w:t>
      </w:r>
      <w:hyperlink r:id="rId15" w:history="1">
        <w:r w:rsidR="00EC1C41" w:rsidRPr="00B40EF7">
          <w:rPr>
            <w:rStyle w:val="Hyperlink"/>
            <w:rFonts w:ascii="Times New Roman" w:hAnsi="Times New Roman"/>
            <w:sz w:val="20"/>
            <w:szCs w:val="20"/>
          </w:rPr>
          <w:t>https://doi.org/10.1016/j.dib.2015.12.012</w:t>
        </w:r>
      </w:hyperlink>
    </w:p>
    <w:p w14:paraId="5C4FDFB5" w14:textId="130AA0F4" w:rsidR="00B16C9F" w:rsidRPr="00B40EF7" w:rsidRDefault="00B16C9F"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Kaur, R., Gupta, A. K., &amp; </w:t>
      </w:r>
      <w:proofErr w:type="spellStart"/>
      <w:r w:rsidRPr="00B40EF7">
        <w:rPr>
          <w:rFonts w:ascii="Times New Roman" w:hAnsi="Times New Roman"/>
          <w:sz w:val="20"/>
          <w:szCs w:val="20"/>
        </w:rPr>
        <w:t>Taggar</w:t>
      </w:r>
      <w:proofErr w:type="spellEnd"/>
      <w:r w:rsidRPr="00B40EF7">
        <w:rPr>
          <w:rFonts w:ascii="Times New Roman" w:hAnsi="Times New Roman"/>
          <w:sz w:val="20"/>
          <w:szCs w:val="20"/>
        </w:rPr>
        <w:t xml:space="preserve">, G. K. (2014). Role of catalase, H2O2 and phenolics in resistance of </w:t>
      </w:r>
      <w:proofErr w:type="spellStart"/>
      <w:r w:rsidRPr="00B40EF7">
        <w:rPr>
          <w:rFonts w:ascii="Times New Roman" w:hAnsi="Times New Roman"/>
          <w:sz w:val="20"/>
          <w:szCs w:val="20"/>
        </w:rPr>
        <w:t>pigeonpea</w:t>
      </w:r>
      <w:proofErr w:type="spellEnd"/>
      <w:r w:rsidRPr="00B40EF7">
        <w:rPr>
          <w:rFonts w:ascii="Times New Roman" w:hAnsi="Times New Roman"/>
          <w:sz w:val="20"/>
          <w:szCs w:val="20"/>
        </w:rPr>
        <w:t xml:space="preserve"> towards </w:t>
      </w:r>
      <w:proofErr w:type="spellStart"/>
      <w:r w:rsidRPr="00B40EF7">
        <w:rPr>
          <w:rFonts w:ascii="Times New Roman" w:hAnsi="Times New Roman"/>
          <w:sz w:val="20"/>
          <w:szCs w:val="20"/>
        </w:rPr>
        <w:t>Helicoverpa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armigera</w:t>
      </w:r>
      <w:proofErr w:type="spellEnd"/>
      <w:r w:rsidRPr="00B40EF7">
        <w:rPr>
          <w:rFonts w:ascii="Times New Roman" w:hAnsi="Times New Roman"/>
          <w:sz w:val="20"/>
          <w:szCs w:val="20"/>
        </w:rPr>
        <w:t xml:space="preserve"> (Hubner). </w:t>
      </w:r>
      <w:r w:rsidRPr="00B40EF7">
        <w:rPr>
          <w:rFonts w:ascii="Times New Roman" w:hAnsi="Times New Roman"/>
          <w:i/>
          <w:iCs/>
          <w:sz w:val="20"/>
          <w:szCs w:val="20"/>
        </w:rPr>
        <w:t xml:space="preserve">Acta </w:t>
      </w:r>
      <w:proofErr w:type="spellStart"/>
      <w:r w:rsidRPr="00B40EF7">
        <w:rPr>
          <w:rFonts w:ascii="Times New Roman" w:hAnsi="Times New Roman"/>
          <w:i/>
          <w:iCs/>
          <w:sz w:val="20"/>
          <w:szCs w:val="20"/>
        </w:rPr>
        <w:t>Physiologiae</w:t>
      </w:r>
      <w:proofErr w:type="spellEnd"/>
      <w:r w:rsidRPr="00B40EF7">
        <w:rPr>
          <w:rFonts w:ascii="Times New Roman" w:hAnsi="Times New Roman"/>
          <w:i/>
          <w:iCs/>
          <w:sz w:val="20"/>
          <w:szCs w:val="20"/>
        </w:rPr>
        <w:t xml:space="preserve"> Plantarum</w:t>
      </w:r>
      <w:r w:rsidRPr="00B40EF7">
        <w:rPr>
          <w:rFonts w:ascii="Times New Roman" w:hAnsi="Times New Roman"/>
          <w:sz w:val="20"/>
          <w:szCs w:val="20"/>
        </w:rPr>
        <w:t>, </w:t>
      </w:r>
      <w:r w:rsidRPr="00B40EF7">
        <w:rPr>
          <w:rFonts w:ascii="Times New Roman" w:hAnsi="Times New Roman"/>
          <w:i/>
          <w:iCs/>
          <w:sz w:val="20"/>
          <w:szCs w:val="20"/>
        </w:rPr>
        <w:t>36</w:t>
      </w:r>
      <w:r w:rsidRPr="00B40EF7">
        <w:rPr>
          <w:rFonts w:ascii="Times New Roman" w:hAnsi="Times New Roman"/>
          <w:sz w:val="20"/>
          <w:szCs w:val="20"/>
        </w:rPr>
        <w:t>(6), 1513-1527.</w:t>
      </w:r>
      <w:r w:rsidR="00611F24" w:rsidRPr="00B40EF7">
        <w:rPr>
          <w:rFonts w:ascii="Times New Roman" w:hAnsi="Times New Roman"/>
          <w:sz w:val="20"/>
          <w:szCs w:val="20"/>
        </w:rPr>
        <w:t xml:space="preserve"> </w:t>
      </w:r>
      <w:hyperlink r:id="rId16" w:history="1">
        <w:r w:rsidR="00FB0C16" w:rsidRPr="00B40EF7">
          <w:rPr>
            <w:rStyle w:val="Hyperlink"/>
            <w:rFonts w:ascii="Times New Roman" w:hAnsi="Times New Roman"/>
            <w:sz w:val="20"/>
            <w:szCs w:val="20"/>
          </w:rPr>
          <w:t>https://doi.org/10.1007/s11738-014-1528-6</w:t>
        </w:r>
      </w:hyperlink>
    </w:p>
    <w:p w14:paraId="05ED9D94" w14:textId="60F746AE" w:rsidR="00FB0C16" w:rsidRPr="00B40EF7" w:rsidRDefault="00FB0C1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Li, S., Wang, A., Li, Z., Zhang, J., Sang, C., &amp; Chen, N. (2020). Antioxidant defenses and non-specific immunity at enzymatic and transcriptional levels in response to dietary carbohydrate in a typical carnivorous fish, hybrid grouper (</w:t>
      </w:r>
      <w:proofErr w:type="spellStart"/>
      <w:r w:rsidRPr="00B40EF7">
        <w:rPr>
          <w:rFonts w:ascii="Times New Roman" w:hAnsi="Times New Roman"/>
          <w:sz w:val="20"/>
          <w:szCs w:val="20"/>
        </w:rPr>
        <w:t>Epinephelus</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fuscoguttatus</w:t>
      </w:r>
      <w:proofErr w:type="spellEnd"/>
      <w:r w:rsidRPr="00B40EF7">
        <w:rPr>
          <w:rFonts w:ascii="Times New Roman" w:hAnsi="Times New Roman"/>
          <w:sz w:val="20"/>
          <w:szCs w:val="20"/>
        </w:rPr>
        <w:t>♀× E. lanceolatus♂).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100</w:t>
      </w:r>
      <w:r w:rsidRPr="00B40EF7">
        <w:rPr>
          <w:rFonts w:ascii="Times New Roman" w:hAnsi="Times New Roman"/>
          <w:sz w:val="20"/>
          <w:szCs w:val="20"/>
        </w:rPr>
        <w:t xml:space="preserve">, 109-116. </w:t>
      </w:r>
      <w:hyperlink r:id="rId17" w:history="1">
        <w:r w:rsidR="00B55839" w:rsidRPr="00B40EF7">
          <w:rPr>
            <w:rStyle w:val="Hyperlink"/>
            <w:rFonts w:ascii="Times New Roman" w:hAnsi="Times New Roman"/>
            <w:sz w:val="20"/>
            <w:szCs w:val="20"/>
          </w:rPr>
          <w:t>https://doi.org/10.1016/j.fsi.2020.03.015</w:t>
        </w:r>
      </w:hyperlink>
    </w:p>
    <w:p w14:paraId="69CF84A1" w14:textId="7E1CB227" w:rsidR="00B55839" w:rsidRPr="00B40EF7" w:rsidRDefault="00B5583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lastRenderedPageBreak/>
        <w:t>Liu, Y., Tian, C., Yang, Z., Huang, C., Jiao, K., Yang, L., ... &amp; Li, G. (2024). Effects of chronic heat stress on growth, apoptosis, antioxidant enzymes, transcriptomic profiles, and immune-related genes of Hong Kong catfish (Clarias fuscus). </w:t>
      </w:r>
      <w:r w:rsidRPr="00B40EF7">
        <w:rPr>
          <w:rFonts w:ascii="Times New Roman" w:hAnsi="Times New Roman"/>
          <w:i/>
          <w:iCs/>
          <w:sz w:val="20"/>
          <w:szCs w:val="20"/>
        </w:rPr>
        <w:t>Animals</w:t>
      </w:r>
      <w:r w:rsidRPr="00B40EF7">
        <w:rPr>
          <w:rFonts w:ascii="Times New Roman" w:hAnsi="Times New Roman"/>
          <w:sz w:val="20"/>
          <w:szCs w:val="20"/>
        </w:rPr>
        <w:t>, </w:t>
      </w:r>
      <w:r w:rsidRPr="00B40EF7">
        <w:rPr>
          <w:rFonts w:ascii="Times New Roman" w:hAnsi="Times New Roman"/>
          <w:i/>
          <w:iCs/>
          <w:sz w:val="20"/>
          <w:szCs w:val="20"/>
        </w:rPr>
        <w:t>14</w:t>
      </w:r>
      <w:r w:rsidRPr="00B40EF7">
        <w:rPr>
          <w:rFonts w:ascii="Times New Roman" w:hAnsi="Times New Roman"/>
          <w:sz w:val="20"/>
          <w:szCs w:val="20"/>
        </w:rPr>
        <w:t xml:space="preserve">(7), 1006. </w:t>
      </w:r>
      <w:hyperlink r:id="rId18" w:history="1">
        <w:r w:rsidR="00EC1C41" w:rsidRPr="00B40EF7">
          <w:rPr>
            <w:rStyle w:val="Hyperlink"/>
            <w:rFonts w:ascii="Times New Roman" w:hAnsi="Times New Roman"/>
            <w:sz w:val="20"/>
            <w:szCs w:val="20"/>
          </w:rPr>
          <w:t>https://doi.org/10.3390/ani14071006</w:t>
        </w:r>
      </w:hyperlink>
    </w:p>
    <w:p w14:paraId="26BD5CE0" w14:textId="37937BFA" w:rsidR="00C64B0A" w:rsidRPr="00B40EF7" w:rsidRDefault="00C64B0A"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Maiti, S., &amp; Chatterjee, A. K. (2001). Effects on levels of glutathione and some related enzymes in tissues after an acute arsenic exposure in rats and their relationship to dietary protein deficiency. </w:t>
      </w:r>
      <w:r w:rsidRPr="00B40EF7">
        <w:rPr>
          <w:rFonts w:ascii="Times New Roman" w:hAnsi="Times New Roman"/>
          <w:i/>
          <w:iCs/>
          <w:sz w:val="20"/>
          <w:szCs w:val="20"/>
        </w:rPr>
        <w:t>Archives of Toxicology</w:t>
      </w:r>
      <w:r w:rsidRPr="00B40EF7">
        <w:rPr>
          <w:rFonts w:ascii="Times New Roman" w:hAnsi="Times New Roman"/>
          <w:sz w:val="20"/>
          <w:szCs w:val="20"/>
        </w:rPr>
        <w:t>, </w:t>
      </w:r>
      <w:r w:rsidRPr="00B40EF7">
        <w:rPr>
          <w:rFonts w:ascii="Times New Roman" w:hAnsi="Times New Roman"/>
          <w:i/>
          <w:iCs/>
          <w:sz w:val="20"/>
          <w:szCs w:val="20"/>
        </w:rPr>
        <w:t>75</w:t>
      </w:r>
      <w:r w:rsidRPr="00B40EF7">
        <w:rPr>
          <w:rFonts w:ascii="Times New Roman" w:hAnsi="Times New Roman"/>
          <w:sz w:val="20"/>
          <w:szCs w:val="20"/>
        </w:rPr>
        <w:t xml:space="preserve">(9), 531-537. </w:t>
      </w:r>
      <w:hyperlink r:id="rId19" w:history="1">
        <w:r w:rsidR="00337BC0" w:rsidRPr="00B40EF7">
          <w:rPr>
            <w:rStyle w:val="Hyperlink"/>
            <w:rFonts w:ascii="Times New Roman" w:hAnsi="Times New Roman"/>
            <w:sz w:val="20"/>
            <w:szCs w:val="20"/>
          </w:rPr>
          <w:t>https://doi.org/10.1007/s002040100240</w:t>
        </w:r>
      </w:hyperlink>
    </w:p>
    <w:p w14:paraId="1BB9081C" w14:textId="096CD194" w:rsidR="00337BC0" w:rsidRPr="00B40EF7" w:rsidRDefault="00337BC0"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Okogwu</w:t>
      </w:r>
      <w:proofErr w:type="spellEnd"/>
      <w:r w:rsidRPr="00B40EF7">
        <w:rPr>
          <w:rFonts w:ascii="Times New Roman" w:hAnsi="Times New Roman"/>
          <w:sz w:val="20"/>
          <w:szCs w:val="20"/>
        </w:rPr>
        <w:t>, O. I., Xie, P., Zhao, Y., &amp; Fan, H. (2014). Organ-dependent response in antioxidants, myoglobin and neuroglobin in goldfish (Carassius auratus) exposed to MC-RR under varying oxygen level.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112</w:t>
      </w:r>
      <w:r w:rsidRPr="00B40EF7">
        <w:rPr>
          <w:rFonts w:ascii="Times New Roman" w:hAnsi="Times New Roman"/>
          <w:sz w:val="20"/>
          <w:szCs w:val="20"/>
        </w:rPr>
        <w:t xml:space="preserve">, 427-434. </w:t>
      </w:r>
      <w:hyperlink r:id="rId20" w:history="1">
        <w:r w:rsidR="00EC1C41" w:rsidRPr="00B40EF7">
          <w:rPr>
            <w:rStyle w:val="Hyperlink"/>
            <w:rFonts w:ascii="Times New Roman" w:hAnsi="Times New Roman"/>
            <w:sz w:val="20"/>
            <w:szCs w:val="20"/>
          </w:rPr>
          <w:t>https://doi.org/10.1016/j.chemosphere.2014.05.011</w:t>
        </w:r>
      </w:hyperlink>
    </w:p>
    <w:p w14:paraId="7A712DC6" w14:textId="7B72C235" w:rsidR="002E0632" w:rsidRPr="00B40EF7" w:rsidRDefault="002E0632"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Osazee, K., Anya, C. J., &amp; </w:t>
      </w:r>
      <w:proofErr w:type="spellStart"/>
      <w:r w:rsidRPr="00B40EF7">
        <w:rPr>
          <w:rFonts w:ascii="Times New Roman" w:hAnsi="Times New Roman"/>
          <w:sz w:val="20"/>
          <w:szCs w:val="20"/>
        </w:rPr>
        <w:t>Iribhogbe</w:t>
      </w:r>
      <w:proofErr w:type="spellEnd"/>
      <w:r w:rsidRPr="00B40EF7">
        <w:rPr>
          <w:rFonts w:ascii="Times New Roman" w:hAnsi="Times New Roman"/>
          <w:sz w:val="20"/>
          <w:szCs w:val="20"/>
        </w:rPr>
        <w:t>, O. I. (2024). Impact of Malondialdehyde (MDA) Level on Semen Plasma In Male Infertility. </w:t>
      </w:r>
      <w:r w:rsidRPr="00B40EF7">
        <w:rPr>
          <w:rFonts w:ascii="Times New Roman" w:hAnsi="Times New Roman"/>
          <w:i/>
          <w:iCs/>
          <w:sz w:val="20"/>
          <w:szCs w:val="20"/>
        </w:rPr>
        <w:t>Ibom Medical Journal</w:t>
      </w:r>
      <w:r w:rsidRPr="00B40EF7">
        <w:rPr>
          <w:rFonts w:ascii="Times New Roman" w:hAnsi="Times New Roman"/>
          <w:sz w:val="20"/>
          <w:szCs w:val="20"/>
        </w:rPr>
        <w:t>, </w:t>
      </w:r>
      <w:r w:rsidRPr="00B40EF7">
        <w:rPr>
          <w:rFonts w:ascii="Times New Roman" w:hAnsi="Times New Roman"/>
          <w:i/>
          <w:iCs/>
          <w:sz w:val="20"/>
          <w:szCs w:val="20"/>
        </w:rPr>
        <w:t>17</w:t>
      </w:r>
      <w:r w:rsidRPr="00B40EF7">
        <w:rPr>
          <w:rFonts w:ascii="Times New Roman" w:hAnsi="Times New Roman"/>
          <w:sz w:val="20"/>
          <w:szCs w:val="20"/>
        </w:rPr>
        <w:t xml:space="preserve">(3), 417-422. </w:t>
      </w:r>
      <w:r w:rsidR="001013A7" w:rsidRPr="00B40EF7">
        <w:rPr>
          <w:rFonts w:ascii="Times New Roman" w:hAnsi="Times New Roman"/>
          <w:sz w:val="20"/>
          <w:szCs w:val="20"/>
        </w:rPr>
        <w:t xml:space="preserve">   </w:t>
      </w:r>
      <w:hyperlink r:id="rId21" w:history="1">
        <w:r w:rsidR="00EC1C41" w:rsidRPr="00B40EF7">
          <w:rPr>
            <w:rStyle w:val="Hyperlink"/>
            <w:rFonts w:ascii="Times New Roman" w:hAnsi="Times New Roman"/>
            <w:sz w:val="20"/>
            <w:szCs w:val="20"/>
          </w:rPr>
          <w:t>https://doi.org/10.61386/imj.v17i3.485</w:t>
        </w:r>
      </w:hyperlink>
    </w:p>
    <w:p w14:paraId="75C1EFF2" w14:textId="544974A9" w:rsidR="00647A76" w:rsidRPr="00B40EF7" w:rsidRDefault="00CE2AD7"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Pörtner</w:t>
      </w:r>
      <w:proofErr w:type="spellEnd"/>
      <w:r w:rsidRPr="00B40EF7">
        <w:rPr>
          <w:rFonts w:ascii="Times New Roman" w:hAnsi="Times New Roman"/>
          <w:sz w:val="20"/>
          <w:szCs w:val="20"/>
        </w:rPr>
        <w:t>, H. O., Peck, L., &amp; Somero, G. (2007). Thermal limits and adaptation in marine Antarctic ectotherms: an integrative view. </w:t>
      </w:r>
      <w:r w:rsidRPr="00B40EF7">
        <w:rPr>
          <w:rFonts w:ascii="Times New Roman" w:hAnsi="Times New Roman"/>
          <w:i/>
          <w:iCs/>
          <w:sz w:val="20"/>
          <w:szCs w:val="20"/>
        </w:rPr>
        <w:t>Philosophical Transactions of the Royal Society B: Biological Sciences</w:t>
      </w:r>
      <w:r w:rsidRPr="00B40EF7">
        <w:rPr>
          <w:rFonts w:ascii="Times New Roman" w:hAnsi="Times New Roman"/>
          <w:sz w:val="20"/>
          <w:szCs w:val="20"/>
        </w:rPr>
        <w:t>, </w:t>
      </w:r>
      <w:r w:rsidRPr="00B40EF7">
        <w:rPr>
          <w:rFonts w:ascii="Times New Roman" w:hAnsi="Times New Roman"/>
          <w:i/>
          <w:iCs/>
          <w:sz w:val="20"/>
          <w:szCs w:val="20"/>
        </w:rPr>
        <w:t>362</w:t>
      </w:r>
      <w:r w:rsidRPr="00B40EF7">
        <w:rPr>
          <w:rFonts w:ascii="Times New Roman" w:hAnsi="Times New Roman"/>
          <w:sz w:val="20"/>
          <w:szCs w:val="20"/>
        </w:rPr>
        <w:t>(1488), 2233-2258.</w:t>
      </w:r>
      <w:r w:rsidR="00EC1C41" w:rsidRPr="00B40EF7">
        <w:rPr>
          <w:rFonts w:ascii="Times New Roman" w:hAnsi="Times New Roman"/>
          <w:sz w:val="20"/>
          <w:szCs w:val="20"/>
        </w:rPr>
        <w:t xml:space="preserve"> </w:t>
      </w:r>
      <w:hyperlink r:id="rId22" w:history="1">
        <w:r w:rsidR="00EC1C41" w:rsidRPr="00B40EF7">
          <w:rPr>
            <w:rStyle w:val="Hyperlink"/>
            <w:rFonts w:ascii="Times New Roman" w:hAnsi="Times New Roman"/>
            <w:sz w:val="20"/>
            <w:szCs w:val="20"/>
          </w:rPr>
          <w:t>https://doi.org/10.1098/rstb.2006.1947</w:t>
        </w:r>
      </w:hyperlink>
    </w:p>
    <w:p w14:paraId="71624BD0" w14:textId="1FC44342" w:rsidR="00034DB8" w:rsidRPr="00B40EF7" w:rsidRDefault="00034DB8"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Saha, R., &amp; Dutta, S. M. (2024). Pesticides’ mode of action on aquatic life. </w:t>
      </w:r>
      <w:r w:rsidRPr="00B40EF7">
        <w:rPr>
          <w:rFonts w:ascii="Times New Roman" w:hAnsi="Times New Roman"/>
          <w:i/>
          <w:iCs/>
          <w:sz w:val="20"/>
          <w:szCs w:val="20"/>
        </w:rPr>
        <w:t>Toxicology Reports</w:t>
      </w:r>
      <w:r w:rsidRPr="00B40EF7">
        <w:rPr>
          <w:rFonts w:ascii="Times New Roman" w:hAnsi="Times New Roman"/>
          <w:sz w:val="20"/>
          <w:szCs w:val="20"/>
        </w:rPr>
        <w:t>, </w:t>
      </w:r>
      <w:r w:rsidRPr="00B40EF7">
        <w:rPr>
          <w:rFonts w:ascii="Times New Roman" w:hAnsi="Times New Roman"/>
          <w:i/>
          <w:iCs/>
          <w:sz w:val="20"/>
          <w:szCs w:val="20"/>
        </w:rPr>
        <w:t>13</w:t>
      </w:r>
      <w:r w:rsidRPr="00B40EF7">
        <w:rPr>
          <w:rFonts w:ascii="Times New Roman" w:hAnsi="Times New Roman"/>
          <w:sz w:val="20"/>
          <w:szCs w:val="20"/>
        </w:rPr>
        <w:t xml:space="preserve">, 101780. </w:t>
      </w:r>
      <w:hyperlink r:id="rId23" w:history="1">
        <w:r w:rsidR="00EC061C" w:rsidRPr="00B40EF7">
          <w:rPr>
            <w:rStyle w:val="Hyperlink"/>
            <w:rFonts w:ascii="Times New Roman" w:hAnsi="Times New Roman"/>
            <w:sz w:val="20"/>
            <w:szCs w:val="20"/>
          </w:rPr>
          <w:t>https://doi.org/10.1016/j.toxrep.2024.101780</w:t>
        </w:r>
      </w:hyperlink>
    </w:p>
    <w:p w14:paraId="46C53700" w14:textId="07E4F49D" w:rsidR="00EC061C" w:rsidRPr="00B40EF7" w:rsidRDefault="00EC061C"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Saha, R., &amp; Dutta, S. M. (2025). Pyrethroids have become a barrier to the daily existence of </w:t>
      </w:r>
      <w:proofErr w:type="spellStart"/>
      <w:r w:rsidRPr="00B40EF7">
        <w:rPr>
          <w:rFonts w:ascii="Times New Roman" w:hAnsi="Times New Roman"/>
          <w:sz w:val="20"/>
          <w:szCs w:val="20"/>
        </w:rPr>
        <w:t>molluscs</w:t>
      </w:r>
      <w:proofErr w:type="spellEnd"/>
      <w:r w:rsidRPr="00B40EF7">
        <w:rPr>
          <w:rFonts w:ascii="Times New Roman" w:hAnsi="Times New Roman"/>
          <w:sz w:val="20"/>
          <w:szCs w:val="20"/>
        </w:rPr>
        <w:t>. </w:t>
      </w:r>
      <w:r w:rsidRPr="00B40EF7">
        <w:rPr>
          <w:rFonts w:ascii="Times New Roman" w:hAnsi="Times New Roman"/>
          <w:i/>
          <w:iCs/>
          <w:sz w:val="20"/>
          <w:szCs w:val="20"/>
        </w:rPr>
        <w:t>Journal of Hazardous Materials Letters</w:t>
      </w:r>
      <w:r w:rsidRPr="00B40EF7">
        <w:rPr>
          <w:rFonts w:ascii="Times New Roman" w:hAnsi="Times New Roman"/>
          <w:sz w:val="20"/>
          <w:szCs w:val="20"/>
        </w:rPr>
        <w:t xml:space="preserve">, 100144. </w:t>
      </w:r>
      <w:hyperlink r:id="rId24" w:history="1">
        <w:r w:rsidR="00EC1C41" w:rsidRPr="00B40EF7">
          <w:rPr>
            <w:rStyle w:val="Hyperlink"/>
            <w:rFonts w:ascii="Times New Roman" w:hAnsi="Times New Roman"/>
            <w:sz w:val="20"/>
            <w:szCs w:val="20"/>
          </w:rPr>
          <w:t>https://doi.org/10.1016/j.hazl.2025.100144</w:t>
        </w:r>
      </w:hyperlink>
    </w:p>
    <w:p w14:paraId="785AB85F" w14:textId="3CC07E36" w:rsidR="00562459" w:rsidRDefault="00562459" w:rsidP="00B40EF7">
      <w:pPr>
        <w:pStyle w:val="ListParagraph"/>
        <w:numPr>
          <w:ilvl w:val="0"/>
          <w:numId w:val="2"/>
        </w:numPr>
        <w:spacing w:line="480" w:lineRule="auto"/>
        <w:jc w:val="both"/>
        <w:rPr>
          <w:rFonts w:ascii="Times New Roman" w:hAnsi="Times New Roman"/>
          <w:sz w:val="20"/>
          <w:szCs w:val="20"/>
          <w:lang w:val="en-IN"/>
        </w:rPr>
      </w:pPr>
      <w:r w:rsidRPr="00562459">
        <w:rPr>
          <w:rFonts w:ascii="Times New Roman" w:hAnsi="Times New Roman"/>
          <w:sz w:val="20"/>
          <w:szCs w:val="20"/>
          <w:lang w:val="en-IN"/>
        </w:rPr>
        <w:t xml:space="preserve">Saha,  R. (2026). Pyrethroid Induced Neuro-Behavioural Alterations and Physiological Responses in Molluscs (Review). Preprints. </w:t>
      </w:r>
      <w:hyperlink r:id="rId25" w:history="1">
        <w:r w:rsidR="00275223" w:rsidRPr="005E213C">
          <w:rPr>
            <w:rStyle w:val="Hyperlink"/>
            <w:rFonts w:ascii="Times New Roman" w:hAnsi="Times New Roman"/>
            <w:sz w:val="20"/>
            <w:szCs w:val="20"/>
            <w:lang w:val="en-IN"/>
          </w:rPr>
          <w:t>https://doi.org/10.20944/preprints202603.0616.v1</w:t>
        </w:r>
      </w:hyperlink>
    </w:p>
    <w:p w14:paraId="7AC59CFD" w14:textId="19A8B5FF" w:rsidR="00D81B90" w:rsidRPr="00275223" w:rsidRDefault="00D81B90" w:rsidP="00275223">
      <w:pPr>
        <w:pStyle w:val="ListParagraph"/>
        <w:numPr>
          <w:ilvl w:val="0"/>
          <w:numId w:val="2"/>
        </w:numPr>
        <w:spacing w:line="480" w:lineRule="auto"/>
        <w:jc w:val="both"/>
        <w:rPr>
          <w:rFonts w:ascii="Times New Roman" w:hAnsi="Times New Roman"/>
          <w:sz w:val="20"/>
          <w:szCs w:val="20"/>
          <w:lang w:val="en-IN"/>
        </w:rPr>
      </w:pPr>
      <w:r w:rsidRPr="00275223">
        <w:rPr>
          <w:rFonts w:ascii="Times New Roman" w:hAnsi="Times New Roman"/>
          <w:sz w:val="20"/>
          <w:szCs w:val="20"/>
        </w:rPr>
        <w:t xml:space="preserve">Šinko, G., </w:t>
      </w:r>
      <w:proofErr w:type="spellStart"/>
      <w:r w:rsidRPr="00275223">
        <w:rPr>
          <w:rFonts w:ascii="Times New Roman" w:hAnsi="Times New Roman"/>
          <w:sz w:val="20"/>
          <w:szCs w:val="20"/>
        </w:rPr>
        <w:t>Čalić</w:t>
      </w:r>
      <w:proofErr w:type="spellEnd"/>
      <w:r w:rsidRPr="00275223">
        <w:rPr>
          <w:rFonts w:ascii="Times New Roman" w:hAnsi="Times New Roman"/>
          <w:sz w:val="20"/>
          <w:szCs w:val="20"/>
        </w:rPr>
        <w:t>, M., Bosak, A., &amp; Kovarik, Z. (2007). Limitation of the Ellman method: Cholinesterase activity measurement in the presence of oximes. </w:t>
      </w:r>
      <w:r w:rsidRPr="00275223">
        <w:rPr>
          <w:rFonts w:ascii="Times New Roman" w:hAnsi="Times New Roman"/>
          <w:i/>
          <w:iCs/>
          <w:sz w:val="20"/>
          <w:szCs w:val="20"/>
        </w:rPr>
        <w:t>Analytical biochemistry</w:t>
      </w:r>
      <w:r w:rsidRPr="00275223">
        <w:rPr>
          <w:rFonts w:ascii="Times New Roman" w:hAnsi="Times New Roman"/>
          <w:sz w:val="20"/>
          <w:szCs w:val="20"/>
        </w:rPr>
        <w:t>, </w:t>
      </w:r>
      <w:r w:rsidRPr="00275223">
        <w:rPr>
          <w:rFonts w:ascii="Times New Roman" w:hAnsi="Times New Roman"/>
          <w:i/>
          <w:iCs/>
          <w:sz w:val="20"/>
          <w:szCs w:val="20"/>
        </w:rPr>
        <w:t>370</w:t>
      </w:r>
      <w:r w:rsidRPr="00275223">
        <w:rPr>
          <w:rFonts w:ascii="Times New Roman" w:hAnsi="Times New Roman"/>
          <w:sz w:val="20"/>
          <w:szCs w:val="20"/>
        </w:rPr>
        <w:t xml:space="preserve">(2), 223-227. </w:t>
      </w:r>
      <w:hyperlink r:id="rId26" w:history="1">
        <w:r w:rsidR="00117979" w:rsidRPr="00275223">
          <w:rPr>
            <w:rStyle w:val="Hyperlink"/>
            <w:rFonts w:ascii="Times New Roman" w:hAnsi="Times New Roman"/>
            <w:sz w:val="20"/>
            <w:szCs w:val="20"/>
          </w:rPr>
          <w:t>https://doi.org/10.1016/j.ab.2007.07.023</w:t>
        </w:r>
      </w:hyperlink>
    </w:p>
    <w:p w14:paraId="5CED8557" w14:textId="43A65751" w:rsidR="00117979" w:rsidRPr="00B40EF7" w:rsidRDefault="0011797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Webb, A. A., Seki, M., Satake, A., &amp; </w:t>
      </w:r>
      <w:proofErr w:type="spellStart"/>
      <w:r w:rsidRPr="00B40EF7">
        <w:rPr>
          <w:rFonts w:ascii="Times New Roman" w:hAnsi="Times New Roman"/>
          <w:sz w:val="20"/>
          <w:szCs w:val="20"/>
        </w:rPr>
        <w:t>Caldana</w:t>
      </w:r>
      <w:proofErr w:type="spellEnd"/>
      <w:r w:rsidRPr="00B40EF7">
        <w:rPr>
          <w:rFonts w:ascii="Times New Roman" w:hAnsi="Times New Roman"/>
          <w:sz w:val="20"/>
          <w:szCs w:val="20"/>
        </w:rPr>
        <w:t>, C. (2019). Continuous dynamic adjustment of the plant circadian oscillator. </w:t>
      </w:r>
      <w:r w:rsidRPr="00B40EF7">
        <w:rPr>
          <w:rFonts w:ascii="Times New Roman" w:hAnsi="Times New Roman"/>
          <w:i/>
          <w:iCs/>
          <w:sz w:val="20"/>
          <w:szCs w:val="20"/>
        </w:rPr>
        <w:t>Nature communications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(1), 550. </w:t>
      </w:r>
      <w:hyperlink r:id="rId27" w:history="1">
        <w:r w:rsidR="00EC1C41" w:rsidRPr="00B40EF7">
          <w:rPr>
            <w:rStyle w:val="Hyperlink"/>
            <w:rFonts w:ascii="Times New Roman" w:hAnsi="Times New Roman"/>
            <w:sz w:val="20"/>
            <w:szCs w:val="20"/>
          </w:rPr>
          <w:t>https://doi.org/10.1038/s41467-019-08398-5</w:t>
        </w:r>
      </w:hyperlink>
    </w:p>
    <w:p w14:paraId="2B90343C" w14:textId="2FA6C110" w:rsidR="000F0EB5" w:rsidRPr="00B40EF7" w:rsidRDefault="000F0EB5"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Wei, J., Zhou, T., Hu, Z., Li, Y., Yuan, H., Zhao, K., ... &amp; Liu, C. (2018). Effects of triclocarban on oxidative stress and innate immune response in zebrafish embryos.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210</w:t>
      </w:r>
      <w:r w:rsidRPr="00B40EF7">
        <w:rPr>
          <w:rFonts w:ascii="Times New Roman" w:hAnsi="Times New Roman"/>
          <w:sz w:val="20"/>
          <w:szCs w:val="20"/>
        </w:rPr>
        <w:t>, 93-101.</w:t>
      </w:r>
      <w:r w:rsidR="00EC1C41" w:rsidRPr="00B40EF7">
        <w:rPr>
          <w:rFonts w:ascii="Times New Roman" w:hAnsi="Times New Roman"/>
          <w:sz w:val="20"/>
          <w:szCs w:val="20"/>
        </w:rPr>
        <w:t xml:space="preserve"> </w:t>
      </w:r>
      <w:hyperlink r:id="rId28" w:history="1">
        <w:r w:rsidR="00EC1C41" w:rsidRPr="00B40EF7">
          <w:rPr>
            <w:rStyle w:val="Hyperlink"/>
            <w:rFonts w:ascii="Times New Roman" w:hAnsi="Times New Roman"/>
            <w:sz w:val="20"/>
            <w:szCs w:val="20"/>
          </w:rPr>
          <w:t>https://doi.org/10.1016/j.chemosphere.2018.06.163</w:t>
        </w:r>
      </w:hyperlink>
    </w:p>
    <w:p w14:paraId="70EEACEB" w14:textId="71618490" w:rsidR="008B1FC6" w:rsidRPr="00B40EF7" w:rsidRDefault="008B1FC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lastRenderedPageBreak/>
        <w:t>Yang, S., Zhao, T., Ma, A., Huang, Z., Liu, Z., Cui, W., ... &amp; Yuan, C. (2020). Metabolic responses in Scophthalmus maximus kidney subjected to thermal stress.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103</w:t>
      </w:r>
      <w:r w:rsidRPr="00B40EF7">
        <w:rPr>
          <w:rFonts w:ascii="Times New Roman" w:hAnsi="Times New Roman"/>
          <w:sz w:val="20"/>
          <w:szCs w:val="20"/>
        </w:rPr>
        <w:t>, 37-46.</w:t>
      </w:r>
      <w:r w:rsidR="00EC1C41" w:rsidRPr="00B40EF7">
        <w:rPr>
          <w:rFonts w:ascii="Times New Roman" w:hAnsi="Times New Roman"/>
          <w:sz w:val="20"/>
          <w:szCs w:val="20"/>
        </w:rPr>
        <w:t xml:space="preserve"> </w:t>
      </w:r>
      <w:hyperlink r:id="rId29" w:history="1">
        <w:r w:rsidR="00EC1C41" w:rsidRPr="00B40EF7">
          <w:rPr>
            <w:rStyle w:val="Hyperlink"/>
            <w:rFonts w:ascii="Times New Roman" w:hAnsi="Times New Roman"/>
            <w:sz w:val="20"/>
            <w:szCs w:val="20"/>
          </w:rPr>
          <w:t>https://doi.org/10.1016/j.fsi.2020.04.003</w:t>
        </w:r>
      </w:hyperlink>
    </w:p>
    <w:p w14:paraId="4E6FC665" w14:textId="70296D83" w:rsidR="00B611F4" w:rsidRPr="00B40EF7" w:rsidRDefault="00B611F4"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Yengkokpam</w:t>
      </w:r>
      <w:proofErr w:type="spellEnd"/>
      <w:r w:rsidRPr="00B40EF7">
        <w:rPr>
          <w:rFonts w:ascii="Times New Roman" w:hAnsi="Times New Roman"/>
          <w:sz w:val="20"/>
          <w:szCs w:val="20"/>
        </w:rPr>
        <w:t xml:space="preserve">, S., Debnath, D., Pal, A. K., Sahu, N. P., Jain, K. K., </w:t>
      </w:r>
      <w:proofErr w:type="spellStart"/>
      <w:r w:rsidRPr="00B40EF7">
        <w:rPr>
          <w:rFonts w:ascii="Times New Roman" w:hAnsi="Times New Roman"/>
          <w:sz w:val="20"/>
          <w:szCs w:val="20"/>
        </w:rPr>
        <w:t>Norouzitallab</w:t>
      </w:r>
      <w:proofErr w:type="spellEnd"/>
      <w:r w:rsidRPr="00B40EF7">
        <w:rPr>
          <w:rFonts w:ascii="Times New Roman" w:hAnsi="Times New Roman"/>
          <w:sz w:val="20"/>
          <w:szCs w:val="20"/>
        </w:rPr>
        <w:t xml:space="preserve">, P., &amp; Baruah, K. (2013). Short-term periodic feed deprivation in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effect on the activities of digestive, metabolic and anti-oxidative enzymes. </w:t>
      </w:r>
      <w:r w:rsidRPr="00B40EF7">
        <w:rPr>
          <w:rFonts w:ascii="Times New Roman" w:hAnsi="Times New Roman"/>
          <w:i/>
          <w:iCs/>
          <w:sz w:val="20"/>
          <w:szCs w:val="20"/>
        </w:rPr>
        <w:t>Aquaculture</w:t>
      </w:r>
      <w:r w:rsidRPr="00B40EF7">
        <w:rPr>
          <w:rFonts w:ascii="Times New Roman" w:hAnsi="Times New Roman"/>
          <w:sz w:val="20"/>
          <w:szCs w:val="20"/>
        </w:rPr>
        <w:t>, </w:t>
      </w:r>
      <w:r w:rsidRPr="00B40EF7">
        <w:rPr>
          <w:rFonts w:ascii="Times New Roman" w:hAnsi="Times New Roman"/>
          <w:i/>
          <w:iCs/>
          <w:sz w:val="20"/>
          <w:szCs w:val="20"/>
        </w:rPr>
        <w:t>412</w:t>
      </w:r>
      <w:r w:rsidRPr="00B40EF7">
        <w:rPr>
          <w:rFonts w:ascii="Times New Roman" w:hAnsi="Times New Roman"/>
          <w:sz w:val="20"/>
          <w:szCs w:val="20"/>
        </w:rPr>
        <w:t>, 186-192.</w:t>
      </w:r>
      <w:r w:rsidR="00EC1C41" w:rsidRPr="00B40EF7">
        <w:rPr>
          <w:rFonts w:ascii="Times New Roman" w:hAnsi="Times New Roman"/>
          <w:sz w:val="20"/>
          <w:szCs w:val="20"/>
        </w:rPr>
        <w:t xml:space="preserve"> </w:t>
      </w:r>
      <w:hyperlink r:id="rId30" w:history="1">
        <w:r w:rsidR="00EC1C41" w:rsidRPr="00B40EF7">
          <w:rPr>
            <w:rStyle w:val="Hyperlink"/>
            <w:rFonts w:ascii="Times New Roman" w:hAnsi="Times New Roman"/>
            <w:sz w:val="20"/>
            <w:szCs w:val="20"/>
          </w:rPr>
          <w:t>https://doi.org/10.1016/j.aquaculture.2013.07.025</w:t>
        </w:r>
      </w:hyperlink>
    </w:p>
    <w:p w14:paraId="7BE37D66" w14:textId="33889234" w:rsidR="0024141B" w:rsidRPr="00B40EF7" w:rsidRDefault="00ED3504"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Yuan, M., Fang, Q., Lu, W., Wang, X., Hao, T., Chong, C. M., &amp; Chen, S. (2025). Stress in Fish: Neuroendocrine and Neurotransmitter Responses. </w:t>
      </w:r>
      <w:r w:rsidRPr="00B40EF7">
        <w:rPr>
          <w:rFonts w:ascii="Times New Roman" w:hAnsi="Times New Roman"/>
          <w:i/>
          <w:iCs/>
          <w:sz w:val="20"/>
          <w:szCs w:val="20"/>
        </w:rPr>
        <w:t>Fishes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(7), 307. </w:t>
      </w:r>
      <w:hyperlink r:id="rId31" w:history="1">
        <w:r w:rsidR="00EC1C41" w:rsidRPr="00B40EF7">
          <w:rPr>
            <w:rStyle w:val="Hyperlink"/>
            <w:rFonts w:ascii="Times New Roman" w:hAnsi="Times New Roman"/>
            <w:sz w:val="20"/>
            <w:szCs w:val="20"/>
          </w:rPr>
          <w:t>https://doi.org/10.3390/fishes10070307</w:t>
        </w:r>
      </w:hyperlink>
    </w:p>
    <w:p w14:paraId="4AD0592B" w14:textId="4BE71200" w:rsidR="00237626" w:rsidRPr="00B40EF7" w:rsidRDefault="0023762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Yu, H., Deng, W., Zhang, D., Gao, Y., Yang, Z., Shi, X., ... &amp; Ji, H. (2017). Antioxidant defenses of </w:t>
      </w:r>
      <w:proofErr w:type="spellStart"/>
      <w:r w:rsidRPr="00B40EF7">
        <w:rPr>
          <w:rFonts w:ascii="Times New Roman" w:hAnsi="Times New Roman"/>
          <w:sz w:val="20"/>
          <w:szCs w:val="20"/>
        </w:rPr>
        <w:t>Onychostoma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macrolepis</w:t>
      </w:r>
      <w:proofErr w:type="spellEnd"/>
      <w:r w:rsidRPr="00B40EF7">
        <w:rPr>
          <w:rFonts w:ascii="Times New Roman" w:hAnsi="Times New Roman"/>
          <w:sz w:val="20"/>
          <w:szCs w:val="20"/>
        </w:rPr>
        <w:t xml:space="preserve"> in response to thermal stress: insight from mRNA expression and activity of superoxide dismutase and catalase.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66</w:t>
      </w:r>
      <w:r w:rsidRPr="00B40EF7">
        <w:rPr>
          <w:rFonts w:ascii="Times New Roman" w:hAnsi="Times New Roman"/>
          <w:sz w:val="20"/>
          <w:szCs w:val="20"/>
        </w:rPr>
        <w:t xml:space="preserve">, 50-61. </w:t>
      </w:r>
      <w:hyperlink r:id="rId32" w:history="1">
        <w:r w:rsidR="00EC1C41" w:rsidRPr="00B40EF7">
          <w:rPr>
            <w:rStyle w:val="Hyperlink"/>
            <w:rFonts w:ascii="Times New Roman" w:hAnsi="Times New Roman"/>
            <w:sz w:val="20"/>
            <w:szCs w:val="20"/>
          </w:rPr>
          <w:t>https://doi.org/10.1016/j.fsi.2017.04.027</w:t>
        </w:r>
      </w:hyperlink>
    </w:p>
    <w:p w14:paraId="50E1FD4F" w14:textId="1F9F15D7" w:rsidR="00181C5C" w:rsidRPr="00763B1A" w:rsidRDefault="00EC1C41" w:rsidP="00420EAA">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Zheng, J., Cao, J., Mao, Y., Su, Y., &amp; Wang, J. (2019). Effects of thermal stress on oxidative stress and antioxidant response, heat shock proteins expression profiles and histological changes in </w:t>
      </w:r>
      <w:proofErr w:type="spellStart"/>
      <w:r w:rsidRPr="00B40EF7">
        <w:rPr>
          <w:rFonts w:ascii="Times New Roman" w:hAnsi="Times New Roman"/>
          <w:sz w:val="20"/>
          <w:szCs w:val="20"/>
        </w:rPr>
        <w:t>Marsupenaeus</w:t>
      </w:r>
      <w:proofErr w:type="spellEnd"/>
      <w:r w:rsidRPr="00B40EF7">
        <w:rPr>
          <w:rFonts w:ascii="Times New Roman" w:hAnsi="Times New Roman"/>
          <w:sz w:val="20"/>
          <w:szCs w:val="20"/>
        </w:rPr>
        <w:t xml:space="preserve"> japonicus. </w:t>
      </w:r>
      <w:r w:rsidRPr="00B40EF7">
        <w:rPr>
          <w:rFonts w:ascii="Times New Roman" w:hAnsi="Times New Roman"/>
          <w:i/>
          <w:iCs/>
          <w:sz w:val="20"/>
          <w:szCs w:val="20"/>
        </w:rPr>
        <w:t>Ecological Indicators</w:t>
      </w:r>
      <w:r w:rsidRPr="00B40EF7">
        <w:rPr>
          <w:rFonts w:ascii="Times New Roman" w:hAnsi="Times New Roman"/>
          <w:sz w:val="20"/>
          <w:szCs w:val="20"/>
        </w:rPr>
        <w:t>, </w:t>
      </w:r>
      <w:r w:rsidRPr="00B40EF7">
        <w:rPr>
          <w:rFonts w:ascii="Times New Roman" w:hAnsi="Times New Roman"/>
          <w:i/>
          <w:iCs/>
          <w:sz w:val="20"/>
          <w:szCs w:val="20"/>
        </w:rPr>
        <w:t>101</w:t>
      </w:r>
      <w:r w:rsidRPr="00B40EF7">
        <w:rPr>
          <w:rFonts w:ascii="Times New Roman" w:hAnsi="Times New Roman"/>
          <w:sz w:val="20"/>
          <w:szCs w:val="20"/>
        </w:rPr>
        <w:t xml:space="preserve">, 780-791. </w:t>
      </w:r>
      <w:hyperlink r:id="rId33" w:history="1">
        <w:r w:rsidRPr="00B40EF7">
          <w:rPr>
            <w:rStyle w:val="Hyperlink"/>
            <w:rFonts w:ascii="Times New Roman" w:hAnsi="Times New Roman"/>
            <w:sz w:val="20"/>
            <w:szCs w:val="20"/>
          </w:rPr>
          <w:t>https://doi.org/10.1016/j.ecolind.2018.11.044</w:t>
        </w:r>
      </w:hyperlink>
    </w:p>
    <w:p w14:paraId="3405A518" w14:textId="01758D75" w:rsidR="00763B1A" w:rsidRDefault="00763B1A" w:rsidP="00763B1A">
      <w:pPr>
        <w:pStyle w:val="ListParagraph"/>
        <w:spacing w:line="480" w:lineRule="auto"/>
        <w:jc w:val="both"/>
        <w:rPr>
          <w:rFonts w:ascii="Times New Roman" w:hAnsi="Times New Roman"/>
          <w:sz w:val="20"/>
          <w:szCs w:val="20"/>
          <w:lang w:val="en-IN"/>
        </w:rPr>
      </w:pPr>
    </w:p>
    <w:p w14:paraId="53FD4086" w14:textId="26BFDE71" w:rsidR="00763B1A" w:rsidRPr="00763B1A" w:rsidRDefault="00763B1A" w:rsidP="00763B1A">
      <w:pPr>
        <w:suppressAutoHyphens w:val="0"/>
        <w:spacing w:after="160" w:line="259" w:lineRule="auto"/>
        <w:rPr>
          <w:rFonts w:ascii="Times New Roman" w:hAnsi="Times New Roman"/>
          <w:sz w:val="20"/>
          <w:szCs w:val="20"/>
          <w:lang w:val="en-IN"/>
        </w:rPr>
      </w:pPr>
      <w:r>
        <w:rPr>
          <w:rFonts w:ascii="Times New Roman" w:hAnsi="Times New Roman"/>
          <w:sz w:val="20"/>
          <w:szCs w:val="20"/>
          <w:lang w:val="en-IN"/>
        </w:rPr>
        <w:br w:type="page"/>
      </w:r>
    </w:p>
    <w:p w14:paraId="0FDA3FDD" w14:textId="41A21B39" w:rsidR="00647A76" w:rsidRPr="00B40EF7" w:rsidRDefault="00851352" w:rsidP="00B40EF7">
      <w:pPr>
        <w:spacing w:line="480" w:lineRule="auto"/>
        <w:rPr>
          <w:rFonts w:ascii="Times New Roman" w:hAnsi="Times New Roman"/>
          <w:sz w:val="20"/>
          <w:szCs w:val="20"/>
        </w:rPr>
      </w:pPr>
      <w:r w:rsidRPr="00B40EF7">
        <w:rPr>
          <w:rFonts w:ascii="Times New Roman" w:hAnsi="Times New Roman"/>
          <w:b/>
          <w:bCs/>
          <w:noProof/>
          <w:sz w:val="20"/>
          <w:szCs w:val="20"/>
          <w14:ligatures w14:val="standardContextual"/>
        </w:rPr>
        <w:lastRenderedPageBreak/>
        <mc:AlternateContent>
          <mc:Choice Requires="wps">
            <w:drawing>
              <wp:anchor distT="0" distB="0" distL="114300" distR="114300" simplePos="0" relativeHeight="251667456" behindDoc="0" locked="0" layoutInCell="1" allowOverlap="1" wp14:anchorId="1D565233" wp14:editId="4C4A23A2">
                <wp:simplePos x="0" y="0"/>
                <wp:positionH relativeFrom="margin">
                  <wp:align>left</wp:align>
                </wp:positionH>
                <wp:positionV relativeFrom="paragraph">
                  <wp:posOffset>472440</wp:posOffset>
                </wp:positionV>
                <wp:extent cx="4751070" cy="259080"/>
                <wp:effectExtent l="0" t="0" r="0" b="0"/>
                <wp:wrapSquare wrapText="bothSides"/>
                <wp:docPr id="1924477858" name="TextBox 1"/>
                <wp:cNvGraphicFramePr/>
                <a:graphic xmlns:a="http://schemas.openxmlformats.org/drawingml/2006/main">
                  <a:graphicData uri="http://schemas.microsoft.com/office/word/2010/wordprocessingShape">
                    <wps:wsp>
                      <wps:cNvSpPr txBox="1"/>
                      <wps:spPr>
                        <a:xfrm>
                          <a:off x="0" y="0"/>
                          <a:ext cx="4751070" cy="259080"/>
                        </a:xfrm>
                        <a:prstGeom prst="rect">
                          <a:avLst/>
                        </a:prstGeom>
                        <a:noFill/>
                      </wps:spPr>
                      <wps:txb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565233" id="_x0000_t202" coordsize="21600,21600" o:spt="202" path="m,l,21600r21600,l21600,xe">
                <v:stroke joinstyle="miter"/>
                <v:path gradientshapeok="t" o:connecttype="rect"/>
              </v:shapetype>
              <v:shape id="TextBox 1" o:spid="_x0000_s1026" type="#_x0000_t202" style="position:absolute;margin-left:0;margin-top:37.2pt;width:374.1pt;height:20.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" filled="f" stroked="f">
                <v:textbo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v:textbox>
                <w10:wrap type="square" anchorx="margin"/>
              </v:shape>
            </w:pict>
          </mc:Fallback>
        </mc:AlternateContent>
      </w:r>
      <w:r w:rsidR="00716323" w:rsidRPr="00B40EF7">
        <w:rPr>
          <w:rFonts w:ascii="Times New Roman" w:hAnsi="Times New Roman"/>
          <w:b/>
          <w:bCs/>
          <w:noProof/>
          <w:sz w:val="20"/>
          <w:szCs w:val="20"/>
          <w14:ligatures w14:val="standardContextual"/>
        </w:rPr>
        <mc:AlternateContent>
          <mc:Choice Requires="wps">
            <w:drawing>
              <wp:anchor distT="0" distB="0" distL="114300" distR="114300" simplePos="0" relativeHeight="251666432" behindDoc="0" locked="0" layoutInCell="1" allowOverlap="1" wp14:anchorId="46026B1F" wp14:editId="1E084A8F">
                <wp:simplePos x="0" y="0"/>
                <wp:positionH relativeFrom="margin">
                  <wp:align>right</wp:align>
                </wp:positionH>
                <wp:positionV relativeFrom="paragraph">
                  <wp:posOffset>0</wp:posOffset>
                </wp:positionV>
                <wp:extent cx="5661660" cy="381000"/>
                <wp:effectExtent l="0" t="0" r="0" b="0"/>
                <wp:wrapSquare wrapText="bothSides"/>
                <wp:docPr id="532640540" name="TextBox 7"/>
                <wp:cNvGraphicFramePr/>
                <a:graphic xmlns:a="http://schemas.openxmlformats.org/drawingml/2006/main">
                  <a:graphicData uri="http://schemas.microsoft.com/office/word/2010/wordprocessingShape">
                    <wps:wsp>
                      <wps:cNvSpPr txBox="1"/>
                      <wps:spPr>
                        <a:xfrm>
                          <a:off x="0" y="0"/>
                          <a:ext cx="5661660" cy="381000"/>
                        </a:xfrm>
                        <a:prstGeom prst="rect">
                          <a:avLst/>
                        </a:prstGeom>
                        <a:noFill/>
                      </wps:spPr>
                      <wps:txb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wps:txbx>
                      <wps:bodyPr wrap="square" rtlCol="0">
                        <a:noAutofit/>
                      </wps:bodyPr>
                    </wps:wsp>
                  </a:graphicData>
                </a:graphic>
                <wp14:sizeRelH relativeFrom="margin">
                  <wp14:pctWidth>0</wp14:pctWidth>
                </wp14:sizeRelH>
              </wp:anchor>
            </w:drawing>
          </mc:Choice>
          <mc:Fallback>
            <w:pict>
              <v:shape w14:anchorId="46026B1F" id="TextBox 7" o:spid="_x0000_s1027" type="#_x0000_t202" style="position:absolute;margin-left:394.6pt;margin-top:0;width:445.8pt;height:30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" filled="f" stroked="f">
                <v:textbo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v:textbox>
                <w10:wrap type="square" anchorx="margin"/>
              </v:shape>
            </w:pict>
          </mc:Fallback>
        </mc:AlternateContent>
      </w:r>
    </w:p>
    <w:tbl>
      <w:tblPr>
        <w:tblW w:w="8647" w:type="dxa"/>
        <w:jc w:val="center"/>
        <w:tblCellMar>
          <w:left w:w="0" w:type="dxa"/>
          <w:right w:w="0" w:type="dxa"/>
        </w:tblCellMar>
        <w:tblLook w:val="0600" w:firstRow="0" w:lastRow="0" w:firstColumn="0" w:lastColumn="0" w:noHBand="1" w:noVBand="1"/>
      </w:tblPr>
      <w:tblGrid>
        <w:gridCol w:w="3162"/>
        <w:gridCol w:w="1413"/>
        <w:gridCol w:w="4072"/>
      </w:tblGrid>
      <w:tr w:rsidR="00851352" w:rsidRPr="00763B1A" w14:paraId="631349E2" w14:textId="77777777" w:rsidTr="00215C4F">
        <w:trPr>
          <w:trHeight w:val="324"/>
          <w:jc w:val="center"/>
        </w:trPr>
        <w:tc>
          <w:tcPr>
            <w:tcW w:w="3162" w:type="dxa"/>
            <w:tcBorders>
              <w:top w:val="single" w:sz="8" w:space="0" w:color="000000"/>
              <w:left w:val="nil"/>
              <w:bottom w:val="nil"/>
              <w:right w:val="nil"/>
            </w:tcBorders>
            <w:tcMar>
              <w:top w:w="12" w:type="dxa"/>
              <w:left w:w="12" w:type="dxa"/>
              <w:bottom w:w="0" w:type="dxa"/>
              <w:right w:w="12" w:type="dxa"/>
            </w:tcMar>
            <w:hideMark/>
          </w:tcPr>
          <w:p w14:paraId="5F757CD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MDA/SOD</w:t>
            </w:r>
          </w:p>
        </w:tc>
        <w:tc>
          <w:tcPr>
            <w:tcW w:w="1413" w:type="dxa"/>
            <w:tcBorders>
              <w:top w:val="single" w:sz="8" w:space="0" w:color="000000"/>
              <w:left w:val="nil"/>
              <w:bottom w:val="nil"/>
              <w:right w:val="nil"/>
            </w:tcBorders>
            <w:tcMar>
              <w:top w:w="12" w:type="dxa"/>
              <w:left w:w="12" w:type="dxa"/>
              <w:bottom w:w="0" w:type="dxa"/>
              <w:right w:w="12" w:type="dxa"/>
            </w:tcMar>
            <w:hideMark/>
          </w:tcPr>
          <w:p w14:paraId="394212A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0.938547</w:t>
            </w:r>
          </w:p>
        </w:tc>
        <w:tc>
          <w:tcPr>
            <w:tcW w:w="4072" w:type="dxa"/>
            <w:tcBorders>
              <w:top w:val="single" w:sz="8" w:space="0" w:color="000000"/>
              <w:left w:val="nil"/>
              <w:bottom w:val="nil"/>
              <w:right w:val="nil"/>
            </w:tcBorders>
            <w:tcMar>
              <w:top w:w="12" w:type="dxa"/>
              <w:left w:w="12" w:type="dxa"/>
              <w:bottom w:w="0" w:type="dxa"/>
              <w:right w:w="12" w:type="dxa"/>
            </w:tcMar>
            <w:hideMark/>
          </w:tcPr>
          <w:p w14:paraId="36D34BE4" w14:textId="4D8E3B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3C4E2E01"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065E0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MDA/CAT</w:t>
            </w:r>
          </w:p>
        </w:tc>
        <w:tc>
          <w:tcPr>
            <w:tcW w:w="1413" w:type="dxa"/>
            <w:tcBorders>
              <w:top w:val="nil"/>
              <w:left w:val="nil"/>
              <w:bottom w:val="nil"/>
              <w:right w:val="nil"/>
            </w:tcBorders>
            <w:tcMar>
              <w:top w:w="12" w:type="dxa"/>
              <w:left w:w="12" w:type="dxa"/>
              <w:bottom w:w="0" w:type="dxa"/>
              <w:right w:w="12" w:type="dxa"/>
            </w:tcMar>
            <w:hideMark/>
          </w:tcPr>
          <w:p w14:paraId="6D53420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0.817918</w:t>
            </w:r>
          </w:p>
        </w:tc>
        <w:tc>
          <w:tcPr>
            <w:tcW w:w="4072" w:type="dxa"/>
            <w:tcBorders>
              <w:top w:val="nil"/>
              <w:left w:val="nil"/>
              <w:bottom w:val="nil"/>
              <w:right w:val="nil"/>
            </w:tcBorders>
            <w:tcMar>
              <w:top w:w="12" w:type="dxa"/>
              <w:left w:w="12" w:type="dxa"/>
              <w:bottom w:w="0" w:type="dxa"/>
              <w:right w:w="12" w:type="dxa"/>
            </w:tcMar>
            <w:hideMark/>
          </w:tcPr>
          <w:p w14:paraId="2E1A26C5"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2672F38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E47BF6C"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MDA/GSH</w:t>
            </w:r>
          </w:p>
        </w:tc>
        <w:tc>
          <w:tcPr>
            <w:tcW w:w="1413" w:type="dxa"/>
            <w:tcBorders>
              <w:top w:val="nil"/>
              <w:left w:val="nil"/>
              <w:bottom w:val="nil"/>
              <w:right w:val="nil"/>
            </w:tcBorders>
            <w:tcMar>
              <w:top w:w="12" w:type="dxa"/>
              <w:left w:w="12" w:type="dxa"/>
              <w:bottom w:w="0" w:type="dxa"/>
              <w:right w:w="12" w:type="dxa"/>
            </w:tcMar>
            <w:hideMark/>
          </w:tcPr>
          <w:p w14:paraId="41874AA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1</w:t>
            </w:r>
          </w:p>
        </w:tc>
        <w:tc>
          <w:tcPr>
            <w:tcW w:w="4072" w:type="dxa"/>
            <w:tcBorders>
              <w:top w:val="nil"/>
              <w:left w:val="nil"/>
              <w:bottom w:val="nil"/>
              <w:right w:val="nil"/>
            </w:tcBorders>
            <w:tcMar>
              <w:top w:w="12" w:type="dxa"/>
              <w:left w:w="12" w:type="dxa"/>
              <w:bottom w:w="0" w:type="dxa"/>
              <w:right w:w="12" w:type="dxa"/>
            </w:tcMar>
            <w:hideMark/>
          </w:tcPr>
          <w:p w14:paraId="7E47E04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perfect correlation</w:t>
            </w:r>
          </w:p>
        </w:tc>
      </w:tr>
      <w:tr w:rsidR="00851352" w:rsidRPr="00763B1A" w14:paraId="78E0916A"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2F6759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MDA/ALP</w:t>
            </w:r>
          </w:p>
        </w:tc>
        <w:tc>
          <w:tcPr>
            <w:tcW w:w="1413" w:type="dxa"/>
            <w:tcBorders>
              <w:top w:val="nil"/>
              <w:left w:val="nil"/>
              <w:bottom w:val="nil"/>
              <w:right w:val="nil"/>
            </w:tcBorders>
            <w:tcMar>
              <w:top w:w="12" w:type="dxa"/>
              <w:left w:w="12" w:type="dxa"/>
              <w:bottom w:w="0" w:type="dxa"/>
              <w:right w:w="12" w:type="dxa"/>
            </w:tcMar>
            <w:hideMark/>
          </w:tcPr>
          <w:p w14:paraId="640AD88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0.927729</w:t>
            </w:r>
          </w:p>
        </w:tc>
        <w:tc>
          <w:tcPr>
            <w:tcW w:w="4072" w:type="dxa"/>
            <w:tcBorders>
              <w:top w:val="nil"/>
              <w:left w:val="nil"/>
              <w:bottom w:val="nil"/>
              <w:right w:val="nil"/>
            </w:tcBorders>
            <w:tcMar>
              <w:top w:w="12" w:type="dxa"/>
              <w:left w:w="12" w:type="dxa"/>
              <w:bottom w:w="0" w:type="dxa"/>
              <w:right w:w="12" w:type="dxa"/>
            </w:tcMar>
            <w:hideMark/>
          </w:tcPr>
          <w:p w14:paraId="0F20D037" w14:textId="6483BD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6EDADB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A377BA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1D8EAD87"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0.784708</w:t>
            </w:r>
          </w:p>
        </w:tc>
        <w:tc>
          <w:tcPr>
            <w:tcW w:w="4072" w:type="dxa"/>
            <w:tcBorders>
              <w:top w:val="nil"/>
              <w:left w:val="nil"/>
              <w:bottom w:val="nil"/>
              <w:right w:val="nil"/>
            </w:tcBorders>
            <w:tcMar>
              <w:top w:w="12" w:type="dxa"/>
              <w:left w:w="12" w:type="dxa"/>
              <w:bottom w:w="0" w:type="dxa"/>
              <w:right w:w="12" w:type="dxa"/>
            </w:tcMar>
            <w:hideMark/>
          </w:tcPr>
          <w:p w14:paraId="05A3C5F3"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4D83DA19"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72DB599" w14:textId="10DB330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w:t>
            </w:r>
            <w:r w:rsidR="002567D6"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4F9C74F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0.75114</w:t>
            </w:r>
          </w:p>
        </w:tc>
        <w:tc>
          <w:tcPr>
            <w:tcW w:w="4072" w:type="dxa"/>
            <w:tcBorders>
              <w:top w:val="nil"/>
              <w:left w:val="nil"/>
              <w:bottom w:val="nil"/>
              <w:right w:val="nil"/>
            </w:tcBorders>
            <w:tcMar>
              <w:top w:w="12" w:type="dxa"/>
              <w:left w:w="12" w:type="dxa"/>
              <w:bottom w:w="0" w:type="dxa"/>
              <w:right w:w="12" w:type="dxa"/>
            </w:tcMar>
            <w:hideMark/>
          </w:tcPr>
          <w:p w14:paraId="403F0A8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0FFCF2A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652D0FD"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MDA/ACP</w:t>
            </w:r>
          </w:p>
        </w:tc>
        <w:tc>
          <w:tcPr>
            <w:tcW w:w="1413" w:type="dxa"/>
            <w:tcBorders>
              <w:top w:val="nil"/>
              <w:left w:val="nil"/>
              <w:bottom w:val="nil"/>
              <w:right w:val="nil"/>
            </w:tcBorders>
            <w:tcMar>
              <w:top w:w="12" w:type="dxa"/>
              <w:left w:w="12" w:type="dxa"/>
              <w:bottom w:w="0" w:type="dxa"/>
              <w:right w:w="12" w:type="dxa"/>
            </w:tcMar>
            <w:hideMark/>
          </w:tcPr>
          <w:p w14:paraId="422866E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0.996192</w:t>
            </w:r>
          </w:p>
        </w:tc>
        <w:tc>
          <w:tcPr>
            <w:tcW w:w="4072" w:type="dxa"/>
            <w:tcBorders>
              <w:top w:val="nil"/>
              <w:left w:val="nil"/>
              <w:bottom w:val="nil"/>
              <w:right w:val="nil"/>
            </w:tcBorders>
            <w:tcMar>
              <w:top w:w="12" w:type="dxa"/>
              <w:left w:w="12" w:type="dxa"/>
              <w:bottom w:w="0" w:type="dxa"/>
              <w:right w:w="12" w:type="dxa"/>
            </w:tcMar>
            <w:hideMark/>
          </w:tcPr>
          <w:p w14:paraId="23019D51" w14:textId="2D00002A"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D523D67"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5F5124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SOD/ALP</w:t>
            </w:r>
          </w:p>
        </w:tc>
        <w:tc>
          <w:tcPr>
            <w:tcW w:w="1413" w:type="dxa"/>
            <w:tcBorders>
              <w:top w:val="nil"/>
              <w:left w:val="nil"/>
              <w:bottom w:val="nil"/>
              <w:right w:val="nil"/>
            </w:tcBorders>
            <w:tcMar>
              <w:top w:w="12" w:type="dxa"/>
              <w:left w:w="12" w:type="dxa"/>
              <w:bottom w:w="0" w:type="dxa"/>
              <w:right w:w="12" w:type="dxa"/>
            </w:tcMar>
            <w:hideMark/>
          </w:tcPr>
          <w:p w14:paraId="55CA4CE9"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0.999547</w:t>
            </w:r>
          </w:p>
        </w:tc>
        <w:tc>
          <w:tcPr>
            <w:tcW w:w="4072" w:type="dxa"/>
            <w:tcBorders>
              <w:top w:val="nil"/>
              <w:left w:val="nil"/>
              <w:bottom w:val="nil"/>
              <w:right w:val="nil"/>
            </w:tcBorders>
            <w:tcMar>
              <w:top w:w="12" w:type="dxa"/>
              <w:left w:w="12" w:type="dxa"/>
              <w:bottom w:w="0" w:type="dxa"/>
              <w:right w:w="12" w:type="dxa"/>
            </w:tcMar>
            <w:hideMark/>
          </w:tcPr>
          <w:p w14:paraId="4CF565E1" w14:textId="741322C5"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AB292F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70AA25C"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SOD/ACP</w:t>
            </w:r>
          </w:p>
        </w:tc>
        <w:tc>
          <w:tcPr>
            <w:tcW w:w="1413" w:type="dxa"/>
            <w:tcBorders>
              <w:top w:val="nil"/>
              <w:left w:val="nil"/>
              <w:bottom w:val="nil"/>
              <w:right w:val="nil"/>
            </w:tcBorders>
            <w:tcMar>
              <w:top w:w="12" w:type="dxa"/>
              <w:left w:w="12" w:type="dxa"/>
              <w:bottom w:w="0" w:type="dxa"/>
              <w:right w:w="12" w:type="dxa"/>
            </w:tcMar>
            <w:hideMark/>
          </w:tcPr>
          <w:p w14:paraId="4E038CB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0.965067</w:t>
            </w:r>
          </w:p>
        </w:tc>
        <w:tc>
          <w:tcPr>
            <w:tcW w:w="4072" w:type="dxa"/>
            <w:tcBorders>
              <w:top w:val="nil"/>
              <w:left w:val="nil"/>
              <w:bottom w:val="nil"/>
              <w:right w:val="nil"/>
            </w:tcBorders>
            <w:tcMar>
              <w:top w:w="12" w:type="dxa"/>
              <w:left w:w="12" w:type="dxa"/>
              <w:bottom w:w="0" w:type="dxa"/>
              <w:right w:w="12" w:type="dxa"/>
            </w:tcMar>
            <w:hideMark/>
          </w:tcPr>
          <w:p w14:paraId="79396A5E" w14:textId="1D29E5C4"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5BEA3D0"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FBC8FC1" w14:textId="5F30FC0E"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w:t>
            </w:r>
            <w:r w:rsidR="008B696C"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1FE3B548"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0.932829</w:t>
            </w:r>
          </w:p>
        </w:tc>
        <w:tc>
          <w:tcPr>
            <w:tcW w:w="4072" w:type="dxa"/>
            <w:tcBorders>
              <w:top w:val="nil"/>
              <w:left w:val="nil"/>
              <w:bottom w:val="nil"/>
              <w:right w:val="nil"/>
            </w:tcBorders>
            <w:tcMar>
              <w:top w:w="12" w:type="dxa"/>
              <w:left w:w="12" w:type="dxa"/>
              <w:bottom w:w="0" w:type="dxa"/>
              <w:right w:w="12" w:type="dxa"/>
            </w:tcMar>
            <w:hideMark/>
          </w:tcPr>
          <w:p w14:paraId="7DAE60A5" w14:textId="6B604FF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4721909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D9F1E6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7C5F40D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0.950433</w:t>
            </w:r>
          </w:p>
        </w:tc>
        <w:tc>
          <w:tcPr>
            <w:tcW w:w="4072" w:type="dxa"/>
            <w:tcBorders>
              <w:top w:val="nil"/>
              <w:left w:val="nil"/>
              <w:bottom w:val="nil"/>
              <w:right w:val="nil"/>
            </w:tcBorders>
            <w:tcMar>
              <w:top w:w="12" w:type="dxa"/>
              <w:left w:w="12" w:type="dxa"/>
              <w:bottom w:w="0" w:type="dxa"/>
              <w:right w:w="12" w:type="dxa"/>
            </w:tcMar>
            <w:hideMark/>
          </w:tcPr>
          <w:p w14:paraId="6D46907A" w14:textId="68E8A6AC"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5F92E12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DB46C2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SOD/CAT</w:t>
            </w:r>
          </w:p>
        </w:tc>
        <w:tc>
          <w:tcPr>
            <w:tcW w:w="1413" w:type="dxa"/>
            <w:tcBorders>
              <w:top w:val="nil"/>
              <w:left w:val="nil"/>
              <w:bottom w:val="nil"/>
              <w:right w:val="nil"/>
            </w:tcBorders>
            <w:tcMar>
              <w:top w:w="12" w:type="dxa"/>
              <w:left w:w="12" w:type="dxa"/>
              <w:bottom w:w="0" w:type="dxa"/>
              <w:right w:w="12" w:type="dxa"/>
            </w:tcMar>
            <w:hideMark/>
          </w:tcPr>
          <w:p w14:paraId="3DA5438C" w14:textId="5F9138AE"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0.966232</w:t>
            </w:r>
          </w:p>
        </w:tc>
        <w:tc>
          <w:tcPr>
            <w:tcW w:w="4072" w:type="dxa"/>
            <w:tcBorders>
              <w:top w:val="nil"/>
              <w:left w:val="nil"/>
              <w:bottom w:val="nil"/>
              <w:right w:val="nil"/>
            </w:tcBorders>
            <w:tcMar>
              <w:top w:w="12" w:type="dxa"/>
              <w:left w:w="12" w:type="dxa"/>
              <w:bottom w:w="0" w:type="dxa"/>
              <w:right w:w="12" w:type="dxa"/>
            </w:tcMar>
            <w:hideMark/>
          </w:tcPr>
          <w:p w14:paraId="081D1A9E" w14:textId="404EFCB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80B470C"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0D5B459"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SOD/GSH</w:t>
            </w:r>
          </w:p>
        </w:tc>
        <w:tc>
          <w:tcPr>
            <w:tcW w:w="1413" w:type="dxa"/>
            <w:tcBorders>
              <w:top w:val="nil"/>
              <w:left w:val="nil"/>
              <w:bottom w:val="nil"/>
              <w:right w:val="nil"/>
            </w:tcBorders>
            <w:tcMar>
              <w:top w:w="12" w:type="dxa"/>
              <w:left w:w="12" w:type="dxa"/>
              <w:bottom w:w="0" w:type="dxa"/>
              <w:right w:w="12" w:type="dxa"/>
            </w:tcMar>
            <w:hideMark/>
          </w:tcPr>
          <w:p w14:paraId="41747FDE" w14:textId="10F28EF2"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0.938281</w:t>
            </w:r>
          </w:p>
        </w:tc>
        <w:tc>
          <w:tcPr>
            <w:tcW w:w="4072" w:type="dxa"/>
            <w:tcBorders>
              <w:top w:val="nil"/>
              <w:left w:val="nil"/>
              <w:bottom w:val="nil"/>
              <w:right w:val="nil"/>
            </w:tcBorders>
            <w:tcMar>
              <w:top w:w="12" w:type="dxa"/>
              <w:left w:w="12" w:type="dxa"/>
              <w:bottom w:w="0" w:type="dxa"/>
              <w:right w:w="12" w:type="dxa"/>
            </w:tcMar>
            <w:hideMark/>
          </w:tcPr>
          <w:p w14:paraId="2D5A30B4" w14:textId="31419EF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76C44092"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3B1998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w:t>
            </w:r>
            <w:proofErr w:type="spellStart"/>
            <w:r w:rsidRPr="00763B1A">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2F5AFDB3" w14:textId="1B8CA6C5"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0.998457</w:t>
            </w:r>
          </w:p>
        </w:tc>
        <w:tc>
          <w:tcPr>
            <w:tcW w:w="4072" w:type="dxa"/>
            <w:tcBorders>
              <w:top w:val="nil"/>
              <w:left w:val="nil"/>
              <w:bottom w:val="nil"/>
              <w:right w:val="nil"/>
            </w:tcBorders>
            <w:tcMar>
              <w:top w:w="12" w:type="dxa"/>
              <w:left w:w="12" w:type="dxa"/>
              <w:bottom w:w="0" w:type="dxa"/>
              <w:right w:w="12" w:type="dxa"/>
            </w:tcMar>
            <w:hideMark/>
          </w:tcPr>
          <w:p w14:paraId="50C37DF7" w14:textId="3D7D5E0D"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4803028"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1EE2B0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CAT/ALP</w:t>
            </w:r>
          </w:p>
        </w:tc>
        <w:tc>
          <w:tcPr>
            <w:tcW w:w="1413" w:type="dxa"/>
            <w:tcBorders>
              <w:top w:val="nil"/>
              <w:left w:val="nil"/>
              <w:bottom w:val="nil"/>
              <w:right w:val="nil"/>
            </w:tcBorders>
            <w:tcMar>
              <w:top w:w="12" w:type="dxa"/>
              <w:left w:w="12" w:type="dxa"/>
              <w:bottom w:w="0" w:type="dxa"/>
              <w:right w:w="12" w:type="dxa"/>
            </w:tcMar>
            <w:hideMark/>
          </w:tcPr>
          <w:p w14:paraId="08F6A868" w14:textId="47445A3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0.973553</w:t>
            </w:r>
          </w:p>
        </w:tc>
        <w:tc>
          <w:tcPr>
            <w:tcW w:w="4072" w:type="dxa"/>
            <w:tcBorders>
              <w:top w:val="nil"/>
              <w:left w:val="nil"/>
              <w:bottom w:val="nil"/>
              <w:right w:val="nil"/>
            </w:tcBorders>
            <w:tcMar>
              <w:top w:w="12" w:type="dxa"/>
              <w:left w:w="12" w:type="dxa"/>
              <w:bottom w:w="0" w:type="dxa"/>
              <w:right w:w="12" w:type="dxa"/>
            </w:tcMar>
            <w:hideMark/>
          </w:tcPr>
          <w:p w14:paraId="79A75BF8" w14:textId="0D8DE228"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4E3656EE"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4C43A2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CAT/ACP</w:t>
            </w:r>
          </w:p>
        </w:tc>
        <w:tc>
          <w:tcPr>
            <w:tcW w:w="1413" w:type="dxa"/>
            <w:tcBorders>
              <w:top w:val="nil"/>
              <w:left w:val="nil"/>
              <w:bottom w:val="nil"/>
              <w:right w:val="nil"/>
            </w:tcBorders>
            <w:tcMar>
              <w:top w:w="12" w:type="dxa"/>
              <w:left w:w="12" w:type="dxa"/>
              <w:bottom w:w="0" w:type="dxa"/>
              <w:right w:w="12" w:type="dxa"/>
            </w:tcMar>
            <w:hideMark/>
          </w:tcPr>
          <w:p w14:paraId="56F70EC1"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0.864966</w:t>
            </w:r>
          </w:p>
        </w:tc>
        <w:tc>
          <w:tcPr>
            <w:tcW w:w="4072" w:type="dxa"/>
            <w:tcBorders>
              <w:top w:val="nil"/>
              <w:left w:val="nil"/>
              <w:bottom w:val="nil"/>
              <w:right w:val="nil"/>
            </w:tcBorders>
            <w:tcMar>
              <w:top w:w="12" w:type="dxa"/>
              <w:left w:w="12" w:type="dxa"/>
              <w:bottom w:w="0" w:type="dxa"/>
              <w:right w:w="12" w:type="dxa"/>
            </w:tcMar>
            <w:hideMark/>
          </w:tcPr>
          <w:p w14:paraId="5EFDEB3C" w14:textId="1EFAB08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613D16C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5B1C526" w14:textId="1E664A76"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CAT/</w:t>
            </w:r>
            <w:r w:rsidR="002567D6"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5FE510BA" w14:textId="347E1B23"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0.994174</w:t>
            </w:r>
          </w:p>
        </w:tc>
        <w:tc>
          <w:tcPr>
            <w:tcW w:w="4072" w:type="dxa"/>
            <w:tcBorders>
              <w:top w:val="nil"/>
              <w:left w:val="nil"/>
              <w:bottom w:val="nil"/>
              <w:right w:val="nil"/>
            </w:tcBorders>
            <w:tcMar>
              <w:top w:w="12" w:type="dxa"/>
              <w:left w:w="12" w:type="dxa"/>
              <w:bottom w:w="0" w:type="dxa"/>
              <w:right w:w="12" w:type="dxa"/>
            </w:tcMar>
            <w:hideMark/>
          </w:tcPr>
          <w:p w14:paraId="71BFAC2C" w14:textId="1729CC4F"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22ECEBF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FA0E2BB"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GSH/ALP</w:t>
            </w:r>
          </w:p>
        </w:tc>
        <w:tc>
          <w:tcPr>
            <w:tcW w:w="1413" w:type="dxa"/>
            <w:tcBorders>
              <w:top w:val="nil"/>
              <w:left w:val="nil"/>
              <w:bottom w:val="nil"/>
              <w:right w:val="nil"/>
            </w:tcBorders>
            <w:tcMar>
              <w:top w:w="12" w:type="dxa"/>
              <w:left w:w="12" w:type="dxa"/>
              <w:bottom w:w="0" w:type="dxa"/>
              <w:right w:w="12" w:type="dxa"/>
            </w:tcMar>
            <w:hideMark/>
          </w:tcPr>
          <w:p w14:paraId="5A27107A"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0.927441</w:t>
            </w:r>
          </w:p>
        </w:tc>
        <w:tc>
          <w:tcPr>
            <w:tcW w:w="4072" w:type="dxa"/>
            <w:tcBorders>
              <w:top w:val="nil"/>
              <w:left w:val="nil"/>
              <w:bottom w:val="nil"/>
              <w:right w:val="nil"/>
            </w:tcBorders>
            <w:tcMar>
              <w:top w:w="12" w:type="dxa"/>
              <w:left w:w="12" w:type="dxa"/>
              <w:bottom w:w="0" w:type="dxa"/>
              <w:right w:w="12" w:type="dxa"/>
            </w:tcMar>
            <w:hideMark/>
          </w:tcPr>
          <w:p w14:paraId="27AFEB91" w14:textId="398FB9E2"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6ECC4144"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248DAF"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GSH/ACP</w:t>
            </w:r>
          </w:p>
        </w:tc>
        <w:tc>
          <w:tcPr>
            <w:tcW w:w="1413" w:type="dxa"/>
            <w:tcBorders>
              <w:top w:val="nil"/>
              <w:left w:val="nil"/>
              <w:bottom w:val="nil"/>
              <w:right w:val="nil"/>
            </w:tcBorders>
            <w:tcMar>
              <w:top w:w="12" w:type="dxa"/>
              <w:left w:w="12" w:type="dxa"/>
              <w:bottom w:w="0" w:type="dxa"/>
              <w:right w:w="12" w:type="dxa"/>
            </w:tcMar>
            <w:hideMark/>
          </w:tcPr>
          <w:p w14:paraId="735C6C8E"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0.996124</w:t>
            </w:r>
          </w:p>
        </w:tc>
        <w:tc>
          <w:tcPr>
            <w:tcW w:w="4072" w:type="dxa"/>
            <w:tcBorders>
              <w:top w:val="nil"/>
              <w:left w:val="nil"/>
              <w:bottom w:val="nil"/>
              <w:right w:val="nil"/>
            </w:tcBorders>
            <w:tcMar>
              <w:top w:w="12" w:type="dxa"/>
              <w:left w:w="12" w:type="dxa"/>
              <w:bottom w:w="0" w:type="dxa"/>
              <w:right w:w="12" w:type="dxa"/>
            </w:tcMar>
            <w:hideMark/>
          </w:tcPr>
          <w:p w14:paraId="3BBD78B3" w14:textId="59DADC01"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Very high positive correlation</w:t>
            </w:r>
          </w:p>
        </w:tc>
      </w:tr>
      <w:tr w:rsidR="00851352" w:rsidRPr="00763B1A" w14:paraId="3DF24C0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CF0D088" w14:textId="17E4296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w:t>
            </w:r>
            <w:r w:rsidR="008B696C" w:rsidRPr="00763B1A">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2D7CAA94"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0.750631</w:t>
            </w:r>
          </w:p>
        </w:tc>
        <w:tc>
          <w:tcPr>
            <w:tcW w:w="4072" w:type="dxa"/>
            <w:tcBorders>
              <w:top w:val="nil"/>
              <w:left w:val="nil"/>
              <w:bottom w:val="nil"/>
              <w:right w:val="nil"/>
            </w:tcBorders>
            <w:tcMar>
              <w:top w:w="12" w:type="dxa"/>
              <w:left w:w="12" w:type="dxa"/>
              <w:bottom w:w="0" w:type="dxa"/>
              <w:right w:w="12" w:type="dxa"/>
            </w:tcMar>
            <w:hideMark/>
          </w:tcPr>
          <w:p w14:paraId="22A8B9F2"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r w:rsidR="00851352" w:rsidRPr="00763B1A" w14:paraId="2E89CE0E" w14:textId="77777777" w:rsidTr="00215C4F">
        <w:trPr>
          <w:trHeight w:val="324"/>
          <w:jc w:val="center"/>
        </w:trPr>
        <w:tc>
          <w:tcPr>
            <w:tcW w:w="3162" w:type="dxa"/>
            <w:tcBorders>
              <w:top w:val="nil"/>
              <w:left w:val="nil"/>
              <w:bottom w:val="single" w:sz="8" w:space="0" w:color="000000"/>
              <w:right w:val="nil"/>
            </w:tcBorders>
            <w:tcMar>
              <w:top w:w="12" w:type="dxa"/>
              <w:left w:w="12" w:type="dxa"/>
              <w:bottom w:w="0" w:type="dxa"/>
              <w:right w:w="12" w:type="dxa"/>
            </w:tcMar>
            <w:hideMark/>
          </w:tcPr>
          <w:p w14:paraId="135AD36D" w14:textId="56F86D9C"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GSH/</w:t>
            </w:r>
            <w:proofErr w:type="spellStart"/>
            <w:r w:rsidRPr="00763B1A">
              <w:rPr>
                <w:rFonts w:ascii="Times New Roman" w:hAnsi="Times New Roman"/>
                <w:sz w:val="20"/>
                <w:szCs w:val="20"/>
                <w:lang w:val="en-IN"/>
              </w:rPr>
              <w:t>AChE</w:t>
            </w:r>
            <w:proofErr w:type="spellEnd"/>
          </w:p>
        </w:tc>
        <w:tc>
          <w:tcPr>
            <w:tcW w:w="1413" w:type="dxa"/>
            <w:tcBorders>
              <w:top w:val="nil"/>
              <w:left w:val="nil"/>
              <w:bottom w:val="single" w:sz="8" w:space="0" w:color="000000"/>
              <w:right w:val="nil"/>
            </w:tcBorders>
            <w:tcMar>
              <w:top w:w="12" w:type="dxa"/>
              <w:left w:w="12" w:type="dxa"/>
              <w:bottom w:w="0" w:type="dxa"/>
              <w:right w:w="12" w:type="dxa"/>
            </w:tcMar>
            <w:hideMark/>
          </w:tcPr>
          <w:p w14:paraId="1E6DC940" w14:textId="77777777"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0.78423</w:t>
            </w:r>
          </w:p>
        </w:tc>
        <w:tc>
          <w:tcPr>
            <w:tcW w:w="4072" w:type="dxa"/>
            <w:tcBorders>
              <w:top w:val="nil"/>
              <w:left w:val="nil"/>
              <w:bottom w:val="single" w:sz="8" w:space="0" w:color="000000"/>
              <w:right w:val="nil"/>
            </w:tcBorders>
            <w:tcMar>
              <w:top w:w="12" w:type="dxa"/>
              <w:left w:w="12" w:type="dxa"/>
              <w:bottom w:w="0" w:type="dxa"/>
              <w:right w:w="12" w:type="dxa"/>
            </w:tcMar>
            <w:hideMark/>
          </w:tcPr>
          <w:p w14:paraId="74CE6F1E" w14:textId="6411EBE0" w:rsidR="00851352" w:rsidRPr="00763B1A" w:rsidRDefault="00851352" w:rsidP="00215C4F">
            <w:pPr>
              <w:spacing w:line="360" w:lineRule="auto"/>
              <w:jc w:val="center"/>
              <w:rPr>
                <w:rFonts w:ascii="Times New Roman" w:hAnsi="Times New Roman"/>
                <w:sz w:val="20"/>
                <w:szCs w:val="20"/>
                <w:lang w:val="en-IN"/>
              </w:rPr>
            </w:pPr>
            <w:r w:rsidRPr="00763B1A">
              <w:rPr>
                <w:rFonts w:ascii="Times New Roman" w:hAnsi="Times New Roman"/>
                <w:sz w:val="20"/>
                <w:szCs w:val="20"/>
                <w:lang w:val="en-IN"/>
              </w:rPr>
              <w:t>High positive correlation</w:t>
            </w:r>
          </w:p>
        </w:tc>
      </w:tr>
    </w:tbl>
    <w:p w14:paraId="1396B182" w14:textId="22A4D2CA" w:rsidR="00716323" w:rsidRPr="00B40EF7" w:rsidRDefault="00716323" w:rsidP="00B40EF7">
      <w:pPr>
        <w:spacing w:line="480" w:lineRule="auto"/>
        <w:rPr>
          <w:rFonts w:ascii="Times New Roman" w:hAnsi="Times New Roman"/>
          <w:sz w:val="20"/>
          <w:szCs w:val="20"/>
        </w:rPr>
      </w:pPr>
    </w:p>
    <w:p w14:paraId="71C3AADB" w14:textId="79940C67" w:rsidR="00716323" w:rsidRPr="00B40EF7" w:rsidRDefault="00716323" w:rsidP="00B40EF7">
      <w:pPr>
        <w:spacing w:line="480" w:lineRule="auto"/>
        <w:rPr>
          <w:rFonts w:ascii="Times New Roman" w:hAnsi="Times New Roman"/>
          <w:sz w:val="20"/>
          <w:szCs w:val="20"/>
        </w:rPr>
      </w:pPr>
    </w:p>
    <w:p w14:paraId="63FE4BE6" w14:textId="5B23D991" w:rsidR="00495847" w:rsidRDefault="000967BD" w:rsidP="00B40EF7">
      <w:pPr>
        <w:spacing w:line="480" w:lineRule="auto"/>
        <w:ind w:left="360"/>
        <w:jc w:val="both"/>
        <w:rPr>
          <w:rFonts w:ascii="Times New Roman" w:hAnsi="Times New Roman"/>
          <w:b/>
          <w:bCs/>
          <w:sz w:val="20"/>
          <w:szCs w:val="20"/>
          <w:lang w:val="en-IN"/>
        </w:rPr>
      </w:pPr>
      <w:r w:rsidRPr="00B40EF7">
        <w:rPr>
          <w:rFonts w:ascii="Times New Roman" w:hAnsi="Times New Roman"/>
          <w:b/>
          <w:bCs/>
          <w:sz w:val="20"/>
          <w:szCs w:val="20"/>
          <w:lang w:val="en-IN"/>
        </w:rPr>
        <w:lastRenderedPageBreak/>
        <w:t>Figures</w:t>
      </w:r>
    </w:p>
    <w:p w14:paraId="0A3B8E01" w14:textId="78A43AEF" w:rsidR="00396CAC" w:rsidRDefault="00396CAC" w:rsidP="00B40EF7">
      <w:pPr>
        <w:spacing w:line="480" w:lineRule="auto"/>
        <w:ind w:left="360"/>
        <w:jc w:val="both"/>
        <w:rPr>
          <w:rFonts w:ascii="Times New Roman" w:hAnsi="Times New Roman"/>
          <w:b/>
          <w:bCs/>
          <w:sz w:val="20"/>
          <w:szCs w:val="20"/>
          <w:lang w:val="en-IN"/>
        </w:rPr>
      </w:pPr>
      <w:r>
        <w:rPr>
          <w:rFonts w:ascii="Times New Roman" w:hAnsi="Times New Roman"/>
          <w:b/>
          <w:bCs/>
          <w:noProof/>
          <w:sz w:val="20"/>
          <w:szCs w:val="20"/>
          <w:lang w:val="en-IN"/>
        </w:rPr>
        <w:drawing>
          <wp:inline distT="0" distB="0" distL="0" distR="0" wp14:anchorId="6B9BE890" wp14:editId="195BFA76">
            <wp:extent cx="5456555" cy="8145145"/>
            <wp:effectExtent l="0" t="0" r="0" b="0"/>
            <wp:docPr id="295200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6555" cy="8145145"/>
                    </a:xfrm>
                    <a:prstGeom prst="rect">
                      <a:avLst/>
                    </a:prstGeom>
                    <a:noFill/>
                  </pic:spPr>
                </pic:pic>
              </a:graphicData>
            </a:graphic>
          </wp:inline>
        </w:drawing>
      </w:r>
    </w:p>
    <w:p w14:paraId="01220267" w14:textId="17E8B708" w:rsidR="00495847" w:rsidRDefault="00495847" w:rsidP="00396CAC">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r w:rsidR="00396CAC">
        <w:rPr>
          <w:rFonts w:ascii="Times New Roman" w:hAnsi="Times New Roman"/>
          <w:b/>
          <w:bCs/>
          <w:noProof/>
          <w:sz w:val="20"/>
          <w:szCs w:val="20"/>
          <w:lang w:val="en-IN"/>
        </w:rPr>
        <w:lastRenderedPageBreak/>
        <w:drawing>
          <wp:inline distT="0" distB="0" distL="0" distR="0" wp14:anchorId="53C36D25" wp14:editId="07C1FAFB">
            <wp:extent cx="6157595" cy="8303260"/>
            <wp:effectExtent l="0" t="0" r="0" b="0"/>
            <wp:docPr id="152007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7595" cy="8303260"/>
                    </a:xfrm>
                    <a:prstGeom prst="rect">
                      <a:avLst/>
                    </a:prstGeom>
                    <a:noFill/>
                  </pic:spPr>
                </pic:pic>
              </a:graphicData>
            </a:graphic>
          </wp:inline>
        </w:drawing>
      </w:r>
    </w:p>
    <w:p w14:paraId="1CDDC32C" w14:textId="7104F592" w:rsidR="00495847" w:rsidRDefault="00495847">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p>
    <w:p w14:paraId="02589F1C" w14:textId="4566D3CD" w:rsidR="00396CAC" w:rsidRDefault="00396CAC" w:rsidP="00B40EF7">
      <w:pPr>
        <w:spacing w:line="480" w:lineRule="auto"/>
        <w:ind w:left="360"/>
        <w:jc w:val="both"/>
        <w:rPr>
          <w:rFonts w:ascii="Times New Roman" w:hAnsi="Times New Roman"/>
          <w:b/>
          <w:bCs/>
          <w:sz w:val="20"/>
          <w:szCs w:val="20"/>
          <w:lang w:val="en-IN"/>
        </w:rPr>
      </w:pPr>
      <w:r>
        <w:rPr>
          <w:rFonts w:ascii="Times New Roman" w:hAnsi="Times New Roman"/>
          <w:b/>
          <w:bCs/>
          <w:noProof/>
          <w:sz w:val="20"/>
          <w:szCs w:val="20"/>
          <w:lang w:val="en-IN"/>
        </w:rPr>
        <w:lastRenderedPageBreak/>
        <w:drawing>
          <wp:inline distT="0" distB="0" distL="0" distR="0" wp14:anchorId="5FAB34CC" wp14:editId="2CD077C1">
            <wp:extent cx="5578475" cy="8809355"/>
            <wp:effectExtent l="0" t="0" r="3175" b="0"/>
            <wp:docPr id="1072295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8475" cy="8809355"/>
                    </a:xfrm>
                    <a:prstGeom prst="rect">
                      <a:avLst/>
                    </a:prstGeom>
                    <a:noFill/>
                  </pic:spPr>
                </pic:pic>
              </a:graphicData>
            </a:graphic>
          </wp:inline>
        </w:drawing>
      </w:r>
    </w:p>
    <w:p w14:paraId="616A485C" w14:textId="07BF344C" w:rsidR="000967BD" w:rsidRPr="00B40EF7" w:rsidRDefault="00396CAC" w:rsidP="00396CAC">
      <w:pPr>
        <w:suppressAutoHyphens w:val="0"/>
        <w:spacing w:after="160" w:line="259" w:lineRule="auto"/>
        <w:rPr>
          <w:rFonts w:ascii="Times New Roman" w:hAnsi="Times New Roman"/>
          <w:b/>
          <w:bCs/>
          <w:sz w:val="20"/>
          <w:szCs w:val="20"/>
          <w:lang w:val="en-IN"/>
        </w:rPr>
      </w:pPr>
      <w:r>
        <w:rPr>
          <w:rFonts w:ascii="Times New Roman" w:hAnsi="Times New Roman"/>
          <w:b/>
          <w:bCs/>
          <w:sz w:val="20"/>
          <w:szCs w:val="20"/>
          <w:lang w:val="en-IN"/>
        </w:rPr>
        <w:br w:type="page"/>
      </w:r>
      <w:r>
        <w:rPr>
          <w:rFonts w:ascii="Times New Roman" w:hAnsi="Times New Roman"/>
          <w:b/>
          <w:bCs/>
          <w:noProof/>
          <w:sz w:val="20"/>
          <w:szCs w:val="20"/>
          <w:lang w:val="en-IN"/>
        </w:rPr>
        <w:lastRenderedPageBreak/>
        <w:drawing>
          <wp:inline distT="0" distB="0" distL="0" distR="0" wp14:anchorId="18A96193" wp14:editId="01274C3F">
            <wp:extent cx="6173730" cy="3797300"/>
            <wp:effectExtent l="0" t="0" r="0" b="0"/>
            <wp:docPr id="2146800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8799" cy="3800418"/>
                    </a:xfrm>
                    <a:prstGeom prst="rect">
                      <a:avLst/>
                    </a:prstGeom>
                    <a:noFill/>
                  </pic:spPr>
                </pic:pic>
              </a:graphicData>
            </a:graphic>
          </wp:inline>
        </w:drawing>
      </w:r>
    </w:p>
    <w:sectPr w:rsidR="000967BD" w:rsidRPr="00B40EF7" w:rsidSect="0042439B">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AF51D" w14:textId="77777777" w:rsidR="00D036AD" w:rsidRDefault="00D036AD" w:rsidP="00280141">
      <w:pPr>
        <w:spacing w:after="0" w:line="240" w:lineRule="auto"/>
      </w:pPr>
      <w:r>
        <w:separator/>
      </w:r>
    </w:p>
  </w:endnote>
  <w:endnote w:type="continuationSeparator" w:id="0">
    <w:p w14:paraId="5BE34D8A" w14:textId="77777777" w:rsidR="00D036AD" w:rsidRDefault="00D036AD" w:rsidP="0028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342937"/>
      <w:docPartObj>
        <w:docPartGallery w:val="Page Numbers (Bottom of Page)"/>
        <w:docPartUnique/>
      </w:docPartObj>
    </w:sdtPr>
    <w:sdtEndPr>
      <w:rPr>
        <w:noProof/>
      </w:rPr>
    </w:sdtEndPr>
    <w:sdtContent>
      <w:p w14:paraId="3384E0DD" w14:textId="66F1781D" w:rsidR="00280141" w:rsidRDefault="00280141">
        <w:pPr>
          <w:pStyle w:val="Footer"/>
          <w:jc w:val="right"/>
        </w:pPr>
        <w:r>
          <w:fldChar w:fldCharType="begin"/>
        </w:r>
        <w:r>
          <w:instrText xml:space="preserve"> PAGE   \* MERGEFORMAT </w:instrText>
        </w:r>
        <w:r>
          <w:fldChar w:fldCharType="separate"/>
        </w:r>
        <w:r w:rsidR="009B69A7">
          <w:rPr>
            <w:noProof/>
          </w:rPr>
          <w:t>10</w:t>
        </w:r>
        <w:r>
          <w:rPr>
            <w:noProof/>
          </w:rPr>
          <w:fldChar w:fldCharType="end"/>
        </w:r>
      </w:p>
    </w:sdtContent>
  </w:sdt>
  <w:p w14:paraId="708C3238" w14:textId="77777777" w:rsidR="00280141" w:rsidRDefault="00280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FB96" w14:textId="77777777" w:rsidR="00D036AD" w:rsidRDefault="00D036AD" w:rsidP="00280141">
      <w:pPr>
        <w:spacing w:after="0" w:line="240" w:lineRule="auto"/>
      </w:pPr>
      <w:r>
        <w:separator/>
      </w:r>
    </w:p>
  </w:footnote>
  <w:footnote w:type="continuationSeparator" w:id="0">
    <w:p w14:paraId="397BD09A" w14:textId="77777777" w:rsidR="00D036AD" w:rsidRDefault="00D036AD" w:rsidP="00280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3703"/>
    <w:multiLevelType w:val="hybridMultilevel"/>
    <w:tmpl w:val="3634C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EE0C58"/>
    <w:multiLevelType w:val="hybridMultilevel"/>
    <w:tmpl w:val="2492774A"/>
    <w:lvl w:ilvl="0" w:tplc="B72824A6">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E5"/>
    <w:rsid w:val="00001E6A"/>
    <w:rsid w:val="00003EC8"/>
    <w:rsid w:val="00005DDD"/>
    <w:rsid w:val="00010299"/>
    <w:rsid w:val="00015295"/>
    <w:rsid w:val="00020DFB"/>
    <w:rsid w:val="0003186F"/>
    <w:rsid w:val="00034D5B"/>
    <w:rsid w:val="00034DB8"/>
    <w:rsid w:val="00041E2D"/>
    <w:rsid w:val="00053205"/>
    <w:rsid w:val="00066BCA"/>
    <w:rsid w:val="000701A5"/>
    <w:rsid w:val="00075F4A"/>
    <w:rsid w:val="0008027B"/>
    <w:rsid w:val="0008533B"/>
    <w:rsid w:val="00086CE3"/>
    <w:rsid w:val="000967BD"/>
    <w:rsid w:val="000A2336"/>
    <w:rsid w:val="000C5C63"/>
    <w:rsid w:val="000C7824"/>
    <w:rsid w:val="000D11A0"/>
    <w:rsid w:val="000E1BE3"/>
    <w:rsid w:val="000E3C3C"/>
    <w:rsid w:val="000F0EB5"/>
    <w:rsid w:val="000F15F7"/>
    <w:rsid w:val="001013A7"/>
    <w:rsid w:val="00115801"/>
    <w:rsid w:val="00117979"/>
    <w:rsid w:val="00123671"/>
    <w:rsid w:val="00144586"/>
    <w:rsid w:val="00151121"/>
    <w:rsid w:val="00155C9A"/>
    <w:rsid w:val="00173AE5"/>
    <w:rsid w:val="00181C5C"/>
    <w:rsid w:val="00181DC2"/>
    <w:rsid w:val="001A1D05"/>
    <w:rsid w:val="001B393B"/>
    <w:rsid w:val="001B488F"/>
    <w:rsid w:val="001C219D"/>
    <w:rsid w:val="001C2F62"/>
    <w:rsid w:val="001C395C"/>
    <w:rsid w:val="001C47B0"/>
    <w:rsid w:val="001D47B5"/>
    <w:rsid w:val="001E2684"/>
    <w:rsid w:val="001E4857"/>
    <w:rsid w:val="001E6617"/>
    <w:rsid w:val="001F7957"/>
    <w:rsid w:val="001F7A10"/>
    <w:rsid w:val="00213615"/>
    <w:rsid w:val="00215C4F"/>
    <w:rsid w:val="002161D3"/>
    <w:rsid w:val="00220B93"/>
    <w:rsid w:val="00223281"/>
    <w:rsid w:val="00223568"/>
    <w:rsid w:val="0023301A"/>
    <w:rsid w:val="00237626"/>
    <w:rsid w:val="0024018F"/>
    <w:rsid w:val="00240A8A"/>
    <w:rsid w:val="0024141B"/>
    <w:rsid w:val="00254C83"/>
    <w:rsid w:val="002567D6"/>
    <w:rsid w:val="00260EE3"/>
    <w:rsid w:val="00261228"/>
    <w:rsid w:val="0026636F"/>
    <w:rsid w:val="00266E86"/>
    <w:rsid w:val="002677AF"/>
    <w:rsid w:val="00272611"/>
    <w:rsid w:val="002728BA"/>
    <w:rsid w:val="00275223"/>
    <w:rsid w:val="00280141"/>
    <w:rsid w:val="0028795E"/>
    <w:rsid w:val="00292719"/>
    <w:rsid w:val="002A3A4A"/>
    <w:rsid w:val="002B116C"/>
    <w:rsid w:val="002B48C8"/>
    <w:rsid w:val="002C0DD9"/>
    <w:rsid w:val="002C2B7C"/>
    <w:rsid w:val="002C42A2"/>
    <w:rsid w:val="002C5E8B"/>
    <w:rsid w:val="002D0B47"/>
    <w:rsid w:val="002D3F9C"/>
    <w:rsid w:val="002D798C"/>
    <w:rsid w:val="002E0632"/>
    <w:rsid w:val="002E3087"/>
    <w:rsid w:val="002F15E1"/>
    <w:rsid w:val="002F2C0B"/>
    <w:rsid w:val="002F62DF"/>
    <w:rsid w:val="00306AA1"/>
    <w:rsid w:val="00320B76"/>
    <w:rsid w:val="00324498"/>
    <w:rsid w:val="003260C8"/>
    <w:rsid w:val="003373B6"/>
    <w:rsid w:val="00337BC0"/>
    <w:rsid w:val="00346640"/>
    <w:rsid w:val="00362CF6"/>
    <w:rsid w:val="00366602"/>
    <w:rsid w:val="00374BC8"/>
    <w:rsid w:val="0037565D"/>
    <w:rsid w:val="00396CAC"/>
    <w:rsid w:val="003A03AB"/>
    <w:rsid w:val="003C410A"/>
    <w:rsid w:val="003D0E6A"/>
    <w:rsid w:val="003D2625"/>
    <w:rsid w:val="003D4A94"/>
    <w:rsid w:val="003E5E88"/>
    <w:rsid w:val="003E60B5"/>
    <w:rsid w:val="003F67E5"/>
    <w:rsid w:val="004017C7"/>
    <w:rsid w:val="00413FFF"/>
    <w:rsid w:val="00420EAA"/>
    <w:rsid w:val="0042439B"/>
    <w:rsid w:val="004270A7"/>
    <w:rsid w:val="00442044"/>
    <w:rsid w:val="004431DA"/>
    <w:rsid w:val="00463E86"/>
    <w:rsid w:val="00472FEF"/>
    <w:rsid w:val="00475147"/>
    <w:rsid w:val="00481651"/>
    <w:rsid w:val="004916D4"/>
    <w:rsid w:val="00494563"/>
    <w:rsid w:val="00495847"/>
    <w:rsid w:val="00496508"/>
    <w:rsid w:val="004B2FDF"/>
    <w:rsid w:val="004B55C0"/>
    <w:rsid w:val="004B73B6"/>
    <w:rsid w:val="004C42A3"/>
    <w:rsid w:val="004D2216"/>
    <w:rsid w:val="004D7158"/>
    <w:rsid w:val="004E3511"/>
    <w:rsid w:val="00501C10"/>
    <w:rsid w:val="00524CD5"/>
    <w:rsid w:val="005278BB"/>
    <w:rsid w:val="00534C52"/>
    <w:rsid w:val="00541379"/>
    <w:rsid w:val="00541616"/>
    <w:rsid w:val="0055672A"/>
    <w:rsid w:val="005622D9"/>
    <w:rsid w:val="00562459"/>
    <w:rsid w:val="00573B45"/>
    <w:rsid w:val="005862EE"/>
    <w:rsid w:val="00586DFD"/>
    <w:rsid w:val="005A08DD"/>
    <w:rsid w:val="005B2C4A"/>
    <w:rsid w:val="005B5461"/>
    <w:rsid w:val="005D639A"/>
    <w:rsid w:val="005E5B4C"/>
    <w:rsid w:val="00601DAA"/>
    <w:rsid w:val="00602A03"/>
    <w:rsid w:val="006078B5"/>
    <w:rsid w:val="00611F24"/>
    <w:rsid w:val="0061592D"/>
    <w:rsid w:val="006164F3"/>
    <w:rsid w:val="0063615B"/>
    <w:rsid w:val="00647A76"/>
    <w:rsid w:val="00655FC8"/>
    <w:rsid w:val="00656857"/>
    <w:rsid w:val="00664C66"/>
    <w:rsid w:val="00665CC9"/>
    <w:rsid w:val="0066705A"/>
    <w:rsid w:val="006700E5"/>
    <w:rsid w:val="00676CAD"/>
    <w:rsid w:val="006850DF"/>
    <w:rsid w:val="006969EA"/>
    <w:rsid w:val="006B05F2"/>
    <w:rsid w:val="006B2913"/>
    <w:rsid w:val="006C09A5"/>
    <w:rsid w:val="006C0AA1"/>
    <w:rsid w:val="006D3A25"/>
    <w:rsid w:val="006D62DF"/>
    <w:rsid w:val="006F55FD"/>
    <w:rsid w:val="006F6C5F"/>
    <w:rsid w:val="0070231E"/>
    <w:rsid w:val="007065BA"/>
    <w:rsid w:val="007069CC"/>
    <w:rsid w:val="007073F2"/>
    <w:rsid w:val="00716323"/>
    <w:rsid w:val="00720549"/>
    <w:rsid w:val="00723983"/>
    <w:rsid w:val="00732E0C"/>
    <w:rsid w:val="00735161"/>
    <w:rsid w:val="00735B1C"/>
    <w:rsid w:val="00745F9F"/>
    <w:rsid w:val="007624F0"/>
    <w:rsid w:val="00763B1A"/>
    <w:rsid w:val="00766C0B"/>
    <w:rsid w:val="00767957"/>
    <w:rsid w:val="00772CE8"/>
    <w:rsid w:val="00780737"/>
    <w:rsid w:val="007844AA"/>
    <w:rsid w:val="00784E51"/>
    <w:rsid w:val="00791594"/>
    <w:rsid w:val="007A1122"/>
    <w:rsid w:val="007C1CF4"/>
    <w:rsid w:val="007C3AE2"/>
    <w:rsid w:val="007E687F"/>
    <w:rsid w:val="007F1E23"/>
    <w:rsid w:val="007F6433"/>
    <w:rsid w:val="007F6DE0"/>
    <w:rsid w:val="008022F6"/>
    <w:rsid w:val="008112DE"/>
    <w:rsid w:val="00816280"/>
    <w:rsid w:val="00824193"/>
    <w:rsid w:val="00825BE8"/>
    <w:rsid w:val="00834EE2"/>
    <w:rsid w:val="00837DEF"/>
    <w:rsid w:val="00844128"/>
    <w:rsid w:val="00844F91"/>
    <w:rsid w:val="00851352"/>
    <w:rsid w:val="00853B34"/>
    <w:rsid w:val="00862F7E"/>
    <w:rsid w:val="00867EC4"/>
    <w:rsid w:val="00882C1C"/>
    <w:rsid w:val="00883D1B"/>
    <w:rsid w:val="00885BDD"/>
    <w:rsid w:val="00886C63"/>
    <w:rsid w:val="008A0097"/>
    <w:rsid w:val="008A7007"/>
    <w:rsid w:val="008B1FC6"/>
    <w:rsid w:val="008B696C"/>
    <w:rsid w:val="008B6D92"/>
    <w:rsid w:val="008C3549"/>
    <w:rsid w:val="008C562B"/>
    <w:rsid w:val="008D1948"/>
    <w:rsid w:val="008D4D3E"/>
    <w:rsid w:val="008D4E76"/>
    <w:rsid w:val="008E0A38"/>
    <w:rsid w:val="008E3F93"/>
    <w:rsid w:val="009103B5"/>
    <w:rsid w:val="009124EB"/>
    <w:rsid w:val="0092510D"/>
    <w:rsid w:val="00926FDB"/>
    <w:rsid w:val="00931C83"/>
    <w:rsid w:val="00934414"/>
    <w:rsid w:val="00937959"/>
    <w:rsid w:val="0094715C"/>
    <w:rsid w:val="009576C5"/>
    <w:rsid w:val="00963842"/>
    <w:rsid w:val="00965E37"/>
    <w:rsid w:val="00971487"/>
    <w:rsid w:val="00973261"/>
    <w:rsid w:val="00975D65"/>
    <w:rsid w:val="009800BE"/>
    <w:rsid w:val="009808BF"/>
    <w:rsid w:val="00983EB4"/>
    <w:rsid w:val="0099085E"/>
    <w:rsid w:val="0099440C"/>
    <w:rsid w:val="009A0EB7"/>
    <w:rsid w:val="009B2455"/>
    <w:rsid w:val="009B69A7"/>
    <w:rsid w:val="009C563F"/>
    <w:rsid w:val="009D07AA"/>
    <w:rsid w:val="009E1E60"/>
    <w:rsid w:val="009F57B7"/>
    <w:rsid w:val="00A1482C"/>
    <w:rsid w:val="00A15D8B"/>
    <w:rsid w:val="00A4529E"/>
    <w:rsid w:val="00A50B1C"/>
    <w:rsid w:val="00A56BBF"/>
    <w:rsid w:val="00A60AA2"/>
    <w:rsid w:val="00A62A9A"/>
    <w:rsid w:val="00A62BB9"/>
    <w:rsid w:val="00A64043"/>
    <w:rsid w:val="00A66193"/>
    <w:rsid w:val="00A733BD"/>
    <w:rsid w:val="00A81547"/>
    <w:rsid w:val="00A961E0"/>
    <w:rsid w:val="00AB17C8"/>
    <w:rsid w:val="00AC0A29"/>
    <w:rsid w:val="00AC1396"/>
    <w:rsid w:val="00AD1462"/>
    <w:rsid w:val="00AD40AD"/>
    <w:rsid w:val="00AD732F"/>
    <w:rsid w:val="00AF13BD"/>
    <w:rsid w:val="00B03A25"/>
    <w:rsid w:val="00B13DF6"/>
    <w:rsid w:val="00B15583"/>
    <w:rsid w:val="00B16C9F"/>
    <w:rsid w:val="00B21414"/>
    <w:rsid w:val="00B2645A"/>
    <w:rsid w:val="00B30C7D"/>
    <w:rsid w:val="00B40EF7"/>
    <w:rsid w:val="00B50B46"/>
    <w:rsid w:val="00B55839"/>
    <w:rsid w:val="00B611F4"/>
    <w:rsid w:val="00B85EFD"/>
    <w:rsid w:val="00B92B98"/>
    <w:rsid w:val="00B96171"/>
    <w:rsid w:val="00BA648A"/>
    <w:rsid w:val="00BB5C50"/>
    <w:rsid w:val="00BC335B"/>
    <w:rsid w:val="00BE1165"/>
    <w:rsid w:val="00BE2E24"/>
    <w:rsid w:val="00BE7BA7"/>
    <w:rsid w:val="00BF3833"/>
    <w:rsid w:val="00BF4357"/>
    <w:rsid w:val="00BF612D"/>
    <w:rsid w:val="00C0178B"/>
    <w:rsid w:val="00C22029"/>
    <w:rsid w:val="00C243F2"/>
    <w:rsid w:val="00C26E57"/>
    <w:rsid w:val="00C332A4"/>
    <w:rsid w:val="00C4068F"/>
    <w:rsid w:val="00C43544"/>
    <w:rsid w:val="00C452FD"/>
    <w:rsid w:val="00C623FC"/>
    <w:rsid w:val="00C64B0A"/>
    <w:rsid w:val="00C674CE"/>
    <w:rsid w:val="00C73608"/>
    <w:rsid w:val="00C770B2"/>
    <w:rsid w:val="00C845BD"/>
    <w:rsid w:val="00C9779A"/>
    <w:rsid w:val="00CA1BC6"/>
    <w:rsid w:val="00CA1F9F"/>
    <w:rsid w:val="00CA5676"/>
    <w:rsid w:val="00CB5E6F"/>
    <w:rsid w:val="00CC4437"/>
    <w:rsid w:val="00CE2AD7"/>
    <w:rsid w:val="00CF6583"/>
    <w:rsid w:val="00CF769A"/>
    <w:rsid w:val="00CF7A53"/>
    <w:rsid w:val="00D02E3A"/>
    <w:rsid w:val="00D036AD"/>
    <w:rsid w:val="00D16E86"/>
    <w:rsid w:val="00D256C3"/>
    <w:rsid w:val="00D53472"/>
    <w:rsid w:val="00D749F3"/>
    <w:rsid w:val="00D812D0"/>
    <w:rsid w:val="00D81B90"/>
    <w:rsid w:val="00D82156"/>
    <w:rsid w:val="00D851EA"/>
    <w:rsid w:val="00D90811"/>
    <w:rsid w:val="00D97C95"/>
    <w:rsid w:val="00DA43C4"/>
    <w:rsid w:val="00DD073D"/>
    <w:rsid w:val="00DD54A5"/>
    <w:rsid w:val="00DE6214"/>
    <w:rsid w:val="00DF0EAF"/>
    <w:rsid w:val="00DF166F"/>
    <w:rsid w:val="00E02BE9"/>
    <w:rsid w:val="00E03DA7"/>
    <w:rsid w:val="00E1337A"/>
    <w:rsid w:val="00E451F3"/>
    <w:rsid w:val="00E61878"/>
    <w:rsid w:val="00E63E8D"/>
    <w:rsid w:val="00E73480"/>
    <w:rsid w:val="00E74DEA"/>
    <w:rsid w:val="00E856F0"/>
    <w:rsid w:val="00EA087D"/>
    <w:rsid w:val="00EB02F8"/>
    <w:rsid w:val="00EC061C"/>
    <w:rsid w:val="00EC0BF5"/>
    <w:rsid w:val="00EC1C41"/>
    <w:rsid w:val="00EC3879"/>
    <w:rsid w:val="00EC5FF7"/>
    <w:rsid w:val="00ED243C"/>
    <w:rsid w:val="00ED3504"/>
    <w:rsid w:val="00ED45E3"/>
    <w:rsid w:val="00EE3EB7"/>
    <w:rsid w:val="00EE5E34"/>
    <w:rsid w:val="00EF4D91"/>
    <w:rsid w:val="00EF7C1A"/>
    <w:rsid w:val="00F11DA6"/>
    <w:rsid w:val="00F20510"/>
    <w:rsid w:val="00F22029"/>
    <w:rsid w:val="00F31DFF"/>
    <w:rsid w:val="00F365C1"/>
    <w:rsid w:val="00F36AE2"/>
    <w:rsid w:val="00F45247"/>
    <w:rsid w:val="00F476D0"/>
    <w:rsid w:val="00F56671"/>
    <w:rsid w:val="00F67022"/>
    <w:rsid w:val="00F70D5B"/>
    <w:rsid w:val="00F75373"/>
    <w:rsid w:val="00F86B64"/>
    <w:rsid w:val="00F95EC2"/>
    <w:rsid w:val="00F97864"/>
    <w:rsid w:val="00FB0C16"/>
    <w:rsid w:val="00FC2B4E"/>
    <w:rsid w:val="00FC5631"/>
    <w:rsid w:val="00FE4796"/>
    <w:rsid w:val="00FE559B"/>
    <w:rsid w:val="00FF2C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2A3C"/>
  <w14:defaultImageDpi w14:val="32767"/>
  <w15:chartTrackingRefBased/>
  <w15:docId w15:val="{F59D5FF1-A4F9-4F76-AFB5-14E5174E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67E5"/>
    <w:pPr>
      <w:suppressAutoHyphens/>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3F67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67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67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67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67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6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7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67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67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67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67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6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7E5"/>
    <w:rPr>
      <w:rFonts w:eastAsiaTheme="majorEastAsia" w:cstheme="majorBidi"/>
      <w:color w:val="272727" w:themeColor="text1" w:themeTint="D8"/>
    </w:rPr>
  </w:style>
  <w:style w:type="paragraph" w:styleId="Title">
    <w:name w:val="Title"/>
    <w:basedOn w:val="Normal"/>
    <w:next w:val="Normal"/>
    <w:link w:val="TitleChar"/>
    <w:uiPriority w:val="10"/>
    <w:qFormat/>
    <w:rsid w:val="003F6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7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7E5"/>
    <w:pPr>
      <w:spacing w:before="160"/>
      <w:jc w:val="center"/>
    </w:pPr>
    <w:rPr>
      <w:i/>
      <w:iCs/>
      <w:color w:val="404040" w:themeColor="text1" w:themeTint="BF"/>
    </w:rPr>
  </w:style>
  <w:style w:type="character" w:customStyle="1" w:styleId="QuoteChar">
    <w:name w:val="Quote Char"/>
    <w:basedOn w:val="DefaultParagraphFont"/>
    <w:link w:val="Quote"/>
    <w:uiPriority w:val="29"/>
    <w:rsid w:val="003F67E5"/>
    <w:rPr>
      <w:i/>
      <w:iCs/>
      <w:color w:val="404040" w:themeColor="text1" w:themeTint="BF"/>
    </w:rPr>
  </w:style>
  <w:style w:type="paragraph" w:styleId="ListParagraph">
    <w:name w:val="List Paragraph"/>
    <w:basedOn w:val="Normal"/>
    <w:uiPriority w:val="34"/>
    <w:qFormat/>
    <w:rsid w:val="003F67E5"/>
    <w:pPr>
      <w:ind w:left="720"/>
      <w:contextualSpacing/>
    </w:pPr>
  </w:style>
  <w:style w:type="character" w:styleId="IntenseEmphasis">
    <w:name w:val="Intense Emphasis"/>
    <w:basedOn w:val="DefaultParagraphFont"/>
    <w:uiPriority w:val="21"/>
    <w:qFormat/>
    <w:rsid w:val="003F67E5"/>
    <w:rPr>
      <w:i/>
      <w:iCs/>
      <w:color w:val="2F5496" w:themeColor="accent1" w:themeShade="BF"/>
    </w:rPr>
  </w:style>
  <w:style w:type="paragraph" w:styleId="IntenseQuote">
    <w:name w:val="Intense Quote"/>
    <w:basedOn w:val="Normal"/>
    <w:next w:val="Normal"/>
    <w:link w:val="IntenseQuoteChar"/>
    <w:uiPriority w:val="30"/>
    <w:qFormat/>
    <w:rsid w:val="003F6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67E5"/>
    <w:rPr>
      <w:i/>
      <w:iCs/>
      <w:color w:val="2F5496" w:themeColor="accent1" w:themeShade="BF"/>
    </w:rPr>
  </w:style>
  <w:style w:type="character" w:styleId="IntenseReference">
    <w:name w:val="Intense Reference"/>
    <w:basedOn w:val="DefaultParagraphFont"/>
    <w:uiPriority w:val="32"/>
    <w:qFormat/>
    <w:rsid w:val="003F67E5"/>
    <w:rPr>
      <w:b/>
      <w:bCs/>
      <w:smallCaps/>
      <w:color w:val="2F5496" w:themeColor="accent1" w:themeShade="BF"/>
      <w:spacing w:val="5"/>
    </w:rPr>
  </w:style>
  <w:style w:type="character" w:styleId="Strong">
    <w:name w:val="Strong"/>
    <w:basedOn w:val="DefaultParagraphFont"/>
    <w:uiPriority w:val="22"/>
    <w:qFormat/>
    <w:rsid w:val="003F67E5"/>
    <w:rPr>
      <w:b/>
      <w:bCs/>
    </w:rPr>
  </w:style>
  <w:style w:type="paragraph" w:styleId="NormalWeb">
    <w:name w:val="Normal (Web)"/>
    <w:basedOn w:val="Normal"/>
    <w:uiPriority w:val="99"/>
    <w:unhideWhenUsed/>
    <w:rsid w:val="003F67E5"/>
    <w:pPr>
      <w:suppressAutoHyphens w:val="0"/>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basedOn w:val="DefaultParagraphFont"/>
    <w:uiPriority w:val="20"/>
    <w:qFormat/>
    <w:rsid w:val="003F67E5"/>
    <w:rPr>
      <w:i/>
      <w:iCs/>
    </w:rPr>
  </w:style>
  <w:style w:type="character" w:styleId="Hyperlink">
    <w:name w:val="Hyperlink"/>
    <w:basedOn w:val="DefaultParagraphFont"/>
    <w:uiPriority w:val="99"/>
    <w:unhideWhenUsed/>
    <w:rsid w:val="003F67E5"/>
    <w:rPr>
      <w:color w:val="0563C1" w:themeColor="hyperlink"/>
      <w:u w:val="single"/>
    </w:rPr>
  </w:style>
  <w:style w:type="character" w:styleId="LineNumber">
    <w:name w:val="line number"/>
    <w:basedOn w:val="DefaultParagraphFont"/>
    <w:uiPriority w:val="99"/>
    <w:semiHidden/>
    <w:unhideWhenUsed/>
    <w:rsid w:val="008C562B"/>
  </w:style>
  <w:style w:type="character" w:customStyle="1" w:styleId="UnresolvedMention1">
    <w:name w:val="Unresolved Mention1"/>
    <w:basedOn w:val="DefaultParagraphFont"/>
    <w:uiPriority w:val="99"/>
    <w:semiHidden/>
    <w:unhideWhenUsed/>
    <w:rsid w:val="00CF6583"/>
    <w:rPr>
      <w:color w:val="605E5C"/>
      <w:shd w:val="clear" w:color="auto" w:fill="E1DFDD"/>
    </w:rPr>
  </w:style>
  <w:style w:type="paragraph" w:styleId="Header">
    <w:name w:val="header"/>
    <w:basedOn w:val="Normal"/>
    <w:link w:val="HeaderChar"/>
    <w:uiPriority w:val="99"/>
    <w:unhideWhenUsed/>
    <w:rsid w:val="00280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141"/>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280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141"/>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9026">
      <w:bodyDiv w:val="1"/>
      <w:marLeft w:val="0"/>
      <w:marRight w:val="0"/>
      <w:marTop w:val="0"/>
      <w:marBottom w:val="0"/>
      <w:divBdr>
        <w:top w:val="none" w:sz="0" w:space="0" w:color="auto"/>
        <w:left w:val="none" w:sz="0" w:space="0" w:color="auto"/>
        <w:bottom w:val="none" w:sz="0" w:space="0" w:color="auto"/>
        <w:right w:val="none" w:sz="0" w:space="0" w:color="auto"/>
      </w:divBdr>
    </w:div>
    <w:div w:id="137190096">
      <w:bodyDiv w:val="1"/>
      <w:marLeft w:val="0"/>
      <w:marRight w:val="0"/>
      <w:marTop w:val="0"/>
      <w:marBottom w:val="0"/>
      <w:divBdr>
        <w:top w:val="none" w:sz="0" w:space="0" w:color="auto"/>
        <w:left w:val="none" w:sz="0" w:space="0" w:color="auto"/>
        <w:bottom w:val="none" w:sz="0" w:space="0" w:color="auto"/>
        <w:right w:val="none" w:sz="0" w:space="0" w:color="auto"/>
      </w:divBdr>
    </w:div>
    <w:div w:id="199361484">
      <w:bodyDiv w:val="1"/>
      <w:marLeft w:val="0"/>
      <w:marRight w:val="0"/>
      <w:marTop w:val="0"/>
      <w:marBottom w:val="0"/>
      <w:divBdr>
        <w:top w:val="none" w:sz="0" w:space="0" w:color="auto"/>
        <w:left w:val="none" w:sz="0" w:space="0" w:color="auto"/>
        <w:bottom w:val="none" w:sz="0" w:space="0" w:color="auto"/>
        <w:right w:val="none" w:sz="0" w:space="0" w:color="auto"/>
      </w:divBdr>
    </w:div>
    <w:div w:id="322240766">
      <w:bodyDiv w:val="1"/>
      <w:marLeft w:val="0"/>
      <w:marRight w:val="0"/>
      <w:marTop w:val="0"/>
      <w:marBottom w:val="0"/>
      <w:divBdr>
        <w:top w:val="none" w:sz="0" w:space="0" w:color="auto"/>
        <w:left w:val="none" w:sz="0" w:space="0" w:color="auto"/>
        <w:bottom w:val="none" w:sz="0" w:space="0" w:color="auto"/>
        <w:right w:val="none" w:sz="0" w:space="0" w:color="auto"/>
      </w:divBdr>
    </w:div>
    <w:div w:id="438916366">
      <w:bodyDiv w:val="1"/>
      <w:marLeft w:val="0"/>
      <w:marRight w:val="0"/>
      <w:marTop w:val="0"/>
      <w:marBottom w:val="0"/>
      <w:divBdr>
        <w:top w:val="none" w:sz="0" w:space="0" w:color="auto"/>
        <w:left w:val="none" w:sz="0" w:space="0" w:color="auto"/>
        <w:bottom w:val="none" w:sz="0" w:space="0" w:color="auto"/>
        <w:right w:val="none" w:sz="0" w:space="0" w:color="auto"/>
      </w:divBdr>
    </w:div>
    <w:div w:id="566113328">
      <w:bodyDiv w:val="1"/>
      <w:marLeft w:val="0"/>
      <w:marRight w:val="0"/>
      <w:marTop w:val="0"/>
      <w:marBottom w:val="0"/>
      <w:divBdr>
        <w:top w:val="none" w:sz="0" w:space="0" w:color="auto"/>
        <w:left w:val="none" w:sz="0" w:space="0" w:color="auto"/>
        <w:bottom w:val="none" w:sz="0" w:space="0" w:color="auto"/>
        <w:right w:val="none" w:sz="0" w:space="0" w:color="auto"/>
      </w:divBdr>
    </w:div>
    <w:div w:id="567960575">
      <w:bodyDiv w:val="1"/>
      <w:marLeft w:val="0"/>
      <w:marRight w:val="0"/>
      <w:marTop w:val="0"/>
      <w:marBottom w:val="0"/>
      <w:divBdr>
        <w:top w:val="none" w:sz="0" w:space="0" w:color="auto"/>
        <w:left w:val="none" w:sz="0" w:space="0" w:color="auto"/>
        <w:bottom w:val="none" w:sz="0" w:space="0" w:color="auto"/>
        <w:right w:val="none" w:sz="0" w:space="0" w:color="auto"/>
      </w:divBdr>
    </w:div>
    <w:div w:id="707070445">
      <w:bodyDiv w:val="1"/>
      <w:marLeft w:val="0"/>
      <w:marRight w:val="0"/>
      <w:marTop w:val="0"/>
      <w:marBottom w:val="0"/>
      <w:divBdr>
        <w:top w:val="none" w:sz="0" w:space="0" w:color="auto"/>
        <w:left w:val="none" w:sz="0" w:space="0" w:color="auto"/>
        <w:bottom w:val="none" w:sz="0" w:space="0" w:color="auto"/>
        <w:right w:val="none" w:sz="0" w:space="0" w:color="auto"/>
      </w:divBdr>
    </w:div>
    <w:div w:id="847717781">
      <w:bodyDiv w:val="1"/>
      <w:marLeft w:val="0"/>
      <w:marRight w:val="0"/>
      <w:marTop w:val="0"/>
      <w:marBottom w:val="0"/>
      <w:divBdr>
        <w:top w:val="none" w:sz="0" w:space="0" w:color="auto"/>
        <w:left w:val="none" w:sz="0" w:space="0" w:color="auto"/>
        <w:bottom w:val="none" w:sz="0" w:space="0" w:color="auto"/>
        <w:right w:val="none" w:sz="0" w:space="0" w:color="auto"/>
      </w:divBdr>
    </w:div>
    <w:div w:id="992872235">
      <w:bodyDiv w:val="1"/>
      <w:marLeft w:val="0"/>
      <w:marRight w:val="0"/>
      <w:marTop w:val="0"/>
      <w:marBottom w:val="0"/>
      <w:divBdr>
        <w:top w:val="none" w:sz="0" w:space="0" w:color="auto"/>
        <w:left w:val="none" w:sz="0" w:space="0" w:color="auto"/>
        <w:bottom w:val="none" w:sz="0" w:space="0" w:color="auto"/>
        <w:right w:val="none" w:sz="0" w:space="0" w:color="auto"/>
      </w:divBdr>
    </w:div>
    <w:div w:id="1085880049">
      <w:bodyDiv w:val="1"/>
      <w:marLeft w:val="0"/>
      <w:marRight w:val="0"/>
      <w:marTop w:val="0"/>
      <w:marBottom w:val="0"/>
      <w:divBdr>
        <w:top w:val="none" w:sz="0" w:space="0" w:color="auto"/>
        <w:left w:val="none" w:sz="0" w:space="0" w:color="auto"/>
        <w:bottom w:val="none" w:sz="0" w:space="0" w:color="auto"/>
        <w:right w:val="none" w:sz="0" w:space="0" w:color="auto"/>
      </w:divBdr>
    </w:div>
    <w:div w:id="1584875588">
      <w:bodyDiv w:val="1"/>
      <w:marLeft w:val="0"/>
      <w:marRight w:val="0"/>
      <w:marTop w:val="0"/>
      <w:marBottom w:val="0"/>
      <w:divBdr>
        <w:top w:val="none" w:sz="0" w:space="0" w:color="auto"/>
        <w:left w:val="none" w:sz="0" w:space="0" w:color="auto"/>
        <w:bottom w:val="none" w:sz="0" w:space="0" w:color="auto"/>
        <w:right w:val="none" w:sz="0" w:space="0" w:color="auto"/>
      </w:divBdr>
    </w:div>
    <w:div w:id="19724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raq.12895" TargetMode="External"/><Relationship Id="rId18" Type="http://schemas.openxmlformats.org/officeDocument/2006/relationships/hyperlink" Target="https://doi.org/10.3390/ani14071006" TargetMode="External"/><Relationship Id="rId26" Type="http://schemas.openxmlformats.org/officeDocument/2006/relationships/hyperlink" Target="https://doi.org/10.1016/j.ab.2007.07.023" TargetMode="External"/><Relationship Id="rId39" Type="http://schemas.openxmlformats.org/officeDocument/2006/relationships/fontTable" Target="fontTable.xml"/><Relationship Id="rId21" Type="http://schemas.openxmlformats.org/officeDocument/2006/relationships/hyperlink" Target="https://doi.org/10.61386/imj.v17i3.485" TargetMode="External"/><Relationship Id="rId34" Type="http://schemas.openxmlformats.org/officeDocument/2006/relationships/image" Target="media/image1.png"/><Relationship Id="rId7" Type="http://schemas.openxmlformats.org/officeDocument/2006/relationships/hyperlink" Target="https://doi.org/10.3390/catal8040170" TargetMode="External"/><Relationship Id="rId12" Type="http://schemas.openxmlformats.org/officeDocument/2006/relationships/hyperlink" Target="https://doi.org/10.1007/s00360-017-1088-3" TargetMode="External"/><Relationship Id="rId17" Type="http://schemas.openxmlformats.org/officeDocument/2006/relationships/hyperlink" Target="https://doi.org/10.1016/j.fsi.2020.03.015" TargetMode="External"/><Relationship Id="rId25" Type="http://schemas.openxmlformats.org/officeDocument/2006/relationships/hyperlink" Target="https://doi.org/10.20944/preprints202603.0616.v1" TargetMode="External"/><Relationship Id="rId33" Type="http://schemas.openxmlformats.org/officeDocument/2006/relationships/hyperlink" Target="https://doi.org/10.1016/j.ecolind.2018.11.04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07/s11738-014-1528-6" TargetMode="External"/><Relationship Id="rId20" Type="http://schemas.openxmlformats.org/officeDocument/2006/relationships/hyperlink" Target="https://doi.org/10.1016/j.chemosphere.2014.05.011" TargetMode="External"/><Relationship Id="rId29" Type="http://schemas.openxmlformats.org/officeDocument/2006/relationships/hyperlink" Target="https://doi.org/10.1016/j.fsi.2020.04.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bpb.2006.09.008" TargetMode="External"/><Relationship Id="rId24" Type="http://schemas.openxmlformats.org/officeDocument/2006/relationships/hyperlink" Target="https://doi.org/10.1016/j.hazl.2025.100144" TargetMode="External"/><Relationship Id="rId32" Type="http://schemas.openxmlformats.org/officeDocument/2006/relationships/hyperlink" Target="https://doi.org/10.1016/j.fsi.2017.04.027" TargetMode="External"/><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dib.2015.12.012" TargetMode="External"/><Relationship Id="rId23" Type="http://schemas.openxmlformats.org/officeDocument/2006/relationships/hyperlink" Target="https://doi.org/10.1016/j.toxrep.2024.101780" TargetMode="External"/><Relationship Id="rId28" Type="http://schemas.openxmlformats.org/officeDocument/2006/relationships/hyperlink" Target="https://doi.org/10.1016/j.chemosphere.2018.06.163" TargetMode="External"/><Relationship Id="rId36" Type="http://schemas.openxmlformats.org/officeDocument/2006/relationships/image" Target="media/image3.png"/><Relationship Id="rId10" Type="http://schemas.openxmlformats.org/officeDocument/2006/relationships/hyperlink" Target="https://doi.org/10.3329/jsr.v12i1.41716" TargetMode="External"/><Relationship Id="rId19" Type="http://schemas.openxmlformats.org/officeDocument/2006/relationships/hyperlink" Target="https://doi.org/10.1007/s002040100240" TargetMode="External"/><Relationship Id="rId31" Type="http://schemas.openxmlformats.org/officeDocument/2006/relationships/hyperlink" Target="https://doi.org/10.3390/fishes10070307" TargetMode="External"/><Relationship Id="rId4" Type="http://schemas.openxmlformats.org/officeDocument/2006/relationships/webSettings" Target="webSettings.xml"/><Relationship Id="rId9" Type="http://schemas.openxmlformats.org/officeDocument/2006/relationships/hyperlink" Target="https://pubs.acs.org/doi/10.1021/cr4000013" TargetMode="External"/><Relationship Id="rId14" Type="http://schemas.openxmlformats.org/officeDocument/2006/relationships/hyperlink" Target="https://doi.org/10.1017/S1464793103006328" TargetMode="External"/><Relationship Id="rId22" Type="http://schemas.openxmlformats.org/officeDocument/2006/relationships/hyperlink" Target="https://doi.org/10.1098/rstb.2006.1947" TargetMode="External"/><Relationship Id="rId27" Type="http://schemas.openxmlformats.org/officeDocument/2006/relationships/hyperlink" Target="https://doi.org/10.1038/s41467-019-08398-5" TargetMode="External"/><Relationship Id="rId30" Type="http://schemas.openxmlformats.org/officeDocument/2006/relationships/hyperlink" Target="https://doi.org/10.1016/j.aquaculture.2013.07.025" TargetMode="External"/><Relationship Id="rId35" Type="http://schemas.openxmlformats.org/officeDocument/2006/relationships/image" Target="media/image2.png"/><Relationship Id="rId8" Type="http://schemas.openxmlformats.org/officeDocument/2006/relationships/hyperlink" Target="https://doi.org/10.1016/j.cbpb.2015.10.00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18</Pages>
  <Words>5137</Words>
  <Characters>30572</Characters>
  <Application>Microsoft Office Word</Application>
  <DocSecurity>0</DocSecurity>
  <Lines>1455</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SAHA</dc:creator>
  <cp:keywords/>
  <dc:description/>
  <cp:lastModifiedBy>SDI 1089</cp:lastModifiedBy>
  <cp:revision>78</cp:revision>
  <dcterms:created xsi:type="dcterms:W3CDTF">2026-04-08T10:50:00Z</dcterms:created>
  <dcterms:modified xsi:type="dcterms:W3CDTF">2026-04-14T09:40:00Z</dcterms:modified>
</cp:coreProperties>
</file>