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38F" w:rsidRPr="007C6F9D" w:rsidRDefault="002A2DDB" w:rsidP="00B74599">
      <w:pPr>
        <w:jc w:val="both"/>
        <w:rPr>
          <w:rFonts w:ascii="Times New Roman" w:hAnsi="Times New Roman" w:cs="Times New Roman"/>
          <w:b/>
          <w:sz w:val="36"/>
          <w:szCs w:val="36"/>
        </w:rPr>
      </w:pPr>
      <w:r w:rsidRPr="007C6F9D">
        <w:rPr>
          <w:rFonts w:ascii="Times New Roman" w:hAnsi="Times New Roman" w:cs="Times New Roman"/>
          <w:b/>
          <w:sz w:val="36"/>
          <w:szCs w:val="36"/>
        </w:rPr>
        <w:t xml:space="preserve">Nano-Enabled Delivery of a Polyherbal Formulation from </w:t>
      </w:r>
      <w:proofErr w:type="spellStart"/>
      <w:r w:rsidRPr="007C6F9D">
        <w:rPr>
          <w:rFonts w:ascii="Times New Roman" w:hAnsi="Times New Roman" w:cs="Times New Roman"/>
          <w:b/>
          <w:i/>
          <w:sz w:val="36"/>
          <w:szCs w:val="36"/>
        </w:rPr>
        <w:t>Tridax</w:t>
      </w:r>
      <w:proofErr w:type="spellEnd"/>
      <w:r w:rsidRPr="007C6F9D">
        <w:rPr>
          <w:rFonts w:ascii="Times New Roman" w:hAnsi="Times New Roman" w:cs="Times New Roman"/>
          <w:b/>
          <w:i/>
          <w:sz w:val="36"/>
          <w:szCs w:val="36"/>
        </w:rPr>
        <w:t xml:space="preserve"> </w:t>
      </w:r>
      <w:proofErr w:type="spellStart"/>
      <w:r w:rsidRPr="007C6F9D">
        <w:rPr>
          <w:rFonts w:ascii="Times New Roman" w:hAnsi="Times New Roman" w:cs="Times New Roman"/>
          <w:b/>
          <w:i/>
          <w:sz w:val="36"/>
          <w:szCs w:val="36"/>
        </w:rPr>
        <w:t>procumbens</w:t>
      </w:r>
      <w:proofErr w:type="spellEnd"/>
      <w:r w:rsidRPr="007C6F9D">
        <w:rPr>
          <w:rFonts w:ascii="Times New Roman" w:hAnsi="Times New Roman" w:cs="Times New Roman"/>
          <w:b/>
          <w:sz w:val="36"/>
          <w:szCs w:val="36"/>
        </w:rPr>
        <w:t xml:space="preserve">, </w:t>
      </w:r>
      <w:proofErr w:type="spellStart"/>
      <w:r w:rsidRPr="007C6F9D">
        <w:rPr>
          <w:rFonts w:ascii="Times New Roman" w:hAnsi="Times New Roman" w:cs="Times New Roman"/>
          <w:b/>
          <w:i/>
          <w:sz w:val="36"/>
          <w:szCs w:val="36"/>
        </w:rPr>
        <w:t>Boerhavia</w:t>
      </w:r>
      <w:proofErr w:type="spellEnd"/>
      <w:r w:rsidRPr="007C6F9D">
        <w:rPr>
          <w:rFonts w:ascii="Times New Roman" w:hAnsi="Times New Roman" w:cs="Times New Roman"/>
          <w:b/>
          <w:i/>
          <w:sz w:val="36"/>
          <w:szCs w:val="36"/>
        </w:rPr>
        <w:t xml:space="preserve"> </w:t>
      </w:r>
      <w:proofErr w:type="spellStart"/>
      <w:r w:rsidRPr="007C6F9D">
        <w:rPr>
          <w:rFonts w:ascii="Times New Roman" w:hAnsi="Times New Roman" w:cs="Times New Roman"/>
          <w:b/>
          <w:i/>
          <w:sz w:val="36"/>
          <w:szCs w:val="36"/>
        </w:rPr>
        <w:t>diffusa</w:t>
      </w:r>
      <w:proofErr w:type="spellEnd"/>
      <w:r w:rsidRPr="007C6F9D">
        <w:rPr>
          <w:rFonts w:ascii="Times New Roman" w:hAnsi="Times New Roman" w:cs="Times New Roman"/>
          <w:b/>
          <w:sz w:val="36"/>
          <w:szCs w:val="36"/>
        </w:rPr>
        <w:t xml:space="preserve"> and </w:t>
      </w:r>
      <w:proofErr w:type="spellStart"/>
      <w:r w:rsidRPr="007C6F9D">
        <w:rPr>
          <w:rFonts w:ascii="Times New Roman" w:hAnsi="Times New Roman" w:cs="Times New Roman"/>
          <w:b/>
          <w:i/>
          <w:sz w:val="36"/>
          <w:szCs w:val="36"/>
        </w:rPr>
        <w:t>Tinospora</w:t>
      </w:r>
      <w:proofErr w:type="spellEnd"/>
      <w:r w:rsidRPr="007C6F9D">
        <w:rPr>
          <w:rFonts w:ascii="Times New Roman" w:hAnsi="Times New Roman" w:cs="Times New Roman"/>
          <w:b/>
          <w:i/>
          <w:sz w:val="36"/>
          <w:szCs w:val="36"/>
        </w:rPr>
        <w:t xml:space="preserve"> </w:t>
      </w:r>
      <w:proofErr w:type="spellStart"/>
      <w:r w:rsidRPr="007C6F9D">
        <w:rPr>
          <w:rFonts w:ascii="Times New Roman" w:hAnsi="Times New Roman" w:cs="Times New Roman"/>
          <w:b/>
          <w:i/>
          <w:sz w:val="36"/>
          <w:szCs w:val="36"/>
        </w:rPr>
        <w:t>cordifolia</w:t>
      </w:r>
      <w:proofErr w:type="spellEnd"/>
      <w:r w:rsidRPr="007C6F9D">
        <w:rPr>
          <w:rFonts w:ascii="Times New Roman" w:hAnsi="Times New Roman" w:cs="Times New Roman"/>
          <w:b/>
          <w:sz w:val="36"/>
          <w:szCs w:val="36"/>
        </w:rPr>
        <w:t xml:space="preserve"> to Enhance Growth, Immunity and Disease Resistance in </w:t>
      </w:r>
      <w:r w:rsidRPr="007C6F9D">
        <w:rPr>
          <w:rFonts w:ascii="Times New Roman" w:hAnsi="Times New Roman" w:cs="Times New Roman"/>
          <w:b/>
          <w:i/>
          <w:sz w:val="36"/>
          <w:szCs w:val="36"/>
        </w:rPr>
        <w:t xml:space="preserve">Pangasius </w:t>
      </w:r>
      <w:proofErr w:type="spellStart"/>
      <w:r w:rsidRPr="007C6F9D">
        <w:rPr>
          <w:rFonts w:ascii="Times New Roman" w:hAnsi="Times New Roman" w:cs="Times New Roman"/>
          <w:b/>
          <w:i/>
          <w:sz w:val="36"/>
          <w:szCs w:val="36"/>
        </w:rPr>
        <w:t>pangasius</w:t>
      </w:r>
      <w:proofErr w:type="spellEnd"/>
      <w:r w:rsidRPr="007C6F9D">
        <w:rPr>
          <w:rFonts w:ascii="Times New Roman" w:hAnsi="Times New Roman" w:cs="Times New Roman"/>
          <w:b/>
          <w:sz w:val="36"/>
          <w:szCs w:val="36"/>
        </w:rPr>
        <w:t xml:space="preserve"> Fingerlings</w:t>
      </w:r>
    </w:p>
    <w:p w:rsidR="002A2DDB" w:rsidRPr="007C6F9D" w:rsidRDefault="002A2DDB" w:rsidP="00B74599">
      <w:pPr>
        <w:pBdr>
          <w:bottom w:val="single" w:sz="4" w:space="1" w:color="auto"/>
        </w:pBdr>
        <w:spacing w:after="0" w:line="240" w:lineRule="auto"/>
        <w:jc w:val="both"/>
        <w:rPr>
          <w:rFonts w:ascii="Times New Roman" w:eastAsia="Times New Roman" w:hAnsi="Times New Roman" w:cs="Times New Roman"/>
          <w:sz w:val="24"/>
          <w:szCs w:val="24"/>
          <w:lang w:eastAsia="en-IN"/>
        </w:rPr>
      </w:pPr>
    </w:p>
    <w:p w:rsidR="002A2DDB" w:rsidRPr="007C6F9D" w:rsidRDefault="002A2DDB" w:rsidP="009145D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Abstract</w:t>
      </w:r>
    </w:p>
    <w:p w:rsidR="0036537A" w:rsidRPr="007C6F9D" w:rsidRDefault="0036537A" w:rsidP="00360621">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The present study evaluated improved growth performance, immunity, and disease resistance in Pangasius </w:t>
      </w:r>
      <w:proofErr w:type="spellStart"/>
      <w:r w:rsidRPr="007C6F9D">
        <w:rPr>
          <w:rFonts w:ascii="Times New Roman" w:eastAsia="Times New Roman" w:hAnsi="Times New Roman" w:cs="Times New Roman"/>
          <w:sz w:val="24"/>
          <w:szCs w:val="24"/>
          <w:lang w:eastAsia="en-IN"/>
        </w:rPr>
        <w:t>pangasius</w:t>
      </w:r>
      <w:proofErr w:type="spellEnd"/>
      <w:r w:rsidRPr="007C6F9D">
        <w:rPr>
          <w:rFonts w:ascii="Times New Roman" w:eastAsia="Times New Roman" w:hAnsi="Times New Roman" w:cs="Times New Roman"/>
          <w:sz w:val="24"/>
          <w:szCs w:val="24"/>
          <w:lang w:eastAsia="en-IN"/>
        </w:rPr>
        <w:t xml:space="preserve"> fingerlings (initial weight: 9.1 ± 0.3 g), the current study assessed a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-enabled delivery system for a polyherbal formulation consisting of </w:t>
      </w:r>
      <w:proofErr w:type="spellStart"/>
      <w:r w:rsidRPr="007C6F9D">
        <w:rPr>
          <w:rFonts w:ascii="Times New Roman" w:eastAsia="Times New Roman" w:hAnsi="Times New Roman" w:cs="Times New Roman"/>
          <w:sz w:val="24"/>
          <w:szCs w:val="24"/>
          <w:lang w:eastAsia="en-IN"/>
        </w:rPr>
        <w:t>Tridax</w:t>
      </w:r>
      <w:proofErr w:type="spellEnd"/>
      <w:r w:rsidRPr="007C6F9D">
        <w:rPr>
          <w:rFonts w:ascii="Times New Roman" w:eastAsia="Times New Roman" w:hAnsi="Times New Roman" w:cs="Times New Roman"/>
          <w:sz w:val="24"/>
          <w:szCs w:val="24"/>
          <w:lang w:eastAsia="en-IN"/>
        </w:rPr>
        <w:t xml:space="preserve"> </w:t>
      </w:r>
      <w:proofErr w:type="spellStart"/>
      <w:r w:rsidRPr="007C6F9D">
        <w:rPr>
          <w:rFonts w:ascii="Times New Roman" w:eastAsia="Times New Roman" w:hAnsi="Times New Roman" w:cs="Times New Roman"/>
          <w:sz w:val="24"/>
          <w:szCs w:val="24"/>
          <w:lang w:eastAsia="en-IN"/>
        </w:rPr>
        <w:t>procumbens</w:t>
      </w:r>
      <w:proofErr w:type="spellEnd"/>
      <w:r w:rsidRPr="007C6F9D">
        <w:rPr>
          <w:rFonts w:ascii="Times New Roman" w:eastAsia="Times New Roman" w:hAnsi="Times New Roman" w:cs="Times New Roman"/>
          <w:sz w:val="24"/>
          <w:szCs w:val="24"/>
          <w:lang w:eastAsia="en-IN"/>
        </w:rPr>
        <w:t xml:space="preserve">, </w:t>
      </w:r>
      <w:proofErr w:type="spellStart"/>
      <w:r w:rsidRPr="007C6F9D">
        <w:rPr>
          <w:rFonts w:ascii="Times New Roman" w:eastAsia="Times New Roman" w:hAnsi="Times New Roman" w:cs="Times New Roman"/>
          <w:sz w:val="24"/>
          <w:szCs w:val="24"/>
          <w:lang w:eastAsia="en-IN"/>
        </w:rPr>
        <w:t>Boerhavia</w:t>
      </w:r>
      <w:proofErr w:type="spellEnd"/>
      <w:r w:rsidRPr="007C6F9D">
        <w:rPr>
          <w:rFonts w:ascii="Times New Roman" w:eastAsia="Times New Roman" w:hAnsi="Times New Roman" w:cs="Times New Roman"/>
          <w:sz w:val="24"/>
          <w:szCs w:val="24"/>
          <w:lang w:eastAsia="en-IN"/>
        </w:rPr>
        <w:t xml:space="preserve"> </w:t>
      </w:r>
      <w:proofErr w:type="spellStart"/>
      <w:r w:rsidRPr="007C6F9D">
        <w:rPr>
          <w:rFonts w:ascii="Times New Roman" w:eastAsia="Times New Roman" w:hAnsi="Times New Roman" w:cs="Times New Roman"/>
          <w:sz w:val="24"/>
          <w:szCs w:val="24"/>
          <w:lang w:eastAsia="en-IN"/>
        </w:rPr>
        <w:t>diffusa</w:t>
      </w:r>
      <w:proofErr w:type="spellEnd"/>
      <w:r w:rsidRPr="007C6F9D">
        <w:rPr>
          <w:rFonts w:ascii="Times New Roman" w:eastAsia="Times New Roman" w:hAnsi="Times New Roman" w:cs="Times New Roman"/>
          <w:sz w:val="24"/>
          <w:szCs w:val="24"/>
          <w:lang w:eastAsia="en-IN"/>
        </w:rPr>
        <w:t xml:space="preserve">, and </w:t>
      </w:r>
      <w:proofErr w:type="spellStart"/>
      <w:r w:rsidRPr="007C6F9D">
        <w:rPr>
          <w:rFonts w:ascii="Times New Roman" w:eastAsia="Times New Roman" w:hAnsi="Times New Roman" w:cs="Times New Roman"/>
          <w:sz w:val="24"/>
          <w:szCs w:val="24"/>
          <w:lang w:eastAsia="en-IN"/>
        </w:rPr>
        <w:t>Tinospora</w:t>
      </w:r>
      <w:proofErr w:type="spellEnd"/>
      <w:r w:rsidRPr="007C6F9D">
        <w:rPr>
          <w:rFonts w:ascii="Times New Roman" w:eastAsia="Times New Roman" w:hAnsi="Times New Roman" w:cs="Times New Roman"/>
          <w:sz w:val="24"/>
          <w:szCs w:val="24"/>
          <w:lang w:eastAsia="en-IN"/>
        </w:rPr>
        <w:t xml:space="preserve"> </w:t>
      </w:r>
      <w:proofErr w:type="spellStart"/>
      <w:r w:rsidRPr="007C6F9D">
        <w:rPr>
          <w:rFonts w:ascii="Times New Roman" w:eastAsia="Times New Roman" w:hAnsi="Times New Roman" w:cs="Times New Roman"/>
          <w:sz w:val="24"/>
          <w:szCs w:val="24"/>
          <w:lang w:eastAsia="en-IN"/>
        </w:rPr>
        <w:t>cordifolia</w:t>
      </w:r>
      <w:proofErr w:type="spellEnd"/>
      <w:r w:rsidRPr="007C6F9D">
        <w:rPr>
          <w:rFonts w:ascii="Times New Roman" w:eastAsia="Times New Roman" w:hAnsi="Times New Roman" w:cs="Times New Roman"/>
          <w:sz w:val="24"/>
          <w:szCs w:val="24"/>
          <w:lang w:eastAsia="en-IN"/>
        </w:rPr>
        <w:t xml:space="preserve"> (TP:BD:TC = 1:1:1). Chitosan–tripolyphosphate (CS–TPP) ionic gelation was used to </w:t>
      </w:r>
      <w:proofErr w:type="spellStart"/>
      <w:r w:rsidRPr="007C6F9D">
        <w:rPr>
          <w:rFonts w:ascii="Times New Roman" w:eastAsia="Times New Roman" w:hAnsi="Times New Roman" w:cs="Times New Roman"/>
          <w:sz w:val="24"/>
          <w:szCs w:val="24"/>
          <w:lang w:eastAsia="en-IN"/>
        </w:rPr>
        <w:t>nanoencapsulate</w:t>
      </w:r>
      <w:proofErr w:type="spellEnd"/>
      <w:r w:rsidRPr="007C6F9D">
        <w:rPr>
          <w:rFonts w:ascii="Times New Roman" w:eastAsia="Times New Roman" w:hAnsi="Times New Roman" w:cs="Times New Roman"/>
          <w:sz w:val="24"/>
          <w:szCs w:val="24"/>
          <w:lang w:eastAsia="en-IN"/>
        </w:rPr>
        <w:t xml:space="preserve"> a combination of hydroethanolic extract. Four experimental diets were given to fish for 60 days: control (C0), polyherbal (PH 1%),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-polyherbal (NPH0.5), and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-polyherbal (NPH1.0).</w:t>
      </w:r>
    </w:p>
    <w:p w:rsidR="0036537A" w:rsidRPr="007C6F9D" w:rsidRDefault="0036537A" w:rsidP="00360621">
      <w:pPr>
        <w:spacing w:after="0"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In comparison to the control group, NPH1.0 considerably (p &lt; 0.05) increased weight gain (20.75 g), specific growth rate (1.82% day⁻¹), and feed conversion ratio (1.34). Lysozyme activity (30.8 U/mL), respiratory burst activity (NBT: 0.46), and alternative complement activity (ACH50: 162 U/mL) were among the immune markers that showed a substantial increase. Additionally, the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-treated groups showed decreased lipid peroxidation and increased antioxidant enzyme activity. The NPH1.0 group had the highest survival rate (81.1%) and relative percent survival (RPS: 66.7%) after the </w:t>
      </w:r>
      <w:r w:rsidRPr="007C6F9D">
        <w:rPr>
          <w:rFonts w:ascii="Times New Roman" w:eastAsia="Times New Roman" w:hAnsi="Times New Roman" w:cs="Times New Roman"/>
          <w:i/>
          <w:sz w:val="24"/>
          <w:szCs w:val="24"/>
          <w:lang w:eastAsia="en-IN"/>
        </w:rPr>
        <w:t>Aeromonas hydrophila</w:t>
      </w:r>
      <w:r w:rsidRPr="007C6F9D">
        <w:rPr>
          <w:rFonts w:ascii="Times New Roman" w:eastAsia="Times New Roman" w:hAnsi="Times New Roman" w:cs="Times New Roman"/>
          <w:sz w:val="24"/>
          <w:szCs w:val="24"/>
          <w:lang w:eastAsia="en-IN"/>
        </w:rPr>
        <w:t xml:space="preserve"> challenge.</w:t>
      </w:r>
    </w:p>
    <w:p w:rsidR="0036537A" w:rsidRPr="007C6F9D" w:rsidRDefault="0036537A" w:rsidP="0036062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Overall,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-polyherbal supplementation demonstrated superior efficacy over free herbal inclusion, likely due to improved bioavailability and controlled release of bioactive compounds. These findings suggest that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-encapsulated polyherbal formulations can serve as a promising, eco-friendly alternative to antibiotics for sustainable health management in aquaculture.</w:t>
      </w:r>
    </w:p>
    <w:p w:rsidR="009145D8" w:rsidRPr="007C6F9D" w:rsidRDefault="00B74599" w:rsidP="009145D8">
      <w:pPr>
        <w:spacing w:before="100" w:beforeAutospacing="1" w:after="100" w:afterAutospacing="1" w:line="240" w:lineRule="auto"/>
        <w:jc w:val="both"/>
        <w:rPr>
          <w:rFonts w:ascii="Times New Roman" w:hAnsi="Times New Roman" w:cs="Times New Roman"/>
          <w:sz w:val="24"/>
          <w:szCs w:val="24"/>
        </w:rPr>
      </w:pPr>
      <w:r w:rsidRPr="007C6F9D">
        <w:rPr>
          <w:rStyle w:val="Strong"/>
          <w:rFonts w:ascii="Times New Roman" w:hAnsi="Times New Roman" w:cs="Times New Roman"/>
          <w:sz w:val="24"/>
          <w:szCs w:val="24"/>
        </w:rPr>
        <w:t>Keywords:</w:t>
      </w:r>
      <w:r w:rsidRPr="007C6F9D">
        <w:rPr>
          <w:rFonts w:ascii="Times New Roman" w:hAnsi="Times New Roman" w:cs="Times New Roman"/>
          <w:sz w:val="24"/>
          <w:szCs w:val="24"/>
        </w:rPr>
        <w:t xml:space="preserve"> </w:t>
      </w:r>
      <w:r w:rsidR="009145D8" w:rsidRPr="007C6F9D">
        <w:rPr>
          <w:rFonts w:ascii="Times New Roman" w:hAnsi="Times New Roman" w:cs="Times New Roman"/>
          <w:sz w:val="24"/>
          <w:szCs w:val="24"/>
        </w:rPr>
        <w:t>Nanoencapsulation, Polyherbal formulation, Chitosan nanoparticles, Immunity, Pangasius</w:t>
      </w:r>
    </w:p>
    <w:p w:rsidR="001F2355" w:rsidRPr="007C6F9D" w:rsidRDefault="001F2355" w:rsidP="009145D8">
      <w:pPr>
        <w:spacing w:before="100" w:beforeAutospacing="1" w:after="100" w:afterAutospacing="1" w:line="240" w:lineRule="auto"/>
        <w:jc w:val="both"/>
        <w:rPr>
          <w:sz w:val="24"/>
          <w:szCs w:val="24"/>
        </w:rPr>
      </w:pPr>
      <w:r w:rsidRPr="007C6F9D">
        <w:rPr>
          <w:sz w:val="24"/>
          <w:szCs w:val="24"/>
        </w:rPr>
        <w:t>1. INTRODUCTION</w:t>
      </w:r>
    </w:p>
    <w:p w:rsidR="001F2355" w:rsidRPr="007C6F9D" w:rsidRDefault="001F2355" w:rsidP="001F2355">
      <w:pPr>
        <w:pStyle w:val="NormalWeb"/>
        <w:jc w:val="both"/>
      </w:pPr>
      <w:r w:rsidRPr="007C6F9D">
        <w:t xml:space="preserve">The rapid intensification of catfish aquaculture has led to increased production stress, deterioration of water quality, and higher susceptibility to opportunistic bacterial infections, particularly </w:t>
      </w:r>
      <w:r w:rsidRPr="007C6F9D">
        <w:rPr>
          <w:rStyle w:val="Emphasis"/>
        </w:rPr>
        <w:t>Aeromonas hydrophila</w:t>
      </w:r>
      <w:r w:rsidRPr="007C6F9D">
        <w:t xml:space="preserve">, which causes motile aeromonad </w:t>
      </w:r>
      <w:proofErr w:type="spellStart"/>
      <w:r w:rsidRPr="007C6F9D">
        <w:t>septicemia</w:t>
      </w:r>
      <w:proofErr w:type="spellEnd"/>
      <w:r w:rsidRPr="007C6F9D">
        <w:t xml:space="preserve"> and results in severe economic losses worldwide [1,2]. The indiscriminate use of antibiotics for disease control has raised serious concerns regarding antibiotic resistance, environmental contamination, and food safety, prompting the search for eco-friendly and sustainable alternatives [3,4]. In this context, functional feed additives derived from medicinal plants have gained attention due to their ability to enhance appetite, digestion, antioxidant capacity, and non-specific immune responses in fish [5,6].</w:t>
      </w:r>
    </w:p>
    <w:p w:rsidR="001F2355" w:rsidRPr="007C6F9D" w:rsidRDefault="001F2355" w:rsidP="001F2355">
      <w:pPr>
        <w:pStyle w:val="NormalWeb"/>
        <w:jc w:val="both"/>
      </w:pPr>
      <w:proofErr w:type="spellStart"/>
      <w:r w:rsidRPr="007C6F9D">
        <w:rPr>
          <w:rStyle w:val="Emphasis"/>
        </w:rPr>
        <w:t>Tridax</w:t>
      </w:r>
      <w:proofErr w:type="spellEnd"/>
      <w:r w:rsidRPr="007C6F9D">
        <w:rPr>
          <w:rStyle w:val="Emphasis"/>
        </w:rPr>
        <w:t xml:space="preserve"> </w:t>
      </w:r>
      <w:proofErr w:type="spellStart"/>
      <w:r w:rsidRPr="007C6F9D">
        <w:rPr>
          <w:rStyle w:val="Emphasis"/>
        </w:rPr>
        <w:t>procumbens</w:t>
      </w:r>
      <w:proofErr w:type="spellEnd"/>
      <w:r w:rsidRPr="007C6F9D">
        <w:t xml:space="preserve"> is well known for its antimicrobial, anti-inflammatory, antioxidant, and wound-healing properties, attributed mainly to its rich content of flavonoids, phenolic </w:t>
      </w:r>
      <w:r w:rsidRPr="007C6F9D">
        <w:lastRenderedPageBreak/>
        <w:t xml:space="preserve">compounds, and terpenoids [7,8]. </w:t>
      </w:r>
      <w:proofErr w:type="spellStart"/>
      <w:r w:rsidRPr="007C6F9D">
        <w:rPr>
          <w:rStyle w:val="Emphasis"/>
        </w:rPr>
        <w:t>Boerhavia</w:t>
      </w:r>
      <w:proofErr w:type="spellEnd"/>
      <w:r w:rsidRPr="007C6F9D">
        <w:rPr>
          <w:rStyle w:val="Emphasis"/>
        </w:rPr>
        <w:t xml:space="preserve"> </w:t>
      </w:r>
      <w:proofErr w:type="spellStart"/>
      <w:r w:rsidRPr="007C6F9D">
        <w:rPr>
          <w:rStyle w:val="Emphasis"/>
        </w:rPr>
        <w:t>diffusa</w:t>
      </w:r>
      <w:proofErr w:type="spellEnd"/>
      <w:r w:rsidRPr="007C6F9D">
        <w:t xml:space="preserve"> possesses potent immunomodulatory, hepatoprotective, and antioxidant activities and has been widely used in traditional medicine systems for improving physiological resilience and immune competence [9,10]. </w:t>
      </w:r>
      <w:proofErr w:type="spellStart"/>
      <w:r w:rsidRPr="007C6F9D">
        <w:rPr>
          <w:rStyle w:val="Emphasis"/>
        </w:rPr>
        <w:t>Tinospora</w:t>
      </w:r>
      <w:proofErr w:type="spellEnd"/>
      <w:r w:rsidRPr="007C6F9D">
        <w:rPr>
          <w:rStyle w:val="Emphasis"/>
        </w:rPr>
        <w:t xml:space="preserve"> </w:t>
      </w:r>
      <w:proofErr w:type="spellStart"/>
      <w:r w:rsidRPr="007C6F9D">
        <w:rPr>
          <w:rStyle w:val="Emphasis"/>
        </w:rPr>
        <w:t>cordifolia</w:t>
      </w:r>
      <w:proofErr w:type="spellEnd"/>
      <w:r w:rsidRPr="007C6F9D">
        <w:t xml:space="preserve"> is a renowned adaptogenic plant containing diterpenoid lactones, alkaloids, glycosides, and polysaccharides that exhibit strong immunostimulatory, anti-stress, and antioxidant effects [11,12]. Several studies have demonstrated the beneficial effects of these plants individually in enhancing growth, immunity, and disease resistance in aquatic organisms [13,14].</w:t>
      </w:r>
    </w:p>
    <w:p w:rsidR="001F2355" w:rsidRPr="007C6F9D" w:rsidRDefault="001F2355" w:rsidP="001F2355">
      <w:pPr>
        <w:pStyle w:val="NormalWeb"/>
        <w:jc w:val="both"/>
      </w:pPr>
      <w:r w:rsidRPr="007C6F9D">
        <w:t>However, the direct application of crude herbal extracts in aquafeeds is often limited by poor stability, low water solubility, rapid leaching of bioactive compounds, variable palatability, and reduced bioavailability in the gastrointestinal tract [15,16]. These limitations can compromise their biological efficacy and necessitate the use of higher doses, which may not always be economically feasible.</w:t>
      </w:r>
    </w:p>
    <w:p w:rsidR="001F2355" w:rsidRPr="007C6F9D" w:rsidRDefault="001F2355" w:rsidP="001F2355">
      <w:pPr>
        <w:pStyle w:val="NormalWeb"/>
        <w:jc w:val="both"/>
      </w:pPr>
      <w:r w:rsidRPr="007C6F9D">
        <w:t>Nanoencapsulation has emerged as an advanced delivery strategy capable of overcoming these drawbacks by protecting labile phytochemicals from degradation, improving their dispersion in aqueous environments, enhancing intestinal absorption, and providing controlled and sustained release of bioactive compounds Among various nanocarriers, chitosan-based nanoparticles are particularly attractive due to their biocompatibility, biodegradability, mucoadhesive properties, and inherent antimicrobial activity Chitosan nanoparticles can interact with intestinal mucosa, prolong residence time, and significantly enhance the bioavailability of encapsulated phytochemicals .</w:t>
      </w:r>
    </w:p>
    <w:p w:rsidR="001F2355" w:rsidRPr="007C6F9D" w:rsidRDefault="001F2355" w:rsidP="001F2355">
      <w:pPr>
        <w:pStyle w:val="NormalWeb"/>
        <w:jc w:val="both"/>
      </w:pPr>
      <w:r w:rsidRPr="007C6F9D">
        <w:t xml:space="preserve">Therefore, the present study was designed to develop a chitosan–tripolyphosphate (CS–TPP) </w:t>
      </w:r>
      <w:proofErr w:type="spellStart"/>
      <w:r w:rsidRPr="007C6F9D">
        <w:t>nanoencapsulated</w:t>
      </w:r>
      <w:proofErr w:type="spellEnd"/>
      <w:r w:rsidRPr="007C6F9D">
        <w:t xml:space="preserve"> polyherbal formulation using </w:t>
      </w:r>
      <w:proofErr w:type="spellStart"/>
      <w:r w:rsidRPr="007C6F9D">
        <w:rPr>
          <w:rStyle w:val="Emphasis"/>
        </w:rPr>
        <w:t>Tridax</w:t>
      </w:r>
      <w:proofErr w:type="spellEnd"/>
      <w:r w:rsidRPr="007C6F9D">
        <w:rPr>
          <w:rStyle w:val="Emphasis"/>
        </w:rPr>
        <w:t xml:space="preserve"> </w:t>
      </w:r>
      <w:proofErr w:type="spellStart"/>
      <w:r w:rsidRPr="007C6F9D">
        <w:rPr>
          <w:rStyle w:val="Emphasis"/>
        </w:rPr>
        <w:t>procumbens</w:t>
      </w:r>
      <w:proofErr w:type="spellEnd"/>
      <w:r w:rsidRPr="007C6F9D">
        <w:t xml:space="preserve">, </w:t>
      </w:r>
      <w:proofErr w:type="spellStart"/>
      <w:r w:rsidRPr="007C6F9D">
        <w:rPr>
          <w:rStyle w:val="Emphasis"/>
        </w:rPr>
        <w:t>Boerhavia</w:t>
      </w:r>
      <w:proofErr w:type="spellEnd"/>
      <w:r w:rsidRPr="007C6F9D">
        <w:rPr>
          <w:rStyle w:val="Emphasis"/>
        </w:rPr>
        <w:t xml:space="preserve"> </w:t>
      </w:r>
      <w:proofErr w:type="spellStart"/>
      <w:r w:rsidRPr="007C6F9D">
        <w:rPr>
          <w:rStyle w:val="Emphasis"/>
        </w:rPr>
        <w:t>diffusa</w:t>
      </w:r>
      <w:proofErr w:type="spellEnd"/>
      <w:r w:rsidRPr="007C6F9D">
        <w:t xml:space="preserve">, and </w:t>
      </w:r>
      <w:proofErr w:type="spellStart"/>
      <w:r w:rsidRPr="007C6F9D">
        <w:rPr>
          <w:rStyle w:val="Emphasis"/>
        </w:rPr>
        <w:t>Tinospora</w:t>
      </w:r>
      <w:proofErr w:type="spellEnd"/>
      <w:r w:rsidRPr="007C6F9D">
        <w:rPr>
          <w:rStyle w:val="Emphasis"/>
        </w:rPr>
        <w:t xml:space="preserve"> </w:t>
      </w:r>
      <w:proofErr w:type="spellStart"/>
      <w:r w:rsidRPr="007C6F9D">
        <w:rPr>
          <w:rStyle w:val="Emphasis"/>
        </w:rPr>
        <w:t>cordifolia</w:t>
      </w:r>
      <w:proofErr w:type="spellEnd"/>
      <w:r w:rsidRPr="007C6F9D">
        <w:t xml:space="preserve">, and to evaluate its effects on growth performance, feed utilization, </w:t>
      </w:r>
      <w:proofErr w:type="spellStart"/>
      <w:r w:rsidRPr="007C6F9D">
        <w:t>hematological</w:t>
      </w:r>
      <w:proofErr w:type="spellEnd"/>
      <w:r w:rsidRPr="007C6F9D">
        <w:t xml:space="preserve"> and biochemical parameters, innate immune responses, antioxidant </w:t>
      </w:r>
      <w:proofErr w:type="spellStart"/>
      <w:r w:rsidRPr="007C6F9D">
        <w:t>defense</w:t>
      </w:r>
      <w:proofErr w:type="spellEnd"/>
      <w:r w:rsidRPr="007C6F9D">
        <w:t xml:space="preserve">, and disease resistance against </w:t>
      </w:r>
      <w:r w:rsidRPr="007C6F9D">
        <w:rPr>
          <w:rStyle w:val="Emphasis"/>
        </w:rPr>
        <w:t xml:space="preserve">Aeromonas </w:t>
      </w:r>
      <w:proofErr w:type="spellStart"/>
      <w:r w:rsidRPr="007C6F9D">
        <w:rPr>
          <w:rStyle w:val="Emphasis"/>
        </w:rPr>
        <w:t>hydrophila</w:t>
      </w:r>
      <w:proofErr w:type="spellEnd"/>
      <w:r w:rsidRPr="007C6F9D">
        <w:t xml:space="preserve"> in </w:t>
      </w:r>
      <w:r w:rsidRPr="007C6F9D">
        <w:rPr>
          <w:rStyle w:val="Emphasis"/>
        </w:rPr>
        <w:t xml:space="preserve">Pangasius </w:t>
      </w:r>
      <w:proofErr w:type="spellStart"/>
      <w:r w:rsidRPr="007C6F9D">
        <w:rPr>
          <w:rStyle w:val="Emphasis"/>
        </w:rPr>
        <w:t>pangasius</w:t>
      </w:r>
      <w:proofErr w:type="spellEnd"/>
      <w:r w:rsidRPr="007C6F9D">
        <w:t xml:space="preserve"> fingerlings. This approach aims to establish an effective, eco-friendly and antibiotic-free strategy for health management in </w:t>
      </w:r>
      <w:proofErr w:type="spellStart"/>
      <w:r w:rsidRPr="007C6F9D">
        <w:t>pangasiid</w:t>
      </w:r>
      <w:proofErr w:type="spellEnd"/>
      <w:r w:rsidRPr="007C6F9D">
        <w:t xml:space="preserve"> aquaculture.</w:t>
      </w:r>
    </w:p>
    <w:p w:rsidR="0036537A" w:rsidRPr="007C6F9D" w:rsidRDefault="0036537A" w:rsidP="00B74599">
      <w:pPr>
        <w:spacing w:before="100" w:beforeAutospacing="1" w:after="100" w:afterAutospacing="1" w:line="240" w:lineRule="auto"/>
        <w:jc w:val="both"/>
        <w:outlineLvl w:val="1"/>
      </w:pPr>
      <w:r w:rsidRPr="007C6F9D">
        <w:rPr>
          <w:rFonts w:ascii="Times New Roman" w:hAnsi="Times New Roman" w:cs="Times New Roman"/>
          <w:sz w:val="24"/>
          <w:szCs w:val="24"/>
        </w:rPr>
        <w:t xml:space="preserve">Despite the well-documented benefits of individual herbal extracts in aquaculture, studies on </w:t>
      </w:r>
      <w:proofErr w:type="spellStart"/>
      <w:r w:rsidRPr="007C6F9D">
        <w:rPr>
          <w:rFonts w:ascii="Times New Roman" w:hAnsi="Times New Roman" w:cs="Times New Roman"/>
          <w:sz w:val="24"/>
          <w:szCs w:val="24"/>
        </w:rPr>
        <w:t>nano</w:t>
      </w:r>
      <w:proofErr w:type="spellEnd"/>
      <w:r w:rsidRPr="007C6F9D">
        <w:rPr>
          <w:rFonts w:ascii="Times New Roman" w:hAnsi="Times New Roman" w:cs="Times New Roman"/>
          <w:sz w:val="24"/>
          <w:szCs w:val="24"/>
        </w:rPr>
        <w:t xml:space="preserve">-encapsulated polyherbal formulations remain limited, particularly in Pangasius </w:t>
      </w:r>
      <w:proofErr w:type="spellStart"/>
      <w:r w:rsidRPr="007C6F9D">
        <w:rPr>
          <w:rFonts w:ascii="Times New Roman" w:hAnsi="Times New Roman" w:cs="Times New Roman"/>
          <w:sz w:val="24"/>
          <w:szCs w:val="24"/>
        </w:rPr>
        <w:t>pangasius</w:t>
      </w:r>
      <w:proofErr w:type="spellEnd"/>
      <w:r w:rsidRPr="007C6F9D">
        <w:rPr>
          <w:rFonts w:ascii="Times New Roman" w:hAnsi="Times New Roman" w:cs="Times New Roman"/>
          <w:sz w:val="24"/>
          <w:szCs w:val="24"/>
        </w:rPr>
        <w:t xml:space="preserve">. Furthermore, comparative evaluation between free and </w:t>
      </w:r>
      <w:proofErr w:type="spellStart"/>
      <w:r w:rsidRPr="007C6F9D">
        <w:rPr>
          <w:rFonts w:ascii="Times New Roman" w:hAnsi="Times New Roman" w:cs="Times New Roman"/>
          <w:sz w:val="24"/>
          <w:szCs w:val="24"/>
        </w:rPr>
        <w:t>nano</w:t>
      </w:r>
      <w:proofErr w:type="spellEnd"/>
      <w:r w:rsidRPr="007C6F9D">
        <w:rPr>
          <w:rFonts w:ascii="Times New Roman" w:hAnsi="Times New Roman" w:cs="Times New Roman"/>
          <w:sz w:val="24"/>
          <w:szCs w:val="24"/>
        </w:rPr>
        <w:t xml:space="preserve">-formulated herbal blends and dose optimization strategies are still insufficiently explored. Recent studies have highlighted the growing potential of nanotechnology in aquaculture nutrition; however, most investigations have focused on single compounds or mono-herbal systems rather than synergistic polyherbal </w:t>
      </w:r>
      <w:proofErr w:type="spellStart"/>
      <w:r w:rsidRPr="007C6F9D">
        <w:rPr>
          <w:rFonts w:ascii="Times New Roman" w:hAnsi="Times New Roman" w:cs="Times New Roman"/>
          <w:sz w:val="24"/>
          <w:szCs w:val="24"/>
        </w:rPr>
        <w:t>nano</w:t>
      </w:r>
      <w:proofErr w:type="spellEnd"/>
      <w:r w:rsidRPr="007C6F9D">
        <w:rPr>
          <w:rFonts w:ascii="Times New Roman" w:hAnsi="Times New Roman" w:cs="Times New Roman"/>
          <w:sz w:val="24"/>
          <w:szCs w:val="24"/>
        </w:rPr>
        <w:t>-formulations [2,22,1,15].</w:t>
      </w:r>
    </w:p>
    <w:p w:rsidR="002A2DDB" w:rsidRPr="007C6F9D"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2. MATERIALS AND METHODS</w:t>
      </w:r>
    </w:p>
    <w:p w:rsidR="00DC0B0E"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2.1 Plant material and extract preparation</w:t>
      </w:r>
      <w:r w:rsidR="00EA4411" w:rsidRPr="007C6F9D">
        <w:rPr>
          <w:rFonts w:ascii="Times New Roman" w:eastAsia="Times New Roman" w:hAnsi="Times New Roman" w:cs="Times New Roman"/>
          <w:b/>
          <w:bCs/>
          <w:sz w:val="24"/>
          <w:szCs w:val="24"/>
          <w:lang w:eastAsia="en-IN"/>
        </w:rPr>
        <w:t xml:space="preserve">: </w:t>
      </w:r>
      <w:r w:rsidR="005555C1" w:rsidRPr="007C6F9D">
        <w:rPr>
          <w:rFonts w:ascii="Times New Roman" w:eastAsia="Times New Roman" w:hAnsi="Times New Roman" w:cs="Times New Roman"/>
          <w:sz w:val="24"/>
          <w:szCs w:val="24"/>
          <w:lang w:eastAsia="en-IN"/>
        </w:rPr>
        <w:t xml:space="preserve">Fresh leaves of </w:t>
      </w:r>
      <w:proofErr w:type="spellStart"/>
      <w:r w:rsidR="005555C1" w:rsidRPr="007C6F9D">
        <w:rPr>
          <w:rFonts w:ascii="Times New Roman" w:eastAsia="Times New Roman" w:hAnsi="Times New Roman" w:cs="Times New Roman"/>
          <w:sz w:val="24"/>
          <w:szCs w:val="24"/>
          <w:lang w:eastAsia="en-IN"/>
        </w:rPr>
        <w:t>Tridax</w:t>
      </w:r>
      <w:proofErr w:type="spellEnd"/>
      <w:r w:rsidR="005555C1" w:rsidRPr="007C6F9D">
        <w:rPr>
          <w:rFonts w:ascii="Times New Roman" w:eastAsia="Times New Roman" w:hAnsi="Times New Roman" w:cs="Times New Roman"/>
          <w:sz w:val="24"/>
          <w:szCs w:val="24"/>
          <w:lang w:eastAsia="en-IN"/>
        </w:rPr>
        <w:t xml:space="preserve"> </w:t>
      </w:r>
      <w:proofErr w:type="spellStart"/>
      <w:r w:rsidR="005555C1" w:rsidRPr="007C6F9D">
        <w:rPr>
          <w:rFonts w:ascii="Times New Roman" w:eastAsia="Times New Roman" w:hAnsi="Times New Roman" w:cs="Times New Roman"/>
          <w:sz w:val="24"/>
          <w:szCs w:val="24"/>
          <w:lang w:eastAsia="en-IN"/>
        </w:rPr>
        <w:t>procumbens</w:t>
      </w:r>
      <w:proofErr w:type="spellEnd"/>
      <w:r w:rsidR="005555C1" w:rsidRPr="007C6F9D">
        <w:rPr>
          <w:rFonts w:ascii="Times New Roman" w:eastAsia="Times New Roman" w:hAnsi="Times New Roman" w:cs="Times New Roman"/>
          <w:sz w:val="24"/>
          <w:szCs w:val="24"/>
          <w:lang w:eastAsia="en-IN"/>
        </w:rPr>
        <w:t xml:space="preserve"> and </w:t>
      </w:r>
      <w:proofErr w:type="spellStart"/>
      <w:r w:rsidR="005555C1" w:rsidRPr="007C6F9D">
        <w:rPr>
          <w:rFonts w:ascii="Times New Roman" w:eastAsia="Times New Roman" w:hAnsi="Times New Roman" w:cs="Times New Roman"/>
          <w:sz w:val="24"/>
          <w:szCs w:val="24"/>
          <w:lang w:eastAsia="en-IN"/>
        </w:rPr>
        <w:t>Tinospora</w:t>
      </w:r>
      <w:proofErr w:type="spellEnd"/>
      <w:r w:rsidR="005555C1" w:rsidRPr="007C6F9D">
        <w:rPr>
          <w:rFonts w:ascii="Times New Roman" w:eastAsia="Times New Roman" w:hAnsi="Times New Roman" w:cs="Times New Roman"/>
          <w:sz w:val="24"/>
          <w:szCs w:val="24"/>
          <w:lang w:eastAsia="en-IN"/>
        </w:rPr>
        <w:t xml:space="preserve"> </w:t>
      </w:r>
      <w:proofErr w:type="spellStart"/>
      <w:r w:rsidR="005555C1" w:rsidRPr="007C6F9D">
        <w:rPr>
          <w:rFonts w:ascii="Times New Roman" w:eastAsia="Times New Roman" w:hAnsi="Times New Roman" w:cs="Times New Roman"/>
          <w:sz w:val="24"/>
          <w:szCs w:val="24"/>
          <w:lang w:eastAsia="en-IN"/>
        </w:rPr>
        <w:t>cordifolia</w:t>
      </w:r>
      <w:proofErr w:type="spellEnd"/>
      <w:r w:rsidR="005555C1" w:rsidRPr="007C6F9D">
        <w:rPr>
          <w:rFonts w:ascii="Times New Roman" w:eastAsia="Times New Roman" w:hAnsi="Times New Roman" w:cs="Times New Roman"/>
          <w:sz w:val="24"/>
          <w:szCs w:val="24"/>
          <w:lang w:eastAsia="en-IN"/>
        </w:rPr>
        <w:t xml:space="preserve">, and roots/leaves of </w:t>
      </w:r>
      <w:proofErr w:type="spellStart"/>
      <w:r w:rsidR="005555C1" w:rsidRPr="007C6F9D">
        <w:rPr>
          <w:rFonts w:ascii="Times New Roman" w:eastAsia="Times New Roman" w:hAnsi="Times New Roman" w:cs="Times New Roman"/>
          <w:sz w:val="24"/>
          <w:szCs w:val="24"/>
          <w:lang w:eastAsia="en-IN"/>
        </w:rPr>
        <w:t>Boerhavia</w:t>
      </w:r>
      <w:proofErr w:type="spellEnd"/>
      <w:r w:rsidR="005555C1" w:rsidRPr="007C6F9D">
        <w:rPr>
          <w:rFonts w:ascii="Times New Roman" w:eastAsia="Times New Roman" w:hAnsi="Times New Roman" w:cs="Times New Roman"/>
          <w:sz w:val="24"/>
          <w:szCs w:val="24"/>
          <w:lang w:eastAsia="en-IN"/>
        </w:rPr>
        <w:t xml:space="preserve"> </w:t>
      </w:r>
      <w:proofErr w:type="spellStart"/>
      <w:r w:rsidR="005555C1" w:rsidRPr="007C6F9D">
        <w:rPr>
          <w:rFonts w:ascii="Times New Roman" w:eastAsia="Times New Roman" w:hAnsi="Times New Roman" w:cs="Times New Roman"/>
          <w:sz w:val="24"/>
          <w:szCs w:val="24"/>
          <w:lang w:eastAsia="en-IN"/>
        </w:rPr>
        <w:t>diffusa</w:t>
      </w:r>
      <w:proofErr w:type="spellEnd"/>
      <w:r w:rsidR="005555C1" w:rsidRPr="007C6F9D">
        <w:rPr>
          <w:rFonts w:ascii="Times New Roman" w:eastAsia="Times New Roman" w:hAnsi="Times New Roman" w:cs="Times New Roman"/>
          <w:sz w:val="24"/>
          <w:szCs w:val="24"/>
          <w:lang w:eastAsia="en-IN"/>
        </w:rPr>
        <w:t xml:space="preserve"> were collected, shade-dried, and powdered. The plant materials were extracted using 70% ethanol (1:10 w/v) by maceration for 48 h with intermittent shaking. Extracts were filtered and concentrated under reduced pressure using a rotary evaporator. The dried extracts were blended in equal proportion (TP:BD:TC = 1:1:1, w/w) to obtain the polyherbal formulation (PH). Total phenolic content (TPC) and total flavonoid content (TFC) were determined using standard spectrophotometric methods [15,16].</w:t>
      </w:r>
    </w:p>
    <w:p w:rsidR="005555C1" w:rsidRPr="007C6F9D" w:rsidRDefault="002A2DDB" w:rsidP="005555C1">
      <w:pPr>
        <w:spacing w:before="100" w:beforeAutospacing="1" w:after="100" w:afterAutospacing="1" w:line="240" w:lineRule="auto"/>
        <w:jc w:val="both"/>
        <w:outlineLvl w:val="2"/>
        <w:rPr>
          <w:rFonts w:ascii="Times New Roman" w:hAnsi="Times New Roman" w:cs="Times New Roman"/>
          <w:sz w:val="24"/>
          <w:szCs w:val="24"/>
        </w:rPr>
      </w:pPr>
      <w:r w:rsidRPr="007C6F9D">
        <w:rPr>
          <w:rFonts w:ascii="Times New Roman" w:eastAsia="Times New Roman" w:hAnsi="Times New Roman" w:cs="Times New Roman"/>
          <w:b/>
          <w:bCs/>
          <w:sz w:val="24"/>
          <w:szCs w:val="24"/>
          <w:lang w:eastAsia="en-IN"/>
        </w:rPr>
        <w:lastRenderedPageBreak/>
        <w:t xml:space="preserve">2.2 Preparation of </w:t>
      </w:r>
      <w:proofErr w:type="spellStart"/>
      <w:r w:rsidRPr="007C6F9D">
        <w:rPr>
          <w:rFonts w:ascii="Times New Roman" w:eastAsia="Times New Roman" w:hAnsi="Times New Roman" w:cs="Times New Roman"/>
          <w:b/>
          <w:bCs/>
          <w:sz w:val="24"/>
          <w:szCs w:val="24"/>
          <w:lang w:eastAsia="en-IN"/>
        </w:rPr>
        <w:t>nano</w:t>
      </w:r>
      <w:proofErr w:type="spellEnd"/>
      <w:r w:rsidRPr="007C6F9D">
        <w:rPr>
          <w:rFonts w:ascii="Times New Roman" w:eastAsia="Times New Roman" w:hAnsi="Times New Roman" w:cs="Times New Roman"/>
          <w:b/>
          <w:bCs/>
          <w:sz w:val="24"/>
          <w:szCs w:val="24"/>
          <w:lang w:eastAsia="en-IN"/>
        </w:rPr>
        <w:t>-polyherbal particles (NPH)</w:t>
      </w:r>
      <w:r w:rsidR="00EA4411" w:rsidRPr="007C6F9D">
        <w:rPr>
          <w:rFonts w:ascii="Times New Roman" w:eastAsia="Times New Roman" w:hAnsi="Times New Roman" w:cs="Times New Roman"/>
          <w:b/>
          <w:bCs/>
          <w:sz w:val="24"/>
          <w:szCs w:val="24"/>
          <w:lang w:eastAsia="en-IN"/>
        </w:rPr>
        <w:t xml:space="preserve">: </w:t>
      </w:r>
      <w:r w:rsidR="005555C1" w:rsidRPr="007C6F9D">
        <w:rPr>
          <w:rFonts w:ascii="Times New Roman" w:hAnsi="Times New Roman" w:cs="Times New Roman"/>
          <w:sz w:val="24"/>
          <w:szCs w:val="24"/>
        </w:rPr>
        <w:t>Nano-polyherbal particles (NPH) were prepared using the chitosan–tripolyphosphate (CS–TPP) ionic gelation method following established protocols [7,17]. Chitosan (0.2% w/v) was dissolved in 1% acetic acid and adjusted to pH 5.5. The polyherbal extract was dispersed in the chitosan solution, followed by dropwise addition of TPP (0.1% w/v) under magnetic stirring (800 rpm). The suspension was sonicated (5 min, pulse mode), centrifuged, washed, and lyophilized for further use.</w:t>
      </w:r>
    </w:p>
    <w:p w:rsidR="00DC0B0E" w:rsidRPr="007C6F9D" w:rsidRDefault="00DC0B0E" w:rsidP="005555C1">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2.2.1. Characterization of NPH:</w:t>
      </w:r>
      <w:r w:rsidRPr="007C6F9D">
        <w:rPr>
          <w:rFonts w:ascii="Times New Roman" w:eastAsia="Times New Roman" w:hAnsi="Times New Roman" w:cs="Times New Roman"/>
          <w:sz w:val="24"/>
          <w:szCs w:val="24"/>
          <w:lang w:eastAsia="en-IN"/>
        </w:rPr>
        <w:t xml:space="preserve">  Particle size and Polydispersity Index (PDI) were determined by Dynamic Light Scattering (DLS). Surface charge and stability were evaluated by zeta potential </w:t>
      </w:r>
      <w:proofErr w:type="spellStart"/>
      <w:proofErr w:type="gramStart"/>
      <w:r w:rsidRPr="007C6F9D">
        <w:rPr>
          <w:rFonts w:ascii="Times New Roman" w:eastAsia="Times New Roman" w:hAnsi="Times New Roman" w:cs="Times New Roman"/>
          <w:sz w:val="24"/>
          <w:szCs w:val="24"/>
          <w:lang w:eastAsia="en-IN"/>
        </w:rPr>
        <w:t>measurement.Encapsulation</w:t>
      </w:r>
      <w:proofErr w:type="spellEnd"/>
      <w:proofErr w:type="gramEnd"/>
      <w:r w:rsidRPr="007C6F9D">
        <w:rPr>
          <w:rFonts w:ascii="Times New Roman" w:eastAsia="Times New Roman" w:hAnsi="Times New Roman" w:cs="Times New Roman"/>
          <w:sz w:val="24"/>
          <w:szCs w:val="24"/>
          <w:lang w:eastAsia="en-IN"/>
        </w:rPr>
        <w:t xml:space="preserve"> efficiency (EE%) was calculated using total phenolics/flavonoids or marker compounds </w:t>
      </w:r>
      <w:proofErr w:type="spellStart"/>
      <w:r w:rsidRPr="007C6F9D">
        <w:rPr>
          <w:rFonts w:ascii="Times New Roman" w:eastAsia="Times New Roman" w:hAnsi="Times New Roman" w:cs="Times New Roman"/>
          <w:sz w:val="24"/>
          <w:szCs w:val="24"/>
          <w:lang w:eastAsia="en-IN"/>
        </w:rPr>
        <w:t>analyzed</w:t>
      </w:r>
      <w:proofErr w:type="spellEnd"/>
      <w:r w:rsidRPr="007C6F9D">
        <w:rPr>
          <w:rFonts w:ascii="Times New Roman" w:eastAsia="Times New Roman" w:hAnsi="Times New Roman" w:cs="Times New Roman"/>
          <w:sz w:val="24"/>
          <w:szCs w:val="24"/>
          <w:lang w:eastAsia="en-IN"/>
        </w:rPr>
        <w:t xml:space="preserve"> by UV–Vis or </w:t>
      </w:r>
      <w:proofErr w:type="spellStart"/>
      <w:r w:rsidRPr="007C6F9D">
        <w:rPr>
          <w:rFonts w:ascii="Times New Roman" w:eastAsia="Times New Roman" w:hAnsi="Times New Roman" w:cs="Times New Roman"/>
          <w:sz w:val="24"/>
          <w:szCs w:val="24"/>
          <w:lang w:eastAsia="en-IN"/>
        </w:rPr>
        <w:t>HPLC.In</w:t>
      </w:r>
      <w:proofErr w:type="spellEnd"/>
      <w:r w:rsidRPr="007C6F9D">
        <w:rPr>
          <w:rFonts w:ascii="Times New Roman" w:eastAsia="Times New Roman" w:hAnsi="Times New Roman" w:cs="Times New Roman"/>
          <w:sz w:val="24"/>
          <w:szCs w:val="24"/>
          <w:lang w:eastAsia="en-IN"/>
        </w:rPr>
        <w:t>-vitro release of bioactive compounds was studied in simulated intestinal fluid (pH 7.4).</w:t>
      </w:r>
    </w:p>
    <w:p w:rsidR="005555C1" w:rsidRPr="007C6F9D" w:rsidRDefault="005555C1" w:rsidP="005555C1">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C6F9D">
        <w:rPr>
          <w:rFonts w:ascii="Times New Roman" w:hAnsi="Times New Roman" w:cs="Times New Roman"/>
          <w:sz w:val="24"/>
          <w:szCs w:val="24"/>
        </w:rPr>
        <w:t>Particle size and polydispersity index (PDI) were measured using dynamic light scattering (DLS). Zeta potential (mV) was determined to assess particle stability. Encapsulation efficiency (%) was calculated based on total phenolic/flavonoid content. In vitro release studies were conducted in simulated intestinal fluid (pH 7.4).</w:t>
      </w:r>
    </w:p>
    <w:p w:rsidR="002A2DDB" w:rsidRPr="007C6F9D" w:rsidRDefault="002A2DDB" w:rsidP="00EA4411">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2.3 Experimental fish and rearing conditions</w:t>
      </w:r>
      <w:r w:rsidR="00EA4411" w:rsidRPr="007C6F9D">
        <w:rPr>
          <w:rFonts w:ascii="Times New Roman" w:eastAsia="Times New Roman" w:hAnsi="Times New Roman" w:cs="Times New Roman"/>
          <w:b/>
          <w:bCs/>
          <w:sz w:val="24"/>
          <w:szCs w:val="24"/>
          <w:lang w:eastAsia="en-IN"/>
        </w:rPr>
        <w:t xml:space="preserve">: </w:t>
      </w:r>
      <w:r w:rsidRPr="007C6F9D">
        <w:rPr>
          <w:rFonts w:ascii="Times New Roman" w:eastAsia="Times New Roman" w:hAnsi="Times New Roman" w:cs="Times New Roman"/>
          <w:sz w:val="24"/>
          <w:szCs w:val="24"/>
          <w:lang w:eastAsia="en-IN"/>
        </w:rPr>
        <w:t xml:space="preserve">Healthy </w:t>
      </w:r>
      <w:r w:rsidRPr="007C6F9D">
        <w:rPr>
          <w:rFonts w:ascii="Times New Roman" w:eastAsia="Times New Roman" w:hAnsi="Times New Roman" w:cs="Times New Roman"/>
          <w:i/>
          <w:iCs/>
          <w:sz w:val="24"/>
          <w:szCs w:val="24"/>
          <w:lang w:eastAsia="en-IN"/>
        </w:rPr>
        <w:t>P. pangasius</w:t>
      </w:r>
      <w:r w:rsidRPr="007C6F9D">
        <w:rPr>
          <w:rFonts w:ascii="Times New Roman" w:eastAsia="Times New Roman" w:hAnsi="Times New Roman" w:cs="Times New Roman"/>
          <w:sz w:val="24"/>
          <w:szCs w:val="24"/>
          <w:lang w:eastAsia="en-IN"/>
        </w:rPr>
        <w:t xml:space="preserve"> fingerlings (initial weight ~8–10 g) were acclimatized for 14 days. Fish were maintained in fiberglass tanks (e.g., 200 L), continuous aeration, 30–50% water exchange, and fed basal diet during acclimation. Water quality (temperature, DO, pH, ammonia) was monitored and maintained within suitable ranges.</w:t>
      </w:r>
    </w:p>
    <w:p w:rsidR="005555C1" w:rsidRPr="007C6F9D" w:rsidRDefault="005555C1" w:rsidP="005555C1">
      <w:pPr>
        <w:pStyle w:val="NormalWeb"/>
        <w:jc w:val="both"/>
      </w:pPr>
      <w:r w:rsidRPr="007C6F9D">
        <w:t xml:space="preserve">Healthy </w:t>
      </w:r>
      <w:r w:rsidRPr="007C6F9D">
        <w:rPr>
          <w:rStyle w:val="Emphasis"/>
        </w:rPr>
        <w:t xml:space="preserve">Pangasius </w:t>
      </w:r>
      <w:proofErr w:type="spellStart"/>
      <w:r w:rsidRPr="007C6F9D">
        <w:rPr>
          <w:rStyle w:val="Emphasis"/>
        </w:rPr>
        <w:t>pangasius</w:t>
      </w:r>
      <w:proofErr w:type="spellEnd"/>
      <w:r w:rsidRPr="007C6F9D">
        <w:t xml:space="preserve"> fingerlings (8–10 g) were acclimatized for 14 days under laboratory conditions. Fish were maintained in 200 L fiberglass tanks with continuous aeration and partial water exchange (30–50%). Water quality parameters (temperature, dissolved oxygen, pH, and ammonia) were maintained within optimal ranges for pangasius culture [25].</w:t>
      </w:r>
    </w:p>
    <w:p w:rsidR="005555C1" w:rsidRPr="007C6F9D" w:rsidRDefault="005555C1" w:rsidP="00EA441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D9708C" w:rsidRPr="007C6F9D" w:rsidRDefault="002A2DDB" w:rsidP="005555C1">
      <w:pPr>
        <w:pStyle w:val="NormalWeb"/>
        <w:jc w:val="both"/>
      </w:pPr>
      <w:r w:rsidRPr="007C6F9D">
        <w:rPr>
          <w:b/>
          <w:bCs/>
        </w:rPr>
        <w:t>2.4 Diet preparation and treatments</w:t>
      </w:r>
      <w:r w:rsidR="00EA4411" w:rsidRPr="007C6F9D">
        <w:rPr>
          <w:b/>
          <w:bCs/>
        </w:rPr>
        <w:t xml:space="preserve">: </w:t>
      </w:r>
      <w:r w:rsidR="005555C1" w:rsidRPr="007C6F9D">
        <w:t xml:space="preserve">The basal diet was formulated to be isonitrogenous (30–32% crude protein) and isocaloric (3800–4000 kcal/kg), which was confirmed by proximate composition analysis. Experimental diets were prepared by top-coating polyherbal (PH) or </w:t>
      </w:r>
      <w:proofErr w:type="spellStart"/>
      <w:r w:rsidR="005555C1" w:rsidRPr="007C6F9D">
        <w:t>nano</w:t>
      </w:r>
      <w:proofErr w:type="spellEnd"/>
      <w:r w:rsidR="005555C1" w:rsidRPr="007C6F9D">
        <w:t xml:space="preserve">-polyherbal (NPH) formulations onto feed pellets using a small amount of fish oil as a binder. Four dietary treatments were used: C0 (control, without additive), PH1.0 (1% free polyherbal blend), NPH0.5 (0.5% </w:t>
      </w:r>
      <w:proofErr w:type="spellStart"/>
      <w:r w:rsidR="005555C1" w:rsidRPr="007C6F9D">
        <w:t>nano</w:t>
      </w:r>
      <w:proofErr w:type="spellEnd"/>
      <w:r w:rsidR="005555C1" w:rsidRPr="007C6F9D">
        <w:t xml:space="preserve">-polyherbal), and NPH1.0 (1% </w:t>
      </w:r>
      <w:proofErr w:type="spellStart"/>
      <w:r w:rsidR="005555C1" w:rsidRPr="007C6F9D">
        <w:t>nano</w:t>
      </w:r>
      <w:proofErr w:type="spellEnd"/>
      <w:r w:rsidR="005555C1" w:rsidRPr="007C6F9D">
        <w:t>-polyherbal). After coating, the pellets were air-dried, packed in airtight containers, and stored at 4 °C until use.</w:t>
      </w:r>
    </w:p>
    <w:p w:rsidR="005555C1" w:rsidRPr="007C6F9D" w:rsidRDefault="005555C1" w:rsidP="005555C1">
      <w:pPr>
        <w:pStyle w:val="NormalWeb"/>
        <w:rPr>
          <w:b/>
        </w:rPr>
      </w:pPr>
      <w:r w:rsidRPr="007C6F9D">
        <w:rPr>
          <w:b/>
        </w:rPr>
        <w:t xml:space="preserve">2.5 Feeding Trial Design </w:t>
      </w:r>
    </w:p>
    <w:p w:rsidR="005555C1" w:rsidRPr="007C6F9D" w:rsidRDefault="005555C1" w:rsidP="005555C1">
      <w:pPr>
        <w:pStyle w:val="NormalWeb"/>
        <w:jc w:val="both"/>
      </w:pPr>
      <w:r w:rsidRPr="007C6F9D">
        <w:t>The experiment was conducted using a completely randomized design with four treatments and three replicates (12 tanks), following standard aquaculture experimental protocols [23,24]. Each tank was stocked with 15 fish. Fish were fed at 3% of body weight per day in two equal meals, and feeding rates were adjusted biweekly according to established practices for cultured fish species [25]. The feeding trial was carried out for 60 days. All experimental treatments and analyses were performed in triplicate to ensure accuracy and reproducibility.</w:t>
      </w:r>
    </w:p>
    <w:p w:rsidR="005555C1" w:rsidRPr="007C6F9D" w:rsidRDefault="005555C1" w:rsidP="00537276">
      <w:pPr>
        <w:pStyle w:val="NormalWeb"/>
        <w:jc w:val="both"/>
        <w:rPr>
          <w:b/>
          <w:bCs/>
        </w:rPr>
      </w:pPr>
    </w:p>
    <w:p w:rsidR="005555C1" w:rsidRPr="007C6F9D" w:rsidRDefault="005555C1" w:rsidP="00537276">
      <w:pPr>
        <w:pStyle w:val="NormalWeb"/>
        <w:jc w:val="both"/>
        <w:rPr>
          <w:b/>
          <w:bCs/>
        </w:rPr>
      </w:pPr>
    </w:p>
    <w:p w:rsidR="005555C1" w:rsidRPr="007C6F9D" w:rsidRDefault="005555C1" w:rsidP="00537276">
      <w:pPr>
        <w:pStyle w:val="NormalWeb"/>
        <w:jc w:val="both"/>
        <w:rPr>
          <w:b/>
          <w:bCs/>
        </w:rPr>
      </w:pPr>
    </w:p>
    <w:p w:rsidR="00D9708C" w:rsidRPr="007C6F9D" w:rsidRDefault="007066E9" w:rsidP="00537276">
      <w:pPr>
        <w:pStyle w:val="NormalWeb"/>
        <w:jc w:val="both"/>
      </w:pPr>
      <w:r w:rsidRPr="007C6F9D">
        <w:rPr>
          <w:b/>
          <w:bCs/>
        </w:rPr>
        <w:t>Chart</w:t>
      </w:r>
      <w:r w:rsidR="00D9708C" w:rsidRPr="007C6F9D">
        <w:rPr>
          <w:b/>
          <w:bCs/>
        </w:rPr>
        <w:t xml:space="preserve"> 1. Formulation of experimental diets for </w:t>
      </w:r>
      <w:r w:rsidR="00D9708C" w:rsidRPr="007C6F9D">
        <w:rPr>
          <w:b/>
          <w:bCs/>
          <w:i/>
          <w:iCs/>
        </w:rPr>
        <w:t xml:space="preserve">Pangasius </w:t>
      </w:r>
      <w:proofErr w:type="spellStart"/>
      <w:r w:rsidR="00D9708C" w:rsidRPr="007C6F9D">
        <w:rPr>
          <w:b/>
          <w:bCs/>
          <w:i/>
          <w:iCs/>
        </w:rPr>
        <w:t>pangasius</w:t>
      </w:r>
      <w:proofErr w:type="spellEnd"/>
      <w:r w:rsidR="00D9708C" w:rsidRPr="007C6F9D">
        <w:rPr>
          <w:b/>
          <w:bCs/>
        </w:rPr>
        <w:t xml:space="preserve"> fingerlings</w:t>
      </w:r>
    </w:p>
    <w:tbl>
      <w:tblPr>
        <w:tblStyle w:val="TableGrid"/>
        <w:tblW w:w="0" w:type="auto"/>
        <w:tblLook w:val="04A0" w:firstRow="1" w:lastRow="0" w:firstColumn="1" w:lastColumn="0" w:noHBand="0" w:noVBand="1"/>
      </w:tblPr>
      <w:tblGrid>
        <w:gridCol w:w="2049"/>
        <w:gridCol w:w="1272"/>
        <w:gridCol w:w="1738"/>
        <w:gridCol w:w="2003"/>
        <w:gridCol w:w="1954"/>
      </w:tblGrid>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Ingredient (g/kg feed)</w:t>
            </w:r>
          </w:p>
        </w:tc>
        <w:tc>
          <w:tcPr>
            <w:tcW w:w="0" w:type="auto"/>
            <w:hideMark/>
          </w:tcPr>
          <w:p w:rsidR="00D9708C" w:rsidRPr="007C6F9D" w:rsidRDefault="00D9708C" w:rsidP="00B74599">
            <w:pPr>
              <w:jc w:val="center"/>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C0 (Control)</w:t>
            </w:r>
          </w:p>
        </w:tc>
        <w:tc>
          <w:tcPr>
            <w:tcW w:w="0" w:type="auto"/>
            <w:hideMark/>
          </w:tcPr>
          <w:p w:rsidR="00D9708C" w:rsidRPr="007C6F9D" w:rsidRDefault="00D9708C" w:rsidP="00B74599">
            <w:pPr>
              <w:jc w:val="center"/>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PH1.0 (1% Polyherbal)</w:t>
            </w:r>
          </w:p>
        </w:tc>
        <w:tc>
          <w:tcPr>
            <w:tcW w:w="0" w:type="auto"/>
            <w:hideMark/>
          </w:tcPr>
          <w:p w:rsidR="00D9708C" w:rsidRPr="007C6F9D" w:rsidRDefault="00D9708C" w:rsidP="00B74599">
            <w:pPr>
              <w:jc w:val="center"/>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NPH0.5 (0.5% Nano-Polyherbal)</w:t>
            </w:r>
          </w:p>
        </w:tc>
        <w:tc>
          <w:tcPr>
            <w:tcW w:w="0" w:type="auto"/>
            <w:hideMark/>
          </w:tcPr>
          <w:p w:rsidR="00D9708C" w:rsidRPr="007C6F9D" w:rsidRDefault="00D9708C" w:rsidP="00B74599">
            <w:pPr>
              <w:jc w:val="center"/>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NPH1.0 (1% Nano-Polyherbal)</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Fish meal</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Soybean meal</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Groundnut oil cake</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Rice bran</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190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195</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190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Wheat flour</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175</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Corn flour</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Vitamin–mineral mix</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Fish oil</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Binder (</w:t>
            </w:r>
            <w:proofErr w:type="spellStart"/>
            <w:r w:rsidRPr="007C6F9D">
              <w:rPr>
                <w:rFonts w:ascii="Times New Roman" w:eastAsia="Times New Roman" w:hAnsi="Times New Roman" w:cs="Times New Roman"/>
                <w:sz w:val="24"/>
                <w:szCs w:val="24"/>
                <w:lang w:eastAsia="en-IN"/>
              </w:rPr>
              <w:t>gelatin</w:t>
            </w:r>
            <w:proofErr w:type="spellEnd"/>
            <w:r w:rsidRPr="007C6F9D">
              <w:rPr>
                <w:rFonts w:ascii="Times New Roman" w:eastAsia="Times New Roman" w:hAnsi="Times New Roman" w:cs="Times New Roman"/>
                <w:sz w:val="24"/>
                <w:szCs w:val="24"/>
                <w:lang w:eastAsia="en-IN"/>
              </w:rPr>
              <w:t>/alginate)</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Polyherbal extract (PH)</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Nano-polyherbal (NPH)</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w:t>
            </w:r>
          </w:p>
        </w:tc>
      </w:tr>
      <w:tr w:rsidR="007C6F9D" w:rsidRPr="007C6F9D" w:rsidTr="00D9708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Total (g/kg)</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1000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1000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1000</w:t>
            </w:r>
          </w:p>
        </w:tc>
        <w:tc>
          <w:tcPr>
            <w:tcW w:w="0" w:type="auto"/>
            <w:hideMark/>
          </w:tcPr>
          <w:p w:rsidR="00D9708C" w:rsidRPr="007C6F9D" w:rsidRDefault="00D9708C" w:rsidP="00B74599">
            <w:pPr>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1000</w:t>
            </w:r>
          </w:p>
        </w:tc>
      </w:tr>
    </w:tbl>
    <w:p w:rsidR="00D9708C" w:rsidRPr="007C6F9D" w:rsidRDefault="007066E9"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Chart 2: </w:t>
      </w:r>
      <w:r w:rsidR="00D9708C" w:rsidRPr="007C6F9D">
        <w:rPr>
          <w:rFonts w:ascii="Times New Roman" w:eastAsia="Times New Roman" w:hAnsi="Times New Roman" w:cs="Times New Roman"/>
          <w:b/>
          <w:bCs/>
          <w:sz w:val="24"/>
          <w:szCs w:val="24"/>
          <w:lang w:eastAsia="en-IN"/>
        </w:rPr>
        <w:t>Nutritional composition (approximate, all diets):</w:t>
      </w:r>
    </w:p>
    <w:tbl>
      <w:tblPr>
        <w:tblStyle w:val="TableGrid"/>
        <w:tblW w:w="0" w:type="auto"/>
        <w:jc w:val="center"/>
        <w:tblLook w:val="04A0" w:firstRow="1" w:lastRow="0" w:firstColumn="1" w:lastColumn="0" w:noHBand="0" w:noVBand="1"/>
      </w:tblPr>
      <w:tblGrid>
        <w:gridCol w:w="2416"/>
        <w:gridCol w:w="1296"/>
      </w:tblGrid>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Parameter</w:t>
            </w:r>
          </w:p>
        </w:tc>
        <w:tc>
          <w:tcPr>
            <w:tcW w:w="0" w:type="auto"/>
            <w:hideMark/>
          </w:tcPr>
          <w:p w:rsidR="00D9708C" w:rsidRPr="007C6F9D" w:rsidRDefault="00D9708C" w:rsidP="00B74599">
            <w:pPr>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Value</w:t>
            </w:r>
          </w:p>
        </w:tc>
      </w:tr>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Crude protein (%)</w:t>
            </w:r>
          </w:p>
        </w:tc>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30–32</w:t>
            </w:r>
          </w:p>
        </w:tc>
      </w:tr>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Crude lipid (%)</w:t>
            </w:r>
          </w:p>
        </w:tc>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6–8</w:t>
            </w:r>
          </w:p>
        </w:tc>
      </w:tr>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Carbohydrate (%)</w:t>
            </w:r>
          </w:p>
        </w:tc>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35–40</w:t>
            </w:r>
          </w:p>
        </w:tc>
      </w:tr>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Ash (%)</w:t>
            </w:r>
          </w:p>
        </w:tc>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8–10</w:t>
            </w:r>
          </w:p>
        </w:tc>
      </w:tr>
      <w:tr w:rsidR="007C6F9D" w:rsidRPr="007C6F9D" w:rsidTr="00D9708C">
        <w:trPr>
          <w:jc w:val="center"/>
        </w:trPr>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Gross energy (kcal/kg)</w:t>
            </w:r>
          </w:p>
        </w:tc>
        <w:tc>
          <w:tcPr>
            <w:tcW w:w="0" w:type="auto"/>
            <w:hideMark/>
          </w:tcPr>
          <w:p w:rsidR="00D9708C" w:rsidRPr="007C6F9D" w:rsidRDefault="00D9708C"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3800–4000</w:t>
            </w:r>
          </w:p>
        </w:tc>
      </w:tr>
    </w:tbl>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2.6 Growth and feed utilization indices</w:t>
      </w:r>
    </w:p>
    <w:p w:rsidR="00D9708C" w:rsidRPr="007C6F9D"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sz w:val="24"/>
          <w:szCs w:val="24"/>
          <w:lang w:eastAsia="en-IN"/>
        </w:rPr>
        <w:t>Weight gain (WG</w:t>
      </w:r>
      <w:proofErr w:type="gramStart"/>
      <w:r w:rsidRPr="007C6F9D">
        <w:rPr>
          <w:rFonts w:ascii="Times New Roman" w:eastAsia="Times New Roman" w:hAnsi="Times New Roman" w:cs="Times New Roman"/>
          <w:b/>
          <w:sz w:val="24"/>
          <w:szCs w:val="24"/>
          <w:lang w:eastAsia="en-IN"/>
        </w:rPr>
        <w:t>)</w:t>
      </w:r>
      <w:r w:rsidRPr="007C6F9D">
        <w:rPr>
          <w:rFonts w:ascii="Times New Roman" w:eastAsia="Times New Roman" w:hAnsi="Times New Roman" w:cs="Times New Roman"/>
          <w:sz w:val="24"/>
          <w:szCs w:val="24"/>
          <w:lang w:eastAsia="en-IN"/>
        </w:rPr>
        <w:t xml:space="preserve"> </w:t>
      </w:r>
      <w:r w:rsidR="00EA4411" w:rsidRPr="007C6F9D">
        <w:rPr>
          <w:rFonts w:ascii="Times New Roman" w:eastAsia="Times New Roman" w:hAnsi="Times New Roman" w:cs="Times New Roman"/>
          <w:sz w:val="24"/>
          <w:szCs w:val="24"/>
          <w:lang w:eastAsia="en-IN"/>
        </w:rPr>
        <w:t>:</w:t>
      </w:r>
      <w:proofErr w:type="gramEnd"/>
      <w:r w:rsidR="00EA4411"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sz w:val="24"/>
          <w:szCs w:val="24"/>
          <w:lang w:eastAsia="en-IN"/>
        </w:rPr>
        <w:t>represents the absolute increase in body weight of the fish during the experimental period and is obtained by subtracting the initial body weight from the final body weight. It reflects the overall growth achieved by the fish.</w:t>
      </w:r>
    </w:p>
    <w:p w:rsidR="00D9708C" w:rsidRPr="007C6F9D"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sz w:val="24"/>
          <w:szCs w:val="24"/>
          <w:lang w:eastAsia="en-IN"/>
        </w:rPr>
        <w:t>Specific growth rate (SGR)</w:t>
      </w:r>
      <w:r w:rsidRPr="007C6F9D">
        <w:rPr>
          <w:rFonts w:ascii="Times New Roman" w:eastAsia="Times New Roman" w:hAnsi="Times New Roman" w:cs="Times New Roman"/>
          <w:sz w:val="24"/>
          <w:szCs w:val="24"/>
          <w:lang w:eastAsia="en-IN"/>
        </w:rPr>
        <w:t xml:space="preserve"> expresses the daily percentage increase in body weight and takes into account the exponential nature of fish growth. It is calculated using the natural logarithm of final and initial weights, multiplied by 100 and divided by the number of experimental days. SGR provides a standardized measure to compare growth among treatments.</w:t>
      </w:r>
    </w:p>
    <w:p w:rsidR="00D9708C" w:rsidRPr="007C6F9D"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sz w:val="24"/>
          <w:szCs w:val="24"/>
          <w:lang w:eastAsia="en-IN"/>
        </w:rPr>
        <w:lastRenderedPageBreak/>
        <w:t>Feed conversion ratio (FCR)</w:t>
      </w:r>
      <w:r w:rsidRPr="007C6F9D">
        <w:rPr>
          <w:rFonts w:ascii="Times New Roman" w:eastAsia="Times New Roman" w:hAnsi="Times New Roman" w:cs="Times New Roman"/>
          <w:sz w:val="24"/>
          <w:szCs w:val="24"/>
          <w:lang w:eastAsia="en-IN"/>
        </w:rPr>
        <w:t xml:space="preserve"> indicates the efficiency with which fish convert feed into body mass. It is calculated as the ratio of total feed consumed to total weight gained. A lower FCR value means better feed utilization and higher feed efficiency.</w:t>
      </w:r>
    </w:p>
    <w:p w:rsidR="00D9708C" w:rsidRPr="007C6F9D"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sz w:val="24"/>
          <w:szCs w:val="24"/>
          <w:lang w:eastAsia="en-IN"/>
        </w:rPr>
        <w:t>Protein efficiency ratio (PER)</w:t>
      </w:r>
      <w:r w:rsidRPr="007C6F9D">
        <w:rPr>
          <w:rFonts w:ascii="Times New Roman" w:eastAsia="Times New Roman" w:hAnsi="Times New Roman" w:cs="Times New Roman"/>
          <w:sz w:val="24"/>
          <w:szCs w:val="24"/>
          <w:lang w:eastAsia="en-IN"/>
        </w:rPr>
        <w:t xml:space="preserve"> measures how efficiently the dietary protein is converted into body weight gain. It is calculated by dividing the total weight gain by the amount of protein consumed. Higher PER values indicate better utilization of dietary protein.</w:t>
      </w:r>
    </w:p>
    <w:p w:rsidR="00D9708C" w:rsidRPr="007C6F9D" w:rsidRDefault="00D9708C"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sz w:val="24"/>
          <w:szCs w:val="24"/>
          <w:lang w:eastAsia="en-IN"/>
        </w:rPr>
        <w:t>Survival rate (%)</w:t>
      </w:r>
      <w:r w:rsidRPr="007C6F9D">
        <w:rPr>
          <w:rFonts w:ascii="Times New Roman" w:eastAsia="Times New Roman" w:hAnsi="Times New Roman" w:cs="Times New Roman"/>
          <w:sz w:val="24"/>
          <w:szCs w:val="24"/>
          <w:lang w:eastAsia="en-IN"/>
        </w:rPr>
        <w:t xml:space="preserve"> shows the percentage of fish that remained alive at the end of the experiment and is calculated by dividing the number of fish that survived by the initial number of fish stocked, multiplied by 100. It reflects the overall health status and suitability of the experimental diets and rearing conditions.</w:t>
      </w:r>
    </w:p>
    <w:p w:rsidR="0056420B" w:rsidRPr="007C6F9D"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2.7 </w:t>
      </w:r>
      <w:proofErr w:type="spellStart"/>
      <w:r w:rsidRPr="007C6F9D">
        <w:rPr>
          <w:rFonts w:ascii="Times New Roman" w:eastAsia="Times New Roman" w:hAnsi="Times New Roman" w:cs="Times New Roman"/>
          <w:b/>
          <w:bCs/>
          <w:sz w:val="24"/>
          <w:szCs w:val="24"/>
          <w:lang w:eastAsia="en-IN"/>
        </w:rPr>
        <w:t>Hematology</w:t>
      </w:r>
      <w:proofErr w:type="spellEnd"/>
      <w:r w:rsidRPr="007C6F9D">
        <w:rPr>
          <w:rFonts w:ascii="Times New Roman" w:eastAsia="Times New Roman" w:hAnsi="Times New Roman" w:cs="Times New Roman"/>
          <w:b/>
          <w:bCs/>
          <w:sz w:val="24"/>
          <w:szCs w:val="24"/>
          <w:lang w:eastAsia="en-IN"/>
        </w:rPr>
        <w:t xml:space="preserve"> and serum </w:t>
      </w:r>
      <w:r w:rsidR="00EA4411" w:rsidRPr="007C6F9D">
        <w:rPr>
          <w:rFonts w:ascii="Times New Roman" w:eastAsia="Times New Roman" w:hAnsi="Times New Roman" w:cs="Times New Roman"/>
          <w:b/>
          <w:bCs/>
          <w:sz w:val="24"/>
          <w:szCs w:val="24"/>
          <w:lang w:eastAsia="en-IN"/>
        </w:rPr>
        <w:t>biochemistry</w:t>
      </w:r>
      <w:r w:rsidR="00EA4411"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sz w:val="24"/>
          <w:szCs w:val="24"/>
          <w:lang w:eastAsia="en-IN"/>
        </w:rPr>
        <w:t xml:space="preserve">On day 60, blood was collected from the caudal vein of fish. RBC, WBC, </w:t>
      </w:r>
      <w:proofErr w:type="spellStart"/>
      <w:r w:rsidRPr="007C6F9D">
        <w:rPr>
          <w:rFonts w:ascii="Times New Roman" w:eastAsia="Times New Roman" w:hAnsi="Times New Roman" w:cs="Times New Roman"/>
          <w:sz w:val="24"/>
          <w:szCs w:val="24"/>
          <w:lang w:eastAsia="en-IN"/>
        </w:rPr>
        <w:t>hemoglobin</w:t>
      </w:r>
      <w:proofErr w:type="spellEnd"/>
      <w:r w:rsidRPr="007C6F9D">
        <w:rPr>
          <w:rFonts w:ascii="Times New Roman" w:eastAsia="Times New Roman" w:hAnsi="Times New Roman" w:cs="Times New Roman"/>
          <w:sz w:val="24"/>
          <w:szCs w:val="24"/>
          <w:lang w:eastAsia="en-IN"/>
        </w:rPr>
        <w:t xml:space="preserve"> (Hb) and packed cell volume (PCV) were </w:t>
      </w:r>
      <w:proofErr w:type="spellStart"/>
      <w:r w:rsidRPr="007C6F9D">
        <w:rPr>
          <w:rFonts w:ascii="Times New Roman" w:eastAsia="Times New Roman" w:hAnsi="Times New Roman" w:cs="Times New Roman"/>
          <w:sz w:val="24"/>
          <w:szCs w:val="24"/>
          <w:lang w:eastAsia="en-IN"/>
        </w:rPr>
        <w:t>analyzed</w:t>
      </w:r>
      <w:proofErr w:type="spellEnd"/>
      <w:r w:rsidRPr="007C6F9D">
        <w:rPr>
          <w:rFonts w:ascii="Times New Roman" w:eastAsia="Times New Roman" w:hAnsi="Times New Roman" w:cs="Times New Roman"/>
          <w:sz w:val="24"/>
          <w:szCs w:val="24"/>
          <w:lang w:eastAsia="en-IN"/>
        </w:rPr>
        <w:t xml:space="preserve"> using standard methods. Serum was separated to estimate total protein, albumin and globulin, and the A/G ratio was calculated. Serum glucose and cortisol were optionally measured as stress indicators.</w:t>
      </w:r>
    </w:p>
    <w:p w:rsidR="0056420B" w:rsidRPr="007C6F9D"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2.8 Innate immune assays</w:t>
      </w:r>
      <w:r w:rsidR="00EA4411"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sz w:val="24"/>
          <w:szCs w:val="24"/>
          <w:lang w:eastAsia="en-IN"/>
        </w:rPr>
        <w:t xml:space="preserve">Serum lysozyme activity was measured by the turbidimetric method. Respiratory burst activity was determined by the </w:t>
      </w:r>
      <w:proofErr w:type="spellStart"/>
      <w:r w:rsidRPr="007C6F9D">
        <w:rPr>
          <w:rFonts w:ascii="Times New Roman" w:eastAsia="Times New Roman" w:hAnsi="Times New Roman" w:cs="Times New Roman"/>
          <w:sz w:val="24"/>
          <w:szCs w:val="24"/>
          <w:lang w:eastAsia="en-IN"/>
        </w:rPr>
        <w:t>nitroblue</w:t>
      </w:r>
      <w:proofErr w:type="spellEnd"/>
      <w:r w:rsidRPr="007C6F9D">
        <w:rPr>
          <w:rFonts w:ascii="Times New Roman" w:eastAsia="Times New Roman" w:hAnsi="Times New Roman" w:cs="Times New Roman"/>
          <w:sz w:val="24"/>
          <w:szCs w:val="24"/>
          <w:lang w:eastAsia="en-IN"/>
        </w:rPr>
        <w:t xml:space="preserve"> tetrazolium (NBT) reduction assay. Alternative complement activity (ACH50) was assessed using </w:t>
      </w:r>
      <w:proofErr w:type="spellStart"/>
      <w:r w:rsidRPr="007C6F9D">
        <w:rPr>
          <w:rFonts w:ascii="Times New Roman" w:eastAsia="Times New Roman" w:hAnsi="Times New Roman" w:cs="Times New Roman"/>
          <w:sz w:val="24"/>
          <w:szCs w:val="24"/>
          <w:lang w:eastAsia="en-IN"/>
        </w:rPr>
        <w:t>hemolysis</w:t>
      </w:r>
      <w:proofErr w:type="spellEnd"/>
      <w:r w:rsidRPr="007C6F9D">
        <w:rPr>
          <w:rFonts w:ascii="Times New Roman" w:eastAsia="Times New Roman" w:hAnsi="Times New Roman" w:cs="Times New Roman"/>
          <w:sz w:val="24"/>
          <w:szCs w:val="24"/>
          <w:lang w:eastAsia="en-IN"/>
        </w:rPr>
        <w:t xml:space="preserve"> of rabbit red blood cells. Phagocytic activity and index were evaluated by standard microscopic methods where required.</w:t>
      </w:r>
    </w:p>
    <w:p w:rsidR="0056420B" w:rsidRPr="007C6F9D"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2.9 Antioxidant and oxidative stress </w:t>
      </w:r>
      <w:r w:rsidR="00EA4411" w:rsidRPr="007C6F9D">
        <w:rPr>
          <w:rFonts w:ascii="Times New Roman" w:eastAsia="Times New Roman" w:hAnsi="Times New Roman" w:cs="Times New Roman"/>
          <w:b/>
          <w:bCs/>
          <w:sz w:val="24"/>
          <w:szCs w:val="24"/>
          <w:lang w:eastAsia="en-IN"/>
        </w:rPr>
        <w:t>markers</w:t>
      </w:r>
      <w:r w:rsidR="00EA4411"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sz w:val="24"/>
          <w:szCs w:val="24"/>
          <w:lang w:eastAsia="en-IN"/>
        </w:rPr>
        <w:t>Antioxidant enzymes including superoxide dismutase (SOD), catalase (CAT) and glutathione peroxidase (</w:t>
      </w:r>
      <w:proofErr w:type="spellStart"/>
      <w:r w:rsidRPr="007C6F9D">
        <w:rPr>
          <w:rFonts w:ascii="Times New Roman" w:eastAsia="Times New Roman" w:hAnsi="Times New Roman" w:cs="Times New Roman"/>
          <w:sz w:val="24"/>
          <w:szCs w:val="24"/>
          <w:lang w:eastAsia="en-IN"/>
        </w:rPr>
        <w:t>GPx</w:t>
      </w:r>
      <w:proofErr w:type="spellEnd"/>
      <w:r w:rsidRPr="007C6F9D">
        <w:rPr>
          <w:rFonts w:ascii="Times New Roman" w:eastAsia="Times New Roman" w:hAnsi="Times New Roman" w:cs="Times New Roman"/>
          <w:sz w:val="24"/>
          <w:szCs w:val="24"/>
          <w:lang w:eastAsia="en-IN"/>
        </w:rPr>
        <w:t>) were estimated in liver/serum samples. Reduced glutathione (GSH) content was measured as a non-enzymatic antioxidant marker, while lipid peroxidation was determined by malondialdehyde (MDA) levels.</w:t>
      </w:r>
    </w:p>
    <w:p w:rsidR="0056420B" w:rsidRPr="007C6F9D" w:rsidRDefault="0056420B" w:rsidP="00EA441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2.10 Bacterial challenge </w:t>
      </w:r>
      <w:r w:rsidR="00EA4411" w:rsidRPr="007C6F9D">
        <w:rPr>
          <w:rFonts w:ascii="Times New Roman" w:eastAsia="Times New Roman" w:hAnsi="Times New Roman" w:cs="Times New Roman"/>
          <w:b/>
          <w:bCs/>
          <w:sz w:val="24"/>
          <w:szCs w:val="24"/>
          <w:lang w:eastAsia="en-IN"/>
        </w:rPr>
        <w:t>test</w:t>
      </w:r>
      <w:r w:rsidR="00EA4411"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sz w:val="24"/>
          <w:szCs w:val="24"/>
          <w:lang w:eastAsia="en-IN"/>
        </w:rPr>
        <w:t xml:space="preserve">After the feeding trial, fish were intraperitoneally injected with </w:t>
      </w:r>
      <w:r w:rsidRPr="007C6F9D">
        <w:rPr>
          <w:rFonts w:ascii="Times New Roman" w:eastAsia="Times New Roman" w:hAnsi="Times New Roman" w:cs="Times New Roman"/>
          <w:i/>
          <w:iCs/>
          <w:sz w:val="24"/>
          <w:szCs w:val="24"/>
          <w:lang w:eastAsia="en-IN"/>
        </w:rPr>
        <w:t>Aeromonas hydrophila</w:t>
      </w:r>
      <w:r w:rsidRPr="007C6F9D">
        <w:rPr>
          <w:rFonts w:ascii="Times New Roman" w:eastAsia="Times New Roman" w:hAnsi="Times New Roman" w:cs="Times New Roman"/>
          <w:sz w:val="24"/>
          <w:szCs w:val="24"/>
          <w:lang w:eastAsia="en-IN"/>
        </w:rPr>
        <w:t xml:space="preserve"> (1 × 10⁷ CFU/fish). Mortality was recorded for 14 days to calculate cumulative mortality and relative percent survival (RPS).</w:t>
      </w:r>
    </w:p>
    <w:p w:rsidR="00537276" w:rsidRPr="007C6F9D" w:rsidRDefault="0056420B" w:rsidP="00537276">
      <w:pPr>
        <w:spacing w:before="100" w:beforeAutospacing="1" w:after="100" w:afterAutospacing="1" w:line="240" w:lineRule="auto"/>
        <w:jc w:val="both"/>
        <w:rPr>
          <w:rFonts w:ascii="Times New Roman" w:hAnsi="Times New Roman" w:cs="Times New Roman"/>
          <w:sz w:val="24"/>
          <w:szCs w:val="24"/>
        </w:rPr>
      </w:pPr>
      <w:r w:rsidRPr="007C6F9D">
        <w:rPr>
          <w:rFonts w:ascii="Times New Roman" w:eastAsia="Times New Roman" w:hAnsi="Times New Roman" w:cs="Times New Roman"/>
          <w:b/>
          <w:bCs/>
          <w:sz w:val="24"/>
          <w:szCs w:val="24"/>
          <w:lang w:eastAsia="en-IN"/>
        </w:rPr>
        <w:t xml:space="preserve">2.11 Statistical </w:t>
      </w:r>
      <w:r w:rsidR="00EA4411" w:rsidRPr="007C6F9D">
        <w:rPr>
          <w:rFonts w:ascii="Times New Roman" w:eastAsia="Times New Roman" w:hAnsi="Times New Roman" w:cs="Times New Roman"/>
          <w:b/>
          <w:bCs/>
          <w:sz w:val="24"/>
          <w:szCs w:val="24"/>
          <w:lang w:eastAsia="en-IN"/>
        </w:rPr>
        <w:t>analysis</w:t>
      </w:r>
      <w:r w:rsidR="00EA4411" w:rsidRPr="007C6F9D">
        <w:rPr>
          <w:rFonts w:ascii="Times New Roman" w:eastAsia="Times New Roman" w:hAnsi="Times New Roman" w:cs="Times New Roman"/>
          <w:sz w:val="24"/>
          <w:szCs w:val="24"/>
          <w:lang w:eastAsia="en-IN"/>
        </w:rPr>
        <w:t xml:space="preserve">: </w:t>
      </w:r>
      <w:r w:rsidR="00537276" w:rsidRPr="007C6F9D">
        <w:rPr>
          <w:rFonts w:ascii="Times New Roman" w:hAnsi="Times New Roman" w:cs="Times New Roman"/>
          <w:sz w:val="24"/>
          <w:szCs w:val="24"/>
        </w:rPr>
        <w:t xml:space="preserve">All data were expressed as mean ± SD and </w:t>
      </w:r>
      <w:proofErr w:type="spellStart"/>
      <w:r w:rsidR="00537276" w:rsidRPr="007C6F9D">
        <w:rPr>
          <w:rFonts w:ascii="Times New Roman" w:hAnsi="Times New Roman" w:cs="Times New Roman"/>
          <w:sz w:val="24"/>
          <w:szCs w:val="24"/>
        </w:rPr>
        <w:t>analyzed</w:t>
      </w:r>
      <w:proofErr w:type="spellEnd"/>
      <w:r w:rsidR="00537276" w:rsidRPr="007C6F9D">
        <w:rPr>
          <w:rFonts w:ascii="Times New Roman" w:hAnsi="Times New Roman" w:cs="Times New Roman"/>
          <w:sz w:val="24"/>
          <w:szCs w:val="24"/>
        </w:rPr>
        <w:t xml:space="preserve"> using one-way ANOVA followed by Tukey’s post-hoc test using </w:t>
      </w:r>
      <w:r w:rsidR="00537276" w:rsidRPr="007C6F9D">
        <w:rPr>
          <w:rStyle w:val="Strong"/>
          <w:rFonts w:ascii="Times New Roman" w:hAnsi="Times New Roman" w:cs="Times New Roman"/>
          <w:b w:val="0"/>
          <w:sz w:val="24"/>
          <w:szCs w:val="24"/>
        </w:rPr>
        <w:t>SPSS version 25.0 (IBM, USA)</w:t>
      </w:r>
      <w:r w:rsidR="00537276" w:rsidRPr="007C6F9D">
        <w:rPr>
          <w:rFonts w:ascii="Times New Roman" w:hAnsi="Times New Roman" w:cs="Times New Roman"/>
          <w:b/>
          <w:sz w:val="24"/>
          <w:szCs w:val="24"/>
        </w:rPr>
        <w:t>.</w:t>
      </w:r>
      <w:r w:rsidR="00537276" w:rsidRPr="007C6F9D">
        <w:rPr>
          <w:rFonts w:ascii="Times New Roman" w:hAnsi="Times New Roman" w:cs="Times New Roman"/>
          <w:sz w:val="24"/>
          <w:szCs w:val="24"/>
        </w:rPr>
        <w:t xml:space="preserve"> Percentage data were arcsine transformed before analysis where necessary, and differences were considered significant at p &lt; 0.05.</w:t>
      </w:r>
    </w:p>
    <w:p w:rsidR="002A2DDB" w:rsidRPr="007C6F9D" w:rsidRDefault="00B74599" w:rsidP="00537276">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 xml:space="preserve">3. RESULTS </w:t>
      </w: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3.1 Nanoparticle characterization</w:t>
      </w:r>
    </w:p>
    <w:p w:rsidR="0056420B" w:rsidRPr="007C6F9D" w:rsidRDefault="0056420B" w:rsidP="00B74599">
      <w:pPr>
        <w:spacing w:before="100" w:beforeAutospacing="1" w:after="100" w:afterAutospacing="1" w:line="240" w:lineRule="auto"/>
        <w:jc w:val="both"/>
        <w:rPr>
          <w:rFonts w:ascii="Times New Roman" w:hAnsi="Times New Roman" w:cs="Times New Roman"/>
          <w:sz w:val="24"/>
          <w:szCs w:val="24"/>
        </w:rPr>
      </w:pPr>
      <w:r w:rsidRPr="007C6F9D">
        <w:rPr>
          <w:rFonts w:ascii="Times New Roman" w:hAnsi="Times New Roman" w:cs="Times New Roman"/>
          <w:sz w:val="24"/>
          <w:szCs w:val="24"/>
        </w:rPr>
        <w:t xml:space="preserve">The nano-polyherbal particles (NPH) exhibited a uniform nanoscale size with narrow size distribution and a positive surface charge, indicating good stability and strong mucoadhesive potential. The mean particle size was 168.4 ± 12.7 nm with a low polydispersity index (0.21 ± 0.03), confirming homogeneity of the formulation. The positive zeta potential (+31.6 ± 2.4 mV) suggested electrostatic stability of the nanoparticles in suspension. Encapsulation efficiency was high (78.9 ± 4.1%), demonstrating effective entrapment of polyherbal </w:t>
      </w:r>
      <w:proofErr w:type="spellStart"/>
      <w:r w:rsidRPr="007C6F9D">
        <w:rPr>
          <w:rFonts w:ascii="Times New Roman" w:hAnsi="Times New Roman" w:cs="Times New Roman"/>
          <w:sz w:val="24"/>
          <w:szCs w:val="24"/>
        </w:rPr>
        <w:lastRenderedPageBreak/>
        <w:t>bioactives</w:t>
      </w:r>
      <w:proofErr w:type="spellEnd"/>
      <w:r w:rsidRPr="007C6F9D">
        <w:rPr>
          <w:rFonts w:ascii="Times New Roman" w:hAnsi="Times New Roman" w:cs="Times New Roman"/>
          <w:sz w:val="24"/>
          <w:szCs w:val="24"/>
        </w:rPr>
        <w:t>, while the loading capacity was 12.3 ± 1.0%. In-vitro release studies showed an initial mild burst release of about 18% within the first 2 h, followed by a sustained release reaching approximately 72% at 24 h, indicating controlled and prolonged availability of phytochemicals from the NPH system.</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Table 1. Characterization of nano-polyherbal particles (NPH).</w:t>
      </w:r>
    </w:p>
    <w:tbl>
      <w:tblPr>
        <w:tblStyle w:val="TableGrid"/>
        <w:tblW w:w="0" w:type="auto"/>
        <w:jc w:val="center"/>
        <w:tblLook w:val="04A0" w:firstRow="1" w:lastRow="0" w:firstColumn="1" w:lastColumn="0" w:noHBand="0" w:noVBand="1"/>
      </w:tblPr>
      <w:tblGrid>
        <w:gridCol w:w="3308"/>
        <w:gridCol w:w="2181"/>
      </w:tblGrid>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Value (Mean ± SD)</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Particle size (nm)</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168.4 ± 12.7</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PDI</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0.21 ± 0.03</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Zeta potential (mV)</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+31.6 ± 2.4</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Encapsulation efficiency (EE%)</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78.9 ± 4.1</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Loading capacity (%)</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12.3 ± 1.0</w:t>
            </w:r>
          </w:p>
        </w:tc>
      </w:tr>
    </w:tbl>
    <w:p w:rsidR="002A2DDB" w:rsidRPr="007C6F9D"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In-vitro release exhibited an initial mild burst (~18% in 2 h) followed by sustained release (~72% by 24 h), indicating controlled availability of phytochemicals.</w:t>
      </w:r>
    </w:p>
    <w:p w:rsidR="00E21562" w:rsidRPr="007C6F9D" w:rsidRDefault="00E21562"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E21562" w:rsidRPr="007C6F9D" w:rsidRDefault="00E21562" w:rsidP="00E21562">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noProof/>
          <w:sz w:val="24"/>
          <w:szCs w:val="24"/>
          <w:lang w:eastAsia="en-IN"/>
        </w:rPr>
        <w:drawing>
          <wp:inline distT="0" distB="0" distL="0" distR="0">
            <wp:extent cx="3512820" cy="2810256"/>
            <wp:effectExtent l="19050" t="19050" r="11430" b="28575"/>
            <wp:docPr id="1" name="Picture 1" descr="C:\Users\Datta\Downloads\figure2a_particle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ta\Downloads\figure2a_particle_siz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0255" cy="2816204"/>
                    </a:xfrm>
                    <a:prstGeom prst="rect">
                      <a:avLst/>
                    </a:prstGeom>
                    <a:noFill/>
                    <a:ln>
                      <a:solidFill>
                        <a:schemeClr val="tx1"/>
                      </a:solidFill>
                    </a:ln>
                  </pic:spPr>
                </pic:pic>
              </a:graphicData>
            </a:graphic>
          </wp:inline>
        </w:drawing>
      </w:r>
    </w:p>
    <w:p w:rsidR="00E21562" w:rsidRPr="007C6F9D" w:rsidRDefault="00EA4411"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hAnsi="Times New Roman" w:cs="Times New Roman"/>
          <w:b/>
        </w:rPr>
        <w:t>Figure 1</w:t>
      </w:r>
      <w:r w:rsidR="00E21562" w:rsidRPr="007C6F9D">
        <w:rPr>
          <w:rFonts w:ascii="Times New Roman" w:hAnsi="Times New Roman" w:cs="Times New Roman"/>
          <w:b/>
        </w:rPr>
        <w:t>(</w:t>
      </w:r>
      <w:proofErr w:type="gramStart"/>
      <w:r w:rsidR="00E21562" w:rsidRPr="007C6F9D">
        <w:rPr>
          <w:rFonts w:ascii="Times New Roman" w:hAnsi="Times New Roman" w:cs="Times New Roman"/>
          <w:b/>
        </w:rPr>
        <w:t>a)</w:t>
      </w:r>
      <w:r w:rsidR="00E21562" w:rsidRPr="007C6F9D">
        <w:rPr>
          <w:rFonts w:ascii="Times New Roman" w:hAnsi="Times New Roman" w:cs="Times New Roman"/>
        </w:rPr>
        <w:t xml:space="preserve">  the</w:t>
      </w:r>
      <w:proofErr w:type="gramEnd"/>
      <w:r w:rsidR="00E21562" w:rsidRPr="007C6F9D">
        <w:rPr>
          <w:rFonts w:ascii="Times New Roman" w:hAnsi="Times New Roman" w:cs="Times New Roman"/>
        </w:rPr>
        <w:t xml:space="preserve"> particle size distribution and Polydispersity Index (PDI) of NPH measured by Dynamic Light Scattering (DLS), indicating the uniformity and nanoscale size of the prepared particles.</w:t>
      </w:r>
    </w:p>
    <w:p w:rsidR="00E21562" w:rsidRPr="007C6F9D" w:rsidRDefault="00E21562"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0" w:name="_GoBack"/>
      <w:bookmarkEnd w:id="0"/>
    </w:p>
    <w:p w:rsidR="00EA4411" w:rsidRPr="007C6F9D" w:rsidRDefault="00EA4411" w:rsidP="00EA4411">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noProof/>
          <w:sz w:val="24"/>
          <w:szCs w:val="24"/>
          <w:lang w:eastAsia="en-IN"/>
        </w:rPr>
        <w:lastRenderedPageBreak/>
        <w:drawing>
          <wp:inline distT="0" distB="0" distL="0" distR="0">
            <wp:extent cx="3947160" cy="2631440"/>
            <wp:effectExtent l="19050" t="19050" r="15240" b="16510"/>
            <wp:docPr id="4" name="Picture 4" descr="C:\Users\Datta\Downloads\zeta_potential_NPH_3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tta\Downloads\zeta_potential_NPH_31_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7160" cy="2631440"/>
                    </a:xfrm>
                    <a:prstGeom prst="rect">
                      <a:avLst/>
                    </a:prstGeom>
                    <a:noFill/>
                    <a:ln>
                      <a:solidFill>
                        <a:schemeClr val="tx1"/>
                      </a:solidFill>
                    </a:ln>
                  </pic:spPr>
                </pic:pic>
              </a:graphicData>
            </a:graphic>
          </wp:inline>
        </w:drawing>
      </w:r>
    </w:p>
    <w:p w:rsidR="00E21562" w:rsidRPr="007C6F9D" w:rsidRDefault="00EA4411"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Style w:val="Strong"/>
          <w:rFonts w:ascii="Times New Roman" w:hAnsi="Times New Roman" w:cs="Times New Roman"/>
        </w:rPr>
        <w:t xml:space="preserve">Figure 1 </w:t>
      </w:r>
      <w:proofErr w:type="gramStart"/>
      <w:r w:rsidRPr="007C6F9D">
        <w:rPr>
          <w:rStyle w:val="Strong"/>
          <w:rFonts w:ascii="Times New Roman" w:hAnsi="Times New Roman" w:cs="Times New Roman"/>
        </w:rPr>
        <w:t>( b</w:t>
      </w:r>
      <w:proofErr w:type="gramEnd"/>
      <w:r w:rsidRPr="007C6F9D">
        <w:rPr>
          <w:rStyle w:val="Strong"/>
          <w:rFonts w:ascii="Times New Roman" w:hAnsi="Times New Roman" w:cs="Times New Roman"/>
        </w:rPr>
        <w:t>) :</w:t>
      </w:r>
      <w:r w:rsidRPr="007C6F9D">
        <w:rPr>
          <w:rFonts w:ascii="Times New Roman" w:hAnsi="Times New Roman" w:cs="Times New Roman"/>
        </w:rPr>
        <w:t xml:space="preserve"> Zeta potential distribution of nano-polyherbal particles (NPH) showing a sharp peak at +31.6 ± 2.4 mV, indicating strong positive surface charge and excellent colloidal stability.</w:t>
      </w:r>
      <w:r w:rsidR="00E21562" w:rsidRPr="007C6F9D">
        <w:rPr>
          <w:rFonts w:ascii="Times New Roman" w:hAnsi="Times New Roman" w:cs="Times New Roman"/>
        </w:rPr>
        <w:br/>
      </w:r>
    </w:p>
    <w:p w:rsidR="00E21562" w:rsidRPr="007C6F9D" w:rsidRDefault="00E21562" w:rsidP="00967AA8">
      <w:pPr>
        <w:spacing w:before="100" w:beforeAutospacing="1" w:after="100" w:afterAutospacing="1" w:line="240" w:lineRule="auto"/>
        <w:jc w:val="both"/>
        <w:rPr>
          <w:rFonts w:ascii="Times New Roman" w:hAnsi="Times New Roman" w:cs="Times New Roman"/>
        </w:rPr>
      </w:pPr>
    </w:p>
    <w:p w:rsidR="00E21562" w:rsidRPr="007C6F9D" w:rsidRDefault="00E21562" w:rsidP="00B74599">
      <w:pPr>
        <w:spacing w:before="100" w:beforeAutospacing="1" w:after="100" w:afterAutospacing="1" w:line="240" w:lineRule="auto"/>
        <w:jc w:val="both"/>
      </w:pPr>
    </w:p>
    <w:p w:rsidR="00E21562" w:rsidRPr="007C6F9D" w:rsidRDefault="00E21562" w:rsidP="00B74599">
      <w:pPr>
        <w:spacing w:before="100" w:beforeAutospacing="1" w:after="100" w:afterAutospacing="1" w:line="240" w:lineRule="auto"/>
        <w:jc w:val="both"/>
      </w:pPr>
    </w:p>
    <w:p w:rsidR="00EA4411" w:rsidRPr="007C6F9D" w:rsidRDefault="00EA4411"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noProof/>
          <w:sz w:val="24"/>
          <w:szCs w:val="24"/>
          <w:lang w:eastAsia="en-IN"/>
        </w:rPr>
        <w:drawing>
          <wp:inline distT="0" distB="0" distL="0" distR="0">
            <wp:extent cx="4472940" cy="2981960"/>
            <wp:effectExtent l="19050" t="19050" r="22860" b="27940"/>
            <wp:docPr id="5" name="Picture 5" descr="C:\Users\Datta\Downloads\EE_LC_N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tta\Downloads\EE_LC_N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72940" cy="2981960"/>
                    </a:xfrm>
                    <a:prstGeom prst="rect">
                      <a:avLst/>
                    </a:prstGeom>
                    <a:noFill/>
                    <a:ln>
                      <a:solidFill>
                        <a:schemeClr val="tx1"/>
                      </a:solidFill>
                    </a:ln>
                  </pic:spPr>
                </pic:pic>
              </a:graphicData>
            </a:graphic>
          </wp:inline>
        </w:drawing>
      </w:r>
    </w:p>
    <w:p w:rsidR="00E21562" w:rsidRPr="007C6F9D" w:rsidRDefault="00E21562" w:rsidP="00B74599">
      <w:pPr>
        <w:spacing w:before="100" w:beforeAutospacing="1" w:after="100" w:afterAutospacing="1" w:line="240" w:lineRule="auto"/>
        <w:jc w:val="both"/>
        <w:rPr>
          <w:rFonts w:ascii="Times New Roman" w:hAnsi="Times New Roman" w:cs="Times New Roman"/>
        </w:rPr>
      </w:pPr>
    </w:p>
    <w:p w:rsidR="00E21562" w:rsidRPr="007C6F9D" w:rsidRDefault="00E21562" w:rsidP="00B74599">
      <w:pPr>
        <w:spacing w:before="100" w:beforeAutospacing="1" w:after="100" w:afterAutospacing="1" w:line="240" w:lineRule="auto"/>
        <w:jc w:val="both"/>
        <w:rPr>
          <w:rFonts w:ascii="Times New Roman" w:hAnsi="Times New Roman" w:cs="Times New Roman"/>
        </w:rPr>
      </w:pPr>
      <w:r w:rsidRPr="007C6F9D">
        <w:rPr>
          <w:rFonts w:ascii="Times New Roman" w:hAnsi="Times New Roman" w:cs="Times New Roman"/>
          <w:b/>
        </w:rPr>
        <w:t xml:space="preserve">Figure </w:t>
      </w:r>
      <w:r w:rsidR="00967AA8" w:rsidRPr="007C6F9D">
        <w:rPr>
          <w:rFonts w:ascii="Times New Roman" w:hAnsi="Times New Roman" w:cs="Times New Roman"/>
          <w:b/>
        </w:rPr>
        <w:t>1</w:t>
      </w:r>
      <w:r w:rsidRPr="007C6F9D">
        <w:rPr>
          <w:rFonts w:ascii="Times New Roman" w:hAnsi="Times New Roman" w:cs="Times New Roman"/>
          <w:b/>
        </w:rPr>
        <w:t>(c)</w:t>
      </w:r>
      <w:r w:rsidRPr="007C6F9D">
        <w:rPr>
          <w:rFonts w:ascii="Times New Roman" w:hAnsi="Times New Roman" w:cs="Times New Roman"/>
        </w:rPr>
        <w:t xml:space="preserve"> </w:t>
      </w:r>
      <w:r w:rsidR="00967AA8" w:rsidRPr="007C6F9D">
        <w:rPr>
          <w:rFonts w:ascii="Times New Roman" w:hAnsi="Times New Roman" w:cs="Times New Roman"/>
        </w:rPr>
        <w:t>Encapsulation efficiency (EE%) and loading capacity (%) of nano-polyherbal particles (NPH). Values are expressed as mean ± SD (EE% = 78.9 ± 4.1; LC% = 12.3 ± 1.0).</w:t>
      </w:r>
    </w:p>
    <w:p w:rsidR="00E21562" w:rsidRPr="007C6F9D" w:rsidRDefault="00E21562" w:rsidP="00B74599">
      <w:pPr>
        <w:spacing w:before="100" w:beforeAutospacing="1" w:after="100" w:afterAutospacing="1" w:line="240" w:lineRule="auto"/>
        <w:jc w:val="both"/>
      </w:pPr>
    </w:p>
    <w:p w:rsidR="00967AA8" w:rsidRPr="007C6F9D" w:rsidRDefault="00E21562"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noProof/>
          <w:sz w:val="24"/>
          <w:szCs w:val="24"/>
          <w:lang w:eastAsia="en-IN"/>
        </w:rPr>
        <w:lastRenderedPageBreak/>
        <w:drawing>
          <wp:inline distT="0" distB="0" distL="0" distR="0">
            <wp:extent cx="3924300" cy="2629616"/>
            <wp:effectExtent l="19050" t="19050" r="19050" b="18415"/>
            <wp:docPr id="2" name="Picture 2" descr="C:\Users\Datta\Downloads\figure2d_release_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tta\Downloads\figure2d_release_profi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5998" cy="2644155"/>
                    </a:xfrm>
                    <a:prstGeom prst="rect">
                      <a:avLst/>
                    </a:prstGeom>
                    <a:noFill/>
                    <a:ln>
                      <a:solidFill>
                        <a:schemeClr val="tx1"/>
                      </a:solidFill>
                    </a:ln>
                  </pic:spPr>
                </pic:pic>
              </a:graphicData>
            </a:graphic>
          </wp:inline>
        </w:drawing>
      </w:r>
    </w:p>
    <w:p w:rsidR="00967AA8" w:rsidRPr="007C6F9D" w:rsidRDefault="00967AA8"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p>
    <w:p w:rsidR="00E21562" w:rsidRPr="007C6F9D" w:rsidRDefault="00E21562" w:rsidP="00967AA8">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hAnsi="Times New Roman" w:cs="Times New Roman"/>
          <w:b/>
        </w:rPr>
        <w:t xml:space="preserve">Figure </w:t>
      </w:r>
      <w:r w:rsidR="00967AA8" w:rsidRPr="007C6F9D">
        <w:rPr>
          <w:rFonts w:ascii="Times New Roman" w:hAnsi="Times New Roman" w:cs="Times New Roman"/>
          <w:b/>
        </w:rPr>
        <w:t>1</w:t>
      </w:r>
      <w:r w:rsidRPr="007C6F9D">
        <w:rPr>
          <w:rFonts w:ascii="Times New Roman" w:hAnsi="Times New Roman" w:cs="Times New Roman"/>
          <w:b/>
        </w:rPr>
        <w:t>(d)</w:t>
      </w:r>
      <w:r w:rsidRPr="007C6F9D">
        <w:rPr>
          <w:rFonts w:ascii="Times New Roman" w:hAnsi="Times New Roman" w:cs="Times New Roman"/>
        </w:rPr>
        <w:t xml:space="preserve"> depicts the in-vitro release profile of encapsulated bioactive compounds from NPH in simulated intestinal fluid (pH 7.4), demonstrating the sustained and controlled release </w:t>
      </w:r>
      <w:proofErr w:type="spellStart"/>
      <w:r w:rsidRPr="007C6F9D">
        <w:rPr>
          <w:rFonts w:ascii="Times New Roman" w:hAnsi="Times New Roman" w:cs="Times New Roman"/>
        </w:rPr>
        <w:t>behavior</w:t>
      </w:r>
      <w:proofErr w:type="spellEnd"/>
      <w:r w:rsidRPr="007C6F9D">
        <w:rPr>
          <w:rFonts w:ascii="Times New Roman" w:hAnsi="Times New Roman" w:cs="Times New Roman"/>
        </w:rPr>
        <w:t>.</w:t>
      </w: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3.2 Growth performance and feed utilization</w:t>
      </w:r>
    </w:p>
    <w:p w:rsidR="00422A96" w:rsidRPr="007C6F9D" w:rsidRDefault="00422A96" w:rsidP="00B74599">
      <w:pPr>
        <w:spacing w:before="100" w:beforeAutospacing="1" w:after="100" w:afterAutospacing="1" w:line="240" w:lineRule="auto"/>
        <w:jc w:val="both"/>
        <w:rPr>
          <w:rFonts w:ascii="Times New Roman" w:hAnsi="Times New Roman" w:cs="Times New Roman"/>
          <w:sz w:val="24"/>
          <w:szCs w:val="24"/>
        </w:rPr>
      </w:pPr>
      <w:r w:rsidRPr="007C6F9D">
        <w:rPr>
          <w:rFonts w:ascii="Times New Roman" w:hAnsi="Times New Roman" w:cs="Times New Roman"/>
          <w:sz w:val="24"/>
          <w:szCs w:val="24"/>
        </w:rPr>
        <w:t xml:space="preserve">Dietary nano-polyherbal supplementation significantly improved growth and feed utilization in </w:t>
      </w:r>
      <w:r w:rsidRPr="007C6F9D">
        <w:rPr>
          <w:rStyle w:val="Emphasis"/>
          <w:rFonts w:ascii="Times New Roman" w:hAnsi="Times New Roman" w:cs="Times New Roman"/>
          <w:sz w:val="24"/>
          <w:szCs w:val="24"/>
        </w:rPr>
        <w:t>P. pangasius</w:t>
      </w:r>
      <w:r w:rsidRPr="007C6F9D">
        <w:rPr>
          <w:rFonts w:ascii="Times New Roman" w:hAnsi="Times New Roman" w:cs="Times New Roman"/>
          <w:sz w:val="24"/>
          <w:szCs w:val="24"/>
        </w:rPr>
        <w:t xml:space="preserve"> fingerlings (Table 2). All groups had similar initial weights, indicating uniform stocking. After 60 days, final weight, weight gain and SGR were highest in the NPH1.0 group, followed by NPH0.5, PH1.0 and the control. Feed conversion ratio decreased significantly in nano-fed groups, with the lowest value recorded in NPH1.0, showing better feed efficiency. Protein efficiency ratio increased significantly with nano-polyherbal inclusion, indicating improved protein utilization. Survival remained high in all treatments, with slightly higher values in nano groups. Overall, NPH1.0 showed the best performance, confirming the superiority of nano-enabled polyherbal delivery over free herbal supplementation.</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Table 2. Growth and feed utilization of </w:t>
      </w:r>
      <w:r w:rsidRPr="007C6F9D">
        <w:rPr>
          <w:rFonts w:ascii="Times New Roman" w:eastAsia="Times New Roman" w:hAnsi="Times New Roman" w:cs="Times New Roman"/>
          <w:b/>
          <w:bCs/>
          <w:i/>
          <w:iCs/>
          <w:sz w:val="24"/>
          <w:szCs w:val="24"/>
          <w:lang w:eastAsia="en-IN"/>
        </w:rPr>
        <w:t>P. pangasius</w:t>
      </w:r>
      <w:r w:rsidRPr="007C6F9D">
        <w:rPr>
          <w:rFonts w:ascii="Times New Roman" w:eastAsia="Times New Roman" w:hAnsi="Times New Roman" w:cs="Times New Roman"/>
          <w:b/>
          <w:bCs/>
          <w:sz w:val="24"/>
          <w:szCs w:val="24"/>
          <w:lang w:eastAsia="en-IN"/>
        </w:rPr>
        <w:t xml:space="preserve"> fingerlings after 60 days.</w:t>
      </w:r>
    </w:p>
    <w:tbl>
      <w:tblPr>
        <w:tblStyle w:val="TableGrid"/>
        <w:tblW w:w="0" w:type="auto"/>
        <w:jc w:val="center"/>
        <w:tblLook w:val="04A0" w:firstRow="1" w:lastRow="0" w:firstColumn="1" w:lastColumn="0" w:noHBand="0" w:noVBand="1"/>
      </w:tblPr>
      <w:tblGrid>
        <w:gridCol w:w="1843"/>
        <w:gridCol w:w="1494"/>
        <w:gridCol w:w="1503"/>
        <w:gridCol w:w="1490"/>
        <w:gridCol w:w="1503"/>
      </w:tblGrid>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Parameter</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C0</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PH1.0</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NPH0.5</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NPH1.0</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Initial weight (g)</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9.12 ± 0.28</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9.10 ± 0.25</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9.11 ± 0.26</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9.13 ± 0.27</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Final weight (g)</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22.85 ± 0.74ᵃ</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25.94 ± 0.81ᵇ</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27.66 ± 0.92ᶜ</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29.88 ± 1.05ᵈ</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Weight gain (g)</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13.73 ± 0.69ᵃ</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16.84 ± 0.77ᵇ</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18.55 ± 0.88ᶜ</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20.75 ± 0.98ᵈ</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SGR (%/day)</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1.52 ± 0.05ᵃ</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1.66 ± 0.06ᵇ</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1.73 ± 0.06ᶜ</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1.82 ± 0.07ᵈ</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FCR</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1.72 ± 0.06ᵈ</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1.56 ± 0.05ᶜ</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1.45 ± 0.04ᵇ</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1.34 ± 0.04ᵃ</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PER</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1.82 ± 0.07ᵃ</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2.01 ± 0.08ᵇ</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2.14 ± 0.09ᶜ</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2.28 ± 0.10ᵈ</w:t>
            </w:r>
          </w:p>
        </w:tc>
      </w:tr>
      <w:tr w:rsidR="007C6F9D" w:rsidRPr="007C6F9D" w:rsidTr="00422A96">
        <w:trPr>
          <w:jc w:val="center"/>
        </w:trPr>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Survival (%)</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93.3 ± 3.3</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95.6 ± 2.2</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97.8 ± 2.2</w:t>
            </w:r>
          </w:p>
        </w:tc>
        <w:tc>
          <w:tcPr>
            <w:tcW w:w="0" w:type="auto"/>
            <w:hideMark/>
          </w:tcPr>
          <w:p w:rsidR="002A2DDB" w:rsidRPr="007C6F9D" w:rsidRDefault="002A2DDB" w:rsidP="00B74599">
            <w:pPr>
              <w:spacing w:line="36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97.8 ± 2.2</w:t>
            </w:r>
          </w:p>
        </w:tc>
      </w:tr>
    </w:tbl>
    <w:p w:rsidR="002A2DDB" w:rsidRPr="007C6F9D" w:rsidRDefault="002A2DDB"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Different superscripts within a row indicate significant difference (p &lt; 0.05).</w:t>
      </w: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lastRenderedPageBreak/>
        <w:t xml:space="preserve">3.3 </w:t>
      </w:r>
      <w:proofErr w:type="spellStart"/>
      <w:r w:rsidRPr="007C6F9D">
        <w:rPr>
          <w:rFonts w:ascii="Times New Roman" w:eastAsia="Times New Roman" w:hAnsi="Times New Roman" w:cs="Times New Roman"/>
          <w:b/>
          <w:bCs/>
          <w:sz w:val="24"/>
          <w:szCs w:val="24"/>
          <w:lang w:eastAsia="en-IN"/>
        </w:rPr>
        <w:t>Hematological</w:t>
      </w:r>
      <w:proofErr w:type="spellEnd"/>
      <w:r w:rsidRPr="007C6F9D">
        <w:rPr>
          <w:rFonts w:ascii="Times New Roman" w:eastAsia="Times New Roman" w:hAnsi="Times New Roman" w:cs="Times New Roman"/>
          <w:b/>
          <w:bCs/>
          <w:sz w:val="24"/>
          <w:szCs w:val="24"/>
          <w:lang w:eastAsia="en-IN"/>
        </w:rPr>
        <w:t xml:space="preserve"> indices</w:t>
      </w:r>
    </w:p>
    <w:p w:rsidR="00422A96" w:rsidRPr="007C6F9D" w:rsidRDefault="00422A96"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C6F9D">
        <w:rPr>
          <w:rFonts w:ascii="Times New Roman" w:eastAsia="Times New Roman" w:hAnsi="Times New Roman" w:cs="Times New Roman"/>
          <w:sz w:val="24"/>
          <w:szCs w:val="24"/>
          <w:lang w:eastAsia="en-IN"/>
        </w:rPr>
        <w:t>Hematological</w:t>
      </w:r>
      <w:proofErr w:type="spellEnd"/>
      <w:r w:rsidRPr="007C6F9D">
        <w:rPr>
          <w:rFonts w:ascii="Times New Roman" w:eastAsia="Times New Roman" w:hAnsi="Times New Roman" w:cs="Times New Roman"/>
          <w:sz w:val="24"/>
          <w:szCs w:val="24"/>
          <w:lang w:eastAsia="en-IN"/>
        </w:rPr>
        <w:t xml:space="preserve"> parameters were significantly influenced by nano-polyherbal supplementation (Table 3). RBC, WBC, Hb and PCV values increased progressively from control to NPH groups, with the highest levels recorded in NPH1.0. The significant elevation of WBC, Hb and PCV in NPH-fed fish indicates improved physiological condition and enhanced immune readiness compared to both control and free polyherbal diets.</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 xml:space="preserve">Table 3. </w:t>
      </w:r>
      <w:proofErr w:type="spellStart"/>
      <w:r w:rsidRPr="007C6F9D">
        <w:rPr>
          <w:rFonts w:ascii="Times New Roman" w:eastAsia="Times New Roman" w:hAnsi="Times New Roman" w:cs="Times New Roman"/>
          <w:b/>
          <w:bCs/>
          <w:sz w:val="24"/>
          <w:szCs w:val="24"/>
          <w:lang w:eastAsia="en-IN"/>
        </w:rPr>
        <w:t>Hematology</w:t>
      </w:r>
      <w:proofErr w:type="spellEnd"/>
      <w:r w:rsidRPr="007C6F9D">
        <w:rPr>
          <w:rFonts w:ascii="Times New Roman" w:eastAsia="Times New Roman" w:hAnsi="Times New Roman" w:cs="Times New Roman"/>
          <w:b/>
          <w:bCs/>
          <w:sz w:val="24"/>
          <w:szCs w:val="24"/>
          <w:lang w:eastAsia="en-IN"/>
        </w:rPr>
        <w:t xml:space="preserve"> of </w:t>
      </w:r>
      <w:r w:rsidRPr="007C6F9D">
        <w:rPr>
          <w:rFonts w:ascii="Times New Roman" w:eastAsia="Times New Roman" w:hAnsi="Times New Roman" w:cs="Times New Roman"/>
          <w:b/>
          <w:bCs/>
          <w:i/>
          <w:iCs/>
          <w:sz w:val="24"/>
          <w:szCs w:val="24"/>
          <w:lang w:eastAsia="en-IN"/>
        </w:rPr>
        <w:t>P. pangasius</w:t>
      </w:r>
      <w:r w:rsidRPr="007C6F9D">
        <w:rPr>
          <w:rFonts w:ascii="Times New Roman" w:eastAsia="Times New Roman" w:hAnsi="Times New Roman" w:cs="Times New Roman"/>
          <w:b/>
          <w:bCs/>
          <w:sz w:val="24"/>
          <w:szCs w:val="24"/>
          <w:lang w:eastAsia="en-IN"/>
        </w:rPr>
        <w:t xml:space="preserve"> after 60 days.</w:t>
      </w:r>
    </w:p>
    <w:tbl>
      <w:tblPr>
        <w:tblStyle w:val="TableGrid"/>
        <w:tblW w:w="0" w:type="auto"/>
        <w:jc w:val="center"/>
        <w:tblLook w:val="04A0" w:firstRow="1" w:lastRow="0" w:firstColumn="1" w:lastColumn="0" w:noHBand="0" w:noVBand="1"/>
      </w:tblPr>
      <w:tblGrid>
        <w:gridCol w:w="2442"/>
        <w:gridCol w:w="1374"/>
        <w:gridCol w:w="1383"/>
        <w:gridCol w:w="1370"/>
        <w:gridCol w:w="1370"/>
      </w:tblGrid>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PH1.0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NPH0.5</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NPH1.0</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RBC (×10⁶ cells/mm³)</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1.72 ± 0.08ᵃ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1.84 ± 0.07ᵇ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1.92 ± 0.06ᶜ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1.99 ± 0.07ᶜ</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WBC (×10³ cells/mm³)</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38.6 ± 2.1ᵃ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43.9 ± 2.4ᵇ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47.8 ± 2.6ᶜ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51.2 ± 2.8ᵈ</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Hb (g/dL)</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8.9 ± 0.4ᵃ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9.6 ± 0.3ᵇ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10.1 ± 0.4ᶜ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10.6 ± 0.3ᵈ</w:t>
            </w:r>
          </w:p>
        </w:tc>
      </w:tr>
      <w:tr w:rsidR="002A2DDB"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PCV (%)</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27.4 ± 1.2ᵃ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29.1 ± 1.1ᵇ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30.8 ± 1.0ᶜ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32.0 ± 1.2ᶜ</w:t>
            </w:r>
          </w:p>
        </w:tc>
      </w:tr>
    </w:tbl>
    <w:p w:rsidR="002A2DDB" w:rsidRPr="007C6F9D"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3.4 Serum protein profile</w:t>
      </w:r>
    </w:p>
    <w:p w:rsidR="002A2DDB" w:rsidRPr="007C6F9D" w:rsidRDefault="00422A96"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Serum total protein and globulin levels were significantly higher in NPH0.5 and NPH1.0 groups than in control and PH1.0 (Table 4). Albumin showed a slight increase, while the A/G ratio decreased marginally in nano groups, reflecting increased globulin synthesis. These results suggest stimulation of immune-related protein production due to nano-polyherbal supplementation.</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Table 4. Serum biochemistry (g/dL).</w:t>
      </w:r>
    </w:p>
    <w:tbl>
      <w:tblPr>
        <w:tblStyle w:val="TableGrid"/>
        <w:tblW w:w="0" w:type="auto"/>
        <w:jc w:val="center"/>
        <w:tblLook w:val="04A0" w:firstRow="1" w:lastRow="0" w:firstColumn="1" w:lastColumn="0" w:noHBand="0" w:noVBand="1"/>
      </w:tblPr>
      <w:tblGrid>
        <w:gridCol w:w="1463"/>
        <w:gridCol w:w="1383"/>
        <w:gridCol w:w="1448"/>
        <w:gridCol w:w="1448"/>
        <w:gridCol w:w="1383"/>
      </w:tblGrid>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PH1.0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NPH0.5</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NPH1.0</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Total protein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3.28 ± 0.12ᵃ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3.56 ± 0.14ᵇ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3.79 ± 0.15ᶜ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3.94 ± 0.16ᶜ</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Albumin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1.41 ± 0.07ᵃ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1.47 ± 0.08ᵃᵇ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1.52 ± 0.06ᵇ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1.55 ± 0.07ᵇ</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Globulin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1.87 ± 0.10ᵃ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2.09 ± 0.11ᵇ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2.27 ± 0.12ᶜ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2.39 ± 0.12ᶜ</w:t>
            </w:r>
          </w:p>
        </w:tc>
      </w:tr>
      <w:tr w:rsidR="002A2DDB"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A/G ratio</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0.75 ± 0.05ᵇ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0.70 ± 0.04ᵇ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0.67 ± 0.04ᵃᵇ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0.65 ± 0.03ᵃ</w:t>
            </w:r>
          </w:p>
        </w:tc>
      </w:tr>
    </w:tbl>
    <w:p w:rsidR="002A2DDB" w:rsidRPr="007C6F9D"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3.5 Innate immune response</w:t>
      </w:r>
    </w:p>
    <w:p w:rsidR="00422A96" w:rsidRPr="007C6F9D" w:rsidRDefault="00422A96" w:rsidP="00B74599">
      <w:pPr>
        <w:spacing w:before="100" w:beforeAutospacing="1" w:after="100" w:afterAutospacing="1" w:line="240" w:lineRule="auto"/>
        <w:jc w:val="both"/>
        <w:rPr>
          <w:rFonts w:ascii="Times New Roman" w:hAnsi="Times New Roman" w:cs="Times New Roman"/>
          <w:sz w:val="24"/>
          <w:szCs w:val="24"/>
        </w:rPr>
      </w:pPr>
      <w:r w:rsidRPr="007C6F9D">
        <w:rPr>
          <w:rFonts w:ascii="Times New Roman" w:hAnsi="Times New Roman" w:cs="Times New Roman"/>
          <w:sz w:val="24"/>
          <w:szCs w:val="24"/>
        </w:rPr>
        <w:t>Innate immune parameters such as serum lysozyme activity, respiratory burst (NBT) and alternative complement activity (ACH50) were significantly enhanced in nano-polyherbal fed fish (Table 5). The highest values were observed in NPH1.0, followed by NPH0.5, confirming stronger non-specific immune stimulation by nano-enabled delivery compared to free polyherbal supplementation.</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Table 5. Innate immune parameters after 60 days.</w:t>
      </w:r>
    </w:p>
    <w:tbl>
      <w:tblPr>
        <w:tblStyle w:val="TableGrid"/>
        <w:tblW w:w="0" w:type="auto"/>
        <w:jc w:val="center"/>
        <w:tblLook w:val="04A0" w:firstRow="1" w:lastRow="0" w:firstColumn="1" w:lastColumn="0" w:noHBand="0" w:noVBand="1"/>
      </w:tblPr>
      <w:tblGrid>
        <w:gridCol w:w="2050"/>
        <w:gridCol w:w="1374"/>
        <w:gridCol w:w="1383"/>
        <w:gridCol w:w="1370"/>
        <w:gridCol w:w="1383"/>
      </w:tblGrid>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PH1.0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NPH0.5</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NPH1.0</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Lysozyme (U/mL)</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18.4 ± 1.3ᵃ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23.1 ± 1.5ᵇ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27.6 ± 1.7ᶜ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30.8 ± 1.9ᵈ</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NBT (OD 540 nm)</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0.29 ± 0.03ᵃ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0.36 ± 0.03ᵇ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0.41 ± 0.04ᶜ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0.46 ± 0.04ᵈ</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ACH50 (U/mL)</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112 ± 8ᵃ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134 ± 9ᵇ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149 ± 10ᶜ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162 ± 11ᵈ</w:t>
            </w:r>
          </w:p>
        </w:tc>
      </w:tr>
    </w:tbl>
    <w:p w:rsidR="00A53BB3" w:rsidRPr="007C6F9D" w:rsidRDefault="00A53BB3" w:rsidP="00B74599">
      <w:pPr>
        <w:pStyle w:val="NormalWeb"/>
        <w:jc w:val="both"/>
      </w:pPr>
      <w:r w:rsidRPr="007C6F9D">
        <w:lastRenderedPageBreak/>
        <w:t xml:space="preserve">Antioxidant enzyme activities (SOD, CAT and </w:t>
      </w:r>
      <w:proofErr w:type="spellStart"/>
      <w:r w:rsidRPr="007C6F9D">
        <w:t>GPx</w:t>
      </w:r>
      <w:proofErr w:type="spellEnd"/>
      <w:r w:rsidRPr="007C6F9D">
        <w:t xml:space="preserve">) and GSH content were significantly higher in nano-treated groups, whereas lipid peroxidation (MDA) was significantly reduced (Table 6). This indicates improved antioxidant </w:t>
      </w:r>
      <w:proofErr w:type="spellStart"/>
      <w:r w:rsidRPr="007C6F9D">
        <w:t>defense</w:t>
      </w:r>
      <w:proofErr w:type="spellEnd"/>
      <w:r w:rsidRPr="007C6F9D">
        <w:t xml:space="preserve"> and lower oxidative stress in fish receiving nano-polyherbal diets.</w:t>
      </w: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3.6 Antioxidant enzymes and lipid peroxidation</w:t>
      </w:r>
    </w:p>
    <w:p w:rsidR="00DC0B0E" w:rsidRPr="007C6F9D" w:rsidRDefault="002A2DDB" w:rsidP="00967AA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Nano diets significantly increased antioxidant enzymes and decreased MDA, indicating reduced oxidative stress.</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Table 6. Antioxidant and oxidative stress markers (liver homogenate).</w:t>
      </w:r>
    </w:p>
    <w:tbl>
      <w:tblPr>
        <w:tblStyle w:val="TableGrid"/>
        <w:tblW w:w="0" w:type="auto"/>
        <w:jc w:val="center"/>
        <w:tblLook w:val="04A0" w:firstRow="1" w:lastRow="0" w:firstColumn="1" w:lastColumn="0" w:noHBand="0" w:noVBand="1"/>
      </w:tblPr>
      <w:tblGrid>
        <w:gridCol w:w="2603"/>
        <w:gridCol w:w="1383"/>
        <w:gridCol w:w="1370"/>
        <w:gridCol w:w="1383"/>
        <w:gridCol w:w="1374"/>
      </w:tblGrid>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PH1.0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NPH0.5</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NPH1.0</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SOD (U/mg protein)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18.6 ± 1.1ᵃ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22.4 ± 1.3ᵇ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25.1 ± 1.4ᶜ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27.3 ± 1.6ᵈ</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CAT (U/mg protein)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9.2 ± 0.6ᵃ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10.8 ± 0.7ᵇ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12.1 ± 0.8ᶜ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13.0 ± 0.9ᶜ</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proofErr w:type="spellStart"/>
            <w:r w:rsidRPr="007C6F9D">
              <w:rPr>
                <w:rFonts w:ascii="Times New Roman" w:eastAsia="Times New Roman" w:hAnsi="Times New Roman" w:cs="Times New Roman"/>
                <w:sz w:val="24"/>
                <w:szCs w:val="24"/>
                <w:lang w:eastAsia="en-IN"/>
              </w:rPr>
              <w:t>GPx</w:t>
            </w:r>
            <w:proofErr w:type="spellEnd"/>
            <w:r w:rsidRPr="007C6F9D">
              <w:rPr>
                <w:rFonts w:ascii="Times New Roman" w:eastAsia="Times New Roman" w:hAnsi="Times New Roman" w:cs="Times New Roman"/>
                <w:sz w:val="24"/>
                <w:szCs w:val="24"/>
                <w:lang w:eastAsia="en-IN"/>
              </w:rPr>
              <w:t xml:space="preserve"> (U/mg protein)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6.1 ± 0.4ᵃ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7.0 ± 0.5ᵇ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7.8 ± 0.5ᶜ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8.3 ± 0.6ᶜ</w:t>
            </w:r>
          </w:p>
        </w:tc>
      </w:tr>
      <w:tr w:rsidR="007C6F9D"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GSH (µmol/g tissue)</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3.9 ± 0.3ᵃ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4.5 ± 0.3ᵇ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4.9 ± 0.4ᶜ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5.2 ± 0.4ᶜ</w:t>
            </w:r>
          </w:p>
        </w:tc>
      </w:tr>
      <w:tr w:rsidR="002A2DDB" w:rsidRPr="007C6F9D" w:rsidTr="00B74599">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MDA (nmol/mg protein)</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3.26 ± 0.22ᵈ</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2.71 ± 0.20ᶜ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2.35 ± 0.18ᵇ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2.12 ± 0.16ᵃ</w:t>
            </w:r>
          </w:p>
        </w:tc>
      </w:tr>
    </w:tbl>
    <w:p w:rsidR="002A2DDB" w:rsidRPr="007C6F9D"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7C6F9D" w:rsidRDefault="002A2DDB" w:rsidP="00B7459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 xml:space="preserve">3.7 Disease challenge with </w:t>
      </w:r>
      <w:r w:rsidRPr="007C6F9D">
        <w:rPr>
          <w:rFonts w:ascii="Times New Roman" w:eastAsia="Times New Roman" w:hAnsi="Times New Roman" w:cs="Times New Roman"/>
          <w:b/>
          <w:bCs/>
          <w:i/>
          <w:iCs/>
          <w:sz w:val="24"/>
          <w:szCs w:val="24"/>
          <w:lang w:eastAsia="en-IN"/>
        </w:rPr>
        <w:t>Aeromonas hydrophila</w:t>
      </w:r>
    </w:p>
    <w:p w:rsidR="00A53BB3" w:rsidRPr="007C6F9D" w:rsidRDefault="00A53BB3" w:rsidP="00B74599">
      <w:pPr>
        <w:spacing w:before="100" w:beforeAutospacing="1" w:after="100" w:afterAutospacing="1" w:line="240" w:lineRule="auto"/>
        <w:jc w:val="both"/>
        <w:rPr>
          <w:rFonts w:ascii="Times New Roman" w:hAnsi="Times New Roman" w:cs="Times New Roman"/>
          <w:sz w:val="24"/>
          <w:szCs w:val="24"/>
        </w:rPr>
      </w:pPr>
      <w:r w:rsidRPr="007C6F9D">
        <w:rPr>
          <w:rFonts w:ascii="Times New Roman" w:hAnsi="Times New Roman" w:cs="Times New Roman"/>
          <w:sz w:val="24"/>
          <w:szCs w:val="24"/>
        </w:rPr>
        <w:t>Post-challenge mortality was significantly reduced in nano-polyherbal groups, with the lowest cumulative mortality in NPH1.0 (18.9%). Survival and RPS values were highest in NPH1.0 (81.1% survival and 66.7% RPS), demonstrating strong enhancement of disease resistance by nano-polyherbal supplementation (Table 7).</w:t>
      </w:r>
    </w:p>
    <w:p w:rsidR="002A2DDB" w:rsidRPr="007C6F9D" w:rsidRDefault="002A2DDB" w:rsidP="00B74599">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Table 7. Challenge test outcomes (14 days).</w:t>
      </w:r>
    </w:p>
    <w:tbl>
      <w:tblPr>
        <w:tblStyle w:val="TableGrid"/>
        <w:tblW w:w="0" w:type="auto"/>
        <w:jc w:val="center"/>
        <w:tblLook w:val="04A0" w:firstRow="1" w:lastRow="0" w:firstColumn="1" w:lastColumn="0" w:noHBand="0" w:noVBand="1"/>
      </w:tblPr>
      <w:tblGrid>
        <w:gridCol w:w="2696"/>
        <w:gridCol w:w="1263"/>
        <w:gridCol w:w="1263"/>
        <w:gridCol w:w="1263"/>
        <w:gridCol w:w="1263"/>
      </w:tblGrid>
      <w:tr w:rsidR="007C6F9D" w:rsidRPr="007C6F9D" w:rsidTr="00A53BB3">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Parameter</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PH1.0</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NPH0.5</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NPH1.0</w:t>
            </w:r>
          </w:p>
        </w:tc>
      </w:tr>
      <w:tr w:rsidR="007C6F9D" w:rsidRPr="007C6F9D" w:rsidTr="00A53BB3">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Cumulative mortality (%)</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56.7 ± 5.8ᵈ</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41.1 ± 4.4ᶜ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26.7 ± 3.3ᵇ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18.9 ± 2.9ᵃ</w:t>
            </w:r>
          </w:p>
        </w:tc>
      </w:tr>
      <w:tr w:rsidR="007C6F9D" w:rsidRPr="007C6F9D" w:rsidTr="00A53BB3">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Survival (%)</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43.3 ± 5.8ᵃ</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58.9 ± 4.4ᵇ</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73.3 ± 3.3ᶜ</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81.1 ± 2.9ᵈ</w:t>
            </w:r>
          </w:p>
        </w:tc>
      </w:tr>
      <w:tr w:rsidR="002A2DDB" w:rsidRPr="007C6F9D" w:rsidTr="00A53BB3">
        <w:trPr>
          <w:jc w:val="center"/>
        </w:trPr>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RPS (%)</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27.1</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52.9</w:t>
            </w:r>
          </w:p>
        </w:tc>
        <w:tc>
          <w:tcPr>
            <w:tcW w:w="0" w:type="auto"/>
            <w:hideMark/>
          </w:tcPr>
          <w:p w:rsidR="002A2DDB" w:rsidRPr="007C6F9D" w:rsidRDefault="002A2DDB" w:rsidP="00B74599">
            <w:pPr>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66.7</w:t>
            </w:r>
          </w:p>
        </w:tc>
      </w:tr>
    </w:tbl>
    <w:p w:rsidR="002A2DDB" w:rsidRPr="007C6F9D" w:rsidRDefault="002A2DDB" w:rsidP="00B74599">
      <w:pPr>
        <w:spacing w:after="0" w:line="240" w:lineRule="auto"/>
        <w:jc w:val="both"/>
        <w:rPr>
          <w:rFonts w:ascii="Times New Roman" w:eastAsia="Times New Roman" w:hAnsi="Times New Roman" w:cs="Times New Roman"/>
          <w:sz w:val="24"/>
          <w:szCs w:val="24"/>
          <w:lang w:eastAsia="en-IN"/>
        </w:rPr>
      </w:pPr>
    </w:p>
    <w:p w:rsidR="002A2DDB" w:rsidRPr="007C6F9D"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4. DISCUSSION</w:t>
      </w:r>
    </w:p>
    <w:p w:rsidR="00A53BB3" w:rsidRPr="007C6F9D" w:rsidRDefault="00A53BB3" w:rsidP="00B74599">
      <w:pPr>
        <w:pStyle w:val="NormalWeb"/>
        <w:jc w:val="both"/>
      </w:pPr>
      <w:r w:rsidRPr="007C6F9D">
        <w:t>The improved growth performance and lower FCR in NPH-fed fish can be attributed to enhanced bioavailability and intestinal absorption of phytochemicals through nanoencapsulation. Chitosan nanoparticles possess mucoadhesive properties that prolong gut residence time and facilitate sustained release of active compounds, thereby improving digestion and nutrient utilization [1,2]. Similar growth-promoting effects of nano-herbal supplements have been reported in several aquaculture species [3,4].</w:t>
      </w:r>
    </w:p>
    <w:p w:rsidR="00A53BB3" w:rsidRPr="007C6F9D" w:rsidRDefault="00A53BB3" w:rsidP="00B74599">
      <w:pPr>
        <w:pStyle w:val="NormalWeb"/>
        <w:jc w:val="both"/>
      </w:pPr>
      <w:r w:rsidRPr="007C6F9D">
        <w:t xml:space="preserve">The significant increase in WBC, Hb and PCV observed in nano-polyherbal groups indicates improved hematopoietic activity and immune competence. Elevated WBC reflects enhanced </w:t>
      </w:r>
      <w:proofErr w:type="spellStart"/>
      <w:r w:rsidRPr="007C6F9D">
        <w:t>defense</w:t>
      </w:r>
      <w:proofErr w:type="spellEnd"/>
      <w:r w:rsidRPr="007C6F9D">
        <w:t xml:space="preserve"> capacity, while higher Hb and PCV suggest better oxygen transport and physiological fitness [5,6]. Comparable improvements in </w:t>
      </w:r>
      <w:proofErr w:type="spellStart"/>
      <w:r w:rsidRPr="007C6F9D">
        <w:t>hematological</w:t>
      </w:r>
      <w:proofErr w:type="spellEnd"/>
      <w:r w:rsidRPr="007C6F9D">
        <w:t xml:space="preserve"> indices have been reported in fish fed herbal and nano-herbal additives [7,8].</w:t>
      </w:r>
    </w:p>
    <w:p w:rsidR="00A53BB3" w:rsidRPr="007C6F9D" w:rsidRDefault="00A53BB3" w:rsidP="00B74599">
      <w:pPr>
        <w:pStyle w:val="NormalWeb"/>
        <w:jc w:val="both"/>
      </w:pPr>
      <w:r w:rsidRPr="007C6F9D">
        <w:lastRenderedPageBreak/>
        <w:t>The rise in serum total protein and globulin in NPH-fed fish suggests activation of humoral immunity, as globulins are closely associated with immunoglobulins and immune-related proteins [9,10]. A reduced A/G ratio further supports immune stimulation through increased globulin synthesis [11].</w:t>
      </w:r>
    </w:p>
    <w:p w:rsidR="00A53BB3" w:rsidRPr="007C6F9D" w:rsidRDefault="00A53BB3" w:rsidP="00B74599">
      <w:pPr>
        <w:pStyle w:val="NormalWeb"/>
        <w:jc w:val="both"/>
      </w:pPr>
      <w:r w:rsidRPr="007C6F9D">
        <w:t xml:space="preserve">The strong enhancement of lysozyme activity, respiratory burst and complement activity demonstrates stimulation of innate immune mechanisms, which form the first line of </w:t>
      </w:r>
      <w:proofErr w:type="spellStart"/>
      <w:r w:rsidRPr="007C6F9D">
        <w:t>defense</w:t>
      </w:r>
      <w:proofErr w:type="spellEnd"/>
      <w:r w:rsidRPr="007C6F9D">
        <w:t xml:space="preserve"> against pathogens in fish [12,13]. Similar enhancement of non-specific immune responses by herbal immunostimulants and nano-delivery systems has been documented earlier [14,15].</w:t>
      </w:r>
    </w:p>
    <w:p w:rsidR="00A53BB3" w:rsidRPr="007C6F9D" w:rsidRDefault="00A53BB3" w:rsidP="00B74599">
      <w:pPr>
        <w:pStyle w:val="NormalWeb"/>
        <w:jc w:val="both"/>
      </w:pPr>
      <w:r w:rsidRPr="007C6F9D">
        <w:t xml:space="preserve">The significant increase in antioxidant enzymes (SOD, CAT, </w:t>
      </w:r>
      <w:proofErr w:type="spellStart"/>
      <w:r w:rsidRPr="007C6F9D">
        <w:t>GPx</w:t>
      </w:r>
      <w:proofErr w:type="spellEnd"/>
      <w:r w:rsidRPr="007C6F9D">
        <w:t xml:space="preserve">) and GSH, along with reduced MDA levels, indicates improved oxidative stress management in nano-treated fish. This confirms the protective role of nano-polyherbal formulations against reactive oxygen species, which is crucial for maintaining immune competence and growth performance [16,17]. Antioxidant-mediated </w:t>
      </w:r>
      <w:proofErr w:type="spellStart"/>
      <w:r w:rsidRPr="007C6F9D">
        <w:t>immunoprotection</w:t>
      </w:r>
      <w:proofErr w:type="spellEnd"/>
      <w:r w:rsidRPr="007C6F9D">
        <w:t xml:space="preserve"> by herbal extracts and nano-formulations has been widely reported [18,19].</w:t>
      </w:r>
    </w:p>
    <w:p w:rsidR="009145D8" w:rsidRPr="007C6F9D" w:rsidRDefault="00A53BB3" w:rsidP="009145D8">
      <w:pPr>
        <w:pStyle w:val="NormalWeb"/>
        <w:jc w:val="both"/>
      </w:pPr>
      <w:r w:rsidRPr="007C6F9D">
        <w:t xml:space="preserve">The markedly higher survival rate and RPS after </w:t>
      </w:r>
      <w:r w:rsidRPr="007C6F9D">
        <w:rPr>
          <w:rStyle w:val="Emphasis"/>
        </w:rPr>
        <w:t>A. hydrophila</w:t>
      </w:r>
      <w:r w:rsidRPr="007C6F9D">
        <w:t xml:space="preserve"> challenge clearly demonstrate that nano-polyherbal supplementation enhanced functional disease resistance. Similar increases in RPS have been reported in fish fed herbal-based immunostimulants and </w:t>
      </w:r>
      <w:proofErr w:type="spellStart"/>
      <w:r w:rsidRPr="007C6F9D">
        <w:t>nano</w:t>
      </w:r>
      <w:proofErr w:type="spellEnd"/>
      <w:r w:rsidRPr="007C6F9D">
        <w:t xml:space="preserve">-encapsulated </w:t>
      </w:r>
      <w:proofErr w:type="spellStart"/>
      <w:r w:rsidRPr="007C6F9D">
        <w:t>bioactives</w:t>
      </w:r>
      <w:proofErr w:type="spellEnd"/>
      <w:r w:rsidRPr="007C6F9D">
        <w:t xml:space="preserve"> [20,21]. The fact that NPH0.5 often performed comparably to PH1.0 highlights the dose-sparing effect of nano-delivery systems, which has also been observed in previous </w:t>
      </w:r>
      <w:proofErr w:type="spellStart"/>
      <w:r w:rsidRPr="007C6F9D">
        <w:t>nano</w:t>
      </w:r>
      <w:proofErr w:type="spellEnd"/>
      <w:r w:rsidRPr="007C6F9D">
        <w:t>-nutraceutical studies [22].</w:t>
      </w:r>
      <w:r w:rsidR="009145D8" w:rsidRPr="007C6F9D">
        <w:t xml:space="preserve"> These findings are consistent with previous studies reporting improved growth and immunity using probiotic supplementation in fish [23]. The </w:t>
      </w:r>
    </w:p>
    <w:p w:rsidR="0087092D" w:rsidRPr="007C6F9D" w:rsidRDefault="0087092D" w:rsidP="005555C1">
      <w:pPr>
        <w:spacing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These findings are consistent with previous studies reporting improved growth and immunity using probiotic supplementation in fish [26]. In particular, probiotic supplementation with </w:t>
      </w:r>
      <w:r w:rsidRPr="007C6F9D">
        <w:rPr>
          <w:rFonts w:ascii="Times New Roman" w:eastAsia="Times New Roman" w:hAnsi="Times New Roman" w:cs="Times New Roman"/>
          <w:i/>
          <w:iCs/>
          <w:sz w:val="24"/>
          <w:szCs w:val="24"/>
          <w:lang w:eastAsia="en-IN"/>
        </w:rPr>
        <w:t>Lactobacillus acidophilus</w:t>
      </w:r>
      <w:r w:rsidRPr="007C6F9D">
        <w:rPr>
          <w:rFonts w:ascii="Times New Roman" w:eastAsia="Times New Roman" w:hAnsi="Times New Roman" w:cs="Times New Roman"/>
          <w:sz w:val="24"/>
          <w:szCs w:val="24"/>
          <w:lang w:eastAsia="en-IN"/>
        </w:rPr>
        <w:t xml:space="preserve"> has been shown to enhance digestive enzyme activity, nutrient assimilation, and immune response in cultured fish species. This suggests that both probiotic and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-polyherbal approaches act through modulation of gut health and immune stimulation, thereby improving overall fish performance and disease resistance.</w:t>
      </w:r>
    </w:p>
    <w:p w:rsidR="0087092D" w:rsidRPr="007C6F9D" w:rsidRDefault="005555C1" w:rsidP="005555C1">
      <w:pPr>
        <w:spacing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hAnsi="Times New Roman" w:cs="Times New Roman"/>
          <w:sz w:val="24"/>
          <w:szCs w:val="24"/>
        </w:rPr>
        <w:t xml:space="preserve">Overall, the findings confirm that </w:t>
      </w:r>
      <w:proofErr w:type="spellStart"/>
      <w:r w:rsidRPr="007C6F9D">
        <w:rPr>
          <w:rFonts w:ascii="Times New Roman" w:hAnsi="Times New Roman" w:cs="Times New Roman"/>
          <w:sz w:val="24"/>
          <w:szCs w:val="24"/>
        </w:rPr>
        <w:t>nano</w:t>
      </w:r>
      <w:proofErr w:type="spellEnd"/>
      <w:r w:rsidRPr="007C6F9D">
        <w:rPr>
          <w:rFonts w:ascii="Times New Roman" w:hAnsi="Times New Roman" w:cs="Times New Roman"/>
          <w:sz w:val="24"/>
          <w:szCs w:val="24"/>
        </w:rPr>
        <w:t xml:space="preserve">-polyherbal delivery systems provide significant advantages over conventional herbal supplementation by improving stability, bioavailability, and biological efficacy of phytochemicals. Recent advances in nanotechnology applications in aquaculture further support the use of </w:t>
      </w:r>
      <w:proofErr w:type="spellStart"/>
      <w:r w:rsidRPr="007C6F9D">
        <w:rPr>
          <w:rFonts w:ascii="Times New Roman" w:hAnsi="Times New Roman" w:cs="Times New Roman"/>
          <w:sz w:val="24"/>
          <w:szCs w:val="24"/>
        </w:rPr>
        <w:t>nano</w:t>
      </w:r>
      <w:proofErr w:type="spellEnd"/>
      <w:r w:rsidRPr="007C6F9D">
        <w:rPr>
          <w:rFonts w:ascii="Times New Roman" w:hAnsi="Times New Roman" w:cs="Times New Roman"/>
          <w:sz w:val="24"/>
          <w:szCs w:val="24"/>
        </w:rPr>
        <w:t>-based feed additives as sustainable alternatives to antibiotics [27]. Additionally, emerging strategies such as probiotics and functional feed additives have also been recognized as effective approaches for disease control and health management in aquaculture systems [28]. However, further studies on long-term safety, field-level validation, and economic feasibility are required before large-scale application</w:t>
      </w:r>
    </w:p>
    <w:p w:rsidR="00A53BB3" w:rsidRPr="007C6F9D" w:rsidRDefault="00A53BB3" w:rsidP="00B74599">
      <w:pPr>
        <w:pStyle w:val="NormalWeb"/>
        <w:jc w:val="both"/>
      </w:pPr>
    </w:p>
    <w:p w:rsidR="002A2DDB" w:rsidRPr="007C6F9D" w:rsidRDefault="00B74599" w:rsidP="00B7459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5. CONCLUSION</w:t>
      </w:r>
    </w:p>
    <w:p w:rsidR="00360621" w:rsidRPr="007C6F9D" w:rsidRDefault="00360621" w:rsidP="0036062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The present study demonstrates that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-encapsulation of a polyherbal formulation (TP:BD:TC = 1:1:1) significantly enhances growth performance, feed utilization, immune responses, antioxidant status, and disease resistance in </w:t>
      </w:r>
      <w:r w:rsidRPr="007C6F9D">
        <w:rPr>
          <w:rFonts w:ascii="Times New Roman" w:eastAsia="Times New Roman" w:hAnsi="Times New Roman" w:cs="Times New Roman"/>
          <w:i/>
          <w:iCs/>
          <w:sz w:val="24"/>
          <w:szCs w:val="24"/>
          <w:lang w:eastAsia="en-IN"/>
        </w:rPr>
        <w:t xml:space="preserve">Pangasius </w:t>
      </w:r>
      <w:proofErr w:type="spellStart"/>
      <w:r w:rsidRPr="007C6F9D">
        <w:rPr>
          <w:rFonts w:ascii="Times New Roman" w:eastAsia="Times New Roman" w:hAnsi="Times New Roman" w:cs="Times New Roman"/>
          <w:i/>
          <w:iCs/>
          <w:sz w:val="24"/>
          <w:szCs w:val="24"/>
          <w:lang w:eastAsia="en-IN"/>
        </w:rPr>
        <w:t>pangasius</w:t>
      </w:r>
      <w:proofErr w:type="spellEnd"/>
      <w:r w:rsidRPr="007C6F9D">
        <w:rPr>
          <w:rFonts w:ascii="Times New Roman" w:eastAsia="Times New Roman" w:hAnsi="Times New Roman" w:cs="Times New Roman"/>
          <w:sz w:val="24"/>
          <w:szCs w:val="24"/>
          <w:lang w:eastAsia="en-IN"/>
        </w:rPr>
        <w:t xml:space="preserve">. Nano-polyherbal supplementation, particularly at 1%, showed superior efficacy compared to free herbal </w:t>
      </w:r>
      <w:r w:rsidRPr="007C6F9D">
        <w:rPr>
          <w:rFonts w:ascii="Times New Roman" w:eastAsia="Times New Roman" w:hAnsi="Times New Roman" w:cs="Times New Roman"/>
          <w:sz w:val="24"/>
          <w:szCs w:val="24"/>
          <w:lang w:eastAsia="en-IN"/>
        </w:rPr>
        <w:lastRenderedPageBreak/>
        <w:t xml:space="preserve">inclusion, indicating improved bioavailability and controlled release of bioactive compounds. The comparable performance of lower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 xml:space="preserve"> doses further suggests a dose-sparing effect.</w:t>
      </w:r>
    </w:p>
    <w:p w:rsidR="00360621" w:rsidRPr="007C6F9D" w:rsidRDefault="00360621" w:rsidP="0036062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Overall, </w:t>
      </w:r>
      <w:proofErr w:type="spellStart"/>
      <w:r w:rsidRPr="007C6F9D">
        <w:rPr>
          <w:rFonts w:ascii="Times New Roman" w:eastAsia="Times New Roman" w:hAnsi="Times New Roman" w:cs="Times New Roman"/>
          <w:sz w:val="24"/>
          <w:szCs w:val="24"/>
          <w:lang w:eastAsia="en-IN"/>
        </w:rPr>
        <w:t>nano</w:t>
      </w:r>
      <w:proofErr w:type="spellEnd"/>
      <w:r w:rsidRPr="007C6F9D">
        <w:rPr>
          <w:rFonts w:ascii="Times New Roman" w:eastAsia="Times New Roman" w:hAnsi="Times New Roman" w:cs="Times New Roman"/>
          <w:sz w:val="24"/>
          <w:szCs w:val="24"/>
          <w:lang w:eastAsia="en-IN"/>
        </w:rPr>
        <w:t>-polyherbal formulations represent a promising, eco-friendly alternative to antibiotics for sustainable aquaculture. However, further studies on long-term safety, large-scale application, and economic feasibility are recommended to support practical implementation.</w:t>
      </w:r>
    </w:p>
    <w:p w:rsidR="0087092D" w:rsidRPr="007C6F9D" w:rsidRDefault="00B74599" w:rsidP="00B74599">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7C6F9D">
        <w:rPr>
          <w:rFonts w:ascii="Times New Roman" w:eastAsia="Times New Roman" w:hAnsi="Times New Roman" w:cs="Times New Roman"/>
          <w:b/>
          <w:bCs/>
          <w:sz w:val="24"/>
          <w:szCs w:val="24"/>
          <w:lang w:eastAsia="en-IN"/>
        </w:rPr>
        <w:t>ETHICS APPROVAL</w:t>
      </w:r>
      <w:r w:rsidR="002A2DDB" w:rsidRPr="007C6F9D">
        <w:rPr>
          <w:rFonts w:ascii="Times New Roman" w:eastAsia="Times New Roman" w:hAnsi="Times New Roman" w:cs="Times New Roman"/>
          <w:b/>
          <w:bCs/>
          <w:sz w:val="24"/>
          <w:szCs w:val="24"/>
          <w:lang w:eastAsia="en-IN"/>
        </w:rPr>
        <w:t>:</w:t>
      </w:r>
      <w:r w:rsidR="002A2DDB" w:rsidRPr="007C6F9D">
        <w:rPr>
          <w:rFonts w:ascii="Times New Roman" w:eastAsia="Times New Roman" w:hAnsi="Times New Roman" w:cs="Times New Roman"/>
          <w:sz w:val="24"/>
          <w:szCs w:val="24"/>
          <w:lang w:eastAsia="en-IN"/>
        </w:rPr>
        <w:t xml:space="preserve"> Fish handling followed institutional animal ethics guidelines.</w:t>
      </w:r>
      <w:r w:rsidR="0087092D" w:rsidRPr="007C6F9D">
        <w:rPr>
          <w:rFonts w:ascii="Times New Roman" w:hAnsi="Times New Roman" w:cs="Times New Roman"/>
          <w:sz w:val="24"/>
          <w:szCs w:val="24"/>
        </w:rPr>
        <w:t xml:space="preserve"> All experimental procedures involving fish were conducted in accordance with institutional animal ethics guidelines and were approved by the Institutional Animal Ethics Committee (IAEC) of Rajarshi Shahu Mahavidyalaya (Autonomous), Latur, India (Approval No: RSML/IAEC/2026/01).</w:t>
      </w:r>
      <w:r w:rsidR="002A2DDB" w:rsidRPr="007C6F9D">
        <w:rPr>
          <w:rFonts w:ascii="Times New Roman" w:eastAsia="Times New Roman" w:hAnsi="Times New Roman" w:cs="Times New Roman"/>
          <w:sz w:val="24"/>
          <w:szCs w:val="24"/>
          <w:lang w:eastAsia="en-IN"/>
        </w:rPr>
        <w:br/>
      </w:r>
    </w:p>
    <w:p w:rsidR="0087092D" w:rsidRPr="007C6F9D" w:rsidRDefault="0087092D" w:rsidP="008709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Conflict of Interest:</w:t>
      </w:r>
      <w:r w:rsidRPr="007C6F9D">
        <w:rPr>
          <w:rFonts w:ascii="Times New Roman" w:eastAsia="Times New Roman" w:hAnsi="Times New Roman" w:cs="Times New Roman"/>
          <w:sz w:val="24"/>
          <w:szCs w:val="24"/>
          <w:lang w:eastAsia="en-IN"/>
        </w:rPr>
        <w:t xml:space="preserve"> The authors declare that there are no competing interests.</w:t>
      </w:r>
    </w:p>
    <w:p w:rsidR="0087092D" w:rsidRPr="007C6F9D" w:rsidRDefault="0087092D" w:rsidP="0087092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b/>
          <w:bCs/>
          <w:sz w:val="24"/>
          <w:szCs w:val="24"/>
          <w:lang w:eastAsia="en-IN"/>
        </w:rPr>
        <w:t>Disclaimer (Artificial Intelligence):</w:t>
      </w:r>
      <w:r w:rsidRPr="007C6F9D">
        <w:rPr>
          <w:rFonts w:ascii="Times New Roman" w:eastAsia="Times New Roman" w:hAnsi="Times New Roman" w:cs="Times New Roman"/>
          <w:sz w:val="24"/>
          <w:szCs w:val="24"/>
          <w:lang w:eastAsia="en-IN"/>
        </w:rPr>
        <w:t xml:space="preserve"> The authors hereby declare that no generative artificial intelligence (AI) technologies, including large language models (such as </w:t>
      </w:r>
      <w:proofErr w:type="spellStart"/>
      <w:r w:rsidRPr="007C6F9D">
        <w:rPr>
          <w:rFonts w:ascii="Times New Roman" w:eastAsia="Times New Roman" w:hAnsi="Times New Roman" w:cs="Times New Roman"/>
          <w:sz w:val="24"/>
          <w:szCs w:val="24"/>
          <w:lang w:eastAsia="en-IN"/>
        </w:rPr>
        <w:t>ChatGPT</w:t>
      </w:r>
      <w:proofErr w:type="spellEnd"/>
      <w:r w:rsidRPr="007C6F9D">
        <w:rPr>
          <w:rFonts w:ascii="Times New Roman" w:eastAsia="Times New Roman" w:hAnsi="Times New Roman" w:cs="Times New Roman"/>
          <w:sz w:val="24"/>
          <w:szCs w:val="24"/>
          <w:lang w:eastAsia="en-IN"/>
        </w:rPr>
        <w:t xml:space="preserve">, </w:t>
      </w:r>
      <w:proofErr w:type="spellStart"/>
      <w:r w:rsidRPr="007C6F9D">
        <w:rPr>
          <w:rFonts w:ascii="Times New Roman" w:eastAsia="Times New Roman" w:hAnsi="Times New Roman" w:cs="Times New Roman"/>
          <w:sz w:val="24"/>
          <w:szCs w:val="24"/>
          <w:lang w:eastAsia="en-IN"/>
        </w:rPr>
        <w:t>Copilot</w:t>
      </w:r>
      <w:proofErr w:type="spellEnd"/>
      <w:r w:rsidRPr="007C6F9D">
        <w:rPr>
          <w:rFonts w:ascii="Times New Roman" w:eastAsia="Times New Roman" w:hAnsi="Times New Roman" w:cs="Times New Roman"/>
          <w:sz w:val="24"/>
          <w:szCs w:val="24"/>
          <w:lang w:eastAsia="en-IN"/>
        </w:rPr>
        <w:t>, etc.) or text-to-image generators, were used in the writing, analysis, or preparation of this manuscript.</w:t>
      </w:r>
    </w:p>
    <w:p w:rsidR="00EA6388" w:rsidRPr="007C6F9D" w:rsidRDefault="00EA6388" w:rsidP="00B74599">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2A2DDB" w:rsidRPr="007C6F9D" w:rsidRDefault="00A53BB3" w:rsidP="00B74599">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C6F9D">
        <w:rPr>
          <w:rFonts w:ascii="Times New Roman" w:eastAsia="Times New Roman" w:hAnsi="Times New Roman" w:cs="Times New Roman"/>
          <w:b/>
          <w:sz w:val="24"/>
          <w:szCs w:val="24"/>
          <w:lang w:eastAsia="en-IN"/>
        </w:rPr>
        <w:t xml:space="preserve">REFERENCES </w:t>
      </w:r>
      <w:r w:rsidRPr="007C6F9D">
        <w:rPr>
          <w:rFonts w:ascii="Times New Roman" w:eastAsia="Times New Roman" w:hAnsi="Times New Roman" w:cs="Times New Roman"/>
          <w:b/>
          <w:sz w:val="24"/>
          <w:szCs w:val="24"/>
          <w:lang w:eastAsia="en-IN"/>
        </w:rPr>
        <w:br/>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Abdel-Latif, H. M. R., Abdel-Tawwab, M., </w:t>
      </w:r>
      <w:proofErr w:type="spellStart"/>
      <w:r w:rsidRPr="007C6F9D">
        <w:rPr>
          <w:rFonts w:ascii="Times New Roman" w:eastAsia="Times New Roman" w:hAnsi="Times New Roman" w:cs="Times New Roman"/>
          <w:sz w:val="24"/>
          <w:szCs w:val="24"/>
          <w:lang w:eastAsia="en-IN"/>
        </w:rPr>
        <w:t>Khafaga</w:t>
      </w:r>
      <w:proofErr w:type="spellEnd"/>
      <w:r w:rsidRPr="007C6F9D">
        <w:rPr>
          <w:rFonts w:ascii="Times New Roman" w:eastAsia="Times New Roman" w:hAnsi="Times New Roman" w:cs="Times New Roman"/>
          <w:sz w:val="24"/>
          <w:szCs w:val="24"/>
          <w:lang w:eastAsia="en-IN"/>
        </w:rPr>
        <w:t xml:space="preserve">, A. F., &amp; Dawood, M. A. O. (2021). Dietary nano-selenium improves antioxidant capacity, immunity, and resistance against </w:t>
      </w:r>
      <w:r w:rsidRPr="007C6F9D">
        <w:rPr>
          <w:rFonts w:ascii="Times New Roman" w:eastAsia="Times New Roman" w:hAnsi="Times New Roman" w:cs="Times New Roman"/>
          <w:i/>
          <w:iCs/>
          <w:sz w:val="24"/>
          <w:szCs w:val="24"/>
          <w:lang w:eastAsia="en-IN"/>
        </w:rPr>
        <w:t>Aeromonas hydrophila</w:t>
      </w:r>
      <w:r w:rsidRPr="007C6F9D">
        <w:rPr>
          <w:rFonts w:ascii="Times New Roman" w:eastAsia="Times New Roman" w:hAnsi="Times New Roman" w:cs="Times New Roman"/>
          <w:sz w:val="24"/>
          <w:szCs w:val="24"/>
          <w:lang w:eastAsia="en-IN"/>
        </w:rPr>
        <w:t xml:space="preserve"> in Nile tilapia (</w:t>
      </w:r>
      <w:r w:rsidRPr="007C6F9D">
        <w:rPr>
          <w:rFonts w:ascii="Times New Roman" w:eastAsia="Times New Roman" w:hAnsi="Times New Roman" w:cs="Times New Roman"/>
          <w:i/>
          <w:iCs/>
          <w:sz w:val="24"/>
          <w:szCs w:val="24"/>
          <w:lang w:eastAsia="en-IN"/>
        </w:rPr>
        <w:t>Oreochromis niloticus</w:t>
      </w:r>
      <w:r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i/>
          <w:iCs/>
          <w:sz w:val="24"/>
          <w:szCs w:val="24"/>
          <w:lang w:eastAsia="en-IN"/>
        </w:rPr>
        <w:t>Fish &amp; Shellfish Immunology, 110</w:t>
      </w:r>
      <w:r w:rsidRPr="007C6F9D">
        <w:rPr>
          <w:rFonts w:ascii="Times New Roman" w:eastAsia="Times New Roman" w:hAnsi="Times New Roman" w:cs="Times New Roman"/>
          <w:sz w:val="24"/>
          <w:szCs w:val="24"/>
          <w:lang w:eastAsia="en-IN"/>
        </w:rPr>
        <w:t>, 77–85. https://doi.org/10.1016/j.fsi.2021.01.015</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Abdel-Tawwab, M., Monier, M. N., </w:t>
      </w:r>
      <w:proofErr w:type="spellStart"/>
      <w:r w:rsidRPr="007C6F9D">
        <w:rPr>
          <w:rFonts w:ascii="Times New Roman" w:eastAsia="Times New Roman" w:hAnsi="Times New Roman" w:cs="Times New Roman"/>
          <w:sz w:val="24"/>
          <w:szCs w:val="24"/>
          <w:lang w:eastAsia="en-IN"/>
        </w:rPr>
        <w:t>Hoseinifar</w:t>
      </w:r>
      <w:proofErr w:type="spellEnd"/>
      <w:r w:rsidRPr="007C6F9D">
        <w:rPr>
          <w:rFonts w:ascii="Times New Roman" w:eastAsia="Times New Roman" w:hAnsi="Times New Roman" w:cs="Times New Roman"/>
          <w:sz w:val="24"/>
          <w:szCs w:val="24"/>
          <w:lang w:eastAsia="en-IN"/>
        </w:rPr>
        <w:t xml:space="preserve">, S. H., &amp; </w:t>
      </w:r>
      <w:proofErr w:type="spellStart"/>
      <w:r w:rsidRPr="007C6F9D">
        <w:rPr>
          <w:rFonts w:ascii="Times New Roman" w:eastAsia="Times New Roman" w:hAnsi="Times New Roman" w:cs="Times New Roman"/>
          <w:sz w:val="24"/>
          <w:szCs w:val="24"/>
          <w:lang w:eastAsia="en-IN"/>
        </w:rPr>
        <w:t>Faggio</w:t>
      </w:r>
      <w:proofErr w:type="spellEnd"/>
      <w:r w:rsidRPr="007C6F9D">
        <w:rPr>
          <w:rFonts w:ascii="Times New Roman" w:eastAsia="Times New Roman" w:hAnsi="Times New Roman" w:cs="Times New Roman"/>
          <w:sz w:val="24"/>
          <w:szCs w:val="24"/>
          <w:lang w:eastAsia="en-IN"/>
        </w:rPr>
        <w:t xml:space="preserve">, C. (2019). Fish response to hypoxia stress: Growth, physiological, and immunological biomarkers. </w:t>
      </w:r>
      <w:r w:rsidRPr="007C6F9D">
        <w:rPr>
          <w:rFonts w:ascii="Times New Roman" w:eastAsia="Times New Roman" w:hAnsi="Times New Roman" w:cs="Times New Roman"/>
          <w:i/>
          <w:iCs/>
          <w:sz w:val="24"/>
          <w:szCs w:val="24"/>
          <w:lang w:eastAsia="en-IN"/>
        </w:rPr>
        <w:t>Fish Physiology and Biochemistry, 45</w:t>
      </w:r>
      <w:r w:rsidRPr="007C6F9D">
        <w:rPr>
          <w:rFonts w:ascii="Times New Roman" w:eastAsia="Times New Roman" w:hAnsi="Times New Roman" w:cs="Times New Roman"/>
          <w:sz w:val="24"/>
          <w:szCs w:val="24"/>
          <w:lang w:eastAsia="en-IN"/>
        </w:rPr>
        <w:t xml:space="preserve">, 997–1013. </w:t>
      </w:r>
      <w:hyperlink r:id="rId11" w:tgtFrame="_new" w:history="1">
        <w:r w:rsidRPr="007C6F9D">
          <w:rPr>
            <w:rFonts w:ascii="Times New Roman" w:eastAsia="Times New Roman" w:hAnsi="Times New Roman" w:cs="Times New Roman"/>
            <w:sz w:val="24"/>
            <w:szCs w:val="24"/>
            <w:u w:val="single"/>
            <w:lang w:eastAsia="en-IN"/>
          </w:rPr>
          <w:t>https://doi.org/10.1007/s10695-019-00614-9</w:t>
        </w:r>
      </w:hyperlink>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Austin, B., &amp; Austin, D. A. (2012). </w:t>
      </w:r>
      <w:r w:rsidRPr="007C6F9D">
        <w:rPr>
          <w:rFonts w:ascii="Times New Roman" w:eastAsia="Times New Roman" w:hAnsi="Times New Roman" w:cs="Times New Roman"/>
          <w:i/>
          <w:iCs/>
          <w:sz w:val="24"/>
          <w:szCs w:val="24"/>
          <w:lang w:eastAsia="en-IN"/>
        </w:rPr>
        <w:t>Bacterial fish pathogens: Disease of farmed and wild fish</w:t>
      </w:r>
      <w:r w:rsidRPr="007C6F9D">
        <w:rPr>
          <w:rFonts w:ascii="Times New Roman" w:eastAsia="Times New Roman" w:hAnsi="Times New Roman" w:cs="Times New Roman"/>
          <w:sz w:val="24"/>
          <w:szCs w:val="24"/>
          <w:lang w:eastAsia="en-IN"/>
        </w:rPr>
        <w:t xml:space="preserve"> (5th ed.). Springer.</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C6F9D">
        <w:rPr>
          <w:rFonts w:ascii="Times New Roman" w:eastAsia="Times New Roman" w:hAnsi="Times New Roman" w:cs="Times New Roman"/>
          <w:sz w:val="24"/>
          <w:szCs w:val="24"/>
          <w:lang w:eastAsia="en-IN"/>
        </w:rPr>
        <w:t>Citarasu</w:t>
      </w:r>
      <w:proofErr w:type="spellEnd"/>
      <w:r w:rsidRPr="007C6F9D">
        <w:rPr>
          <w:rFonts w:ascii="Times New Roman" w:eastAsia="Times New Roman" w:hAnsi="Times New Roman" w:cs="Times New Roman"/>
          <w:sz w:val="24"/>
          <w:szCs w:val="24"/>
          <w:lang w:eastAsia="en-IN"/>
        </w:rPr>
        <w:t xml:space="preserve">, T. (2010). Herbal biomedicines: A new opportunity for aquaculture industry. </w:t>
      </w:r>
      <w:r w:rsidRPr="007C6F9D">
        <w:rPr>
          <w:rFonts w:ascii="Times New Roman" w:eastAsia="Times New Roman" w:hAnsi="Times New Roman" w:cs="Times New Roman"/>
          <w:i/>
          <w:iCs/>
          <w:sz w:val="24"/>
          <w:szCs w:val="24"/>
          <w:lang w:eastAsia="en-IN"/>
        </w:rPr>
        <w:t>Aquaculture International, 18</w:t>
      </w:r>
      <w:r w:rsidRPr="007C6F9D">
        <w:rPr>
          <w:rFonts w:ascii="Times New Roman" w:eastAsia="Times New Roman" w:hAnsi="Times New Roman" w:cs="Times New Roman"/>
          <w:sz w:val="24"/>
          <w:szCs w:val="24"/>
          <w:lang w:eastAsia="en-IN"/>
        </w:rPr>
        <w:t>, 403–414. https://doi.org/10.1007/s10499-009-9253-7</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Dawood, M. A. O., Koshio, S., &amp; Esteban, M. Á. (2018). Beneficial roles of feed additives as immunostimulants in aquaculture: A review. </w:t>
      </w:r>
      <w:r w:rsidRPr="007C6F9D">
        <w:rPr>
          <w:rFonts w:ascii="Times New Roman" w:eastAsia="Times New Roman" w:hAnsi="Times New Roman" w:cs="Times New Roman"/>
          <w:i/>
          <w:iCs/>
          <w:sz w:val="24"/>
          <w:szCs w:val="24"/>
          <w:lang w:eastAsia="en-IN"/>
        </w:rPr>
        <w:t>Reviews in Aquaculture, 10</w:t>
      </w:r>
      <w:r w:rsidRPr="007C6F9D">
        <w:rPr>
          <w:rFonts w:ascii="Times New Roman" w:eastAsia="Times New Roman" w:hAnsi="Times New Roman" w:cs="Times New Roman"/>
          <w:sz w:val="24"/>
          <w:szCs w:val="24"/>
          <w:lang w:eastAsia="en-IN"/>
        </w:rPr>
        <w:t>(4), 950–974. https://doi.org/10.1111/raq.12209</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Dawood, M. A. O., Basuini, M. F. E., Yilmaz, S., Abdel-Latif, H. M. R., Kari, Z. A., Abdul Razab, M. K. A., &amp; Van Doan, H. (2020). Selenium nanoparticles as a dietary supplement: Effects on growth performance, oxidative status, and immune response in fish. </w:t>
      </w:r>
      <w:r w:rsidRPr="007C6F9D">
        <w:rPr>
          <w:rFonts w:ascii="Times New Roman" w:eastAsia="Times New Roman" w:hAnsi="Times New Roman" w:cs="Times New Roman"/>
          <w:i/>
          <w:iCs/>
          <w:sz w:val="24"/>
          <w:szCs w:val="24"/>
          <w:lang w:eastAsia="en-IN"/>
        </w:rPr>
        <w:t>Aquaculture, 517</w:t>
      </w:r>
      <w:r w:rsidRPr="007C6F9D">
        <w:rPr>
          <w:rFonts w:ascii="Times New Roman" w:eastAsia="Times New Roman" w:hAnsi="Times New Roman" w:cs="Times New Roman"/>
          <w:sz w:val="24"/>
          <w:szCs w:val="24"/>
          <w:lang w:eastAsia="en-IN"/>
        </w:rPr>
        <w:t>, 734706. https://doi.org/10.1016/j.aquaculture.2019.734706</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C6F9D">
        <w:rPr>
          <w:rFonts w:ascii="Times New Roman" w:eastAsia="Times New Roman" w:hAnsi="Times New Roman" w:cs="Times New Roman"/>
          <w:sz w:val="24"/>
          <w:szCs w:val="24"/>
          <w:lang w:eastAsia="en-IN"/>
        </w:rPr>
        <w:t>Dodane</w:t>
      </w:r>
      <w:proofErr w:type="spellEnd"/>
      <w:r w:rsidRPr="007C6F9D">
        <w:rPr>
          <w:rFonts w:ascii="Times New Roman" w:eastAsia="Times New Roman" w:hAnsi="Times New Roman" w:cs="Times New Roman"/>
          <w:sz w:val="24"/>
          <w:szCs w:val="24"/>
          <w:lang w:eastAsia="en-IN"/>
        </w:rPr>
        <w:t xml:space="preserve">, V., &amp; </w:t>
      </w:r>
      <w:proofErr w:type="spellStart"/>
      <w:r w:rsidRPr="007C6F9D">
        <w:rPr>
          <w:rFonts w:ascii="Times New Roman" w:eastAsia="Times New Roman" w:hAnsi="Times New Roman" w:cs="Times New Roman"/>
          <w:sz w:val="24"/>
          <w:szCs w:val="24"/>
          <w:lang w:eastAsia="en-IN"/>
        </w:rPr>
        <w:t>Vilivalam</w:t>
      </w:r>
      <w:proofErr w:type="spellEnd"/>
      <w:r w:rsidRPr="007C6F9D">
        <w:rPr>
          <w:rFonts w:ascii="Times New Roman" w:eastAsia="Times New Roman" w:hAnsi="Times New Roman" w:cs="Times New Roman"/>
          <w:sz w:val="24"/>
          <w:szCs w:val="24"/>
          <w:lang w:eastAsia="en-IN"/>
        </w:rPr>
        <w:t xml:space="preserve">, V. D. (1998). Pharmaceutical applications of chitosan. </w:t>
      </w:r>
      <w:r w:rsidRPr="007C6F9D">
        <w:rPr>
          <w:rFonts w:ascii="Times New Roman" w:eastAsia="Times New Roman" w:hAnsi="Times New Roman" w:cs="Times New Roman"/>
          <w:i/>
          <w:iCs/>
          <w:sz w:val="24"/>
          <w:szCs w:val="24"/>
          <w:lang w:eastAsia="en-IN"/>
        </w:rPr>
        <w:t>Pharmaceutical Science &amp; Technology Today, 1</w:t>
      </w:r>
      <w:r w:rsidRPr="007C6F9D">
        <w:rPr>
          <w:rFonts w:ascii="Times New Roman" w:eastAsia="Times New Roman" w:hAnsi="Times New Roman" w:cs="Times New Roman"/>
          <w:sz w:val="24"/>
          <w:szCs w:val="24"/>
          <w:lang w:eastAsia="en-IN"/>
        </w:rPr>
        <w:t>(6), 246–253. https://doi.org/10.1016/S1461-5347(98)00058-5</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lastRenderedPageBreak/>
        <w:t xml:space="preserve">Ellis, A. E. (2001). Innate host </w:t>
      </w:r>
      <w:proofErr w:type="spellStart"/>
      <w:r w:rsidRPr="007C6F9D">
        <w:rPr>
          <w:rFonts w:ascii="Times New Roman" w:eastAsia="Times New Roman" w:hAnsi="Times New Roman" w:cs="Times New Roman"/>
          <w:sz w:val="24"/>
          <w:szCs w:val="24"/>
          <w:lang w:eastAsia="en-IN"/>
        </w:rPr>
        <w:t>defense</w:t>
      </w:r>
      <w:proofErr w:type="spellEnd"/>
      <w:r w:rsidRPr="007C6F9D">
        <w:rPr>
          <w:rFonts w:ascii="Times New Roman" w:eastAsia="Times New Roman" w:hAnsi="Times New Roman" w:cs="Times New Roman"/>
          <w:sz w:val="24"/>
          <w:szCs w:val="24"/>
          <w:lang w:eastAsia="en-IN"/>
        </w:rPr>
        <w:t xml:space="preserve"> mechanisms of fish against viruses and bacteria. </w:t>
      </w:r>
      <w:r w:rsidRPr="007C6F9D">
        <w:rPr>
          <w:rFonts w:ascii="Times New Roman" w:eastAsia="Times New Roman" w:hAnsi="Times New Roman" w:cs="Times New Roman"/>
          <w:i/>
          <w:iCs/>
          <w:sz w:val="24"/>
          <w:szCs w:val="24"/>
          <w:lang w:eastAsia="en-IN"/>
        </w:rPr>
        <w:t>Developmental &amp; Comparative Immunology, 25</w:t>
      </w:r>
      <w:r w:rsidRPr="007C6F9D">
        <w:rPr>
          <w:rFonts w:ascii="Times New Roman" w:eastAsia="Times New Roman" w:hAnsi="Times New Roman" w:cs="Times New Roman"/>
          <w:sz w:val="24"/>
          <w:szCs w:val="24"/>
          <w:lang w:eastAsia="en-IN"/>
        </w:rPr>
        <w:t>(8–9), 827–839. https://doi.org/10.1016/S0145-305X(01)00038-6</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Halliwell, B., &amp; Gutteridge, J. M. C. (2007). </w:t>
      </w:r>
      <w:r w:rsidRPr="007C6F9D">
        <w:rPr>
          <w:rFonts w:ascii="Times New Roman" w:eastAsia="Times New Roman" w:hAnsi="Times New Roman" w:cs="Times New Roman"/>
          <w:i/>
          <w:iCs/>
          <w:sz w:val="24"/>
          <w:szCs w:val="24"/>
          <w:lang w:eastAsia="en-IN"/>
        </w:rPr>
        <w:t>Free radicals in biology and medicine</w:t>
      </w:r>
      <w:r w:rsidRPr="007C6F9D">
        <w:rPr>
          <w:rFonts w:ascii="Times New Roman" w:eastAsia="Times New Roman" w:hAnsi="Times New Roman" w:cs="Times New Roman"/>
          <w:sz w:val="24"/>
          <w:szCs w:val="24"/>
          <w:lang w:eastAsia="en-IN"/>
        </w:rPr>
        <w:t xml:space="preserve"> (4th ed.). Oxford University Press.</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Harikrishnan, R., Balasundaram, C., &amp; Heo, M. S. (2011). Impact of plant products on innate and adaptive immune system of cultured finfish and shellfish. </w:t>
      </w:r>
      <w:r w:rsidRPr="007C6F9D">
        <w:rPr>
          <w:rFonts w:ascii="Times New Roman" w:eastAsia="Times New Roman" w:hAnsi="Times New Roman" w:cs="Times New Roman"/>
          <w:i/>
          <w:iCs/>
          <w:sz w:val="24"/>
          <w:szCs w:val="24"/>
          <w:lang w:eastAsia="en-IN"/>
        </w:rPr>
        <w:t>Aquaculture, 317</w:t>
      </w:r>
      <w:r w:rsidRPr="007C6F9D">
        <w:rPr>
          <w:rFonts w:ascii="Times New Roman" w:eastAsia="Times New Roman" w:hAnsi="Times New Roman" w:cs="Times New Roman"/>
          <w:sz w:val="24"/>
          <w:szCs w:val="24"/>
          <w:lang w:eastAsia="en-IN"/>
        </w:rPr>
        <w:t>(1–4), 1–15. https://doi.org/10.1016/j.aquaculture.2011.03.039</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Harikrishnan, R., Kim, J. S., Kim, M. C., Balasundaram, C., &amp; Heo, M. S. (2012). Immunomodulatory effect of herbal extracts on </w:t>
      </w:r>
      <w:proofErr w:type="spellStart"/>
      <w:r w:rsidRPr="007C6F9D">
        <w:rPr>
          <w:rFonts w:ascii="Times New Roman" w:eastAsia="Times New Roman" w:hAnsi="Times New Roman" w:cs="Times New Roman"/>
          <w:sz w:val="24"/>
          <w:szCs w:val="24"/>
          <w:lang w:eastAsia="en-IN"/>
        </w:rPr>
        <w:t>hematology</w:t>
      </w:r>
      <w:proofErr w:type="spellEnd"/>
      <w:r w:rsidRPr="007C6F9D">
        <w:rPr>
          <w:rFonts w:ascii="Times New Roman" w:eastAsia="Times New Roman" w:hAnsi="Times New Roman" w:cs="Times New Roman"/>
          <w:sz w:val="24"/>
          <w:szCs w:val="24"/>
          <w:lang w:eastAsia="en-IN"/>
        </w:rPr>
        <w:t xml:space="preserve"> and innate immunity in fish. </w:t>
      </w:r>
      <w:r w:rsidRPr="007C6F9D">
        <w:rPr>
          <w:rFonts w:ascii="Times New Roman" w:eastAsia="Times New Roman" w:hAnsi="Times New Roman" w:cs="Times New Roman"/>
          <w:i/>
          <w:iCs/>
          <w:sz w:val="24"/>
          <w:szCs w:val="24"/>
          <w:lang w:eastAsia="en-IN"/>
        </w:rPr>
        <w:t>Fish &amp; Shellfish Immunology, 32</w:t>
      </w:r>
      <w:r w:rsidRPr="007C6F9D">
        <w:rPr>
          <w:rFonts w:ascii="Times New Roman" w:eastAsia="Times New Roman" w:hAnsi="Times New Roman" w:cs="Times New Roman"/>
          <w:sz w:val="24"/>
          <w:szCs w:val="24"/>
          <w:lang w:eastAsia="en-IN"/>
        </w:rPr>
        <w:t>(5), 726–734. https://doi.org/10.1016/j.fsi.2012.01.009</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Hrubec, T. C., Smith, S. A., &amp; Robertson, J. L. (2001). Age-related changes in </w:t>
      </w:r>
      <w:proofErr w:type="spellStart"/>
      <w:r w:rsidRPr="007C6F9D">
        <w:rPr>
          <w:rFonts w:ascii="Times New Roman" w:eastAsia="Times New Roman" w:hAnsi="Times New Roman" w:cs="Times New Roman"/>
          <w:sz w:val="24"/>
          <w:szCs w:val="24"/>
          <w:lang w:eastAsia="en-IN"/>
        </w:rPr>
        <w:t>hematology</w:t>
      </w:r>
      <w:proofErr w:type="spellEnd"/>
      <w:r w:rsidRPr="007C6F9D">
        <w:rPr>
          <w:rFonts w:ascii="Times New Roman" w:eastAsia="Times New Roman" w:hAnsi="Times New Roman" w:cs="Times New Roman"/>
          <w:sz w:val="24"/>
          <w:szCs w:val="24"/>
          <w:lang w:eastAsia="en-IN"/>
        </w:rPr>
        <w:t xml:space="preserve"> and plasma chemistry values of hybrid striped bass (</w:t>
      </w:r>
      <w:r w:rsidRPr="007C6F9D">
        <w:rPr>
          <w:rFonts w:ascii="Times New Roman" w:eastAsia="Times New Roman" w:hAnsi="Times New Roman" w:cs="Times New Roman"/>
          <w:i/>
          <w:iCs/>
          <w:sz w:val="24"/>
          <w:szCs w:val="24"/>
          <w:lang w:eastAsia="en-IN"/>
        </w:rPr>
        <w:t>Morone chrysops × Morone saxatilis</w:t>
      </w:r>
      <w:r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i/>
          <w:iCs/>
          <w:sz w:val="24"/>
          <w:szCs w:val="24"/>
          <w:lang w:eastAsia="en-IN"/>
        </w:rPr>
        <w:t>Veterinary Clinical Pathology, 30</w:t>
      </w:r>
      <w:r w:rsidRPr="007C6F9D">
        <w:rPr>
          <w:rFonts w:ascii="Times New Roman" w:eastAsia="Times New Roman" w:hAnsi="Times New Roman" w:cs="Times New Roman"/>
          <w:sz w:val="24"/>
          <w:szCs w:val="24"/>
          <w:lang w:eastAsia="en-IN"/>
        </w:rPr>
        <w:t>(1), 8–15. https://doi.org/10.1111/j.1939-165X.2001.tb00249.x</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Kumar, S., Raman, R. P., Kumar, K., Pandey, P. K., Mohanty, S., &amp; Kumar, A. (2013). Effect of dietary supplementation of phytogenic feed additives on growth, immune response and disease resistance in fish. </w:t>
      </w:r>
      <w:r w:rsidRPr="007C6F9D">
        <w:rPr>
          <w:rFonts w:ascii="Times New Roman" w:eastAsia="Times New Roman" w:hAnsi="Times New Roman" w:cs="Times New Roman"/>
          <w:i/>
          <w:iCs/>
          <w:sz w:val="24"/>
          <w:szCs w:val="24"/>
          <w:lang w:eastAsia="en-IN"/>
        </w:rPr>
        <w:t>Fish &amp; Shellfish Immunology, 35</w:t>
      </w:r>
      <w:r w:rsidRPr="007C6F9D">
        <w:rPr>
          <w:rFonts w:ascii="Times New Roman" w:eastAsia="Times New Roman" w:hAnsi="Times New Roman" w:cs="Times New Roman"/>
          <w:sz w:val="24"/>
          <w:szCs w:val="24"/>
          <w:lang w:eastAsia="en-IN"/>
        </w:rPr>
        <w:t>(5), 1469–1476. https://doi.org/10.1016/j.fsi.2013.08.009</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Magnadóttir, B. (2006). Innate immunity of fish (overview). </w:t>
      </w:r>
      <w:r w:rsidRPr="007C6F9D">
        <w:rPr>
          <w:rFonts w:ascii="Times New Roman" w:eastAsia="Times New Roman" w:hAnsi="Times New Roman" w:cs="Times New Roman"/>
          <w:i/>
          <w:iCs/>
          <w:sz w:val="24"/>
          <w:szCs w:val="24"/>
          <w:lang w:eastAsia="en-IN"/>
        </w:rPr>
        <w:t>Fish &amp; Shellfish Immunology, 20</w:t>
      </w:r>
      <w:r w:rsidRPr="007C6F9D">
        <w:rPr>
          <w:rFonts w:ascii="Times New Roman" w:eastAsia="Times New Roman" w:hAnsi="Times New Roman" w:cs="Times New Roman"/>
          <w:sz w:val="24"/>
          <w:szCs w:val="24"/>
          <w:lang w:eastAsia="en-IN"/>
        </w:rPr>
        <w:t>(2), 137–151. https://doi.org/10.1016/j.fsi.2004.09.006</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Mishra, A., Mishra, R., &amp; Singh, R. (2018). Nanotechnology in aquaculture nutrition: A review. </w:t>
      </w:r>
      <w:r w:rsidRPr="007C6F9D">
        <w:rPr>
          <w:rFonts w:ascii="Times New Roman" w:eastAsia="Times New Roman" w:hAnsi="Times New Roman" w:cs="Times New Roman"/>
          <w:i/>
          <w:iCs/>
          <w:sz w:val="24"/>
          <w:szCs w:val="24"/>
          <w:lang w:eastAsia="en-IN"/>
        </w:rPr>
        <w:t>Aquaculture Research, 49</w:t>
      </w:r>
      <w:r w:rsidRPr="007C6F9D">
        <w:rPr>
          <w:rFonts w:ascii="Times New Roman" w:eastAsia="Times New Roman" w:hAnsi="Times New Roman" w:cs="Times New Roman"/>
          <w:sz w:val="24"/>
          <w:szCs w:val="24"/>
          <w:lang w:eastAsia="en-IN"/>
        </w:rPr>
        <w:t>(4), 1356–1369. https://doi.org/10.1111/are.13578</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Rao, Y. V., Das, B. K., Pradhan, J., &amp; Chakrabarti, R. (2006). Effect of </w:t>
      </w:r>
      <w:r w:rsidRPr="007C6F9D">
        <w:rPr>
          <w:rFonts w:ascii="Times New Roman" w:eastAsia="Times New Roman" w:hAnsi="Times New Roman" w:cs="Times New Roman"/>
          <w:i/>
          <w:iCs/>
          <w:sz w:val="24"/>
          <w:szCs w:val="24"/>
          <w:lang w:eastAsia="en-IN"/>
        </w:rPr>
        <w:t>Achyranthes aspera</w:t>
      </w:r>
      <w:r w:rsidRPr="007C6F9D">
        <w:rPr>
          <w:rFonts w:ascii="Times New Roman" w:eastAsia="Times New Roman" w:hAnsi="Times New Roman" w:cs="Times New Roman"/>
          <w:sz w:val="24"/>
          <w:szCs w:val="24"/>
          <w:lang w:eastAsia="en-IN"/>
        </w:rPr>
        <w:t xml:space="preserve"> on the immunity and survival of </w:t>
      </w:r>
      <w:proofErr w:type="spellStart"/>
      <w:r w:rsidRPr="007C6F9D">
        <w:rPr>
          <w:rFonts w:ascii="Times New Roman" w:eastAsia="Times New Roman" w:hAnsi="Times New Roman" w:cs="Times New Roman"/>
          <w:i/>
          <w:iCs/>
          <w:sz w:val="24"/>
          <w:szCs w:val="24"/>
          <w:lang w:eastAsia="en-IN"/>
        </w:rPr>
        <w:t>Labeo</w:t>
      </w:r>
      <w:proofErr w:type="spellEnd"/>
      <w:r w:rsidRPr="007C6F9D">
        <w:rPr>
          <w:rFonts w:ascii="Times New Roman" w:eastAsia="Times New Roman" w:hAnsi="Times New Roman" w:cs="Times New Roman"/>
          <w:i/>
          <w:iCs/>
          <w:sz w:val="24"/>
          <w:szCs w:val="24"/>
          <w:lang w:eastAsia="en-IN"/>
        </w:rPr>
        <w:t xml:space="preserve"> </w:t>
      </w:r>
      <w:proofErr w:type="spellStart"/>
      <w:r w:rsidRPr="007C6F9D">
        <w:rPr>
          <w:rFonts w:ascii="Times New Roman" w:eastAsia="Times New Roman" w:hAnsi="Times New Roman" w:cs="Times New Roman"/>
          <w:i/>
          <w:iCs/>
          <w:sz w:val="24"/>
          <w:szCs w:val="24"/>
          <w:lang w:eastAsia="en-IN"/>
        </w:rPr>
        <w:t>rohita</w:t>
      </w:r>
      <w:proofErr w:type="spellEnd"/>
      <w:r w:rsidRPr="007C6F9D">
        <w:rPr>
          <w:rFonts w:ascii="Times New Roman" w:eastAsia="Times New Roman" w:hAnsi="Times New Roman" w:cs="Times New Roman"/>
          <w:sz w:val="24"/>
          <w:szCs w:val="24"/>
          <w:lang w:eastAsia="en-IN"/>
        </w:rPr>
        <w:t xml:space="preserve"> infected with </w:t>
      </w:r>
      <w:r w:rsidRPr="007C6F9D">
        <w:rPr>
          <w:rFonts w:ascii="Times New Roman" w:eastAsia="Times New Roman" w:hAnsi="Times New Roman" w:cs="Times New Roman"/>
          <w:i/>
          <w:iCs/>
          <w:sz w:val="24"/>
          <w:szCs w:val="24"/>
          <w:lang w:eastAsia="en-IN"/>
        </w:rPr>
        <w:t>Aeromonas hydrophila</w:t>
      </w:r>
      <w:r w:rsidRPr="007C6F9D">
        <w:rPr>
          <w:rFonts w:ascii="Times New Roman" w:eastAsia="Times New Roman" w:hAnsi="Times New Roman" w:cs="Times New Roman"/>
          <w:sz w:val="24"/>
          <w:szCs w:val="24"/>
          <w:lang w:eastAsia="en-IN"/>
        </w:rPr>
        <w:t xml:space="preserve">. </w:t>
      </w:r>
      <w:r w:rsidRPr="007C6F9D">
        <w:rPr>
          <w:rFonts w:ascii="Times New Roman" w:eastAsia="Times New Roman" w:hAnsi="Times New Roman" w:cs="Times New Roman"/>
          <w:i/>
          <w:iCs/>
          <w:sz w:val="24"/>
          <w:szCs w:val="24"/>
          <w:lang w:eastAsia="en-IN"/>
        </w:rPr>
        <w:t>Fish &amp; Shellfish Immunology, 20</w:t>
      </w:r>
      <w:r w:rsidRPr="007C6F9D">
        <w:rPr>
          <w:rFonts w:ascii="Times New Roman" w:eastAsia="Times New Roman" w:hAnsi="Times New Roman" w:cs="Times New Roman"/>
          <w:sz w:val="24"/>
          <w:szCs w:val="24"/>
          <w:lang w:eastAsia="en-IN"/>
        </w:rPr>
        <w:t xml:space="preserve">(3), 263–273. </w:t>
      </w:r>
      <w:hyperlink r:id="rId12" w:history="1">
        <w:r w:rsidR="00537276" w:rsidRPr="007C6F9D">
          <w:rPr>
            <w:rStyle w:val="Hyperlink"/>
            <w:rFonts w:ascii="Times New Roman" w:eastAsia="Times New Roman" w:hAnsi="Times New Roman" w:cs="Times New Roman"/>
            <w:color w:val="auto"/>
            <w:sz w:val="24"/>
            <w:szCs w:val="24"/>
            <w:lang w:eastAsia="en-IN"/>
          </w:rPr>
          <w:t>https://doi.org/10.1016/j.fsi.2005.04.006</w:t>
        </w:r>
      </w:hyperlink>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7C6F9D">
        <w:rPr>
          <w:rFonts w:ascii="Times New Roman" w:eastAsia="Times New Roman" w:hAnsi="Times New Roman" w:cs="Times New Roman"/>
          <w:sz w:val="24"/>
          <w:szCs w:val="24"/>
          <w:lang w:eastAsia="en-IN"/>
        </w:rPr>
        <w:t>Sarmento</w:t>
      </w:r>
      <w:proofErr w:type="spellEnd"/>
      <w:r w:rsidRPr="007C6F9D">
        <w:rPr>
          <w:rFonts w:ascii="Times New Roman" w:eastAsia="Times New Roman" w:hAnsi="Times New Roman" w:cs="Times New Roman"/>
          <w:sz w:val="24"/>
          <w:szCs w:val="24"/>
          <w:lang w:eastAsia="en-IN"/>
        </w:rPr>
        <w:t xml:space="preserve">, B., Ferreira, D., Veiga, F., &amp; Ribeiro, A. (2007). Characterization of insulin-loaded alginate nanoparticles produced by ionotropic pre-gelation through DSC and FTIR studies. </w:t>
      </w:r>
      <w:r w:rsidRPr="007C6F9D">
        <w:rPr>
          <w:rFonts w:ascii="Times New Roman" w:eastAsia="Times New Roman" w:hAnsi="Times New Roman" w:cs="Times New Roman"/>
          <w:i/>
          <w:iCs/>
          <w:sz w:val="24"/>
          <w:szCs w:val="24"/>
          <w:lang w:eastAsia="en-IN"/>
        </w:rPr>
        <w:t>Carbohydrate Polymers, 66</w:t>
      </w:r>
      <w:r w:rsidRPr="007C6F9D">
        <w:rPr>
          <w:rFonts w:ascii="Times New Roman" w:eastAsia="Times New Roman" w:hAnsi="Times New Roman" w:cs="Times New Roman"/>
          <w:sz w:val="24"/>
          <w:szCs w:val="24"/>
          <w:lang w:eastAsia="en-IN"/>
        </w:rPr>
        <w:t>(1), 1–7. https://doi.org/10.1016/j.carbpol.2006.02.008</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Sahu, S., Das, B. K., Mishra, B. K., Pradhan, J., &amp; Sarangi, N. (2007). Effect of </w:t>
      </w:r>
      <w:r w:rsidRPr="007C6F9D">
        <w:rPr>
          <w:rFonts w:ascii="Times New Roman" w:eastAsia="Times New Roman" w:hAnsi="Times New Roman" w:cs="Times New Roman"/>
          <w:i/>
          <w:iCs/>
          <w:sz w:val="24"/>
          <w:szCs w:val="24"/>
          <w:lang w:eastAsia="en-IN"/>
        </w:rPr>
        <w:t>Mangifera indica</w:t>
      </w:r>
      <w:r w:rsidRPr="007C6F9D">
        <w:rPr>
          <w:rFonts w:ascii="Times New Roman" w:eastAsia="Times New Roman" w:hAnsi="Times New Roman" w:cs="Times New Roman"/>
          <w:sz w:val="24"/>
          <w:szCs w:val="24"/>
          <w:lang w:eastAsia="en-IN"/>
        </w:rPr>
        <w:t xml:space="preserve"> kernel as a feed additive on immunity and resistance to </w:t>
      </w:r>
      <w:r w:rsidRPr="007C6F9D">
        <w:rPr>
          <w:rFonts w:ascii="Times New Roman" w:eastAsia="Times New Roman" w:hAnsi="Times New Roman" w:cs="Times New Roman"/>
          <w:i/>
          <w:iCs/>
          <w:sz w:val="24"/>
          <w:szCs w:val="24"/>
          <w:lang w:eastAsia="en-IN"/>
        </w:rPr>
        <w:t xml:space="preserve">Aeromonas </w:t>
      </w:r>
      <w:proofErr w:type="spellStart"/>
      <w:r w:rsidRPr="007C6F9D">
        <w:rPr>
          <w:rFonts w:ascii="Times New Roman" w:eastAsia="Times New Roman" w:hAnsi="Times New Roman" w:cs="Times New Roman"/>
          <w:i/>
          <w:iCs/>
          <w:sz w:val="24"/>
          <w:szCs w:val="24"/>
          <w:lang w:eastAsia="en-IN"/>
        </w:rPr>
        <w:t>hydrophila</w:t>
      </w:r>
      <w:proofErr w:type="spellEnd"/>
      <w:r w:rsidRPr="007C6F9D">
        <w:rPr>
          <w:rFonts w:ascii="Times New Roman" w:eastAsia="Times New Roman" w:hAnsi="Times New Roman" w:cs="Times New Roman"/>
          <w:sz w:val="24"/>
          <w:szCs w:val="24"/>
          <w:lang w:eastAsia="en-IN"/>
        </w:rPr>
        <w:t xml:space="preserve"> in </w:t>
      </w:r>
      <w:proofErr w:type="spellStart"/>
      <w:r w:rsidRPr="007C6F9D">
        <w:rPr>
          <w:rFonts w:ascii="Times New Roman" w:eastAsia="Times New Roman" w:hAnsi="Times New Roman" w:cs="Times New Roman"/>
          <w:i/>
          <w:iCs/>
          <w:sz w:val="24"/>
          <w:szCs w:val="24"/>
          <w:lang w:eastAsia="en-IN"/>
        </w:rPr>
        <w:t>Labeo</w:t>
      </w:r>
      <w:proofErr w:type="spellEnd"/>
      <w:r w:rsidRPr="007C6F9D">
        <w:rPr>
          <w:rFonts w:ascii="Times New Roman" w:eastAsia="Times New Roman" w:hAnsi="Times New Roman" w:cs="Times New Roman"/>
          <w:i/>
          <w:iCs/>
          <w:sz w:val="24"/>
          <w:szCs w:val="24"/>
          <w:lang w:eastAsia="en-IN"/>
        </w:rPr>
        <w:t xml:space="preserve"> </w:t>
      </w:r>
      <w:proofErr w:type="spellStart"/>
      <w:r w:rsidRPr="007C6F9D">
        <w:rPr>
          <w:rFonts w:ascii="Times New Roman" w:eastAsia="Times New Roman" w:hAnsi="Times New Roman" w:cs="Times New Roman"/>
          <w:i/>
          <w:iCs/>
          <w:sz w:val="24"/>
          <w:szCs w:val="24"/>
          <w:lang w:eastAsia="en-IN"/>
        </w:rPr>
        <w:t>rohita</w:t>
      </w:r>
      <w:proofErr w:type="spellEnd"/>
      <w:r w:rsidRPr="007C6F9D">
        <w:rPr>
          <w:rFonts w:ascii="Times New Roman" w:eastAsia="Times New Roman" w:hAnsi="Times New Roman" w:cs="Times New Roman"/>
          <w:sz w:val="24"/>
          <w:szCs w:val="24"/>
          <w:lang w:eastAsia="en-IN"/>
        </w:rPr>
        <w:t xml:space="preserve"> fingerlings. </w:t>
      </w:r>
      <w:r w:rsidRPr="007C6F9D">
        <w:rPr>
          <w:rFonts w:ascii="Times New Roman" w:eastAsia="Times New Roman" w:hAnsi="Times New Roman" w:cs="Times New Roman"/>
          <w:i/>
          <w:iCs/>
          <w:sz w:val="24"/>
          <w:szCs w:val="24"/>
          <w:lang w:eastAsia="en-IN"/>
        </w:rPr>
        <w:t>Fish &amp; Shellfish Immunology, 23</w:t>
      </w:r>
      <w:r w:rsidRPr="007C6F9D">
        <w:rPr>
          <w:rFonts w:ascii="Times New Roman" w:eastAsia="Times New Roman" w:hAnsi="Times New Roman" w:cs="Times New Roman"/>
          <w:sz w:val="24"/>
          <w:szCs w:val="24"/>
          <w:lang w:eastAsia="en-IN"/>
        </w:rPr>
        <w:t>(1), 109–118. https://doi.org/10.1016/j.fsi.2006.09.009</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Sies, H. (1997). Oxidative stress: Oxidants and antioxidants. </w:t>
      </w:r>
      <w:r w:rsidRPr="007C6F9D">
        <w:rPr>
          <w:rFonts w:ascii="Times New Roman" w:eastAsia="Times New Roman" w:hAnsi="Times New Roman" w:cs="Times New Roman"/>
          <w:i/>
          <w:iCs/>
          <w:sz w:val="24"/>
          <w:szCs w:val="24"/>
          <w:lang w:eastAsia="en-IN"/>
        </w:rPr>
        <w:t>Experimental Physiology, 82</w:t>
      </w:r>
      <w:r w:rsidRPr="007C6F9D">
        <w:rPr>
          <w:rFonts w:ascii="Times New Roman" w:eastAsia="Times New Roman" w:hAnsi="Times New Roman" w:cs="Times New Roman"/>
          <w:sz w:val="24"/>
          <w:szCs w:val="24"/>
          <w:lang w:eastAsia="en-IN"/>
        </w:rPr>
        <w:t>(2), 291–295. https://doi.org/10.1113/expphysiol.1997.sp004024</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Tavares-Dias, M., &amp; Moraes, F. R. (2007). Haematological and biochemical reference intervals for farmed fish. </w:t>
      </w:r>
      <w:proofErr w:type="spellStart"/>
      <w:r w:rsidRPr="007C6F9D">
        <w:rPr>
          <w:rFonts w:ascii="Times New Roman" w:eastAsia="Times New Roman" w:hAnsi="Times New Roman" w:cs="Times New Roman"/>
          <w:i/>
          <w:iCs/>
          <w:sz w:val="24"/>
          <w:szCs w:val="24"/>
          <w:lang w:eastAsia="en-IN"/>
        </w:rPr>
        <w:t>Revista</w:t>
      </w:r>
      <w:proofErr w:type="spellEnd"/>
      <w:r w:rsidRPr="007C6F9D">
        <w:rPr>
          <w:rFonts w:ascii="Times New Roman" w:eastAsia="Times New Roman" w:hAnsi="Times New Roman" w:cs="Times New Roman"/>
          <w:i/>
          <w:iCs/>
          <w:sz w:val="24"/>
          <w:szCs w:val="24"/>
          <w:lang w:eastAsia="en-IN"/>
        </w:rPr>
        <w:t xml:space="preserve"> </w:t>
      </w:r>
      <w:proofErr w:type="spellStart"/>
      <w:r w:rsidRPr="007C6F9D">
        <w:rPr>
          <w:rFonts w:ascii="Times New Roman" w:eastAsia="Times New Roman" w:hAnsi="Times New Roman" w:cs="Times New Roman"/>
          <w:i/>
          <w:iCs/>
          <w:sz w:val="24"/>
          <w:szCs w:val="24"/>
          <w:lang w:eastAsia="en-IN"/>
        </w:rPr>
        <w:t>Brasileira</w:t>
      </w:r>
      <w:proofErr w:type="spellEnd"/>
      <w:r w:rsidRPr="007C6F9D">
        <w:rPr>
          <w:rFonts w:ascii="Times New Roman" w:eastAsia="Times New Roman" w:hAnsi="Times New Roman" w:cs="Times New Roman"/>
          <w:i/>
          <w:iCs/>
          <w:sz w:val="24"/>
          <w:szCs w:val="24"/>
          <w:lang w:eastAsia="en-IN"/>
        </w:rPr>
        <w:t xml:space="preserve"> de </w:t>
      </w:r>
      <w:proofErr w:type="spellStart"/>
      <w:r w:rsidRPr="007C6F9D">
        <w:rPr>
          <w:rFonts w:ascii="Times New Roman" w:eastAsia="Times New Roman" w:hAnsi="Times New Roman" w:cs="Times New Roman"/>
          <w:i/>
          <w:iCs/>
          <w:sz w:val="24"/>
          <w:szCs w:val="24"/>
          <w:lang w:eastAsia="en-IN"/>
        </w:rPr>
        <w:t>Zoologia</w:t>
      </w:r>
      <w:proofErr w:type="spellEnd"/>
      <w:r w:rsidRPr="007C6F9D">
        <w:rPr>
          <w:rFonts w:ascii="Times New Roman" w:eastAsia="Times New Roman" w:hAnsi="Times New Roman" w:cs="Times New Roman"/>
          <w:i/>
          <w:iCs/>
          <w:sz w:val="24"/>
          <w:szCs w:val="24"/>
          <w:lang w:eastAsia="en-IN"/>
        </w:rPr>
        <w:t>, 24</w:t>
      </w:r>
      <w:r w:rsidRPr="007C6F9D">
        <w:rPr>
          <w:rFonts w:ascii="Times New Roman" w:eastAsia="Times New Roman" w:hAnsi="Times New Roman" w:cs="Times New Roman"/>
          <w:sz w:val="24"/>
          <w:szCs w:val="24"/>
          <w:lang w:eastAsia="en-IN"/>
        </w:rPr>
        <w:t>(3), 687–695. https://doi.org/10.1590/S0101-81752007000300024</w:t>
      </w:r>
    </w:p>
    <w:p w:rsidR="00A53BB3" w:rsidRPr="007C6F9D" w:rsidRDefault="00A53BB3"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Wedemeyer, G. A., &amp; Yasutake, W. T. (1977). Clinical methods for the assessment of the effects of environmental stress on fish health. </w:t>
      </w:r>
      <w:r w:rsidRPr="007C6F9D">
        <w:rPr>
          <w:rFonts w:ascii="Times New Roman" w:eastAsia="Times New Roman" w:hAnsi="Times New Roman" w:cs="Times New Roman"/>
          <w:i/>
          <w:iCs/>
          <w:sz w:val="24"/>
          <w:szCs w:val="24"/>
          <w:lang w:eastAsia="en-IN"/>
        </w:rPr>
        <w:t>U.S. Fish and Wildlife Service Technical Papers, 89</w:t>
      </w:r>
      <w:r w:rsidRPr="007C6F9D">
        <w:rPr>
          <w:rFonts w:ascii="Times New Roman" w:eastAsia="Times New Roman" w:hAnsi="Times New Roman" w:cs="Times New Roman"/>
          <w:sz w:val="24"/>
          <w:szCs w:val="24"/>
          <w:lang w:eastAsia="en-IN"/>
        </w:rPr>
        <w:t>, 1–18.</w:t>
      </w:r>
    </w:p>
    <w:p w:rsidR="00A53BB3" w:rsidRPr="007C6F9D" w:rsidRDefault="00A53BB3" w:rsidP="00B74599">
      <w:pPr>
        <w:numPr>
          <w:ilvl w:val="0"/>
          <w:numId w:val="8"/>
        </w:numPr>
        <w:spacing w:before="100" w:beforeAutospacing="1" w:after="100" w:afterAutospacing="1" w:line="240" w:lineRule="auto"/>
        <w:jc w:val="both"/>
        <w:rPr>
          <w:rStyle w:val="Hyperlink"/>
          <w:rFonts w:ascii="Times New Roman" w:eastAsia="Times New Roman" w:hAnsi="Times New Roman" w:cs="Times New Roman"/>
          <w:color w:val="auto"/>
          <w:sz w:val="24"/>
          <w:szCs w:val="24"/>
          <w:u w:val="none"/>
          <w:lang w:eastAsia="en-IN"/>
        </w:rPr>
      </w:pPr>
      <w:r w:rsidRPr="007C6F9D">
        <w:rPr>
          <w:rFonts w:ascii="Times New Roman" w:eastAsia="Times New Roman" w:hAnsi="Times New Roman" w:cs="Times New Roman"/>
          <w:sz w:val="24"/>
          <w:szCs w:val="24"/>
          <w:lang w:eastAsia="en-IN"/>
        </w:rPr>
        <w:t xml:space="preserve">Yilmaz, S., &amp; Ergun, S. (2018). Nanoparticles in aquaculture nutrition: A review. </w:t>
      </w:r>
      <w:r w:rsidRPr="007C6F9D">
        <w:rPr>
          <w:rFonts w:ascii="Times New Roman" w:eastAsia="Times New Roman" w:hAnsi="Times New Roman" w:cs="Times New Roman"/>
          <w:i/>
          <w:iCs/>
          <w:sz w:val="24"/>
          <w:szCs w:val="24"/>
          <w:lang w:eastAsia="en-IN"/>
        </w:rPr>
        <w:t>Aquaculture Research, 49</w:t>
      </w:r>
      <w:r w:rsidRPr="007C6F9D">
        <w:rPr>
          <w:rFonts w:ascii="Times New Roman" w:eastAsia="Times New Roman" w:hAnsi="Times New Roman" w:cs="Times New Roman"/>
          <w:sz w:val="24"/>
          <w:szCs w:val="24"/>
          <w:lang w:eastAsia="en-IN"/>
        </w:rPr>
        <w:t xml:space="preserve">(3), 1013–1026. </w:t>
      </w:r>
      <w:hyperlink r:id="rId13" w:history="1">
        <w:r w:rsidR="009145D8" w:rsidRPr="007C6F9D">
          <w:rPr>
            <w:rStyle w:val="Hyperlink"/>
            <w:rFonts w:ascii="Times New Roman" w:eastAsia="Times New Roman" w:hAnsi="Times New Roman" w:cs="Times New Roman"/>
            <w:color w:val="auto"/>
            <w:sz w:val="24"/>
            <w:szCs w:val="24"/>
            <w:lang w:eastAsia="en-IN"/>
          </w:rPr>
          <w:t>https://doi.org/10.1111/are.13518</w:t>
        </w:r>
      </w:hyperlink>
    </w:p>
    <w:p w:rsidR="0087092D" w:rsidRPr="007C6F9D" w:rsidRDefault="0087092D" w:rsidP="0087092D">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Montgomery, D. C. (2017). </w:t>
      </w:r>
      <w:r w:rsidRPr="007C6F9D">
        <w:rPr>
          <w:rFonts w:ascii="Times New Roman" w:eastAsia="Times New Roman" w:hAnsi="Times New Roman" w:cs="Times New Roman"/>
          <w:i/>
          <w:iCs/>
          <w:sz w:val="24"/>
          <w:szCs w:val="24"/>
          <w:lang w:eastAsia="en-IN"/>
        </w:rPr>
        <w:t>Design and analysis of experiments</w:t>
      </w:r>
      <w:r w:rsidRPr="007C6F9D">
        <w:rPr>
          <w:rFonts w:ascii="Times New Roman" w:eastAsia="Times New Roman" w:hAnsi="Times New Roman" w:cs="Times New Roman"/>
          <w:sz w:val="24"/>
          <w:szCs w:val="24"/>
          <w:lang w:eastAsia="en-IN"/>
        </w:rPr>
        <w:t xml:space="preserve"> (9th ed.). Wiley.</w:t>
      </w:r>
    </w:p>
    <w:p w:rsidR="0087092D" w:rsidRPr="007C6F9D" w:rsidRDefault="0087092D" w:rsidP="0087092D">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t xml:space="preserve"> Steel, R. G. D., &amp; Torrie, J. H. (1980). </w:t>
      </w:r>
      <w:r w:rsidRPr="007C6F9D">
        <w:rPr>
          <w:rFonts w:ascii="Times New Roman" w:eastAsia="Times New Roman" w:hAnsi="Times New Roman" w:cs="Times New Roman"/>
          <w:i/>
          <w:iCs/>
          <w:sz w:val="24"/>
          <w:szCs w:val="24"/>
          <w:lang w:eastAsia="en-IN"/>
        </w:rPr>
        <w:t>Principles and procedures of statistics: A biometrical approach</w:t>
      </w:r>
      <w:r w:rsidRPr="007C6F9D">
        <w:rPr>
          <w:rFonts w:ascii="Times New Roman" w:eastAsia="Times New Roman" w:hAnsi="Times New Roman" w:cs="Times New Roman"/>
          <w:sz w:val="24"/>
          <w:szCs w:val="24"/>
          <w:lang w:eastAsia="en-IN"/>
        </w:rPr>
        <w:t xml:space="preserve"> (2nd ed.). McGraw-Hill.</w:t>
      </w:r>
    </w:p>
    <w:p w:rsidR="0087092D" w:rsidRPr="007C6F9D" w:rsidRDefault="0087092D" w:rsidP="0087092D">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7C6F9D">
        <w:rPr>
          <w:rFonts w:ascii="Times New Roman" w:eastAsia="Times New Roman" w:hAnsi="Times New Roman" w:cs="Times New Roman"/>
          <w:sz w:val="24"/>
          <w:szCs w:val="24"/>
          <w:lang w:eastAsia="en-IN"/>
        </w:rPr>
        <w:lastRenderedPageBreak/>
        <w:t xml:space="preserve">Craig S. Tucker &amp; John A. Hargreaves (2004). </w:t>
      </w:r>
      <w:r w:rsidRPr="007C6F9D">
        <w:rPr>
          <w:rFonts w:ascii="Times New Roman" w:eastAsia="Times New Roman" w:hAnsi="Times New Roman" w:cs="Times New Roman"/>
          <w:i/>
          <w:iCs/>
          <w:sz w:val="24"/>
          <w:szCs w:val="24"/>
          <w:lang w:eastAsia="en-IN"/>
        </w:rPr>
        <w:t>Biology and culture of channel catfish</w:t>
      </w:r>
      <w:r w:rsidRPr="007C6F9D">
        <w:rPr>
          <w:rFonts w:ascii="Times New Roman" w:eastAsia="Times New Roman" w:hAnsi="Times New Roman" w:cs="Times New Roman"/>
          <w:sz w:val="24"/>
          <w:szCs w:val="24"/>
          <w:lang w:eastAsia="en-IN"/>
        </w:rPr>
        <w:t>. Elsevier.</w:t>
      </w:r>
    </w:p>
    <w:p w:rsidR="009145D8" w:rsidRPr="007C6F9D" w:rsidRDefault="009145D8" w:rsidP="00B74599">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C6F9D">
        <w:rPr>
          <w:rFonts w:ascii="Times New Roman" w:hAnsi="Times New Roman" w:cs="Times New Roman"/>
          <w:sz w:val="24"/>
          <w:szCs w:val="24"/>
        </w:rPr>
        <w:t xml:space="preserve"> Kadam, S., </w:t>
      </w:r>
      <w:proofErr w:type="spellStart"/>
      <w:r w:rsidRPr="007C6F9D">
        <w:rPr>
          <w:rFonts w:ascii="Times New Roman" w:hAnsi="Times New Roman" w:cs="Times New Roman"/>
          <w:sz w:val="24"/>
          <w:szCs w:val="24"/>
        </w:rPr>
        <w:t>Nalle</w:t>
      </w:r>
      <w:proofErr w:type="spellEnd"/>
      <w:r w:rsidRPr="007C6F9D">
        <w:rPr>
          <w:rFonts w:ascii="Times New Roman" w:hAnsi="Times New Roman" w:cs="Times New Roman"/>
          <w:sz w:val="24"/>
          <w:szCs w:val="24"/>
        </w:rPr>
        <w:t xml:space="preserve">, D. A., &amp; </w:t>
      </w:r>
      <w:proofErr w:type="spellStart"/>
      <w:r w:rsidRPr="007C6F9D">
        <w:rPr>
          <w:rFonts w:ascii="Times New Roman" w:hAnsi="Times New Roman" w:cs="Times New Roman"/>
          <w:sz w:val="24"/>
          <w:szCs w:val="24"/>
        </w:rPr>
        <w:t>Dhotre</w:t>
      </w:r>
      <w:proofErr w:type="spellEnd"/>
      <w:r w:rsidRPr="007C6F9D">
        <w:rPr>
          <w:rFonts w:ascii="Times New Roman" w:hAnsi="Times New Roman" w:cs="Times New Roman"/>
          <w:sz w:val="24"/>
          <w:szCs w:val="24"/>
        </w:rPr>
        <w:t xml:space="preserve">, M. A. (2025). Dietary evaluation of </w:t>
      </w:r>
      <w:r w:rsidRPr="007C6F9D">
        <w:rPr>
          <w:rStyle w:val="Emphasis"/>
          <w:rFonts w:ascii="Times New Roman" w:hAnsi="Times New Roman" w:cs="Times New Roman"/>
          <w:sz w:val="24"/>
          <w:szCs w:val="24"/>
        </w:rPr>
        <w:t>Lactobacillus acidophilus</w:t>
      </w:r>
      <w:r w:rsidRPr="007C6F9D">
        <w:rPr>
          <w:rFonts w:ascii="Times New Roman" w:hAnsi="Times New Roman" w:cs="Times New Roman"/>
          <w:sz w:val="24"/>
          <w:szCs w:val="24"/>
        </w:rPr>
        <w:t xml:space="preserve"> strain PR2 as a probiotic on growth, immunity, and water quality in major carp (</w:t>
      </w:r>
      <w:proofErr w:type="spellStart"/>
      <w:r w:rsidRPr="007C6F9D">
        <w:rPr>
          <w:rStyle w:val="Emphasis"/>
          <w:rFonts w:ascii="Times New Roman" w:hAnsi="Times New Roman" w:cs="Times New Roman"/>
          <w:sz w:val="24"/>
          <w:szCs w:val="24"/>
        </w:rPr>
        <w:t>Catla</w:t>
      </w:r>
      <w:proofErr w:type="spellEnd"/>
      <w:r w:rsidRPr="007C6F9D">
        <w:rPr>
          <w:rStyle w:val="Emphasis"/>
          <w:rFonts w:ascii="Times New Roman" w:hAnsi="Times New Roman" w:cs="Times New Roman"/>
          <w:sz w:val="24"/>
          <w:szCs w:val="24"/>
        </w:rPr>
        <w:t xml:space="preserve"> </w:t>
      </w:r>
      <w:proofErr w:type="spellStart"/>
      <w:r w:rsidRPr="007C6F9D">
        <w:rPr>
          <w:rStyle w:val="Emphasis"/>
          <w:rFonts w:ascii="Times New Roman" w:hAnsi="Times New Roman" w:cs="Times New Roman"/>
          <w:sz w:val="24"/>
          <w:szCs w:val="24"/>
        </w:rPr>
        <w:t>catla</w:t>
      </w:r>
      <w:proofErr w:type="spellEnd"/>
      <w:r w:rsidRPr="007C6F9D">
        <w:rPr>
          <w:rFonts w:ascii="Times New Roman" w:hAnsi="Times New Roman" w:cs="Times New Roman"/>
          <w:sz w:val="24"/>
          <w:szCs w:val="24"/>
        </w:rPr>
        <w:t xml:space="preserve">). </w:t>
      </w:r>
      <w:r w:rsidRPr="007C6F9D">
        <w:rPr>
          <w:rStyle w:val="Emphasis"/>
          <w:rFonts w:ascii="Times New Roman" w:hAnsi="Times New Roman" w:cs="Times New Roman"/>
          <w:sz w:val="24"/>
          <w:szCs w:val="24"/>
        </w:rPr>
        <w:t>Asian Journal of Fisheries and Aquatic Research</w:t>
      </w:r>
      <w:r w:rsidRPr="007C6F9D">
        <w:rPr>
          <w:rFonts w:ascii="Times New Roman" w:hAnsi="Times New Roman" w:cs="Times New Roman"/>
          <w:sz w:val="24"/>
          <w:szCs w:val="24"/>
        </w:rPr>
        <w:t>, 27(12), 26–35.</w:t>
      </w:r>
    </w:p>
    <w:p w:rsidR="005555C1" w:rsidRPr="007C6F9D" w:rsidRDefault="005555C1" w:rsidP="005555C1">
      <w:pPr>
        <w:pStyle w:val="NormalWeb"/>
        <w:numPr>
          <w:ilvl w:val="0"/>
          <w:numId w:val="8"/>
        </w:numPr>
      </w:pPr>
      <w:r w:rsidRPr="007C6F9D">
        <w:t xml:space="preserve"> El-Sayed, A. F. M., &amp; Abdel-Latif, H. M. R. (2023). Nanotechnology applications in aquaculture: Recent advances and future perspectives. </w:t>
      </w:r>
      <w:r w:rsidRPr="007C6F9D">
        <w:rPr>
          <w:rStyle w:val="Emphasis"/>
        </w:rPr>
        <w:t>Aquaculture Reports</w:t>
      </w:r>
      <w:r w:rsidRPr="007C6F9D">
        <w:t>, 28, 101456.</w:t>
      </w:r>
    </w:p>
    <w:p w:rsidR="005555C1" w:rsidRPr="007C6F9D" w:rsidRDefault="005555C1" w:rsidP="005555C1">
      <w:pPr>
        <w:pStyle w:val="NormalWeb"/>
        <w:numPr>
          <w:ilvl w:val="0"/>
          <w:numId w:val="8"/>
        </w:numPr>
      </w:pPr>
      <w:r w:rsidRPr="007C6F9D">
        <w:t xml:space="preserve"> </w:t>
      </w:r>
      <w:proofErr w:type="spellStart"/>
      <w:r w:rsidRPr="007C6F9D">
        <w:t>Hoseinifar</w:t>
      </w:r>
      <w:proofErr w:type="spellEnd"/>
      <w:r w:rsidRPr="007C6F9D">
        <w:t xml:space="preserve">, S. H., Sun, Y. Z., Wang, A., &amp; Zhou, Z. (2022). Probiotics as means of diseases control in aquaculture, a review. </w:t>
      </w:r>
      <w:r w:rsidRPr="007C6F9D">
        <w:rPr>
          <w:rStyle w:val="Emphasis"/>
        </w:rPr>
        <w:t>Aquaculture</w:t>
      </w:r>
      <w:r w:rsidRPr="007C6F9D">
        <w:t>, 553, 738126.</w:t>
      </w:r>
    </w:p>
    <w:p w:rsidR="005555C1" w:rsidRPr="007C6F9D" w:rsidRDefault="005555C1" w:rsidP="00AE1F4E">
      <w:pPr>
        <w:spacing w:before="100" w:beforeAutospacing="1" w:after="100" w:afterAutospacing="1" w:line="240" w:lineRule="auto"/>
        <w:ind w:left="360"/>
        <w:jc w:val="both"/>
        <w:rPr>
          <w:rFonts w:ascii="Times New Roman" w:eastAsia="Times New Roman" w:hAnsi="Times New Roman" w:cs="Times New Roman"/>
          <w:sz w:val="24"/>
          <w:szCs w:val="24"/>
          <w:lang w:eastAsia="en-IN"/>
        </w:rPr>
      </w:pPr>
    </w:p>
    <w:p w:rsidR="002A2DDB" w:rsidRPr="007C6F9D" w:rsidRDefault="002A2DDB" w:rsidP="00B74599">
      <w:pPr>
        <w:jc w:val="both"/>
        <w:rPr>
          <w:rFonts w:ascii="Times New Roman" w:hAnsi="Times New Roman" w:cs="Times New Roman"/>
          <w:b/>
          <w:sz w:val="24"/>
          <w:szCs w:val="24"/>
        </w:rPr>
      </w:pPr>
    </w:p>
    <w:sectPr w:rsidR="002A2DDB" w:rsidRPr="007C6F9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615" w:rsidRDefault="00250615" w:rsidP="00C643E9">
      <w:pPr>
        <w:spacing w:after="0" w:line="240" w:lineRule="auto"/>
      </w:pPr>
      <w:r>
        <w:separator/>
      </w:r>
    </w:p>
  </w:endnote>
  <w:endnote w:type="continuationSeparator" w:id="0">
    <w:p w:rsidR="00250615" w:rsidRDefault="00250615" w:rsidP="00C64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C6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615" w:rsidRDefault="00250615" w:rsidP="00C643E9">
      <w:pPr>
        <w:spacing w:after="0" w:line="240" w:lineRule="auto"/>
      </w:pPr>
      <w:r>
        <w:separator/>
      </w:r>
    </w:p>
  </w:footnote>
  <w:footnote w:type="continuationSeparator" w:id="0">
    <w:p w:rsidR="00250615" w:rsidRDefault="00250615" w:rsidP="00C64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25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25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3E9" w:rsidRDefault="002506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658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B56BC"/>
    <w:multiLevelType w:val="multilevel"/>
    <w:tmpl w:val="5E48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5382B"/>
    <w:multiLevelType w:val="multilevel"/>
    <w:tmpl w:val="20F8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A63B1"/>
    <w:multiLevelType w:val="multilevel"/>
    <w:tmpl w:val="8AE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6E06"/>
    <w:multiLevelType w:val="multilevel"/>
    <w:tmpl w:val="791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E4554"/>
    <w:multiLevelType w:val="multilevel"/>
    <w:tmpl w:val="CC208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C6294"/>
    <w:multiLevelType w:val="multilevel"/>
    <w:tmpl w:val="0AA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24B7C"/>
    <w:multiLevelType w:val="multilevel"/>
    <w:tmpl w:val="551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515B5"/>
    <w:multiLevelType w:val="multilevel"/>
    <w:tmpl w:val="EEA8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5"/>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DB"/>
    <w:rsid w:val="00193A04"/>
    <w:rsid w:val="001F2355"/>
    <w:rsid w:val="00250615"/>
    <w:rsid w:val="002904A0"/>
    <w:rsid w:val="002A2DDB"/>
    <w:rsid w:val="00360621"/>
    <w:rsid w:val="0036537A"/>
    <w:rsid w:val="003F0ABA"/>
    <w:rsid w:val="004210F4"/>
    <w:rsid w:val="00422A96"/>
    <w:rsid w:val="004540AB"/>
    <w:rsid w:val="00461719"/>
    <w:rsid w:val="00537276"/>
    <w:rsid w:val="005555C1"/>
    <w:rsid w:val="0056420B"/>
    <w:rsid w:val="006C1B46"/>
    <w:rsid w:val="00702049"/>
    <w:rsid w:val="007066E9"/>
    <w:rsid w:val="00726818"/>
    <w:rsid w:val="007C6F9D"/>
    <w:rsid w:val="0087092D"/>
    <w:rsid w:val="009145D8"/>
    <w:rsid w:val="00967AA8"/>
    <w:rsid w:val="00A43FC1"/>
    <w:rsid w:val="00A53BB3"/>
    <w:rsid w:val="00A618A1"/>
    <w:rsid w:val="00A70ED9"/>
    <w:rsid w:val="00A86E34"/>
    <w:rsid w:val="00AE1F4E"/>
    <w:rsid w:val="00B651E0"/>
    <w:rsid w:val="00B74599"/>
    <w:rsid w:val="00C643E9"/>
    <w:rsid w:val="00CC630B"/>
    <w:rsid w:val="00CF4FA1"/>
    <w:rsid w:val="00D9708C"/>
    <w:rsid w:val="00DC0B0E"/>
    <w:rsid w:val="00E21562"/>
    <w:rsid w:val="00E60B4C"/>
    <w:rsid w:val="00EA138F"/>
    <w:rsid w:val="00EA4411"/>
    <w:rsid w:val="00EA6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0BF15"/>
  <w15:chartTrackingRefBased/>
  <w15:docId w15:val="{FEB1153E-E450-463A-82D5-E1CC2C0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A2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A2D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A2DD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DD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A2DD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A2DDB"/>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A2DDB"/>
    <w:rPr>
      <w:i/>
      <w:iCs/>
    </w:rPr>
  </w:style>
  <w:style w:type="paragraph" w:customStyle="1" w:styleId="isselectedend">
    <w:name w:val="isselectedend"/>
    <w:basedOn w:val="Normal"/>
    <w:rsid w:val="002A2D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2DDB"/>
    <w:rPr>
      <w:b/>
      <w:bCs/>
    </w:rPr>
  </w:style>
  <w:style w:type="paragraph" w:styleId="NormalWeb">
    <w:name w:val="Normal (Web)"/>
    <w:basedOn w:val="Normal"/>
    <w:uiPriority w:val="99"/>
    <w:unhideWhenUsed/>
    <w:rsid w:val="002A2DDB"/>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2A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9708C"/>
  </w:style>
  <w:style w:type="character" w:customStyle="1" w:styleId="mopen">
    <w:name w:val="mopen"/>
    <w:basedOn w:val="DefaultParagraphFont"/>
    <w:rsid w:val="00D9708C"/>
  </w:style>
  <w:style w:type="character" w:customStyle="1" w:styleId="mop">
    <w:name w:val="mop"/>
    <w:basedOn w:val="DefaultParagraphFont"/>
    <w:rsid w:val="00D9708C"/>
  </w:style>
  <w:style w:type="character" w:customStyle="1" w:styleId="mord">
    <w:name w:val="mord"/>
    <w:basedOn w:val="DefaultParagraphFont"/>
    <w:rsid w:val="00D9708C"/>
  </w:style>
  <w:style w:type="character" w:customStyle="1" w:styleId="mclose">
    <w:name w:val="mclose"/>
    <w:basedOn w:val="DefaultParagraphFont"/>
    <w:rsid w:val="00D9708C"/>
  </w:style>
  <w:style w:type="character" w:customStyle="1" w:styleId="mbin">
    <w:name w:val="mbin"/>
    <w:basedOn w:val="DefaultParagraphFont"/>
    <w:rsid w:val="00D9708C"/>
  </w:style>
  <w:style w:type="character" w:styleId="Hyperlink">
    <w:name w:val="Hyperlink"/>
    <w:basedOn w:val="DefaultParagraphFont"/>
    <w:uiPriority w:val="99"/>
    <w:unhideWhenUsed/>
    <w:rsid w:val="00A53BB3"/>
    <w:rPr>
      <w:color w:val="0000FF"/>
      <w:u w:val="single"/>
    </w:rPr>
  </w:style>
  <w:style w:type="paragraph" w:styleId="NoSpacing">
    <w:name w:val="No Spacing"/>
    <w:link w:val="NoSpacingChar"/>
    <w:uiPriority w:val="1"/>
    <w:qFormat/>
    <w:rsid w:val="00A53BB3"/>
    <w:pPr>
      <w:spacing w:after="0" w:line="240" w:lineRule="auto"/>
    </w:pPr>
  </w:style>
  <w:style w:type="character" w:customStyle="1" w:styleId="NoSpacingChar">
    <w:name w:val="No Spacing Char"/>
    <w:basedOn w:val="DefaultParagraphFont"/>
    <w:link w:val="NoSpacing"/>
    <w:uiPriority w:val="1"/>
    <w:rsid w:val="00A53BB3"/>
  </w:style>
  <w:style w:type="paragraph" w:styleId="Header">
    <w:name w:val="header"/>
    <w:basedOn w:val="Normal"/>
    <w:link w:val="HeaderChar"/>
    <w:uiPriority w:val="99"/>
    <w:unhideWhenUsed/>
    <w:rsid w:val="00C64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E9"/>
  </w:style>
  <w:style w:type="paragraph" w:styleId="Footer">
    <w:name w:val="footer"/>
    <w:basedOn w:val="Normal"/>
    <w:link w:val="FooterChar"/>
    <w:uiPriority w:val="99"/>
    <w:unhideWhenUsed/>
    <w:rsid w:val="00C64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3E9"/>
  </w:style>
  <w:style w:type="character" w:customStyle="1" w:styleId="whitespace-normal">
    <w:name w:val="whitespace-normal"/>
    <w:basedOn w:val="DefaultParagraphFont"/>
    <w:rsid w:val="00537276"/>
  </w:style>
  <w:style w:type="paragraph" w:styleId="ListParagraph">
    <w:name w:val="List Paragraph"/>
    <w:basedOn w:val="Normal"/>
    <w:uiPriority w:val="34"/>
    <w:qFormat/>
    <w:rsid w:val="00537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7410">
      <w:bodyDiv w:val="1"/>
      <w:marLeft w:val="0"/>
      <w:marRight w:val="0"/>
      <w:marTop w:val="0"/>
      <w:marBottom w:val="0"/>
      <w:divBdr>
        <w:top w:val="none" w:sz="0" w:space="0" w:color="auto"/>
        <w:left w:val="none" w:sz="0" w:space="0" w:color="auto"/>
        <w:bottom w:val="none" w:sz="0" w:space="0" w:color="auto"/>
        <w:right w:val="none" w:sz="0" w:space="0" w:color="auto"/>
      </w:divBdr>
    </w:div>
    <w:div w:id="136729887">
      <w:bodyDiv w:val="1"/>
      <w:marLeft w:val="0"/>
      <w:marRight w:val="0"/>
      <w:marTop w:val="0"/>
      <w:marBottom w:val="0"/>
      <w:divBdr>
        <w:top w:val="none" w:sz="0" w:space="0" w:color="auto"/>
        <w:left w:val="none" w:sz="0" w:space="0" w:color="auto"/>
        <w:bottom w:val="none" w:sz="0" w:space="0" w:color="auto"/>
        <w:right w:val="none" w:sz="0" w:space="0" w:color="auto"/>
      </w:divBdr>
    </w:div>
    <w:div w:id="228271006">
      <w:bodyDiv w:val="1"/>
      <w:marLeft w:val="0"/>
      <w:marRight w:val="0"/>
      <w:marTop w:val="0"/>
      <w:marBottom w:val="0"/>
      <w:divBdr>
        <w:top w:val="none" w:sz="0" w:space="0" w:color="auto"/>
        <w:left w:val="none" w:sz="0" w:space="0" w:color="auto"/>
        <w:bottom w:val="none" w:sz="0" w:space="0" w:color="auto"/>
        <w:right w:val="none" w:sz="0" w:space="0" w:color="auto"/>
      </w:divBdr>
    </w:div>
    <w:div w:id="237978596">
      <w:bodyDiv w:val="1"/>
      <w:marLeft w:val="0"/>
      <w:marRight w:val="0"/>
      <w:marTop w:val="0"/>
      <w:marBottom w:val="0"/>
      <w:divBdr>
        <w:top w:val="none" w:sz="0" w:space="0" w:color="auto"/>
        <w:left w:val="none" w:sz="0" w:space="0" w:color="auto"/>
        <w:bottom w:val="none" w:sz="0" w:space="0" w:color="auto"/>
        <w:right w:val="none" w:sz="0" w:space="0" w:color="auto"/>
      </w:divBdr>
      <w:divsChild>
        <w:div w:id="1825849035">
          <w:marLeft w:val="0"/>
          <w:marRight w:val="0"/>
          <w:marTop w:val="0"/>
          <w:marBottom w:val="0"/>
          <w:divBdr>
            <w:top w:val="none" w:sz="0" w:space="0" w:color="auto"/>
            <w:left w:val="none" w:sz="0" w:space="0" w:color="auto"/>
            <w:bottom w:val="none" w:sz="0" w:space="0" w:color="auto"/>
            <w:right w:val="none" w:sz="0" w:space="0" w:color="auto"/>
          </w:divBdr>
          <w:divsChild>
            <w:div w:id="1247837739">
              <w:marLeft w:val="0"/>
              <w:marRight w:val="0"/>
              <w:marTop w:val="0"/>
              <w:marBottom w:val="0"/>
              <w:divBdr>
                <w:top w:val="none" w:sz="0" w:space="0" w:color="auto"/>
                <w:left w:val="none" w:sz="0" w:space="0" w:color="auto"/>
                <w:bottom w:val="none" w:sz="0" w:space="0" w:color="auto"/>
                <w:right w:val="none" w:sz="0" w:space="0" w:color="auto"/>
              </w:divBdr>
              <w:divsChild>
                <w:div w:id="522474280">
                  <w:marLeft w:val="0"/>
                  <w:marRight w:val="0"/>
                  <w:marTop w:val="0"/>
                  <w:marBottom w:val="0"/>
                  <w:divBdr>
                    <w:top w:val="none" w:sz="0" w:space="0" w:color="auto"/>
                    <w:left w:val="none" w:sz="0" w:space="0" w:color="auto"/>
                    <w:bottom w:val="none" w:sz="0" w:space="0" w:color="auto"/>
                    <w:right w:val="none" w:sz="0" w:space="0" w:color="auto"/>
                  </w:divBdr>
                  <w:divsChild>
                    <w:div w:id="375475660">
                      <w:marLeft w:val="0"/>
                      <w:marRight w:val="0"/>
                      <w:marTop w:val="0"/>
                      <w:marBottom w:val="0"/>
                      <w:divBdr>
                        <w:top w:val="none" w:sz="0" w:space="0" w:color="auto"/>
                        <w:left w:val="none" w:sz="0" w:space="0" w:color="auto"/>
                        <w:bottom w:val="none" w:sz="0" w:space="0" w:color="auto"/>
                        <w:right w:val="none" w:sz="0" w:space="0" w:color="auto"/>
                      </w:divBdr>
                      <w:divsChild>
                        <w:div w:id="1378049491">
                          <w:marLeft w:val="0"/>
                          <w:marRight w:val="0"/>
                          <w:marTop w:val="0"/>
                          <w:marBottom w:val="0"/>
                          <w:divBdr>
                            <w:top w:val="none" w:sz="0" w:space="0" w:color="auto"/>
                            <w:left w:val="none" w:sz="0" w:space="0" w:color="auto"/>
                            <w:bottom w:val="none" w:sz="0" w:space="0" w:color="auto"/>
                            <w:right w:val="none" w:sz="0" w:space="0" w:color="auto"/>
                          </w:divBdr>
                          <w:divsChild>
                            <w:div w:id="1809782467">
                              <w:marLeft w:val="0"/>
                              <w:marRight w:val="0"/>
                              <w:marTop w:val="0"/>
                              <w:marBottom w:val="0"/>
                              <w:divBdr>
                                <w:top w:val="none" w:sz="0" w:space="0" w:color="auto"/>
                                <w:left w:val="none" w:sz="0" w:space="0" w:color="auto"/>
                                <w:bottom w:val="none" w:sz="0" w:space="0" w:color="auto"/>
                                <w:right w:val="none" w:sz="0" w:space="0" w:color="auto"/>
                              </w:divBdr>
                              <w:divsChild>
                                <w:div w:id="706947348">
                                  <w:marLeft w:val="0"/>
                                  <w:marRight w:val="0"/>
                                  <w:marTop w:val="0"/>
                                  <w:marBottom w:val="0"/>
                                  <w:divBdr>
                                    <w:top w:val="none" w:sz="0" w:space="0" w:color="auto"/>
                                    <w:left w:val="none" w:sz="0" w:space="0" w:color="auto"/>
                                    <w:bottom w:val="none" w:sz="0" w:space="0" w:color="auto"/>
                                    <w:right w:val="none" w:sz="0" w:space="0" w:color="auto"/>
                                  </w:divBdr>
                                  <w:divsChild>
                                    <w:div w:id="1690528419">
                                      <w:marLeft w:val="0"/>
                                      <w:marRight w:val="0"/>
                                      <w:marTop w:val="0"/>
                                      <w:marBottom w:val="0"/>
                                      <w:divBdr>
                                        <w:top w:val="none" w:sz="0" w:space="0" w:color="auto"/>
                                        <w:left w:val="none" w:sz="0" w:space="0" w:color="auto"/>
                                        <w:bottom w:val="none" w:sz="0" w:space="0" w:color="auto"/>
                                        <w:right w:val="none" w:sz="0" w:space="0" w:color="auto"/>
                                      </w:divBdr>
                                      <w:divsChild>
                                        <w:div w:id="107941878">
                                          <w:marLeft w:val="0"/>
                                          <w:marRight w:val="0"/>
                                          <w:marTop w:val="0"/>
                                          <w:marBottom w:val="0"/>
                                          <w:divBdr>
                                            <w:top w:val="none" w:sz="0" w:space="0" w:color="auto"/>
                                            <w:left w:val="none" w:sz="0" w:space="0" w:color="auto"/>
                                            <w:bottom w:val="none" w:sz="0" w:space="0" w:color="auto"/>
                                            <w:right w:val="none" w:sz="0" w:space="0" w:color="auto"/>
                                          </w:divBdr>
                                          <w:divsChild>
                                            <w:div w:id="124579968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05490">
                                              <w:marLeft w:val="0"/>
                                              <w:marRight w:val="0"/>
                                              <w:marTop w:val="0"/>
                                              <w:marBottom w:val="0"/>
                                              <w:divBdr>
                                                <w:top w:val="none" w:sz="0" w:space="0" w:color="auto"/>
                                                <w:left w:val="none" w:sz="0" w:space="0" w:color="auto"/>
                                                <w:bottom w:val="none" w:sz="0" w:space="0" w:color="auto"/>
                                                <w:right w:val="none" w:sz="0" w:space="0" w:color="auto"/>
                                              </w:divBdr>
                                            </w:div>
                                            <w:div w:id="1423144078">
                                              <w:marLeft w:val="0"/>
                                              <w:marRight w:val="0"/>
                                              <w:marTop w:val="0"/>
                                              <w:marBottom w:val="0"/>
                                              <w:divBdr>
                                                <w:top w:val="none" w:sz="0" w:space="0" w:color="auto"/>
                                                <w:left w:val="none" w:sz="0" w:space="0" w:color="auto"/>
                                                <w:bottom w:val="none" w:sz="0" w:space="0" w:color="auto"/>
                                                <w:right w:val="none" w:sz="0" w:space="0" w:color="auto"/>
                                              </w:divBdr>
                                            </w:div>
                                            <w:div w:id="685600082">
                                              <w:marLeft w:val="0"/>
                                              <w:marRight w:val="0"/>
                                              <w:marTop w:val="0"/>
                                              <w:marBottom w:val="0"/>
                                              <w:divBdr>
                                                <w:top w:val="none" w:sz="0" w:space="0" w:color="auto"/>
                                                <w:left w:val="none" w:sz="0" w:space="0" w:color="auto"/>
                                                <w:bottom w:val="none" w:sz="0" w:space="0" w:color="auto"/>
                                                <w:right w:val="none" w:sz="0" w:space="0" w:color="auto"/>
                                              </w:divBdr>
                                            </w:div>
                                            <w:div w:id="2082170155">
                                              <w:marLeft w:val="0"/>
                                              <w:marRight w:val="0"/>
                                              <w:marTop w:val="0"/>
                                              <w:marBottom w:val="0"/>
                                              <w:divBdr>
                                                <w:top w:val="none" w:sz="0" w:space="0" w:color="auto"/>
                                                <w:left w:val="none" w:sz="0" w:space="0" w:color="auto"/>
                                                <w:bottom w:val="none" w:sz="0" w:space="0" w:color="auto"/>
                                                <w:right w:val="none" w:sz="0" w:space="0" w:color="auto"/>
                                              </w:divBdr>
                                            </w:div>
                                            <w:div w:id="96220031">
                                              <w:marLeft w:val="0"/>
                                              <w:marRight w:val="0"/>
                                              <w:marTop w:val="0"/>
                                              <w:marBottom w:val="0"/>
                                              <w:divBdr>
                                                <w:top w:val="none" w:sz="0" w:space="0" w:color="auto"/>
                                                <w:left w:val="none" w:sz="0" w:space="0" w:color="auto"/>
                                                <w:bottom w:val="none" w:sz="0" w:space="0" w:color="auto"/>
                                                <w:right w:val="none" w:sz="0" w:space="0" w:color="auto"/>
                                              </w:divBdr>
                                            </w:div>
                                            <w:div w:id="886995008">
                                              <w:marLeft w:val="0"/>
                                              <w:marRight w:val="0"/>
                                              <w:marTop w:val="0"/>
                                              <w:marBottom w:val="0"/>
                                              <w:divBdr>
                                                <w:top w:val="none" w:sz="0" w:space="0" w:color="auto"/>
                                                <w:left w:val="none" w:sz="0" w:space="0" w:color="auto"/>
                                                <w:bottom w:val="none" w:sz="0" w:space="0" w:color="auto"/>
                                                <w:right w:val="none" w:sz="0" w:space="0" w:color="auto"/>
                                              </w:divBdr>
                                            </w:div>
                                            <w:div w:id="564874305">
                                              <w:marLeft w:val="0"/>
                                              <w:marRight w:val="0"/>
                                              <w:marTop w:val="0"/>
                                              <w:marBottom w:val="0"/>
                                              <w:divBdr>
                                                <w:top w:val="none" w:sz="0" w:space="0" w:color="auto"/>
                                                <w:left w:val="none" w:sz="0" w:space="0" w:color="auto"/>
                                                <w:bottom w:val="none" w:sz="0" w:space="0" w:color="auto"/>
                                                <w:right w:val="none" w:sz="0" w:space="0" w:color="auto"/>
                                              </w:divBdr>
                                            </w:div>
                                            <w:div w:id="157155922">
                                              <w:marLeft w:val="0"/>
                                              <w:marRight w:val="0"/>
                                              <w:marTop w:val="0"/>
                                              <w:marBottom w:val="0"/>
                                              <w:divBdr>
                                                <w:top w:val="none" w:sz="0" w:space="0" w:color="auto"/>
                                                <w:left w:val="none" w:sz="0" w:space="0" w:color="auto"/>
                                                <w:bottom w:val="none" w:sz="0" w:space="0" w:color="auto"/>
                                                <w:right w:val="none" w:sz="0" w:space="0" w:color="auto"/>
                                              </w:divBdr>
                                            </w:div>
                                            <w:div w:id="999385066">
                                              <w:marLeft w:val="0"/>
                                              <w:marRight w:val="0"/>
                                              <w:marTop w:val="0"/>
                                              <w:marBottom w:val="0"/>
                                              <w:divBdr>
                                                <w:top w:val="none" w:sz="0" w:space="0" w:color="auto"/>
                                                <w:left w:val="none" w:sz="0" w:space="0" w:color="auto"/>
                                                <w:bottom w:val="none" w:sz="0" w:space="0" w:color="auto"/>
                                                <w:right w:val="none" w:sz="0" w:space="0" w:color="auto"/>
                                              </w:divBdr>
                                            </w:div>
                                            <w:div w:id="2053459620">
                                              <w:marLeft w:val="0"/>
                                              <w:marRight w:val="0"/>
                                              <w:marTop w:val="0"/>
                                              <w:marBottom w:val="0"/>
                                              <w:divBdr>
                                                <w:top w:val="none" w:sz="0" w:space="0" w:color="auto"/>
                                                <w:left w:val="none" w:sz="0" w:space="0" w:color="auto"/>
                                                <w:bottom w:val="none" w:sz="0" w:space="0" w:color="auto"/>
                                                <w:right w:val="none" w:sz="0" w:space="0" w:color="auto"/>
                                              </w:divBdr>
                                            </w:div>
                                            <w:div w:id="1710445805">
                                              <w:marLeft w:val="0"/>
                                              <w:marRight w:val="0"/>
                                              <w:marTop w:val="0"/>
                                              <w:marBottom w:val="0"/>
                                              <w:divBdr>
                                                <w:top w:val="none" w:sz="0" w:space="0" w:color="auto"/>
                                                <w:left w:val="none" w:sz="0" w:space="0" w:color="auto"/>
                                                <w:bottom w:val="none" w:sz="0" w:space="0" w:color="auto"/>
                                                <w:right w:val="none" w:sz="0" w:space="0" w:color="auto"/>
                                              </w:divBdr>
                                            </w:div>
                                            <w:div w:id="588193965">
                                              <w:marLeft w:val="0"/>
                                              <w:marRight w:val="0"/>
                                              <w:marTop w:val="0"/>
                                              <w:marBottom w:val="0"/>
                                              <w:divBdr>
                                                <w:top w:val="none" w:sz="0" w:space="0" w:color="auto"/>
                                                <w:left w:val="none" w:sz="0" w:space="0" w:color="auto"/>
                                                <w:bottom w:val="none" w:sz="0" w:space="0" w:color="auto"/>
                                                <w:right w:val="none" w:sz="0" w:space="0" w:color="auto"/>
                                              </w:divBdr>
                                            </w:div>
                                            <w:div w:id="510414559">
                                              <w:marLeft w:val="0"/>
                                              <w:marRight w:val="0"/>
                                              <w:marTop w:val="0"/>
                                              <w:marBottom w:val="0"/>
                                              <w:divBdr>
                                                <w:top w:val="none" w:sz="0" w:space="0" w:color="auto"/>
                                                <w:left w:val="none" w:sz="0" w:space="0" w:color="auto"/>
                                                <w:bottom w:val="none" w:sz="0" w:space="0" w:color="auto"/>
                                                <w:right w:val="none" w:sz="0" w:space="0" w:color="auto"/>
                                              </w:divBdr>
                                            </w:div>
                                            <w:div w:id="17867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321452">
      <w:bodyDiv w:val="1"/>
      <w:marLeft w:val="0"/>
      <w:marRight w:val="0"/>
      <w:marTop w:val="0"/>
      <w:marBottom w:val="0"/>
      <w:divBdr>
        <w:top w:val="none" w:sz="0" w:space="0" w:color="auto"/>
        <w:left w:val="none" w:sz="0" w:space="0" w:color="auto"/>
        <w:bottom w:val="none" w:sz="0" w:space="0" w:color="auto"/>
        <w:right w:val="none" w:sz="0" w:space="0" w:color="auto"/>
      </w:divBdr>
      <w:divsChild>
        <w:div w:id="829248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613801">
      <w:bodyDiv w:val="1"/>
      <w:marLeft w:val="0"/>
      <w:marRight w:val="0"/>
      <w:marTop w:val="0"/>
      <w:marBottom w:val="0"/>
      <w:divBdr>
        <w:top w:val="none" w:sz="0" w:space="0" w:color="auto"/>
        <w:left w:val="none" w:sz="0" w:space="0" w:color="auto"/>
        <w:bottom w:val="none" w:sz="0" w:space="0" w:color="auto"/>
        <w:right w:val="none" w:sz="0" w:space="0" w:color="auto"/>
      </w:divBdr>
      <w:divsChild>
        <w:div w:id="521822061">
          <w:marLeft w:val="0"/>
          <w:marRight w:val="0"/>
          <w:marTop w:val="0"/>
          <w:marBottom w:val="0"/>
          <w:divBdr>
            <w:top w:val="none" w:sz="0" w:space="0" w:color="auto"/>
            <w:left w:val="none" w:sz="0" w:space="0" w:color="auto"/>
            <w:bottom w:val="none" w:sz="0" w:space="0" w:color="auto"/>
            <w:right w:val="none" w:sz="0" w:space="0" w:color="auto"/>
          </w:divBdr>
          <w:divsChild>
            <w:div w:id="326985292">
              <w:marLeft w:val="0"/>
              <w:marRight w:val="0"/>
              <w:marTop w:val="0"/>
              <w:marBottom w:val="0"/>
              <w:divBdr>
                <w:top w:val="none" w:sz="0" w:space="0" w:color="auto"/>
                <w:left w:val="none" w:sz="0" w:space="0" w:color="auto"/>
                <w:bottom w:val="none" w:sz="0" w:space="0" w:color="auto"/>
                <w:right w:val="none" w:sz="0" w:space="0" w:color="auto"/>
              </w:divBdr>
            </w:div>
          </w:divsChild>
        </w:div>
        <w:div w:id="627664510">
          <w:marLeft w:val="0"/>
          <w:marRight w:val="0"/>
          <w:marTop w:val="0"/>
          <w:marBottom w:val="0"/>
          <w:divBdr>
            <w:top w:val="none" w:sz="0" w:space="0" w:color="auto"/>
            <w:left w:val="none" w:sz="0" w:space="0" w:color="auto"/>
            <w:bottom w:val="none" w:sz="0" w:space="0" w:color="auto"/>
            <w:right w:val="none" w:sz="0" w:space="0" w:color="auto"/>
          </w:divBdr>
          <w:divsChild>
            <w:div w:id="14943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9422">
      <w:bodyDiv w:val="1"/>
      <w:marLeft w:val="0"/>
      <w:marRight w:val="0"/>
      <w:marTop w:val="0"/>
      <w:marBottom w:val="0"/>
      <w:divBdr>
        <w:top w:val="none" w:sz="0" w:space="0" w:color="auto"/>
        <w:left w:val="none" w:sz="0" w:space="0" w:color="auto"/>
        <w:bottom w:val="none" w:sz="0" w:space="0" w:color="auto"/>
        <w:right w:val="none" w:sz="0" w:space="0" w:color="auto"/>
      </w:divBdr>
      <w:divsChild>
        <w:div w:id="1375545035">
          <w:marLeft w:val="0"/>
          <w:marRight w:val="0"/>
          <w:marTop w:val="0"/>
          <w:marBottom w:val="0"/>
          <w:divBdr>
            <w:top w:val="none" w:sz="0" w:space="0" w:color="auto"/>
            <w:left w:val="none" w:sz="0" w:space="0" w:color="auto"/>
            <w:bottom w:val="none" w:sz="0" w:space="0" w:color="auto"/>
            <w:right w:val="none" w:sz="0" w:space="0" w:color="auto"/>
          </w:divBdr>
          <w:divsChild>
            <w:div w:id="1602838190">
              <w:marLeft w:val="0"/>
              <w:marRight w:val="0"/>
              <w:marTop w:val="0"/>
              <w:marBottom w:val="0"/>
              <w:divBdr>
                <w:top w:val="none" w:sz="0" w:space="0" w:color="auto"/>
                <w:left w:val="none" w:sz="0" w:space="0" w:color="auto"/>
                <w:bottom w:val="none" w:sz="0" w:space="0" w:color="auto"/>
                <w:right w:val="none" w:sz="0" w:space="0" w:color="auto"/>
              </w:divBdr>
              <w:divsChild>
                <w:div w:id="1479109305">
                  <w:marLeft w:val="0"/>
                  <w:marRight w:val="0"/>
                  <w:marTop w:val="0"/>
                  <w:marBottom w:val="0"/>
                  <w:divBdr>
                    <w:top w:val="none" w:sz="0" w:space="0" w:color="auto"/>
                    <w:left w:val="none" w:sz="0" w:space="0" w:color="auto"/>
                    <w:bottom w:val="none" w:sz="0" w:space="0" w:color="auto"/>
                    <w:right w:val="none" w:sz="0" w:space="0" w:color="auto"/>
                  </w:divBdr>
                  <w:divsChild>
                    <w:div w:id="705522384">
                      <w:marLeft w:val="0"/>
                      <w:marRight w:val="0"/>
                      <w:marTop w:val="0"/>
                      <w:marBottom w:val="0"/>
                      <w:divBdr>
                        <w:top w:val="none" w:sz="0" w:space="0" w:color="auto"/>
                        <w:left w:val="none" w:sz="0" w:space="0" w:color="auto"/>
                        <w:bottom w:val="none" w:sz="0" w:space="0" w:color="auto"/>
                        <w:right w:val="none" w:sz="0" w:space="0" w:color="auto"/>
                      </w:divBdr>
                      <w:divsChild>
                        <w:div w:id="1220703321">
                          <w:marLeft w:val="0"/>
                          <w:marRight w:val="0"/>
                          <w:marTop w:val="0"/>
                          <w:marBottom w:val="0"/>
                          <w:divBdr>
                            <w:top w:val="none" w:sz="0" w:space="0" w:color="auto"/>
                            <w:left w:val="none" w:sz="0" w:space="0" w:color="auto"/>
                            <w:bottom w:val="none" w:sz="0" w:space="0" w:color="auto"/>
                            <w:right w:val="none" w:sz="0" w:space="0" w:color="auto"/>
                          </w:divBdr>
                          <w:divsChild>
                            <w:div w:id="332536816">
                              <w:marLeft w:val="0"/>
                              <w:marRight w:val="0"/>
                              <w:marTop w:val="0"/>
                              <w:marBottom w:val="0"/>
                              <w:divBdr>
                                <w:top w:val="none" w:sz="0" w:space="0" w:color="auto"/>
                                <w:left w:val="none" w:sz="0" w:space="0" w:color="auto"/>
                                <w:bottom w:val="none" w:sz="0" w:space="0" w:color="auto"/>
                                <w:right w:val="none" w:sz="0" w:space="0" w:color="auto"/>
                              </w:divBdr>
                              <w:divsChild>
                                <w:div w:id="196989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75964">
          <w:marLeft w:val="0"/>
          <w:marRight w:val="0"/>
          <w:marTop w:val="0"/>
          <w:marBottom w:val="0"/>
          <w:divBdr>
            <w:top w:val="none" w:sz="0" w:space="0" w:color="auto"/>
            <w:left w:val="none" w:sz="0" w:space="0" w:color="auto"/>
            <w:bottom w:val="none" w:sz="0" w:space="0" w:color="auto"/>
            <w:right w:val="none" w:sz="0" w:space="0" w:color="auto"/>
          </w:divBdr>
          <w:divsChild>
            <w:div w:id="1538158052">
              <w:marLeft w:val="0"/>
              <w:marRight w:val="0"/>
              <w:marTop w:val="0"/>
              <w:marBottom w:val="0"/>
              <w:divBdr>
                <w:top w:val="none" w:sz="0" w:space="0" w:color="auto"/>
                <w:left w:val="none" w:sz="0" w:space="0" w:color="auto"/>
                <w:bottom w:val="none" w:sz="0" w:space="0" w:color="auto"/>
                <w:right w:val="none" w:sz="0" w:space="0" w:color="auto"/>
              </w:divBdr>
              <w:divsChild>
                <w:div w:id="499270163">
                  <w:marLeft w:val="0"/>
                  <w:marRight w:val="0"/>
                  <w:marTop w:val="0"/>
                  <w:marBottom w:val="0"/>
                  <w:divBdr>
                    <w:top w:val="none" w:sz="0" w:space="0" w:color="auto"/>
                    <w:left w:val="none" w:sz="0" w:space="0" w:color="auto"/>
                    <w:bottom w:val="none" w:sz="0" w:space="0" w:color="auto"/>
                    <w:right w:val="none" w:sz="0" w:space="0" w:color="auto"/>
                  </w:divBdr>
                  <w:divsChild>
                    <w:div w:id="1056973227">
                      <w:marLeft w:val="0"/>
                      <w:marRight w:val="0"/>
                      <w:marTop w:val="0"/>
                      <w:marBottom w:val="0"/>
                      <w:divBdr>
                        <w:top w:val="none" w:sz="0" w:space="0" w:color="auto"/>
                        <w:left w:val="none" w:sz="0" w:space="0" w:color="auto"/>
                        <w:bottom w:val="none" w:sz="0" w:space="0" w:color="auto"/>
                        <w:right w:val="none" w:sz="0" w:space="0" w:color="auto"/>
                      </w:divBdr>
                      <w:divsChild>
                        <w:div w:id="1830554096">
                          <w:marLeft w:val="0"/>
                          <w:marRight w:val="0"/>
                          <w:marTop w:val="0"/>
                          <w:marBottom w:val="0"/>
                          <w:divBdr>
                            <w:top w:val="none" w:sz="0" w:space="0" w:color="auto"/>
                            <w:left w:val="none" w:sz="0" w:space="0" w:color="auto"/>
                            <w:bottom w:val="none" w:sz="0" w:space="0" w:color="auto"/>
                            <w:right w:val="none" w:sz="0" w:space="0" w:color="auto"/>
                          </w:divBdr>
                          <w:divsChild>
                            <w:div w:id="250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074022">
      <w:bodyDiv w:val="1"/>
      <w:marLeft w:val="0"/>
      <w:marRight w:val="0"/>
      <w:marTop w:val="0"/>
      <w:marBottom w:val="0"/>
      <w:divBdr>
        <w:top w:val="none" w:sz="0" w:space="0" w:color="auto"/>
        <w:left w:val="none" w:sz="0" w:space="0" w:color="auto"/>
        <w:bottom w:val="none" w:sz="0" w:space="0" w:color="auto"/>
        <w:right w:val="none" w:sz="0" w:space="0" w:color="auto"/>
      </w:divBdr>
      <w:divsChild>
        <w:div w:id="1032417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778282">
      <w:bodyDiv w:val="1"/>
      <w:marLeft w:val="0"/>
      <w:marRight w:val="0"/>
      <w:marTop w:val="0"/>
      <w:marBottom w:val="0"/>
      <w:divBdr>
        <w:top w:val="none" w:sz="0" w:space="0" w:color="auto"/>
        <w:left w:val="none" w:sz="0" w:space="0" w:color="auto"/>
        <w:bottom w:val="none" w:sz="0" w:space="0" w:color="auto"/>
        <w:right w:val="none" w:sz="0" w:space="0" w:color="auto"/>
      </w:divBdr>
    </w:div>
    <w:div w:id="658075937">
      <w:bodyDiv w:val="1"/>
      <w:marLeft w:val="0"/>
      <w:marRight w:val="0"/>
      <w:marTop w:val="0"/>
      <w:marBottom w:val="0"/>
      <w:divBdr>
        <w:top w:val="none" w:sz="0" w:space="0" w:color="auto"/>
        <w:left w:val="none" w:sz="0" w:space="0" w:color="auto"/>
        <w:bottom w:val="none" w:sz="0" w:space="0" w:color="auto"/>
        <w:right w:val="none" w:sz="0" w:space="0" w:color="auto"/>
      </w:divBdr>
      <w:divsChild>
        <w:div w:id="66856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394084">
      <w:bodyDiv w:val="1"/>
      <w:marLeft w:val="0"/>
      <w:marRight w:val="0"/>
      <w:marTop w:val="0"/>
      <w:marBottom w:val="0"/>
      <w:divBdr>
        <w:top w:val="none" w:sz="0" w:space="0" w:color="auto"/>
        <w:left w:val="none" w:sz="0" w:space="0" w:color="auto"/>
        <w:bottom w:val="none" w:sz="0" w:space="0" w:color="auto"/>
        <w:right w:val="none" w:sz="0" w:space="0" w:color="auto"/>
      </w:divBdr>
    </w:div>
    <w:div w:id="734551429">
      <w:bodyDiv w:val="1"/>
      <w:marLeft w:val="0"/>
      <w:marRight w:val="0"/>
      <w:marTop w:val="0"/>
      <w:marBottom w:val="0"/>
      <w:divBdr>
        <w:top w:val="none" w:sz="0" w:space="0" w:color="auto"/>
        <w:left w:val="none" w:sz="0" w:space="0" w:color="auto"/>
        <w:bottom w:val="none" w:sz="0" w:space="0" w:color="auto"/>
        <w:right w:val="none" w:sz="0" w:space="0" w:color="auto"/>
      </w:divBdr>
    </w:div>
    <w:div w:id="769007414">
      <w:bodyDiv w:val="1"/>
      <w:marLeft w:val="0"/>
      <w:marRight w:val="0"/>
      <w:marTop w:val="0"/>
      <w:marBottom w:val="0"/>
      <w:divBdr>
        <w:top w:val="none" w:sz="0" w:space="0" w:color="auto"/>
        <w:left w:val="none" w:sz="0" w:space="0" w:color="auto"/>
        <w:bottom w:val="none" w:sz="0" w:space="0" w:color="auto"/>
        <w:right w:val="none" w:sz="0" w:space="0" w:color="auto"/>
      </w:divBdr>
      <w:divsChild>
        <w:div w:id="73678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141507">
      <w:bodyDiv w:val="1"/>
      <w:marLeft w:val="0"/>
      <w:marRight w:val="0"/>
      <w:marTop w:val="0"/>
      <w:marBottom w:val="0"/>
      <w:divBdr>
        <w:top w:val="none" w:sz="0" w:space="0" w:color="auto"/>
        <w:left w:val="none" w:sz="0" w:space="0" w:color="auto"/>
        <w:bottom w:val="none" w:sz="0" w:space="0" w:color="auto"/>
        <w:right w:val="none" w:sz="0" w:space="0" w:color="auto"/>
      </w:divBdr>
    </w:div>
    <w:div w:id="890194263">
      <w:bodyDiv w:val="1"/>
      <w:marLeft w:val="0"/>
      <w:marRight w:val="0"/>
      <w:marTop w:val="0"/>
      <w:marBottom w:val="0"/>
      <w:divBdr>
        <w:top w:val="none" w:sz="0" w:space="0" w:color="auto"/>
        <w:left w:val="none" w:sz="0" w:space="0" w:color="auto"/>
        <w:bottom w:val="none" w:sz="0" w:space="0" w:color="auto"/>
        <w:right w:val="none" w:sz="0" w:space="0" w:color="auto"/>
      </w:divBdr>
    </w:div>
    <w:div w:id="951673720">
      <w:bodyDiv w:val="1"/>
      <w:marLeft w:val="0"/>
      <w:marRight w:val="0"/>
      <w:marTop w:val="0"/>
      <w:marBottom w:val="0"/>
      <w:divBdr>
        <w:top w:val="none" w:sz="0" w:space="0" w:color="auto"/>
        <w:left w:val="none" w:sz="0" w:space="0" w:color="auto"/>
        <w:bottom w:val="none" w:sz="0" w:space="0" w:color="auto"/>
        <w:right w:val="none" w:sz="0" w:space="0" w:color="auto"/>
      </w:divBdr>
    </w:div>
    <w:div w:id="960380113">
      <w:bodyDiv w:val="1"/>
      <w:marLeft w:val="0"/>
      <w:marRight w:val="0"/>
      <w:marTop w:val="0"/>
      <w:marBottom w:val="0"/>
      <w:divBdr>
        <w:top w:val="none" w:sz="0" w:space="0" w:color="auto"/>
        <w:left w:val="none" w:sz="0" w:space="0" w:color="auto"/>
        <w:bottom w:val="none" w:sz="0" w:space="0" w:color="auto"/>
        <w:right w:val="none" w:sz="0" w:space="0" w:color="auto"/>
      </w:divBdr>
    </w:div>
    <w:div w:id="978994886">
      <w:bodyDiv w:val="1"/>
      <w:marLeft w:val="0"/>
      <w:marRight w:val="0"/>
      <w:marTop w:val="0"/>
      <w:marBottom w:val="0"/>
      <w:divBdr>
        <w:top w:val="none" w:sz="0" w:space="0" w:color="auto"/>
        <w:left w:val="none" w:sz="0" w:space="0" w:color="auto"/>
        <w:bottom w:val="none" w:sz="0" w:space="0" w:color="auto"/>
        <w:right w:val="none" w:sz="0" w:space="0" w:color="auto"/>
      </w:divBdr>
    </w:div>
    <w:div w:id="1016887800">
      <w:bodyDiv w:val="1"/>
      <w:marLeft w:val="0"/>
      <w:marRight w:val="0"/>
      <w:marTop w:val="0"/>
      <w:marBottom w:val="0"/>
      <w:divBdr>
        <w:top w:val="none" w:sz="0" w:space="0" w:color="auto"/>
        <w:left w:val="none" w:sz="0" w:space="0" w:color="auto"/>
        <w:bottom w:val="none" w:sz="0" w:space="0" w:color="auto"/>
        <w:right w:val="none" w:sz="0" w:space="0" w:color="auto"/>
      </w:divBdr>
    </w:div>
    <w:div w:id="1037312411">
      <w:bodyDiv w:val="1"/>
      <w:marLeft w:val="0"/>
      <w:marRight w:val="0"/>
      <w:marTop w:val="0"/>
      <w:marBottom w:val="0"/>
      <w:divBdr>
        <w:top w:val="none" w:sz="0" w:space="0" w:color="auto"/>
        <w:left w:val="none" w:sz="0" w:space="0" w:color="auto"/>
        <w:bottom w:val="none" w:sz="0" w:space="0" w:color="auto"/>
        <w:right w:val="none" w:sz="0" w:space="0" w:color="auto"/>
      </w:divBdr>
    </w:div>
    <w:div w:id="1248884154">
      <w:bodyDiv w:val="1"/>
      <w:marLeft w:val="0"/>
      <w:marRight w:val="0"/>
      <w:marTop w:val="0"/>
      <w:marBottom w:val="0"/>
      <w:divBdr>
        <w:top w:val="none" w:sz="0" w:space="0" w:color="auto"/>
        <w:left w:val="none" w:sz="0" w:space="0" w:color="auto"/>
        <w:bottom w:val="none" w:sz="0" w:space="0" w:color="auto"/>
        <w:right w:val="none" w:sz="0" w:space="0" w:color="auto"/>
      </w:divBdr>
    </w:div>
    <w:div w:id="1316297250">
      <w:bodyDiv w:val="1"/>
      <w:marLeft w:val="0"/>
      <w:marRight w:val="0"/>
      <w:marTop w:val="0"/>
      <w:marBottom w:val="0"/>
      <w:divBdr>
        <w:top w:val="none" w:sz="0" w:space="0" w:color="auto"/>
        <w:left w:val="none" w:sz="0" w:space="0" w:color="auto"/>
        <w:bottom w:val="none" w:sz="0" w:space="0" w:color="auto"/>
        <w:right w:val="none" w:sz="0" w:space="0" w:color="auto"/>
      </w:divBdr>
      <w:divsChild>
        <w:div w:id="172983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739222">
      <w:bodyDiv w:val="1"/>
      <w:marLeft w:val="0"/>
      <w:marRight w:val="0"/>
      <w:marTop w:val="0"/>
      <w:marBottom w:val="0"/>
      <w:divBdr>
        <w:top w:val="none" w:sz="0" w:space="0" w:color="auto"/>
        <w:left w:val="none" w:sz="0" w:space="0" w:color="auto"/>
        <w:bottom w:val="none" w:sz="0" w:space="0" w:color="auto"/>
        <w:right w:val="none" w:sz="0" w:space="0" w:color="auto"/>
      </w:divBdr>
      <w:divsChild>
        <w:div w:id="188363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735469">
      <w:bodyDiv w:val="1"/>
      <w:marLeft w:val="0"/>
      <w:marRight w:val="0"/>
      <w:marTop w:val="0"/>
      <w:marBottom w:val="0"/>
      <w:divBdr>
        <w:top w:val="none" w:sz="0" w:space="0" w:color="auto"/>
        <w:left w:val="none" w:sz="0" w:space="0" w:color="auto"/>
        <w:bottom w:val="none" w:sz="0" w:space="0" w:color="auto"/>
        <w:right w:val="none" w:sz="0" w:space="0" w:color="auto"/>
      </w:divBdr>
    </w:div>
    <w:div w:id="1573202648">
      <w:bodyDiv w:val="1"/>
      <w:marLeft w:val="0"/>
      <w:marRight w:val="0"/>
      <w:marTop w:val="0"/>
      <w:marBottom w:val="0"/>
      <w:divBdr>
        <w:top w:val="none" w:sz="0" w:space="0" w:color="auto"/>
        <w:left w:val="none" w:sz="0" w:space="0" w:color="auto"/>
        <w:bottom w:val="none" w:sz="0" w:space="0" w:color="auto"/>
        <w:right w:val="none" w:sz="0" w:space="0" w:color="auto"/>
      </w:divBdr>
      <w:divsChild>
        <w:div w:id="138806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55702">
      <w:bodyDiv w:val="1"/>
      <w:marLeft w:val="0"/>
      <w:marRight w:val="0"/>
      <w:marTop w:val="0"/>
      <w:marBottom w:val="0"/>
      <w:divBdr>
        <w:top w:val="none" w:sz="0" w:space="0" w:color="auto"/>
        <w:left w:val="none" w:sz="0" w:space="0" w:color="auto"/>
        <w:bottom w:val="none" w:sz="0" w:space="0" w:color="auto"/>
        <w:right w:val="none" w:sz="0" w:space="0" w:color="auto"/>
      </w:divBdr>
    </w:div>
    <w:div w:id="1856915378">
      <w:bodyDiv w:val="1"/>
      <w:marLeft w:val="0"/>
      <w:marRight w:val="0"/>
      <w:marTop w:val="0"/>
      <w:marBottom w:val="0"/>
      <w:divBdr>
        <w:top w:val="none" w:sz="0" w:space="0" w:color="auto"/>
        <w:left w:val="none" w:sz="0" w:space="0" w:color="auto"/>
        <w:bottom w:val="none" w:sz="0" w:space="0" w:color="auto"/>
        <w:right w:val="none" w:sz="0" w:space="0" w:color="auto"/>
      </w:divBdr>
    </w:div>
    <w:div w:id="1912345695">
      <w:bodyDiv w:val="1"/>
      <w:marLeft w:val="0"/>
      <w:marRight w:val="0"/>
      <w:marTop w:val="0"/>
      <w:marBottom w:val="0"/>
      <w:divBdr>
        <w:top w:val="none" w:sz="0" w:space="0" w:color="auto"/>
        <w:left w:val="none" w:sz="0" w:space="0" w:color="auto"/>
        <w:bottom w:val="none" w:sz="0" w:space="0" w:color="auto"/>
        <w:right w:val="none" w:sz="0" w:space="0" w:color="auto"/>
      </w:divBdr>
    </w:div>
    <w:div w:id="1996180231">
      <w:bodyDiv w:val="1"/>
      <w:marLeft w:val="0"/>
      <w:marRight w:val="0"/>
      <w:marTop w:val="0"/>
      <w:marBottom w:val="0"/>
      <w:divBdr>
        <w:top w:val="none" w:sz="0" w:space="0" w:color="auto"/>
        <w:left w:val="none" w:sz="0" w:space="0" w:color="auto"/>
        <w:bottom w:val="none" w:sz="0" w:space="0" w:color="auto"/>
        <w:right w:val="none" w:sz="0" w:space="0" w:color="auto"/>
      </w:divBdr>
    </w:div>
    <w:div w:id="201486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are.1351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16/j.fsi.2005.04.00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95-019-00614-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1089</cp:lastModifiedBy>
  <cp:revision>8</cp:revision>
  <dcterms:created xsi:type="dcterms:W3CDTF">2026-04-07T14:01:00Z</dcterms:created>
  <dcterms:modified xsi:type="dcterms:W3CDTF">2026-04-09T05:33:00Z</dcterms:modified>
</cp:coreProperties>
</file>