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742" w:rsidRDefault="00647742" w:rsidP="00784F7C">
      <w:pPr>
        <w:jc w:val="center"/>
        <w:rPr>
          <w:rFonts w:ascii="Times New Roman" w:hAnsi="Times New Roman" w:cs="Times New Roman"/>
          <w:b/>
          <w:sz w:val="24"/>
          <w:szCs w:val="24"/>
        </w:rPr>
      </w:pPr>
      <w:r>
        <w:rPr>
          <w:rFonts w:ascii="Times New Roman" w:hAnsi="Times New Roman" w:cs="Times New Roman"/>
          <w:b/>
          <w:sz w:val="24"/>
          <w:szCs w:val="24"/>
        </w:rPr>
        <w:t>Original Research Article</w:t>
      </w:r>
    </w:p>
    <w:p w:rsidR="00EE2770" w:rsidRDefault="006C6247" w:rsidP="00784F7C">
      <w:pPr>
        <w:jc w:val="center"/>
        <w:rPr>
          <w:rFonts w:ascii="Times New Roman" w:hAnsi="Times New Roman" w:cs="Times New Roman"/>
          <w:b/>
          <w:bCs/>
          <w:sz w:val="24"/>
          <w:szCs w:val="24"/>
          <w:vertAlign w:val="superscript"/>
        </w:rPr>
      </w:pPr>
      <w:r w:rsidRPr="00773352">
        <w:rPr>
          <w:rFonts w:ascii="Times New Roman" w:hAnsi="Times New Roman" w:cs="Times New Roman"/>
          <w:b/>
          <w:sz w:val="24"/>
          <w:szCs w:val="24"/>
        </w:rPr>
        <w:t>Effect</w:t>
      </w:r>
      <w:r w:rsidR="002A2143">
        <w:rPr>
          <w:rFonts w:ascii="Times New Roman" w:hAnsi="Times New Roman" w:cs="Times New Roman"/>
          <w:b/>
          <w:sz w:val="24"/>
          <w:szCs w:val="24"/>
        </w:rPr>
        <w:t xml:space="preserve"> of Carbon-to-</w:t>
      </w:r>
      <w:r w:rsidR="00784F7C" w:rsidRPr="00773352">
        <w:rPr>
          <w:rFonts w:ascii="Times New Roman" w:hAnsi="Times New Roman" w:cs="Times New Roman"/>
          <w:b/>
          <w:sz w:val="24"/>
          <w:szCs w:val="24"/>
        </w:rPr>
        <w:t>Nitrogen</w:t>
      </w:r>
      <w:r w:rsidR="00075897" w:rsidRPr="00773352">
        <w:rPr>
          <w:rFonts w:ascii="Times New Roman" w:hAnsi="Times New Roman" w:cs="Times New Roman"/>
          <w:b/>
          <w:sz w:val="24"/>
          <w:szCs w:val="24"/>
        </w:rPr>
        <w:t xml:space="preserve">(C/N) </w:t>
      </w:r>
      <w:r w:rsidR="00784F7C" w:rsidRPr="00773352">
        <w:rPr>
          <w:rFonts w:ascii="Times New Roman" w:hAnsi="Times New Roman" w:cs="Times New Roman"/>
          <w:b/>
          <w:sz w:val="24"/>
          <w:szCs w:val="24"/>
        </w:rPr>
        <w:t>Ratio</w:t>
      </w:r>
      <w:r w:rsidRPr="00773352">
        <w:rPr>
          <w:rFonts w:ascii="Times New Roman" w:hAnsi="Times New Roman" w:cs="Times New Roman"/>
          <w:b/>
          <w:sz w:val="24"/>
          <w:szCs w:val="24"/>
        </w:rPr>
        <w:t xml:space="preserve"> Manip</w:t>
      </w:r>
      <w:r w:rsidR="002C6A47" w:rsidRPr="00773352">
        <w:rPr>
          <w:rFonts w:ascii="Times New Roman" w:hAnsi="Times New Roman" w:cs="Times New Roman"/>
          <w:b/>
          <w:sz w:val="24"/>
          <w:szCs w:val="24"/>
        </w:rPr>
        <w:t>ulation on the Growth Performance</w:t>
      </w:r>
      <w:r w:rsidRPr="00773352">
        <w:rPr>
          <w:rFonts w:ascii="Times New Roman" w:hAnsi="Times New Roman" w:cs="Times New Roman"/>
          <w:b/>
          <w:sz w:val="24"/>
          <w:szCs w:val="24"/>
        </w:rPr>
        <w:t xml:space="preserve">, Nutrient Utilization and Body Composition </w:t>
      </w:r>
      <w:r w:rsidR="00075897" w:rsidRPr="00773352">
        <w:rPr>
          <w:rFonts w:ascii="Times New Roman" w:hAnsi="Times New Roman" w:cs="Times New Roman"/>
          <w:b/>
          <w:sz w:val="24"/>
          <w:szCs w:val="24"/>
        </w:rPr>
        <w:t xml:space="preserve">of </w:t>
      </w:r>
      <w:proofErr w:type="spellStart"/>
      <w:r w:rsidR="00075897" w:rsidRPr="00773352">
        <w:rPr>
          <w:rFonts w:ascii="Times New Roman" w:hAnsi="Times New Roman" w:cs="Times New Roman"/>
          <w:b/>
          <w:i/>
          <w:iCs/>
          <w:sz w:val="24"/>
          <w:szCs w:val="24"/>
        </w:rPr>
        <w:t>Claria</w:t>
      </w:r>
      <w:r w:rsidR="000176B7" w:rsidRPr="00773352">
        <w:rPr>
          <w:rFonts w:ascii="Times New Roman" w:hAnsi="Times New Roman" w:cs="Times New Roman"/>
          <w:b/>
          <w:i/>
          <w:iCs/>
          <w:sz w:val="24"/>
          <w:szCs w:val="24"/>
        </w:rPr>
        <w:t>s</w:t>
      </w:r>
      <w:proofErr w:type="spellEnd"/>
      <w:r w:rsidR="00075897" w:rsidRPr="00773352">
        <w:rPr>
          <w:rFonts w:ascii="Times New Roman" w:hAnsi="Times New Roman" w:cs="Times New Roman"/>
          <w:b/>
          <w:i/>
          <w:iCs/>
          <w:sz w:val="24"/>
          <w:szCs w:val="24"/>
        </w:rPr>
        <w:t xml:space="preserve"> </w:t>
      </w:r>
      <w:proofErr w:type="spellStart"/>
      <w:r w:rsidR="00075897" w:rsidRPr="00773352">
        <w:rPr>
          <w:rFonts w:ascii="Times New Roman" w:hAnsi="Times New Roman" w:cs="Times New Roman"/>
          <w:b/>
          <w:i/>
          <w:iCs/>
          <w:sz w:val="24"/>
          <w:szCs w:val="24"/>
        </w:rPr>
        <w:t>gariepinus</w:t>
      </w:r>
      <w:proofErr w:type="spellEnd"/>
      <w:r w:rsidR="00075897" w:rsidRPr="00773352">
        <w:rPr>
          <w:rFonts w:ascii="Times New Roman" w:hAnsi="Times New Roman" w:cs="Times New Roman"/>
          <w:b/>
          <w:i/>
          <w:iCs/>
          <w:sz w:val="24"/>
          <w:szCs w:val="24"/>
        </w:rPr>
        <w:t xml:space="preserve"> </w:t>
      </w:r>
      <w:r w:rsidR="00075897" w:rsidRPr="00773352">
        <w:rPr>
          <w:rFonts w:ascii="Times New Roman" w:hAnsi="Times New Roman" w:cs="Times New Roman"/>
          <w:b/>
          <w:sz w:val="24"/>
          <w:szCs w:val="24"/>
        </w:rPr>
        <w:t xml:space="preserve">in a </w:t>
      </w:r>
      <w:r w:rsidR="002A2143" w:rsidRPr="002A2143">
        <w:rPr>
          <w:rFonts w:ascii="Times New Roman" w:hAnsi="Times New Roman" w:cs="Times New Roman"/>
          <w:b/>
          <w:sz w:val="24"/>
          <w:szCs w:val="24"/>
        </w:rPr>
        <w:t>Wheat Bran</w:t>
      </w:r>
      <w:r w:rsidR="00B0437C">
        <w:rPr>
          <w:rFonts w:ascii="Times New Roman" w:hAnsi="Times New Roman" w:cs="Times New Roman"/>
          <w:b/>
          <w:sz w:val="24"/>
          <w:szCs w:val="24"/>
        </w:rPr>
        <w:t xml:space="preserve"> </w:t>
      </w:r>
      <w:r w:rsidR="002A2143" w:rsidRPr="002A2143">
        <w:rPr>
          <w:rFonts w:ascii="Times New Roman" w:hAnsi="Times New Roman" w:cs="Times New Roman"/>
          <w:b/>
          <w:sz w:val="24"/>
          <w:szCs w:val="24"/>
        </w:rPr>
        <w:t xml:space="preserve">Based </w:t>
      </w:r>
      <w:proofErr w:type="spellStart"/>
      <w:r w:rsidR="002A2143" w:rsidRPr="002A2143">
        <w:rPr>
          <w:rFonts w:ascii="Times New Roman" w:hAnsi="Times New Roman" w:cs="Times New Roman"/>
          <w:b/>
          <w:sz w:val="24"/>
          <w:szCs w:val="24"/>
        </w:rPr>
        <w:t>Biofloc</w:t>
      </w:r>
      <w:proofErr w:type="spellEnd"/>
      <w:r w:rsidR="002A2143" w:rsidRPr="002A2143">
        <w:rPr>
          <w:rFonts w:ascii="Times New Roman" w:hAnsi="Times New Roman" w:cs="Times New Roman"/>
          <w:b/>
          <w:sz w:val="24"/>
          <w:szCs w:val="24"/>
        </w:rPr>
        <w:t xml:space="preserve"> System </w:t>
      </w:r>
    </w:p>
    <w:p w:rsidR="00784F7C" w:rsidRPr="00773352" w:rsidRDefault="00784F7C" w:rsidP="00784F7C">
      <w:pPr>
        <w:jc w:val="center"/>
        <w:rPr>
          <w:rFonts w:ascii="Times New Roman" w:hAnsi="Times New Roman" w:cs="Times New Roman"/>
          <w:b/>
          <w:sz w:val="24"/>
          <w:szCs w:val="24"/>
        </w:rPr>
      </w:pPr>
      <w:r w:rsidRPr="00773352">
        <w:rPr>
          <w:rFonts w:ascii="Times New Roman" w:hAnsi="Times New Roman" w:cs="Times New Roman"/>
          <w:b/>
          <w:sz w:val="24"/>
          <w:szCs w:val="24"/>
        </w:rPr>
        <w:t>Abstract</w:t>
      </w:r>
    </w:p>
    <w:p w:rsidR="000176B7" w:rsidRPr="00773352" w:rsidRDefault="00C33BF5" w:rsidP="000176B7">
      <w:pPr>
        <w:spacing w:line="240" w:lineRule="auto"/>
        <w:jc w:val="both"/>
        <w:rPr>
          <w:rStyle w:val="Emphasis"/>
          <w:rFonts w:ascii="Times New Roman" w:hAnsi="Times New Roman" w:cs="Times New Roman"/>
          <w:sz w:val="24"/>
          <w:szCs w:val="24"/>
        </w:rPr>
      </w:pPr>
      <w:r w:rsidRPr="00773352">
        <w:rPr>
          <w:rFonts w:ascii="Times New Roman" w:hAnsi="Times New Roman" w:cs="Times New Roman"/>
          <w:sz w:val="24"/>
          <w:szCs w:val="24"/>
        </w:rPr>
        <w:t xml:space="preserve">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w:t>
      </w:r>
      <w:r w:rsidR="000176B7" w:rsidRPr="00773352">
        <w:rPr>
          <w:rFonts w:ascii="Times New Roman" w:hAnsi="Times New Roman" w:cs="Times New Roman"/>
          <w:sz w:val="24"/>
          <w:szCs w:val="24"/>
        </w:rPr>
        <w:t>A 10-week out</w:t>
      </w:r>
      <w:bookmarkStart w:id="0" w:name="_GoBack"/>
      <w:bookmarkEnd w:id="0"/>
      <w:r w:rsidR="000176B7" w:rsidRPr="00773352">
        <w:rPr>
          <w:rFonts w:ascii="Times New Roman" w:hAnsi="Times New Roman" w:cs="Times New Roman"/>
          <w:sz w:val="24"/>
          <w:szCs w:val="24"/>
        </w:rPr>
        <w:t>door culture study was done to evaluate the effects of varying C/N ratios on growth performance, nutrient utili</w:t>
      </w:r>
      <w:r w:rsidR="001F6E29" w:rsidRPr="00773352">
        <w:rPr>
          <w:rFonts w:ascii="Times New Roman" w:hAnsi="Times New Roman" w:cs="Times New Roman"/>
          <w:sz w:val="24"/>
          <w:szCs w:val="24"/>
        </w:rPr>
        <w:t>zation and body composition of A</w:t>
      </w:r>
      <w:r w:rsidR="000176B7" w:rsidRPr="00773352">
        <w:rPr>
          <w:rFonts w:ascii="Times New Roman" w:hAnsi="Times New Roman" w:cs="Times New Roman"/>
          <w:sz w:val="24"/>
          <w:szCs w:val="24"/>
        </w:rPr>
        <w:t>frican</w:t>
      </w:r>
      <w:r w:rsidR="001F6E29" w:rsidRPr="00773352">
        <w:rPr>
          <w:rFonts w:ascii="Times New Roman" w:hAnsi="Times New Roman" w:cs="Times New Roman"/>
          <w:sz w:val="24"/>
          <w:szCs w:val="24"/>
        </w:rPr>
        <w:t xml:space="preserve"> C</w:t>
      </w:r>
      <w:r w:rsidR="000176B7" w:rsidRPr="00773352">
        <w:rPr>
          <w:rFonts w:ascii="Times New Roman" w:hAnsi="Times New Roman" w:cs="Times New Roman"/>
          <w:sz w:val="24"/>
          <w:szCs w:val="24"/>
        </w:rPr>
        <w:t xml:space="preserve">atfish </w:t>
      </w:r>
      <w:hyperlink r:id="rId7" w:tooltip="Learn more about Heteropneustes fossilis from ScienceDirect's AI-generated Topic Pages" w:history="1">
        <w:proofErr w:type="spellStart"/>
        <w:r w:rsidR="000176B7" w:rsidRPr="00773352">
          <w:rPr>
            <w:rStyle w:val="Hyperlink"/>
            <w:rFonts w:ascii="Times New Roman" w:hAnsi="Times New Roman" w:cs="Times New Roman"/>
            <w:i/>
            <w:iCs/>
            <w:color w:val="auto"/>
            <w:sz w:val="24"/>
            <w:szCs w:val="24"/>
          </w:rPr>
          <w:t>Clarias</w:t>
        </w:r>
        <w:proofErr w:type="spellEnd"/>
      </w:hyperlink>
      <w:r w:rsidR="000176B7" w:rsidRPr="00773352">
        <w:rPr>
          <w:rStyle w:val="Emphasis"/>
          <w:rFonts w:ascii="Times New Roman" w:hAnsi="Times New Roman" w:cs="Times New Roman"/>
          <w:sz w:val="24"/>
          <w:szCs w:val="24"/>
        </w:rPr>
        <w:t xml:space="preserve"> </w:t>
      </w:r>
      <w:proofErr w:type="spellStart"/>
      <w:r w:rsidR="000176B7" w:rsidRPr="00773352">
        <w:rPr>
          <w:rStyle w:val="Emphasis"/>
          <w:rFonts w:ascii="Times New Roman" w:hAnsi="Times New Roman" w:cs="Times New Roman"/>
          <w:sz w:val="24"/>
          <w:szCs w:val="24"/>
        </w:rPr>
        <w:t>gariepinus</w:t>
      </w:r>
      <w:proofErr w:type="spellEnd"/>
      <w:r w:rsidR="000176B7" w:rsidRPr="00773352">
        <w:rPr>
          <w:rFonts w:ascii="Times New Roman" w:hAnsi="Times New Roman" w:cs="Times New Roman"/>
          <w:sz w:val="24"/>
          <w:szCs w:val="24"/>
        </w:rPr>
        <w:t xml:space="preserve"> cultured in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 xml:space="preserve"> system.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-based tanks with three</w:t>
      </w:r>
      <w:r w:rsidR="001F6E29" w:rsidRPr="00773352">
        <w:rPr>
          <w:rFonts w:ascii="Times New Roman" w:hAnsi="Times New Roman" w:cs="Times New Roman"/>
          <w:sz w:val="24"/>
          <w:szCs w:val="24"/>
        </w:rPr>
        <w:t xml:space="preserve"> levels of C/N ratio (10, 15, 20</w:t>
      </w:r>
      <w:r w:rsidR="000176B7" w:rsidRPr="00773352">
        <w:rPr>
          <w:rFonts w:ascii="Times New Roman" w:hAnsi="Times New Roman" w:cs="Times New Roman"/>
          <w:sz w:val="24"/>
          <w:szCs w:val="24"/>
        </w:rPr>
        <w:t>) via the addition of wheat bran and freshwater tanks operated with the facility of water exchange and without the addition of carbon source referred to as 'Control' (C). Fish were stocked in 12 experimental plastic</w:t>
      </w:r>
      <w:r w:rsidR="00416410">
        <w:rPr>
          <w:rFonts w:ascii="Times New Roman" w:hAnsi="Times New Roman" w:cs="Times New Roman"/>
          <w:sz w:val="24"/>
          <w:szCs w:val="24"/>
        </w:rPr>
        <w:t xml:space="preserve"> due to the </w:t>
      </w:r>
      <w:r w:rsidR="00C06D21">
        <w:rPr>
          <w:rFonts w:ascii="Times New Roman" w:hAnsi="Times New Roman" w:cs="Times New Roman"/>
          <w:sz w:val="24"/>
          <w:szCs w:val="24"/>
        </w:rPr>
        <w:t>tri</w:t>
      </w:r>
      <w:r w:rsidR="00416410">
        <w:rPr>
          <w:rFonts w:ascii="Times New Roman" w:hAnsi="Times New Roman" w:cs="Times New Roman"/>
          <w:sz w:val="24"/>
          <w:szCs w:val="24"/>
        </w:rPr>
        <w:t>plication of the treatment. The tanks were</w:t>
      </w:r>
      <w:r w:rsidR="000176B7" w:rsidRPr="00773352">
        <w:rPr>
          <w:rFonts w:ascii="Times New Roman" w:hAnsi="Times New Roman" w:cs="Times New Roman"/>
          <w:sz w:val="24"/>
          <w:szCs w:val="24"/>
        </w:rPr>
        <w:t xml:space="preserve"> 100 L water capacity and </w:t>
      </w:r>
      <w:r w:rsidR="00416410">
        <w:rPr>
          <w:rFonts w:ascii="Times New Roman" w:hAnsi="Times New Roman" w:cs="Times New Roman"/>
          <w:sz w:val="24"/>
          <w:szCs w:val="24"/>
        </w:rPr>
        <w:t xml:space="preserve">the fish were </w:t>
      </w:r>
      <w:r w:rsidR="000176B7" w:rsidRPr="00773352">
        <w:rPr>
          <w:rFonts w:ascii="Times New Roman" w:hAnsi="Times New Roman" w:cs="Times New Roman"/>
          <w:sz w:val="24"/>
          <w:szCs w:val="24"/>
        </w:rPr>
        <w:t xml:space="preserve">fed a commercial diet containing 40 % crude protein. </w:t>
      </w:r>
      <w:r w:rsidR="00416410">
        <w:rPr>
          <w:rFonts w:ascii="Times New Roman" w:hAnsi="Times New Roman" w:cs="Times New Roman"/>
          <w:sz w:val="24"/>
          <w:szCs w:val="24"/>
        </w:rPr>
        <w:t xml:space="preserve">Each tank was stocked with 20 fingerlings. </w:t>
      </w:r>
      <w:r w:rsidR="000176B7" w:rsidRPr="00773352">
        <w:rPr>
          <w:rFonts w:ascii="Times New Roman" w:hAnsi="Times New Roman" w:cs="Times New Roman"/>
          <w:sz w:val="24"/>
          <w:szCs w:val="24"/>
        </w:rPr>
        <w:t>The water quality parameters (EC, pH, temperature, total ammonia nitrogen, nitrite nitrogen, dissolved oxygen, and total dissolved solids) were monitored throughout the experim</w:t>
      </w:r>
      <w:r w:rsidR="002A788F">
        <w:rPr>
          <w:rFonts w:ascii="Times New Roman" w:hAnsi="Times New Roman" w:cs="Times New Roman"/>
          <w:sz w:val="24"/>
          <w:szCs w:val="24"/>
        </w:rPr>
        <w:t>ent. There was no significant (</w:t>
      </w:r>
      <w:r w:rsidR="002A788F" w:rsidRPr="002A788F">
        <w:rPr>
          <w:rFonts w:ascii="Times New Roman" w:hAnsi="Times New Roman" w:cs="Times New Roman"/>
          <w:i/>
          <w:sz w:val="24"/>
          <w:szCs w:val="24"/>
        </w:rPr>
        <w:t>p</w:t>
      </w:r>
      <w:r w:rsidR="000176B7" w:rsidRPr="00773352">
        <w:rPr>
          <w:rFonts w:ascii="Times New Roman" w:hAnsi="Times New Roman" w:cs="Times New Roman"/>
          <w:sz w:val="24"/>
          <w:szCs w:val="24"/>
        </w:rPr>
        <w:t> &gt; 0.05) difference among the treatments in the case of EC, TDS and temperature. The pH, tota</w:t>
      </w:r>
      <w:r w:rsidR="00C06D21">
        <w:rPr>
          <w:rFonts w:ascii="Times New Roman" w:hAnsi="Times New Roman" w:cs="Times New Roman"/>
          <w:sz w:val="24"/>
          <w:szCs w:val="24"/>
        </w:rPr>
        <w:t>l ammonia nitrogen, and DO showed</w:t>
      </w:r>
      <w:r w:rsidR="000176B7" w:rsidRPr="00773352">
        <w:rPr>
          <w:rFonts w:ascii="Times New Roman" w:hAnsi="Times New Roman" w:cs="Times New Roman"/>
          <w:sz w:val="24"/>
          <w:szCs w:val="24"/>
        </w:rPr>
        <w:t xml:space="preserve"> significant differences. </w:t>
      </w:r>
      <w:r w:rsidR="000176B7" w:rsidRPr="00773352">
        <w:rPr>
          <w:rStyle w:val="Strong"/>
          <w:rFonts w:ascii="Times New Roman" w:hAnsi="Times New Roman" w:cs="Times New Roman"/>
          <w:b w:val="0"/>
          <w:sz w:val="24"/>
          <w:szCs w:val="24"/>
        </w:rPr>
        <w:t>Survival rate</w:t>
      </w:r>
      <w:r w:rsidR="000176B7" w:rsidRPr="00773352">
        <w:rPr>
          <w:rFonts w:ascii="Times New Roman" w:hAnsi="Times New Roman" w:cs="Times New Roman"/>
          <w:sz w:val="24"/>
          <w:szCs w:val="24"/>
        </w:rPr>
        <w:t xml:space="preserve"> improved with increasing C:N ratio up to 15:1 (83.33 ± 1.22%), followed by a slight decline at 20:1 (80.00 ± 2.89%). </w:t>
      </w:r>
      <w:r w:rsidR="000176B7" w:rsidRPr="00773352">
        <w:rPr>
          <w:rStyle w:val="Strong"/>
          <w:rFonts w:ascii="Times New Roman" w:hAnsi="Times New Roman" w:cs="Times New Roman"/>
          <w:b w:val="0"/>
          <w:sz w:val="24"/>
          <w:szCs w:val="24"/>
        </w:rPr>
        <w:t>Final mean weight</w:t>
      </w:r>
      <w:r w:rsidR="000176B7" w:rsidRPr="00773352">
        <w:rPr>
          <w:rStyle w:val="Strong"/>
          <w:rFonts w:ascii="Times New Roman" w:hAnsi="Times New Roman" w:cs="Times New Roman"/>
          <w:sz w:val="24"/>
          <w:szCs w:val="24"/>
        </w:rPr>
        <w:t xml:space="preserve"> </w:t>
      </w:r>
      <w:r w:rsidR="000176B7" w:rsidRPr="00773352">
        <w:rPr>
          <w:rStyle w:val="Strong"/>
          <w:rFonts w:ascii="Times New Roman" w:hAnsi="Times New Roman" w:cs="Times New Roman"/>
          <w:b w:val="0"/>
          <w:sz w:val="24"/>
          <w:szCs w:val="24"/>
        </w:rPr>
        <w:t>(FMW)</w:t>
      </w:r>
      <w:r w:rsidR="000176B7" w:rsidRPr="00773352">
        <w:rPr>
          <w:rFonts w:ascii="Times New Roman" w:hAnsi="Times New Roman" w:cs="Times New Roman"/>
          <w:sz w:val="24"/>
          <w:szCs w:val="24"/>
        </w:rPr>
        <w:t xml:space="preserve"> and </w:t>
      </w:r>
      <w:r w:rsidR="000176B7" w:rsidRPr="00773352">
        <w:rPr>
          <w:rStyle w:val="Strong"/>
          <w:rFonts w:ascii="Times New Roman" w:hAnsi="Times New Roman" w:cs="Times New Roman"/>
          <w:b w:val="0"/>
          <w:sz w:val="24"/>
          <w:szCs w:val="24"/>
        </w:rPr>
        <w:t>mean weight gain (MWG)</w:t>
      </w:r>
      <w:r w:rsidR="002A788F">
        <w:rPr>
          <w:rFonts w:ascii="Times New Roman" w:hAnsi="Times New Roman" w:cs="Times New Roman"/>
          <w:sz w:val="24"/>
          <w:szCs w:val="24"/>
        </w:rPr>
        <w:t xml:space="preserve"> increased significantly (</w:t>
      </w:r>
      <w:r w:rsidR="002A788F" w:rsidRPr="002A788F">
        <w:rPr>
          <w:rFonts w:ascii="Times New Roman" w:hAnsi="Times New Roman" w:cs="Times New Roman"/>
          <w:i/>
          <w:sz w:val="24"/>
          <w:szCs w:val="24"/>
        </w:rPr>
        <w:t>p</w:t>
      </w:r>
      <w:r w:rsidR="000176B7" w:rsidRPr="00773352">
        <w:rPr>
          <w:rFonts w:ascii="Times New Roman" w:hAnsi="Times New Roman" w:cs="Times New Roman"/>
          <w:sz w:val="24"/>
          <w:szCs w:val="24"/>
        </w:rPr>
        <w:t xml:space="preserve"> &lt; 0.05) from 41.80 ± 0.69 g (control) to 52.73 ± 1.15 g at C:N 15, but declined slightly at C:N 20 (43.80 ± 0.64 g). </w:t>
      </w:r>
      <w:r w:rsidR="000176B7" w:rsidRPr="00773352">
        <w:rPr>
          <w:rStyle w:val="Strong"/>
          <w:rFonts w:ascii="Times New Roman" w:hAnsi="Times New Roman" w:cs="Times New Roman"/>
          <w:b w:val="0"/>
          <w:sz w:val="24"/>
          <w:szCs w:val="24"/>
        </w:rPr>
        <w:t>Feed conversion ratio (FCR)</w:t>
      </w:r>
      <w:r w:rsidR="000176B7" w:rsidRPr="00773352">
        <w:rPr>
          <w:rFonts w:ascii="Times New Roman" w:hAnsi="Times New Roman" w:cs="Times New Roman"/>
          <w:sz w:val="24"/>
          <w:szCs w:val="24"/>
        </w:rPr>
        <w:t xml:space="preserve"> improved markedly from 2.08 ± 0.05 (control) to 1.26 ± 0.12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15, demonstrating better feed utilization due to microbial protein supplementation and nutrient recycling. </w:t>
      </w:r>
      <w:r w:rsidR="000176B7" w:rsidRPr="00773352">
        <w:rPr>
          <w:rStyle w:val="Strong"/>
          <w:rFonts w:ascii="Times New Roman" w:hAnsi="Times New Roman" w:cs="Times New Roman"/>
          <w:b w:val="0"/>
          <w:sz w:val="24"/>
          <w:szCs w:val="24"/>
        </w:rPr>
        <w:t>Protein efficiency ratio</w:t>
      </w:r>
      <w:r w:rsidR="000176B7" w:rsidRPr="00773352">
        <w:rPr>
          <w:rStyle w:val="Strong"/>
          <w:rFonts w:ascii="Times New Roman" w:hAnsi="Times New Roman" w:cs="Times New Roman"/>
          <w:sz w:val="24"/>
          <w:szCs w:val="24"/>
        </w:rPr>
        <w:t xml:space="preserve"> </w:t>
      </w:r>
      <w:r w:rsidR="000176B7" w:rsidRPr="00773352">
        <w:rPr>
          <w:rStyle w:val="Strong"/>
          <w:rFonts w:ascii="Times New Roman" w:hAnsi="Times New Roman" w:cs="Times New Roman"/>
          <w:b w:val="0"/>
          <w:sz w:val="24"/>
          <w:szCs w:val="24"/>
        </w:rPr>
        <w:t>(PER)</w:t>
      </w:r>
      <w:r w:rsidR="000176B7" w:rsidRPr="00773352">
        <w:rPr>
          <w:rFonts w:ascii="Times New Roman" w:hAnsi="Times New Roman" w:cs="Times New Roman"/>
          <w:b/>
          <w:sz w:val="24"/>
          <w:szCs w:val="24"/>
        </w:rPr>
        <w:t xml:space="preserve"> </w:t>
      </w:r>
      <w:r w:rsidR="000176B7" w:rsidRPr="00773352">
        <w:rPr>
          <w:rFonts w:ascii="Times New Roman" w:hAnsi="Times New Roman" w:cs="Times New Roman"/>
          <w:sz w:val="24"/>
          <w:szCs w:val="24"/>
        </w:rPr>
        <w:t>and</w:t>
      </w:r>
      <w:r w:rsidR="000176B7" w:rsidRPr="00773352">
        <w:rPr>
          <w:rFonts w:ascii="Times New Roman" w:hAnsi="Times New Roman" w:cs="Times New Roman"/>
          <w:b/>
          <w:sz w:val="24"/>
          <w:szCs w:val="24"/>
        </w:rPr>
        <w:t xml:space="preserve"> </w:t>
      </w:r>
      <w:r w:rsidR="000176B7" w:rsidRPr="00773352">
        <w:rPr>
          <w:rStyle w:val="Strong"/>
          <w:rFonts w:ascii="Times New Roman" w:hAnsi="Times New Roman" w:cs="Times New Roman"/>
          <w:b w:val="0"/>
          <w:sz w:val="24"/>
          <w:szCs w:val="24"/>
        </w:rPr>
        <w:t>protein productive value (PPV)</w:t>
      </w:r>
      <w:r w:rsidR="000176B7" w:rsidRPr="00773352">
        <w:rPr>
          <w:rFonts w:ascii="Times New Roman" w:hAnsi="Times New Roman" w:cs="Times New Roman"/>
          <w:sz w:val="24"/>
          <w:szCs w:val="24"/>
        </w:rPr>
        <w:t xml:space="preserve"> were also significantly affected by C:N ratio, peaking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15 (PER = 17.65 ± 1.15; PPV = 33.85 ± 1.35%). </w:t>
      </w:r>
      <w:r w:rsidR="000176B7" w:rsidRPr="00773352">
        <w:rPr>
          <w:rStyle w:val="Strong"/>
          <w:rFonts w:ascii="Times New Roman" w:hAnsi="Times New Roman" w:cs="Times New Roman"/>
          <w:b w:val="0"/>
          <w:sz w:val="24"/>
          <w:szCs w:val="24"/>
        </w:rPr>
        <w:t>Crude protein</w:t>
      </w:r>
      <w:r w:rsidR="000176B7" w:rsidRPr="00773352">
        <w:rPr>
          <w:rFonts w:ascii="Times New Roman" w:hAnsi="Times New Roman" w:cs="Times New Roman"/>
          <w:sz w:val="24"/>
          <w:szCs w:val="24"/>
        </w:rPr>
        <w:t xml:space="preserve"> increased significantly from 18.45 ± 1.23 % in the control to 27.60 ± 1.22 %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20. </w:t>
      </w:r>
      <w:r w:rsidR="000176B7" w:rsidRPr="00773352">
        <w:rPr>
          <w:rStyle w:val="Strong"/>
          <w:rFonts w:ascii="Times New Roman" w:hAnsi="Times New Roman" w:cs="Times New Roman"/>
          <w:b w:val="0"/>
          <w:sz w:val="24"/>
          <w:szCs w:val="24"/>
        </w:rPr>
        <w:t>Fat content</w:t>
      </w:r>
      <w:r w:rsidR="000176B7" w:rsidRPr="00773352">
        <w:rPr>
          <w:rFonts w:ascii="Times New Roman" w:hAnsi="Times New Roman" w:cs="Times New Roman"/>
          <w:sz w:val="24"/>
          <w:szCs w:val="24"/>
        </w:rPr>
        <w:t xml:space="preserve"> followed a similar pattern, rising from 3.24 ± 0.06 % (control) to 6.14 ± 0.44 %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20. </w:t>
      </w:r>
      <w:r w:rsidR="00770CDB">
        <w:rPr>
          <w:rFonts w:ascii="Times New Roman" w:hAnsi="Times New Roman" w:cs="Times New Roman"/>
          <w:sz w:val="24"/>
          <w:szCs w:val="24"/>
        </w:rPr>
        <w:t xml:space="preserve">All data collected were subjected to one-way ANOVA. </w:t>
      </w:r>
      <w:r w:rsidR="000176B7" w:rsidRPr="00773352">
        <w:rPr>
          <w:rFonts w:ascii="Times New Roman" w:hAnsi="Times New Roman" w:cs="Times New Roman"/>
          <w:sz w:val="24"/>
          <w:szCs w:val="24"/>
        </w:rPr>
        <w:t xml:space="preserve">However, the growth production and feed utilization results indicate that a C:N ratio of 15:1 in wheat bran–based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 xml:space="preserve"> systems provides the best performance</w:t>
      </w:r>
      <w:r w:rsidR="001F6E29" w:rsidRPr="00773352">
        <w:rPr>
          <w:rFonts w:ascii="Times New Roman" w:hAnsi="Times New Roman" w:cs="Times New Roman"/>
          <w:sz w:val="24"/>
          <w:szCs w:val="24"/>
        </w:rPr>
        <w:t xml:space="preserve"> thereby it is recommended for fish farmers</w:t>
      </w:r>
      <w:r w:rsidR="000176B7" w:rsidRPr="00773352">
        <w:rPr>
          <w:rFonts w:ascii="Times New Roman" w:hAnsi="Times New Roman" w:cs="Times New Roman"/>
          <w:sz w:val="24"/>
          <w:szCs w:val="24"/>
        </w:rPr>
        <w:t xml:space="preserve">. The proximate profiles reveal that moderate to high C:N ratios enhance nutrient deposition and metabolic efficiency in </w:t>
      </w:r>
      <w:r w:rsidR="000176B7" w:rsidRPr="00773352">
        <w:rPr>
          <w:rStyle w:val="Emphasis"/>
          <w:rFonts w:ascii="Times New Roman" w:hAnsi="Times New Roman" w:cs="Times New Roman"/>
          <w:sz w:val="24"/>
          <w:szCs w:val="24"/>
        </w:rPr>
        <w:t xml:space="preserve">C. </w:t>
      </w:r>
      <w:proofErr w:type="spellStart"/>
      <w:r w:rsidR="000176B7" w:rsidRPr="00773352">
        <w:rPr>
          <w:rStyle w:val="Emphasis"/>
          <w:rFonts w:ascii="Times New Roman" w:hAnsi="Times New Roman" w:cs="Times New Roman"/>
          <w:sz w:val="24"/>
          <w:szCs w:val="24"/>
        </w:rPr>
        <w:t>gariepinus</w:t>
      </w:r>
      <w:proofErr w:type="spellEnd"/>
      <w:r w:rsidR="000176B7" w:rsidRPr="00773352">
        <w:rPr>
          <w:rStyle w:val="Emphasis"/>
          <w:rFonts w:ascii="Times New Roman" w:hAnsi="Times New Roman" w:cs="Times New Roman"/>
          <w:sz w:val="24"/>
          <w:szCs w:val="24"/>
        </w:rPr>
        <w:t>.</w:t>
      </w:r>
    </w:p>
    <w:p w:rsidR="000176B7" w:rsidRPr="00773352" w:rsidRDefault="000176B7" w:rsidP="000176B7">
      <w:pPr>
        <w:spacing w:line="240" w:lineRule="auto"/>
        <w:jc w:val="both"/>
        <w:rPr>
          <w:rFonts w:ascii="Times New Roman" w:hAnsi="Times New Roman" w:cs="Times New Roman"/>
          <w:b/>
          <w:sz w:val="24"/>
          <w:szCs w:val="24"/>
        </w:rPr>
      </w:pPr>
      <w:r w:rsidRPr="00773352">
        <w:rPr>
          <w:rStyle w:val="Emphasis"/>
          <w:rFonts w:ascii="Times New Roman" w:hAnsi="Times New Roman" w:cs="Times New Roman"/>
          <w:i w:val="0"/>
          <w:sz w:val="24"/>
          <w:szCs w:val="24"/>
        </w:rPr>
        <w:t xml:space="preserve">Keywords: </w:t>
      </w:r>
      <w:proofErr w:type="spellStart"/>
      <w:r w:rsidRPr="00773352">
        <w:rPr>
          <w:rStyle w:val="Emphasis"/>
          <w:rFonts w:ascii="Times New Roman" w:hAnsi="Times New Roman" w:cs="Times New Roman"/>
          <w:i w:val="0"/>
          <w:sz w:val="24"/>
          <w:szCs w:val="24"/>
        </w:rPr>
        <w:t>Biofloc</w:t>
      </w:r>
      <w:proofErr w:type="spellEnd"/>
      <w:r w:rsidRPr="00773352">
        <w:rPr>
          <w:rStyle w:val="Emphasis"/>
          <w:rFonts w:ascii="Times New Roman" w:hAnsi="Times New Roman" w:cs="Times New Roman"/>
          <w:i w:val="0"/>
          <w:sz w:val="24"/>
          <w:szCs w:val="24"/>
        </w:rPr>
        <w:t xml:space="preserve">, Freshwater, Growth performance, Water exchange, Nutrient </w:t>
      </w:r>
      <w:proofErr w:type="spellStart"/>
      <w:r w:rsidRPr="00773352">
        <w:rPr>
          <w:rStyle w:val="Emphasis"/>
          <w:rFonts w:ascii="Times New Roman" w:hAnsi="Times New Roman" w:cs="Times New Roman"/>
          <w:i w:val="0"/>
          <w:sz w:val="24"/>
          <w:szCs w:val="24"/>
        </w:rPr>
        <w:t>utilation</w:t>
      </w:r>
      <w:proofErr w:type="spellEnd"/>
      <w:r w:rsidRPr="00773352">
        <w:rPr>
          <w:rStyle w:val="Emphasis"/>
          <w:rFonts w:ascii="Times New Roman" w:hAnsi="Times New Roman" w:cs="Times New Roman"/>
          <w:i w:val="0"/>
          <w:sz w:val="24"/>
          <w:szCs w:val="24"/>
        </w:rPr>
        <w:t>.</w:t>
      </w:r>
    </w:p>
    <w:p w:rsidR="0035224A" w:rsidRPr="00773352" w:rsidRDefault="00784F7C">
      <w:pPr>
        <w:rPr>
          <w:rFonts w:ascii="Times New Roman" w:hAnsi="Times New Roman" w:cs="Times New Roman"/>
          <w:b/>
          <w:sz w:val="24"/>
          <w:szCs w:val="24"/>
        </w:rPr>
      </w:pPr>
      <w:r w:rsidRPr="00773352">
        <w:rPr>
          <w:rFonts w:ascii="Times New Roman" w:hAnsi="Times New Roman" w:cs="Times New Roman"/>
          <w:b/>
          <w:sz w:val="24"/>
          <w:szCs w:val="24"/>
        </w:rPr>
        <w:t>Introduction</w:t>
      </w:r>
    </w:p>
    <w:p w:rsidR="00F631FF"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Aquaculture is critical to the production of sustainable seafood, but its growth is challenged by land and water shortages, rising feed prices, and environmental concerns (</w:t>
      </w:r>
      <w:proofErr w:type="spellStart"/>
      <w:r w:rsidRPr="00773352">
        <w:rPr>
          <w:rFonts w:ascii="Times New Roman" w:hAnsi="Times New Roman" w:cs="Times New Roman"/>
          <w:sz w:val="24"/>
          <w:szCs w:val="24"/>
        </w:rPr>
        <w:t>Shourbela</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 As a result, intensive or super-intensive operations have replaced conventional methods in the aquaculture industry across the world to overcome major difficulties and boost production capacity (</w:t>
      </w:r>
      <w:proofErr w:type="spellStart"/>
      <w:r w:rsidRPr="00773352">
        <w:rPr>
          <w:rFonts w:ascii="Times New Roman" w:hAnsi="Times New Roman" w:cs="Times New Roman"/>
          <w:sz w:val="24"/>
          <w:szCs w:val="24"/>
        </w:rPr>
        <w:t>Mohammadi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2021).Fish is considered to be one of the most important sources of </w:t>
      </w:r>
      <w:r w:rsidRPr="00773352">
        <w:rPr>
          <w:rFonts w:ascii="Times New Roman" w:hAnsi="Times New Roman" w:cs="Times New Roman"/>
          <w:sz w:val="24"/>
          <w:szCs w:val="24"/>
        </w:rPr>
        <w:lastRenderedPageBreak/>
        <w:t>food globally. Fish provide a reasonable amount of protein for the world growing population (</w:t>
      </w:r>
      <w:proofErr w:type="spellStart"/>
      <w:r w:rsidRPr="00773352">
        <w:rPr>
          <w:rFonts w:ascii="Times New Roman" w:hAnsi="Times New Roman" w:cs="Times New Roman"/>
          <w:sz w:val="24"/>
          <w:szCs w:val="24"/>
        </w:rPr>
        <w:t>Godfray</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2010). For hunger to be completely eliminated in the future, int</w:t>
      </w:r>
      <w:r w:rsidR="00D63DEE" w:rsidRPr="00773352">
        <w:rPr>
          <w:rFonts w:ascii="Times New Roman" w:hAnsi="Times New Roman" w:cs="Times New Roman"/>
          <w:sz w:val="24"/>
          <w:szCs w:val="24"/>
        </w:rPr>
        <w:t>ensive aquaculture production must be</w:t>
      </w:r>
      <w:r w:rsidRPr="00773352">
        <w:rPr>
          <w:rFonts w:ascii="Times New Roman" w:hAnsi="Times New Roman" w:cs="Times New Roman"/>
          <w:sz w:val="24"/>
          <w:szCs w:val="24"/>
        </w:rPr>
        <w:t xml:space="preserve"> enhanced (FAO, 2016). Conventional farming requires regular water exchange, which contains a lot of aquaculture effluent that causes environment pollution and leading to unsustainable fish farming under condition of water shortage (Tidwell, 2012).</w:t>
      </w:r>
      <w:r w:rsidR="00D63DEE" w:rsidRPr="00773352">
        <w:rPr>
          <w:rFonts w:ascii="Times New Roman" w:hAnsi="Times New Roman" w:cs="Times New Roman"/>
          <w:sz w:val="24"/>
          <w:szCs w:val="24"/>
        </w:rPr>
        <w:t xml:space="preserve"> In this aspect, the "</w:t>
      </w:r>
      <w:proofErr w:type="spellStart"/>
      <w:r w:rsidR="00D63DEE" w:rsidRPr="00773352">
        <w:rPr>
          <w:rFonts w:ascii="Times New Roman" w:hAnsi="Times New Roman" w:cs="Times New Roman"/>
          <w:sz w:val="24"/>
          <w:szCs w:val="24"/>
        </w:rPr>
        <w:t>biofloc</w:t>
      </w:r>
      <w:proofErr w:type="spellEnd"/>
      <w:r w:rsidR="00D63DEE" w:rsidRPr="00773352">
        <w:rPr>
          <w:rFonts w:ascii="Times New Roman" w:hAnsi="Times New Roman" w:cs="Times New Roman"/>
          <w:sz w:val="24"/>
          <w:szCs w:val="24"/>
        </w:rPr>
        <w:t xml:space="preserve">" system functions as a nutrient retention trap, lowering the expense of maintenance as well as providing dietary additives for marketable organisms being raised. This fast expansion of aquaculture has been termed the blue revolution as it contributes to human nutrition and food security (Rind </w:t>
      </w:r>
      <w:r w:rsidR="00D63DEE" w:rsidRPr="00773352">
        <w:rPr>
          <w:rFonts w:ascii="Times New Roman" w:hAnsi="Times New Roman" w:cs="Times New Roman"/>
          <w:i/>
          <w:sz w:val="24"/>
          <w:szCs w:val="24"/>
        </w:rPr>
        <w:t>et al</w:t>
      </w:r>
      <w:r w:rsidR="00D63DEE" w:rsidRPr="00773352">
        <w:rPr>
          <w:rFonts w:ascii="Times New Roman" w:hAnsi="Times New Roman" w:cs="Times New Roman"/>
          <w:sz w:val="24"/>
          <w:szCs w:val="24"/>
        </w:rPr>
        <w:t>., 2023).</w:t>
      </w:r>
    </w:p>
    <w:p w:rsidR="003C404C"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systems include the activation of heterotrophic bacteria by addition of carbon source in the aquaculture ponds. The bacteria consume nitrogen and increase the bacterial population in presence of carbon nitrogen ratio starting from 10:1 (</w:t>
      </w:r>
      <w:proofErr w:type="spellStart"/>
      <w:r w:rsidRPr="00773352">
        <w:rPr>
          <w:rFonts w:ascii="Times New Roman" w:hAnsi="Times New Roman" w:cs="Times New Roman"/>
          <w:sz w:val="24"/>
          <w:szCs w:val="24"/>
        </w:rPr>
        <w:t>Avnimelech</w:t>
      </w:r>
      <w:proofErr w:type="spellEnd"/>
      <w:r w:rsidRPr="00773352">
        <w:rPr>
          <w:rFonts w:ascii="Times New Roman" w:hAnsi="Times New Roman" w:cs="Times New Roman"/>
          <w:sz w:val="24"/>
          <w:szCs w:val="24"/>
        </w:rPr>
        <w:t xml:space="preserve">, 1999). </w:t>
      </w:r>
      <w:r w:rsidR="00D63DEE" w:rsidRPr="00773352">
        <w:rPr>
          <w:rFonts w:ascii="Times New Roman" w:hAnsi="Times New Roman" w:cs="Times New Roman"/>
          <w:sz w:val="24"/>
          <w:szCs w:val="24"/>
        </w:rPr>
        <w:t xml:space="preserve">The </w:t>
      </w:r>
      <w:proofErr w:type="spellStart"/>
      <w:r w:rsidR="00D63DEE" w:rsidRPr="00773352">
        <w:rPr>
          <w:rFonts w:ascii="Times New Roman" w:hAnsi="Times New Roman" w:cs="Times New Roman"/>
          <w:sz w:val="24"/>
          <w:szCs w:val="24"/>
        </w:rPr>
        <w:t>biofloc</w:t>
      </w:r>
      <w:proofErr w:type="spellEnd"/>
      <w:r w:rsidR="00D63DEE" w:rsidRPr="00773352">
        <w:rPr>
          <w:rFonts w:ascii="Times New Roman" w:hAnsi="Times New Roman" w:cs="Times New Roman"/>
          <w:sz w:val="24"/>
          <w:szCs w:val="24"/>
        </w:rPr>
        <w:t xml:space="preserve"> technique has sparked considerable attention in aquaculture due to its capacity to provide a sustainable and economically viable substitute for traditional aquaculture operations. The key idea behind this technique is to construct a nitrogen cycle by continually aerating the water and adding carbon sources with the purpose of maintaining the carbon-to- nitrogen ratio in an aquaculture system that has stagnant water and fostering the growth of heterotrophic microorganisms (Luo et al., 2020).</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system has a great advantage having to be nearly zero water exchange system and has no stress on fish due to water exchange (Crab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2012; De </w:t>
      </w:r>
      <w:proofErr w:type="spellStart"/>
      <w:r w:rsidRPr="00773352">
        <w:rPr>
          <w:rFonts w:ascii="Times New Roman" w:hAnsi="Times New Roman" w:cs="Times New Roman"/>
          <w:sz w:val="24"/>
          <w:szCs w:val="24"/>
        </w:rPr>
        <w:t>Schryver</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2008; </w:t>
      </w:r>
      <w:proofErr w:type="spellStart"/>
      <w:r w:rsidRPr="00773352">
        <w:rPr>
          <w:rFonts w:ascii="Times New Roman" w:hAnsi="Times New Roman" w:cs="Times New Roman"/>
          <w:sz w:val="24"/>
          <w:szCs w:val="24"/>
        </w:rPr>
        <w:t>Nevejan</w:t>
      </w:r>
      <w:proofErr w:type="spellEnd"/>
      <w:r w:rsidRPr="00773352">
        <w:rPr>
          <w:rFonts w:ascii="Times New Roman" w:hAnsi="Times New Roman" w:cs="Times New Roman"/>
          <w:sz w:val="24"/>
          <w:szCs w:val="24"/>
        </w:rPr>
        <w:t xml:space="preserve"> et al., 2018).</w:t>
      </w:r>
    </w:p>
    <w:p w:rsidR="00D63DEE" w:rsidRPr="00773352"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carbon-nitrogen ratio (C/N) is crucial for optimal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performance, as it minimizes nitrogen buildup and produces microbial communities (</w:t>
      </w:r>
      <w:proofErr w:type="spellStart"/>
      <w:r w:rsidRPr="00773352">
        <w:rPr>
          <w:rFonts w:ascii="Times New Roman" w:hAnsi="Times New Roman" w:cs="Times New Roman"/>
          <w:sz w:val="24"/>
          <w:szCs w:val="24"/>
        </w:rPr>
        <w:t>Minabi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Increased C/N ratios in the culture system promote heterotrophic bacteria and natural products (Polysaccharides, microbial protein, lipids and enzymes) increasing oxygen demand and reducing pH levels. To control water quality and regulate suspended particles, it is common to use low-cost, locally accessible carbon sources to improve the C/N ratio above 10:1. </w:t>
      </w:r>
      <w:r w:rsidR="00482D93">
        <w:rPr>
          <w:rFonts w:ascii="Times New Roman" w:hAnsi="Times New Roman" w:cs="Times New Roman"/>
          <w:sz w:val="24"/>
          <w:szCs w:val="24"/>
        </w:rPr>
        <w:t xml:space="preserve">This is an effective conservative approach to initiate heterotrophic bacterial growth while controlling initial ammonia levels. </w:t>
      </w:r>
      <w:r w:rsidRPr="00773352">
        <w:rPr>
          <w:rFonts w:ascii="Times New Roman" w:hAnsi="Times New Roman" w:cs="Times New Roman"/>
          <w:sz w:val="24"/>
          <w:szCs w:val="24"/>
        </w:rPr>
        <w:t xml:space="preserve">An external carbon source is required for the effective development of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microorganisms, boosting bacterial biomass, and reducing waste nitrogenous metabolites. To lower settling rates and make carbonated organic matter more accessible, it should be soluble in water or in powdered form (Saha </w:t>
      </w:r>
      <w:r w:rsidRPr="00773352">
        <w:rPr>
          <w:rFonts w:ascii="Times New Roman" w:hAnsi="Times New Roman" w:cs="Times New Roman"/>
          <w:i/>
          <w:sz w:val="24"/>
          <w:szCs w:val="24"/>
        </w:rPr>
        <w:t>et al</w:t>
      </w:r>
      <w:r w:rsidRPr="00773352">
        <w:rPr>
          <w:rFonts w:ascii="Times New Roman" w:hAnsi="Times New Roman" w:cs="Times New Roman"/>
          <w:sz w:val="24"/>
          <w:szCs w:val="24"/>
        </w:rPr>
        <w:t>., 2022).</w:t>
      </w:r>
      <w:r w:rsidR="00BB2724">
        <w:rPr>
          <w:rFonts w:ascii="Times New Roman" w:hAnsi="Times New Roman" w:cs="Times New Roman"/>
          <w:sz w:val="24"/>
          <w:szCs w:val="24"/>
        </w:rPr>
        <w:t xml:space="preserve"> Wheat bran is used in this research to provide a slow, consistent release of carbon that stimulate heterotrophic bacteria, which </w:t>
      </w:r>
      <w:proofErr w:type="spellStart"/>
      <w:r w:rsidR="00BB2724">
        <w:rPr>
          <w:rFonts w:ascii="Times New Roman" w:hAnsi="Times New Roman" w:cs="Times New Roman"/>
          <w:sz w:val="24"/>
          <w:szCs w:val="24"/>
        </w:rPr>
        <w:t>converr</w:t>
      </w:r>
      <w:proofErr w:type="spellEnd"/>
      <w:r w:rsidR="00BB2724">
        <w:rPr>
          <w:rFonts w:ascii="Times New Roman" w:hAnsi="Times New Roman" w:cs="Times New Roman"/>
          <w:sz w:val="24"/>
          <w:szCs w:val="24"/>
        </w:rPr>
        <w:t xml:space="preserve"> toxic inorganic nitrogen into protein-rich microbial biomass. It is favored for maintaining stable floc formation and improving water quality due to its high insoluble </w:t>
      </w:r>
      <w:proofErr w:type="spellStart"/>
      <w:r w:rsidR="00BB2724">
        <w:rPr>
          <w:rFonts w:ascii="Times New Roman" w:hAnsi="Times New Roman" w:cs="Times New Roman"/>
          <w:sz w:val="24"/>
          <w:szCs w:val="24"/>
        </w:rPr>
        <w:t>fibre</w:t>
      </w:r>
      <w:proofErr w:type="spellEnd"/>
      <w:r w:rsidR="00BB2724">
        <w:rPr>
          <w:rFonts w:ascii="Times New Roman" w:hAnsi="Times New Roman" w:cs="Times New Roman"/>
          <w:sz w:val="24"/>
          <w:szCs w:val="24"/>
        </w:rPr>
        <w:t xml:space="preserve"> content, which stimulates bacterial growth over a long period compared to fast-degrading sources like molasses.</w:t>
      </w:r>
    </w:p>
    <w:p w:rsidR="00D63DEE"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To maintain a suitable C/N ratio and facilitate the proliferation of heterotrophic microorganisms, a suitable supply of carbohydrate sources must be provided.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is highly influenced by the availability and composition of this carbon source (Silva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2017). Common carbohydrates in aquaculture, such as glucose, acetate, starch, wheat, glycerol, and molasses, are often used in BF systems to promote floc formation (Ulloa Walker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properties, including floc volume, biochemical compounds, and capacity to hold </w:t>
      </w:r>
      <w:r w:rsidRPr="00773352">
        <w:rPr>
          <w:rFonts w:ascii="Times New Roman" w:hAnsi="Times New Roman" w:cs="Times New Roman"/>
          <w:sz w:val="24"/>
          <w:szCs w:val="24"/>
        </w:rPr>
        <w:lastRenderedPageBreak/>
        <w:t>bioactive constituents, are influenced by the type of carbon source and their ratio, which in turn affects the productivity of farmed fish (</w:t>
      </w:r>
      <w:proofErr w:type="spellStart"/>
      <w:r w:rsidRPr="00773352">
        <w:rPr>
          <w:rFonts w:ascii="Times New Roman" w:hAnsi="Times New Roman" w:cs="Times New Roman"/>
          <w:sz w:val="24"/>
          <w:szCs w:val="24"/>
        </w:rPr>
        <w:t>Dilmi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E70A73" w:rsidRPr="00773352" w:rsidRDefault="00E70A73" w:rsidP="00FC07C5">
      <w:pPr>
        <w:spacing w:line="240" w:lineRule="auto"/>
        <w:jc w:val="both"/>
        <w:rPr>
          <w:rFonts w:ascii="Times New Roman" w:hAnsi="Times New Roman" w:cs="Times New Roman"/>
          <w:sz w:val="24"/>
          <w:szCs w:val="24"/>
        </w:rPr>
      </w:pPr>
      <w:r w:rsidRPr="00E70A73">
        <w:rPr>
          <w:rFonts w:ascii="Times New Roman" w:hAnsi="Times New Roman" w:cs="Times New Roman"/>
          <w:sz w:val="24"/>
          <w:szCs w:val="24"/>
        </w:rPr>
        <w:t>African catfish (</w:t>
      </w:r>
      <w:proofErr w:type="spellStart"/>
      <w:r w:rsidRPr="00E70A73">
        <w:rPr>
          <w:rFonts w:ascii="Times New Roman" w:hAnsi="Times New Roman" w:cs="Times New Roman"/>
          <w:sz w:val="24"/>
          <w:szCs w:val="24"/>
        </w:rPr>
        <w:t>Clarias</w:t>
      </w:r>
      <w:proofErr w:type="spellEnd"/>
      <w:r w:rsidRPr="00E70A73">
        <w:rPr>
          <w:rFonts w:ascii="Times New Roman" w:hAnsi="Times New Roman" w:cs="Times New Roman"/>
          <w:sz w:val="24"/>
          <w:szCs w:val="24"/>
        </w:rPr>
        <w:t xml:space="preserve"> </w:t>
      </w:r>
      <w:proofErr w:type="spellStart"/>
      <w:r w:rsidRPr="00E70A73">
        <w:rPr>
          <w:rFonts w:ascii="Times New Roman" w:hAnsi="Times New Roman" w:cs="Times New Roman"/>
          <w:sz w:val="24"/>
          <w:szCs w:val="24"/>
        </w:rPr>
        <w:t>gariepinus</w:t>
      </w:r>
      <w:proofErr w:type="spellEnd"/>
      <w:r w:rsidRPr="00E70A73">
        <w:rPr>
          <w:rFonts w:ascii="Times New Roman" w:hAnsi="Times New Roman" w:cs="Times New Roman"/>
          <w:sz w:val="24"/>
          <w:szCs w:val="24"/>
        </w:rPr>
        <w:t xml:space="preserve">) has also received some research attention in BFT and these include optimal C/N ratios for nutrient removal (Abu Bakar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2015), growth performance of C. </w:t>
      </w:r>
      <w:proofErr w:type="spellStart"/>
      <w:r w:rsidRPr="00E70A73">
        <w:rPr>
          <w:rFonts w:ascii="Times New Roman" w:hAnsi="Times New Roman" w:cs="Times New Roman"/>
          <w:sz w:val="24"/>
          <w:szCs w:val="24"/>
        </w:rPr>
        <w:t>gariepinus</w:t>
      </w:r>
      <w:proofErr w:type="spellEnd"/>
      <w:r w:rsidRPr="00E70A73">
        <w:rPr>
          <w:rFonts w:ascii="Times New Roman" w:hAnsi="Times New Roman" w:cs="Times New Roman"/>
          <w:sz w:val="24"/>
          <w:szCs w:val="24"/>
        </w:rPr>
        <w:t xml:space="preserve"> juveniles in a BFT system (Yusuf </w:t>
      </w:r>
      <w:r w:rsidRPr="00E70A73">
        <w:rPr>
          <w:rFonts w:ascii="Times New Roman" w:hAnsi="Times New Roman" w:cs="Times New Roman"/>
          <w:i/>
          <w:sz w:val="24"/>
          <w:szCs w:val="24"/>
        </w:rPr>
        <w:t>et al</w:t>
      </w:r>
      <w:r w:rsidRPr="00E70A73">
        <w:rPr>
          <w:rFonts w:ascii="Times New Roman" w:hAnsi="Times New Roman" w:cs="Times New Roman"/>
          <w:sz w:val="24"/>
          <w:szCs w:val="24"/>
        </w:rPr>
        <w:t>., 2015) as well as the reproductive performance and subsequent larval productivity (</w:t>
      </w:r>
      <w:proofErr w:type="spellStart"/>
      <w:r w:rsidRPr="00E70A73">
        <w:rPr>
          <w:rFonts w:ascii="Times New Roman" w:hAnsi="Times New Roman" w:cs="Times New Roman"/>
          <w:sz w:val="24"/>
          <w:szCs w:val="24"/>
        </w:rPr>
        <w:t>Ekasari</w:t>
      </w:r>
      <w:proofErr w:type="spellEnd"/>
      <w:r w:rsidRPr="00E70A73">
        <w:rPr>
          <w:rFonts w:ascii="Times New Roman" w:hAnsi="Times New Roman" w:cs="Times New Roman"/>
          <w:sz w:val="24"/>
          <w:szCs w:val="24"/>
        </w:rPr>
        <w:t xml:space="preserve">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2016). Most of these studies relied on optimal conditions for tilapia or shrimp culture. Early researchers assumed that BFT might only be suitable for filter-feeding fish such as shrimps and tilapia and that more carnivorous fish species, such as </w:t>
      </w:r>
      <w:r w:rsidRPr="00E70A73">
        <w:rPr>
          <w:rFonts w:ascii="Times New Roman" w:hAnsi="Times New Roman" w:cs="Times New Roman"/>
          <w:i/>
          <w:sz w:val="24"/>
          <w:szCs w:val="24"/>
        </w:rPr>
        <w:t xml:space="preserve">C. </w:t>
      </w:r>
      <w:proofErr w:type="spellStart"/>
      <w:r w:rsidRPr="00E70A73">
        <w:rPr>
          <w:rFonts w:ascii="Times New Roman" w:hAnsi="Times New Roman" w:cs="Times New Roman"/>
          <w:i/>
          <w:sz w:val="24"/>
          <w:szCs w:val="24"/>
        </w:rPr>
        <w:t>gariepinus</w:t>
      </w:r>
      <w:proofErr w:type="spellEnd"/>
      <w:r w:rsidRPr="00E70A73">
        <w:rPr>
          <w:rFonts w:ascii="Times New Roman" w:hAnsi="Times New Roman" w:cs="Times New Roman"/>
          <w:sz w:val="24"/>
          <w:szCs w:val="24"/>
        </w:rPr>
        <w:t>, may not be a good candidate for BFT (</w:t>
      </w:r>
      <w:proofErr w:type="spellStart"/>
      <w:r w:rsidRPr="00E70A73">
        <w:rPr>
          <w:rFonts w:ascii="Times New Roman" w:hAnsi="Times New Roman" w:cs="Times New Roman"/>
          <w:sz w:val="24"/>
          <w:szCs w:val="24"/>
        </w:rPr>
        <w:t>Avnimelech</w:t>
      </w:r>
      <w:proofErr w:type="spellEnd"/>
      <w:r w:rsidRPr="00E70A73">
        <w:rPr>
          <w:rFonts w:ascii="Times New Roman" w:hAnsi="Times New Roman" w:cs="Times New Roman"/>
          <w:sz w:val="24"/>
          <w:szCs w:val="24"/>
        </w:rPr>
        <w:t xml:space="preserve">, 2012; </w:t>
      </w:r>
      <w:proofErr w:type="spellStart"/>
      <w:r w:rsidRPr="00E70A73">
        <w:rPr>
          <w:rFonts w:ascii="Times New Roman" w:hAnsi="Times New Roman" w:cs="Times New Roman"/>
          <w:sz w:val="24"/>
          <w:szCs w:val="24"/>
        </w:rPr>
        <w:t>Emerenciano</w:t>
      </w:r>
      <w:proofErr w:type="spellEnd"/>
      <w:r w:rsidRPr="00E70A73">
        <w:rPr>
          <w:rFonts w:ascii="Times New Roman" w:hAnsi="Times New Roman" w:cs="Times New Roman"/>
          <w:sz w:val="24"/>
          <w:szCs w:val="24"/>
        </w:rPr>
        <w:t xml:space="preserve">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2013). However, rather than relying on assumption, there is need to test the feasibility of BFT to this commercially important species as not just a water quality management strategy but to examine whether BFT can confer additional advantages. This may be accomplished through comprehensive research to establish basic design and operational parameters for culture of </w:t>
      </w:r>
      <w:r w:rsidRPr="00E70A73">
        <w:rPr>
          <w:rFonts w:ascii="Times New Roman" w:hAnsi="Times New Roman" w:cs="Times New Roman"/>
          <w:i/>
          <w:sz w:val="24"/>
          <w:szCs w:val="24"/>
        </w:rPr>
        <w:t xml:space="preserve">C. </w:t>
      </w:r>
      <w:proofErr w:type="spellStart"/>
      <w:r w:rsidRPr="00E70A73">
        <w:rPr>
          <w:rFonts w:ascii="Times New Roman" w:hAnsi="Times New Roman" w:cs="Times New Roman"/>
          <w:i/>
          <w:sz w:val="24"/>
          <w:szCs w:val="24"/>
        </w:rPr>
        <w:t>gariepinus</w:t>
      </w:r>
      <w:proofErr w:type="spellEnd"/>
      <w:r w:rsidRPr="00E70A73">
        <w:rPr>
          <w:rFonts w:ascii="Times New Roman" w:hAnsi="Times New Roman" w:cs="Times New Roman"/>
          <w:sz w:val="24"/>
          <w:szCs w:val="24"/>
        </w:rPr>
        <w:t xml:space="preserve"> in BFT.</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Materials and Methods</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Study area</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Gombe is a city in north eastern Nigeria State Capital and a Local Government Area. It is lo</w:t>
      </w:r>
      <w:r w:rsidR="00DB18DC" w:rsidRPr="00773352">
        <w:rPr>
          <w:rFonts w:ascii="Times New Roman" w:hAnsi="Times New Roman" w:cs="Times New Roman"/>
          <w:sz w:val="24"/>
          <w:szCs w:val="24"/>
        </w:rPr>
        <w:t>c</w:t>
      </w:r>
      <w:r w:rsidRPr="00773352">
        <w:rPr>
          <w:rFonts w:ascii="Times New Roman" w:hAnsi="Times New Roman" w:cs="Times New Roman"/>
          <w:sz w:val="24"/>
          <w:szCs w:val="24"/>
        </w:rPr>
        <w:t>ated between latitude 10</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 xml:space="preserve"> 17</w:t>
      </w:r>
      <w:r w:rsidR="008B4FD7">
        <w:rPr>
          <w:rFonts w:ascii="Times New Roman" w:hAnsi="Times New Roman" w:cs="Times New Roman"/>
          <w:sz w:val="24"/>
          <w:szCs w:val="24"/>
        </w:rPr>
        <w:t>’</w:t>
      </w:r>
      <w:r w:rsidRPr="00773352">
        <w:rPr>
          <w:rFonts w:ascii="Times New Roman" w:hAnsi="Times New Roman" w:cs="Times New Roman"/>
          <w:sz w:val="24"/>
          <w:szCs w:val="24"/>
        </w:rPr>
        <w:t xml:space="preserve">N </w:t>
      </w:r>
      <w:r w:rsidR="008B4FD7">
        <w:rPr>
          <w:rFonts w:ascii="Times New Roman" w:hAnsi="Times New Roman" w:cs="Times New Roman"/>
          <w:sz w:val="24"/>
          <w:szCs w:val="24"/>
        </w:rPr>
        <w:t xml:space="preserve">latitude </w:t>
      </w:r>
      <w:r w:rsidRPr="00773352">
        <w:rPr>
          <w:rFonts w:ascii="Times New Roman" w:hAnsi="Times New Roman" w:cs="Times New Roman"/>
          <w:sz w:val="24"/>
          <w:szCs w:val="24"/>
        </w:rPr>
        <w:t>and 11</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10</w:t>
      </w:r>
      <w:r w:rsidR="008B4FD7">
        <w:rPr>
          <w:rFonts w:ascii="Times New Roman" w:hAnsi="Times New Roman" w:cs="Times New Roman"/>
          <w:sz w:val="24"/>
          <w:szCs w:val="24"/>
        </w:rPr>
        <w:t>’E longitude</w:t>
      </w:r>
      <w:r w:rsidRPr="00773352">
        <w:rPr>
          <w:rFonts w:ascii="Times New Roman" w:hAnsi="Times New Roman" w:cs="Times New Roman"/>
          <w:sz w:val="24"/>
          <w:szCs w:val="24"/>
        </w:rPr>
        <w:t>. The LGA has a total area of 52km</w:t>
      </w:r>
      <w:r w:rsidRPr="00773352">
        <w:rPr>
          <w:rFonts w:ascii="Times New Roman" w:hAnsi="Times New Roman" w:cs="Times New Roman"/>
          <w:sz w:val="24"/>
          <w:szCs w:val="24"/>
          <w:vertAlign w:val="superscript"/>
        </w:rPr>
        <w:t>2</w:t>
      </w:r>
      <w:r w:rsidRPr="00773352">
        <w:rPr>
          <w:rFonts w:ascii="Times New Roman" w:hAnsi="Times New Roman" w:cs="Times New Roman"/>
          <w:sz w:val="24"/>
          <w:szCs w:val="24"/>
        </w:rPr>
        <w:t>. It is th</w:t>
      </w:r>
      <w:r w:rsidR="00DB18DC" w:rsidRPr="00773352">
        <w:rPr>
          <w:rFonts w:ascii="Times New Roman" w:hAnsi="Times New Roman" w:cs="Times New Roman"/>
          <w:sz w:val="24"/>
          <w:szCs w:val="24"/>
        </w:rPr>
        <w:t>e capital city of Gombe State</w:t>
      </w:r>
      <w:r w:rsidRPr="00773352">
        <w:rPr>
          <w:rFonts w:ascii="Times New Roman" w:hAnsi="Times New Roman" w:cs="Times New Roman"/>
          <w:sz w:val="24"/>
          <w:szCs w:val="24"/>
        </w:rPr>
        <w:t xml:space="preserve"> has an estimated population of 268,000 (Population Census, 2006). The city is the headquarters of the Gombe Emirate, a traditional state that covers most of Gombe State (Gombe State Online Nigeria Daily, 2010). The research was conducted at the Biological Garden, Department of Biological Sciences, Gombe State University.</w:t>
      </w:r>
    </w:p>
    <w:p w:rsidR="00364BF6" w:rsidRPr="00773352" w:rsidRDefault="00364BF6"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Source of experimental animals, acclimation and tank preparation</w:t>
      </w:r>
    </w:p>
    <w:p w:rsidR="00364BF6" w:rsidRPr="00773352" w:rsidRDefault="00364BF6" w:rsidP="00FC07C5">
      <w:pPr>
        <w:pStyle w:val="Default"/>
        <w:jc w:val="both"/>
      </w:pPr>
      <w:r w:rsidRPr="00773352">
        <w:t xml:space="preserve">A total of 600 </w:t>
      </w:r>
      <w:r w:rsidRPr="00773352">
        <w:rPr>
          <w:i/>
          <w:iCs/>
        </w:rPr>
        <w:t xml:space="preserve">C. </w:t>
      </w:r>
      <w:proofErr w:type="spellStart"/>
      <w:r w:rsidRPr="00773352">
        <w:rPr>
          <w:i/>
          <w:iCs/>
        </w:rPr>
        <w:t>gariepinus</w:t>
      </w:r>
      <w:proofErr w:type="spellEnd"/>
      <w:r w:rsidRPr="00773352">
        <w:rPr>
          <w:i/>
          <w:iCs/>
        </w:rPr>
        <w:t xml:space="preserve"> </w:t>
      </w:r>
      <w:r w:rsidRPr="00773352">
        <w:t xml:space="preserve">fingerlings were purchased from a commercial farm in Bauchi and transported to the Biological Garden in Gombe State University, Gombe. The fish were stocked </w:t>
      </w:r>
      <w:proofErr w:type="gramStart"/>
      <w:r w:rsidRPr="00773352">
        <w:t>in  2000</w:t>
      </w:r>
      <w:proofErr w:type="gramEnd"/>
      <w:r w:rsidRPr="00773352">
        <w:t xml:space="preserve"> L plastic tanks and acclimated for 14 days. The tank received a partial water exchange (approximately 30%) and the fish were fed twice daily to apparent satiation with commercial floating fish feeds (43% crude protein; 1.5 mm Ø). The relatively high protein diet was chosen based on the findings of </w:t>
      </w:r>
      <w:proofErr w:type="spellStart"/>
      <w:r w:rsidRPr="00773352">
        <w:t>Degani</w:t>
      </w:r>
      <w:proofErr w:type="spellEnd"/>
      <w:r w:rsidRPr="00773352">
        <w:t xml:space="preserve"> </w:t>
      </w:r>
      <w:r w:rsidRPr="00773352">
        <w:rPr>
          <w:i/>
          <w:iCs/>
        </w:rPr>
        <w:t>et al</w:t>
      </w:r>
      <w:r w:rsidRPr="00773352">
        <w:t xml:space="preserve">. (1989) showing better growth of </w:t>
      </w:r>
      <w:r w:rsidRPr="00773352">
        <w:rPr>
          <w:i/>
          <w:iCs/>
        </w:rPr>
        <w:t xml:space="preserve">C. </w:t>
      </w:r>
      <w:proofErr w:type="spellStart"/>
      <w:r w:rsidRPr="00773352">
        <w:rPr>
          <w:i/>
          <w:iCs/>
        </w:rPr>
        <w:t>gariepinus</w:t>
      </w:r>
      <w:proofErr w:type="spellEnd"/>
      <w:r w:rsidRPr="00773352">
        <w:rPr>
          <w:i/>
          <w:iCs/>
        </w:rPr>
        <w:t xml:space="preserve"> </w:t>
      </w:r>
      <w:r w:rsidRPr="00773352">
        <w:t xml:space="preserve">juveniles fed a diet with a crude protein level of 40% compared to those fed 25, 30 or 35% crude protein diets.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Prior to stocking the fish, 100 L of water was removed from a reservoir tank of 4000 L capacity containing between 600 and 650 of different tilapia species with average size of 400 g and fed once daily with commercial feed of 32% crude protein at 2% body weight (Star </w:t>
      </w:r>
      <w:proofErr w:type="spellStart"/>
      <w:r w:rsidRPr="00773352">
        <w:rPr>
          <w:rFonts w:ascii="Times New Roman" w:hAnsi="Times New Roman" w:cs="Times New Roman"/>
          <w:sz w:val="24"/>
          <w:szCs w:val="24"/>
        </w:rPr>
        <w:t>Feedmills</w:t>
      </w:r>
      <w:proofErr w:type="spellEnd"/>
      <w:r w:rsidRPr="00773352">
        <w:rPr>
          <w:rFonts w:ascii="Times New Roman" w:hAnsi="Times New Roman" w:cs="Times New Roman"/>
          <w:sz w:val="24"/>
          <w:szCs w:val="24"/>
        </w:rPr>
        <w:t xml:space="preserve"> </w:t>
      </w:r>
      <w:proofErr w:type="spellStart"/>
      <w:r w:rsidRPr="00773352">
        <w:rPr>
          <w:rFonts w:ascii="Times New Roman" w:hAnsi="Times New Roman" w:cs="Times New Roman"/>
          <w:sz w:val="24"/>
          <w:szCs w:val="24"/>
        </w:rPr>
        <w:t>Sdn</w:t>
      </w:r>
      <w:proofErr w:type="spellEnd"/>
      <w:r w:rsidRPr="00773352">
        <w:rPr>
          <w:rFonts w:ascii="Times New Roman" w:hAnsi="Times New Roman" w:cs="Times New Roman"/>
          <w:sz w:val="24"/>
          <w:szCs w:val="24"/>
        </w:rPr>
        <w:t xml:space="preserve">. </w:t>
      </w:r>
      <w:proofErr w:type="spellStart"/>
      <w:r w:rsidRPr="00773352">
        <w:rPr>
          <w:rFonts w:ascii="Times New Roman" w:hAnsi="Times New Roman" w:cs="Times New Roman"/>
          <w:sz w:val="24"/>
          <w:szCs w:val="24"/>
        </w:rPr>
        <w:t>Bhd</w:t>
      </w:r>
      <w:proofErr w:type="spellEnd"/>
      <w:r w:rsidRPr="00773352">
        <w:rPr>
          <w:rFonts w:ascii="Times New Roman" w:hAnsi="Times New Roman" w:cs="Times New Roman"/>
          <w:sz w:val="24"/>
          <w:szCs w:val="24"/>
        </w:rPr>
        <w:t>)</w:t>
      </w:r>
      <w:r w:rsidR="002713F3">
        <w:rPr>
          <w:rFonts w:ascii="Times New Roman" w:hAnsi="Times New Roman" w:cs="Times New Roman"/>
          <w:sz w:val="24"/>
          <w:szCs w:val="24"/>
        </w:rPr>
        <w:t xml:space="preserve"> in order to form bases for the </w:t>
      </w:r>
      <w:proofErr w:type="spellStart"/>
      <w:r w:rsidR="002713F3">
        <w:rPr>
          <w:rFonts w:ascii="Times New Roman" w:hAnsi="Times New Roman" w:cs="Times New Roman"/>
          <w:sz w:val="24"/>
          <w:szCs w:val="24"/>
        </w:rPr>
        <w:t>biofloc</w:t>
      </w:r>
      <w:proofErr w:type="spellEnd"/>
      <w:r w:rsidR="002713F3">
        <w:rPr>
          <w:rFonts w:ascii="Times New Roman" w:hAnsi="Times New Roman" w:cs="Times New Roman"/>
          <w:sz w:val="24"/>
          <w:szCs w:val="24"/>
        </w:rPr>
        <w:t xml:space="preserve"> formation</w:t>
      </w:r>
      <w:r w:rsidRPr="00773352">
        <w:rPr>
          <w:rFonts w:ascii="Times New Roman" w:hAnsi="Times New Roman" w:cs="Times New Roman"/>
          <w:sz w:val="24"/>
          <w:szCs w:val="24"/>
        </w:rPr>
        <w:t xml:space="preserve">. The suspended solids were collected in plankton net (60 </w:t>
      </w:r>
      <w:proofErr w:type="spellStart"/>
      <w:r w:rsidRPr="00773352">
        <w:rPr>
          <w:rFonts w:ascii="Times New Roman" w:hAnsi="Times New Roman" w:cs="Times New Roman"/>
          <w:sz w:val="24"/>
          <w:szCs w:val="24"/>
        </w:rPr>
        <w:t>μm</w:t>
      </w:r>
      <w:proofErr w:type="spellEnd"/>
      <w:r w:rsidRPr="00773352">
        <w:rPr>
          <w:rFonts w:ascii="Times New Roman" w:hAnsi="Times New Roman" w:cs="Times New Roman"/>
          <w:sz w:val="24"/>
          <w:szCs w:val="24"/>
        </w:rPr>
        <w:t xml:space="preserve"> mesh size). This slurry was then added in equal amounts to each aquarium except that of the control two days prior to stocking of the fish to facilitate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production. After 14 days of acclimation, the African catfish were sorted into similar sizes (mean weight of 5.06 g and mean total length of 8.65 cm) and then 20 fish were added to each of the </w:t>
      </w:r>
      <w:proofErr w:type="gramStart"/>
      <w:r w:rsidRPr="00773352">
        <w:rPr>
          <w:rFonts w:ascii="Times New Roman" w:hAnsi="Times New Roman" w:cs="Times New Roman"/>
          <w:sz w:val="24"/>
          <w:szCs w:val="24"/>
        </w:rPr>
        <w:t>12 plastic</w:t>
      </w:r>
      <w:proofErr w:type="gramEnd"/>
      <w:r w:rsidRPr="00773352">
        <w:rPr>
          <w:rFonts w:ascii="Times New Roman" w:hAnsi="Times New Roman" w:cs="Times New Roman"/>
          <w:sz w:val="24"/>
          <w:szCs w:val="24"/>
        </w:rPr>
        <w:t xml:space="preserve"> tank.</w:t>
      </w:r>
    </w:p>
    <w:p w:rsidR="00364BF6" w:rsidRPr="00773352" w:rsidRDefault="00364BF6" w:rsidP="00FC07C5">
      <w:pPr>
        <w:pStyle w:val="Default"/>
        <w:jc w:val="both"/>
      </w:pPr>
      <w:r w:rsidRPr="00773352">
        <w:rPr>
          <w:b/>
          <w:bCs/>
        </w:rPr>
        <w:t xml:space="preserve">Experimental Set-up </w:t>
      </w:r>
    </w:p>
    <w:p w:rsidR="00DB18DC"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There were a total of four treatments, and </w:t>
      </w:r>
      <w:r w:rsidR="008C0CDC">
        <w:rPr>
          <w:rFonts w:ascii="Times New Roman" w:hAnsi="Times New Roman" w:cs="Times New Roman"/>
          <w:sz w:val="24"/>
          <w:szCs w:val="24"/>
        </w:rPr>
        <w:t xml:space="preserve">each treatment was triplicated making a total of 12 plastic tanks for the experiment. Each plastic tank was stocked with 20 fish. </w:t>
      </w:r>
      <w:r w:rsidRPr="00773352">
        <w:rPr>
          <w:rFonts w:ascii="Times New Roman" w:hAnsi="Times New Roman" w:cs="Times New Roman"/>
          <w:sz w:val="24"/>
          <w:szCs w:val="24"/>
        </w:rPr>
        <w:t xml:space="preserve"> The plastic tanks were filled with 80 L of dechlorinated freshwater receiving rigorous aeration from three </w:t>
      </w:r>
      <w:proofErr w:type="spellStart"/>
      <w:r w:rsidRPr="00773352">
        <w:rPr>
          <w:rFonts w:ascii="Times New Roman" w:hAnsi="Times New Roman" w:cs="Times New Roman"/>
          <w:sz w:val="24"/>
          <w:szCs w:val="24"/>
        </w:rPr>
        <w:lastRenderedPageBreak/>
        <w:t>airstones</w:t>
      </w:r>
      <w:proofErr w:type="spellEnd"/>
      <w:r w:rsidRPr="00773352">
        <w:rPr>
          <w:rFonts w:ascii="Times New Roman" w:hAnsi="Times New Roman" w:cs="Times New Roman"/>
          <w:sz w:val="24"/>
          <w:szCs w:val="24"/>
        </w:rPr>
        <w:t xml:space="preserve">, which was increased to four by the second week. The four treatments were allocated randomly, which consisted of </w:t>
      </w:r>
      <w:r w:rsidR="00DB18DC" w:rsidRPr="00773352">
        <w:rPr>
          <w:rFonts w:ascii="Times New Roman" w:hAnsi="Times New Roman" w:cs="Times New Roman"/>
          <w:sz w:val="24"/>
          <w:szCs w:val="24"/>
        </w:rPr>
        <w:t xml:space="preserve">different C/N ratio of </w:t>
      </w:r>
      <w:r w:rsidRPr="00773352">
        <w:rPr>
          <w:rFonts w:ascii="Times New Roman" w:hAnsi="Times New Roman" w:cs="Times New Roman"/>
          <w:sz w:val="24"/>
          <w:szCs w:val="24"/>
        </w:rPr>
        <w:t xml:space="preserve">wheat bran </w:t>
      </w:r>
      <w:r w:rsidR="008C0CDC">
        <w:rPr>
          <w:rFonts w:ascii="Times New Roman" w:hAnsi="Times New Roman" w:cs="Times New Roman"/>
          <w:sz w:val="24"/>
          <w:szCs w:val="24"/>
        </w:rPr>
        <w:t xml:space="preserve">which was calculated by the formula reported by Dauda (2018) </w:t>
      </w:r>
      <w:r w:rsidRPr="00773352">
        <w:rPr>
          <w:rFonts w:ascii="Times New Roman" w:hAnsi="Times New Roman" w:cs="Times New Roman"/>
          <w:sz w:val="24"/>
          <w:szCs w:val="24"/>
        </w:rPr>
        <w:t xml:space="preserve">that acted as a carbon source to produce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while a control treatment received no additional carbon input. </w:t>
      </w:r>
      <w:r w:rsidR="00DB18DC"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wheat bran was locally sourced, hammer milled to a fine powder and then collected after passing through a 425 </w:t>
      </w:r>
      <w:proofErr w:type="spellStart"/>
      <w:r w:rsidRPr="00773352">
        <w:rPr>
          <w:rFonts w:ascii="Times New Roman" w:hAnsi="Times New Roman" w:cs="Times New Roman"/>
          <w:sz w:val="24"/>
          <w:szCs w:val="24"/>
        </w:rPr>
        <w:t>μm</w:t>
      </w:r>
      <w:proofErr w:type="spellEnd"/>
      <w:r w:rsidRPr="00773352">
        <w:rPr>
          <w:rFonts w:ascii="Times New Roman" w:hAnsi="Times New Roman" w:cs="Times New Roman"/>
          <w:sz w:val="24"/>
          <w:szCs w:val="24"/>
        </w:rPr>
        <w:t xml:space="preserve"> sieve. </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Feeding of Fish</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fingerlings were fed manually by broadcasting at 5% body weight in two equal rations daily, in the morning (09.00h) and evening (19.00h). </w:t>
      </w:r>
      <w:r w:rsidR="006C6247"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rations were adjusted weekly based on the sampled total weight of fish in each tank. After recording the amount of feed consumed (in the morning and afternoon), appropriate amounts of each carbon source were added 2 </w:t>
      </w:r>
      <w:proofErr w:type="spellStart"/>
      <w:r w:rsidRPr="00773352">
        <w:rPr>
          <w:rFonts w:ascii="Times New Roman" w:hAnsi="Times New Roman" w:cs="Times New Roman"/>
          <w:sz w:val="24"/>
          <w:szCs w:val="24"/>
        </w:rPr>
        <w:t>hrs</w:t>
      </w:r>
      <w:proofErr w:type="spellEnd"/>
      <w:r w:rsidRPr="00773352">
        <w:rPr>
          <w:rFonts w:ascii="Times New Roman" w:hAnsi="Times New Roman" w:cs="Times New Roman"/>
          <w:sz w:val="24"/>
          <w:szCs w:val="24"/>
        </w:rPr>
        <w:t xml:space="preserve"> after first feeding according to </w:t>
      </w:r>
      <w:proofErr w:type="spellStart"/>
      <w:r w:rsidRPr="00773352">
        <w:rPr>
          <w:rFonts w:ascii="Times New Roman" w:hAnsi="Times New Roman" w:cs="Times New Roman"/>
          <w:sz w:val="24"/>
          <w:szCs w:val="24"/>
        </w:rPr>
        <w:t>Ekasari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iCs/>
          <w:sz w:val="24"/>
          <w:szCs w:val="24"/>
        </w:rPr>
        <w:t>et al</w:t>
      </w:r>
      <w:r w:rsidR="007E4591" w:rsidRPr="00773352">
        <w:rPr>
          <w:rFonts w:ascii="Times New Roman" w:hAnsi="Times New Roman" w:cs="Times New Roman"/>
          <w:sz w:val="24"/>
          <w:szCs w:val="24"/>
        </w:rPr>
        <w:t>. (2015</w:t>
      </w:r>
      <w:r w:rsidRPr="00773352">
        <w:rPr>
          <w:rFonts w:ascii="Times New Roman" w:hAnsi="Times New Roman" w:cs="Times New Roman"/>
          <w:sz w:val="24"/>
          <w:szCs w:val="24"/>
        </w:rPr>
        <w:t xml:space="preserve">) at </w:t>
      </w:r>
      <w:r w:rsidR="006C6247" w:rsidRPr="00773352">
        <w:rPr>
          <w:rFonts w:ascii="Times New Roman" w:hAnsi="Times New Roman" w:cs="Times New Roman"/>
          <w:sz w:val="24"/>
          <w:szCs w:val="24"/>
        </w:rPr>
        <w:t xml:space="preserve">different </w:t>
      </w:r>
      <w:r w:rsidRPr="00773352">
        <w:rPr>
          <w:rFonts w:ascii="Times New Roman" w:hAnsi="Times New Roman" w:cs="Times New Roman"/>
          <w:sz w:val="24"/>
          <w:szCs w:val="24"/>
        </w:rPr>
        <w:t xml:space="preserve">C/N ratio of </w:t>
      </w:r>
      <w:r w:rsidR="006C6247" w:rsidRPr="00773352">
        <w:rPr>
          <w:rFonts w:ascii="Times New Roman" w:hAnsi="Times New Roman" w:cs="Times New Roman"/>
          <w:sz w:val="24"/>
          <w:szCs w:val="24"/>
        </w:rPr>
        <w:t xml:space="preserve">10, </w:t>
      </w:r>
      <w:r w:rsidRPr="00773352">
        <w:rPr>
          <w:rFonts w:ascii="Times New Roman" w:hAnsi="Times New Roman" w:cs="Times New Roman"/>
          <w:sz w:val="24"/>
          <w:szCs w:val="24"/>
        </w:rPr>
        <w:t>15</w:t>
      </w:r>
      <w:r w:rsidR="006C6247" w:rsidRPr="00773352">
        <w:rPr>
          <w:rFonts w:ascii="Times New Roman" w:hAnsi="Times New Roman" w:cs="Times New Roman"/>
          <w:sz w:val="24"/>
          <w:szCs w:val="24"/>
        </w:rPr>
        <w:t xml:space="preserve"> and 20</w:t>
      </w:r>
      <w:r w:rsidR="00B37924">
        <w:rPr>
          <w:rFonts w:ascii="Times New Roman" w:hAnsi="Times New Roman" w:cs="Times New Roman"/>
          <w:sz w:val="24"/>
          <w:szCs w:val="24"/>
        </w:rPr>
        <w:t xml:space="preserve"> because these ratios dictate the dominance of specific microbial pathways for nitrogen removal and influence the nutritional quality of the flocs</w:t>
      </w:r>
      <w:r w:rsidRPr="00773352">
        <w:rPr>
          <w:rFonts w:ascii="Times New Roman" w:hAnsi="Times New Roman" w:cs="Times New Roman"/>
          <w:sz w:val="24"/>
          <w:szCs w:val="24"/>
        </w:rPr>
        <w:t xml:space="preserve">. </w:t>
      </w:r>
      <w:r w:rsidR="00557398" w:rsidRPr="00557398">
        <w:rPr>
          <w:rFonts w:ascii="Times New Roman" w:hAnsi="Times New Roman" w:cs="Times New Roman"/>
          <w:sz w:val="24"/>
          <w:szCs w:val="24"/>
        </w:rPr>
        <w:t xml:space="preserve">The minimum to maximum amount of carbon sources added per day to each </w:t>
      </w:r>
      <w:proofErr w:type="spellStart"/>
      <w:r w:rsidR="00557398" w:rsidRPr="00557398">
        <w:rPr>
          <w:rFonts w:ascii="Times New Roman" w:hAnsi="Times New Roman" w:cs="Times New Roman"/>
          <w:sz w:val="24"/>
          <w:szCs w:val="24"/>
        </w:rPr>
        <w:t>biofloc</w:t>
      </w:r>
      <w:proofErr w:type="spellEnd"/>
      <w:r w:rsidR="00557398" w:rsidRPr="00557398">
        <w:rPr>
          <w:rFonts w:ascii="Times New Roman" w:hAnsi="Times New Roman" w:cs="Times New Roman"/>
          <w:sz w:val="24"/>
          <w:szCs w:val="24"/>
        </w:rPr>
        <w:t xml:space="preserve"> tank during the experimental period was 35.38 to 68.83 g for </w:t>
      </w:r>
      <w:r w:rsidR="00557398">
        <w:rPr>
          <w:rFonts w:ascii="Times New Roman" w:hAnsi="Times New Roman" w:cs="Times New Roman"/>
          <w:sz w:val="24"/>
          <w:szCs w:val="24"/>
        </w:rPr>
        <w:t>the</w:t>
      </w:r>
      <w:r w:rsidR="00557398" w:rsidRPr="00557398">
        <w:rPr>
          <w:rFonts w:ascii="Times New Roman" w:hAnsi="Times New Roman" w:cs="Times New Roman"/>
          <w:sz w:val="24"/>
          <w:szCs w:val="24"/>
        </w:rPr>
        <w:t xml:space="preserve"> treatments</w:t>
      </w:r>
      <w:r w:rsidR="00557398">
        <w:rPr>
          <w:rFonts w:ascii="Times New Roman" w:hAnsi="Times New Roman" w:cs="Times New Roman"/>
          <w:sz w:val="24"/>
          <w:szCs w:val="24"/>
        </w:rPr>
        <w:t>.</w:t>
      </w:r>
      <w:r w:rsidR="00557398" w:rsidRPr="00557398">
        <w:rPr>
          <w:rFonts w:ascii="Times New Roman" w:hAnsi="Times New Roman" w:cs="Times New Roman"/>
          <w:sz w:val="24"/>
          <w:szCs w:val="24"/>
        </w:rPr>
        <w:t xml:space="preserve"> </w:t>
      </w:r>
      <w:r w:rsidR="005227F3">
        <w:rPr>
          <w:rFonts w:ascii="Times New Roman" w:hAnsi="Times New Roman" w:cs="Times New Roman"/>
          <w:sz w:val="24"/>
          <w:szCs w:val="24"/>
        </w:rPr>
        <w:t xml:space="preserve">The method of Craig and Helfrich (2002) was used to calculate the amount of wheat bran to be added </w:t>
      </w:r>
      <w:proofErr w:type="gramStart"/>
      <w:r w:rsidR="005227F3">
        <w:rPr>
          <w:rFonts w:ascii="Times New Roman" w:hAnsi="Times New Roman" w:cs="Times New Roman"/>
          <w:sz w:val="24"/>
          <w:szCs w:val="24"/>
        </w:rPr>
        <w:t>at  carbon</w:t>
      </w:r>
      <w:proofErr w:type="gramEnd"/>
      <w:r w:rsidR="005227F3">
        <w:rPr>
          <w:rFonts w:ascii="Times New Roman" w:hAnsi="Times New Roman" w:cs="Times New Roman"/>
          <w:sz w:val="24"/>
          <w:szCs w:val="24"/>
        </w:rPr>
        <w:t xml:space="preserve"> to nitrogen ratio based on feed with 43% crude protein used in the experiment. </w:t>
      </w:r>
      <w:r w:rsidRPr="00773352">
        <w:rPr>
          <w:rFonts w:ascii="Times New Roman" w:hAnsi="Times New Roman" w:cs="Times New Roman"/>
          <w:sz w:val="24"/>
          <w:szCs w:val="24"/>
        </w:rPr>
        <w:t xml:space="preserve">This experiment was designed to be a zero water exchange system 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treatments, but in the control treatment approximately 60% of the water was exchanged every two days. The frequency was then increased to 60% each day beginning from the third week. 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treatments, water was only added to compensate for evaporation. The behavior of the fingerlings </w:t>
      </w:r>
      <w:proofErr w:type="gramStart"/>
      <w:r w:rsidRPr="00773352">
        <w:rPr>
          <w:rFonts w:ascii="Times New Roman" w:hAnsi="Times New Roman" w:cs="Times New Roman"/>
          <w:sz w:val="24"/>
          <w:szCs w:val="24"/>
        </w:rPr>
        <w:t>were</w:t>
      </w:r>
      <w:proofErr w:type="gramEnd"/>
      <w:r w:rsidRPr="00773352">
        <w:rPr>
          <w:rFonts w:ascii="Times New Roman" w:hAnsi="Times New Roman" w:cs="Times New Roman"/>
          <w:sz w:val="24"/>
          <w:szCs w:val="24"/>
        </w:rPr>
        <w:t xml:space="preserve"> observed during feeding.</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Sampling of Fish</w:t>
      </w:r>
    </w:p>
    <w:p w:rsidR="00364BF6" w:rsidRPr="00773352" w:rsidRDefault="00364BF6"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The lengths and weights of each fingerling in each tank were measured at the beginning of the experiment. Total and average lengths and weights per tank and per treatment were calculated and recorded as initial lengths and weights. Five fingerlings were sampled randomly from each tank weekly to determine the growth rate and review the feed rations. The fingerlings were quickly weighed and returned back into the tank, the average and total weights per tank and diet were calculated. At the end of the experiment, the final lengths and weights of all fish left in each tank were measured. Average and total weights were computed</w:t>
      </w:r>
      <w:r w:rsidR="00240C53" w:rsidRPr="00773352">
        <w:rPr>
          <w:rFonts w:ascii="Times New Roman" w:hAnsi="Times New Roman" w:cs="Times New Roman"/>
          <w:sz w:val="24"/>
          <w:szCs w:val="24"/>
        </w:rPr>
        <w:t>.</w:t>
      </w:r>
    </w:p>
    <w:p w:rsidR="00240C53" w:rsidRPr="00773352" w:rsidRDefault="00240C53" w:rsidP="00FC07C5">
      <w:pPr>
        <w:pStyle w:val="Default"/>
        <w:jc w:val="both"/>
      </w:pPr>
      <w:r w:rsidRPr="00773352">
        <w:rPr>
          <w:b/>
          <w:bCs/>
        </w:rPr>
        <w:t xml:space="preserve">Measurement of the </w:t>
      </w:r>
      <w:proofErr w:type="spellStart"/>
      <w:r w:rsidRPr="00773352">
        <w:rPr>
          <w:b/>
          <w:bCs/>
        </w:rPr>
        <w:t>biofloc</w:t>
      </w:r>
      <w:proofErr w:type="spellEnd"/>
      <w:r w:rsidRPr="00773352">
        <w:rPr>
          <w:b/>
          <w:bCs/>
        </w:rPr>
        <w:t xml:space="preserve"> volume, wet weight and dry weight </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volume of the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in each tank was estimated weekly, commencing at the end of the first week by using an Imhoff cone. Briefly, one </w:t>
      </w:r>
      <w:proofErr w:type="spellStart"/>
      <w:r w:rsidRPr="00773352">
        <w:rPr>
          <w:rFonts w:ascii="Times New Roman" w:hAnsi="Times New Roman" w:cs="Times New Roman"/>
          <w:sz w:val="24"/>
          <w:szCs w:val="24"/>
        </w:rPr>
        <w:t>litre</w:t>
      </w:r>
      <w:proofErr w:type="spellEnd"/>
      <w:r w:rsidRPr="00773352">
        <w:rPr>
          <w:rFonts w:ascii="Times New Roman" w:hAnsi="Times New Roman" w:cs="Times New Roman"/>
          <w:sz w:val="24"/>
          <w:szCs w:val="24"/>
        </w:rPr>
        <w:t xml:space="preserve"> of the culture water was collected and allowed to settle for 30 min.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volume in the cone was measured in mL L-1, and the clear water layer was later decanted and the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collected with plankton net 60 </w:t>
      </w:r>
      <w:r w:rsidRPr="00773352">
        <w:rPr>
          <w:rFonts w:ascii="Times New Roman" w:hAnsi="Times New Roman" w:cs="Times New Roman"/>
          <w:sz w:val="24"/>
          <w:szCs w:val="24"/>
        </w:rPr>
        <w:t xml:space="preserve">m mesh size. After allowing the excess water to drain, the solid was weighed and recorded as wet weight in g L-1. The wet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oven dried at 60°C for 48 </w:t>
      </w:r>
      <w:proofErr w:type="spellStart"/>
      <w:r w:rsidRPr="00773352">
        <w:rPr>
          <w:rFonts w:ascii="Times New Roman" w:hAnsi="Times New Roman" w:cs="Times New Roman"/>
          <w:sz w:val="24"/>
          <w:szCs w:val="24"/>
        </w:rPr>
        <w:t>hr</w:t>
      </w:r>
      <w:proofErr w:type="spellEnd"/>
      <w:r w:rsidRPr="00773352">
        <w:rPr>
          <w:rFonts w:ascii="Times New Roman" w:hAnsi="Times New Roman" w:cs="Times New Roman"/>
          <w:sz w:val="24"/>
          <w:szCs w:val="24"/>
        </w:rPr>
        <w:t xml:space="preserve"> and the dried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cooled for 10 min in a desiccator and weighed as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dry weight in g L-1.</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Determination of Growth and Nutrient Utilization of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Growth and nutrient utilization parameters were computed for fingerlings in each treatment using the formulae in Kolawole and </w:t>
      </w:r>
      <w:proofErr w:type="spellStart"/>
      <w:r w:rsidRPr="00773352">
        <w:rPr>
          <w:rFonts w:ascii="Times New Roman" w:hAnsi="Times New Roman" w:cs="Times New Roman"/>
          <w:sz w:val="24"/>
          <w:szCs w:val="24"/>
        </w:rPr>
        <w:t>Ugwumba</w:t>
      </w:r>
      <w:proofErr w:type="spellEnd"/>
      <w:r w:rsidRPr="00773352">
        <w:rPr>
          <w:rFonts w:ascii="Times New Roman" w:hAnsi="Times New Roman" w:cs="Times New Roman"/>
          <w:sz w:val="24"/>
          <w:szCs w:val="24"/>
        </w:rPr>
        <w:t xml:space="preserve"> (2018)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Length Gain = FML – IML</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 xml:space="preserve">Where FML is the final mean </w:t>
      </w:r>
      <w:proofErr w:type="spellStart"/>
      <w:r w:rsidRPr="00773352">
        <w:rPr>
          <w:rFonts w:ascii="Times New Roman" w:hAnsi="Times New Roman" w:cs="Times New Roman"/>
          <w:sz w:val="24"/>
          <w:szCs w:val="24"/>
        </w:rPr>
        <w:t>lemgth</w:t>
      </w:r>
      <w:proofErr w:type="spellEnd"/>
      <w:r w:rsidRPr="00773352">
        <w:rPr>
          <w:rFonts w:ascii="Times New Roman" w:hAnsi="Times New Roman" w:cs="Times New Roman"/>
          <w:sz w:val="24"/>
          <w:szCs w:val="24"/>
        </w:rPr>
        <w:t xml:space="preserve"> (cm/fish)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IML is the initial mean length (cm/fish)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Weight Gain = FMW – IMW</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FMW is the final mean weight (g/fish)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lastRenderedPageBreak/>
        <w:t>IMW is the initial mean weight (g/fish)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Relative Growth Rate (RGR) % = </w:t>
      </w:r>
      <m:oMath>
        <m:f>
          <m:fPr>
            <m:ctrlPr>
              <w:rPr>
                <w:rFonts w:ascii="Cambria Math" w:hAnsi="Cambria Math" w:cs="Times New Roman"/>
                <w:i/>
                <w:sz w:val="24"/>
                <w:szCs w:val="24"/>
              </w:rPr>
            </m:ctrlPr>
          </m:fPr>
          <m:num>
            <m:r>
              <w:rPr>
                <w:rFonts w:ascii="Cambria Math" w:hAnsi="Cambria Math" w:cs="Times New Roman"/>
                <w:sz w:val="24"/>
                <w:szCs w:val="24"/>
              </w:rPr>
              <m:t>Wf-Wi</m:t>
            </m:r>
          </m:num>
          <m:den>
            <m:r>
              <w:rPr>
                <w:rFonts w:ascii="Cambria Math" w:hAnsi="Cambria Math" w:cs="Times New Roman"/>
                <w:sz w:val="24"/>
                <w:szCs w:val="24"/>
              </w:rPr>
              <m:t>Wi</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Wi is the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73352">
        <w:rPr>
          <w:rFonts w:ascii="Times New Roman" w:hAnsi="Times New Roman" w:cs="Times New Roman"/>
          <w:sz w:val="24"/>
          <w:szCs w:val="24"/>
        </w:rPr>
        <w:t>Wf</w:t>
      </w:r>
      <w:proofErr w:type="spellEnd"/>
      <w:r w:rsidRPr="00773352">
        <w:rPr>
          <w:rFonts w:ascii="Times New Roman" w:hAnsi="Times New Roman" w:cs="Times New Roman"/>
          <w:sz w:val="24"/>
          <w:szCs w:val="24"/>
        </w:rPr>
        <w:t xml:space="preserve"> is the final weight of 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Specific Growth Rate (SGR) % = </w:t>
      </w:r>
      <m:oMath>
        <m:f>
          <m:fPr>
            <m:ctrlPr>
              <w:rPr>
                <w:rFonts w:ascii="Cambria Math" w:hAnsi="Cambria Math" w:cs="Times New Roman"/>
                <w:i/>
                <w:sz w:val="24"/>
                <w:szCs w:val="24"/>
              </w:rPr>
            </m:ctrlPr>
          </m:fPr>
          <m:num>
            <m:r>
              <w:rPr>
                <w:rFonts w:ascii="Cambria Math" w:hAnsi="Cambria Math" w:cs="Times New Roman"/>
                <w:sz w:val="24"/>
                <w:szCs w:val="24"/>
              </w:rPr>
              <m:t>logWf-logWi</m:t>
            </m:r>
          </m:num>
          <m:den>
            <m:r>
              <w:rPr>
                <w:rFonts w:ascii="Cambria Math" w:hAnsi="Cambria Math" w:cs="Times New Roman"/>
                <w:sz w:val="24"/>
                <w:szCs w:val="24"/>
              </w:rPr>
              <m:t>T</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 xml:space="preserve">Where </w:t>
      </w:r>
      <w:proofErr w:type="spellStart"/>
      <w:r w:rsidRPr="00773352">
        <w:rPr>
          <w:rFonts w:ascii="Times New Roman" w:hAnsi="Times New Roman" w:cs="Times New Roman"/>
          <w:sz w:val="24"/>
          <w:szCs w:val="24"/>
        </w:rPr>
        <w:t>logWi</w:t>
      </w:r>
      <w:proofErr w:type="spellEnd"/>
      <w:r w:rsidRPr="00773352">
        <w:rPr>
          <w:rFonts w:ascii="Times New Roman" w:hAnsi="Times New Roman" w:cs="Times New Roman"/>
          <w:sz w:val="24"/>
          <w:szCs w:val="24"/>
        </w:rPr>
        <w:t xml:space="preserve"> is the natural logarithm of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73352">
        <w:rPr>
          <w:rFonts w:ascii="Times New Roman" w:hAnsi="Times New Roman" w:cs="Times New Roman"/>
          <w:sz w:val="24"/>
          <w:szCs w:val="24"/>
        </w:rPr>
        <w:t>logWf</w:t>
      </w:r>
      <w:proofErr w:type="spellEnd"/>
      <w:r w:rsidRPr="00773352">
        <w:rPr>
          <w:rFonts w:ascii="Times New Roman" w:hAnsi="Times New Roman" w:cs="Times New Roman"/>
          <w:sz w:val="24"/>
          <w:szCs w:val="24"/>
        </w:rPr>
        <w:t xml:space="preserve"> is the natural logarithm of final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T is the total number of days of experiment</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 xml:space="preserve">Food Conversion Ratio (FCR) % = </w:t>
      </w:r>
      <m:oMath>
        <m:f>
          <m:fPr>
            <m:ctrlPr>
              <w:rPr>
                <w:rFonts w:ascii="Cambria Math" w:hAnsi="Cambria Math" w:cs="Times New Roman"/>
                <w:i/>
                <w:sz w:val="24"/>
                <w:szCs w:val="24"/>
              </w:rPr>
            </m:ctrlPr>
          </m:fPr>
          <m:num>
            <m:r>
              <w:rPr>
                <w:rFonts w:ascii="Cambria Math" w:hAnsi="Cambria Math" w:cs="Times New Roman"/>
                <w:sz w:val="24"/>
                <w:szCs w:val="24"/>
              </w:rPr>
              <m:t>Total food supplied (g)</m:t>
            </m:r>
          </m:num>
          <m:den>
            <m:r>
              <w:rPr>
                <w:rFonts w:ascii="Cambria Math" w:hAnsi="Cambria Math" w:cs="Times New Roman"/>
                <w:sz w:val="24"/>
                <w:szCs w:val="24"/>
              </w:rPr>
              <m:t>Total weight gain (g)</m:t>
            </m:r>
          </m:den>
        </m:f>
      </m:oMath>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Intake = Food supplied (g) x % crude protein of feed</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 xml:space="preserve">Protein Efficiency Ratio (PER) %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Mean weight gain (g)</m:t>
            </m:r>
          </m:num>
          <m:den>
            <m:r>
              <m:rPr>
                <m:sty m:val="bi"/>
              </m:rPr>
              <w:rPr>
                <w:rFonts w:ascii="Cambria Math" w:hAnsi="Cambria Math" w:cs="Times New Roman"/>
                <w:sz w:val="24"/>
                <w:szCs w:val="24"/>
              </w:rPr>
              <m:t>Mean protein intake</m:t>
            </m:r>
          </m:den>
        </m:f>
      </m:oMath>
    </w:p>
    <w:p w:rsidR="0018573A"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The protein productive value of fish for each experimental diet was determined using the formulae in Mohammed et al., (2008)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Productive Value (PPV) %</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)/PI}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 xml:space="preserve"> is the initial body protein content (g)</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is final body protein content (g)</w:t>
      </w:r>
    </w:p>
    <w:p w:rsidR="00240C53" w:rsidRPr="00773352" w:rsidRDefault="00240C53"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PI is protein intake (g)</w:t>
      </w:r>
    </w:p>
    <w:p w:rsidR="00364BF6" w:rsidRPr="00773352" w:rsidRDefault="00364BF6" w:rsidP="00FC07C5">
      <w:pPr>
        <w:pStyle w:val="Default"/>
        <w:jc w:val="both"/>
      </w:pPr>
      <w:r w:rsidRPr="00773352">
        <w:rPr>
          <w:b/>
          <w:bCs/>
        </w:rPr>
        <w:t xml:space="preserve">Determination of selected water quality </w:t>
      </w:r>
      <w:proofErr w:type="spellStart"/>
      <w:r w:rsidRPr="00773352">
        <w:rPr>
          <w:b/>
          <w:bCs/>
        </w:rPr>
        <w:t>paramters</w:t>
      </w:r>
      <w:proofErr w:type="spellEnd"/>
      <w:r w:rsidRPr="00773352">
        <w:rPr>
          <w:b/>
          <w:bCs/>
        </w:rPr>
        <w:t xml:space="preserve">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physic-chemical parameters that was determined </w:t>
      </w:r>
      <w:proofErr w:type="spellStart"/>
      <w:r w:rsidRPr="00773352">
        <w:rPr>
          <w:rFonts w:ascii="Times New Roman" w:hAnsi="Times New Roman" w:cs="Times New Roman"/>
          <w:sz w:val="24"/>
          <w:szCs w:val="24"/>
        </w:rPr>
        <w:t>troughout</w:t>
      </w:r>
      <w:proofErr w:type="spellEnd"/>
      <w:r w:rsidRPr="00773352">
        <w:rPr>
          <w:rFonts w:ascii="Times New Roman" w:hAnsi="Times New Roman" w:cs="Times New Roman"/>
          <w:sz w:val="24"/>
          <w:szCs w:val="24"/>
        </w:rPr>
        <w:t xml:space="preserve"> the experimental period were; Dissolved Oxygen (DO) and Temperature which was measured weekly using (DO meter), the pH which was determined using pH meter (AS218), ammonia which was measured using Handled Colorimeter Ammonia (MR H1708 Hanna Instrument) and nitrate was measured using Nitrate Portable Photometer (HANNA HI 96786. The results were presented weekly by finding the mean of</w:t>
      </w:r>
      <w:r w:rsidR="006C6247" w:rsidRPr="00773352">
        <w:rPr>
          <w:rFonts w:ascii="Times New Roman" w:hAnsi="Times New Roman" w:cs="Times New Roman"/>
          <w:sz w:val="24"/>
          <w:szCs w:val="24"/>
        </w:rPr>
        <w:t xml:space="preserve"> the two records for each week.</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Proximate analysis of Experimental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Proximate composition analysis provided essential information on the nutritional value of the fish by determining moisture, crude protein, lipid ash and nitrogen-free extract content. These components are crucial indicators of fish quality, shelf life </w:t>
      </w:r>
      <w:proofErr w:type="gramStart"/>
      <w:r w:rsidRPr="00773352">
        <w:rPr>
          <w:rFonts w:ascii="Times New Roman" w:hAnsi="Times New Roman" w:cs="Times New Roman"/>
          <w:sz w:val="24"/>
          <w:szCs w:val="24"/>
        </w:rPr>
        <w:t>an</w:t>
      </w:r>
      <w:proofErr w:type="gramEnd"/>
      <w:r w:rsidRPr="00773352">
        <w:rPr>
          <w:rFonts w:ascii="Times New Roman" w:hAnsi="Times New Roman" w:cs="Times New Roman"/>
          <w:sz w:val="24"/>
          <w:szCs w:val="24"/>
        </w:rPr>
        <w:t xml:space="preserve"> market value (Abbas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6C6247" w:rsidRPr="00773352" w:rsidRDefault="006C6247"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Statistical Analysis</w:t>
      </w:r>
    </w:p>
    <w:p w:rsidR="0018573A" w:rsidRPr="00773352" w:rsidRDefault="002C6A47"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All data were presented as mean ± standard error (SE). Homogeneity and normality of the data were tested prior the analysis and where necessary data are transformed as appropriate with either square root or logarithmic transformation. A one-way ANOVA was used to determine significant differences, and if found at p &lt; 0.05, Duncan’s multiple range test was used to identify the treatments with differences.</w:t>
      </w:r>
    </w:p>
    <w:p w:rsidR="002C6A47" w:rsidRPr="00773352" w:rsidRDefault="002C6A47"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Results</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Water quality parameters of the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Water quality parameters were checked every week and the result is shown in Table 1. EC ranges from 850.67</w:t>
      </w:r>
      <w:r w:rsidR="005E731F">
        <w:rPr>
          <w:rFonts w:ascii="Times New Roman" w:hAnsi="Times New Roman" w:cs="Times New Roman"/>
          <w:bCs/>
          <w:sz w:val="24"/>
          <w:szCs w:val="24"/>
        </w:rPr>
        <w:t>u/S</w:t>
      </w:r>
      <w:r w:rsidRPr="00773352">
        <w:rPr>
          <w:rFonts w:ascii="Times New Roman" w:hAnsi="Times New Roman" w:cs="Times New Roman"/>
          <w:bCs/>
          <w:sz w:val="24"/>
          <w:szCs w:val="24"/>
        </w:rPr>
        <w:t xml:space="preserve"> – 950.67</w:t>
      </w:r>
      <w:r w:rsidR="005E731F">
        <w:rPr>
          <w:rFonts w:ascii="Times New Roman" w:hAnsi="Times New Roman" w:cs="Times New Roman"/>
          <w:bCs/>
          <w:sz w:val="24"/>
          <w:szCs w:val="24"/>
        </w:rPr>
        <w:t>u/S</w:t>
      </w:r>
      <w:r w:rsidRPr="00773352">
        <w:rPr>
          <w:rFonts w:ascii="Times New Roman" w:hAnsi="Times New Roman" w:cs="Times New Roman"/>
          <w:bCs/>
          <w:sz w:val="24"/>
          <w:szCs w:val="24"/>
        </w:rPr>
        <w:t xml:space="preserve"> and there is no significant different. The DO ranges from 3.20</w:t>
      </w:r>
      <w:r w:rsidR="005E731F">
        <w:rPr>
          <w:rFonts w:ascii="Times New Roman" w:hAnsi="Times New Roman" w:cs="Times New Roman"/>
          <w:bCs/>
          <w:sz w:val="24"/>
          <w:szCs w:val="24"/>
        </w:rPr>
        <w:t>mg/L</w:t>
      </w:r>
      <w:r w:rsidRPr="00773352">
        <w:rPr>
          <w:rFonts w:ascii="Times New Roman" w:hAnsi="Times New Roman" w:cs="Times New Roman"/>
          <w:bCs/>
          <w:sz w:val="24"/>
          <w:szCs w:val="24"/>
        </w:rPr>
        <w:t xml:space="preserve"> to 7.30</w:t>
      </w:r>
      <w:r w:rsidR="005E731F">
        <w:rPr>
          <w:rFonts w:ascii="Times New Roman" w:hAnsi="Times New Roman" w:cs="Times New Roman"/>
          <w:bCs/>
          <w:sz w:val="24"/>
          <w:szCs w:val="24"/>
        </w:rPr>
        <w:t>mg/L</w:t>
      </w:r>
      <w:r w:rsidRPr="00773352">
        <w:rPr>
          <w:rFonts w:ascii="Times New Roman" w:hAnsi="Times New Roman" w:cs="Times New Roman"/>
          <w:bCs/>
          <w:sz w:val="24"/>
          <w:szCs w:val="24"/>
        </w:rPr>
        <w:t xml:space="preserve"> and there are significant differences in the value recorded from different carbon sources. The temperature ranges for 26.30</w:t>
      </w:r>
      <w:r w:rsidR="005E731F" w:rsidRPr="005E731F">
        <w:rPr>
          <w:rFonts w:ascii="Times New Roman" w:hAnsi="Times New Roman" w:cs="Times New Roman"/>
          <w:bCs/>
          <w:sz w:val="24"/>
          <w:szCs w:val="24"/>
          <w:vertAlign w:val="superscript"/>
        </w:rPr>
        <w:t>0</w:t>
      </w:r>
      <w:r w:rsidR="005E731F">
        <w:rPr>
          <w:rFonts w:ascii="Times New Roman" w:hAnsi="Times New Roman" w:cs="Times New Roman"/>
          <w:bCs/>
          <w:sz w:val="24"/>
          <w:szCs w:val="24"/>
        </w:rPr>
        <w:t>C</w:t>
      </w:r>
      <w:r w:rsidRPr="00773352">
        <w:rPr>
          <w:rFonts w:ascii="Times New Roman" w:hAnsi="Times New Roman" w:cs="Times New Roman"/>
          <w:bCs/>
          <w:sz w:val="24"/>
          <w:szCs w:val="24"/>
        </w:rPr>
        <w:t xml:space="preserve"> – 26.77</w:t>
      </w:r>
      <w:r w:rsidR="005E731F" w:rsidRPr="005E731F">
        <w:rPr>
          <w:rFonts w:ascii="Times New Roman" w:hAnsi="Times New Roman" w:cs="Times New Roman"/>
          <w:bCs/>
          <w:sz w:val="24"/>
          <w:szCs w:val="24"/>
          <w:vertAlign w:val="superscript"/>
        </w:rPr>
        <w:t>0</w:t>
      </w:r>
      <w:r w:rsidR="005E731F">
        <w:rPr>
          <w:rFonts w:ascii="Times New Roman" w:hAnsi="Times New Roman" w:cs="Times New Roman"/>
          <w:bCs/>
          <w:sz w:val="24"/>
          <w:szCs w:val="24"/>
        </w:rPr>
        <w:t>C</w:t>
      </w:r>
      <w:r w:rsidRPr="00773352">
        <w:rPr>
          <w:rFonts w:ascii="Times New Roman" w:hAnsi="Times New Roman" w:cs="Times New Roman"/>
          <w:bCs/>
          <w:sz w:val="24"/>
          <w:szCs w:val="24"/>
        </w:rPr>
        <w:t xml:space="preserve"> and there is no significant different.</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Table 1: Mean (±SE) selected water quality parameters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using different carbon sources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32"/>
        <w:gridCol w:w="1915"/>
        <w:gridCol w:w="1915"/>
        <w:gridCol w:w="1916"/>
      </w:tblGrid>
      <w:tr w:rsidR="0018573A" w:rsidRPr="00773352" w:rsidTr="00075897">
        <w:tc>
          <w:tcPr>
            <w:tcW w:w="1998"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Parameters</w:t>
            </w:r>
          </w:p>
        </w:tc>
        <w:tc>
          <w:tcPr>
            <w:tcW w:w="1832"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10</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15</w:t>
            </w:r>
          </w:p>
        </w:tc>
        <w:tc>
          <w:tcPr>
            <w:tcW w:w="1916"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20</w:t>
            </w:r>
          </w:p>
        </w:tc>
      </w:tr>
      <w:tr w:rsidR="0018573A" w:rsidRPr="00773352" w:rsidTr="00075897">
        <w:tc>
          <w:tcPr>
            <w:tcW w:w="1998"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EC (u/S)</w:t>
            </w:r>
          </w:p>
        </w:tc>
        <w:tc>
          <w:tcPr>
            <w:tcW w:w="1832"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850.67±7.90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875.33±7.70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873.33±5.83</w:t>
            </w:r>
            <w:r w:rsidRPr="00773352">
              <w:rPr>
                <w:rFonts w:ascii="Times New Roman" w:hAnsi="Times New Roman" w:cs="Times New Roman"/>
                <w:sz w:val="24"/>
                <w:szCs w:val="24"/>
                <w:vertAlign w:val="superscript"/>
              </w:rPr>
              <w:t>a</w:t>
            </w:r>
          </w:p>
        </w:tc>
        <w:tc>
          <w:tcPr>
            <w:tcW w:w="1916"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950.67±6.09</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TDS (mg /L)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433.00±6.53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493.00±5.62</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439.33±6.48</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461.00±5.11</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DO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7.30±0.24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4.23±0.18b</w:t>
            </w:r>
            <w:r w:rsidRPr="00773352">
              <w:rPr>
                <w:rFonts w:ascii="Times New Roman" w:hAnsi="Times New Roman" w:cs="Times New Roman"/>
                <w:sz w:val="24"/>
                <w:szCs w:val="24"/>
                <w:vertAlign w:val="superscript"/>
              </w:rPr>
              <w:t>c</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3.20±0.85</w:t>
            </w:r>
            <w:r w:rsidRPr="00773352">
              <w:rPr>
                <w:rFonts w:ascii="Times New Roman" w:hAnsi="Times New Roman" w:cs="Times New Roman"/>
                <w:sz w:val="24"/>
                <w:szCs w:val="24"/>
                <w:vertAlign w:val="superscript"/>
              </w:rPr>
              <w:t>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5.53±0.26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Temp (</w:t>
            </w:r>
            <w:r w:rsidRPr="00773352">
              <w:rPr>
                <w:rFonts w:ascii="Times New Roman" w:hAnsi="Times New Roman" w:cs="Times New Roman"/>
                <w:sz w:val="24"/>
                <w:szCs w:val="24"/>
                <w:vertAlign w:val="superscript"/>
              </w:rPr>
              <w:t>0</w:t>
            </w:r>
            <w:r w:rsidRPr="00773352">
              <w:rPr>
                <w:rFonts w:ascii="Times New Roman" w:hAnsi="Times New Roman" w:cs="Times New Roman"/>
                <w:sz w:val="24"/>
                <w:szCs w:val="24"/>
              </w:rPr>
              <w:t>C)</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26.60±0.96</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26.63±0.74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26.77±1.02</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26.30±0.80</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NO</w:t>
            </w:r>
            <w:r w:rsidRPr="00773352">
              <w:rPr>
                <w:rFonts w:ascii="Times New Roman" w:hAnsi="Times New Roman" w:cs="Times New Roman"/>
                <w:sz w:val="24"/>
                <w:szCs w:val="24"/>
                <w:vertAlign w:val="subscript"/>
              </w:rPr>
              <w:t>2</w:t>
            </w:r>
            <w:r w:rsidRPr="00773352">
              <w:rPr>
                <w:rFonts w:ascii="Times New Roman" w:hAnsi="Times New Roman" w:cs="Times New Roman"/>
                <w:sz w:val="24"/>
                <w:szCs w:val="24"/>
                <w:vertAlign w:val="superscript"/>
              </w:rPr>
              <w:t xml:space="preserve">_- </w:t>
            </w:r>
            <w:r w:rsidRPr="00773352">
              <w:rPr>
                <w:rFonts w:ascii="Times New Roman" w:hAnsi="Times New Roman" w:cs="Times New Roman"/>
                <w:sz w:val="24"/>
                <w:szCs w:val="24"/>
              </w:rPr>
              <w:t>(mg/L)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0.25±0.17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0.45±0.34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0.52±0.41</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0.40±0.18</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pH</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6.45±0.05</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6.61±0.07</w:t>
            </w:r>
            <w:r w:rsidRPr="00773352">
              <w:rPr>
                <w:rFonts w:ascii="Times New Roman" w:hAnsi="Times New Roman" w:cs="Times New Roman"/>
                <w:sz w:val="24"/>
                <w:szCs w:val="24"/>
                <w:vertAlign w:val="superscript"/>
              </w:rPr>
              <w:t>ab</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6.56±0.06</w:t>
            </w:r>
            <w:r w:rsidRPr="00773352">
              <w:rPr>
                <w:rFonts w:ascii="Times New Roman" w:hAnsi="Times New Roman" w:cs="Times New Roman"/>
                <w:sz w:val="24"/>
                <w:szCs w:val="24"/>
                <w:vertAlign w:val="superscript"/>
              </w:rPr>
              <w:t>ab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6.72±0.06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Ammonia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7.92±0.67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9.54±0.13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9.40±0.26</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6.45±3.12</w:t>
            </w:r>
            <w:r w:rsidRPr="00773352">
              <w:rPr>
                <w:rFonts w:ascii="Times New Roman" w:hAnsi="Times New Roman" w:cs="Times New Roman"/>
                <w:sz w:val="24"/>
                <w:szCs w:val="24"/>
                <w:vertAlign w:val="superscript"/>
              </w:rPr>
              <w:t>a</w:t>
            </w:r>
          </w:p>
        </w:tc>
      </w:tr>
    </w:tbl>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Mean volume of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 xml:space="preserve">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volume was measured weekly to determine the treatment that has the highest volume of </w:t>
      </w:r>
      <w:proofErr w:type="spellStart"/>
      <w:r w:rsidRPr="00773352">
        <w:rPr>
          <w:rFonts w:ascii="Times New Roman" w:hAnsi="Times New Roman" w:cs="Times New Roman"/>
          <w:bCs/>
          <w:sz w:val="24"/>
          <w:szCs w:val="24"/>
        </w:rPr>
        <w:t>biofloc</w:t>
      </w:r>
      <w:proofErr w:type="spellEnd"/>
      <w:r w:rsidR="003E23D2" w:rsidRPr="00773352">
        <w:rPr>
          <w:rFonts w:ascii="Times New Roman" w:hAnsi="Times New Roman" w:cs="Times New Roman"/>
          <w:bCs/>
          <w:sz w:val="24"/>
          <w:szCs w:val="24"/>
        </w:rPr>
        <w:t xml:space="preserve"> Figure 1</w:t>
      </w:r>
      <w:r w:rsidRPr="00773352">
        <w:rPr>
          <w:rFonts w:ascii="Times New Roman" w:hAnsi="Times New Roman" w:cs="Times New Roman"/>
          <w:bCs/>
          <w:sz w:val="24"/>
          <w:szCs w:val="24"/>
        </w:rPr>
        <w:t xml:space="preserve">. There was </w:t>
      </w:r>
      <w:proofErr w:type="spellStart"/>
      <w:r w:rsidRPr="00773352">
        <w:rPr>
          <w:rFonts w:ascii="Times New Roman" w:hAnsi="Times New Roman" w:cs="Times New Roman"/>
          <w:bCs/>
          <w:sz w:val="24"/>
          <w:szCs w:val="24"/>
        </w:rPr>
        <w:t>flunctuation</w:t>
      </w:r>
      <w:proofErr w:type="spellEnd"/>
      <w:r w:rsidRPr="00773352">
        <w:rPr>
          <w:rFonts w:ascii="Times New Roman" w:hAnsi="Times New Roman" w:cs="Times New Roman"/>
          <w:bCs/>
          <w:sz w:val="24"/>
          <w:szCs w:val="24"/>
        </w:rPr>
        <w:t xml:space="preserve"> in the volume of 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from all treatments in the first five weeks. However, from the sixth week, there was steady increase in the volume of 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except the control.</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Growth Performance of E</w:t>
      </w:r>
      <w:r w:rsidR="007D79DE" w:rsidRPr="00773352">
        <w:rPr>
          <w:rFonts w:ascii="Times New Roman" w:hAnsi="Times New Roman" w:cs="Times New Roman"/>
          <w:b/>
          <w:bCs/>
          <w:sz w:val="24"/>
          <w:szCs w:val="24"/>
        </w:rPr>
        <w:t>x</w:t>
      </w:r>
      <w:r w:rsidRPr="00773352">
        <w:rPr>
          <w:rFonts w:ascii="Times New Roman" w:hAnsi="Times New Roman" w:cs="Times New Roman"/>
          <w:b/>
          <w:bCs/>
          <w:sz w:val="24"/>
          <w:szCs w:val="24"/>
        </w:rPr>
        <w:t>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growth of the experimental fish culture in different carbon ratios of wheat bran showed a p</w:t>
      </w:r>
      <w:r w:rsidR="007D79DE" w:rsidRPr="00773352">
        <w:rPr>
          <w:rFonts w:ascii="Times New Roman" w:hAnsi="Times New Roman" w:cs="Times New Roman"/>
          <w:bCs/>
          <w:sz w:val="24"/>
          <w:szCs w:val="24"/>
        </w:rPr>
        <w:t>rogressive increase in</w:t>
      </w:r>
      <w:r w:rsidRPr="00773352">
        <w:rPr>
          <w:rFonts w:ascii="Times New Roman" w:hAnsi="Times New Roman" w:cs="Times New Roman"/>
          <w:bCs/>
          <w:sz w:val="24"/>
          <w:szCs w:val="24"/>
        </w:rPr>
        <w:t xml:space="preserve"> weight</w:t>
      </w:r>
      <w:r w:rsidR="007D79DE" w:rsidRPr="00773352">
        <w:rPr>
          <w:rFonts w:ascii="Times New Roman" w:hAnsi="Times New Roman" w:cs="Times New Roman"/>
          <w:bCs/>
          <w:sz w:val="24"/>
          <w:szCs w:val="24"/>
        </w:rPr>
        <w:t xml:space="preserve"> and length</w:t>
      </w:r>
      <w:r w:rsidRPr="00773352">
        <w:rPr>
          <w:rFonts w:ascii="Times New Roman" w:hAnsi="Times New Roman" w:cs="Times New Roman"/>
          <w:bCs/>
          <w:sz w:val="24"/>
          <w:szCs w:val="24"/>
        </w:rPr>
        <w:t xml:space="preserve"> throughout the period of experiment as illustrated in figure </w:t>
      </w:r>
      <w:r w:rsidR="007D79DE" w:rsidRPr="00773352">
        <w:rPr>
          <w:rFonts w:ascii="Times New Roman" w:hAnsi="Times New Roman" w:cs="Times New Roman"/>
          <w:bCs/>
          <w:sz w:val="24"/>
          <w:szCs w:val="24"/>
        </w:rPr>
        <w:t>2 and 3</w:t>
      </w:r>
      <w:r w:rsidRPr="00773352">
        <w:rPr>
          <w:rFonts w:ascii="Times New Roman" w:hAnsi="Times New Roman" w:cs="Times New Roman"/>
          <w:bCs/>
          <w:sz w:val="24"/>
          <w:szCs w:val="24"/>
        </w:rPr>
        <w:t>. The highest 47.65 g/fish and lowest 36.13 g/fish mean weight gain were recorded in fishes cultured in C/N 15 and control respectively. There was significant difference (p&lt;0.05) in the mean weight gain of fish cultured in control treatment and those cultured with different ratio of wheat bran carbon sources.</w:t>
      </w:r>
    </w:p>
    <w:p w:rsidR="00C244A2" w:rsidRPr="00773352" w:rsidRDefault="00C244A2" w:rsidP="0018573A">
      <w:pPr>
        <w:autoSpaceDE w:val="0"/>
        <w:autoSpaceDN w:val="0"/>
        <w:adjustRightInd w:val="0"/>
        <w:spacing w:after="0" w:line="360" w:lineRule="auto"/>
        <w:jc w:val="both"/>
        <w:rPr>
          <w:rFonts w:ascii="Times New Roman" w:hAnsi="Times New Roman" w:cs="Times New Roman"/>
          <w:bCs/>
          <w:sz w:val="24"/>
          <w:szCs w:val="24"/>
        </w:rPr>
      </w:pPr>
      <w:r w:rsidRPr="00773352">
        <w:rPr>
          <w:rFonts w:ascii="Times New Roman" w:hAnsi="Times New Roman" w:cs="Times New Roman"/>
          <w:noProof/>
          <w:sz w:val="24"/>
          <w:szCs w:val="24"/>
        </w:rPr>
        <w:drawing>
          <wp:inline distT="0" distB="0" distL="0" distR="0" wp14:anchorId="6FCE81FC" wp14:editId="605D95F5">
            <wp:extent cx="5507665" cy="3423683"/>
            <wp:effectExtent l="0" t="0" r="1714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23D2" w:rsidRPr="00773352" w:rsidRDefault="003E23D2" w:rsidP="0018573A">
      <w:pPr>
        <w:autoSpaceDE w:val="0"/>
        <w:autoSpaceDN w:val="0"/>
        <w:adjustRightInd w:val="0"/>
        <w:spacing w:after="0" w:line="360" w:lineRule="auto"/>
        <w:jc w:val="both"/>
        <w:rPr>
          <w:rFonts w:ascii="Times New Roman" w:hAnsi="Times New Roman" w:cs="Times New Roman"/>
          <w:bCs/>
          <w:sz w:val="24"/>
          <w:szCs w:val="24"/>
        </w:rPr>
      </w:pPr>
    </w:p>
    <w:p w:rsidR="003E23D2" w:rsidRPr="00773352" w:rsidRDefault="003E23D2"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Figure 1: Mean volume (mL L-1) of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collected from </w:t>
      </w:r>
      <w:proofErr w:type="gramStart"/>
      <w:r w:rsidRPr="00773352">
        <w:rPr>
          <w:rFonts w:ascii="Times New Roman" w:hAnsi="Times New Roman" w:cs="Times New Roman"/>
          <w:b/>
          <w:bCs/>
          <w:sz w:val="24"/>
          <w:szCs w:val="24"/>
        </w:rPr>
        <w:t xml:space="preserve">different  </w:t>
      </w:r>
      <w:r w:rsidR="00523C6E" w:rsidRPr="00773352">
        <w:rPr>
          <w:rFonts w:ascii="Times New Roman" w:hAnsi="Times New Roman" w:cs="Times New Roman"/>
          <w:b/>
          <w:bCs/>
          <w:sz w:val="24"/>
          <w:szCs w:val="24"/>
        </w:rPr>
        <w:t>C</w:t>
      </w:r>
      <w:proofErr w:type="gramEnd"/>
      <w:r w:rsidR="00523C6E" w:rsidRPr="00773352">
        <w:rPr>
          <w:rFonts w:ascii="Times New Roman" w:hAnsi="Times New Roman" w:cs="Times New Roman"/>
          <w:b/>
          <w:bCs/>
          <w:sz w:val="24"/>
          <w:szCs w:val="24"/>
        </w:rPr>
        <w:t xml:space="preserve">/N ratio </w:t>
      </w:r>
      <w:r w:rsidRPr="00773352">
        <w:rPr>
          <w:rFonts w:ascii="Times New Roman" w:hAnsi="Times New Roman" w:cs="Times New Roman"/>
          <w:b/>
          <w:bCs/>
          <w:sz w:val="24"/>
          <w:szCs w:val="24"/>
        </w:rPr>
        <w:t xml:space="preserve">for 10 weeks of the experimental period </w:t>
      </w:r>
    </w:p>
    <w:p w:rsidR="007D79DE" w:rsidRPr="00773352" w:rsidRDefault="000D445F"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drawing>
          <wp:inline distT="0" distB="0" distL="0" distR="0" wp14:anchorId="014ECA20" wp14:editId="46ACD33D">
            <wp:extent cx="5209953" cy="3923414"/>
            <wp:effectExtent l="0" t="0" r="1016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445F" w:rsidRPr="00773352" w:rsidRDefault="007D79DE"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2: </w:t>
      </w:r>
      <w:r w:rsidR="000D445F" w:rsidRPr="00773352">
        <w:rPr>
          <w:rFonts w:ascii="Times New Roman" w:hAnsi="Times New Roman" w:cs="Times New Roman"/>
          <w:b/>
          <w:bCs/>
          <w:sz w:val="24"/>
          <w:szCs w:val="24"/>
        </w:rPr>
        <w:t>Weekly Weight changes in the experimental fish from different C/N ratio</w:t>
      </w:r>
    </w:p>
    <w:p w:rsidR="007D79DE" w:rsidRPr="00773352" w:rsidRDefault="000D445F"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t xml:space="preserve"> </w:t>
      </w:r>
      <w:r w:rsidRPr="00773352">
        <w:rPr>
          <w:rFonts w:ascii="Times New Roman" w:hAnsi="Times New Roman" w:cs="Times New Roman"/>
          <w:noProof/>
          <w:sz w:val="24"/>
          <w:szCs w:val="24"/>
        </w:rPr>
        <w:drawing>
          <wp:inline distT="0" distB="0" distL="0" distR="0" wp14:anchorId="6F30AC0B" wp14:editId="394501FB">
            <wp:extent cx="5433237" cy="3242931"/>
            <wp:effectExtent l="0" t="0" r="1524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445F" w:rsidRPr="00773352" w:rsidRDefault="007D79DE" w:rsidP="0018573A">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Figure </w:t>
      </w:r>
      <w:r w:rsidR="00455387">
        <w:rPr>
          <w:rFonts w:ascii="Times New Roman" w:hAnsi="Times New Roman" w:cs="Times New Roman"/>
          <w:b/>
          <w:bCs/>
          <w:sz w:val="24"/>
          <w:szCs w:val="24"/>
        </w:rPr>
        <w:t>3</w:t>
      </w:r>
      <w:r w:rsidRPr="00773352">
        <w:rPr>
          <w:rFonts w:ascii="Times New Roman" w:hAnsi="Times New Roman" w:cs="Times New Roman"/>
          <w:b/>
          <w:bCs/>
          <w:sz w:val="24"/>
          <w:szCs w:val="24"/>
        </w:rPr>
        <w:t xml:space="preserve">: </w:t>
      </w:r>
      <w:r w:rsidR="000D445F" w:rsidRPr="00773352">
        <w:rPr>
          <w:rFonts w:ascii="Times New Roman" w:hAnsi="Times New Roman" w:cs="Times New Roman"/>
          <w:b/>
          <w:bCs/>
          <w:sz w:val="24"/>
          <w:szCs w:val="24"/>
        </w:rPr>
        <w:t xml:space="preserve">Weekly Length changes in the experimental fish from different C/N ratio </w:t>
      </w:r>
    </w:p>
    <w:p w:rsidR="000D445F" w:rsidRPr="00773352" w:rsidRDefault="000D445F" w:rsidP="0018573A">
      <w:pPr>
        <w:autoSpaceDE w:val="0"/>
        <w:autoSpaceDN w:val="0"/>
        <w:adjustRightInd w:val="0"/>
        <w:spacing w:after="0" w:line="360" w:lineRule="auto"/>
        <w:jc w:val="both"/>
        <w:rPr>
          <w:rFonts w:ascii="Times New Roman" w:hAnsi="Times New Roman" w:cs="Times New Roman"/>
          <w:b/>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Nutrient Utilization of experimental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bCs/>
          <w:sz w:val="24"/>
          <w:szCs w:val="24"/>
        </w:rPr>
        <w:t xml:space="preserve">Specific growth rate (SGR) and Relative growth rate (RGR) were highest in fishes from C/N 15 wheat bran ratio (1.44% and 910.94%) respectively. Lowest specific growth rate and relative growth rate was recorded with fishes from the control (1.24 </w:t>
      </w:r>
      <w:proofErr w:type="gramStart"/>
      <w:r w:rsidRPr="00773352">
        <w:rPr>
          <w:rFonts w:ascii="Times New Roman" w:hAnsi="Times New Roman" w:cs="Times New Roman"/>
          <w:bCs/>
          <w:sz w:val="24"/>
          <w:szCs w:val="24"/>
        </w:rPr>
        <w:t>and  703.85</w:t>
      </w:r>
      <w:proofErr w:type="gramEnd"/>
      <w:r w:rsidRPr="00773352">
        <w:rPr>
          <w:rFonts w:ascii="Times New Roman" w:hAnsi="Times New Roman" w:cs="Times New Roman"/>
          <w:bCs/>
          <w:sz w:val="24"/>
          <w:szCs w:val="24"/>
        </w:rPr>
        <w:t xml:space="preserve">%) respectively. The </w:t>
      </w:r>
      <w:r w:rsidR="006B1ACB">
        <w:rPr>
          <w:rFonts w:ascii="Times New Roman" w:hAnsi="Times New Roman" w:cs="Times New Roman"/>
          <w:bCs/>
          <w:sz w:val="24"/>
          <w:szCs w:val="24"/>
        </w:rPr>
        <w:t>was no significant difference in SGR while in</w:t>
      </w:r>
      <w:r w:rsidRPr="00773352">
        <w:rPr>
          <w:rFonts w:ascii="Times New Roman" w:hAnsi="Times New Roman" w:cs="Times New Roman"/>
          <w:bCs/>
          <w:sz w:val="24"/>
          <w:szCs w:val="24"/>
        </w:rPr>
        <w:t xml:space="preserve"> RGR </w:t>
      </w:r>
      <w:r w:rsidR="006B1ACB">
        <w:rPr>
          <w:rFonts w:ascii="Times New Roman" w:hAnsi="Times New Roman" w:cs="Times New Roman"/>
          <w:bCs/>
          <w:sz w:val="24"/>
          <w:szCs w:val="24"/>
        </w:rPr>
        <w:t>there was significant difference in</w:t>
      </w:r>
      <w:r w:rsidRPr="00773352">
        <w:rPr>
          <w:rFonts w:ascii="Times New Roman" w:hAnsi="Times New Roman" w:cs="Times New Roman"/>
          <w:bCs/>
          <w:sz w:val="24"/>
          <w:szCs w:val="24"/>
        </w:rPr>
        <w:t xml:space="preserve"> all the tr</w:t>
      </w:r>
      <w:r w:rsidR="006B1ACB">
        <w:rPr>
          <w:rFonts w:ascii="Times New Roman" w:hAnsi="Times New Roman" w:cs="Times New Roman"/>
          <w:bCs/>
          <w:sz w:val="24"/>
          <w:szCs w:val="24"/>
        </w:rPr>
        <w:t>eatment</w:t>
      </w:r>
      <w:r w:rsidRPr="00773352">
        <w:rPr>
          <w:rFonts w:ascii="Times New Roman" w:hAnsi="Times New Roman" w:cs="Times New Roman"/>
          <w:bCs/>
          <w:sz w:val="24"/>
          <w:szCs w:val="24"/>
        </w:rPr>
        <w:t>. Food Conversion Ratio (FCR) was highest in fish cultured in control (2.08) while C/N ratio 15 has the lowe</w:t>
      </w:r>
      <w:r w:rsidR="00E24A90" w:rsidRPr="00773352">
        <w:rPr>
          <w:rFonts w:ascii="Times New Roman" w:hAnsi="Times New Roman" w:cs="Times New Roman"/>
          <w:bCs/>
          <w:sz w:val="24"/>
          <w:szCs w:val="24"/>
        </w:rPr>
        <w:t>st FCR 1.26 (Table 2</w:t>
      </w:r>
      <w:r w:rsidRPr="00773352">
        <w:rPr>
          <w:rFonts w:ascii="Times New Roman" w:hAnsi="Times New Roman" w:cs="Times New Roman"/>
          <w:bCs/>
          <w:sz w:val="24"/>
          <w:szCs w:val="24"/>
        </w:rPr>
        <w:t>) and they were significantly different. Fish cultured in control has the highest protein intake (3.39) while the lowest value (2.20) was recorded in fish cultured</w:t>
      </w:r>
      <w:r w:rsidR="00E76271">
        <w:rPr>
          <w:rFonts w:ascii="Times New Roman" w:hAnsi="Times New Roman" w:cs="Times New Roman"/>
          <w:bCs/>
          <w:sz w:val="24"/>
          <w:szCs w:val="24"/>
        </w:rPr>
        <w:t xml:space="preserve"> in C/N 15 and the values were </w:t>
      </w:r>
      <w:r w:rsidRPr="00773352">
        <w:rPr>
          <w:rFonts w:ascii="Times New Roman" w:hAnsi="Times New Roman" w:cs="Times New Roman"/>
          <w:bCs/>
          <w:sz w:val="24"/>
          <w:szCs w:val="24"/>
        </w:rPr>
        <w:t xml:space="preserve">not significantly different in all the C/N ration except control. Protein Efficiency Ratio was lowest (10.66) in fishes cultured in the control and highest (17.67) in fishes cultured in C/N 15 and the values were significantly different. </w:t>
      </w:r>
      <w:r w:rsidRPr="00773352">
        <w:rPr>
          <w:rFonts w:ascii="Times New Roman" w:hAnsi="Times New Roman" w:cs="Times New Roman"/>
          <w:sz w:val="24"/>
          <w:szCs w:val="24"/>
        </w:rPr>
        <w:t>The highest fish survival rate was observed in the C/N 15 ratio treatment (83.33%), which was significantly higher than C/N 20 (8</w:t>
      </w:r>
      <w:r w:rsidR="00E76271">
        <w:rPr>
          <w:rFonts w:ascii="Times New Roman" w:hAnsi="Times New Roman" w:cs="Times New Roman"/>
          <w:sz w:val="24"/>
          <w:szCs w:val="24"/>
        </w:rPr>
        <w:t>0</w:t>
      </w:r>
      <w:r w:rsidRPr="00773352">
        <w:rPr>
          <w:rFonts w:ascii="Times New Roman" w:hAnsi="Times New Roman" w:cs="Times New Roman"/>
          <w:sz w:val="24"/>
          <w:szCs w:val="24"/>
        </w:rPr>
        <w:t>.00%), or contr</w:t>
      </w:r>
      <w:r w:rsidR="006C4357" w:rsidRPr="00773352">
        <w:rPr>
          <w:rFonts w:ascii="Times New Roman" w:hAnsi="Times New Roman" w:cs="Times New Roman"/>
          <w:sz w:val="24"/>
          <w:szCs w:val="24"/>
        </w:rPr>
        <w:t>ol treatment (71.67%), (Table 2</w:t>
      </w:r>
      <w:r w:rsidRPr="00773352">
        <w:rPr>
          <w:rFonts w:ascii="Times New Roman" w:hAnsi="Times New Roman" w:cs="Times New Roman"/>
          <w:sz w:val="24"/>
          <w:szCs w:val="24"/>
        </w:rPr>
        <w:t>).</w:t>
      </w:r>
    </w:p>
    <w:p w:rsidR="00FC07C5" w:rsidRDefault="00FC07C5" w:rsidP="00523C6E">
      <w:pPr>
        <w:rPr>
          <w:rFonts w:ascii="Times New Roman" w:hAnsi="Times New Roman" w:cs="Times New Roman"/>
          <w:sz w:val="24"/>
          <w:szCs w:val="24"/>
        </w:rPr>
      </w:pPr>
    </w:p>
    <w:p w:rsidR="00523C6E" w:rsidRPr="00FC07C5" w:rsidRDefault="00E24A90" w:rsidP="00523C6E">
      <w:pPr>
        <w:rPr>
          <w:rFonts w:ascii="Times New Roman" w:hAnsi="Times New Roman" w:cs="Times New Roman"/>
          <w:sz w:val="24"/>
          <w:szCs w:val="24"/>
        </w:rPr>
      </w:pPr>
      <w:r w:rsidRPr="00773352">
        <w:rPr>
          <w:rFonts w:ascii="Times New Roman" w:hAnsi="Times New Roman" w:cs="Times New Roman"/>
          <w:b/>
          <w:bCs/>
          <w:sz w:val="24"/>
          <w:szCs w:val="24"/>
        </w:rPr>
        <w:t>Table 2</w:t>
      </w:r>
      <w:r w:rsidR="00523C6E" w:rsidRPr="00773352">
        <w:rPr>
          <w:rFonts w:ascii="Times New Roman" w:hAnsi="Times New Roman" w:cs="Times New Roman"/>
          <w:b/>
          <w:bCs/>
          <w:sz w:val="24"/>
          <w:szCs w:val="24"/>
        </w:rPr>
        <w:t xml:space="preserve">: Mean (±SE) growth performance, survival and production parameters of </w:t>
      </w:r>
      <w:proofErr w:type="spellStart"/>
      <w:r w:rsidR="00523C6E" w:rsidRPr="00773352">
        <w:rPr>
          <w:rFonts w:ascii="Times New Roman" w:hAnsi="Times New Roman" w:cs="Times New Roman"/>
          <w:b/>
          <w:bCs/>
          <w:i/>
          <w:iCs/>
          <w:sz w:val="24"/>
          <w:szCs w:val="24"/>
        </w:rPr>
        <w:t>Clarias</w:t>
      </w:r>
      <w:proofErr w:type="spellEnd"/>
      <w:r w:rsidR="00523C6E" w:rsidRPr="00773352">
        <w:rPr>
          <w:rFonts w:ascii="Times New Roman" w:hAnsi="Times New Roman" w:cs="Times New Roman"/>
          <w:b/>
          <w:bCs/>
          <w:i/>
          <w:iCs/>
          <w:sz w:val="24"/>
          <w:szCs w:val="24"/>
        </w:rPr>
        <w:t xml:space="preserve"> </w:t>
      </w:r>
      <w:proofErr w:type="spellStart"/>
      <w:r w:rsidR="00523C6E" w:rsidRPr="00773352">
        <w:rPr>
          <w:rFonts w:ascii="Times New Roman" w:hAnsi="Times New Roman" w:cs="Times New Roman"/>
          <w:b/>
          <w:bCs/>
          <w:i/>
          <w:iCs/>
          <w:sz w:val="24"/>
          <w:szCs w:val="24"/>
        </w:rPr>
        <w:t>gariepinus</w:t>
      </w:r>
      <w:proofErr w:type="spellEnd"/>
      <w:r w:rsidR="00523C6E" w:rsidRPr="00773352">
        <w:rPr>
          <w:rFonts w:ascii="Times New Roman" w:hAnsi="Times New Roman" w:cs="Times New Roman"/>
          <w:b/>
          <w:bCs/>
          <w:i/>
          <w:iCs/>
          <w:sz w:val="24"/>
          <w:szCs w:val="24"/>
        </w:rPr>
        <w:t xml:space="preserve"> </w:t>
      </w:r>
      <w:r w:rsidR="00523C6E" w:rsidRPr="00773352">
        <w:rPr>
          <w:rFonts w:ascii="Times New Roman" w:hAnsi="Times New Roman" w:cs="Times New Roman"/>
          <w:b/>
          <w:bCs/>
          <w:sz w:val="24"/>
          <w:szCs w:val="24"/>
        </w:rPr>
        <w:t xml:space="preserve">juveniles reared in wheat bran-based </w:t>
      </w:r>
      <w:proofErr w:type="spellStart"/>
      <w:r w:rsidR="00523C6E" w:rsidRPr="00773352">
        <w:rPr>
          <w:rFonts w:ascii="Times New Roman" w:hAnsi="Times New Roman" w:cs="Times New Roman"/>
          <w:b/>
          <w:bCs/>
          <w:sz w:val="24"/>
          <w:szCs w:val="24"/>
        </w:rPr>
        <w:t>biofloc</w:t>
      </w:r>
      <w:proofErr w:type="spellEnd"/>
      <w:r w:rsidR="00523C6E" w:rsidRPr="00773352">
        <w:rPr>
          <w:rFonts w:ascii="Times New Roman" w:hAnsi="Times New Roman" w:cs="Times New Roman"/>
          <w:b/>
          <w:bCs/>
          <w:sz w:val="24"/>
          <w:szCs w:val="24"/>
        </w:rPr>
        <w:t xml:space="preserve"> systems at increasing carbon/nitrogen ratios after ten weeks of experimental trial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00"/>
        <w:gridCol w:w="1767"/>
        <w:gridCol w:w="1915"/>
        <w:gridCol w:w="1916"/>
      </w:tblGrid>
      <w:tr w:rsidR="00523C6E" w:rsidRPr="00773352" w:rsidTr="00075897">
        <w:tc>
          <w:tcPr>
            <w:tcW w:w="2178"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Parameters</w:t>
            </w:r>
          </w:p>
        </w:tc>
        <w:tc>
          <w:tcPr>
            <w:tcW w:w="1800"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767"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C/N10</w:t>
            </w:r>
          </w:p>
        </w:tc>
        <w:tc>
          <w:tcPr>
            <w:tcW w:w="1915"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C/N15</w:t>
            </w:r>
          </w:p>
        </w:tc>
        <w:tc>
          <w:tcPr>
            <w:tcW w:w="1916"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C/N20</w:t>
            </w:r>
          </w:p>
        </w:tc>
      </w:tr>
      <w:tr w:rsidR="00523C6E" w:rsidRPr="00773352" w:rsidTr="00075897">
        <w:tc>
          <w:tcPr>
            <w:tcW w:w="2178"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Duration (Days)</w:t>
            </w:r>
          </w:p>
        </w:tc>
        <w:tc>
          <w:tcPr>
            <w:tcW w:w="1800"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767"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5"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6"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Stocked</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Left</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45</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Survival rate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71.67±0.87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75.00±1.53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83.33±1.22</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80.00±2.89</w:t>
            </w:r>
            <w:r w:rsidRPr="00773352">
              <w:rPr>
                <w:rFonts w:ascii="Times New Roman" w:hAnsi="Times New Roman" w:cs="Times New Roman"/>
                <w:sz w:val="24"/>
                <w:szCs w:val="24"/>
                <w:vertAlign w:val="superscript"/>
              </w:rPr>
              <w:t>bc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5.13±0.52</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5.10±0.61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5.27±0.64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4.60±0.12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20.13±0.08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21.55±0.36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22.60±0.91</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20.23±0.64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MLG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14.93±0.64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16.73±0.76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17.63±0.36</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15.42±0.41</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5.67±0.64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5.55±0.61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5.08±0.58</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4.87±0.58</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41.80±0.69</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44.20±1.27</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52.73±1.15</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43.80±0.64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MWG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36.13±0.06</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38.63±1.15</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47.65±1.28</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38.93±1.15</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RGR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703.85±1.15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766.67±0.64</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910.94±0.58</w:t>
            </w:r>
            <w:r w:rsidRPr="00773352">
              <w:rPr>
                <w:rFonts w:ascii="Times New Roman" w:hAnsi="Times New Roman" w:cs="Times New Roman"/>
                <w:sz w:val="24"/>
                <w:szCs w:val="24"/>
                <w:vertAlign w:val="superscript"/>
              </w:rPr>
              <w:t>d</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830.43±1.15</w:t>
            </w:r>
            <w:r w:rsidRPr="00773352">
              <w:rPr>
                <w:rFonts w:ascii="Times New Roman" w:hAnsi="Times New Roman" w:cs="Times New Roman"/>
                <w:sz w:val="24"/>
                <w:szCs w:val="24"/>
                <w:vertAlign w:val="superscript"/>
              </w:rPr>
              <w:t>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1.24±0.07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1.29±0.64</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1.44±0.13</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1.35±0.13</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FCR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2.08±0.05</w:t>
            </w:r>
            <w:r w:rsidRPr="00773352">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1.74±0.13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1.26±0.12</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1.66±0.27</w:t>
            </w:r>
            <w:r w:rsidRPr="00773352">
              <w:rPr>
                <w:rFonts w:ascii="Times New Roman" w:hAnsi="Times New Roman" w:cs="Times New Roman"/>
                <w:sz w:val="24"/>
                <w:szCs w:val="24"/>
                <w:vertAlign w:val="superscript"/>
              </w:rPr>
              <w:t>ab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PI</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3.39±0.05</w:t>
            </w:r>
            <w:r w:rsidR="006B1ACB">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2.20±0.14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PER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10.66±0.13</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12.76±0.58</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17.65±1.15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13.38±0.65</w:t>
            </w:r>
            <w:r w:rsidRPr="00773352">
              <w:rPr>
                <w:rFonts w:ascii="Times New Roman" w:hAnsi="Times New Roman" w:cs="Times New Roman"/>
                <w:sz w:val="24"/>
                <w:szCs w:val="24"/>
                <w:vertAlign w:val="superscript"/>
              </w:rPr>
              <w:t>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lastRenderedPageBreak/>
              <w:t>PPV</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10.18±1.5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22.77±1.28</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33.85±1.35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43.27±1.21</w:t>
            </w:r>
            <w:r w:rsidRPr="00773352">
              <w:rPr>
                <w:rFonts w:ascii="Times New Roman" w:hAnsi="Times New Roman" w:cs="Times New Roman"/>
                <w:sz w:val="24"/>
                <w:szCs w:val="24"/>
                <w:vertAlign w:val="superscript"/>
              </w:rPr>
              <w:t>d</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Total Food Intake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7.53±0.58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7.06±0.35</w:t>
            </w:r>
            <w:r w:rsidRPr="00773352">
              <w:rPr>
                <w:rFonts w:ascii="Times New Roman" w:hAnsi="Times New Roman" w:cs="Times New Roman"/>
                <w:sz w:val="24"/>
                <w:szCs w:val="24"/>
                <w:vertAlign w:val="superscript"/>
              </w:rPr>
              <w:t>a</w:t>
            </w:r>
          </w:p>
        </w:tc>
        <w:tc>
          <w:tcPr>
            <w:tcW w:w="1915" w:type="dxa"/>
          </w:tcPr>
          <w:p w:rsidR="00523C6E" w:rsidRPr="00773352" w:rsidRDefault="005632FE" w:rsidP="0007589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6.01±0.10</w:t>
            </w:r>
            <w:r w:rsidR="00523C6E"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6.47±0.65</w:t>
            </w:r>
            <w:r w:rsidRPr="00773352">
              <w:rPr>
                <w:rFonts w:ascii="Times New Roman" w:hAnsi="Times New Roman" w:cs="Times New Roman"/>
                <w:sz w:val="24"/>
                <w:szCs w:val="24"/>
                <w:vertAlign w:val="superscript"/>
              </w:rPr>
              <w:t>a</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sz w:val="24"/>
          <w:szCs w:val="24"/>
        </w:rPr>
      </w:pPr>
      <w:r w:rsidRPr="00773352">
        <w:rPr>
          <w:rFonts w:ascii="Times New Roman" w:hAnsi="Times New Roman" w:cs="Times New Roman"/>
          <w:b/>
          <w:bCs/>
          <w:sz w:val="24"/>
          <w:szCs w:val="24"/>
        </w:rPr>
        <w:t>Key: Mean on the same row with different superscripts differ significantly (p&lt;0.05)</w:t>
      </w:r>
    </w:p>
    <w:p w:rsidR="00E24A90"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SGR=Specific Growth Rate; RGR= Relative Growth Rate; FCR= Food Conversion Ratio; PI=Protein Intake; PER=Protein Efficiency Ratio; PPV= Protein Productive Value</w:t>
      </w:r>
    </w:p>
    <w:p w:rsidR="00FC07C5" w:rsidRPr="00FC07C5" w:rsidRDefault="00FC07C5" w:rsidP="00FC07C5">
      <w:pPr>
        <w:autoSpaceDE w:val="0"/>
        <w:autoSpaceDN w:val="0"/>
        <w:adjustRightInd w:val="0"/>
        <w:spacing w:after="0" w:line="360" w:lineRule="auto"/>
        <w:jc w:val="both"/>
        <w:rPr>
          <w:rFonts w:ascii="Times New Roman" w:hAnsi="Times New Roman" w:cs="Times New Roman"/>
          <w:b/>
          <w:sz w:val="24"/>
          <w:szCs w:val="24"/>
        </w:rPr>
      </w:pPr>
      <w:r w:rsidRPr="00FC07C5">
        <w:rPr>
          <w:rFonts w:ascii="Times New Roman" w:hAnsi="Times New Roman" w:cs="Times New Roman"/>
          <w:b/>
          <w:sz w:val="24"/>
          <w:szCs w:val="24"/>
        </w:rPr>
        <w:t>Mean whole-body proximate composition (% wet weight) of the Experimental Fish with different C/N ratio of wheat bran</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r w:rsidRPr="00FC07C5">
        <w:rPr>
          <w:rFonts w:ascii="Times New Roman" w:hAnsi="Times New Roman" w:cs="Times New Roman"/>
          <w:sz w:val="24"/>
          <w:szCs w:val="24"/>
        </w:rPr>
        <w:t xml:space="preserve">African catfish whole-body moisture content was significantly higher in the control treatment compared to other treatments (Table 3). Crude protein was highest in C/N 20 and lowest in control treatment.  Fat content was highest in C/N 20 and lowest in control and it is significantly different. Ash contents was highest in C/N 20 and lowest in control. There was no NFE value recorded in the control while it was highest in C/N 20. The cholesterol content from the fish muscle in the control treatment was significantly lower followed by C/N 15. The muscle MDA, HSI and VSI were all significantly different in </w:t>
      </w:r>
      <w:proofErr w:type="gramStart"/>
      <w:r w:rsidRPr="00FC07C5">
        <w:rPr>
          <w:rFonts w:ascii="Times New Roman" w:hAnsi="Times New Roman" w:cs="Times New Roman"/>
          <w:sz w:val="24"/>
          <w:szCs w:val="24"/>
        </w:rPr>
        <w:t xml:space="preserve">the  </w:t>
      </w:r>
      <w:proofErr w:type="spellStart"/>
      <w:r w:rsidRPr="00FC07C5">
        <w:rPr>
          <w:rFonts w:ascii="Times New Roman" w:hAnsi="Times New Roman" w:cs="Times New Roman"/>
          <w:sz w:val="24"/>
          <w:szCs w:val="24"/>
        </w:rPr>
        <w:t>biofloc</w:t>
      </w:r>
      <w:proofErr w:type="spellEnd"/>
      <w:proofErr w:type="gramEnd"/>
      <w:r w:rsidRPr="00FC07C5">
        <w:rPr>
          <w:rFonts w:ascii="Times New Roman" w:hAnsi="Times New Roman" w:cs="Times New Roman"/>
          <w:sz w:val="24"/>
          <w:szCs w:val="24"/>
        </w:rPr>
        <w:t xml:space="preserve"> treatments.</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p>
    <w:p w:rsidR="00E24A90" w:rsidRPr="00773352" w:rsidRDefault="00E24A90" w:rsidP="00E24A90">
      <w:pPr>
        <w:rPr>
          <w:rFonts w:ascii="Times New Roman" w:hAnsi="Times New Roman" w:cs="Times New Roman"/>
          <w:sz w:val="24"/>
          <w:szCs w:val="24"/>
        </w:rPr>
      </w:pPr>
      <w:r w:rsidRPr="00773352">
        <w:rPr>
          <w:rFonts w:ascii="Times New Roman" w:hAnsi="Times New Roman" w:cs="Times New Roman"/>
          <w:b/>
          <w:bCs/>
          <w:sz w:val="24"/>
          <w:szCs w:val="24"/>
        </w:rPr>
        <w:t xml:space="preserve">Table 3: Mean (±SE) proximate composition (% wet weight of </w:t>
      </w:r>
      <w:proofErr w:type="spellStart"/>
      <w:r w:rsidRPr="00773352">
        <w:rPr>
          <w:rFonts w:ascii="Times New Roman" w:hAnsi="Times New Roman" w:cs="Times New Roman"/>
          <w:b/>
          <w:bCs/>
          <w:i/>
          <w:iCs/>
          <w:sz w:val="24"/>
          <w:szCs w:val="24"/>
        </w:rPr>
        <w:t>Clarias</w:t>
      </w:r>
      <w:proofErr w:type="spellEnd"/>
      <w:r w:rsidRPr="00773352">
        <w:rPr>
          <w:rFonts w:ascii="Times New Roman" w:hAnsi="Times New Roman" w:cs="Times New Roman"/>
          <w:b/>
          <w:bCs/>
          <w:i/>
          <w:iCs/>
          <w:sz w:val="24"/>
          <w:szCs w:val="24"/>
        </w:rPr>
        <w:t xml:space="preserve"> </w:t>
      </w:r>
      <w:proofErr w:type="spellStart"/>
      <w:r w:rsidRPr="00773352">
        <w:rPr>
          <w:rFonts w:ascii="Times New Roman" w:hAnsi="Times New Roman" w:cs="Times New Roman"/>
          <w:b/>
          <w:bCs/>
          <w:i/>
          <w:iCs/>
          <w:sz w:val="24"/>
          <w:szCs w:val="24"/>
        </w:rPr>
        <w:t>gariepinus</w:t>
      </w:r>
      <w:proofErr w:type="spellEnd"/>
      <w:r w:rsidRPr="00773352">
        <w:rPr>
          <w:rFonts w:ascii="Times New Roman" w:hAnsi="Times New Roman" w:cs="Times New Roman"/>
          <w:b/>
          <w:bCs/>
          <w:i/>
          <w:iCs/>
          <w:sz w:val="24"/>
          <w:szCs w:val="24"/>
        </w:rPr>
        <w:t xml:space="preserve"> </w:t>
      </w:r>
      <w:r w:rsidRPr="00773352">
        <w:rPr>
          <w:rFonts w:ascii="Times New Roman" w:hAnsi="Times New Roman" w:cs="Times New Roman"/>
          <w:b/>
          <w:bCs/>
          <w:sz w:val="24"/>
          <w:szCs w:val="24"/>
        </w:rPr>
        <w:t xml:space="preserve">juveniles reared in the wheat bran-based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system at different carbon/nitrogen ratio after ten weeks of the experimental trial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800"/>
        <w:gridCol w:w="1857"/>
        <w:gridCol w:w="1915"/>
        <w:gridCol w:w="1916"/>
      </w:tblGrid>
      <w:tr w:rsidR="00E24A90" w:rsidRPr="00773352" w:rsidTr="00075897">
        <w:tc>
          <w:tcPr>
            <w:tcW w:w="2088"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w:t>
            </w:r>
          </w:p>
        </w:tc>
        <w:tc>
          <w:tcPr>
            <w:tcW w:w="1800"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857"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10</w:t>
            </w:r>
          </w:p>
        </w:tc>
        <w:tc>
          <w:tcPr>
            <w:tcW w:w="1915"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15</w:t>
            </w:r>
          </w:p>
        </w:tc>
        <w:tc>
          <w:tcPr>
            <w:tcW w:w="1916"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20</w:t>
            </w:r>
          </w:p>
        </w:tc>
      </w:tr>
      <w:tr w:rsidR="00E24A90" w:rsidRPr="00773352" w:rsidTr="00075897">
        <w:tc>
          <w:tcPr>
            <w:tcW w:w="2088"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Moisture Content</w:t>
            </w:r>
          </w:p>
        </w:tc>
        <w:tc>
          <w:tcPr>
            <w:tcW w:w="1800"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75.87±1.15</w:t>
            </w:r>
            <w:r w:rsidRPr="00773352">
              <w:rPr>
                <w:rFonts w:ascii="Times New Roman" w:hAnsi="Times New Roman" w:cs="Times New Roman"/>
                <w:sz w:val="24"/>
                <w:szCs w:val="24"/>
                <w:vertAlign w:val="superscript"/>
              </w:rPr>
              <w:t>c</w:t>
            </w:r>
          </w:p>
        </w:tc>
        <w:tc>
          <w:tcPr>
            <w:tcW w:w="1857"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69.80±1.27</w:t>
            </w:r>
            <w:r w:rsidRPr="00773352">
              <w:rPr>
                <w:rFonts w:ascii="Times New Roman" w:hAnsi="Times New Roman" w:cs="Times New Roman"/>
                <w:sz w:val="24"/>
                <w:szCs w:val="24"/>
                <w:vertAlign w:val="superscript"/>
              </w:rPr>
              <w:t>b</w:t>
            </w:r>
          </w:p>
        </w:tc>
        <w:tc>
          <w:tcPr>
            <w:tcW w:w="1915"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65.11±0.58</w:t>
            </w:r>
            <w:r w:rsidRPr="00773352">
              <w:rPr>
                <w:rFonts w:ascii="Times New Roman" w:hAnsi="Times New Roman" w:cs="Times New Roman"/>
                <w:sz w:val="24"/>
                <w:szCs w:val="24"/>
                <w:vertAlign w:val="superscript"/>
              </w:rPr>
              <w:t>a</w:t>
            </w:r>
          </w:p>
        </w:tc>
        <w:tc>
          <w:tcPr>
            <w:tcW w:w="1916"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62.18±1.15</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Ash Content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2.44±0.02</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3.77±1.15</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4.73±0.70b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5.62±0.13</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3.24±0.06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4.02±0.58</w:t>
            </w:r>
            <w:r w:rsidRPr="00773352">
              <w:rPr>
                <w:rFonts w:ascii="Times New Roman" w:hAnsi="Times New Roman" w:cs="Times New Roman"/>
                <w:sz w:val="24"/>
                <w:szCs w:val="24"/>
                <w:vertAlign w:val="superscript"/>
              </w:rPr>
              <w:t>ab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5.09±0.60b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6.14±0.44</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Crude Protein</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18.45±1.23</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21.89±0.58</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24.14±0.60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27.60±1.22</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NFE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0.00±0.00</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0.52±0.02</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0.92±0.12</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1.21±0.06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Triglyceride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220.56±0.45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250.29±0.19</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230.16±0.52</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299.55±0.56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 Chol</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291.14±0.55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390.47±0.38</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331.25±0.60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490.14±0.75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MDA</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14.92±0.65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21.70±0.40</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41.91±0.55</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15.11±0.52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4.92±0.11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9.71±0.12</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15.01±0.22</w:t>
            </w:r>
            <w:r w:rsidRPr="00773352">
              <w:rPr>
                <w:rFonts w:ascii="Times New Roman" w:hAnsi="Times New Roman" w:cs="Times New Roman"/>
                <w:sz w:val="24"/>
                <w:szCs w:val="24"/>
                <w:vertAlign w:val="superscript"/>
              </w:rPr>
              <w:t>d</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HIS</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1.47±0.01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2.24±0.01</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1.07±0.03</w:t>
            </w:r>
            <w:r w:rsidRPr="00773352">
              <w:rPr>
                <w:rFonts w:ascii="Times New Roman" w:hAnsi="Times New Roman" w:cs="Times New Roman"/>
                <w:sz w:val="24"/>
                <w:szCs w:val="24"/>
                <w:vertAlign w:val="superscript"/>
              </w:rPr>
              <w:t>a</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4.24±0.05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VSI</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4.39±0.06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5.80±0.04</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4.98±0.07</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6.75±0.07</w:t>
            </w:r>
            <w:r w:rsidRPr="00773352">
              <w:rPr>
                <w:rFonts w:ascii="Times New Roman" w:hAnsi="Times New Roman" w:cs="Times New Roman"/>
                <w:sz w:val="24"/>
                <w:szCs w:val="24"/>
                <w:vertAlign w:val="superscript"/>
              </w:rPr>
              <w:t>d</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Key: Mean on the same row with different superscripts differ significantly (p&lt;0.05)</w:t>
      </w:r>
    </w:p>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MDA=Malondialdehyde; CAT=Catalase activity; HSI=Hepatosomatic index; VSI=</w:t>
      </w:r>
      <w:proofErr w:type="spellStart"/>
      <w:r w:rsidRPr="00773352">
        <w:rPr>
          <w:rFonts w:ascii="Times New Roman" w:hAnsi="Times New Roman" w:cs="Times New Roman"/>
          <w:b/>
          <w:bCs/>
          <w:sz w:val="24"/>
          <w:szCs w:val="24"/>
        </w:rPr>
        <w:t>Viscerosomatic</w:t>
      </w:r>
      <w:proofErr w:type="spellEnd"/>
      <w:r w:rsidRPr="00773352">
        <w:rPr>
          <w:rFonts w:ascii="Times New Roman" w:hAnsi="Times New Roman" w:cs="Times New Roman"/>
          <w:b/>
          <w:bCs/>
          <w:sz w:val="24"/>
          <w:szCs w:val="24"/>
        </w:rPr>
        <w:t xml:space="preserve"> index </w:t>
      </w:r>
    </w:p>
    <w:p w:rsidR="00C244A2" w:rsidRPr="00773352" w:rsidRDefault="00C244A2" w:rsidP="00FC07C5">
      <w:pPr>
        <w:autoSpaceDE w:val="0"/>
        <w:autoSpaceDN w:val="0"/>
        <w:adjustRightInd w:val="0"/>
        <w:spacing w:after="0"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Discussion</w:t>
      </w:r>
    </w:p>
    <w:p w:rsidR="00B80574" w:rsidRPr="00773352" w:rsidRDefault="00C244A2" w:rsidP="00FC07C5">
      <w:pPr>
        <w:pStyle w:val="NormalWeb"/>
        <w:spacing w:after="0" w:afterAutospacing="0"/>
        <w:jc w:val="both"/>
      </w:pPr>
      <w:r w:rsidRPr="00773352">
        <w:t xml:space="preserve">The water quality parameters of the </w:t>
      </w:r>
      <w:proofErr w:type="spellStart"/>
      <w:r w:rsidRPr="00773352">
        <w:t>biofloc</w:t>
      </w:r>
      <w:proofErr w:type="spellEnd"/>
      <w:r w:rsidRPr="00773352">
        <w:t xml:space="preserve"> water produced using different carbon to nitrogen ratio are prese</w:t>
      </w:r>
      <w:r w:rsidR="007E4591" w:rsidRPr="00773352">
        <w:t>nted in Table 1</w:t>
      </w:r>
      <w:r w:rsidRPr="00773352">
        <w:t xml:space="preserve">. The results show significant (p &lt; 0.05) differences in some physicochemical properties, including dissolved oxygen (DO) and pH, while other parameters such as temperature, electrical conductivity (EC), total dissolved solids (TDS), nitrite (NO₂⁻), and ammonia (NH₃) varied slightly across treatments. These variations demonstrate the influence of carbon source type on microbial metabolism, nutrient cycling, and water chemistry in </w:t>
      </w:r>
      <w:proofErr w:type="spellStart"/>
      <w:r w:rsidRPr="00773352">
        <w:t>biofloc</w:t>
      </w:r>
      <w:proofErr w:type="spellEnd"/>
      <w:r w:rsidRPr="00773352">
        <w:t xml:space="preserve"> systems (Li </w:t>
      </w:r>
      <w:r w:rsidRPr="00773352">
        <w:rPr>
          <w:i/>
        </w:rPr>
        <w:t>et al</w:t>
      </w:r>
      <w:r w:rsidRPr="00773352">
        <w:t xml:space="preserve">., 2025; </w:t>
      </w:r>
      <w:proofErr w:type="spellStart"/>
      <w:r w:rsidRPr="00773352">
        <w:t>Iber</w:t>
      </w:r>
      <w:proofErr w:type="spellEnd"/>
      <w:r w:rsidRPr="00773352">
        <w:t xml:space="preserve"> </w:t>
      </w:r>
      <w:r w:rsidRPr="00773352">
        <w:rPr>
          <w:i/>
        </w:rPr>
        <w:t>et al</w:t>
      </w:r>
      <w:r w:rsidRPr="00773352">
        <w:t>., 2025).</w:t>
      </w:r>
      <w:r w:rsidR="00DD521A" w:rsidRPr="00773352">
        <w:t xml:space="preserve"> . The increase in EC in the C/N 20 system suggests higher ion accumulation due to organic matter mineralization and microbial activity. This is consistent with findings by Yadav </w:t>
      </w:r>
      <w:r w:rsidR="00DD521A" w:rsidRPr="00773352">
        <w:rPr>
          <w:i/>
        </w:rPr>
        <w:t>et al</w:t>
      </w:r>
      <w:r w:rsidR="00DD521A" w:rsidRPr="00773352">
        <w:t xml:space="preserve">. (2025), who reported that complex carbon sources enhance microbial nutrient transformation, increasing soluble ions and EC values in mature </w:t>
      </w:r>
      <w:proofErr w:type="spellStart"/>
      <w:r w:rsidR="00DD521A" w:rsidRPr="00773352">
        <w:t>biofloc</w:t>
      </w:r>
      <w:proofErr w:type="spellEnd"/>
      <w:r w:rsidR="00DD521A" w:rsidRPr="00773352">
        <w:t xml:space="preserve"> systems. High TDS values are typical in </w:t>
      </w:r>
      <w:proofErr w:type="spellStart"/>
      <w:r w:rsidR="00DD521A" w:rsidRPr="00773352">
        <w:t>biofloc</w:t>
      </w:r>
      <w:proofErr w:type="spellEnd"/>
      <w:r w:rsidR="00DD521A" w:rsidRPr="00773352">
        <w:t xml:space="preserve"> systems due to continuous microbial decomposition of organic matter and accumulation of metabolites (Yu </w:t>
      </w:r>
      <w:r w:rsidR="00DD521A" w:rsidRPr="00773352">
        <w:rPr>
          <w:i/>
        </w:rPr>
        <w:t>et al</w:t>
      </w:r>
      <w:r w:rsidR="00DD521A" w:rsidRPr="00773352">
        <w:t xml:space="preserve">., 2023). According to Rai </w:t>
      </w:r>
      <w:r w:rsidR="00DD521A" w:rsidRPr="00773352">
        <w:rPr>
          <w:i/>
        </w:rPr>
        <w:t>et al</w:t>
      </w:r>
      <w:r w:rsidR="00DD521A" w:rsidRPr="00773352">
        <w:t>. (2025), stable TDS concentrations within this range indicate healthy microbial activity and balanced nutrient recycling.</w:t>
      </w:r>
      <w:r w:rsidR="00B80574" w:rsidRPr="00773352">
        <w:t xml:space="preserve"> Overall, water quality in all treatments remained within tolerable limits for </w:t>
      </w:r>
      <w:proofErr w:type="spellStart"/>
      <w:r w:rsidR="00B80574" w:rsidRPr="00773352">
        <w:rPr>
          <w:rStyle w:val="Emphasis"/>
        </w:rPr>
        <w:t>Clarias</w:t>
      </w:r>
      <w:proofErr w:type="spellEnd"/>
      <w:r w:rsidR="00B80574" w:rsidRPr="00773352">
        <w:rPr>
          <w:rStyle w:val="Emphasis"/>
        </w:rPr>
        <w:t xml:space="preserve"> </w:t>
      </w:r>
      <w:proofErr w:type="spellStart"/>
      <w:r w:rsidR="00B80574" w:rsidRPr="00773352">
        <w:rPr>
          <w:rStyle w:val="Emphasis"/>
        </w:rPr>
        <w:t>gariepinus</w:t>
      </w:r>
      <w:proofErr w:type="spellEnd"/>
      <w:r w:rsidR="00B80574" w:rsidRPr="00773352">
        <w:t xml:space="preserve"> culture, though C/N 20 exhibited superior balance, with moderate EC, higher DO, and reduced ammonia—indicating more efficient </w:t>
      </w:r>
      <w:proofErr w:type="spellStart"/>
      <w:r w:rsidR="00B80574" w:rsidRPr="00773352">
        <w:t>biofloc</w:t>
      </w:r>
      <w:proofErr w:type="spellEnd"/>
      <w:r w:rsidR="00B80574" w:rsidRPr="00773352">
        <w:t xml:space="preserve"> development and microbial equilibrium.</w:t>
      </w:r>
    </w:p>
    <w:p w:rsidR="00B80574" w:rsidRPr="00773352" w:rsidRDefault="00B80574" w:rsidP="00FC07C5">
      <w:pPr>
        <w:pStyle w:val="NormalWeb"/>
        <w:jc w:val="both"/>
      </w:pPr>
      <w:r w:rsidRPr="00773352">
        <w:t xml:space="preserve">The growth performance and production responses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cultured in wheat bran–based </w:t>
      </w:r>
      <w:proofErr w:type="spellStart"/>
      <w:r w:rsidRPr="00773352">
        <w:t>biofloc</w:t>
      </w:r>
      <w:proofErr w:type="spellEnd"/>
      <w:r w:rsidRPr="00773352">
        <w:t xml:space="preserve"> systems at different carbon–nitrogen (</w:t>
      </w:r>
      <w:proofErr w:type="gramStart"/>
      <w:r w:rsidRPr="00773352">
        <w:t>C:N</w:t>
      </w:r>
      <w:proofErr w:type="gramEnd"/>
      <w:r w:rsidRPr="00773352">
        <w:t xml:space="preserve">) ratios (10, 15, 20) showed significant (p &lt; 0.05) variation in several growth and feed efficiency indices. These differences highlight the sensitivity of </w:t>
      </w:r>
      <w:proofErr w:type="spellStart"/>
      <w:r w:rsidRPr="00773352">
        <w:t>biofloc</w:t>
      </w:r>
      <w:proofErr w:type="spellEnd"/>
      <w:r w:rsidRPr="00773352">
        <w:t xml:space="preserve"> systems to the </w:t>
      </w:r>
      <w:proofErr w:type="gramStart"/>
      <w:r w:rsidRPr="00773352">
        <w:t>C:N</w:t>
      </w:r>
      <w:proofErr w:type="gramEnd"/>
      <w:r w:rsidRPr="00773352">
        <w:t xml:space="preserve"> balance, which determines the rate of heterotrophic microbial growth, nutrient assimilation, and the overall feed conversion efficiency (</w:t>
      </w:r>
      <w:proofErr w:type="spellStart"/>
      <w:r w:rsidRPr="00773352">
        <w:t>Iber</w:t>
      </w:r>
      <w:proofErr w:type="spellEnd"/>
      <w:r w:rsidRPr="00773352">
        <w:t xml:space="preserve"> </w:t>
      </w:r>
      <w:r w:rsidRPr="00773352">
        <w:rPr>
          <w:i/>
        </w:rPr>
        <w:t>et al</w:t>
      </w:r>
      <w:r w:rsidRPr="00773352">
        <w:t xml:space="preserve">., 2025; </w:t>
      </w:r>
      <w:proofErr w:type="spellStart"/>
      <w:r w:rsidRPr="00773352">
        <w:t>Khanjani</w:t>
      </w:r>
      <w:proofErr w:type="spellEnd"/>
      <w:r w:rsidRPr="00773352">
        <w:t xml:space="preserve">, 2024). </w:t>
      </w:r>
      <w:r w:rsidRPr="00773352">
        <w:rPr>
          <w:rStyle w:val="Strong"/>
          <w:b w:val="0"/>
        </w:rPr>
        <w:t>Final mean weight (FMW)</w:t>
      </w:r>
      <w:r w:rsidRPr="00773352">
        <w:rPr>
          <w:b/>
        </w:rPr>
        <w:t xml:space="preserve"> </w:t>
      </w:r>
      <w:r w:rsidRPr="00773352">
        <w:t>and</w:t>
      </w:r>
      <w:r w:rsidRPr="00773352">
        <w:rPr>
          <w:b/>
        </w:rPr>
        <w:t xml:space="preserve"> </w:t>
      </w:r>
      <w:r w:rsidRPr="00773352">
        <w:rPr>
          <w:rStyle w:val="Strong"/>
          <w:b w:val="0"/>
        </w:rPr>
        <w:t>mean weight gain (MWG)</w:t>
      </w:r>
      <w:r w:rsidRPr="00773352">
        <w:t xml:space="preserve"> increased significantly (p &lt; 0.05) from 41.80 ± 0.69 g (control) to 52.73 ± 1.15 g at C:N 15, but declined slightly at C:N 20. This pattern reflects the positive role of moderate heterotrophic activity in converting organic waste into microbial protein that serves as supplementary feed (Rai </w:t>
      </w:r>
      <w:r w:rsidRPr="00773352">
        <w:rPr>
          <w:i/>
        </w:rPr>
        <w:t>et al</w:t>
      </w:r>
      <w:r w:rsidRPr="00773352">
        <w:t>., 2025). At excessively high C:N ratios, however, excessive bacterial respiration may reduce dissolved oxygen and suppress growth (</w:t>
      </w:r>
      <w:proofErr w:type="spellStart"/>
      <w:r w:rsidRPr="00773352">
        <w:t>Iber</w:t>
      </w:r>
      <w:proofErr w:type="spellEnd"/>
      <w:r w:rsidRPr="00773352">
        <w:t xml:space="preserve"> </w:t>
      </w:r>
      <w:r w:rsidRPr="00773352">
        <w:rPr>
          <w:i/>
        </w:rPr>
        <w:t>et al</w:t>
      </w:r>
      <w:r w:rsidRPr="00773352">
        <w:t>., 2025).</w:t>
      </w:r>
    </w:p>
    <w:p w:rsidR="0095650B" w:rsidRPr="00773352" w:rsidRDefault="0095650B" w:rsidP="00FC07C5">
      <w:pPr>
        <w:pStyle w:val="NormalWeb"/>
        <w:jc w:val="both"/>
      </w:pPr>
      <w:r w:rsidRPr="00773352">
        <w:rPr>
          <w:rStyle w:val="Strong"/>
          <w:b w:val="0"/>
        </w:rPr>
        <w:t>Survival rate</w:t>
      </w:r>
      <w:r w:rsidRPr="00773352">
        <w:t xml:space="preserve"> improved with increasing C:N ratio up to 15:1, followed by a slight decline at 20:1, suggesting that moderate </w:t>
      </w:r>
      <w:proofErr w:type="gramStart"/>
      <w:r w:rsidRPr="00773352">
        <w:t>C:N</w:t>
      </w:r>
      <w:proofErr w:type="gramEnd"/>
      <w:r w:rsidRPr="00773352">
        <w:t xml:space="preserve"> enhancement optimizes microbial activity and reduces toxic nitrogen accumulation (Yu </w:t>
      </w:r>
      <w:r w:rsidRPr="00773352">
        <w:rPr>
          <w:i/>
        </w:rPr>
        <w:t>et al</w:t>
      </w:r>
      <w:r w:rsidRPr="00773352">
        <w:t xml:space="preserve">., 2023). Higher C:N ratios promote bacterial assimilation of ammonia into microbial protein, improving water quality and reducing stress-induced mortality (Yadav </w:t>
      </w:r>
      <w:r w:rsidRPr="00773352">
        <w:rPr>
          <w:i/>
        </w:rPr>
        <w:t>et al</w:t>
      </w:r>
      <w:r w:rsidRPr="00773352">
        <w:t xml:space="preserve">., 2025). Similar patterns were observed in </w:t>
      </w:r>
      <w:r w:rsidRPr="00773352">
        <w:rPr>
          <w:rStyle w:val="Emphasis"/>
        </w:rPr>
        <w:t xml:space="preserve">Oreochromis </w:t>
      </w:r>
      <w:proofErr w:type="spellStart"/>
      <w:r w:rsidRPr="00773352">
        <w:rPr>
          <w:rStyle w:val="Emphasis"/>
        </w:rPr>
        <w:t>niloticus</w:t>
      </w:r>
      <w:proofErr w:type="spellEnd"/>
      <w:r w:rsidRPr="00773352">
        <w:t xml:space="preserve"> and </w:t>
      </w:r>
      <w:r w:rsidRPr="00773352">
        <w:rPr>
          <w:rStyle w:val="Emphasis"/>
        </w:rPr>
        <w:t xml:space="preserve">Penaeus </w:t>
      </w:r>
      <w:proofErr w:type="spellStart"/>
      <w:r w:rsidRPr="00773352">
        <w:rPr>
          <w:rStyle w:val="Emphasis"/>
        </w:rPr>
        <w:t>vannamei</w:t>
      </w:r>
      <w:proofErr w:type="spellEnd"/>
      <w:r w:rsidRPr="00773352">
        <w:t xml:space="preserve"> where survival peaked at </w:t>
      </w:r>
      <w:proofErr w:type="gramStart"/>
      <w:r w:rsidRPr="00773352">
        <w:t>C:N</w:t>
      </w:r>
      <w:proofErr w:type="gramEnd"/>
      <w:r w:rsidRPr="00773352">
        <w:t xml:space="preserve"> = 15 and declined at higher ratios due to oxygen limitation and excessive solids (Li </w:t>
      </w:r>
      <w:r w:rsidRPr="00773352">
        <w:rPr>
          <w:i/>
        </w:rPr>
        <w:t>et al</w:t>
      </w:r>
      <w:r w:rsidRPr="00773352">
        <w:t xml:space="preserve">., 2025; Zhang </w:t>
      </w:r>
      <w:r w:rsidRPr="00773352">
        <w:rPr>
          <w:i/>
        </w:rPr>
        <w:t>et al</w:t>
      </w:r>
      <w:r w:rsidRPr="00773352">
        <w:t xml:space="preserve">., 2023). The </w:t>
      </w:r>
      <w:r w:rsidRPr="00773352">
        <w:rPr>
          <w:rStyle w:val="Strong"/>
          <w:b w:val="0"/>
        </w:rPr>
        <w:t>specific growth rate (SGR)</w:t>
      </w:r>
      <w:r w:rsidRPr="00773352">
        <w:rPr>
          <w:b/>
        </w:rPr>
        <w:t xml:space="preserve"> </w:t>
      </w:r>
      <w:r w:rsidRPr="00773352">
        <w:t>and</w:t>
      </w:r>
      <w:r w:rsidRPr="00773352">
        <w:rPr>
          <w:b/>
        </w:rPr>
        <w:t xml:space="preserve"> </w:t>
      </w:r>
      <w:r w:rsidRPr="00773352">
        <w:rPr>
          <w:rStyle w:val="Strong"/>
          <w:b w:val="0"/>
        </w:rPr>
        <w:t>relative growth rate (RGR)</w:t>
      </w:r>
      <w:r w:rsidRPr="00773352">
        <w:t xml:space="preserve"> followed similar trends, with highest values observed at </w:t>
      </w:r>
      <w:proofErr w:type="gramStart"/>
      <w:r w:rsidRPr="00773352">
        <w:t>C:N</w:t>
      </w:r>
      <w:proofErr w:type="gramEnd"/>
      <w:r w:rsidRPr="00773352">
        <w:t xml:space="preserve"> 15, confirming this ratio as the optimal balance between nitrogen removal and microbial productivity. Comparable outcomes have been reported for </w:t>
      </w:r>
      <w:proofErr w:type="spellStart"/>
      <w:r w:rsidRPr="00773352">
        <w:rPr>
          <w:rStyle w:val="Emphasis"/>
        </w:rPr>
        <w:t>Clarias</w:t>
      </w:r>
      <w:proofErr w:type="spellEnd"/>
      <w:r w:rsidRPr="00773352">
        <w:rPr>
          <w:rStyle w:val="Emphasis"/>
        </w:rPr>
        <w:t xml:space="preserve"> </w:t>
      </w:r>
      <w:proofErr w:type="spellStart"/>
      <w:r w:rsidRPr="00773352">
        <w:rPr>
          <w:rStyle w:val="Emphasis"/>
        </w:rPr>
        <w:t>batrachus</w:t>
      </w:r>
      <w:proofErr w:type="spellEnd"/>
      <w:r w:rsidRPr="00773352">
        <w:t xml:space="preserve"> and </w:t>
      </w:r>
      <w:r w:rsidRPr="00773352">
        <w:rPr>
          <w:rStyle w:val="Emphasis"/>
        </w:rPr>
        <w:t xml:space="preserve">Oreochromis </w:t>
      </w:r>
      <w:proofErr w:type="spellStart"/>
      <w:r w:rsidRPr="00773352">
        <w:rPr>
          <w:rStyle w:val="Emphasis"/>
        </w:rPr>
        <w:lastRenderedPageBreak/>
        <w:t>niloticus</w:t>
      </w:r>
      <w:proofErr w:type="spellEnd"/>
      <w:r w:rsidRPr="00773352">
        <w:t xml:space="preserve">, where </w:t>
      </w:r>
      <w:proofErr w:type="spellStart"/>
      <w:r w:rsidRPr="00773352">
        <w:t>biofloc</w:t>
      </w:r>
      <w:proofErr w:type="spellEnd"/>
      <w:r w:rsidRPr="00773352">
        <w:t xml:space="preserve"> systems at </w:t>
      </w:r>
      <w:proofErr w:type="gramStart"/>
      <w:r w:rsidRPr="00773352">
        <w:t>C:N</w:t>
      </w:r>
      <w:proofErr w:type="gramEnd"/>
      <w:r w:rsidRPr="00773352">
        <w:t xml:space="preserve"> 12–15 maximized SGR and FCR (Adeoye </w:t>
      </w:r>
      <w:r w:rsidRPr="00773352">
        <w:rPr>
          <w:i/>
        </w:rPr>
        <w:t>et al</w:t>
      </w:r>
      <w:r w:rsidRPr="00773352">
        <w:t xml:space="preserve">., 2022; Yadav </w:t>
      </w:r>
      <w:r w:rsidRPr="00773352">
        <w:rPr>
          <w:i/>
        </w:rPr>
        <w:t>et al</w:t>
      </w:r>
      <w:r w:rsidRPr="00773352">
        <w:t>., 2025).</w:t>
      </w:r>
    </w:p>
    <w:p w:rsidR="0095650B" w:rsidRPr="00773352" w:rsidRDefault="0095650B" w:rsidP="00FC07C5">
      <w:pPr>
        <w:pStyle w:val="NormalWeb"/>
        <w:jc w:val="both"/>
      </w:pPr>
      <w:r w:rsidRPr="00773352">
        <w:rPr>
          <w:rStyle w:val="Strong"/>
          <w:b w:val="0"/>
        </w:rPr>
        <w:t>Feed conversion ratio (FCR)</w:t>
      </w:r>
      <w:r w:rsidRPr="00773352">
        <w:t xml:space="preserve"> improved markedly at </w:t>
      </w:r>
      <w:proofErr w:type="gramStart"/>
      <w:r w:rsidRPr="00773352">
        <w:t>C:N</w:t>
      </w:r>
      <w:proofErr w:type="gramEnd"/>
      <w:r w:rsidRPr="00773352">
        <w:t xml:space="preserve"> 15, demonstrating better feed utilization due to microbial protein supplementation and nutrient recycling. </w:t>
      </w:r>
      <w:proofErr w:type="spellStart"/>
      <w:r w:rsidRPr="00773352">
        <w:t>Biofloc</w:t>
      </w:r>
      <w:proofErr w:type="spellEnd"/>
      <w:r w:rsidRPr="00773352">
        <w:t xml:space="preserve"> particles act as live feed rich in microbial protein, polyunsaturated fatty acids, and enzymes that enhance digestion (</w:t>
      </w:r>
      <w:proofErr w:type="spellStart"/>
      <w:r w:rsidRPr="00773352">
        <w:t>Khanjani</w:t>
      </w:r>
      <w:proofErr w:type="spellEnd"/>
      <w:r w:rsidRPr="00773352">
        <w:t xml:space="preserve">, 2024; Li </w:t>
      </w:r>
      <w:r w:rsidRPr="00773352">
        <w:rPr>
          <w:i/>
        </w:rPr>
        <w:t>et al</w:t>
      </w:r>
      <w:r w:rsidRPr="00773352">
        <w:t>., 2025). Beyond this ratio, FCR increased again, implying that excess carbon addition may divert nitrogen away from fish assimilation and increase suspended solids (</w:t>
      </w:r>
      <w:proofErr w:type="spellStart"/>
      <w:r w:rsidRPr="00773352">
        <w:t>Iber</w:t>
      </w:r>
      <w:proofErr w:type="spellEnd"/>
      <w:r w:rsidRPr="00773352">
        <w:t xml:space="preserve"> </w:t>
      </w:r>
      <w:r w:rsidRPr="00773352">
        <w:rPr>
          <w:i/>
        </w:rPr>
        <w:t>et al</w:t>
      </w:r>
      <w:r w:rsidRPr="00773352">
        <w:t xml:space="preserve">., 2025). </w:t>
      </w:r>
      <w:r w:rsidRPr="00773352">
        <w:rPr>
          <w:rStyle w:val="Strong"/>
          <w:b w:val="0"/>
        </w:rPr>
        <w:t>Protein efficiency ratio (PER)</w:t>
      </w:r>
      <w:r w:rsidRPr="00773352">
        <w:rPr>
          <w:b/>
        </w:rPr>
        <w:t xml:space="preserve"> </w:t>
      </w:r>
      <w:r w:rsidRPr="00773352">
        <w:t>and</w:t>
      </w:r>
      <w:r w:rsidRPr="00773352">
        <w:rPr>
          <w:b/>
        </w:rPr>
        <w:t xml:space="preserve"> </w:t>
      </w:r>
      <w:r w:rsidRPr="00773352">
        <w:rPr>
          <w:rStyle w:val="Strong"/>
          <w:b w:val="0"/>
        </w:rPr>
        <w:t>protein productive value (PPV)</w:t>
      </w:r>
      <w:r w:rsidRPr="00773352">
        <w:t xml:space="preserve"> were also significantly affected by C:N ratio, peaking at </w:t>
      </w:r>
      <w:proofErr w:type="gramStart"/>
      <w:r w:rsidRPr="00773352">
        <w:t>C:N</w:t>
      </w:r>
      <w:proofErr w:type="gramEnd"/>
      <w:r w:rsidRPr="00773352">
        <w:t xml:space="preserve"> 15. These findings align with earlier reports showing that the microbial community in optimal </w:t>
      </w:r>
      <w:proofErr w:type="gramStart"/>
      <w:r w:rsidRPr="00773352">
        <w:t>C:N</w:t>
      </w:r>
      <w:proofErr w:type="gramEnd"/>
      <w:r w:rsidRPr="00773352">
        <w:t xml:space="preserve"> </w:t>
      </w:r>
      <w:proofErr w:type="spellStart"/>
      <w:r w:rsidRPr="00773352">
        <w:t>biofloc</w:t>
      </w:r>
      <w:proofErr w:type="spellEnd"/>
      <w:r w:rsidRPr="00773352">
        <w:t xml:space="preserve"> systems provides a renewable source of protein that complements commercial feeds (Yu </w:t>
      </w:r>
      <w:r w:rsidRPr="00773352">
        <w:rPr>
          <w:i/>
        </w:rPr>
        <w:t>et al</w:t>
      </w:r>
      <w:r w:rsidRPr="00773352">
        <w:t xml:space="preserve">., 2023; Rai </w:t>
      </w:r>
      <w:r w:rsidRPr="00773352">
        <w:rPr>
          <w:i/>
        </w:rPr>
        <w:t>et al</w:t>
      </w:r>
      <w:r w:rsidRPr="00773352">
        <w:t xml:space="preserve">., 2025). Enhanced PER and PPV suggest efficient nitrogen recycling through microbial assimilation, leading to improved growth and lower feed input (Yadav </w:t>
      </w:r>
      <w:r w:rsidRPr="00773352">
        <w:rPr>
          <w:i/>
        </w:rPr>
        <w:t>et al</w:t>
      </w:r>
      <w:r w:rsidRPr="00773352">
        <w:t xml:space="preserve">., 2025). The </w:t>
      </w:r>
      <w:r w:rsidRPr="00773352">
        <w:rPr>
          <w:rStyle w:val="Strong"/>
          <w:b w:val="0"/>
        </w:rPr>
        <w:t>protein intake (PI)</w:t>
      </w:r>
      <w:r w:rsidRPr="00773352">
        <w:t xml:space="preserve">, though variable, tended to decrease as the C:N ratio increased, reflecting more efficient feed utilization at moderate ratios. This outcome corresponds with the decline in total feed intake at </w:t>
      </w:r>
      <w:proofErr w:type="gramStart"/>
      <w:r w:rsidRPr="00773352">
        <w:t>C:N</w:t>
      </w:r>
      <w:proofErr w:type="gramEnd"/>
      <w:r w:rsidRPr="00773352">
        <w:t xml:space="preserve"> 15, which indicates reduced dependency on formulated feed due to the nutritional contribution of </w:t>
      </w:r>
      <w:proofErr w:type="spellStart"/>
      <w:r w:rsidRPr="00773352">
        <w:t>biofloc</w:t>
      </w:r>
      <w:proofErr w:type="spellEnd"/>
      <w:r w:rsidRPr="00773352">
        <w:t xml:space="preserve"> biomass (Adeoye </w:t>
      </w:r>
      <w:r w:rsidRPr="00773352">
        <w:rPr>
          <w:i/>
        </w:rPr>
        <w:t>et al</w:t>
      </w:r>
      <w:r w:rsidRPr="00773352">
        <w:t>., 2022).</w:t>
      </w:r>
      <w:r w:rsidR="00075897" w:rsidRPr="00773352">
        <w:t xml:space="preserve"> </w:t>
      </w:r>
      <w:r w:rsidRPr="00773352">
        <w:t xml:space="preserve">Collectively, the growth and production results indicate that a C:N ratio of 15:1 in wheat bran–based </w:t>
      </w:r>
      <w:proofErr w:type="spellStart"/>
      <w:r w:rsidRPr="00773352">
        <w:t>biofloc</w:t>
      </w:r>
      <w:proofErr w:type="spellEnd"/>
      <w:r w:rsidRPr="00773352">
        <w:t xml:space="preserve"> systems provides the best compromise between nutrient recycling, microbial growth, and fish performance. At higher ratios (</w:t>
      </w:r>
      <w:proofErr w:type="gramStart"/>
      <w:r w:rsidRPr="00773352">
        <w:t>C:N</w:t>
      </w:r>
      <w:proofErr w:type="gramEnd"/>
      <w:r w:rsidRPr="00773352">
        <w:t xml:space="preserve"> 20), declining oxygen levels and increased </w:t>
      </w:r>
      <w:proofErr w:type="spellStart"/>
      <w:r w:rsidRPr="00773352">
        <w:t>biofloc</w:t>
      </w:r>
      <w:proofErr w:type="spellEnd"/>
      <w:r w:rsidRPr="00773352">
        <w:t xml:space="preserve"> density may have contributed to reduced performance (Zhang </w:t>
      </w:r>
      <w:r w:rsidRPr="00773352">
        <w:rPr>
          <w:i/>
        </w:rPr>
        <w:t>et al</w:t>
      </w:r>
      <w:r w:rsidRPr="00773352">
        <w:t>., 2023).</w:t>
      </w:r>
    </w:p>
    <w:p w:rsidR="00075897" w:rsidRPr="00773352" w:rsidRDefault="00075897" w:rsidP="00FC07C5">
      <w:pPr>
        <w:pStyle w:val="NormalWeb"/>
        <w:jc w:val="both"/>
      </w:pPr>
      <w:r w:rsidRPr="00773352">
        <w:t xml:space="preserve">The proximate composition and biochemical indices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cultured under wheat-bran–based </w:t>
      </w:r>
      <w:proofErr w:type="spellStart"/>
      <w:r w:rsidRPr="00773352">
        <w:t>biofloc</w:t>
      </w:r>
      <w:proofErr w:type="spellEnd"/>
      <w:r w:rsidRPr="00773352">
        <w:t xml:space="preserve"> systems at different carbon–nitrogen (</w:t>
      </w:r>
      <w:proofErr w:type="gramStart"/>
      <w:r w:rsidRPr="00773352">
        <w:t>C:N</w:t>
      </w:r>
      <w:proofErr w:type="gramEnd"/>
      <w:r w:rsidRPr="00773352">
        <w:t xml:space="preserve">) ratios (10, 15, 20) showed significant differences (p &lt; 0.05) across all parameters. These variations illustrate the critical role of </w:t>
      </w:r>
      <w:proofErr w:type="gramStart"/>
      <w:r w:rsidRPr="00773352">
        <w:t>C:N</w:t>
      </w:r>
      <w:proofErr w:type="gramEnd"/>
      <w:r w:rsidRPr="00773352">
        <w:t xml:space="preserve"> balance in controlling microbial dynamics, nutrient assimilation, and physiological metabolism within </w:t>
      </w:r>
      <w:proofErr w:type="spellStart"/>
      <w:r w:rsidRPr="00773352">
        <w:t>biofloc</w:t>
      </w:r>
      <w:proofErr w:type="spellEnd"/>
      <w:r w:rsidRPr="00773352">
        <w:t xml:space="preserve"> environments (</w:t>
      </w:r>
      <w:proofErr w:type="spellStart"/>
      <w:r w:rsidRPr="00773352">
        <w:t>Iber</w:t>
      </w:r>
      <w:proofErr w:type="spellEnd"/>
      <w:r w:rsidR="000176B7" w:rsidRPr="00773352">
        <w:t xml:space="preserve"> </w:t>
      </w:r>
      <w:r w:rsidR="000176B7" w:rsidRPr="00773352">
        <w:rPr>
          <w:i/>
        </w:rPr>
        <w:t>et al</w:t>
      </w:r>
      <w:r w:rsidR="000176B7" w:rsidRPr="00773352">
        <w:t xml:space="preserve">., 2025; </w:t>
      </w:r>
      <w:proofErr w:type="spellStart"/>
      <w:r w:rsidR="000176B7" w:rsidRPr="00773352">
        <w:t>Khanjani</w:t>
      </w:r>
      <w:proofErr w:type="spellEnd"/>
      <w:r w:rsidR="000176B7" w:rsidRPr="00773352">
        <w:t xml:space="preserve">, 2024). </w:t>
      </w:r>
      <w:r w:rsidRPr="00773352">
        <w:rPr>
          <w:rStyle w:val="Strong"/>
          <w:b w:val="0"/>
        </w:rPr>
        <w:t>Moisture content</w:t>
      </w:r>
      <w:r w:rsidRPr="00773352">
        <w:t xml:space="preserve"> decreased steadily with increasing C:N ratio, indicating a negative correlation between water content and nutrient deposition. This decline corresponds to increased dry-matter accumulation through protein and lipid synthesis. Similar trends were reported for </w:t>
      </w:r>
      <w:r w:rsidRPr="00773352">
        <w:rPr>
          <w:rStyle w:val="Emphasis"/>
        </w:rPr>
        <w:t xml:space="preserve">Oreochromis </w:t>
      </w:r>
      <w:proofErr w:type="spellStart"/>
      <w:r w:rsidRPr="00773352">
        <w:rPr>
          <w:rStyle w:val="Emphasis"/>
        </w:rPr>
        <w:t>niloticus</w:t>
      </w:r>
      <w:proofErr w:type="spellEnd"/>
      <w:r w:rsidRPr="00773352">
        <w:t xml:space="preserve"> and </w:t>
      </w:r>
      <w:r w:rsidRPr="00773352">
        <w:rPr>
          <w:rStyle w:val="Emphasis"/>
        </w:rPr>
        <w:t xml:space="preserve">Penaeus </w:t>
      </w:r>
      <w:proofErr w:type="spellStart"/>
      <w:r w:rsidRPr="00773352">
        <w:rPr>
          <w:rStyle w:val="Emphasis"/>
        </w:rPr>
        <w:t>vannamei</w:t>
      </w:r>
      <w:proofErr w:type="spellEnd"/>
      <w:r w:rsidRPr="00773352">
        <w:t xml:space="preserve">, where moisture inversely correlated with carcass nutrient concentration under intensified </w:t>
      </w:r>
      <w:proofErr w:type="spellStart"/>
      <w:r w:rsidRPr="00773352">
        <w:t>biofloc</w:t>
      </w:r>
      <w:proofErr w:type="spellEnd"/>
      <w:r w:rsidRPr="00773352">
        <w:t xml:space="preserve"> management (Yu </w:t>
      </w:r>
      <w:r w:rsidR="000176B7" w:rsidRPr="00773352">
        <w:rPr>
          <w:i/>
        </w:rPr>
        <w:t>et al</w:t>
      </w:r>
      <w:r w:rsidR="000176B7" w:rsidRPr="00773352">
        <w:t xml:space="preserve">., 2023; Li </w:t>
      </w:r>
      <w:r w:rsidR="000176B7" w:rsidRPr="00773352">
        <w:rPr>
          <w:i/>
        </w:rPr>
        <w:t>et al</w:t>
      </w:r>
      <w:r w:rsidR="000176B7" w:rsidRPr="00773352">
        <w:t xml:space="preserve">., 2025). </w:t>
      </w:r>
      <w:r w:rsidRPr="00773352">
        <w:rPr>
          <w:rStyle w:val="Strong"/>
          <w:b w:val="0"/>
        </w:rPr>
        <w:t>Crude protein</w:t>
      </w:r>
      <w:r w:rsidRPr="00773352">
        <w:t xml:space="preserve"> increased significantly reflecting enhanced nitrogen assimilation and microbial protein ingestion by the fish (Yadav </w:t>
      </w:r>
      <w:r w:rsidRPr="00773352">
        <w:rPr>
          <w:i/>
        </w:rPr>
        <w:t>et al</w:t>
      </w:r>
      <w:r w:rsidRPr="00773352">
        <w:t xml:space="preserve">., 2025). Higher bacterial biomass under enriched carbon availability converts inorganic nitrogen into protein-rich floc particles that serve as live feed (Rai </w:t>
      </w:r>
      <w:r w:rsidRPr="00773352">
        <w:rPr>
          <w:i/>
        </w:rPr>
        <w:t>et al</w:t>
      </w:r>
      <w:r w:rsidRPr="00773352">
        <w:t xml:space="preserve">., 2025). Comparable results were documented by Adeoye </w:t>
      </w:r>
      <w:r w:rsidRPr="00773352">
        <w:rPr>
          <w:i/>
        </w:rPr>
        <w:t>et al</w:t>
      </w:r>
      <w:r w:rsidRPr="00773352">
        <w:t xml:space="preserve">. (2022) in </w:t>
      </w:r>
      <w:proofErr w:type="spellStart"/>
      <w:r w:rsidRPr="00773352">
        <w:rPr>
          <w:rStyle w:val="Emphasis"/>
        </w:rPr>
        <w:t>Clarias</w:t>
      </w:r>
      <w:proofErr w:type="spellEnd"/>
      <w:r w:rsidRPr="00773352">
        <w:rPr>
          <w:rStyle w:val="Emphasis"/>
        </w:rPr>
        <w:t xml:space="preserve"> </w:t>
      </w:r>
      <w:proofErr w:type="spellStart"/>
      <w:r w:rsidRPr="00773352">
        <w:rPr>
          <w:rStyle w:val="Emphasis"/>
        </w:rPr>
        <w:t>batrachus</w:t>
      </w:r>
      <w:proofErr w:type="spellEnd"/>
      <w:r w:rsidRPr="00773352">
        <w:t>, who observed elevated carcass protein and improved feed efficiency i</w:t>
      </w:r>
      <w:r w:rsidR="000176B7" w:rsidRPr="00773352">
        <w:t xml:space="preserve">n </w:t>
      </w:r>
      <w:proofErr w:type="spellStart"/>
      <w:r w:rsidR="000176B7" w:rsidRPr="00773352">
        <w:t>biofloc</w:t>
      </w:r>
      <w:proofErr w:type="spellEnd"/>
      <w:r w:rsidR="000176B7" w:rsidRPr="00773352">
        <w:t xml:space="preserve"> systems at </w:t>
      </w:r>
      <w:proofErr w:type="gramStart"/>
      <w:r w:rsidR="000176B7" w:rsidRPr="00773352">
        <w:t>C:N</w:t>
      </w:r>
      <w:proofErr w:type="gramEnd"/>
      <w:r w:rsidR="000176B7" w:rsidRPr="00773352">
        <w:t xml:space="preserve"> 12–15. </w:t>
      </w:r>
      <w:r w:rsidRPr="00773352">
        <w:rPr>
          <w:rStyle w:val="Strong"/>
          <w:b w:val="0"/>
        </w:rPr>
        <w:t>Fat content</w:t>
      </w:r>
      <w:r w:rsidR="000176B7" w:rsidRPr="00773352">
        <w:t xml:space="preserve"> followed a similar pattern. </w:t>
      </w:r>
      <w:r w:rsidRPr="00773352">
        <w:t>This suggests improved lipid deposition due to microbial fatty-acid contributions and enhanced energy metabolism (</w:t>
      </w:r>
      <w:proofErr w:type="spellStart"/>
      <w:r w:rsidRPr="00773352">
        <w:t>Khanjani</w:t>
      </w:r>
      <w:proofErr w:type="spellEnd"/>
      <w:r w:rsidRPr="00773352">
        <w:t xml:space="preserve">, 2024; </w:t>
      </w:r>
      <w:proofErr w:type="spellStart"/>
      <w:r w:rsidRPr="00773352">
        <w:t>Iber</w:t>
      </w:r>
      <w:proofErr w:type="spellEnd"/>
      <w:r w:rsidRPr="00773352">
        <w:t xml:space="preserve"> </w:t>
      </w:r>
      <w:r w:rsidRPr="00773352">
        <w:rPr>
          <w:i/>
        </w:rPr>
        <w:t>et al</w:t>
      </w:r>
      <w:r w:rsidRPr="00773352">
        <w:t xml:space="preserve">., 2025). The increased </w:t>
      </w:r>
      <w:r w:rsidRPr="00773352">
        <w:rPr>
          <w:rStyle w:val="Strong"/>
          <w:b w:val="0"/>
        </w:rPr>
        <w:t>ash content</w:t>
      </w:r>
      <w:r w:rsidRPr="00773352">
        <w:t xml:space="preserve"> further supports efficient mineral recycling, as </w:t>
      </w:r>
      <w:proofErr w:type="spellStart"/>
      <w:r w:rsidRPr="00773352">
        <w:t>biofloc</w:t>
      </w:r>
      <w:proofErr w:type="spellEnd"/>
      <w:r w:rsidRPr="00773352">
        <w:t xml:space="preserve"> bacteria solubilize trace elements and phosphorus into bioava</w:t>
      </w:r>
      <w:r w:rsidR="000176B7" w:rsidRPr="00773352">
        <w:t xml:space="preserve">ilable forms (Li </w:t>
      </w:r>
      <w:r w:rsidR="000176B7" w:rsidRPr="00773352">
        <w:rPr>
          <w:i/>
        </w:rPr>
        <w:t>et al</w:t>
      </w:r>
      <w:r w:rsidR="000176B7" w:rsidRPr="00773352">
        <w:t xml:space="preserve">., 2025). </w:t>
      </w:r>
      <w:r w:rsidRPr="00773352">
        <w:t xml:space="preserve">The </w:t>
      </w:r>
      <w:r w:rsidRPr="00773352">
        <w:rPr>
          <w:rStyle w:val="Strong"/>
          <w:b w:val="0"/>
        </w:rPr>
        <w:t>nitrogen-free extract (NFE)</w:t>
      </w:r>
      <w:r w:rsidRPr="00773352">
        <w:t xml:space="preserve"> rose modestly with higher C:N ratios, indicating more efficient carbohydrate utilization and metabolic conversion into structural and storage macromolecules. Yadav </w:t>
      </w:r>
      <w:r w:rsidRPr="00773352">
        <w:rPr>
          <w:i/>
        </w:rPr>
        <w:t>et al</w:t>
      </w:r>
      <w:r w:rsidRPr="00773352">
        <w:t xml:space="preserve">. (2025) similarly reported improved carbohydrate turnover under optimal </w:t>
      </w:r>
      <w:proofErr w:type="spellStart"/>
      <w:r w:rsidRPr="00773352">
        <w:t>biofloc</w:t>
      </w:r>
      <w:proofErr w:type="spellEnd"/>
      <w:r w:rsidRPr="00773352">
        <w:t xml:space="preserve"> conditions, consistent with elevated glycogen and lipid reserves.</w:t>
      </w:r>
    </w:p>
    <w:p w:rsidR="000176B7" w:rsidRPr="00773352" w:rsidRDefault="000176B7" w:rsidP="00FC07C5">
      <w:pPr>
        <w:pStyle w:val="NormalWeb"/>
        <w:jc w:val="both"/>
      </w:pPr>
      <w:r w:rsidRPr="00773352">
        <w:rPr>
          <w:rStyle w:val="Strong"/>
          <w:b w:val="0"/>
        </w:rPr>
        <w:lastRenderedPageBreak/>
        <w:t>Total cholesterol (T-Chol)</w:t>
      </w:r>
      <w:r w:rsidRPr="00773352">
        <w:rPr>
          <w:b/>
        </w:rPr>
        <w:t xml:space="preserve"> </w:t>
      </w:r>
      <w:r w:rsidRPr="00773352">
        <w:t>and</w:t>
      </w:r>
      <w:r w:rsidRPr="00773352">
        <w:rPr>
          <w:b/>
        </w:rPr>
        <w:t xml:space="preserve"> </w:t>
      </w:r>
      <w:r w:rsidRPr="00773352">
        <w:rPr>
          <w:rStyle w:val="Strong"/>
          <w:b w:val="0"/>
        </w:rPr>
        <w:t>triglyceride</w:t>
      </w:r>
      <w:r w:rsidRPr="00773352">
        <w:t xml:space="preserve"> concentrations increased progressively, reaching their highest levels at </w:t>
      </w:r>
      <w:proofErr w:type="gramStart"/>
      <w:r w:rsidRPr="00773352">
        <w:t>C:N</w:t>
      </w:r>
      <w:proofErr w:type="gramEnd"/>
      <w:r w:rsidRPr="00773352">
        <w:t xml:space="preserve"> 20. These elevations suggest intensified lipid biosynthesis and metabolic energy storage associated with microbial nutrient recycling (Yu </w:t>
      </w:r>
      <w:r w:rsidRPr="00773352">
        <w:rPr>
          <w:i/>
        </w:rPr>
        <w:t>et al</w:t>
      </w:r>
      <w:r w:rsidRPr="00773352">
        <w:t xml:space="preserve">., 2023; Rai </w:t>
      </w:r>
      <w:r w:rsidRPr="00773352">
        <w:rPr>
          <w:i/>
        </w:rPr>
        <w:t>et al</w:t>
      </w:r>
      <w:r w:rsidRPr="00773352">
        <w:t xml:space="preserve">., 2025). However, excessive cholesterol accumulation may also indicate mild metabolic stress or increased steroidogenesis under high organic load (Zhang </w:t>
      </w:r>
      <w:r w:rsidRPr="00773352">
        <w:rPr>
          <w:i/>
        </w:rPr>
        <w:t>et al</w:t>
      </w:r>
      <w:r w:rsidRPr="00773352">
        <w:t xml:space="preserve">., 2023). </w:t>
      </w:r>
      <w:r w:rsidRPr="00773352">
        <w:rPr>
          <w:rStyle w:val="Strong"/>
          <w:b w:val="0"/>
        </w:rPr>
        <w:t>Malondialdehyde (MDA)</w:t>
      </w:r>
      <w:r w:rsidRPr="00773352">
        <w:t xml:space="preserve">, an indicator of lipid peroxidation, was highest at </w:t>
      </w:r>
      <w:proofErr w:type="gramStart"/>
      <w:r w:rsidRPr="00773352">
        <w:t>C:N</w:t>
      </w:r>
      <w:proofErr w:type="gramEnd"/>
      <w:r w:rsidRPr="00773352">
        <w:t xml:space="preserve"> 15, suggesting that moderate C:N enrichment induced transient oxidative stress during peak microbial respiration. Interestingly, MDA declined sharply at </w:t>
      </w:r>
      <w:proofErr w:type="gramStart"/>
      <w:r w:rsidRPr="00773352">
        <w:t>C:N</w:t>
      </w:r>
      <w:proofErr w:type="gramEnd"/>
      <w:r w:rsidRPr="00773352">
        <w:t xml:space="preserve"> 20, implying that oxidative stress was mitigated once the microbial community stabilized (Li </w:t>
      </w:r>
      <w:r w:rsidRPr="00773352">
        <w:rPr>
          <w:i/>
        </w:rPr>
        <w:t>et al</w:t>
      </w:r>
      <w:r w:rsidRPr="00773352">
        <w:t xml:space="preserve">., 2025). Such adaptive antioxidant responses are common in well-aerated </w:t>
      </w:r>
      <w:proofErr w:type="spellStart"/>
      <w:r w:rsidRPr="00773352">
        <w:t>biofloc</w:t>
      </w:r>
      <w:proofErr w:type="spellEnd"/>
      <w:r w:rsidRPr="00773352">
        <w:t xml:space="preserve"> systems (</w:t>
      </w:r>
      <w:proofErr w:type="spellStart"/>
      <w:r w:rsidRPr="00773352">
        <w:t>Nwachi</w:t>
      </w:r>
      <w:proofErr w:type="spellEnd"/>
      <w:r w:rsidRPr="00773352">
        <w:t xml:space="preserve"> </w:t>
      </w:r>
      <w:r w:rsidRPr="00773352">
        <w:rPr>
          <w:i/>
        </w:rPr>
        <w:t>et al</w:t>
      </w:r>
      <w:r w:rsidRPr="00773352">
        <w:t xml:space="preserve">., 2024). </w:t>
      </w:r>
      <w:r w:rsidRPr="00773352">
        <w:rPr>
          <w:rStyle w:val="Strong"/>
          <w:b w:val="0"/>
        </w:rPr>
        <w:t>Catalase (CAT) activity</w:t>
      </w:r>
      <w:r w:rsidRPr="00773352">
        <w:t xml:space="preserve">, a key antioxidant enzyme, increased markedly up to </w:t>
      </w:r>
      <w:proofErr w:type="gramStart"/>
      <w:r w:rsidRPr="00773352">
        <w:t>C:N</w:t>
      </w:r>
      <w:proofErr w:type="gramEnd"/>
      <w:r w:rsidRPr="00773352">
        <w:t xml:space="preserve"> 15  before decreasing at C:N 20. Elevated CAT activity demonstrates enzymatic protection against hydrogen peroxide accumulation during high microbial activity (Rai </w:t>
      </w:r>
      <w:r w:rsidRPr="007C5C93">
        <w:rPr>
          <w:i/>
        </w:rPr>
        <w:t>et al</w:t>
      </w:r>
      <w:r w:rsidRPr="00773352">
        <w:t xml:space="preserve">., 2025). The subsequent decline suggests reduced oxidative load or enzyme inactivation at prolonged exposure to higher organic concentrations (Yadav </w:t>
      </w:r>
      <w:r w:rsidRPr="00773352">
        <w:rPr>
          <w:i/>
        </w:rPr>
        <w:t>et al</w:t>
      </w:r>
      <w:r w:rsidRPr="00773352">
        <w:t xml:space="preserve">., 2025). The </w:t>
      </w:r>
      <w:r w:rsidRPr="00773352">
        <w:rPr>
          <w:rStyle w:val="Strong"/>
          <w:b w:val="0"/>
        </w:rPr>
        <w:t>hepatosomatic index (HIS)</w:t>
      </w:r>
      <w:r w:rsidRPr="00773352">
        <w:t xml:space="preserve"> and </w:t>
      </w:r>
      <w:proofErr w:type="spellStart"/>
      <w:r w:rsidRPr="00773352">
        <w:rPr>
          <w:rStyle w:val="Strong"/>
          <w:b w:val="0"/>
        </w:rPr>
        <w:t>viscerosomatic</w:t>
      </w:r>
      <w:proofErr w:type="spellEnd"/>
      <w:r w:rsidRPr="00773352">
        <w:rPr>
          <w:rStyle w:val="Strong"/>
          <w:b w:val="0"/>
        </w:rPr>
        <w:t xml:space="preserve"> index (VSI)</w:t>
      </w:r>
      <w:r w:rsidRPr="00773352">
        <w:t xml:space="preserve"> both rose significantly at higher </w:t>
      </w:r>
      <w:proofErr w:type="gramStart"/>
      <w:r w:rsidRPr="00773352">
        <w:t>C:N</w:t>
      </w:r>
      <w:proofErr w:type="gramEnd"/>
      <w:r w:rsidRPr="00773352">
        <w:t xml:space="preserve"> levels, peaking at C:N 20.  This reflects increased energy storage </w:t>
      </w:r>
      <w:r w:rsidR="007C5C93">
        <w:t xml:space="preserve">typically in form of liver fat and visceral fat </w:t>
      </w:r>
      <w:r w:rsidRPr="00773352">
        <w:t>and</w:t>
      </w:r>
      <w:r w:rsidR="007C5C93">
        <w:t xml:space="preserve"> also</w:t>
      </w:r>
      <w:r w:rsidRPr="00773352">
        <w:t xml:space="preserve"> hepatic lipid deposition, a typical adaptive response</w:t>
      </w:r>
      <w:r w:rsidR="007C5C93">
        <w:t xml:space="preserve"> in nutrient-rich systems (</w:t>
      </w:r>
      <w:proofErr w:type="spellStart"/>
      <w:r w:rsidR="007C5C93">
        <w:t>Iber</w:t>
      </w:r>
      <w:r w:rsidR="00D00272" w:rsidRPr="00773352">
        <w:t>s</w:t>
      </w:r>
      <w:proofErr w:type="spellEnd"/>
      <w:r w:rsidRPr="00773352">
        <w:t xml:space="preserve">., 2025). </w:t>
      </w:r>
      <w:r w:rsidR="007C5C93">
        <w:t xml:space="preserve">This often indicates good nutritional status. </w:t>
      </w:r>
      <w:r w:rsidRPr="00773352">
        <w:t>However, excessive accumulation may compromise liver function if prolonged (</w:t>
      </w:r>
      <w:proofErr w:type="spellStart"/>
      <w:r w:rsidRPr="00773352">
        <w:t>Khanjani</w:t>
      </w:r>
      <w:proofErr w:type="spellEnd"/>
      <w:r w:rsidRPr="00773352">
        <w:t xml:space="preserve">, 2024). Overall, the proximate and biochemical profiles reveal that moderate to high C:N ratios enhance nutrient deposition and metabolic efficiency in </w:t>
      </w:r>
      <w:r w:rsidRPr="00773352">
        <w:rPr>
          <w:rStyle w:val="Emphasis"/>
        </w:rPr>
        <w:t xml:space="preserve">C. </w:t>
      </w:r>
      <w:proofErr w:type="spellStart"/>
      <w:r w:rsidRPr="00773352">
        <w:rPr>
          <w:rStyle w:val="Emphasis"/>
        </w:rPr>
        <w:t>gariepinus</w:t>
      </w:r>
      <w:proofErr w:type="spellEnd"/>
      <w:r w:rsidRPr="00773352">
        <w:t xml:space="preserve">, but extremely high ratios may elevate oxidative or metabolic stress. Therefore, a </w:t>
      </w:r>
      <w:proofErr w:type="gramStart"/>
      <w:r w:rsidRPr="00773352">
        <w:t>C:N</w:t>
      </w:r>
      <w:proofErr w:type="gramEnd"/>
      <w:r w:rsidRPr="00773352">
        <w:t xml:space="preserve"> 15–20 range appears physiologically optimal for wheat-bran–based </w:t>
      </w:r>
      <w:proofErr w:type="spellStart"/>
      <w:r w:rsidRPr="00773352">
        <w:t>biofloc</w:t>
      </w:r>
      <w:proofErr w:type="spellEnd"/>
      <w:r w:rsidRPr="00773352">
        <w:t xml:space="preserve"> systems under tropical conditions.</w:t>
      </w:r>
    </w:p>
    <w:p w:rsidR="00075897" w:rsidRPr="00773352" w:rsidRDefault="000176B7" w:rsidP="00FC07C5">
      <w:pPr>
        <w:pStyle w:val="NormalWeb"/>
        <w:rPr>
          <w:b/>
        </w:rPr>
      </w:pPr>
      <w:r w:rsidRPr="00773352">
        <w:rPr>
          <w:b/>
        </w:rPr>
        <w:t>Conclusion</w:t>
      </w:r>
    </w:p>
    <w:p w:rsidR="000176B7" w:rsidRPr="00773352" w:rsidRDefault="000176B7" w:rsidP="00FC07C5">
      <w:pPr>
        <w:pStyle w:val="NormalWeb"/>
        <w:jc w:val="both"/>
      </w:pPr>
      <w:r w:rsidRPr="00773352">
        <w:t xml:space="preserve">The ratio at which carbon sources is added for </w:t>
      </w:r>
      <w:proofErr w:type="spellStart"/>
      <w:r w:rsidRPr="00773352">
        <w:t>biofloc</w:t>
      </w:r>
      <w:proofErr w:type="spellEnd"/>
      <w:r w:rsidRPr="00773352">
        <w:t xml:space="preserve"> production significantly affects water quality dynamics. This equally determines</w:t>
      </w:r>
      <w:r w:rsidR="00AD1E97" w:rsidRPr="00773352">
        <w:t xml:space="preserve"> the amounts</w:t>
      </w:r>
      <w:r w:rsidRPr="00773352">
        <w:t xml:space="preserve"> of </w:t>
      </w:r>
      <w:proofErr w:type="spellStart"/>
      <w:r w:rsidRPr="00773352">
        <w:t>biofloc</w:t>
      </w:r>
      <w:proofErr w:type="spellEnd"/>
      <w:r w:rsidRPr="00773352">
        <w:t xml:space="preserve"> volume in the different treatment. The present findings establish that C:N ratio strongly influences growth performance, feed efficiency, and survival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reared in wheat bran–based </w:t>
      </w:r>
      <w:proofErr w:type="spellStart"/>
      <w:r w:rsidRPr="00773352">
        <w:t>biofloc</w:t>
      </w:r>
      <w:proofErr w:type="spellEnd"/>
      <w:r w:rsidRPr="00773352">
        <w:t xml:space="preserve"> systems. Among the tested ratios, C:N 15 yielded the highest survival rate, growth rate, and protein efficiency, confirming it as the optimal condition for balanced microbial activity and nutrient utilization. At higher C:N ratios (≥ 20), performance declined due to potential oxygen depletion and excessive floc density.</w:t>
      </w:r>
      <w:r w:rsidR="008D168E">
        <w:t xml:space="preserve"> </w:t>
      </w:r>
      <w:r w:rsidRPr="00773352">
        <w:t xml:space="preserve">The proximate and biochemical analyses demonstrate that manipulating C:N ratio in wheat-bran–based </w:t>
      </w:r>
      <w:proofErr w:type="spellStart"/>
      <w:r w:rsidRPr="00773352">
        <w:t>biofloc</w:t>
      </w:r>
      <w:proofErr w:type="spellEnd"/>
      <w:r w:rsidRPr="00773352">
        <w:t xml:space="preserve"> systems significantly influences body composition and physiological metabolism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Increasing the C:N ratio up to 15–20 enhanced crude protein, lipid, and mineral deposition while maintaining moderate oxidative balance. Elevated antioxidant enzyme activity and improved hepatosomatic indices indicate efficient metabolic adaptation and nutrient utilization. However, excessive carbon enrichment beyond the optimal range may heighten cholesterol accumulation and transient oxidative stress, underscoring the need for precise aeration and </w:t>
      </w:r>
      <w:proofErr w:type="gramStart"/>
      <w:r w:rsidRPr="00773352">
        <w:t>C:N</w:t>
      </w:r>
      <w:proofErr w:type="gramEnd"/>
      <w:r w:rsidRPr="00773352">
        <w:t xml:space="preserve"> management. The results affirm that</w:t>
      </w:r>
      <w:r w:rsidR="00F24AA8">
        <w:t xml:space="preserve"> maintaining a C:N ratio at 15</w:t>
      </w:r>
      <w:r w:rsidRPr="00773352">
        <w:t xml:space="preserve"> optimizes fish biochemical composition, supports sustainable nutrient recycling, and enhances overall system productivity.</w:t>
      </w:r>
      <w:r w:rsidR="00B428DE">
        <w:t xml:space="preserve"> Under the present experimental conditions, a C/N ratio of 15:1 is recommended</w:t>
      </w:r>
    </w:p>
    <w:p w:rsidR="000176B7" w:rsidRPr="00773352" w:rsidRDefault="000176B7" w:rsidP="000176B7">
      <w:pPr>
        <w:pStyle w:val="NormalWeb"/>
        <w:spacing w:line="360" w:lineRule="auto"/>
        <w:jc w:val="both"/>
      </w:pPr>
    </w:p>
    <w:p w:rsidR="000176B7" w:rsidRPr="00773352" w:rsidRDefault="000176B7" w:rsidP="000176B7">
      <w:pPr>
        <w:pStyle w:val="NormalWeb"/>
        <w:spacing w:line="360" w:lineRule="auto"/>
        <w:jc w:val="both"/>
      </w:pPr>
    </w:p>
    <w:p w:rsidR="002C6063" w:rsidRDefault="002C6063" w:rsidP="002C6063">
      <w:pPr>
        <w:rPr>
          <w:rFonts w:ascii="Calibri" w:eastAsia="Calibri" w:hAnsi="Calibri" w:cs="Times New Roman"/>
          <w:kern w:val="2"/>
          <w:highlight w:val="yellow"/>
        </w:rPr>
      </w:pPr>
      <w:bookmarkStart w:id="1" w:name="_Hlk221270586"/>
    </w:p>
    <w:p w:rsidR="002C6063" w:rsidRPr="00005ED1" w:rsidRDefault="002C6063" w:rsidP="002C6063">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rsidR="002C6063" w:rsidRPr="00005ED1" w:rsidRDefault="002C6063" w:rsidP="002C6063">
      <w:pPr>
        <w:pStyle w:val="NoSpacing"/>
        <w:rPr>
          <w:rFonts w:ascii="Arial" w:hAnsi="Arial" w:cs="Arial"/>
          <w:highlight w:val="yellow"/>
        </w:rPr>
      </w:pPr>
    </w:p>
    <w:p w:rsidR="002C6063" w:rsidRPr="00005ED1" w:rsidRDefault="002C6063" w:rsidP="002C606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rsidR="000176B7" w:rsidRPr="00773352" w:rsidRDefault="000176B7" w:rsidP="000176B7">
      <w:pPr>
        <w:pStyle w:val="NormalWeb"/>
        <w:spacing w:line="360" w:lineRule="auto"/>
        <w:jc w:val="both"/>
      </w:pPr>
    </w:p>
    <w:p w:rsidR="000176B7" w:rsidRPr="00773352" w:rsidRDefault="000176B7" w:rsidP="00610662">
      <w:pPr>
        <w:pStyle w:val="NormalWeb"/>
        <w:spacing w:before="0" w:beforeAutospacing="0" w:after="0" w:afterAutospacing="0"/>
        <w:jc w:val="both"/>
        <w:rPr>
          <w:b/>
        </w:rPr>
      </w:pPr>
      <w:r w:rsidRPr="00773352">
        <w:rPr>
          <w:b/>
        </w:rPr>
        <w:t>References</w:t>
      </w:r>
    </w:p>
    <w:p w:rsidR="00E70A73" w:rsidRDefault="00E70A73" w:rsidP="00C94544">
      <w:pPr>
        <w:pStyle w:val="NormalWeb"/>
        <w:numPr>
          <w:ilvl w:val="0"/>
          <w:numId w:val="3"/>
        </w:numPr>
        <w:spacing w:before="0" w:beforeAutospacing="0" w:after="0" w:afterAutospacing="0"/>
        <w:jc w:val="both"/>
      </w:pPr>
      <w:r w:rsidRPr="00E70A73">
        <w:t xml:space="preserve">Abu Bakar, N.S., </w:t>
      </w:r>
      <w:proofErr w:type="spellStart"/>
      <w:r w:rsidRPr="00E70A73">
        <w:t>Mohd</w:t>
      </w:r>
      <w:proofErr w:type="spellEnd"/>
      <w:r w:rsidRPr="00E70A73">
        <w:t xml:space="preserve"> Nasir, N., </w:t>
      </w:r>
      <w:proofErr w:type="spellStart"/>
      <w:r w:rsidRPr="00E70A73">
        <w:t>Lananan</w:t>
      </w:r>
      <w:proofErr w:type="spellEnd"/>
      <w:r w:rsidRPr="00E70A73">
        <w:t xml:space="preserve">, F., Abdul Hamid, S.H., Lam, S.S. &amp; </w:t>
      </w:r>
      <w:proofErr w:type="spellStart"/>
      <w:r w:rsidRPr="00E70A73">
        <w:t>Jusoh</w:t>
      </w:r>
      <w:proofErr w:type="spellEnd"/>
      <w:r w:rsidRPr="00E70A73">
        <w:t>, A. (2015). Optimization of C/N ratios for nutrient removal in aquaculture system culturing African catfish, (</w:t>
      </w:r>
      <w:proofErr w:type="spellStart"/>
      <w:r w:rsidRPr="00E70A73">
        <w:t>Clarias</w:t>
      </w:r>
      <w:proofErr w:type="spellEnd"/>
      <w:r w:rsidRPr="00E70A73">
        <w:t xml:space="preserve"> </w:t>
      </w:r>
      <w:proofErr w:type="spellStart"/>
      <w:r w:rsidRPr="00E70A73">
        <w:t>gariepinus</w:t>
      </w:r>
      <w:proofErr w:type="spellEnd"/>
      <w:r w:rsidRPr="00E70A73">
        <w:t xml:space="preserve">) utilizing </w:t>
      </w:r>
      <w:proofErr w:type="spellStart"/>
      <w:r w:rsidRPr="00E70A73">
        <w:t>Bioflocs</w:t>
      </w:r>
      <w:proofErr w:type="spellEnd"/>
      <w:r w:rsidRPr="00E70A73">
        <w:t xml:space="preserve"> Technology. International Biodeterioration and Biodegradation 102, 100-106.</w:t>
      </w:r>
    </w:p>
    <w:p w:rsidR="00E70A73" w:rsidRPr="00773352" w:rsidRDefault="00E70A73" w:rsidP="00C94544">
      <w:pPr>
        <w:pStyle w:val="NormalWeb"/>
        <w:numPr>
          <w:ilvl w:val="0"/>
          <w:numId w:val="3"/>
        </w:numPr>
        <w:spacing w:before="0" w:beforeAutospacing="0" w:after="0" w:afterAutospacing="0"/>
        <w:jc w:val="both"/>
      </w:pPr>
      <w:r w:rsidRPr="00773352">
        <w:t xml:space="preserve">Adeoye, A. O., </w:t>
      </w:r>
      <w:proofErr w:type="spellStart"/>
      <w:r w:rsidRPr="00773352">
        <w:t>Osho</w:t>
      </w:r>
      <w:proofErr w:type="spellEnd"/>
      <w:r w:rsidRPr="00773352">
        <w:t xml:space="preserve">, E. F., &amp; Bello, M. M. (2022). </w:t>
      </w:r>
      <w:proofErr w:type="spellStart"/>
      <w:r w:rsidRPr="00773352">
        <w:t>Biofloc</w:t>
      </w:r>
      <w:proofErr w:type="spellEnd"/>
      <w:r w:rsidRPr="00773352">
        <w:t xml:space="preserve"> technology and its implications for sustainable aquaculture in Africa. </w:t>
      </w:r>
      <w:r w:rsidRPr="00773352">
        <w:rPr>
          <w:rStyle w:val="Emphasis"/>
        </w:rPr>
        <w:t>Aquaculture Research</w:t>
      </w:r>
      <w:r w:rsidRPr="00773352">
        <w:t>, 53(12), 4625–4638.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Avnimelech</w:t>
      </w:r>
      <w:proofErr w:type="spellEnd"/>
      <w:r w:rsidRPr="00C94544">
        <w:rPr>
          <w:rFonts w:ascii="Times New Roman" w:hAnsi="Times New Roman" w:cs="Times New Roman"/>
          <w:sz w:val="24"/>
          <w:szCs w:val="24"/>
        </w:rPr>
        <w:t>, Y. (1999). Carbon/nitrogen ratio as a control element in aquaculture systems. Aquaculture, 176(3-4), 227-235.</w:t>
      </w:r>
    </w:p>
    <w:p w:rsidR="00E70A73" w:rsidRPr="00773352" w:rsidRDefault="00E70A73" w:rsidP="00C94544">
      <w:pPr>
        <w:pStyle w:val="NormalWeb"/>
        <w:numPr>
          <w:ilvl w:val="0"/>
          <w:numId w:val="3"/>
        </w:numPr>
        <w:spacing w:after="0"/>
        <w:jc w:val="both"/>
      </w:pPr>
      <w:proofErr w:type="spellStart"/>
      <w:r w:rsidRPr="00E70A73">
        <w:t>Avnimelech</w:t>
      </w:r>
      <w:proofErr w:type="spellEnd"/>
      <w:r w:rsidRPr="00E70A73">
        <w:t xml:space="preserve">, Y. (2012). </w:t>
      </w:r>
      <w:proofErr w:type="spellStart"/>
      <w:r w:rsidRPr="00E70A73">
        <w:t>Biofloc</w:t>
      </w:r>
      <w:proofErr w:type="spellEnd"/>
      <w:r w:rsidRPr="00E70A73">
        <w:t xml:space="preserve"> Technology-A Practical Guide Book. 2nd ed. The World Aquaculture Society, Baton Rouge, LA, USA.</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Crab, R., </w:t>
      </w:r>
      <w:proofErr w:type="spellStart"/>
      <w:r w:rsidRPr="00C94544">
        <w:rPr>
          <w:rFonts w:ascii="Times New Roman" w:hAnsi="Times New Roman" w:cs="Times New Roman"/>
          <w:sz w:val="24"/>
          <w:szCs w:val="24"/>
        </w:rPr>
        <w:t>Defoirdt</w:t>
      </w:r>
      <w:proofErr w:type="spellEnd"/>
      <w:r w:rsidRPr="00C94544">
        <w:rPr>
          <w:rFonts w:ascii="Times New Roman" w:hAnsi="Times New Roman" w:cs="Times New Roman"/>
          <w:sz w:val="24"/>
          <w:szCs w:val="24"/>
        </w:rPr>
        <w:t xml:space="preserve">, T., Bossier, P., &amp; </w:t>
      </w:r>
      <w:proofErr w:type="spellStart"/>
      <w:r w:rsidRPr="00C94544">
        <w:rPr>
          <w:rFonts w:ascii="Times New Roman" w:hAnsi="Times New Roman" w:cs="Times New Roman"/>
          <w:sz w:val="24"/>
          <w:szCs w:val="24"/>
        </w:rPr>
        <w:t>Verstraete</w:t>
      </w:r>
      <w:proofErr w:type="spellEnd"/>
      <w:r w:rsidRPr="00C94544">
        <w:rPr>
          <w:rFonts w:ascii="Times New Roman" w:hAnsi="Times New Roman" w:cs="Times New Roman"/>
          <w:sz w:val="24"/>
          <w:szCs w:val="24"/>
        </w:rPr>
        <w:t xml:space="preserve">, W. (2012).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aquaculture: beneficial effects and future challenges. Aquaculture, 356, 351-356. </w:t>
      </w:r>
      <w:hyperlink r:id="rId11" w:history="1">
        <w:r w:rsidRPr="00C94544">
          <w:rPr>
            <w:rStyle w:val="Hyperlink"/>
            <w:rFonts w:ascii="Times New Roman" w:hAnsi="Times New Roman" w:cs="Times New Roman"/>
            <w:sz w:val="24"/>
            <w:szCs w:val="24"/>
          </w:rPr>
          <w:t>https://doi.org/10.1016/j.aquaculture.2012.04.046</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De </w:t>
      </w:r>
      <w:proofErr w:type="spellStart"/>
      <w:r w:rsidRPr="00C94544">
        <w:rPr>
          <w:rFonts w:ascii="Times New Roman" w:hAnsi="Times New Roman" w:cs="Times New Roman"/>
          <w:sz w:val="24"/>
          <w:szCs w:val="24"/>
        </w:rPr>
        <w:t>Schryver</w:t>
      </w:r>
      <w:proofErr w:type="spellEnd"/>
      <w:r w:rsidRPr="00C94544">
        <w:rPr>
          <w:rFonts w:ascii="Times New Roman" w:hAnsi="Times New Roman" w:cs="Times New Roman"/>
          <w:sz w:val="24"/>
          <w:szCs w:val="24"/>
        </w:rPr>
        <w:t xml:space="preserve">, P., Crab, R., </w:t>
      </w:r>
      <w:proofErr w:type="spellStart"/>
      <w:r w:rsidRPr="00C94544">
        <w:rPr>
          <w:rFonts w:ascii="Times New Roman" w:hAnsi="Times New Roman" w:cs="Times New Roman"/>
          <w:sz w:val="24"/>
          <w:szCs w:val="24"/>
        </w:rPr>
        <w:t>Defoirdt</w:t>
      </w:r>
      <w:proofErr w:type="spellEnd"/>
      <w:r w:rsidRPr="00C94544">
        <w:rPr>
          <w:rFonts w:ascii="Times New Roman" w:hAnsi="Times New Roman" w:cs="Times New Roman"/>
          <w:sz w:val="24"/>
          <w:szCs w:val="24"/>
        </w:rPr>
        <w:t xml:space="preserve">, T., Boon, N., &amp; </w:t>
      </w:r>
      <w:proofErr w:type="spellStart"/>
      <w:r w:rsidRPr="00C94544">
        <w:rPr>
          <w:rFonts w:ascii="Times New Roman" w:hAnsi="Times New Roman" w:cs="Times New Roman"/>
          <w:sz w:val="24"/>
          <w:szCs w:val="24"/>
        </w:rPr>
        <w:t>Verstraete</w:t>
      </w:r>
      <w:proofErr w:type="spellEnd"/>
      <w:r w:rsidRPr="00C94544">
        <w:rPr>
          <w:rFonts w:ascii="Times New Roman" w:hAnsi="Times New Roman" w:cs="Times New Roman"/>
          <w:sz w:val="24"/>
          <w:szCs w:val="24"/>
        </w:rPr>
        <w:t xml:space="preserve">, W. (2008). The basics of bio-flocs technology: the added value for aquaculture. Aquaculture, 277, 125-137. </w:t>
      </w:r>
      <w:hyperlink r:id="rId12" w:history="1">
        <w:r w:rsidRPr="00C94544">
          <w:rPr>
            <w:rStyle w:val="Hyperlink"/>
            <w:rFonts w:ascii="Times New Roman" w:hAnsi="Times New Roman" w:cs="Times New Roman"/>
            <w:sz w:val="24"/>
            <w:szCs w:val="24"/>
          </w:rPr>
          <w:t>https://doi.org/10.1016/j.aquaculture.2008.02.019</w:t>
        </w:r>
      </w:hyperlink>
    </w:p>
    <w:p w:rsidR="00E70A73" w:rsidRPr="00773352" w:rsidRDefault="00E70A73" w:rsidP="00C94544">
      <w:pPr>
        <w:pStyle w:val="NormalWeb"/>
        <w:numPr>
          <w:ilvl w:val="0"/>
          <w:numId w:val="3"/>
        </w:numPr>
        <w:spacing w:before="0" w:beforeAutospacing="0" w:after="0" w:afterAutospacing="0"/>
        <w:jc w:val="both"/>
      </w:pPr>
      <w:proofErr w:type="spellStart"/>
      <w:r w:rsidRPr="00773352">
        <w:t>Ekasari</w:t>
      </w:r>
      <w:proofErr w:type="spellEnd"/>
      <w:r w:rsidRPr="00773352">
        <w:t xml:space="preserve">, J., </w:t>
      </w:r>
      <w:proofErr w:type="spellStart"/>
      <w:r w:rsidRPr="00773352">
        <w:t>Rivandi</w:t>
      </w:r>
      <w:proofErr w:type="spellEnd"/>
      <w:r w:rsidRPr="00773352">
        <w:t xml:space="preserve">, D.R., Firdausi, A.P., </w:t>
      </w:r>
      <w:proofErr w:type="spellStart"/>
      <w:r w:rsidRPr="00773352">
        <w:t>Surawidjaja</w:t>
      </w:r>
      <w:proofErr w:type="spellEnd"/>
      <w:r w:rsidRPr="00773352">
        <w:t xml:space="preserve">, E.H., </w:t>
      </w:r>
      <w:proofErr w:type="spellStart"/>
      <w:r w:rsidRPr="00773352">
        <w:t>Zairin</w:t>
      </w:r>
      <w:proofErr w:type="spellEnd"/>
      <w:r w:rsidRPr="00773352">
        <w:t xml:space="preserve">, M. and Bossier, P. (2015). </w:t>
      </w:r>
      <w:proofErr w:type="spellStart"/>
      <w:r w:rsidRPr="00773352">
        <w:t>Biofloc</w:t>
      </w:r>
      <w:proofErr w:type="spellEnd"/>
      <w:r w:rsidRPr="00773352">
        <w:t xml:space="preserve"> technology positively affects Nile tilapia (</w:t>
      </w:r>
      <w:r w:rsidRPr="00773352">
        <w:rPr>
          <w:i/>
          <w:iCs/>
        </w:rPr>
        <w:t xml:space="preserve">Oreochromis </w:t>
      </w:r>
      <w:proofErr w:type="spellStart"/>
      <w:r w:rsidRPr="00773352">
        <w:rPr>
          <w:i/>
          <w:iCs/>
        </w:rPr>
        <w:t>niloticus</w:t>
      </w:r>
      <w:proofErr w:type="spellEnd"/>
      <w:r w:rsidRPr="00773352">
        <w:t xml:space="preserve">) larvae performance. </w:t>
      </w:r>
      <w:r w:rsidRPr="00773352">
        <w:rPr>
          <w:i/>
        </w:rPr>
        <w:t>Aquaculture</w:t>
      </w:r>
      <w:r w:rsidRPr="00773352">
        <w:t xml:space="preserve">. 441:72-77. </w:t>
      </w:r>
    </w:p>
    <w:p w:rsidR="00E70A73" w:rsidRDefault="00E70A73" w:rsidP="00C94544">
      <w:pPr>
        <w:pStyle w:val="NormalWeb"/>
        <w:numPr>
          <w:ilvl w:val="0"/>
          <w:numId w:val="3"/>
        </w:numPr>
        <w:spacing w:before="0" w:beforeAutospacing="0" w:after="0" w:afterAutospacing="0"/>
        <w:jc w:val="both"/>
      </w:pPr>
      <w:proofErr w:type="spellStart"/>
      <w:r w:rsidRPr="00E70A73">
        <w:t>Ekasari</w:t>
      </w:r>
      <w:proofErr w:type="spellEnd"/>
      <w:r w:rsidRPr="00E70A73">
        <w:t xml:space="preserve">, J., </w:t>
      </w:r>
      <w:proofErr w:type="spellStart"/>
      <w:r w:rsidRPr="00E70A73">
        <w:t>Suprayudi</w:t>
      </w:r>
      <w:proofErr w:type="spellEnd"/>
      <w:r w:rsidRPr="00E70A73">
        <w:t xml:space="preserve">, M.A., </w:t>
      </w:r>
      <w:proofErr w:type="spellStart"/>
      <w:r w:rsidRPr="00E70A73">
        <w:t>Wiyoto</w:t>
      </w:r>
      <w:proofErr w:type="spellEnd"/>
      <w:r w:rsidRPr="00E70A73">
        <w:t xml:space="preserve">, W., </w:t>
      </w:r>
      <w:proofErr w:type="spellStart"/>
      <w:r w:rsidRPr="00E70A73">
        <w:t>Haganah</w:t>
      </w:r>
      <w:proofErr w:type="spellEnd"/>
      <w:r w:rsidRPr="00E70A73">
        <w:t xml:space="preserve">, R.F., Tenggara, G.S., </w:t>
      </w:r>
      <w:proofErr w:type="spellStart"/>
      <w:r w:rsidRPr="00E70A73">
        <w:t>Sulistiani</w:t>
      </w:r>
      <w:proofErr w:type="spellEnd"/>
      <w:r w:rsidRPr="00E70A73">
        <w:t xml:space="preserve">, R., Alkali, M. &amp; </w:t>
      </w:r>
      <w:proofErr w:type="spellStart"/>
      <w:r w:rsidRPr="00E70A73">
        <w:t>Zairin</w:t>
      </w:r>
      <w:proofErr w:type="spellEnd"/>
      <w:r w:rsidRPr="00E70A73">
        <w:t xml:space="preserve">, M. (2016). </w:t>
      </w:r>
      <w:proofErr w:type="spellStart"/>
      <w:r w:rsidRPr="00E70A73">
        <w:t>Biofloc</w:t>
      </w:r>
      <w:proofErr w:type="spellEnd"/>
      <w:r w:rsidRPr="00E70A73">
        <w:t xml:space="preserve"> technology application in African catfish fingerling production: The effects on the reproductive performance of </w:t>
      </w:r>
      <w:proofErr w:type="spellStart"/>
      <w:r w:rsidRPr="00E70A73">
        <w:t>broodstock</w:t>
      </w:r>
      <w:proofErr w:type="spellEnd"/>
      <w:r w:rsidRPr="00E70A73">
        <w:t xml:space="preserve"> and the quality of eggs and larvae. Aquaculture 464, 349-356.</w:t>
      </w:r>
    </w:p>
    <w:p w:rsidR="00E70A73" w:rsidRDefault="00E70A73" w:rsidP="00C94544">
      <w:pPr>
        <w:pStyle w:val="NormalWeb"/>
        <w:numPr>
          <w:ilvl w:val="0"/>
          <w:numId w:val="3"/>
        </w:numPr>
        <w:spacing w:after="0"/>
        <w:jc w:val="both"/>
      </w:pPr>
      <w:proofErr w:type="spellStart"/>
      <w:r>
        <w:t>Emerenciano</w:t>
      </w:r>
      <w:proofErr w:type="spellEnd"/>
      <w:r>
        <w:t xml:space="preserve">, M., </w:t>
      </w:r>
      <w:proofErr w:type="spellStart"/>
      <w:r>
        <w:t>Gaxiola</w:t>
      </w:r>
      <w:proofErr w:type="spellEnd"/>
      <w:r>
        <w:t xml:space="preserve">, G. &amp; </w:t>
      </w:r>
      <w:proofErr w:type="spellStart"/>
      <w:r>
        <w:t>Cuzon</w:t>
      </w:r>
      <w:proofErr w:type="spellEnd"/>
      <w:r>
        <w:t xml:space="preserve">, G. (2013). </w:t>
      </w:r>
      <w:proofErr w:type="spellStart"/>
      <w:r>
        <w:t>Biofloc</w:t>
      </w:r>
      <w:proofErr w:type="spellEnd"/>
      <w:r>
        <w:t xml:space="preserve"> Technology </w:t>
      </w:r>
      <w:proofErr w:type="gramStart"/>
      <w:r>
        <w:t>( BFT</w:t>
      </w:r>
      <w:proofErr w:type="gramEnd"/>
      <w:r>
        <w:t xml:space="preserve"> ): A Review for Aquaculture Application and Animal Food Industry’, In: Biomass Now – Cultivation and Utilization, INTECH, pp 1-28. London, UK. </w:t>
      </w:r>
      <w:hyperlink r:id="rId13" w:history="1">
        <w:r w:rsidRPr="00A6560C">
          <w:rPr>
            <w:rStyle w:val="Hyperlink"/>
          </w:rPr>
          <w:t>http://dx.doi.org/10.5772/53902</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FAO (2016) Fisheries and Aquaculture Department. Cultured Aquatic Species Information </w:t>
      </w:r>
      <w:proofErr w:type="spellStart"/>
      <w:r w:rsidRPr="00C94544">
        <w:rPr>
          <w:rFonts w:ascii="Times New Roman" w:hAnsi="Times New Roman" w:cs="Times New Roman"/>
          <w:sz w:val="24"/>
          <w:szCs w:val="24"/>
        </w:rPr>
        <w:t>Programme</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i/>
          <w:sz w:val="24"/>
          <w:szCs w:val="24"/>
        </w:rPr>
        <w:t>Clarias</w:t>
      </w:r>
      <w:proofErr w:type="spellEnd"/>
      <w:r w:rsidRPr="00C94544">
        <w:rPr>
          <w:rFonts w:ascii="Times New Roman" w:hAnsi="Times New Roman" w:cs="Times New Roman"/>
          <w:i/>
          <w:sz w:val="24"/>
          <w:szCs w:val="24"/>
        </w:rPr>
        <w:t xml:space="preserve"> </w:t>
      </w:r>
      <w:proofErr w:type="spellStart"/>
      <w:r w:rsidRPr="00C94544">
        <w:rPr>
          <w:rFonts w:ascii="Times New Roman" w:hAnsi="Times New Roman" w:cs="Times New Roman"/>
          <w:i/>
          <w:sz w:val="24"/>
          <w:szCs w:val="24"/>
        </w:rPr>
        <w:t>gariepinus</w:t>
      </w:r>
      <w:proofErr w:type="spellEnd"/>
      <w:r w:rsidRPr="00C94544">
        <w:rPr>
          <w:rFonts w:ascii="Times New Roman" w:hAnsi="Times New Roman" w:cs="Times New Roman"/>
          <w:i/>
          <w:sz w:val="24"/>
          <w:szCs w:val="24"/>
        </w:rPr>
        <w:t>.</w:t>
      </w:r>
      <w:r w:rsidRPr="00C94544">
        <w:rPr>
          <w:rFonts w:ascii="Times New Roman" w:hAnsi="Times New Roman" w:cs="Times New Roman"/>
          <w:sz w:val="24"/>
          <w:szCs w:val="24"/>
        </w:rPr>
        <w:t xml:space="preserve"> http://www.fao.org/fishery/culturedspecies/Claria_gariepinus/en. Accessed May 2019.</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lastRenderedPageBreak/>
        <w:t>Godfray</w:t>
      </w:r>
      <w:proofErr w:type="spellEnd"/>
      <w:r w:rsidRPr="00C94544">
        <w:rPr>
          <w:rFonts w:ascii="Times New Roman" w:hAnsi="Times New Roman" w:cs="Times New Roman"/>
          <w:sz w:val="24"/>
          <w:szCs w:val="24"/>
        </w:rPr>
        <w:t xml:space="preserve"> H. C., </w:t>
      </w:r>
      <w:proofErr w:type="spellStart"/>
      <w:r w:rsidRPr="00C94544">
        <w:rPr>
          <w:rFonts w:ascii="Times New Roman" w:hAnsi="Times New Roman" w:cs="Times New Roman"/>
          <w:sz w:val="24"/>
          <w:szCs w:val="24"/>
        </w:rPr>
        <w:t>Beddington</w:t>
      </w:r>
      <w:proofErr w:type="spellEnd"/>
      <w:r w:rsidRPr="00C94544">
        <w:rPr>
          <w:rFonts w:ascii="Times New Roman" w:hAnsi="Times New Roman" w:cs="Times New Roman"/>
          <w:sz w:val="24"/>
          <w:szCs w:val="24"/>
        </w:rPr>
        <w:t xml:space="preserve"> J. R., </w:t>
      </w:r>
      <w:proofErr w:type="spellStart"/>
      <w:r w:rsidRPr="00C94544">
        <w:rPr>
          <w:rFonts w:ascii="Times New Roman" w:hAnsi="Times New Roman" w:cs="Times New Roman"/>
          <w:sz w:val="24"/>
          <w:szCs w:val="24"/>
        </w:rPr>
        <w:t>Crute</w:t>
      </w:r>
      <w:proofErr w:type="spellEnd"/>
      <w:r w:rsidRPr="00C94544">
        <w:rPr>
          <w:rFonts w:ascii="Times New Roman" w:hAnsi="Times New Roman" w:cs="Times New Roman"/>
          <w:sz w:val="24"/>
          <w:szCs w:val="24"/>
        </w:rPr>
        <w:t xml:space="preserve"> I. R., Haddad L., Lawrence D., Muir J. F., Pretty J., Robinson S., Thomas S. M., Toulmin C., 2010 Food security: the challenge of feeding 9 billion people. Science 327(5967):812-818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Iber</w:t>
      </w:r>
      <w:proofErr w:type="spellEnd"/>
      <w:r w:rsidRPr="00C94544">
        <w:rPr>
          <w:rFonts w:ascii="Times New Roman" w:hAnsi="Times New Roman" w:cs="Times New Roman"/>
          <w:sz w:val="24"/>
          <w:szCs w:val="24"/>
        </w:rPr>
        <w:t xml:space="preserve">, B. T. (2025). Exploring carbon sources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Performance, microbial structure, and nutrient recycling. </w:t>
      </w:r>
      <w:r w:rsidRPr="00C94544">
        <w:rPr>
          <w:rStyle w:val="Emphasis"/>
          <w:rFonts w:ascii="Times New Roman" w:hAnsi="Times New Roman" w:cs="Times New Roman"/>
          <w:sz w:val="24"/>
          <w:szCs w:val="24"/>
        </w:rPr>
        <w:t>Environmental Biotechnology</w:t>
      </w:r>
      <w:r w:rsidRPr="00C94544">
        <w:rPr>
          <w:rFonts w:ascii="Times New Roman" w:hAnsi="Times New Roman" w:cs="Times New Roman"/>
          <w:sz w:val="24"/>
          <w:szCs w:val="24"/>
        </w:rPr>
        <w:t>, Springer.</w:t>
      </w:r>
    </w:p>
    <w:p w:rsidR="00E70A73" w:rsidRPr="00773352" w:rsidRDefault="00E70A73" w:rsidP="00C94544">
      <w:pPr>
        <w:pStyle w:val="NormalWeb"/>
        <w:numPr>
          <w:ilvl w:val="0"/>
          <w:numId w:val="3"/>
        </w:numPr>
        <w:spacing w:before="0" w:beforeAutospacing="0" w:after="0" w:afterAutospacing="0"/>
        <w:jc w:val="both"/>
      </w:pPr>
      <w:proofErr w:type="spellStart"/>
      <w:r w:rsidRPr="00773352">
        <w:t>Khanjani</w:t>
      </w:r>
      <w:proofErr w:type="spellEnd"/>
      <w:r w:rsidRPr="00773352">
        <w:t xml:space="preserve">, M. H. (2024). </w:t>
      </w:r>
      <w:proofErr w:type="spellStart"/>
      <w:r w:rsidRPr="00773352">
        <w:rPr>
          <w:rStyle w:val="Emphasis"/>
        </w:rPr>
        <w:t>Biofloc</w:t>
      </w:r>
      <w:proofErr w:type="spellEnd"/>
      <w:r w:rsidRPr="00773352">
        <w:rPr>
          <w:rStyle w:val="Emphasis"/>
        </w:rPr>
        <w:t xml:space="preserve"> Technology (BFT) in Aquaculture: What Goes Right (and Wrong).</w:t>
      </w:r>
      <w:r w:rsidRPr="00773352">
        <w:t xml:space="preserve"> Wiley.</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Li, C., Zhang, Y., &amp; Chen, S. (2025). Integrated application of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aquaculture systems. </w:t>
      </w:r>
      <w:r w:rsidRPr="00C94544">
        <w:rPr>
          <w:rStyle w:val="Emphasis"/>
          <w:rFonts w:ascii="Times New Roman" w:hAnsi="Times New Roman" w:cs="Times New Roman"/>
          <w:sz w:val="24"/>
          <w:szCs w:val="24"/>
        </w:rPr>
        <w:t>Water</w:t>
      </w:r>
      <w:r w:rsidRPr="00C94544">
        <w:rPr>
          <w:rFonts w:ascii="Times New Roman" w:hAnsi="Times New Roman" w:cs="Times New Roman"/>
          <w:sz w:val="24"/>
          <w:szCs w:val="24"/>
        </w:rPr>
        <w:t>, 17(14), 2107.</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Mohammadi</w:t>
      </w:r>
      <w:proofErr w:type="spellEnd"/>
      <w:r w:rsidRPr="00C94544">
        <w:rPr>
          <w:rFonts w:ascii="Times New Roman" w:hAnsi="Times New Roman" w:cs="Times New Roman"/>
          <w:sz w:val="24"/>
          <w:szCs w:val="24"/>
        </w:rPr>
        <w:t xml:space="preserve">, G., </w:t>
      </w:r>
      <w:proofErr w:type="spellStart"/>
      <w:r w:rsidRPr="00C94544">
        <w:rPr>
          <w:rFonts w:ascii="Times New Roman" w:hAnsi="Times New Roman" w:cs="Times New Roman"/>
          <w:sz w:val="24"/>
          <w:szCs w:val="24"/>
        </w:rPr>
        <w:t>Rafiee</w:t>
      </w:r>
      <w:proofErr w:type="spellEnd"/>
      <w:r w:rsidRPr="00C94544">
        <w:rPr>
          <w:rFonts w:ascii="Times New Roman" w:hAnsi="Times New Roman" w:cs="Times New Roman"/>
          <w:sz w:val="24"/>
          <w:szCs w:val="24"/>
        </w:rPr>
        <w:t xml:space="preserve">, G., </w:t>
      </w:r>
      <w:proofErr w:type="spellStart"/>
      <w:r w:rsidRPr="00C94544">
        <w:rPr>
          <w:rFonts w:ascii="Times New Roman" w:hAnsi="Times New Roman" w:cs="Times New Roman"/>
          <w:sz w:val="24"/>
          <w:szCs w:val="24"/>
        </w:rPr>
        <w:t>Tavabe</w:t>
      </w:r>
      <w:proofErr w:type="spellEnd"/>
      <w:r w:rsidRPr="00C94544">
        <w:rPr>
          <w:rFonts w:ascii="Times New Roman" w:hAnsi="Times New Roman" w:cs="Times New Roman"/>
          <w:sz w:val="24"/>
          <w:szCs w:val="24"/>
        </w:rPr>
        <w:t xml:space="preserve">, K.R., Abdel-Latif, H.M., &amp; Dawood, M.A. (2021). The enrichment of diet with beneficial bacteria (single-or multi-strain)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system enhanced the water quality, growth performance, immune responses, and disease resistance of Nile tilapia (Oreochromis </w:t>
      </w:r>
      <w:proofErr w:type="spellStart"/>
      <w:r w:rsidRPr="00C94544">
        <w:rPr>
          <w:rFonts w:ascii="Times New Roman" w:hAnsi="Times New Roman" w:cs="Times New Roman"/>
          <w:sz w:val="24"/>
          <w:szCs w:val="24"/>
        </w:rPr>
        <w:t>niloticus</w:t>
      </w:r>
      <w:proofErr w:type="spellEnd"/>
      <w:r w:rsidRPr="00C94544">
        <w:rPr>
          <w:rFonts w:ascii="Times New Roman" w:hAnsi="Times New Roman" w:cs="Times New Roman"/>
          <w:sz w:val="24"/>
          <w:szCs w:val="24"/>
        </w:rPr>
        <w:t>). Aquaculture, 539, 1-16.</w:t>
      </w:r>
    </w:p>
    <w:p w:rsidR="00E70A73" w:rsidRPr="00773352" w:rsidRDefault="00E70A73" w:rsidP="00C94544">
      <w:pPr>
        <w:pStyle w:val="NormalWeb"/>
        <w:numPr>
          <w:ilvl w:val="0"/>
          <w:numId w:val="3"/>
        </w:numPr>
        <w:spacing w:before="0" w:beforeAutospacing="0" w:after="0" w:afterAutospacing="0"/>
        <w:jc w:val="both"/>
      </w:pPr>
      <w:r w:rsidRPr="00773352">
        <w:t xml:space="preserve">Rai, P., Singh, R., &amp; Kumar, D. (2025). Synergistic carbon source optimization in </w:t>
      </w:r>
      <w:proofErr w:type="spellStart"/>
      <w:r w:rsidRPr="00773352">
        <w:t>biofloc</w:t>
      </w:r>
      <w:proofErr w:type="spellEnd"/>
      <w:r w:rsidRPr="00773352">
        <w:t xml:space="preserve"> aquaculture. </w:t>
      </w:r>
      <w:r w:rsidRPr="00773352">
        <w:rPr>
          <w:rStyle w:val="Emphasis"/>
        </w:rPr>
        <w:t>Frontiers in Marine Science</w:t>
      </w:r>
      <w:r w:rsidRPr="00773352">
        <w:t>, 12(8), 1576079.</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Rind, K.H., Habib, S.S., </w:t>
      </w:r>
      <w:proofErr w:type="spellStart"/>
      <w:r w:rsidRPr="00C94544">
        <w:rPr>
          <w:rFonts w:ascii="Times New Roman" w:hAnsi="Times New Roman" w:cs="Times New Roman"/>
          <w:sz w:val="24"/>
          <w:szCs w:val="24"/>
        </w:rPr>
        <w:t>Ujan</w:t>
      </w:r>
      <w:proofErr w:type="spellEnd"/>
      <w:r w:rsidRPr="00C94544">
        <w:rPr>
          <w:rFonts w:ascii="Times New Roman" w:hAnsi="Times New Roman" w:cs="Times New Roman"/>
          <w:sz w:val="24"/>
          <w:szCs w:val="24"/>
        </w:rPr>
        <w:t xml:space="preserve">, J.A., Fazio, F., </w:t>
      </w:r>
      <w:proofErr w:type="spellStart"/>
      <w:r w:rsidRPr="00C94544">
        <w:rPr>
          <w:rFonts w:ascii="Times New Roman" w:hAnsi="Times New Roman" w:cs="Times New Roman"/>
          <w:sz w:val="24"/>
          <w:szCs w:val="24"/>
        </w:rPr>
        <w:t>Naz</w:t>
      </w:r>
      <w:proofErr w:type="spellEnd"/>
      <w:r w:rsidRPr="00C94544">
        <w:rPr>
          <w:rFonts w:ascii="Times New Roman" w:hAnsi="Times New Roman" w:cs="Times New Roman"/>
          <w:sz w:val="24"/>
          <w:szCs w:val="24"/>
        </w:rPr>
        <w:t xml:space="preserve">, S., Batool, A.I., &amp; Khan, K. (2023). The effects of different carbon sources on water quality, growth performance, hematology, immune, and antioxidant status in cultured Nile Tilapia with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Fishes, 8(10), 1-12. </w:t>
      </w:r>
      <w:hyperlink r:id="rId14" w:history="1">
        <w:r w:rsidRPr="00C94544">
          <w:rPr>
            <w:rStyle w:val="Hyperlink"/>
            <w:rFonts w:ascii="Times New Roman" w:hAnsi="Times New Roman" w:cs="Times New Roman"/>
            <w:sz w:val="24"/>
            <w:szCs w:val="24"/>
          </w:rPr>
          <w:t>https://doi.org/10.3390/fishes8100512</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Saha, J., Hossain, M.A., Mamun, M.A., Islam, M.R., &amp; </w:t>
      </w:r>
      <w:proofErr w:type="spellStart"/>
      <w:r w:rsidRPr="00C94544">
        <w:rPr>
          <w:rFonts w:ascii="Times New Roman" w:hAnsi="Times New Roman" w:cs="Times New Roman"/>
          <w:sz w:val="24"/>
          <w:szCs w:val="24"/>
        </w:rPr>
        <w:t>Alam</w:t>
      </w:r>
      <w:proofErr w:type="spellEnd"/>
      <w:r w:rsidRPr="00C94544">
        <w:rPr>
          <w:rFonts w:ascii="Times New Roman" w:hAnsi="Times New Roman" w:cs="Times New Roman"/>
          <w:sz w:val="24"/>
          <w:szCs w:val="24"/>
        </w:rPr>
        <w:t xml:space="preserve">, M.S. (2022). Effects of carbon-nitrogen ratio manipulation on the growth performance, body composition and immunity of stinging catfish </w:t>
      </w:r>
      <w:proofErr w:type="spellStart"/>
      <w:r w:rsidRPr="00C94544">
        <w:rPr>
          <w:rFonts w:ascii="Times New Roman" w:hAnsi="Times New Roman" w:cs="Times New Roman"/>
          <w:sz w:val="24"/>
          <w:szCs w:val="24"/>
        </w:rPr>
        <w:t>Heteropneustes</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sz w:val="24"/>
          <w:szCs w:val="24"/>
        </w:rPr>
        <w:t>fossilis</w:t>
      </w:r>
      <w:proofErr w:type="spellEnd"/>
      <w:r w:rsidRPr="00C94544">
        <w:rPr>
          <w:rFonts w:ascii="Times New Roman" w:hAnsi="Times New Roman" w:cs="Times New Roman"/>
          <w:sz w:val="24"/>
          <w:szCs w:val="24"/>
        </w:rPr>
        <w:t xml:space="preserve"> in a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-based culture system. Aquaculture Reports, 25, 101274. </w:t>
      </w:r>
      <w:hyperlink r:id="rId15" w:history="1">
        <w:r w:rsidRPr="00C94544">
          <w:rPr>
            <w:rStyle w:val="Hyperlink"/>
            <w:rFonts w:ascii="Times New Roman" w:hAnsi="Times New Roman" w:cs="Times New Roman"/>
            <w:sz w:val="24"/>
            <w:szCs w:val="24"/>
          </w:rPr>
          <w:t>https://doi.org/10.1016/j.aqrep.2022.101274</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Shourbela</w:t>
      </w:r>
      <w:proofErr w:type="spellEnd"/>
      <w:r w:rsidRPr="00C94544">
        <w:rPr>
          <w:rFonts w:ascii="Times New Roman" w:hAnsi="Times New Roman" w:cs="Times New Roman"/>
          <w:sz w:val="24"/>
          <w:szCs w:val="24"/>
        </w:rPr>
        <w:t xml:space="preserve">, R.M., </w:t>
      </w:r>
      <w:proofErr w:type="spellStart"/>
      <w:r w:rsidRPr="00C94544">
        <w:rPr>
          <w:rFonts w:ascii="Times New Roman" w:hAnsi="Times New Roman" w:cs="Times New Roman"/>
          <w:sz w:val="24"/>
          <w:szCs w:val="24"/>
        </w:rPr>
        <w:t>Khatab</w:t>
      </w:r>
      <w:proofErr w:type="spellEnd"/>
      <w:r w:rsidRPr="00C94544">
        <w:rPr>
          <w:rFonts w:ascii="Times New Roman" w:hAnsi="Times New Roman" w:cs="Times New Roman"/>
          <w:sz w:val="24"/>
          <w:szCs w:val="24"/>
        </w:rPr>
        <w:t xml:space="preserve">, S.A., Hassan, M.M., Van Doan, H., &amp; Dawood, M.A. (2021). The effect of stocking density and carbon sources on the oxidative status, and nonspecific immunity of Nile tilapia (Oreochromis </w:t>
      </w:r>
      <w:proofErr w:type="spellStart"/>
      <w:r w:rsidRPr="00C94544">
        <w:rPr>
          <w:rFonts w:ascii="Times New Roman" w:hAnsi="Times New Roman" w:cs="Times New Roman"/>
          <w:sz w:val="24"/>
          <w:szCs w:val="24"/>
        </w:rPr>
        <w:t>niloticus</w:t>
      </w:r>
      <w:proofErr w:type="spellEnd"/>
      <w:r w:rsidRPr="00C94544">
        <w:rPr>
          <w:rFonts w:ascii="Times New Roman" w:hAnsi="Times New Roman" w:cs="Times New Roman"/>
          <w:sz w:val="24"/>
          <w:szCs w:val="24"/>
        </w:rPr>
        <w:t xml:space="preserve">) reared under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conditions. Animals, 11(1), 1-13. </w:t>
      </w:r>
      <w:hyperlink r:id="rId16" w:history="1">
        <w:r w:rsidRPr="00C94544">
          <w:rPr>
            <w:rStyle w:val="Hyperlink"/>
            <w:rFonts w:ascii="Times New Roman" w:hAnsi="Times New Roman" w:cs="Times New Roman"/>
            <w:sz w:val="24"/>
            <w:szCs w:val="24"/>
          </w:rPr>
          <w:t>https://doi.org/10.3390/ani11010184</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Silva, U.L., Falcon, D.R., Pessoa, M.N.D.C., &amp; Correia, E.D.S. (2017). Carbon sources and C: N ratios on water quality for Nile tilapia farming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system. </w:t>
      </w:r>
      <w:proofErr w:type="spellStart"/>
      <w:r w:rsidRPr="00C94544">
        <w:rPr>
          <w:rFonts w:ascii="Times New Roman" w:hAnsi="Times New Roman" w:cs="Times New Roman"/>
          <w:sz w:val="24"/>
          <w:szCs w:val="24"/>
        </w:rPr>
        <w:t>Revista</w:t>
      </w:r>
      <w:proofErr w:type="spellEnd"/>
      <w:r w:rsidRPr="00C94544">
        <w:rPr>
          <w:rFonts w:ascii="Times New Roman" w:hAnsi="Times New Roman" w:cs="Times New Roman"/>
          <w:sz w:val="24"/>
          <w:szCs w:val="24"/>
        </w:rPr>
        <w:t xml:space="preserve"> Caatinga, 30(4), 1017-1027. </w:t>
      </w:r>
      <w:hyperlink r:id="rId17" w:history="1">
        <w:r w:rsidRPr="00C94544">
          <w:rPr>
            <w:rStyle w:val="Hyperlink"/>
            <w:rFonts w:ascii="Times New Roman" w:hAnsi="Times New Roman" w:cs="Times New Roman"/>
            <w:sz w:val="24"/>
            <w:szCs w:val="24"/>
          </w:rPr>
          <w:t>https://doi.org/10.1590/1983-21252017v30n423rc</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Ulloa Walker, D.A., Morales </w:t>
      </w:r>
      <w:proofErr w:type="spellStart"/>
      <w:r w:rsidRPr="00C94544">
        <w:rPr>
          <w:rFonts w:ascii="Times New Roman" w:hAnsi="Times New Roman" w:cs="Times New Roman"/>
          <w:sz w:val="24"/>
          <w:szCs w:val="24"/>
        </w:rPr>
        <w:t>Suazo</w:t>
      </w:r>
      <w:proofErr w:type="spellEnd"/>
      <w:r w:rsidRPr="00C94544">
        <w:rPr>
          <w:rFonts w:ascii="Times New Roman" w:hAnsi="Times New Roman" w:cs="Times New Roman"/>
          <w:sz w:val="24"/>
          <w:szCs w:val="24"/>
        </w:rPr>
        <w:t xml:space="preserve">, M.C., &amp; </w:t>
      </w:r>
      <w:proofErr w:type="spellStart"/>
      <w:r w:rsidRPr="00C94544">
        <w:rPr>
          <w:rFonts w:ascii="Times New Roman" w:hAnsi="Times New Roman" w:cs="Times New Roman"/>
          <w:sz w:val="24"/>
          <w:szCs w:val="24"/>
        </w:rPr>
        <w:t>Emerenciano</w:t>
      </w:r>
      <w:proofErr w:type="spellEnd"/>
      <w:r w:rsidRPr="00C94544">
        <w:rPr>
          <w:rFonts w:ascii="Times New Roman" w:hAnsi="Times New Roman" w:cs="Times New Roman"/>
          <w:sz w:val="24"/>
          <w:szCs w:val="24"/>
        </w:rPr>
        <w:t xml:space="preserve">, M.G.C. (2020).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principles focused on potential species and the case study of Chilean river shrimp </w:t>
      </w:r>
      <w:proofErr w:type="spellStart"/>
      <w:r w:rsidRPr="00C94544">
        <w:rPr>
          <w:rFonts w:ascii="Times New Roman" w:hAnsi="Times New Roman" w:cs="Times New Roman"/>
          <w:sz w:val="24"/>
          <w:szCs w:val="24"/>
        </w:rPr>
        <w:t>Cryphiops</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sz w:val="24"/>
          <w:szCs w:val="24"/>
        </w:rPr>
        <w:t>caementarius</w:t>
      </w:r>
      <w:proofErr w:type="spellEnd"/>
      <w:r w:rsidRPr="00C94544">
        <w:rPr>
          <w:rFonts w:ascii="Times New Roman" w:hAnsi="Times New Roman" w:cs="Times New Roman"/>
          <w:sz w:val="24"/>
          <w:szCs w:val="24"/>
        </w:rPr>
        <w:t xml:space="preserve">. Reviews in Aquaculture, 12(3), 1759-1782. </w:t>
      </w:r>
      <w:hyperlink r:id="rId18" w:history="1">
        <w:r w:rsidRPr="00C94544">
          <w:rPr>
            <w:rStyle w:val="Hyperlink"/>
            <w:rFonts w:ascii="Times New Roman" w:hAnsi="Times New Roman" w:cs="Times New Roman"/>
            <w:sz w:val="24"/>
            <w:szCs w:val="24"/>
          </w:rPr>
          <w:t>https://doi.org/10.1111/raq.12408</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Yadav, R. K., Thomas, A., &amp; Prasad, S. (2025).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-based aquaculture: Nutrient cycling and immune modulation in tropical species. </w:t>
      </w:r>
      <w:r w:rsidRPr="00C94544">
        <w:rPr>
          <w:rStyle w:val="Emphasis"/>
          <w:rFonts w:ascii="Times New Roman" w:hAnsi="Times New Roman" w:cs="Times New Roman"/>
          <w:sz w:val="24"/>
          <w:szCs w:val="24"/>
        </w:rPr>
        <w:t>Blue Biotechnology</w:t>
      </w:r>
      <w:r w:rsidRPr="00C94544">
        <w:rPr>
          <w:rFonts w:ascii="Times New Roman" w:hAnsi="Times New Roman" w:cs="Times New Roman"/>
          <w:sz w:val="24"/>
          <w:szCs w:val="24"/>
        </w:rPr>
        <w:t>, 4(1), 25–38.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Yu, Y.-B., Xu, H., &amp; Wang, Z. (2023).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fish aquaculture: A review of physiological and ecological mechanisms. </w:t>
      </w:r>
      <w:r w:rsidRPr="00C94544">
        <w:rPr>
          <w:rStyle w:val="Emphasis"/>
          <w:rFonts w:ascii="Times New Roman" w:hAnsi="Times New Roman" w:cs="Times New Roman"/>
          <w:sz w:val="24"/>
          <w:szCs w:val="24"/>
        </w:rPr>
        <w:t>Animals</w:t>
      </w:r>
      <w:r w:rsidRPr="00C94544">
        <w:rPr>
          <w:rFonts w:ascii="Times New Roman" w:hAnsi="Times New Roman" w:cs="Times New Roman"/>
          <w:sz w:val="24"/>
          <w:szCs w:val="24"/>
        </w:rPr>
        <w:t>, 13(5), 1127.</w:t>
      </w:r>
    </w:p>
    <w:p w:rsidR="00E70A73" w:rsidRDefault="00E70A73" w:rsidP="00C94544">
      <w:pPr>
        <w:pStyle w:val="NormalWeb"/>
        <w:numPr>
          <w:ilvl w:val="0"/>
          <w:numId w:val="3"/>
        </w:numPr>
        <w:spacing w:before="0" w:beforeAutospacing="0" w:after="0" w:afterAutospacing="0"/>
        <w:jc w:val="both"/>
      </w:pPr>
      <w:r w:rsidRPr="00E70A73">
        <w:t xml:space="preserve">Yusuf, M.W., </w:t>
      </w:r>
      <w:proofErr w:type="spellStart"/>
      <w:r w:rsidRPr="00E70A73">
        <w:t>Utomo</w:t>
      </w:r>
      <w:proofErr w:type="spellEnd"/>
      <w:r w:rsidRPr="00E70A73">
        <w:t xml:space="preserve">, N.B.P., </w:t>
      </w:r>
      <w:proofErr w:type="spellStart"/>
      <w:r w:rsidRPr="00E70A73">
        <w:t>Yuhana</w:t>
      </w:r>
      <w:proofErr w:type="spellEnd"/>
      <w:r w:rsidRPr="00E70A73">
        <w:t xml:space="preserve">, M. &amp; </w:t>
      </w:r>
      <w:proofErr w:type="spellStart"/>
      <w:r w:rsidRPr="00E70A73">
        <w:t>Widanarni</w:t>
      </w:r>
      <w:proofErr w:type="spellEnd"/>
      <w:r w:rsidRPr="00E70A73">
        <w:t xml:space="preserve"> (2015). Growth performance of catfish (</w:t>
      </w:r>
      <w:proofErr w:type="spellStart"/>
      <w:r w:rsidRPr="00E70A73">
        <w:t>Clarias</w:t>
      </w:r>
      <w:proofErr w:type="spellEnd"/>
      <w:r w:rsidRPr="00E70A73">
        <w:t xml:space="preserve"> </w:t>
      </w:r>
      <w:proofErr w:type="spellStart"/>
      <w:r w:rsidRPr="00E70A73">
        <w:t>gariepinus</w:t>
      </w:r>
      <w:proofErr w:type="spellEnd"/>
      <w:r w:rsidRPr="00E70A73">
        <w:t xml:space="preserve">) in </w:t>
      </w:r>
      <w:proofErr w:type="spellStart"/>
      <w:r w:rsidRPr="00E70A73">
        <w:t>biofloc</w:t>
      </w:r>
      <w:proofErr w:type="spellEnd"/>
      <w:r w:rsidRPr="00E70A73">
        <w:t>-based super intensive culture added with Bacillus sp. Journal of Fisheries and Aquatic Science 10, 523-532.</w:t>
      </w:r>
    </w:p>
    <w:p w:rsidR="00E70A73" w:rsidRDefault="00E70A73" w:rsidP="00C94544">
      <w:pPr>
        <w:pStyle w:val="NormalWeb"/>
        <w:numPr>
          <w:ilvl w:val="0"/>
          <w:numId w:val="3"/>
        </w:numPr>
        <w:spacing w:before="0" w:beforeAutospacing="0" w:after="0" w:afterAutospacing="0"/>
        <w:jc w:val="both"/>
      </w:pPr>
      <w:r w:rsidRPr="00773352">
        <w:t xml:space="preserve">Zhang, J., Li, X., &amp; Huang, L. (2023). Influence of carbon–nitrogen balance on microbial and fish physiological responses in </w:t>
      </w:r>
      <w:proofErr w:type="spellStart"/>
      <w:r w:rsidRPr="00773352">
        <w:t>biofloc</w:t>
      </w:r>
      <w:proofErr w:type="spellEnd"/>
      <w:r w:rsidRPr="00773352">
        <w:t xml:space="preserve"> systems. </w:t>
      </w:r>
      <w:r w:rsidRPr="00773352">
        <w:rPr>
          <w:rStyle w:val="Emphasis"/>
        </w:rPr>
        <w:t>Aquaculture Reports</w:t>
      </w:r>
      <w:r w:rsidRPr="00773352">
        <w:t>, 28, 101510.</w:t>
      </w:r>
    </w:p>
    <w:p w:rsidR="002C6A47" w:rsidRPr="00773352" w:rsidRDefault="002C6A47" w:rsidP="00364BF6">
      <w:pPr>
        <w:jc w:val="both"/>
        <w:rPr>
          <w:rFonts w:ascii="Times New Roman" w:hAnsi="Times New Roman" w:cs="Times New Roman"/>
          <w:b/>
          <w:sz w:val="24"/>
          <w:szCs w:val="24"/>
        </w:rPr>
      </w:pPr>
    </w:p>
    <w:sectPr w:rsidR="002C6A47" w:rsidRPr="0077335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CD7" w:rsidRDefault="00EA0CD7" w:rsidP="00EE2770">
      <w:pPr>
        <w:spacing w:after="0" w:line="240" w:lineRule="auto"/>
      </w:pPr>
      <w:r>
        <w:separator/>
      </w:r>
    </w:p>
  </w:endnote>
  <w:endnote w:type="continuationSeparator" w:id="0">
    <w:p w:rsidR="00EA0CD7" w:rsidRDefault="00EA0CD7" w:rsidP="00EE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CD7" w:rsidRDefault="00EA0CD7" w:rsidP="00EE2770">
      <w:pPr>
        <w:spacing w:after="0" w:line="240" w:lineRule="auto"/>
      </w:pPr>
      <w:r>
        <w:separator/>
      </w:r>
    </w:p>
  </w:footnote>
  <w:footnote w:type="continuationSeparator" w:id="0">
    <w:p w:rsidR="00EA0CD7" w:rsidRDefault="00EA0CD7" w:rsidP="00EE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C33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C33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C33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179"/>
    <w:multiLevelType w:val="hybridMultilevel"/>
    <w:tmpl w:val="55588332"/>
    <w:lvl w:ilvl="0" w:tplc="7E38CA0C">
      <w:start w:val="1"/>
      <w:numFmt w:val="upperRoman"/>
      <w:lvlText w:val="%1."/>
      <w:lvlJc w:val="right"/>
      <w:pPr>
        <w:tabs>
          <w:tab w:val="num" w:pos="720"/>
        </w:tabs>
        <w:ind w:left="720" w:hanging="360"/>
      </w:pPr>
    </w:lvl>
    <w:lvl w:ilvl="1" w:tplc="A650DF58" w:tentative="1">
      <w:start w:val="1"/>
      <w:numFmt w:val="upperRoman"/>
      <w:lvlText w:val="%2."/>
      <w:lvlJc w:val="right"/>
      <w:pPr>
        <w:tabs>
          <w:tab w:val="num" w:pos="1440"/>
        </w:tabs>
        <w:ind w:left="1440" w:hanging="360"/>
      </w:pPr>
    </w:lvl>
    <w:lvl w:ilvl="2" w:tplc="E2403EAC" w:tentative="1">
      <w:start w:val="1"/>
      <w:numFmt w:val="upperRoman"/>
      <w:lvlText w:val="%3."/>
      <w:lvlJc w:val="right"/>
      <w:pPr>
        <w:tabs>
          <w:tab w:val="num" w:pos="2160"/>
        </w:tabs>
        <w:ind w:left="2160" w:hanging="360"/>
      </w:pPr>
    </w:lvl>
    <w:lvl w:ilvl="3" w:tplc="CE2E4DDC" w:tentative="1">
      <w:start w:val="1"/>
      <w:numFmt w:val="upperRoman"/>
      <w:lvlText w:val="%4."/>
      <w:lvlJc w:val="right"/>
      <w:pPr>
        <w:tabs>
          <w:tab w:val="num" w:pos="2880"/>
        </w:tabs>
        <w:ind w:left="2880" w:hanging="360"/>
      </w:pPr>
    </w:lvl>
    <w:lvl w:ilvl="4" w:tplc="76BA4756" w:tentative="1">
      <w:start w:val="1"/>
      <w:numFmt w:val="upperRoman"/>
      <w:lvlText w:val="%5."/>
      <w:lvlJc w:val="right"/>
      <w:pPr>
        <w:tabs>
          <w:tab w:val="num" w:pos="3600"/>
        </w:tabs>
        <w:ind w:left="3600" w:hanging="360"/>
      </w:pPr>
    </w:lvl>
    <w:lvl w:ilvl="5" w:tplc="3AC4D616" w:tentative="1">
      <w:start w:val="1"/>
      <w:numFmt w:val="upperRoman"/>
      <w:lvlText w:val="%6."/>
      <w:lvlJc w:val="right"/>
      <w:pPr>
        <w:tabs>
          <w:tab w:val="num" w:pos="4320"/>
        </w:tabs>
        <w:ind w:left="4320" w:hanging="360"/>
      </w:pPr>
    </w:lvl>
    <w:lvl w:ilvl="6" w:tplc="A7AC12D2" w:tentative="1">
      <w:start w:val="1"/>
      <w:numFmt w:val="upperRoman"/>
      <w:lvlText w:val="%7."/>
      <w:lvlJc w:val="right"/>
      <w:pPr>
        <w:tabs>
          <w:tab w:val="num" w:pos="5040"/>
        </w:tabs>
        <w:ind w:left="5040" w:hanging="360"/>
      </w:pPr>
    </w:lvl>
    <w:lvl w:ilvl="7" w:tplc="5B4A9A96" w:tentative="1">
      <w:start w:val="1"/>
      <w:numFmt w:val="upperRoman"/>
      <w:lvlText w:val="%8."/>
      <w:lvlJc w:val="right"/>
      <w:pPr>
        <w:tabs>
          <w:tab w:val="num" w:pos="5760"/>
        </w:tabs>
        <w:ind w:left="5760" w:hanging="360"/>
      </w:pPr>
    </w:lvl>
    <w:lvl w:ilvl="8" w:tplc="E09C6F00" w:tentative="1">
      <w:start w:val="1"/>
      <w:numFmt w:val="upperRoman"/>
      <w:lvlText w:val="%9."/>
      <w:lvlJc w:val="right"/>
      <w:pPr>
        <w:tabs>
          <w:tab w:val="num" w:pos="6480"/>
        </w:tabs>
        <w:ind w:left="6480" w:hanging="360"/>
      </w:pPr>
    </w:lvl>
  </w:abstractNum>
  <w:abstractNum w:abstractNumId="1" w15:restartNumberingAfterBreak="0">
    <w:nsid w:val="28A91E5A"/>
    <w:multiLevelType w:val="hybridMultilevel"/>
    <w:tmpl w:val="8CFAE7A6"/>
    <w:lvl w:ilvl="0" w:tplc="9272C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9241E"/>
    <w:multiLevelType w:val="hybridMultilevel"/>
    <w:tmpl w:val="83A84A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9C6"/>
    <w:rsid w:val="000176B7"/>
    <w:rsid w:val="00075897"/>
    <w:rsid w:val="0009096B"/>
    <w:rsid w:val="000D445F"/>
    <w:rsid w:val="00184E49"/>
    <w:rsid w:val="0018573A"/>
    <w:rsid w:val="001E1A44"/>
    <w:rsid w:val="001E1B61"/>
    <w:rsid w:val="001F6E29"/>
    <w:rsid w:val="002048A9"/>
    <w:rsid w:val="00240C53"/>
    <w:rsid w:val="002713F3"/>
    <w:rsid w:val="002A2143"/>
    <w:rsid w:val="002A788F"/>
    <w:rsid w:val="002C6063"/>
    <w:rsid w:val="002C6A47"/>
    <w:rsid w:val="00304529"/>
    <w:rsid w:val="0035224A"/>
    <w:rsid w:val="00364BF6"/>
    <w:rsid w:val="003C404C"/>
    <w:rsid w:val="003E23D2"/>
    <w:rsid w:val="00416410"/>
    <w:rsid w:val="00455387"/>
    <w:rsid w:val="00482D93"/>
    <w:rsid w:val="004E3988"/>
    <w:rsid w:val="004F43C0"/>
    <w:rsid w:val="005227F3"/>
    <w:rsid w:val="00523C6E"/>
    <w:rsid w:val="00557398"/>
    <w:rsid w:val="005632FE"/>
    <w:rsid w:val="005E731F"/>
    <w:rsid w:val="00610662"/>
    <w:rsid w:val="00633EF4"/>
    <w:rsid w:val="00647742"/>
    <w:rsid w:val="006B1ACB"/>
    <w:rsid w:val="006C4357"/>
    <w:rsid w:val="006C6247"/>
    <w:rsid w:val="00770CDB"/>
    <w:rsid w:val="00773352"/>
    <w:rsid w:val="00784F7C"/>
    <w:rsid w:val="007C5C93"/>
    <w:rsid w:val="007D79DE"/>
    <w:rsid w:val="007E4591"/>
    <w:rsid w:val="008943FF"/>
    <w:rsid w:val="008B4FD7"/>
    <w:rsid w:val="008C0CDC"/>
    <w:rsid w:val="008D168E"/>
    <w:rsid w:val="0095650B"/>
    <w:rsid w:val="00AD1E97"/>
    <w:rsid w:val="00B0437C"/>
    <w:rsid w:val="00B37924"/>
    <w:rsid w:val="00B428DE"/>
    <w:rsid w:val="00B429C6"/>
    <w:rsid w:val="00B5654B"/>
    <w:rsid w:val="00B80574"/>
    <w:rsid w:val="00BA0117"/>
    <w:rsid w:val="00BB2724"/>
    <w:rsid w:val="00BC6E14"/>
    <w:rsid w:val="00C06D21"/>
    <w:rsid w:val="00C244A2"/>
    <w:rsid w:val="00C33BF5"/>
    <w:rsid w:val="00C4224A"/>
    <w:rsid w:val="00C53897"/>
    <w:rsid w:val="00C66FA4"/>
    <w:rsid w:val="00C83D30"/>
    <w:rsid w:val="00C94544"/>
    <w:rsid w:val="00D00272"/>
    <w:rsid w:val="00D63DEE"/>
    <w:rsid w:val="00DB18DC"/>
    <w:rsid w:val="00DD521A"/>
    <w:rsid w:val="00DD72BB"/>
    <w:rsid w:val="00E17C54"/>
    <w:rsid w:val="00E24A90"/>
    <w:rsid w:val="00E70A73"/>
    <w:rsid w:val="00E76271"/>
    <w:rsid w:val="00E84395"/>
    <w:rsid w:val="00EA0CD7"/>
    <w:rsid w:val="00EA79F0"/>
    <w:rsid w:val="00EE2770"/>
    <w:rsid w:val="00F24AA8"/>
    <w:rsid w:val="00F55B17"/>
    <w:rsid w:val="00F631FF"/>
    <w:rsid w:val="00FC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35EBDD-4862-48E3-B60E-5E8D9E5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4F7C"/>
    <w:rPr>
      <w:color w:val="0000FF"/>
      <w:u w:val="single"/>
    </w:rPr>
  </w:style>
  <w:style w:type="paragraph" w:customStyle="1" w:styleId="Default">
    <w:name w:val="Default"/>
    <w:rsid w:val="00364B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0C53"/>
    <w:pPr>
      <w:ind w:left="720"/>
      <w:contextualSpacing/>
    </w:pPr>
  </w:style>
  <w:style w:type="paragraph" w:styleId="BalloonText">
    <w:name w:val="Balloon Text"/>
    <w:basedOn w:val="Normal"/>
    <w:link w:val="BalloonTextChar"/>
    <w:uiPriority w:val="99"/>
    <w:semiHidden/>
    <w:unhideWhenUsed/>
    <w:rsid w:val="0024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53"/>
    <w:rPr>
      <w:rFonts w:ascii="Tahoma" w:hAnsi="Tahoma" w:cs="Tahoma"/>
      <w:sz w:val="16"/>
      <w:szCs w:val="16"/>
    </w:rPr>
  </w:style>
  <w:style w:type="table" w:styleId="TableGrid">
    <w:name w:val="Table Grid"/>
    <w:basedOn w:val="TableNormal"/>
    <w:uiPriority w:val="59"/>
    <w:rsid w:val="0018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43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574"/>
    <w:rPr>
      <w:i/>
      <w:iCs/>
    </w:rPr>
  </w:style>
  <w:style w:type="character" w:styleId="Strong">
    <w:name w:val="Strong"/>
    <w:basedOn w:val="DefaultParagraphFont"/>
    <w:uiPriority w:val="22"/>
    <w:qFormat/>
    <w:rsid w:val="00B80574"/>
    <w:rPr>
      <w:b/>
      <w:bCs/>
    </w:rPr>
  </w:style>
  <w:style w:type="character" w:customStyle="1" w:styleId="Heading1Char">
    <w:name w:val="Heading 1 Char"/>
    <w:basedOn w:val="DefaultParagraphFont"/>
    <w:link w:val="Heading1"/>
    <w:uiPriority w:val="9"/>
    <w:rsid w:val="00017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70"/>
  </w:style>
  <w:style w:type="paragraph" w:styleId="Footer">
    <w:name w:val="footer"/>
    <w:basedOn w:val="Normal"/>
    <w:link w:val="FooterChar"/>
    <w:uiPriority w:val="99"/>
    <w:unhideWhenUsed/>
    <w:rsid w:val="00EE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70"/>
  </w:style>
  <w:style w:type="paragraph" w:styleId="NoSpacing">
    <w:name w:val="No Spacing"/>
    <w:uiPriority w:val="1"/>
    <w:qFormat/>
    <w:rsid w:val="002C606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5029">
      <w:bodyDiv w:val="1"/>
      <w:marLeft w:val="0"/>
      <w:marRight w:val="0"/>
      <w:marTop w:val="0"/>
      <w:marBottom w:val="0"/>
      <w:divBdr>
        <w:top w:val="none" w:sz="0" w:space="0" w:color="auto"/>
        <w:left w:val="none" w:sz="0" w:space="0" w:color="auto"/>
        <w:bottom w:val="none" w:sz="0" w:space="0" w:color="auto"/>
        <w:right w:val="none" w:sz="0" w:space="0" w:color="auto"/>
      </w:divBdr>
      <w:divsChild>
        <w:div w:id="842162376">
          <w:marLeft w:val="806"/>
          <w:marRight w:val="0"/>
          <w:marTop w:val="0"/>
          <w:marBottom w:val="0"/>
          <w:divBdr>
            <w:top w:val="none" w:sz="0" w:space="0" w:color="auto"/>
            <w:left w:val="none" w:sz="0" w:space="0" w:color="auto"/>
            <w:bottom w:val="none" w:sz="0" w:space="0" w:color="auto"/>
            <w:right w:val="none" w:sz="0" w:space="0" w:color="auto"/>
          </w:divBdr>
        </w:div>
      </w:divsChild>
    </w:div>
    <w:div w:id="5971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5772/53902" TargetMode="External"/><Relationship Id="rId18" Type="http://schemas.openxmlformats.org/officeDocument/2006/relationships/hyperlink" Target="https://doi.org/10.1111/raq.124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encedirect.com/topics/agricultural-and-biological-sciences/heteropneustes-fossilis" TargetMode="External"/><Relationship Id="rId12" Type="http://schemas.openxmlformats.org/officeDocument/2006/relationships/hyperlink" Target="https://doi.org/10.1016/j.aquaculture.2008.02.019" TargetMode="External"/><Relationship Id="rId17" Type="http://schemas.openxmlformats.org/officeDocument/2006/relationships/hyperlink" Target="https://doi.org/10.1590/1983-21252017v30n423r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ani110101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uaculture.2012.04.04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qrep.2022.101274"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fishes810051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Biofloc%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Wheat%20bra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Wheat%20b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0507436570426"/>
          <c:y val="5.1400554097404488E-2"/>
          <c:w val="0.59096937882764655"/>
          <c:h val="0.68447142023913676"/>
        </c:manualLayout>
      </c:layout>
      <c:lineChart>
        <c:grouping val="standard"/>
        <c:varyColors val="0"/>
        <c:ser>
          <c:idx val="0"/>
          <c:order val="0"/>
          <c:tx>
            <c:strRef>
              <c:f>Sheet2!$B$1</c:f>
              <c:strCache>
                <c:ptCount val="1"/>
                <c:pt idx="0">
                  <c:v>C/N 15</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Sheet2!$B$2:$B$9</c:f>
              <c:numCache>
                <c:formatCode>General</c:formatCode>
                <c:ptCount val="8"/>
                <c:pt idx="0">
                  <c:v>80</c:v>
                </c:pt>
                <c:pt idx="1">
                  <c:v>110</c:v>
                </c:pt>
                <c:pt idx="2">
                  <c:v>50</c:v>
                </c:pt>
                <c:pt idx="3">
                  <c:v>180</c:v>
                </c:pt>
                <c:pt idx="4">
                  <c:v>100</c:v>
                </c:pt>
                <c:pt idx="5">
                  <c:v>150</c:v>
                </c:pt>
                <c:pt idx="6">
                  <c:v>170</c:v>
                </c:pt>
                <c:pt idx="7">
                  <c:v>180</c:v>
                </c:pt>
              </c:numCache>
            </c:numRef>
          </c:val>
          <c:smooth val="0"/>
          <c:extLst>
            <c:ext xmlns:c16="http://schemas.microsoft.com/office/drawing/2014/chart" uri="{C3380CC4-5D6E-409C-BE32-E72D297353CC}">
              <c16:uniqueId val="{00000000-9964-4DA3-9181-CCE2D1D711D2}"/>
            </c:ext>
          </c:extLst>
        </c:ser>
        <c:ser>
          <c:idx val="1"/>
          <c:order val="1"/>
          <c:tx>
            <c:strRef>
              <c:f>Sheet2!$C$1</c:f>
              <c:strCache>
                <c:ptCount val="1"/>
                <c:pt idx="0">
                  <c:v>C/N 20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Sheet2!$C$2:$C$9</c:f>
              <c:numCache>
                <c:formatCode>General</c:formatCode>
                <c:ptCount val="8"/>
                <c:pt idx="0">
                  <c:v>80</c:v>
                </c:pt>
                <c:pt idx="1">
                  <c:v>70</c:v>
                </c:pt>
                <c:pt idx="2">
                  <c:v>40</c:v>
                </c:pt>
                <c:pt idx="3">
                  <c:v>160</c:v>
                </c:pt>
                <c:pt idx="4">
                  <c:v>40</c:v>
                </c:pt>
                <c:pt idx="5">
                  <c:v>90</c:v>
                </c:pt>
                <c:pt idx="6">
                  <c:v>95</c:v>
                </c:pt>
                <c:pt idx="7">
                  <c:v>100</c:v>
                </c:pt>
              </c:numCache>
            </c:numRef>
          </c:val>
          <c:smooth val="0"/>
          <c:extLst>
            <c:ext xmlns:c16="http://schemas.microsoft.com/office/drawing/2014/chart" uri="{C3380CC4-5D6E-409C-BE32-E72D297353CC}">
              <c16:uniqueId val="{00000001-9964-4DA3-9181-CCE2D1D711D2}"/>
            </c:ext>
          </c:extLst>
        </c:ser>
        <c:ser>
          <c:idx val="2"/>
          <c:order val="2"/>
          <c:tx>
            <c:strRef>
              <c:f>Sheet2!$D$1</c:f>
              <c:strCache>
                <c:ptCount val="1"/>
                <c:pt idx="0">
                  <c:v>C/N 10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Sheet2!$D$2:$D$9</c:f>
              <c:numCache>
                <c:formatCode>General</c:formatCode>
                <c:ptCount val="8"/>
                <c:pt idx="0">
                  <c:v>20</c:v>
                </c:pt>
                <c:pt idx="1">
                  <c:v>20</c:v>
                </c:pt>
                <c:pt idx="2">
                  <c:v>10</c:v>
                </c:pt>
                <c:pt idx="3">
                  <c:v>50</c:v>
                </c:pt>
                <c:pt idx="4">
                  <c:v>15</c:v>
                </c:pt>
                <c:pt idx="5">
                  <c:v>20</c:v>
                </c:pt>
                <c:pt idx="6">
                  <c:v>10</c:v>
                </c:pt>
                <c:pt idx="7">
                  <c:v>20</c:v>
                </c:pt>
              </c:numCache>
            </c:numRef>
          </c:val>
          <c:smooth val="0"/>
          <c:extLst>
            <c:ext xmlns:c16="http://schemas.microsoft.com/office/drawing/2014/chart" uri="{C3380CC4-5D6E-409C-BE32-E72D297353CC}">
              <c16:uniqueId val="{00000002-9964-4DA3-9181-CCE2D1D711D2}"/>
            </c:ext>
          </c:extLst>
        </c:ser>
        <c:ser>
          <c:idx val="3"/>
          <c:order val="3"/>
          <c:tx>
            <c:strRef>
              <c:f>Sheet2!$E$1</c:f>
              <c:strCache>
                <c:ptCount val="1"/>
                <c:pt idx="0">
                  <c:v>Control</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Sheet2!$E$2:$E$9</c:f>
              <c:numCache>
                <c:formatCode>General</c:formatCode>
                <c:ptCount val="8"/>
                <c:pt idx="0">
                  <c:v>5</c:v>
                </c:pt>
                <c:pt idx="1">
                  <c:v>2</c:v>
                </c:pt>
                <c:pt idx="2">
                  <c:v>3</c:v>
                </c:pt>
                <c:pt idx="3">
                  <c:v>3</c:v>
                </c:pt>
                <c:pt idx="4">
                  <c:v>5</c:v>
                </c:pt>
                <c:pt idx="5">
                  <c:v>4</c:v>
                </c:pt>
                <c:pt idx="6">
                  <c:v>3</c:v>
                </c:pt>
                <c:pt idx="7">
                  <c:v>2</c:v>
                </c:pt>
              </c:numCache>
            </c:numRef>
          </c:val>
          <c:smooth val="0"/>
          <c:extLst>
            <c:ext xmlns:c16="http://schemas.microsoft.com/office/drawing/2014/chart" uri="{C3380CC4-5D6E-409C-BE32-E72D297353CC}">
              <c16:uniqueId val="{00000003-9964-4DA3-9181-CCE2D1D711D2}"/>
            </c:ext>
          </c:extLst>
        </c:ser>
        <c:dLbls>
          <c:showLegendKey val="0"/>
          <c:showVal val="0"/>
          <c:showCatName val="0"/>
          <c:showSerName val="0"/>
          <c:showPercent val="0"/>
          <c:showBubbleSize val="0"/>
        </c:dLbls>
        <c:marker val="1"/>
        <c:smooth val="0"/>
        <c:axId val="175757568"/>
        <c:axId val="175960832"/>
      </c:lineChart>
      <c:catAx>
        <c:axId val="175757568"/>
        <c:scaling>
          <c:orientation val="minMax"/>
        </c:scaling>
        <c:delete val="0"/>
        <c:axPos val="b"/>
        <c:numFmt formatCode="General" sourceLinked="1"/>
        <c:majorTickMark val="out"/>
        <c:minorTickMark val="none"/>
        <c:tickLblPos val="nextTo"/>
        <c:crossAx val="175960832"/>
        <c:crosses val="autoZero"/>
        <c:auto val="1"/>
        <c:lblAlgn val="ctr"/>
        <c:lblOffset val="100"/>
        <c:noMultiLvlLbl val="0"/>
      </c:catAx>
      <c:valAx>
        <c:axId val="175960832"/>
        <c:scaling>
          <c:orientation val="minMax"/>
        </c:scaling>
        <c:delete val="0"/>
        <c:axPos val="l"/>
        <c:numFmt formatCode="General" sourceLinked="1"/>
        <c:majorTickMark val="out"/>
        <c:minorTickMark val="none"/>
        <c:tickLblPos val="nextTo"/>
        <c:crossAx val="1757575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43285214348207"/>
          <c:y val="5.1400554097404488E-2"/>
          <c:w val="0.59394160104986882"/>
          <c:h val="0.70298993875765525"/>
        </c:manualLayout>
      </c:layout>
      <c:lineChart>
        <c:grouping val="standard"/>
        <c:varyColors val="0"/>
        <c:ser>
          <c:idx val="0"/>
          <c:order val="0"/>
          <c:tx>
            <c:strRef>
              <c:f>Sheet6!$B$2</c:f>
              <c:strCache>
                <c:ptCount val="1"/>
                <c:pt idx="0">
                  <c:v>Control</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Sheet6!$B$3:$B$12</c:f>
              <c:numCache>
                <c:formatCode>General</c:formatCode>
                <c:ptCount val="10"/>
                <c:pt idx="0">
                  <c:v>5.67</c:v>
                </c:pt>
                <c:pt idx="1">
                  <c:v>8.17</c:v>
                </c:pt>
                <c:pt idx="2">
                  <c:v>12.67</c:v>
                </c:pt>
                <c:pt idx="3">
                  <c:v>16.37</c:v>
                </c:pt>
                <c:pt idx="4">
                  <c:v>19.37</c:v>
                </c:pt>
                <c:pt idx="5">
                  <c:v>23.77</c:v>
                </c:pt>
                <c:pt idx="6">
                  <c:v>26.2</c:v>
                </c:pt>
                <c:pt idx="7">
                  <c:v>33.9</c:v>
                </c:pt>
                <c:pt idx="8">
                  <c:v>36.770000000000003</c:v>
                </c:pt>
                <c:pt idx="9">
                  <c:v>41.8</c:v>
                </c:pt>
              </c:numCache>
            </c:numRef>
          </c:val>
          <c:smooth val="0"/>
          <c:extLst>
            <c:ext xmlns:c16="http://schemas.microsoft.com/office/drawing/2014/chart" uri="{C3380CC4-5D6E-409C-BE32-E72D297353CC}">
              <c16:uniqueId val="{00000000-4B35-4DDA-BD67-ABC298B0B6BF}"/>
            </c:ext>
          </c:extLst>
        </c:ser>
        <c:ser>
          <c:idx val="1"/>
          <c:order val="1"/>
          <c:tx>
            <c:strRef>
              <c:f>Sheet6!$C$2</c:f>
              <c:strCache>
                <c:ptCount val="1"/>
                <c:pt idx="0">
                  <c:v>C/N 10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Sheet6!$C$3:$C$12</c:f>
              <c:numCache>
                <c:formatCode>General</c:formatCode>
                <c:ptCount val="10"/>
                <c:pt idx="0">
                  <c:v>5.57</c:v>
                </c:pt>
                <c:pt idx="1">
                  <c:v>9.77</c:v>
                </c:pt>
                <c:pt idx="2">
                  <c:v>14.7</c:v>
                </c:pt>
                <c:pt idx="3">
                  <c:v>17.7</c:v>
                </c:pt>
                <c:pt idx="4">
                  <c:v>20.57</c:v>
                </c:pt>
                <c:pt idx="5">
                  <c:v>24.37</c:v>
                </c:pt>
                <c:pt idx="6">
                  <c:v>27.9</c:v>
                </c:pt>
                <c:pt idx="7">
                  <c:v>34.33</c:v>
                </c:pt>
                <c:pt idx="8">
                  <c:v>39.5</c:v>
                </c:pt>
                <c:pt idx="9">
                  <c:v>42.2</c:v>
                </c:pt>
              </c:numCache>
            </c:numRef>
          </c:val>
          <c:smooth val="0"/>
          <c:extLst>
            <c:ext xmlns:c16="http://schemas.microsoft.com/office/drawing/2014/chart" uri="{C3380CC4-5D6E-409C-BE32-E72D297353CC}">
              <c16:uniqueId val="{00000001-4B35-4DDA-BD67-ABC298B0B6BF}"/>
            </c:ext>
          </c:extLst>
        </c:ser>
        <c:ser>
          <c:idx val="2"/>
          <c:order val="2"/>
          <c:tx>
            <c:strRef>
              <c:f>Sheet6!$D$2</c:f>
              <c:strCache>
                <c:ptCount val="1"/>
                <c:pt idx="0">
                  <c:v>C/N 15</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Sheet6!$D$3:$D$12</c:f>
              <c:numCache>
                <c:formatCode>General</c:formatCode>
                <c:ptCount val="10"/>
                <c:pt idx="0">
                  <c:v>4.83</c:v>
                </c:pt>
                <c:pt idx="1">
                  <c:v>9.93</c:v>
                </c:pt>
                <c:pt idx="2">
                  <c:v>15.68</c:v>
                </c:pt>
                <c:pt idx="3">
                  <c:v>18.329999999999998</c:v>
                </c:pt>
                <c:pt idx="4">
                  <c:v>21.83</c:v>
                </c:pt>
                <c:pt idx="5">
                  <c:v>28.87</c:v>
                </c:pt>
                <c:pt idx="6">
                  <c:v>32.83</c:v>
                </c:pt>
                <c:pt idx="7">
                  <c:v>38.5</c:v>
                </c:pt>
                <c:pt idx="8">
                  <c:v>43.73</c:v>
                </c:pt>
                <c:pt idx="9">
                  <c:v>52.73</c:v>
                </c:pt>
              </c:numCache>
            </c:numRef>
          </c:val>
          <c:smooth val="0"/>
          <c:extLst>
            <c:ext xmlns:c16="http://schemas.microsoft.com/office/drawing/2014/chart" uri="{C3380CC4-5D6E-409C-BE32-E72D297353CC}">
              <c16:uniqueId val="{00000002-4B35-4DDA-BD67-ABC298B0B6BF}"/>
            </c:ext>
          </c:extLst>
        </c:ser>
        <c:ser>
          <c:idx val="3"/>
          <c:order val="3"/>
          <c:tx>
            <c:strRef>
              <c:f>Sheet6!$E$2</c:f>
              <c:strCache>
                <c:ptCount val="1"/>
                <c:pt idx="0">
                  <c:v>C/N 20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Sheet6!$E$3:$E$12</c:f>
              <c:numCache>
                <c:formatCode>General</c:formatCode>
                <c:ptCount val="10"/>
                <c:pt idx="0">
                  <c:v>4.87</c:v>
                </c:pt>
                <c:pt idx="1">
                  <c:v>9.8699999999999992</c:v>
                </c:pt>
                <c:pt idx="2">
                  <c:v>13.67</c:v>
                </c:pt>
                <c:pt idx="3">
                  <c:v>16.600000000000001</c:v>
                </c:pt>
                <c:pt idx="4">
                  <c:v>19.899999999999999</c:v>
                </c:pt>
                <c:pt idx="5">
                  <c:v>24.4</c:v>
                </c:pt>
                <c:pt idx="6">
                  <c:v>27.1</c:v>
                </c:pt>
                <c:pt idx="7">
                  <c:v>36.130000000000003</c:v>
                </c:pt>
                <c:pt idx="8">
                  <c:v>39.57</c:v>
                </c:pt>
                <c:pt idx="9">
                  <c:v>42.8</c:v>
                </c:pt>
              </c:numCache>
            </c:numRef>
          </c:val>
          <c:smooth val="0"/>
          <c:extLst>
            <c:ext xmlns:c16="http://schemas.microsoft.com/office/drawing/2014/chart" uri="{C3380CC4-5D6E-409C-BE32-E72D297353CC}">
              <c16:uniqueId val="{00000003-4B35-4DDA-BD67-ABC298B0B6BF}"/>
            </c:ext>
          </c:extLst>
        </c:ser>
        <c:dLbls>
          <c:showLegendKey val="0"/>
          <c:showVal val="0"/>
          <c:showCatName val="0"/>
          <c:showSerName val="0"/>
          <c:showPercent val="0"/>
          <c:showBubbleSize val="0"/>
        </c:dLbls>
        <c:marker val="1"/>
        <c:smooth val="0"/>
        <c:axId val="239400832"/>
        <c:axId val="239402368"/>
      </c:lineChart>
      <c:catAx>
        <c:axId val="239400832"/>
        <c:scaling>
          <c:orientation val="minMax"/>
        </c:scaling>
        <c:delete val="0"/>
        <c:axPos val="b"/>
        <c:numFmt formatCode="General" sourceLinked="1"/>
        <c:majorTickMark val="out"/>
        <c:minorTickMark val="none"/>
        <c:tickLblPos val="nextTo"/>
        <c:crossAx val="239402368"/>
        <c:crosses val="autoZero"/>
        <c:auto val="1"/>
        <c:lblAlgn val="ctr"/>
        <c:lblOffset val="100"/>
        <c:noMultiLvlLbl val="0"/>
      </c:catAx>
      <c:valAx>
        <c:axId val="239402368"/>
        <c:scaling>
          <c:orientation val="minMax"/>
        </c:scaling>
        <c:delete val="0"/>
        <c:axPos val="l"/>
        <c:numFmt formatCode="General" sourceLinked="1"/>
        <c:majorTickMark val="out"/>
        <c:minorTickMark val="none"/>
        <c:tickLblPos val="nextTo"/>
        <c:crossAx val="23940083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19218299070083"/>
          <c:y val="4.6531934975018313E-2"/>
          <c:w val="0.62203063285562887"/>
          <c:h val="0.71856498868068985"/>
        </c:manualLayout>
      </c:layout>
      <c:lineChart>
        <c:grouping val="standard"/>
        <c:varyColors val="0"/>
        <c:ser>
          <c:idx val="0"/>
          <c:order val="0"/>
          <c:tx>
            <c:strRef>
              <c:f>Sheet7!$B$2</c:f>
              <c:strCache>
                <c:ptCount val="1"/>
                <c:pt idx="0">
                  <c:v>Control</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Sheet7!$B$3:$B$12</c:f>
              <c:numCache>
                <c:formatCode>General</c:formatCode>
                <c:ptCount val="10"/>
                <c:pt idx="0">
                  <c:v>5.2</c:v>
                </c:pt>
                <c:pt idx="1">
                  <c:v>6.03</c:v>
                </c:pt>
                <c:pt idx="2">
                  <c:v>8.17</c:v>
                </c:pt>
                <c:pt idx="3">
                  <c:v>10.87</c:v>
                </c:pt>
                <c:pt idx="4">
                  <c:v>12.57</c:v>
                </c:pt>
                <c:pt idx="5">
                  <c:v>14.17</c:v>
                </c:pt>
                <c:pt idx="6">
                  <c:v>15.4</c:v>
                </c:pt>
                <c:pt idx="7">
                  <c:v>18</c:v>
                </c:pt>
                <c:pt idx="8">
                  <c:v>19.2</c:v>
                </c:pt>
                <c:pt idx="9">
                  <c:v>20.13</c:v>
                </c:pt>
              </c:numCache>
            </c:numRef>
          </c:val>
          <c:smooth val="0"/>
          <c:extLst>
            <c:ext xmlns:c16="http://schemas.microsoft.com/office/drawing/2014/chart" uri="{C3380CC4-5D6E-409C-BE32-E72D297353CC}">
              <c16:uniqueId val="{00000000-6507-4C38-ACCB-72CC75916DB3}"/>
            </c:ext>
          </c:extLst>
        </c:ser>
        <c:ser>
          <c:idx val="1"/>
          <c:order val="1"/>
          <c:tx>
            <c:strRef>
              <c:f>Sheet7!$C$2</c:f>
              <c:strCache>
                <c:ptCount val="1"/>
                <c:pt idx="0">
                  <c:v>C/N 10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Sheet7!$C$3:$C$12</c:f>
              <c:numCache>
                <c:formatCode>General</c:formatCode>
                <c:ptCount val="10"/>
                <c:pt idx="0">
                  <c:v>5.0999999999999996</c:v>
                </c:pt>
                <c:pt idx="1">
                  <c:v>6.8</c:v>
                </c:pt>
                <c:pt idx="2">
                  <c:v>8.6</c:v>
                </c:pt>
                <c:pt idx="3">
                  <c:v>11.33</c:v>
                </c:pt>
                <c:pt idx="4">
                  <c:v>14.97</c:v>
                </c:pt>
                <c:pt idx="5">
                  <c:v>17.07</c:v>
                </c:pt>
                <c:pt idx="6">
                  <c:v>17.73</c:v>
                </c:pt>
                <c:pt idx="7">
                  <c:v>19.97</c:v>
                </c:pt>
                <c:pt idx="8">
                  <c:v>21.13</c:v>
                </c:pt>
                <c:pt idx="9">
                  <c:v>21.83</c:v>
                </c:pt>
              </c:numCache>
            </c:numRef>
          </c:val>
          <c:smooth val="0"/>
          <c:extLst>
            <c:ext xmlns:c16="http://schemas.microsoft.com/office/drawing/2014/chart" uri="{C3380CC4-5D6E-409C-BE32-E72D297353CC}">
              <c16:uniqueId val="{00000001-6507-4C38-ACCB-72CC75916DB3}"/>
            </c:ext>
          </c:extLst>
        </c:ser>
        <c:ser>
          <c:idx val="2"/>
          <c:order val="2"/>
          <c:tx>
            <c:strRef>
              <c:f>Sheet7!$D$2</c:f>
              <c:strCache>
                <c:ptCount val="1"/>
                <c:pt idx="0">
                  <c:v>C/N 15</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Sheet7!$D$3:$D$12</c:f>
              <c:numCache>
                <c:formatCode>General</c:formatCode>
                <c:ptCount val="10"/>
                <c:pt idx="0">
                  <c:v>5.27</c:v>
                </c:pt>
                <c:pt idx="1">
                  <c:v>6.53</c:v>
                </c:pt>
                <c:pt idx="2">
                  <c:v>8.9</c:v>
                </c:pt>
                <c:pt idx="3">
                  <c:v>11.43</c:v>
                </c:pt>
                <c:pt idx="4">
                  <c:v>14.17</c:v>
                </c:pt>
                <c:pt idx="5">
                  <c:v>16.600000000000001</c:v>
                </c:pt>
                <c:pt idx="6">
                  <c:v>18.399999999999999</c:v>
                </c:pt>
                <c:pt idx="7">
                  <c:v>20.170000000000002</c:v>
                </c:pt>
                <c:pt idx="8">
                  <c:v>21.37</c:v>
                </c:pt>
                <c:pt idx="9">
                  <c:v>22.9</c:v>
                </c:pt>
              </c:numCache>
            </c:numRef>
          </c:val>
          <c:smooth val="0"/>
          <c:extLst>
            <c:ext xmlns:c16="http://schemas.microsoft.com/office/drawing/2014/chart" uri="{C3380CC4-5D6E-409C-BE32-E72D297353CC}">
              <c16:uniqueId val="{00000002-6507-4C38-ACCB-72CC75916DB3}"/>
            </c:ext>
          </c:extLst>
        </c:ser>
        <c:ser>
          <c:idx val="3"/>
          <c:order val="3"/>
          <c:tx>
            <c:strRef>
              <c:f>Sheet7!$E$2</c:f>
              <c:strCache>
                <c:ptCount val="1"/>
                <c:pt idx="0">
                  <c:v>C/N 20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Sheet7!$E$3:$E$12</c:f>
              <c:numCache>
                <c:formatCode>General</c:formatCode>
                <c:ptCount val="10"/>
                <c:pt idx="0">
                  <c:v>4.5999999999999996</c:v>
                </c:pt>
                <c:pt idx="1">
                  <c:v>5.67</c:v>
                </c:pt>
                <c:pt idx="2">
                  <c:v>7.77</c:v>
                </c:pt>
                <c:pt idx="3">
                  <c:v>10.130000000000001</c:v>
                </c:pt>
                <c:pt idx="4">
                  <c:v>13.2</c:v>
                </c:pt>
                <c:pt idx="5">
                  <c:v>14.87</c:v>
                </c:pt>
                <c:pt idx="6">
                  <c:v>15.9</c:v>
                </c:pt>
                <c:pt idx="7">
                  <c:v>17.670000000000002</c:v>
                </c:pt>
                <c:pt idx="8">
                  <c:v>18.670000000000002</c:v>
                </c:pt>
                <c:pt idx="9">
                  <c:v>20.23</c:v>
                </c:pt>
              </c:numCache>
            </c:numRef>
          </c:val>
          <c:smooth val="0"/>
          <c:extLst>
            <c:ext xmlns:c16="http://schemas.microsoft.com/office/drawing/2014/chart" uri="{C3380CC4-5D6E-409C-BE32-E72D297353CC}">
              <c16:uniqueId val="{00000003-6507-4C38-ACCB-72CC75916DB3}"/>
            </c:ext>
          </c:extLst>
        </c:ser>
        <c:dLbls>
          <c:showLegendKey val="0"/>
          <c:showVal val="0"/>
          <c:showCatName val="0"/>
          <c:showSerName val="0"/>
          <c:showPercent val="0"/>
          <c:showBubbleSize val="0"/>
        </c:dLbls>
        <c:marker val="1"/>
        <c:smooth val="0"/>
        <c:axId val="288832512"/>
        <c:axId val="288875264"/>
      </c:lineChart>
      <c:catAx>
        <c:axId val="288832512"/>
        <c:scaling>
          <c:orientation val="minMax"/>
        </c:scaling>
        <c:delete val="0"/>
        <c:axPos val="b"/>
        <c:numFmt formatCode="General" sourceLinked="1"/>
        <c:majorTickMark val="out"/>
        <c:minorTickMark val="none"/>
        <c:tickLblPos val="nextTo"/>
        <c:crossAx val="288875264"/>
        <c:crosses val="autoZero"/>
        <c:auto val="1"/>
        <c:lblAlgn val="ctr"/>
        <c:lblOffset val="100"/>
        <c:noMultiLvlLbl val="0"/>
      </c:catAx>
      <c:valAx>
        <c:axId val="288875264"/>
        <c:scaling>
          <c:orientation val="minMax"/>
        </c:scaling>
        <c:delete val="0"/>
        <c:axPos val="l"/>
        <c:numFmt formatCode="General" sourceLinked="1"/>
        <c:majorTickMark val="out"/>
        <c:minorTickMark val="none"/>
        <c:tickLblPos val="nextTo"/>
        <c:crossAx val="28883251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0.01711</cdr:x>
      <cdr:y>0.15116</cdr:y>
    </cdr:from>
    <cdr:to>
      <cdr:x>0.13179</cdr:x>
      <cdr:y>0.83344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95425" y="1088335"/>
          <a:ext cx="1871634" cy="524301"/>
        </a:xfrm>
        <a:prstGeom xmlns:a="http://schemas.openxmlformats.org/drawingml/2006/main" prst="rect">
          <a:avLst/>
        </a:prstGeom>
      </cdr:spPr>
    </cdr:pic>
  </cdr:relSizeAnchor>
  <cdr:relSizeAnchor xmlns:cdr="http://schemas.openxmlformats.org/drawingml/2006/chartDrawing">
    <cdr:from>
      <cdr:x>0.2814</cdr:x>
      <cdr:y>0.79554</cdr:y>
    </cdr:from>
    <cdr:to>
      <cdr:x>0.58009</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86539" y="2182319"/>
          <a:ext cx="1365622" cy="5608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0.04731</cdr:x>
      <cdr:y>0.13432</cdr:y>
    </cdr:from>
    <cdr:to>
      <cdr:x>0.16199</cdr:x>
      <cdr:y>0.78549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14668" y="999460"/>
          <a:ext cx="1786283" cy="524301"/>
        </a:xfrm>
        <a:prstGeom xmlns:a="http://schemas.openxmlformats.org/drawingml/2006/main" prst="rect">
          <a:avLst/>
        </a:prstGeom>
      </cdr:spPr>
    </cdr:pic>
  </cdr:relSizeAnchor>
  <cdr:relSizeAnchor xmlns:cdr="http://schemas.openxmlformats.org/drawingml/2006/chartDrawing">
    <cdr:from>
      <cdr:x>0.32558</cdr:x>
      <cdr:y>0.80887</cdr:y>
    </cdr:from>
    <cdr:to>
      <cdr:x>0.59094</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488559" y="2218899"/>
          <a:ext cx="1213209" cy="52430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0.03228</cdr:x>
      <cdr:y>0.09123</cdr:y>
    </cdr:from>
    <cdr:to>
      <cdr:x>0.11257</cdr:x>
      <cdr:y>0.70528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74625" y="1009622"/>
          <a:ext cx="1860698" cy="394346"/>
        </a:xfrm>
        <a:prstGeom xmlns:a="http://schemas.openxmlformats.org/drawingml/2006/main" prst="rect">
          <a:avLst/>
        </a:prstGeom>
      </cdr:spPr>
    </cdr:pic>
  </cdr:relSizeAnchor>
  <cdr:relSizeAnchor xmlns:cdr="http://schemas.openxmlformats.org/drawingml/2006/chartDrawing">
    <cdr:from>
      <cdr:x>0.34852</cdr:x>
      <cdr:y>0.82698</cdr:y>
    </cdr:from>
    <cdr:to>
      <cdr:x>0.59552</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11842" y="2505978"/>
          <a:ext cx="1213209" cy="52430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19542</TotalTime>
  <Pages>14</Pages>
  <Words>6142</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28</cp:revision>
  <dcterms:created xsi:type="dcterms:W3CDTF">2025-12-23T08:04:00Z</dcterms:created>
  <dcterms:modified xsi:type="dcterms:W3CDTF">2026-03-28T06:20:00Z</dcterms:modified>
</cp:coreProperties>
</file>