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4EB5" w14:textId="77777777" w:rsidR="00A96AA4" w:rsidRPr="00A536EF" w:rsidRDefault="00440675" w:rsidP="008C5A77">
      <w:pPr>
        <w:rPr>
          <w:rFonts w:ascii="Arial" w:hAnsi="Arial" w:cs="Arial"/>
          <w:b/>
          <w:bCs/>
          <w:color w:val="000000" w:themeColor="text1"/>
          <w:u w:val="single"/>
        </w:rPr>
      </w:pPr>
      <w:r w:rsidRPr="00A536EF">
        <w:rPr>
          <w:rFonts w:ascii="Arial" w:hAnsi="Arial" w:cs="Arial"/>
          <w:b/>
          <w:bCs/>
          <w:color w:val="000000" w:themeColor="text1"/>
          <w:u w:val="single"/>
        </w:rPr>
        <w:t>Original Research Article</w:t>
      </w:r>
    </w:p>
    <w:p w14:paraId="67A96E29" w14:textId="77777777" w:rsidR="00440675" w:rsidRPr="00A536EF" w:rsidRDefault="00440675" w:rsidP="00A96AA4">
      <w:pPr>
        <w:jc w:val="center"/>
        <w:rPr>
          <w:rFonts w:ascii="Arial" w:hAnsi="Arial" w:cs="Arial"/>
          <w:b/>
          <w:bCs/>
          <w:color w:val="000000" w:themeColor="text1"/>
        </w:rPr>
      </w:pPr>
    </w:p>
    <w:p w14:paraId="69F41733" w14:textId="77777777" w:rsidR="00A96AA4" w:rsidRPr="00A536EF" w:rsidRDefault="00A96AA4" w:rsidP="00A96AA4">
      <w:pPr>
        <w:jc w:val="center"/>
        <w:rPr>
          <w:rFonts w:ascii="Arial" w:hAnsi="Arial" w:cs="Arial"/>
          <w:b/>
          <w:bCs/>
          <w:color w:val="000000" w:themeColor="text1"/>
        </w:rPr>
      </w:pPr>
      <w:r w:rsidRPr="00A536EF">
        <w:rPr>
          <w:rFonts w:ascii="Arial" w:hAnsi="Arial" w:cs="Arial"/>
          <w:b/>
          <w:bCs/>
          <w:color w:val="000000" w:themeColor="text1"/>
        </w:rPr>
        <w:t>From Crisis to Structural Resilience: Econometric Evidence on India’s Inbound Tourism Recovery, Demand Scarring, and Spending Dynamics (2001–2023)</w:t>
      </w:r>
    </w:p>
    <w:p w14:paraId="542AE67A" w14:textId="77777777" w:rsidR="005B68FD" w:rsidRPr="00A536EF" w:rsidRDefault="005B68FD" w:rsidP="00F5566A">
      <w:pPr>
        <w:jc w:val="center"/>
        <w:rPr>
          <w:rFonts w:ascii="Arial" w:hAnsi="Arial" w:cs="Arial"/>
          <w:b/>
          <w:bCs/>
          <w:color w:val="000000" w:themeColor="text1"/>
        </w:rPr>
      </w:pPr>
    </w:p>
    <w:p w14:paraId="0CD8C631" w14:textId="77777777" w:rsidR="00A96AA4" w:rsidRPr="00A536EF" w:rsidRDefault="00A96AA4" w:rsidP="00F5566A">
      <w:pPr>
        <w:jc w:val="center"/>
        <w:rPr>
          <w:rFonts w:ascii="Arial" w:hAnsi="Arial" w:cs="Arial"/>
          <w:b/>
          <w:bCs/>
          <w:color w:val="000000" w:themeColor="text1"/>
        </w:rPr>
      </w:pPr>
      <w:r w:rsidRPr="00A536EF">
        <w:rPr>
          <w:rFonts w:ascii="Arial" w:hAnsi="Arial" w:cs="Arial"/>
          <w:b/>
          <w:bCs/>
          <w:color w:val="000000" w:themeColor="text1"/>
        </w:rPr>
        <w:t>ABSTRACT</w:t>
      </w:r>
    </w:p>
    <w:p w14:paraId="540215DA" w14:textId="463FD68C" w:rsidR="0040766C" w:rsidRPr="0040766C" w:rsidRDefault="0040766C" w:rsidP="0040766C">
      <w:pPr>
        <w:spacing w:line="276" w:lineRule="auto"/>
        <w:jc w:val="both"/>
        <w:rPr>
          <w:rFonts w:ascii="Arial" w:hAnsi="Arial" w:cs="Arial"/>
          <w:color w:val="000000" w:themeColor="text1"/>
          <w:sz w:val="20"/>
          <w:szCs w:val="20"/>
        </w:rPr>
      </w:pPr>
      <w:r w:rsidRPr="0040766C">
        <w:rPr>
          <w:rFonts w:ascii="Arial" w:hAnsi="Arial" w:cs="Arial"/>
          <w:color w:val="000000" w:themeColor="text1"/>
          <w:sz w:val="20"/>
          <w:szCs w:val="20"/>
        </w:rPr>
        <w:t xml:space="preserve">The study analyses long-term trends of foreign tourists arriving in India from 2001 to 2023. The focus has been on the impact of COVID-19, the changes in demand and the recovery situation. The study uses a quantitative long-term method in which national-level secondary data is taken. The data has been obtained from reliable sources such as the Bureau of Immigration, the United Nations World Tourism Organisation (UNWTO) and the Archaeological Survey of India. The study uses various geometric techniques such as log-linear growth models, interaction analysis, elastic analysis, panel regression, and </w:t>
      </w:r>
      <w:r w:rsidRPr="00A536EF">
        <w:rPr>
          <w:rFonts w:ascii="Arial" w:hAnsi="Arial" w:cs="Arial"/>
          <w:color w:val="000000" w:themeColor="text1"/>
          <w:sz w:val="20"/>
          <w:szCs w:val="20"/>
        </w:rPr>
        <w:t xml:space="preserve">SARIMA </w:t>
      </w:r>
      <w:r w:rsidRPr="0040766C">
        <w:rPr>
          <w:rFonts w:ascii="Arial" w:hAnsi="Arial" w:cs="Arial"/>
          <w:color w:val="000000" w:themeColor="text1"/>
          <w:sz w:val="20"/>
          <w:szCs w:val="20"/>
        </w:rPr>
        <w:t>models to understand short-term and long-term structural changes.</w:t>
      </w:r>
    </w:p>
    <w:p w14:paraId="6F0D2B94" w14:textId="77777777" w:rsidR="0040766C" w:rsidRPr="0040766C" w:rsidRDefault="0040766C" w:rsidP="0040766C">
      <w:pPr>
        <w:spacing w:line="276" w:lineRule="auto"/>
        <w:jc w:val="both"/>
        <w:rPr>
          <w:rFonts w:ascii="Arial" w:hAnsi="Arial" w:cs="Arial"/>
          <w:color w:val="000000" w:themeColor="text1"/>
          <w:sz w:val="20"/>
          <w:szCs w:val="20"/>
        </w:rPr>
      </w:pPr>
      <w:r w:rsidRPr="0040766C">
        <w:rPr>
          <w:rFonts w:ascii="Arial" w:hAnsi="Arial" w:cs="Arial"/>
          <w:color w:val="000000" w:themeColor="text1"/>
          <w:sz w:val="20"/>
          <w:szCs w:val="20"/>
        </w:rPr>
        <w:t>The results show that the number of foreign tourists was increasing at an average rate of 9.23% per year prior to COVID-19, but it declined sharply by about 11.58 million in 2020. Even after the pandemic, there is a shortage of about 2.34 million tourists every year, reflecting a steady decline in demand. In addition, the relationship between the number of tourists and foreign exchange earnings has weakened, where the elasticity has come down from 0.892 to 0.661, which shows a reduction in per tourist expenditure. The study also shows that in areas where the share of migratory tourists is high, the improvement has been accelerated, while the improvement in the more distant areas has been slow. According to the forecast, the number of tourists can reach around 10.23 million in 2024 and 10.72 million in 2025.</w:t>
      </w:r>
    </w:p>
    <w:p w14:paraId="674DAF5F" w14:textId="77777777" w:rsidR="0040766C" w:rsidRPr="0040766C" w:rsidRDefault="0040766C" w:rsidP="0040766C">
      <w:pPr>
        <w:spacing w:line="276" w:lineRule="auto"/>
        <w:jc w:val="both"/>
        <w:rPr>
          <w:rFonts w:ascii="Arial" w:hAnsi="Arial" w:cs="Arial"/>
          <w:color w:val="000000" w:themeColor="text1"/>
          <w:sz w:val="20"/>
          <w:szCs w:val="20"/>
        </w:rPr>
      </w:pPr>
      <w:r w:rsidRPr="0040766C">
        <w:rPr>
          <w:rFonts w:ascii="Arial" w:hAnsi="Arial" w:cs="Arial"/>
          <w:color w:val="000000" w:themeColor="text1"/>
          <w:sz w:val="20"/>
          <w:szCs w:val="20"/>
        </w:rPr>
        <w:t>Overall, the study indicates that India's tourism sector is slowly heading towards improvement, but continues to face challenges such as a reduction in demand, low per tourist spending and regional inequality. So, it is essential that not only do we increase the number of tourists, but also increase the value of tourism and focus on balanced and sustainable development.</w:t>
      </w:r>
    </w:p>
    <w:p w14:paraId="306A906A" w14:textId="77777777" w:rsidR="0040766C" w:rsidRPr="00A536EF" w:rsidRDefault="0040766C" w:rsidP="00F5566A">
      <w:pPr>
        <w:jc w:val="both"/>
        <w:rPr>
          <w:rFonts w:ascii="Arial" w:hAnsi="Arial" w:cs="Arial"/>
          <w:b/>
          <w:bCs/>
          <w:color w:val="000000" w:themeColor="text1"/>
        </w:rPr>
      </w:pPr>
    </w:p>
    <w:p w14:paraId="4679BDEC" w14:textId="46C937B2" w:rsidR="00F5566A" w:rsidRPr="00A536EF" w:rsidRDefault="00F5566A" w:rsidP="00F5566A">
      <w:pPr>
        <w:jc w:val="both"/>
        <w:rPr>
          <w:rFonts w:ascii="Arial" w:hAnsi="Arial" w:cs="Arial"/>
          <w:b/>
          <w:bCs/>
          <w:color w:val="000000" w:themeColor="text1"/>
        </w:rPr>
      </w:pPr>
      <w:r w:rsidRPr="00A536EF">
        <w:rPr>
          <w:rFonts w:ascii="Arial" w:hAnsi="Arial" w:cs="Arial"/>
          <w:b/>
          <w:bCs/>
          <w:color w:val="000000" w:themeColor="text1"/>
        </w:rPr>
        <w:t xml:space="preserve">Keywords: </w:t>
      </w:r>
      <w:r w:rsidR="00DF2DD7" w:rsidRPr="00A536EF">
        <w:rPr>
          <w:rFonts w:ascii="Arial" w:hAnsi="Arial" w:cs="Arial"/>
          <w:i/>
          <w:iCs/>
          <w:color w:val="000000" w:themeColor="text1"/>
          <w:sz w:val="20"/>
          <w:szCs w:val="20"/>
        </w:rPr>
        <w:t xml:space="preserve">Demand Scarring, </w:t>
      </w:r>
      <w:r w:rsidRPr="00A536EF">
        <w:rPr>
          <w:rFonts w:ascii="Arial" w:hAnsi="Arial" w:cs="Arial"/>
          <w:i/>
          <w:iCs/>
          <w:color w:val="000000" w:themeColor="text1"/>
          <w:sz w:val="20"/>
          <w:szCs w:val="20"/>
        </w:rPr>
        <w:t>Econometric Analysis,</w:t>
      </w:r>
      <w:r w:rsidR="00DF2DD7" w:rsidRPr="00A536EF">
        <w:rPr>
          <w:rFonts w:ascii="Arial" w:hAnsi="Arial" w:cs="Arial"/>
          <w:i/>
          <w:iCs/>
          <w:color w:val="000000" w:themeColor="text1"/>
          <w:sz w:val="20"/>
          <w:szCs w:val="20"/>
        </w:rPr>
        <w:t xml:space="preserve"> </w:t>
      </w:r>
      <w:r w:rsidRPr="00A536EF">
        <w:rPr>
          <w:rFonts w:ascii="Arial" w:hAnsi="Arial" w:cs="Arial"/>
          <w:i/>
          <w:iCs/>
          <w:color w:val="000000" w:themeColor="text1"/>
          <w:sz w:val="20"/>
          <w:szCs w:val="20"/>
        </w:rPr>
        <w:t xml:space="preserve">Spending Elasticity, </w:t>
      </w:r>
      <w:r w:rsidR="00DF2DD7" w:rsidRPr="00A536EF">
        <w:rPr>
          <w:rFonts w:ascii="Arial" w:hAnsi="Arial" w:cs="Arial"/>
          <w:i/>
          <w:iCs/>
          <w:color w:val="000000" w:themeColor="text1"/>
          <w:sz w:val="20"/>
          <w:szCs w:val="20"/>
        </w:rPr>
        <w:t>Tourism Recovery, Tourism</w:t>
      </w:r>
      <w:r w:rsidRPr="00A536EF">
        <w:rPr>
          <w:rFonts w:ascii="Arial" w:hAnsi="Arial" w:cs="Arial"/>
          <w:i/>
          <w:iCs/>
          <w:color w:val="000000" w:themeColor="text1"/>
          <w:sz w:val="20"/>
          <w:szCs w:val="20"/>
        </w:rPr>
        <w:t xml:space="preserve"> Resilience</w:t>
      </w:r>
    </w:p>
    <w:p w14:paraId="4777D017" w14:textId="77777777" w:rsidR="00D65B32" w:rsidRPr="00A536EF" w:rsidRDefault="00D65B32" w:rsidP="00D65B32">
      <w:pPr>
        <w:rPr>
          <w:rFonts w:ascii="Arial" w:hAnsi="Arial" w:cs="Arial"/>
          <w:b/>
          <w:bCs/>
          <w:color w:val="000000" w:themeColor="text1"/>
        </w:rPr>
      </w:pPr>
      <w:r w:rsidRPr="00A536EF">
        <w:rPr>
          <w:rFonts w:ascii="Arial" w:hAnsi="Arial" w:cs="Arial"/>
          <w:b/>
          <w:bCs/>
          <w:color w:val="000000" w:themeColor="text1"/>
        </w:rPr>
        <w:t>1. INTRODUCTION</w:t>
      </w:r>
    </w:p>
    <w:p w14:paraId="5A76D586" w14:textId="54ACB303" w:rsidR="00F61210" w:rsidRPr="00A536EF" w:rsidRDefault="00F61210"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tourism sector across the world continues to grow, but it is highly vulnerable to shocks such as financial crises, political instability and health emergencies. Due to the COVID-19 pandemic, there has been a significant decline in international tourism, leading to significant decline in tourist arrivals to various countries</w:t>
      </w:r>
      <w:r w:rsidR="00E93295"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(Sagi et al., 2020). The recovery has been uneven as different rates have improved in different sectors</w:t>
      </w:r>
      <w:r w:rsidR="00E93295"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w:t>
      </w:r>
      <w:proofErr w:type="spellStart"/>
      <w:r w:rsidRPr="00A536EF">
        <w:rPr>
          <w:rFonts w:ascii="Arial" w:hAnsi="Arial" w:cs="Arial"/>
          <w:color w:val="000000" w:themeColor="text1"/>
          <w:sz w:val="20"/>
          <w:szCs w:val="20"/>
        </w:rPr>
        <w:t>Gössling</w:t>
      </w:r>
      <w:proofErr w:type="spellEnd"/>
      <w:r w:rsidRPr="00A536EF">
        <w:rPr>
          <w:rFonts w:ascii="Arial" w:hAnsi="Arial" w:cs="Arial"/>
          <w:color w:val="000000" w:themeColor="text1"/>
          <w:sz w:val="20"/>
          <w:szCs w:val="20"/>
        </w:rPr>
        <w:t xml:space="preserve"> et al., 2021; Sigala, 2020). Recent studies suggest that reforms should not only be seen as a return to previous levels but also as countries' ability to adapt to new conditions and changing travel behaviour</w:t>
      </w:r>
      <w:r w:rsidR="00E93295"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w:t>
      </w:r>
      <w:proofErr w:type="spellStart"/>
      <w:r w:rsidRPr="00A536EF">
        <w:rPr>
          <w:rFonts w:ascii="Arial" w:hAnsi="Arial" w:cs="Arial"/>
          <w:color w:val="000000" w:themeColor="text1"/>
          <w:sz w:val="20"/>
          <w:szCs w:val="20"/>
        </w:rPr>
        <w:t>Dogru</w:t>
      </w:r>
      <w:proofErr w:type="spellEnd"/>
      <w:r w:rsidRPr="00A536EF">
        <w:rPr>
          <w:rFonts w:ascii="Arial" w:hAnsi="Arial" w:cs="Arial"/>
          <w:color w:val="000000" w:themeColor="text1"/>
          <w:sz w:val="20"/>
          <w:szCs w:val="20"/>
        </w:rPr>
        <w:t xml:space="preserve"> et al., 2020). In this context, India is an important matter due to its diverse tourism base and strong ties with the diaspora. Although the tourist arrivals are again increasing, improvements in different regions and markets are uneven, raising concerns about the quality and stability of development. So, this study examines Indias inbound tourism from 2001 to 2023 using </w:t>
      </w:r>
      <w:r w:rsidR="0024120B" w:rsidRPr="00A536EF">
        <w:rPr>
          <w:rFonts w:ascii="Arial" w:hAnsi="Arial" w:cs="Arial"/>
          <w:color w:val="000000" w:themeColor="text1"/>
          <w:sz w:val="20"/>
          <w:szCs w:val="20"/>
        </w:rPr>
        <w:t>econometric</w:t>
      </w:r>
      <w:r w:rsidRPr="00A536EF">
        <w:rPr>
          <w:rFonts w:ascii="Arial" w:hAnsi="Arial" w:cs="Arial"/>
          <w:color w:val="000000" w:themeColor="text1"/>
          <w:sz w:val="20"/>
          <w:szCs w:val="20"/>
        </w:rPr>
        <w:t xml:space="preserve"> </w:t>
      </w:r>
      <w:r w:rsidR="0024120B" w:rsidRPr="00A536EF">
        <w:rPr>
          <w:rFonts w:ascii="Arial" w:hAnsi="Arial" w:cs="Arial"/>
          <w:color w:val="000000" w:themeColor="text1"/>
          <w:sz w:val="20"/>
          <w:szCs w:val="20"/>
        </w:rPr>
        <w:t>modelling</w:t>
      </w:r>
      <w:r w:rsidRPr="00A536EF">
        <w:rPr>
          <w:rFonts w:ascii="Arial" w:hAnsi="Arial" w:cs="Arial"/>
          <w:color w:val="000000" w:themeColor="text1"/>
          <w:sz w:val="20"/>
          <w:szCs w:val="20"/>
        </w:rPr>
        <w:t xml:space="preserve"> to analyses long term trends, impact of COVID-19 and recovery patterns. The study uses log-linear growth models, intervention analysis, elastic analysis, panel regression and time-series to understand the role of migrants in demand changes, spending patterns and recovery.</w:t>
      </w:r>
    </w:p>
    <w:p w14:paraId="1BEA6759" w14:textId="77777777" w:rsidR="00F61210" w:rsidRPr="00A536EF" w:rsidRDefault="00F61210"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 xml:space="preserve">The study also presents a simple roadmap to understand tourism improvement in India post COVID-19. It connects tourism development with flexibility, market structure and economic outcomes. Retrieval </w:t>
      </w:r>
      <w:r w:rsidRPr="00A536EF">
        <w:rPr>
          <w:rFonts w:ascii="Arial" w:hAnsi="Arial" w:cs="Arial"/>
          <w:color w:val="000000" w:themeColor="text1"/>
          <w:sz w:val="20"/>
          <w:szCs w:val="20"/>
        </w:rPr>
        <w:lastRenderedPageBreak/>
        <w:t>analysis is done using long-term trends and post-crisis changes through growth rate and recovery indices. The framework deals with regional factors like diversification of source markets, role and distance and medical tourism as compared to leisure tourists. It also examines the cost pattern through the Loch to assess that the development is driven by the number or expenditure of tourists. Seasonal pattern has been incorporated to understand demand during peak and off-peak period. Together, these factors help explain the nature, quality and stability of tourism recovery in the post-pandemic period.</w:t>
      </w:r>
    </w:p>
    <w:p w14:paraId="60444B20" w14:textId="77777777" w:rsidR="002D03D8" w:rsidRPr="00A536EF" w:rsidRDefault="002D03D8" w:rsidP="002D03D8">
      <w:pPr>
        <w:spacing w:line="276" w:lineRule="auto"/>
        <w:jc w:val="both"/>
        <w:rPr>
          <w:rFonts w:ascii="Arial" w:hAnsi="Arial" w:cs="Arial"/>
          <w:b/>
          <w:bCs/>
          <w:color w:val="000000" w:themeColor="text1"/>
        </w:rPr>
      </w:pPr>
      <w:r w:rsidRPr="00A536EF">
        <w:rPr>
          <w:rFonts w:ascii="Arial" w:hAnsi="Arial" w:cs="Arial"/>
          <w:b/>
          <w:bCs/>
          <w:color w:val="000000" w:themeColor="text1"/>
        </w:rPr>
        <w:t>2. REVIEW OF LITERATURE</w:t>
      </w:r>
    </w:p>
    <w:p w14:paraId="62B6C13F" w14:textId="0954B457" w:rsidR="0040766C" w:rsidRPr="00A536EF" w:rsidRDefault="0040766C"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Tourism resilience has emerged as an important research topic in recent years, especially after the COVID-19 pandemic. This concept illustrates how the tourism sector tolerates external shocks and returns to normalcy with time. From available studies, it is clear that global tourism suffered a severe decline due to the pandemic, which forced countries to rethink the traditional development model and adopt more resilient and adaptive strategies (</w:t>
      </w:r>
      <w:proofErr w:type="spellStart"/>
      <w:r w:rsidRPr="00A536EF">
        <w:rPr>
          <w:rFonts w:ascii="Arial" w:hAnsi="Arial" w:cs="Arial"/>
          <w:color w:val="000000" w:themeColor="text1"/>
          <w:sz w:val="20"/>
          <w:szCs w:val="20"/>
        </w:rPr>
        <w:t>Gössling</w:t>
      </w:r>
      <w:proofErr w:type="spellEnd"/>
      <w:r w:rsidRPr="00A536EF">
        <w:rPr>
          <w:rFonts w:ascii="Arial" w:hAnsi="Arial" w:cs="Arial"/>
          <w:color w:val="000000" w:themeColor="text1"/>
          <w:sz w:val="20"/>
          <w:szCs w:val="20"/>
        </w:rPr>
        <w:t xml:space="preserve"> et al., 2021; Sigala, 2020). However, recovery has not been the same in different areas. In countries where tourism diversification, robust institutional arrangements and better crisis management systems existed, reforms were relatively faster (Zhang et al., 2024). Similarly, according to </w:t>
      </w:r>
      <w:proofErr w:type="spellStart"/>
      <w:r w:rsidRPr="00A536EF">
        <w:rPr>
          <w:rFonts w:ascii="Arial" w:hAnsi="Arial" w:cs="Arial"/>
          <w:color w:val="000000" w:themeColor="text1"/>
          <w:sz w:val="20"/>
          <w:szCs w:val="20"/>
        </w:rPr>
        <w:t>Dogru</w:t>
      </w:r>
      <w:proofErr w:type="spellEnd"/>
      <w:r w:rsidRPr="00A536EF">
        <w:rPr>
          <w:rFonts w:ascii="Arial" w:hAnsi="Arial" w:cs="Arial"/>
          <w:color w:val="000000" w:themeColor="text1"/>
          <w:sz w:val="20"/>
          <w:szCs w:val="20"/>
        </w:rPr>
        <w:t xml:space="preserve"> et al. (2020), dependence on limited source markets increases risk, while diversification leads to stability and better recovery. In addition, factors such as regional cooperation, travel agreements and proximity to source markets have accelerated tourism improvement, especially in developing countries.</w:t>
      </w:r>
    </w:p>
    <w:p w14:paraId="31E13215" w14:textId="119715D8" w:rsidR="0040766C" w:rsidRPr="00A536EF" w:rsidRDefault="0040766C"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Another important area of tourism research deals with the nature of demand, expenditure behaviour and the role of various tourist groups. Studies show that visits to friends and relatives (VFR) and diaspora-based travel remained relatively stable during the crisis, as they are driven by social and family causes rather than economic factors (Li et al., 2021). In the Indian context also, NRI visits have contributed significantly to the tourism recovery, which clearly explains the importance of the NRI relationship. The relationship between tourist arrivals and foreign exchange earnings is often understood through the elastic model, which shows that the increase in the number of tourists does not always increase the same proportion of income (Song &amp; Li, 2008). Recent studies also indicate that although the number of tourists is increasing, the per-tourism expenditure is declining, which indicates volume-based growth. At the same time, seasonal fluctuations also influence tourism demand, thereby reducing the use of resources in pressure and off-season (Butler, 2001).</w:t>
      </w:r>
    </w:p>
    <w:p w14:paraId="6CF8C930" w14:textId="274B2845" w:rsidR="002D03D8" w:rsidRPr="00A536EF" w:rsidRDefault="0040766C" w:rsidP="0040766C">
      <w:pPr>
        <w:spacing w:line="276" w:lineRule="auto"/>
        <w:jc w:val="both"/>
        <w:rPr>
          <w:rFonts w:ascii="Arial" w:hAnsi="Arial" w:cs="Arial"/>
          <w:b/>
          <w:bCs/>
          <w:color w:val="000000" w:themeColor="text1"/>
          <w:sz w:val="20"/>
          <w:szCs w:val="20"/>
        </w:rPr>
      </w:pPr>
      <w:r w:rsidRPr="00A536EF">
        <w:rPr>
          <w:rFonts w:ascii="Arial" w:hAnsi="Arial" w:cs="Arial"/>
          <w:color w:val="000000" w:themeColor="text1"/>
          <w:sz w:val="20"/>
          <w:szCs w:val="20"/>
        </w:rPr>
        <w:t>In recent years tourism studies have increased the use of geometric techniques such as regression analysis, panel data models and time-series methods to better understand these complex trends. However, most studies use these methods separately, limiting the overall understanding of tourism recovery. For this reason, the study follows an integrated geometric approach through which a holistic analysis of long-term trends, demand changes and recovery patterns has been carried out in Indias Inland Tourism.</w:t>
      </w:r>
    </w:p>
    <w:p w14:paraId="178944A0" w14:textId="43C80F1E" w:rsidR="00B0193F" w:rsidRPr="00A536EF" w:rsidRDefault="00B0193F" w:rsidP="00C85D61">
      <w:pPr>
        <w:spacing w:line="276" w:lineRule="auto"/>
        <w:jc w:val="both"/>
        <w:rPr>
          <w:rFonts w:ascii="Arial" w:hAnsi="Arial" w:cs="Arial"/>
          <w:b/>
          <w:bCs/>
          <w:color w:val="000000" w:themeColor="text1"/>
        </w:rPr>
      </w:pPr>
      <w:r w:rsidRPr="00A536EF">
        <w:rPr>
          <w:rFonts w:ascii="Arial" w:hAnsi="Arial" w:cs="Arial"/>
          <w:b/>
          <w:bCs/>
          <w:color w:val="000000" w:themeColor="text1"/>
        </w:rPr>
        <w:t xml:space="preserve">2.1 RESEARCH GAP </w:t>
      </w:r>
    </w:p>
    <w:p w14:paraId="76308D59" w14:textId="3F357125" w:rsidR="00C85D61" w:rsidRPr="00A536EF" w:rsidRDefault="00B0193F" w:rsidP="0040766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Current literature on tourism mainly studies development, COVID-19 effect and recovery separately, but there is limited research that combines all these aspects into a framework. Most studies focus on global or cross-country analysis, while India-specific long-term analysis is limited. There is also a lack of studies testing both cost behaviour and change in demand post COVID-19. Further, the role of factors like regional differences and migratory and distance in recovery has not been analysed in depth. So, this study fills this gap using a comprehensive econometric approach to understand long-term trends, demand loss and recovery patterns in Indias inbound tourism.</w:t>
      </w:r>
    </w:p>
    <w:p w14:paraId="3FAB8BDD" w14:textId="77777777" w:rsidR="0079383F" w:rsidRPr="00A536EF" w:rsidRDefault="00B0193F" w:rsidP="0079383F">
      <w:pPr>
        <w:rPr>
          <w:rFonts w:ascii="Arial" w:hAnsi="Arial" w:cs="Arial"/>
          <w:b/>
          <w:bCs/>
          <w:color w:val="000000" w:themeColor="text1"/>
        </w:rPr>
      </w:pPr>
      <w:r w:rsidRPr="00A536EF">
        <w:rPr>
          <w:rFonts w:ascii="Arial" w:hAnsi="Arial" w:cs="Arial"/>
          <w:b/>
          <w:bCs/>
          <w:color w:val="000000" w:themeColor="text1"/>
        </w:rPr>
        <w:t xml:space="preserve">2.2 </w:t>
      </w:r>
      <w:r w:rsidR="0079383F" w:rsidRPr="00A536EF">
        <w:rPr>
          <w:rFonts w:ascii="Arial" w:hAnsi="Arial" w:cs="Arial"/>
          <w:b/>
          <w:bCs/>
          <w:color w:val="000000" w:themeColor="text1"/>
        </w:rPr>
        <w:t>OBJECTIVES OF THE STUDY</w:t>
      </w:r>
    </w:p>
    <w:p w14:paraId="332172EE" w14:textId="77777777" w:rsidR="0079383F" w:rsidRPr="00A536EF" w:rsidRDefault="0079383F" w:rsidP="0079383F">
      <w:pPr>
        <w:rPr>
          <w:rFonts w:ascii="Arial" w:hAnsi="Arial" w:cs="Arial"/>
          <w:color w:val="000000" w:themeColor="text1"/>
          <w:sz w:val="20"/>
          <w:szCs w:val="20"/>
        </w:rPr>
      </w:pPr>
      <w:r w:rsidRPr="00A536EF">
        <w:rPr>
          <w:rFonts w:ascii="Arial" w:hAnsi="Arial" w:cs="Arial"/>
          <w:color w:val="000000" w:themeColor="text1"/>
          <w:sz w:val="20"/>
          <w:szCs w:val="20"/>
        </w:rPr>
        <w:t>The study is based on the following objectives:</w:t>
      </w:r>
    </w:p>
    <w:p w14:paraId="2542DF8B" w14:textId="77777777" w:rsidR="0079383F" w:rsidRPr="00A536EF" w:rsidRDefault="0079383F" w:rsidP="0079383F">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t xml:space="preserve">To analyse the long-term growth pattern of inbound tourism in India using econometric methods. </w:t>
      </w:r>
    </w:p>
    <w:p w14:paraId="11868B20" w14:textId="77777777" w:rsidR="0079383F" w:rsidRPr="00A536EF" w:rsidRDefault="0079383F" w:rsidP="0079383F">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lastRenderedPageBreak/>
        <w:t xml:space="preserve">To examine the impact of the COVID-19 pandemic on tourism demand and identify whether there is any permanent decline. </w:t>
      </w:r>
    </w:p>
    <w:p w14:paraId="719403DE" w14:textId="77777777" w:rsidR="0079383F" w:rsidRPr="00A536EF" w:rsidRDefault="0079383F" w:rsidP="0079383F">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t xml:space="preserve">To study the relationship between foreign tourist arrivals and foreign exchange earnings using elasticity analysis. </w:t>
      </w:r>
    </w:p>
    <w:p w14:paraId="56655328" w14:textId="77777777" w:rsidR="0079383F" w:rsidRPr="00A536EF" w:rsidRDefault="0079383F" w:rsidP="0079383F">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t xml:space="preserve">To identify the main factors affecting regional tourism recovery, with special focus on diaspora share, medical tourism, and geographical distance. </w:t>
      </w:r>
    </w:p>
    <w:p w14:paraId="0E275CDA" w14:textId="4EE48B19" w:rsidR="0040766C" w:rsidRPr="00C11D5D" w:rsidRDefault="0079383F" w:rsidP="00C11D5D">
      <w:pPr>
        <w:numPr>
          <w:ilvl w:val="0"/>
          <w:numId w:val="2"/>
        </w:numPr>
        <w:rPr>
          <w:rFonts w:ascii="Arial" w:hAnsi="Arial" w:cs="Arial"/>
          <w:color w:val="000000" w:themeColor="text1"/>
          <w:sz w:val="20"/>
          <w:szCs w:val="20"/>
        </w:rPr>
      </w:pPr>
      <w:r w:rsidRPr="00A536EF">
        <w:rPr>
          <w:rFonts w:ascii="Arial" w:hAnsi="Arial" w:cs="Arial"/>
          <w:color w:val="000000" w:themeColor="text1"/>
          <w:sz w:val="20"/>
          <w:szCs w:val="20"/>
        </w:rPr>
        <w:t xml:space="preserve">To analyse seasonal patterns and forecast future trends in inbound tourism using time-series models. </w:t>
      </w:r>
    </w:p>
    <w:p w14:paraId="51FA8197" w14:textId="004264F3" w:rsidR="00915624" w:rsidRPr="00A536EF" w:rsidRDefault="00106AA4" w:rsidP="00915624">
      <w:pPr>
        <w:jc w:val="both"/>
        <w:rPr>
          <w:rFonts w:ascii="Arial" w:hAnsi="Arial" w:cs="Arial"/>
          <w:b/>
          <w:bCs/>
          <w:color w:val="000000" w:themeColor="text1"/>
        </w:rPr>
      </w:pPr>
      <w:r w:rsidRPr="00A536EF">
        <w:rPr>
          <w:rFonts w:ascii="Arial" w:hAnsi="Arial" w:cs="Arial"/>
          <w:b/>
          <w:bCs/>
          <w:color w:val="000000" w:themeColor="text1"/>
        </w:rPr>
        <w:t>3</w:t>
      </w:r>
      <w:r w:rsidR="00915624" w:rsidRPr="00A536EF">
        <w:rPr>
          <w:rFonts w:ascii="Arial" w:hAnsi="Arial" w:cs="Arial"/>
          <w:b/>
          <w:bCs/>
          <w:color w:val="000000" w:themeColor="text1"/>
        </w:rPr>
        <w:t>. METHODOLOGY</w:t>
      </w:r>
    </w:p>
    <w:p w14:paraId="124A693B" w14:textId="77777777" w:rsidR="00915624" w:rsidRPr="00A536EF" w:rsidRDefault="00106AA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3</w:t>
      </w:r>
      <w:r w:rsidR="00915624" w:rsidRPr="00A536EF">
        <w:rPr>
          <w:rFonts w:ascii="Arial" w:hAnsi="Arial" w:cs="Arial"/>
          <w:b/>
          <w:bCs/>
          <w:color w:val="000000" w:themeColor="text1"/>
          <w:sz w:val="20"/>
          <w:szCs w:val="20"/>
        </w:rPr>
        <w:t>.1 RESEARCH DESIGN</w:t>
      </w:r>
    </w:p>
    <w:p w14:paraId="4BB3BB13" w14:textId="77777777" w:rsidR="00836EE4" w:rsidRPr="00A536EF" w:rsidRDefault="00836EE4"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A quantitative longitudinal research design has been employed to check the performance and recovery dynamics of Indias Inbound tourism from 2001 to 2023. This approach facilitates analysis of long-term development patterns, identification of structural breakdown resulting from the COVID-19 pandemic and evaluation of recovery trajectory after crisis. The study uses analytical methods and purely descriptive analysis to apply semantic techniques to establish relationships between the dominant variable.</w:t>
      </w:r>
    </w:p>
    <w:p w14:paraId="491C9C0C" w14:textId="77777777" w:rsidR="00836EE4" w:rsidRPr="00A536EF" w:rsidRDefault="00836EE4" w:rsidP="00836EE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3.2 DATA SOURCES</w:t>
      </w:r>
    </w:p>
    <w:p w14:paraId="699B5186" w14:textId="77777777" w:rsidR="00836EE4" w:rsidRPr="00A536EF" w:rsidRDefault="00836EE4"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study uses secondary data collected from reliable and official sources, including Bureau of Immigration, Government of India, UNWTO World Tourism Barometer and Archaeological Survey of India. The dataset includes annual data from 2001 to 2023 as well as monthly data from 2021 to 2023 which helps to analyses both long-term trends and short-term changes in Indias inland tourism.</w:t>
      </w:r>
    </w:p>
    <w:p w14:paraId="1111A06D" w14:textId="0D0B249A" w:rsidR="003C5ADC" w:rsidRPr="00A536EF" w:rsidRDefault="003C5ADC" w:rsidP="003C5ADC">
      <w:pPr>
        <w:jc w:val="both"/>
        <w:rPr>
          <w:rFonts w:ascii="Times New Roman" w:hAnsi="Times New Roman" w:cs="Times New Roman"/>
          <w:color w:val="000000" w:themeColor="text1"/>
        </w:rPr>
      </w:pPr>
      <w:r w:rsidRPr="00A536EF">
        <w:rPr>
          <w:rFonts w:ascii="Arial" w:hAnsi="Arial" w:cs="Arial"/>
          <w:b/>
          <w:bCs/>
          <w:color w:val="000000" w:themeColor="text1"/>
          <w:sz w:val="20"/>
          <w:szCs w:val="20"/>
        </w:rPr>
        <w:t>3.</w:t>
      </w:r>
      <w:r w:rsidRPr="00A536EF">
        <w:rPr>
          <w:rFonts w:ascii="Arial" w:hAnsi="Arial" w:cs="Arial"/>
          <w:b/>
          <w:bCs/>
          <w:color w:val="000000" w:themeColor="text1"/>
          <w:sz w:val="20"/>
          <w:szCs w:val="20"/>
        </w:rPr>
        <w:t xml:space="preserve">3 </w:t>
      </w:r>
      <w:r w:rsidRPr="00A536EF">
        <w:rPr>
          <w:rFonts w:ascii="Times New Roman" w:hAnsi="Times New Roman" w:cs="Times New Roman"/>
          <w:b/>
          <w:bCs/>
          <w:color w:val="000000" w:themeColor="text1"/>
        </w:rPr>
        <w:t>ETHICAL CONFERENCES</w:t>
      </w:r>
    </w:p>
    <w:p w14:paraId="7AD4E010" w14:textId="6C4441DF" w:rsidR="003C5ADC" w:rsidRPr="00A536EF" w:rsidRDefault="003C5ADC"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This study only uses secondary data, which have been obtained from reliable and publicly available sources. There has been no direct involvement of any human or animal subject in this research, so there was no need for moral permission. All the data has been used with honesty and transparency and appropriate reference has been given to the relevant sources. During the study, attempts have been made to avoid any partisan interpretation.</w:t>
      </w:r>
    </w:p>
    <w:p w14:paraId="0693615E" w14:textId="1AAEA7C3" w:rsidR="00915624" w:rsidRPr="00A536EF" w:rsidRDefault="00106AA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3</w:t>
      </w:r>
      <w:r w:rsidR="00F5566A" w:rsidRPr="00A536EF">
        <w:rPr>
          <w:rFonts w:ascii="Arial" w:hAnsi="Arial" w:cs="Arial"/>
          <w:b/>
          <w:bCs/>
          <w:color w:val="000000" w:themeColor="text1"/>
          <w:sz w:val="20"/>
          <w:szCs w:val="20"/>
        </w:rPr>
        <w:t>.</w:t>
      </w:r>
      <w:r w:rsidR="003C5ADC" w:rsidRPr="00A536EF">
        <w:rPr>
          <w:rFonts w:ascii="Arial" w:hAnsi="Arial" w:cs="Arial"/>
          <w:b/>
          <w:bCs/>
          <w:color w:val="000000" w:themeColor="text1"/>
          <w:sz w:val="20"/>
          <w:szCs w:val="20"/>
        </w:rPr>
        <w:t>4</w:t>
      </w:r>
      <w:r w:rsidR="00F5566A" w:rsidRPr="00A536EF">
        <w:rPr>
          <w:rFonts w:ascii="Arial" w:hAnsi="Arial" w:cs="Arial"/>
          <w:b/>
          <w:bCs/>
          <w:color w:val="000000" w:themeColor="text1"/>
          <w:sz w:val="20"/>
          <w:szCs w:val="20"/>
        </w:rPr>
        <w:t xml:space="preserve"> ANALYTICAL</w:t>
      </w:r>
      <w:r w:rsidR="00915624" w:rsidRPr="00A536EF">
        <w:rPr>
          <w:rFonts w:ascii="Arial" w:hAnsi="Arial" w:cs="Arial"/>
          <w:b/>
          <w:bCs/>
          <w:color w:val="000000" w:themeColor="text1"/>
          <w:sz w:val="20"/>
          <w:szCs w:val="20"/>
        </w:rPr>
        <w:t xml:space="preserve"> TECHNIQUES</w:t>
      </w:r>
    </w:p>
    <w:p w14:paraId="5F0B04E6" w14:textId="77777777" w:rsidR="009C67B4" w:rsidRPr="00A536EF" w:rsidRDefault="009C67B4"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Various econometric models are used to achieve study objectives and test hypotheses. log-linear growth model is used to study long-term development trends and changes over time. Intervention analysis is used to measure both immediate and long-term effects of Covid-19 shock. Log-log elastic model is used to understand how foreign exchange earnings change with the arrival of tourists. A panel regression model helps identify key factors affecting regional tourism recovery. In addition, the SARIMA model is used to study seasonal patterns and predict future tourism demand.</w:t>
      </w:r>
    </w:p>
    <w:p w14:paraId="44C7DCC5" w14:textId="3F02E2C3" w:rsidR="00915624" w:rsidRPr="00A536EF" w:rsidRDefault="00106AA4" w:rsidP="00915624">
      <w:pPr>
        <w:jc w:val="both"/>
        <w:rPr>
          <w:rFonts w:ascii="Arial" w:hAnsi="Arial" w:cs="Arial"/>
          <w:b/>
          <w:bCs/>
          <w:color w:val="000000" w:themeColor="text1"/>
        </w:rPr>
      </w:pPr>
      <w:r w:rsidRPr="00A536EF">
        <w:rPr>
          <w:rFonts w:ascii="Arial" w:hAnsi="Arial" w:cs="Arial"/>
          <w:b/>
          <w:bCs/>
          <w:color w:val="000000" w:themeColor="text1"/>
        </w:rPr>
        <w:t>3</w:t>
      </w:r>
      <w:r w:rsidR="00F5566A" w:rsidRPr="00A536EF">
        <w:rPr>
          <w:rFonts w:ascii="Arial" w:hAnsi="Arial" w:cs="Arial"/>
          <w:b/>
          <w:bCs/>
          <w:color w:val="000000" w:themeColor="text1"/>
        </w:rPr>
        <w:t>.4</w:t>
      </w:r>
      <w:r w:rsidR="00DF2DD7" w:rsidRPr="00A536EF">
        <w:rPr>
          <w:rFonts w:ascii="Arial" w:hAnsi="Arial" w:cs="Arial"/>
          <w:b/>
          <w:bCs/>
          <w:color w:val="000000" w:themeColor="text1"/>
        </w:rPr>
        <w:t xml:space="preserve"> </w:t>
      </w:r>
      <w:r w:rsidR="00F5566A" w:rsidRPr="00A536EF">
        <w:rPr>
          <w:rFonts w:ascii="Arial" w:hAnsi="Arial" w:cs="Arial"/>
          <w:b/>
          <w:bCs/>
          <w:color w:val="000000" w:themeColor="text1"/>
        </w:rPr>
        <w:t>ECONOMETRIC MODELS</w:t>
      </w:r>
    </w:p>
    <w:p w14:paraId="426D5D04" w14:textId="77777777"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1: Log-Linear Growth Model (</w:t>
      </w:r>
      <w:proofErr w:type="spellStart"/>
      <w:r w:rsidRPr="00A536EF">
        <w:rPr>
          <w:rFonts w:ascii="Arial" w:hAnsi="Arial" w:cs="Arial"/>
          <w:b/>
          <w:bCs/>
          <w:color w:val="000000" w:themeColor="text1"/>
          <w:sz w:val="20"/>
          <w:szCs w:val="20"/>
        </w:rPr>
        <w:t>Baltagi</w:t>
      </w:r>
      <w:proofErr w:type="spellEnd"/>
      <w:r w:rsidRPr="00A536EF">
        <w:rPr>
          <w:rFonts w:ascii="Arial" w:hAnsi="Arial" w:cs="Arial"/>
          <w:b/>
          <w:bCs/>
          <w:color w:val="000000" w:themeColor="text1"/>
          <w:sz w:val="20"/>
          <w:szCs w:val="20"/>
        </w:rPr>
        <w:t>, 2008)</w:t>
      </w:r>
    </w:p>
    <w:p w14:paraId="7896280F" w14:textId="3D985DC2" w:rsidR="00915624"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Log-Linear Growth Model is used to understand the long-term trend of foreign tourist arrivals in India and to know what has changed in this trend since COVID-19. The model shows both the pre-pandemic growth rate and the post-pandemic changes through time-position and interaction terms.</w:t>
      </w:r>
    </w:p>
    <w:p w14:paraId="338BBDD6" w14:textId="77777777" w:rsidR="00915624" w:rsidRPr="00A536EF" w:rsidRDefault="00915624" w:rsidP="00915624">
      <w:pPr>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⁡(IT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0</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2</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β</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ε</m:t>
              </m:r>
            </m:e>
            <m:sub>
              <m:r>
                <w:rPr>
                  <w:rFonts w:ascii="Cambria Math" w:hAnsi="Cambria Math" w:cs="Arial"/>
                  <w:color w:val="000000" w:themeColor="text1"/>
                  <w:sz w:val="20"/>
                  <w:szCs w:val="20"/>
                </w:rPr>
                <m:t>t</m:t>
              </m:r>
            </m:sub>
          </m:sSub>
        </m:oMath>
      </m:oMathPara>
    </w:p>
    <w:p w14:paraId="12FE9449"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4B8B6A51"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⁡(IT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oMath>
      <w:r w:rsidRPr="00A536EF">
        <w:rPr>
          <w:rFonts w:ascii="Arial" w:hAnsi="Arial" w:cs="Arial"/>
          <w:color w:val="000000" w:themeColor="text1"/>
          <w:sz w:val="20"/>
          <w:szCs w:val="20"/>
        </w:rPr>
        <w:t> = Natural log of India’s ITAs in year t</w:t>
      </w:r>
    </w:p>
    <w:p w14:paraId="3E7A8F4D"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t</m:t>
        </m:r>
      </m:oMath>
      <w:r w:rsidRPr="00A536EF">
        <w:rPr>
          <w:rFonts w:ascii="Arial" w:hAnsi="Arial" w:cs="Arial"/>
          <w:color w:val="000000" w:themeColor="text1"/>
          <w:sz w:val="20"/>
          <w:szCs w:val="20"/>
        </w:rPr>
        <w:t> = Time trend (1 = 2001, 2 = 2002, …, 23 = 2023)</w:t>
      </w:r>
    </w:p>
    <w:p w14:paraId="7ED849B2" w14:textId="77777777" w:rsidR="00915624" w:rsidRPr="00A536EF" w:rsidRDefault="00000000"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oMath>
      <w:r w:rsidR="00915624" w:rsidRPr="00A536EF">
        <w:rPr>
          <w:rFonts w:ascii="Arial" w:hAnsi="Arial" w:cs="Arial"/>
          <w:color w:val="000000" w:themeColor="text1"/>
          <w:sz w:val="20"/>
          <w:szCs w:val="20"/>
        </w:rPr>
        <w:t> = Dummy variable (0 for 2001–2019, 1 for 2020–2023)</w:t>
      </w:r>
    </w:p>
    <w:p w14:paraId="4A9031DE"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oMath>
      <w:r w:rsidRPr="00A536EF">
        <w:rPr>
          <w:rFonts w:ascii="Arial" w:hAnsi="Arial" w:cs="Arial"/>
          <w:color w:val="000000" w:themeColor="text1"/>
          <w:sz w:val="20"/>
          <w:szCs w:val="20"/>
        </w:rPr>
        <w:t> = Interaction term (allows post-COVID slope change)</w:t>
      </w:r>
    </w:p>
    <w:p w14:paraId="18D5E366" w14:textId="77777777" w:rsidR="00915624" w:rsidRPr="00A536EF" w:rsidRDefault="00915624" w:rsidP="00915624">
      <w:pPr>
        <w:jc w:val="both"/>
        <w:rPr>
          <w:rFonts w:ascii="Arial" w:hAnsi="Arial" w:cs="Arial"/>
          <w:color w:val="000000" w:themeColor="text1"/>
          <w:sz w:val="20"/>
          <w:szCs w:val="20"/>
        </w:rPr>
      </w:pPr>
    </w:p>
    <w:p w14:paraId="60817A0C" w14:textId="77777777"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2: Intervention Analysis (Box, 1975)</w:t>
      </w:r>
    </w:p>
    <w:p w14:paraId="0E2B71E0" w14:textId="77777777" w:rsidR="00B90C0E"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Intervention Analysis Model is used to measure the impact of the COVID-19 shock on tourist arrivals, with immediate and long-term effects considered different. The model is instrumental in identifying the sudden decline during the pandemic and the subsequent permanent change in the level of tourism demand.</w:t>
      </w:r>
    </w:p>
    <w:p w14:paraId="0229A726" w14:textId="1129DDB7" w:rsidR="00915624" w:rsidRPr="00A536EF" w:rsidRDefault="00915624" w:rsidP="00915624">
      <w:pPr>
        <w:jc w:val="both"/>
        <w:rPr>
          <w:rFonts w:ascii="Arial" w:hAnsi="Arial" w:cs="Arial"/>
          <w:color w:val="000000" w:themeColor="text1"/>
          <w:sz w:val="20"/>
          <w:szCs w:val="20"/>
        </w:rPr>
      </w:pPr>
      <m:oMathPara>
        <m:oMath>
          <m:r>
            <w:rPr>
              <w:rFonts w:ascii="Cambria Math" w:hAnsi="Cambria Math" w:cs="Arial"/>
              <w:color w:val="000000" w:themeColor="text1"/>
              <w:sz w:val="20"/>
              <w:szCs w:val="20"/>
            </w:rPr>
            <m:t>IT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0</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2</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3</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S</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ε</m:t>
              </m:r>
            </m:e>
            <m:sub>
              <m:r>
                <w:rPr>
                  <w:rFonts w:ascii="Cambria Math" w:hAnsi="Cambria Math" w:cs="Arial"/>
                  <w:color w:val="000000" w:themeColor="text1"/>
                  <w:sz w:val="20"/>
                  <w:szCs w:val="20"/>
                </w:rPr>
                <m:t>t</m:t>
              </m:r>
            </m:sub>
          </m:sSub>
          <m:r>
            <m:rPr>
              <m:sty m:val="p"/>
            </m:rPr>
            <w:rPr>
              <w:rFonts w:ascii="Cambria Math" w:hAnsi="Cambria Math" w:cs="Arial"/>
              <w:color w:val="000000" w:themeColor="text1"/>
              <w:sz w:val="20"/>
              <w:szCs w:val="20"/>
            </w:rPr>
            <w:br/>
          </m:r>
        </m:oMath>
      </m:oMathPara>
    </w:p>
    <w:p w14:paraId="12FDFEE6"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352889D6" w14:textId="77777777" w:rsidR="00915624" w:rsidRPr="00A536EF" w:rsidRDefault="00000000"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t</m:t>
            </m:r>
          </m:sub>
        </m:sSub>
      </m:oMath>
      <w:r w:rsidR="00915624" w:rsidRPr="00A536EF">
        <w:rPr>
          <w:rFonts w:ascii="Arial" w:hAnsi="Arial" w:cs="Arial"/>
          <w:color w:val="000000" w:themeColor="text1"/>
          <w:sz w:val="20"/>
          <w:szCs w:val="20"/>
        </w:rPr>
        <w:t> = Pulse intervention (1 for 2020, 0 otherwise) – captures immediate COVID shock</w:t>
      </w:r>
    </w:p>
    <w:p w14:paraId="6F3C9DC6" w14:textId="77777777" w:rsidR="00915624" w:rsidRPr="00A536EF" w:rsidRDefault="00000000"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S</m:t>
            </m:r>
          </m:e>
          <m:sub>
            <m:r>
              <w:rPr>
                <w:rFonts w:ascii="Cambria Math" w:hAnsi="Cambria Math" w:cs="Arial"/>
                <w:color w:val="000000" w:themeColor="text1"/>
                <w:sz w:val="20"/>
                <w:szCs w:val="20"/>
              </w:rPr>
              <m:t>t</m:t>
            </m:r>
          </m:sub>
        </m:sSub>
      </m:oMath>
      <w:r w:rsidR="00915624" w:rsidRPr="00A536EF">
        <w:rPr>
          <w:rFonts w:ascii="Arial" w:hAnsi="Arial" w:cs="Arial"/>
          <w:color w:val="000000" w:themeColor="text1"/>
          <w:sz w:val="20"/>
          <w:szCs w:val="20"/>
        </w:rPr>
        <w:t> = Step intervention (0 for 2001–2019, 1 for 2020–2023) – captures permanent level shift</w:t>
      </w:r>
    </w:p>
    <w:p w14:paraId="037D9644" w14:textId="77777777" w:rsidR="00915624" w:rsidRPr="00A536EF" w:rsidRDefault="00915624" w:rsidP="00915624">
      <w:pPr>
        <w:jc w:val="both"/>
        <w:rPr>
          <w:rFonts w:ascii="Arial" w:hAnsi="Arial" w:cs="Arial"/>
          <w:color w:val="000000" w:themeColor="text1"/>
          <w:sz w:val="20"/>
          <w:szCs w:val="20"/>
        </w:rPr>
      </w:pPr>
    </w:p>
    <w:p w14:paraId="03FA6062" w14:textId="77777777"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3: Log-Log Elasticity Model (Song, 2008)</w:t>
      </w:r>
    </w:p>
    <w:p w14:paraId="2FB08B31" w14:textId="77777777" w:rsidR="00B90C0E"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Log-log elastic model is used to understand the relationship between tourist arrivals and foreign exchange earnings in India. This shows how much the changes in the number of tourists affect the income and whether the relationship has changed after COVID-19.</w:t>
      </w:r>
    </w:p>
    <w:p w14:paraId="1F9FAB9E" w14:textId="6ACC0389" w:rsidR="00915624" w:rsidRPr="00A536EF" w:rsidRDefault="00915624" w:rsidP="00915624">
      <w:pPr>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⁡(FE</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E</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0</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2</m:t>
              </m:r>
            </m:sub>
          </m:sSub>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3</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D</m:t>
              </m:r>
            </m:e>
            <m:sub>
              <m:r>
                <w:rPr>
                  <w:rFonts w:ascii="Cambria Math" w:hAnsi="Cambria Math" w:cs="Arial"/>
                  <w:color w:val="000000" w:themeColor="text1"/>
                  <w:sz w:val="20"/>
                  <w:szCs w:val="20"/>
                </w:rPr>
                <m:t>covid</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ε</m:t>
              </m:r>
            </m:e>
            <m:sub>
              <m:r>
                <w:rPr>
                  <w:rFonts w:ascii="Cambria Math" w:hAnsi="Cambria Math" w:cs="Arial"/>
                  <w:color w:val="000000" w:themeColor="text1"/>
                  <w:sz w:val="20"/>
                  <w:szCs w:val="20"/>
                </w:rPr>
                <m:t>t</m:t>
              </m:r>
            </m:sub>
          </m:sSub>
        </m:oMath>
      </m:oMathPara>
    </w:p>
    <w:p w14:paraId="4B8791A2"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2AEAC766"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⁡(FE</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E</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oMath>
      <w:r w:rsidRPr="00A536EF">
        <w:rPr>
          <w:rFonts w:ascii="Arial" w:hAnsi="Arial" w:cs="Arial"/>
          <w:color w:val="000000" w:themeColor="text1"/>
          <w:sz w:val="20"/>
          <w:szCs w:val="20"/>
        </w:rPr>
        <w:t> = Natural log of Foreign Exchange Earnings</w:t>
      </w:r>
    </w:p>
    <w:p w14:paraId="0BF05BD7"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⁡(FT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m:t>
        </m:r>
      </m:oMath>
      <w:r w:rsidRPr="00A536EF">
        <w:rPr>
          <w:rFonts w:ascii="Arial" w:hAnsi="Arial" w:cs="Arial"/>
          <w:color w:val="000000" w:themeColor="text1"/>
          <w:sz w:val="20"/>
          <w:szCs w:val="20"/>
        </w:rPr>
        <w:t> = Natural log of Foreign Tourist Arrivals</w:t>
      </w:r>
    </w:p>
    <w:p w14:paraId="1EFFFB08" w14:textId="77777777" w:rsidR="00915624" w:rsidRPr="00A536EF" w:rsidRDefault="00000000"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1</m:t>
            </m:r>
          </m:sub>
        </m:sSub>
      </m:oMath>
      <w:r w:rsidR="00915624" w:rsidRPr="00A536EF">
        <w:rPr>
          <w:rFonts w:ascii="Arial" w:hAnsi="Arial" w:cs="Arial"/>
          <w:color w:val="000000" w:themeColor="text1"/>
          <w:sz w:val="20"/>
          <w:szCs w:val="20"/>
        </w:rPr>
        <w:t> = Pre-COVID elasticity coefficient</w:t>
      </w:r>
    </w:p>
    <w:p w14:paraId="5D4E3706" w14:textId="77777777" w:rsidR="00915624" w:rsidRPr="00A536EF" w:rsidRDefault="00000000"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2</m:t>
            </m:r>
          </m:sub>
        </m:sSub>
      </m:oMath>
      <w:r w:rsidR="00915624" w:rsidRPr="00A536EF">
        <w:rPr>
          <w:rFonts w:ascii="Arial" w:hAnsi="Arial" w:cs="Arial"/>
          <w:color w:val="000000" w:themeColor="text1"/>
          <w:sz w:val="20"/>
          <w:szCs w:val="20"/>
        </w:rPr>
        <w:t> = Post-COVID elasticity coefficient</w:t>
      </w:r>
    </w:p>
    <w:p w14:paraId="1CA1C835" w14:textId="77777777" w:rsidR="00915624" w:rsidRPr="00A536EF" w:rsidRDefault="00915624" w:rsidP="00915624">
      <w:pPr>
        <w:jc w:val="both"/>
        <w:rPr>
          <w:rFonts w:ascii="Arial" w:hAnsi="Arial" w:cs="Arial"/>
          <w:color w:val="000000" w:themeColor="text1"/>
          <w:sz w:val="20"/>
          <w:szCs w:val="20"/>
        </w:rPr>
      </w:pPr>
    </w:p>
    <w:p w14:paraId="058A69BB" w14:textId="77777777"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4: Panel Regression for Regional Recovery (Arellano, 2003)</w:t>
      </w:r>
    </w:p>
    <w:p w14:paraId="0482D399" w14:textId="609C6C1D" w:rsidR="00B90C0E"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 xml:space="preserve">The panel regression model is used to </w:t>
      </w:r>
      <w:r w:rsidRPr="00A536EF">
        <w:rPr>
          <w:rFonts w:ascii="Arial" w:hAnsi="Arial" w:cs="Arial"/>
          <w:color w:val="000000" w:themeColor="text1"/>
          <w:sz w:val="20"/>
          <w:szCs w:val="20"/>
        </w:rPr>
        <w:t>analyse</w:t>
      </w:r>
      <w:r w:rsidRPr="00A536EF">
        <w:rPr>
          <w:rFonts w:ascii="Arial" w:hAnsi="Arial" w:cs="Arial"/>
          <w:color w:val="000000" w:themeColor="text1"/>
          <w:sz w:val="20"/>
          <w:szCs w:val="20"/>
        </w:rPr>
        <w:t xml:space="preserve"> the difference of tourism recovery with time in different areas. The model identifies key factors like migratory stake, medical tourism and distance that affect the pace and nature of recovery post COVID-19.</w:t>
      </w:r>
    </w:p>
    <w:p w14:paraId="6507EE62" w14:textId="521B8324" w:rsidR="00915624" w:rsidRPr="00A536EF" w:rsidRDefault="00915624" w:rsidP="00915624">
      <w:pPr>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ln</m:t>
          </m:r>
          <m:r>
            <w:rPr>
              <w:rFonts w:ascii="Cambria Math" w:hAnsi="Cambria Math" w:cs="Arial"/>
              <w:color w:val="000000" w:themeColor="text1"/>
              <w:sz w:val="20"/>
              <w:szCs w:val="20"/>
            </w:rPr>
            <m:t>⁡(Recover</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rt</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δ</m:t>
              </m:r>
            </m:e>
            <m:sub>
              <m:r>
                <w:rPr>
                  <w:rFonts w:ascii="Cambria Math" w:hAnsi="Cambria Math" w:cs="Arial"/>
                  <w:color w:val="000000" w:themeColor="text1"/>
                  <w:sz w:val="20"/>
                  <w:szCs w:val="20"/>
                </w:rPr>
                <m:t>0</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δ</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Diaspor</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δ</m:t>
              </m:r>
            </m:e>
            <m:sub>
              <m:r>
                <w:rPr>
                  <w:rFonts w:ascii="Cambria Math" w:hAnsi="Cambria Math" w:cs="Arial"/>
                  <w:color w:val="000000" w:themeColor="text1"/>
                  <w:sz w:val="20"/>
                  <w:szCs w:val="20"/>
                </w:rPr>
                <m:t>2</m:t>
              </m:r>
            </m:sub>
          </m:sSub>
          <m:r>
            <w:rPr>
              <w:rFonts w:ascii="Cambria Math" w:hAnsi="Cambria Math" w:cs="Arial"/>
              <w:color w:val="000000" w:themeColor="text1"/>
              <w:sz w:val="20"/>
              <w:szCs w:val="20"/>
            </w:rPr>
            <m:t>Distanc</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e</m:t>
              </m:r>
            </m:e>
            <m:sub>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δ</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Medica</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ε</m:t>
              </m:r>
            </m:e>
            <m:sub>
              <m:r>
                <w:rPr>
                  <w:rFonts w:ascii="Cambria Math" w:hAnsi="Cambria Math" w:cs="Arial"/>
                  <w:color w:val="000000" w:themeColor="text1"/>
                  <w:sz w:val="20"/>
                  <w:szCs w:val="20"/>
                </w:rPr>
                <m:t>rt</m:t>
              </m:r>
            </m:sub>
          </m:sSub>
          <m:r>
            <m:rPr>
              <m:sty m:val="p"/>
            </m:rPr>
            <w:rPr>
              <w:rFonts w:ascii="Cambria Math" w:hAnsi="Cambria Math" w:cs="Arial"/>
              <w:color w:val="000000" w:themeColor="text1"/>
              <w:sz w:val="20"/>
              <w:szCs w:val="20"/>
            </w:rPr>
            <w:br/>
          </m:r>
        </m:oMath>
      </m:oMathPara>
    </w:p>
    <w:p w14:paraId="7C5111B8"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Where:</w:t>
      </w:r>
    </w:p>
    <w:p w14:paraId="4D21C42B"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Recover</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rt</m:t>
            </m:r>
          </m:sub>
        </m:sSub>
      </m:oMath>
      <w:r w:rsidRPr="00A536EF">
        <w:rPr>
          <w:rFonts w:ascii="Arial" w:hAnsi="Arial" w:cs="Arial"/>
          <w:color w:val="000000" w:themeColor="text1"/>
          <w:sz w:val="20"/>
          <w:szCs w:val="20"/>
        </w:rPr>
        <w:t> = Recovery index for region r in year t (2020–2023)</w:t>
      </w:r>
    </w:p>
    <w:p w14:paraId="236F7712"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Diaspor</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a</m:t>
            </m:r>
          </m:e>
          <m:sub>
            <m:r>
              <w:rPr>
                <w:rFonts w:ascii="Cambria Math" w:hAnsi="Cambria Math" w:cs="Arial"/>
                <w:color w:val="000000" w:themeColor="text1"/>
                <w:sz w:val="20"/>
                <w:szCs w:val="20"/>
              </w:rPr>
              <m:t>r</m:t>
            </m:r>
          </m:sub>
        </m:sSub>
      </m:oMath>
      <w:r w:rsidRPr="00A536EF">
        <w:rPr>
          <w:rFonts w:ascii="Arial" w:hAnsi="Arial" w:cs="Arial"/>
          <w:color w:val="000000" w:themeColor="text1"/>
          <w:sz w:val="20"/>
          <w:szCs w:val="20"/>
        </w:rPr>
        <w:t> = Share of diaspora travel in region r (from Table 1)</w:t>
      </w:r>
    </w:p>
    <w:p w14:paraId="0637B207"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Distanc</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e</m:t>
            </m:r>
          </m:e>
          <m:sub>
            <m:r>
              <w:rPr>
                <w:rFonts w:ascii="Cambria Math" w:hAnsi="Cambria Math" w:cs="Arial"/>
                <w:color w:val="000000" w:themeColor="text1"/>
                <w:sz w:val="20"/>
                <w:szCs w:val="20"/>
              </w:rPr>
              <m:t>r</m:t>
            </m:r>
          </m:sub>
        </m:sSub>
      </m:oMath>
      <w:r w:rsidRPr="00A536EF">
        <w:rPr>
          <w:rFonts w:ascii="Arial" w:hAnsi="Arial" w:cs="Arial"/>
          <w:color w:val="000000" w:themeColor="text1"/>
          <w:sz w:val="20"/>
          <w:szCs w:val="20"/>
        </w:rPr>
        <w:t> = Geographic distance from India (proxied by region)</w:t>
      </w:r>
    </w:p>
    <w:p w14:paraId="21B56AC5"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Medica</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r</m:t>
            </m:r>
          </m:sub>
        </m:sSub>
      </m:oMath>
      <w:r w:rsidRPr="00A536EF">
        <w:rPr>
          <w:rFonts w:ascii="Arial" w:hAnsi="Arial" w:cs="Arial"/>
          <w:color w:val="000000" w:themeColor="text1"/>
          <w:sz w:val="20"/>
          <w:szCs w:val="20"/>
        </w:rPr>
        <w:t> = Share of medical tourism in region r</w:t>
      </w:r>
    </w:p>
    <w:p w14:paraId="47CDD232" w14:textId="77777777" w:rsidR="00915624" w:rsidRPr="00A536EF" w:rsidRDefault="00000000" w:rsidP="00915624">
      <w:pPr>
        <w:spacing w:after="0" w:line="276" w:lineRule="auto"/>
        <w:ind w:left="360"/>
        <w:jc w:val="both"/>
        <w:rPr>
          <w:rFonts w:ascii="Arial" w:hAnsi="Arial" w:cs="Arial"/>
          <w:color w:val="000000" w:themeColor="text1"/>
          <w:sz w:val="20"/>
          <w:szCs w:val="20"/>
        </w:rPr>
      </w:pPr>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r</m:t>
            </m:r>
          </m:sub>
        </m:sSub>
      </m:oMath>
      <w:r w:rsidR="00915624" w:rsidRPr="00A536EF">
        <w:rPr>
          <w:rFonts w:ascii="Arial" w:hAnsi="Arial" w:cs="Arial"/>
          <w:color w:val="000000" w:themeColor="text1"/>
          <w:sz w:val="20"/>
          <w:szCs w:val="20"/>
        </w:rPr>
        <w:t> = Region fixed effects</w:t>
      </w:r>
    </w:p>
    <w:p w14:paraId="3E059EB5" w14:textId="77777777" w:rsidR="00915624" w:rsidRPr="00A536EF" w:rsidRDefault="00915624" w:rsidP="00915624">
      <w:pPr>
        <w:jc w:val="both"/>
        <w:rPr>
          <w:rFonts w:ascii="Arial" w:hAnsi="Arial" w:cs="Arial"/>
          <w:color w:val="000000" w:themeColor="text1"/>
          <w:sz w:val="20"/>
          <w:szCs w:val="20"/>
        </w:rPr>
      </w:pPr>
    </w:p>
    <w:p w14:paraId="78A657B9" w14:textId="425F14E5" w:rsidR="00915624" w:rsidRPr="00A536EF" w:rsidRDefault="00915624" w:rsidP="00915624">
      <w:pPr>
        <w:jc w:val="both"/>
        <w:rPr>
          <w:rFonts w:ascii="Arial" w:hAnsi="Arial" w:cs="Arial"/>
          <w:b/>
          <w:bCs/>
          <w:color w:val="000000" w:themeColor="text1"/>
          <w:sz w:val="20"/>
          <w:szCs w:val="20"/>
        </w:rPr>
      </w:pPr>
      <w:r w:rsidRPr="00A536EF">
        <w:rPr>
          <w:rFonts w:ascii="Arial" w:hAnsi="Arial" w:cs="Arial"/>
          <w:b/>
          <w:bCs/>
          <w:color w:val="000000" w:themeColor="text1"/>
          <w:sz w:val="20"/>
          <w:szCs w:val="20"/>
        </w:rPr>
        <w:t>Model 5: ARIMA with Seasonality (Goh, 2002)</w:t>
      </w:r>
    </w:p>
    <w:p w14:paraId="16057F4B" w14:textId="77777777" w:rsidR="00B90C0E" w:rsidRPr="00A536EF" w:rsidRDefault="00B90C0E" w:rsidP="00B90C0E">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SARIMA model is used to understand seasonal patterns and short-term fluctuations in tourist arrivals over time. It also helps in predicting future tourism demand in view of trends and seasonal effects.</w:t>
      </w:r>
    </w:p>
    <w:p w14:paraId="3C19D426" w14:textId="62168BFE" w:rsidR="00915624" w:rsidRPr="00A536EF" w:rsidRDefault="00915624" w:rsidP="00915624">
      <w:pPr>
        <w:jc w:val="both"/>
        <w:rPr>
          <w:rFonts w:ascii="Arial" w:hAnsi="Arial" w:cs="Arial"/>
          <w:color w:val="000000" w:themeColor="text1"/>
          <w:sz w:val="20"/>
          <w:szCs w:val="20"/>
        </w:rPr>
      </w:pPr>
      <m:oMathPara>
        <m:oMath>
          <m:r>
            <w:rPr>
              <w:rFonts w:ascii="Cambria Math" w:hAnsi="Cambria Math" w:cs="Arial"/>
              <w:color w:val="000000" w:themeColor="text1"/>
              <w:sz w:val="20"/>
              <w:szCs w:val="20"/>
            </w:rPr>
            <m:t>SARIMA(p,d,q)(P,D,Q</m:t>
          </m:r>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m:t>
              </m:r>
            </m:e>
            <m:sub>
              <m:r>
                <w:rPr>
                  <w:rFonts w:ascii="Cambria Math" w:hAnsi="Cambria Math" w:cs="Arial"/>
                  <w:color w:val="000000" w:themeColor="text1"/>
                  <w:sz w:val="20"/>
                  <w:szCs w:val="20"/>
                </w:rPr>
                <m:t>12</m:t>
              </m:r>
            </m:sub>
          </m:sSub>
          <m:r>
            <m:rPr>
              <m:sty m:val="p"/>
            </m:rPr>
            <w:rPr>
              <w:rFonts w:ascii="Cambria Math" w:hAnsi="Cambria Math" w:cs="Arial"/>
              <w:color w:val="000000" w:themeColor="text1"/>
              <w:sz w:val="20"/>
              <w:szCs w:val="20"/>
            </w:rPr>
            <w:br/>
          </m:r>
        </m:oMath>
      </m:oMathPara>
    </w:p>
    <w:p w14:paraId="45EC95F0" w14:textId="77777777" w:rsidR="00915624" w:rsidRPr="00A536EF" w:rsidRDefault="00915624" w:rsidP="00915624">
      <w:p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lastRenderedPageBreak/>
        <w:t>Where:</w:t>
      </w:r>
    </w:p>
    <w:p w14:paraId="2040F3C1"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p</m:t>
        </m:r>
      </m:oMath>
      <w:r w:rsidRPr="00A536EF">
        <w:rPr>
          <w:rFonts w:ascii="Arial" w:hAnsi="Arial" w:cs="Arial"/>
          <w:color w:val="000000" w:themeColor="text1"/>
          <w:sz w:val="20"/>
          <w:szCs w:val="20"/>
        </w:rPr>
        <w:t> = Autoregressive order (how past values predict current)</w:t>
      </w:r>
    </w:p>
    <w:p w14:paraId="76D3E53D"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d</m:t>
        </m:r>
      </m:oMath>
      <w:r w:rsidRPr="00A536EF">
        <w:rPr>
          <w:rFonts w:ascii="Arial" w:hAnsi="Arial" w:cs="Arial"/>
          <w:color w:val="000000" w:themeColor="text1"/>
          <w:sz w:val="20"/>
          <w:szCs w:val="20"/>
        </w:rPr>
        <w:t> = Differencing order (to make series stationary)</w:t>
      </w:r>
    </w:p>
    <w:p w14:paraId="3A0E42DB"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q</m:t>
        </m:r>
      </m:oMath>
      <w:r w:rsidRPr="00A536EF">
        <w:rPr>
          <w:rFonts w:ascii="Arial" w:hAnsi="Arial" w:cs="Arial"/>
          <w:color w:val="000000" w:themeColor="text1"/>
          <w:sz w:val="20"/>
          <w:szCs w:val="20"/>
        </w:rPr>
        <w:t> = Moving average order</w:t>
      </w:r>
    </w:p>
    <w:p w14:paraId="5027A266" w14:textId="77777777" w:rsidR="00915624" w:rsidRPr="00A536EF" w:rsidRDefault="00915624" w:rsidP="00915624">
      <w:pPr>
        <w:spacing w:after="0" w:line="276" w:lineRule="auto"/>
        <w:ind w:left="360"/>
        <w:jc w:val="both"/>
        <w:rPr>
          <w:rFonts w:ascii="Arial" w:hAnsi="Arial" w:cs="Arial"/>
          <w:color w:val="000000" w:themeColor="text1"/>
          <w:sz w:val="20"/>
          <w:szCs w:val="20"/>
        </w:rPr>
      </w:pPr>
      <m:oMath>
        <m:r>
          <w:rPr>
            <w:rFonts w:ascii="Cambria Math" w:hAnsi="Cambria Math" w:cs="Arial"/>
            <w:color w:val="000000" w:themeColor="text1"/>
            <w:sz w:val="20"/>
            <w:szCs w:val="20"/>
          </w:rPr>
          <m:t>P,D,Q</m:t>
        </m:r>
      </m:oMath>
      <w:r w:rsidRPr="00A536EF">
        <w:rPr>
          <w:rFonts w:ascii="Arial" w:hAnsi="Arial" w:cs="Arial"/>
          <w:color w:val="000000" w:themeColor="text1"/>
          <w:sz w:val="20"/>
          <w:szCs w:val="20"/>
        </w:rPr>
        <w:t> = Seasonal components (12-month cycle)</w:t>
      </w:r>
    </w:p>
    <w:p w14:paraId="1B8E10E7" w14:textId="77777777" w:rsidR="00915624" w:rsidRPr="00A536EF" w:rsidRDefault="00915624" w:rsidP="00106AA4">
      <w:pPr>
        <w:pStyle w:val="ListParagraph"/>
        <w:numPr>
          <w:ilvl w:val="0"/>
          <w:numId w:val="3"/>
        </w:numPr>
        <w:spacing w:after="0"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 xml:space="preserve"> Monthly seasonality</w:t>
      </w:r>
    </w:p>
    <w:p w14:paraId="342B2C56" w14:textId="77777777" w:rsidR="00915624" w:rsidRPr="00A536EF" w:rsidRDefault="00915624" w:rsidP="008C5A77">
      <w:pPr>
        <w:rPr>
          <w:rFonts w:ascii="Arial" w:hAnsi="Arial" w:cs="Arial"/>
          <w:b/>
          <w:bCs/>
          <w:color w:val="000000" w:themeColor="text1"/>
        </w:rPr>
      </w:pPr>
    </w:p>
    <w:p w14:paraId="77509E7B" w14:textId="7DDAAE51" w:rsidR="008C5A77" w:rsidRPr="00A536EF" w:rsidRDefault="00106AA4" w:rsidP="00106AA4">
      <w:pPr>
        <w:rPr>
          <w:rFonts w:ascii="Arial" w:hAnsi="Arial" w:cs="Arial"/>
          <w:b/>
          <w:bCs/>
          <w:color w:val="000000" w:themeColor="text1"/>
        </w:rPr>
      </w:pPr>
      <w:r w:rsidRPr="00A536EF">
        <w:rPr>
          <w:rFonts w:ascii="Arial" w:hAnsi="Arial" w:cs="Arial"/>
          <w:b/>
          <w:bCs/>
          <w:color w:val="000000" w:themeColor="text1"/>
        </w:rPr>
        <w:t>4.</w:t>
      </w:r>
      <w:r w:rsidR="00DF2DD7" w:rsidRPr="00A536EF">
        <w:rPr>
          <w:rFonts w:ascii="Arial" w:hAnsi="Arial" w:cs="Arial"/>
          <w:b/>
          <w:bCs/>
          <w:color w:val="000000" w:themeColor="text1"/>
        </w:rPr>
        <w:t xml:space="preserve"> RESULT AND DISCUSSION </w:t>
      </w:r>
    </w:p>
    <w:p w14:paraId="6ADCBA36" w14:textId="774CA8C5" w:rsidR="009C67B4" w:rsidRPr="00A536EF" w:rsidRDefault="009C67B4" w:rsidP="00B0193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the log-linear growth model are presented in table 1. The model examines the increase in the arrival of international tourists in India from 2001 to 2023, using the logarithm of tourist arrivals as a dependent variable, including the word covid-19 dummy and an interaction. The model shows around 94.6 percent variation in tourist arrivals. Prior to the pandemic, tourist arrivals were increasing at an annual rate of about 9.23% (</w:t>
      </w:r>
      <w:r w:rsidRPr="00A536EF">
        <w:rPr>
          <w:rFonts w:ascii="Arial" w:hAnsi="Arial" w:cs="Arial"/>
          <w:i/>
          <w:iCs/>
          <w:color w:val="000000" w:themeColor="text1"/>
          <w:sz w:val="20"/>
          <w:szCs w:val="20"/>
        </w:rPr>
        <w:t>P</w:t>
      </w:r>
      <w:r w:rsidR="00E723A3"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&lt; .001). The COVID-19 dummy is also statistically significant (P &lt; .001), which confirms significant decline in tourist arrivals in 2020 due to pandemic.</w:t>
      </w:r>
    </w:p>
    <w:p w14:paraId="5BB38964" w14:textId="1F4B27BB" w:rsidR="00DF2DD7" w:rsidRPr="00A536EF" w:rsidRDefault="009C67B4" w:rsidP="002D03D8">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interaction term interaction is not statistically significant (</w:t>
      </w:r>
      <w:r w:rsidRPr="00A536EF">
        <w:rPr>
          <w:rFonts w:ascii="Arial" w:hAnsi="Arial" w:cs="Arial"/>
          <w:i/>
          <w:iCs/>
          <w:color w:val="000000" w:themeColor="text1"/>
          <w:sz w:val="20"/>
          <w:szCs w:val="20"/>
        </w:rPr>
        <w:t>P</w:t>
      </w:r>
      <w:r w:rsidR="00DF2DD7"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w:t>
      </w:r>
      <w:r w:rsidR="00DF2DD7"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.12), which indicates that the change in growth after COVID-19 is not entirely different from the earlier trend. Although the estimated growth rate after the pandemic is around 6.11%, the long-term development pattern continues to be substantially. Diagnostic tests do not show any serious problems of autocorrelation. Overall, the findings suggest that although there was a temporary decline in tourist arrivals due to the pandemic, it did not permanently alter the long-term growth trend of India’s tourism sector.</w:t>
      </w:r>
    </w:p>
    <w:p w14:paraId="1A892166" w14:textId="77777777" w:rsidR="00AD0C5E" w:rsidRPr="00A536EF" w:rsidRDefault="008C5A77" w:rsidP="008C5A77">
      <w:pPr>
        <w:jc w:val="both"/>
        <w:rPr>
          <w:rFonts w:ascii="Arial" w:hAnsi="Arial" w:cs="Arial"/>
          <w:b/>
          <w:bCs/>
          <w:color w:val="000000" w:themeColor="text1"/>
        </w:rPr>
      </w:pPr>
      <w:r w:rsidRPr="00A536EF">
        <w:rPr>
          <w:rFonts w:ascii="Arial" w:hAnsi="Arial" w:cs="Arial"/>
          <w:b/>
          <w:bCs/>
          <w:color w:val="000000" w:themeColor="text1"/>
        </w:rPr>
        <w:t>T</w:t>
      </w:r>
      <w:r w:rsidR="007C171C" w:rsidRPr="00A536EF">
        <w:rPr>
          <w:rFonts w:ascii="Arial" w:hAnsi="Arial" w:cs="Arial"/>
          <w:b/>
          <w:bCs/>
          <w:color w:val="000000" w:themeColor="text1"/>
        </w:rPr>
        <w:t>able</w:t>
      </w:r>
      <w:r w:rsidRPr="00A536EF">
        <w:rPr>
          <w:rFonts w:ascii="Arial" w:hAnsi="Arial" w:cs="Arial"/>
          <w:b/>
          <w:bCs/>
          <w:color w:val="000000" w:themeColor="text1"/>
        </w:rPr>
        <w:t xml:space="preserve"> 1</w:t>
      </w:r>
      <w:r w:rsidR="007C171C" w:rsidRPr="00A536EF">
        <w:rPr>
          <w:rFonts w:ascii="Arial" w:hAnsi="Arial" w:cs="Arial"/>
          <w:b/>
          <w:bCs/>
          <w:color w:val="000000" w:themeColor="text1"/>
        </w:rPr>
        <w:t>.</w:t>
      </w:r>
      <w:r w:rsidRPr="00A536EF">
        <w:rPr>
          <w:rFonts w:ascii="Arial" w:hAnsi="Arial" w:cs="Arial"/>
          <w:b/>
          <w:bCs/>
          <w:color w:val="000000" w:themeColor="text1"/>
        </w:rPr>
        <w:t xml:space="preserve"> Log-Linear Growth </w:t>
      </w:r>
      <w:proofErr w:type="spellStart"/>
      <w:proofErr w:type="gramStart"/>
      <w:r w:rsidRPr="00A536EF">
        <w:rPr>
          <w:rFonts w:ascii="Arial" w:hAnsi="Arial" w:cs="Arial"/>
          <w:b/>
          <w:bCs/>
          <w:color w:val="000000" w:themeColor="text1"/>
        </w:rPr>
        <w:t>Model</w:t>
      </w:r>
      <w:r w:rsidR="00F9400A" w:rsidRPr="00A536EF">
        <w:rPr>
          <w:rFonts w:ascii="Arial" w:hAnsi="Arial" w:cs="Arial"/>
          <w:b/>
          <w:bCs/>
          <w:i/>
          <w:iCs/>
          <w:color w:val="000000" w:themeColor="text1"/>
          <w:vertAlign w:val="superscript"/>
        </w:rPr>
        <w:t>a,b</w:t>
      </w:r>
      <w:proofErr w:type="gramEnd"/>
      <w:r w:rsidR="00F9400A" w:rsidRPr="00A536EF">
        <w:rPr>
          <w:rFonts w:ascii="Arial" w:hAnsi="Arial" w:cs="Arial"/>
          <w:b/>
          <w:bCs/>
          <w:i/>
          <w:iCs/>
          <w:color w:val="000000" w:themeColor="text1"/>
          <w:vertAlign w:val="superscript"/>
        </w:rPr>
        <w:t>,c</w:t>
      </w:r>
      <w:proofErr w:type="spellEnd"/>
      <w:r w:rsidR="00F9400A" w:rsidRPr="00A536EF">
        <w:rPr>
          <w:rFonts w:ascii="Arial" w:hAnsi="Arial" w:cs="Arial"/>
          <w:b/>
          <w:bCs/>
          <w:color w:val="000000" w:themeColor="text1"/>
        </w:rPr>
        <w:t xml:space="preserve"> </w:t>
      </w:r>
    </w:p>
    <w:p w14:paraId="30D7E8FA" w14:textId="1CFFBA06" w:rsidR="008C5A77" w:rsidRPr="00A536EF" w:rsidRDefault="00AD0C5E" w:rsidP="00AD0C5E">
      <w:pPr>
        <w:jc w:val="center"/>
        <w:rPr>
          <w:rFonts w:ascii="Arial" w:hAnsi="Arial" w:cs="Arial"/>
          <w:b/>
          <w:bCs/>
          <w:color w:val="000000" w:themeColor="text1"/>
        </w:rPr>
      </w:pPr>
      <w:r w:rsidRPr="00A536EF">
        <w:rPr>
          <w:rFonts w:ascii="Arial" w:hAnsi="Arial" w:cs="Arial"/>
          <w:b/>
          <w:bCs/>
          <w:color w:val="000000" w:themeColor="text1"/>
        </w:rPr>
        <w:t xml:space="preserve">Table 1A. </w:t>
      </w:r>
      <w:r w:rsidR="008C5A77" w:rsidRPr="00A536EF">
        <w:rPr>
          <w:rFonts w:ascii="Arial" w:hAnsi="Arial" w:cs="Arial"/>
          <w:b/>
          <w:bCs/>
          <w:color w:val="000000" w:themeColor="text1"/>
        </w:rPr>
        <w:t>Results (2001–2023)</w:t>
      </w:r>
    </w:p>
    <w:tbl>
      <w:tblPr>
        <w:tblStyle w:val="TableGrid"/>
        <w:tblW w:w="5000" w:type="pct"/>
        <w:tblLook w:val="04A0" w:firstRow="1" w:lastRow="0" w:firstColumn="1" w:lastColumn="0" w:noHBand="0" w:noVBand="1"/>
      </w:tblPr>
      <w:tblGrid>
        <w:gridCol w:w="2177"/>
        <w:gridCol w:w="1250"/>
        <w:gridCol w:w="1120"/>
        <w:gridCol w:w="1057"/>
        <w:gridCol w:w="1277"/>
        <w:gridCol w:w="2135"/>
      </w:tblGrid>
      <w:tr w:rsidR="00A536EF" w:rsidRPr="00A536EF" w14:paraId="5B1E4910" w14:textId="77777777" w:rsidTr="00DF2DD7">
        <w:tc>
          <w:tcPr>
            <w:tcW w:w="1208" w:type="pct"/>
          </w:tcPr>
          <w:p w14:paraId="66117D9C"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Variable</w:t>
            </w:r>
          </w:p>
        </w:tc>
        <w:tc>
          <w:tcPr>
            <w:tcW w:w="693" w:type="pct"/>
          </w:tcPr>
          <w:p w14:paraId="480CABC1"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Coefficient</w:t>
            </w:r>
          </w:p>
        </w:tc>
        <w:tc>
          <w:tcPr>
            <w:tcW w:w="621" w:type="pct"/>
          </w:tcPr>
          <w:p w14:paraId="2925DC0A"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Std. Error</w:t>
            </w:r>
          </w:p>
        </w:tc>
        <w:tc>
          <w:tcPr>
            <w:tcW w:w="586" w:type="pct"/>
          </w:tcPr>
          <w:p w14:paraId="2C7725B4"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‘t’ statistic</w:t>
            </w:r>
          </w:p>
        </w:tc>
        <w:tc>
          <w:tcPr>
            <w:tcW w:w="708" w:type="pct"/>
          </w:tcPr>
          <w:p w14:paraId="71EE3B76"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i/>
                <w:iCs/>
                <w:color w:val="000000" w:themeColor="text1"/>
              </w:rPr>
              <w:t>‘P</w:t>
            </w:r>
            <w:r w:rsidR="003D11B0" w:rsidRPr="00A536EF">
              <w:rPr>
                <w:rFonts w:ascii="Arial" w:hAnsi="Arial" w:cs="Arial"/>
                <w:b/>
                <w:bCs/>
                <w:i/>
                <w:iCs/>
                <w:color w:val="000000" w:themeColor="text1"/>
              </w:rPr>
              <w:t>’ Value</w:t>
            </w:r>
          </w:p>
        </w:tc>
        <w:tc>
          <w:tcPr>
            <w:tcW w:w="1184" w:type="pct"/>
          </w:tcPr>
          <w:p w14:paraId="5B6C0C3C"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95% Confidence Interval</w:t>
            </w:r>
          </w:p>
        </w:tc>
      </w:tr>
      <w:tr w:rsidR="00A536EF" w:rsidRPr="00A536EF" w14:paraId="6D5CE6C8" w14:textId="77777777" w:rsidTr="00DF2DD7">
        <w:tc>
          <w:tcPr>
            <w:tcW w:w="1208" w:type="pct"/>
          </w:tcPr>
          <w:p w14:paraId="33E5E0E7"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Constant (β</w:t>
            </w:r>
            <w:r w:rsidRPr="00A536EF">
              <w:rPr>
                <w:rFonts w:ascii="Cambria Math" w:hAnsi="Cambria Math" w:cs="Cambria Math"/>
                <w:b/>
                <w:bCs/>
                <w:color w:val="000000" w:themeColor="text1"/>
              </w:rPr>
              <w:t>₀</w:t>
            </w:r>
            <w:r w:rsidRPr="00A536EF">
              <w:rPr>
                <w:rFonts w:ascii="Arial" w:hAnsi="Arial" w:cs="Arial"/>
                <w:b/>
                <w:bCs/>
                <w:color w:val="000000" w:themeColor="text1"/>
              </w:rPr>
              <w:t>)</w:t>
            </w:r>
          </w:p>
        </w:tc>
        <w:tc>
          <w:tcPr>
            <w:tcW w:w="693" w:type="pct"/>
          </w:tcPr>
          <w:p w14:paraId="14F1BB9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0.9162</w:t>
            </w:r>
          </w:p>
        </w:tc>
        <w:tc>
          <w:tcPr>
            <w:tcW w:w="621" w:type="pct"/>
          </w:tcPr>
          <w:p w14:paraId="18B62FC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0.0834</w:t>
            </w:r>
          </w:p>
        </w:tc>
        <w:tc>
          <w:tcPr>
            <w:tcW w:w="586" w:type="pct"/>
          </w:tcPr>
          <w:p w14:paraId="2053A74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10.98</w:t>
            </w:r>
          </w:p>
        </w:tc>
        <w:tc>
          <w:tcPr>
            <w:tcW w:w="708" w:type="pct"/>
          </w:tcPr>
          <w:p w14:paraId="44463626" w14:textId="5DCF7B96" w:rsidR="008C5A77" w:rsidRPr="00A536EF" w:rsidRDefault="00480D65"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008C5A77" w:rsidRPr="00A536EF">
              <w:rPr>
                <w:rFonts w:ascii="Arial" w:hAnsi="Arial" w:cs="Arial"/>
                <w:color w:val="000000" w:themeColor="text1"/>
              </w:rPr>
              <w:t>.001</w:t>
            </w:r>
          </w:p>
        </w:tc>
        <w:tc>
          <w:tcPr>
            <w:tcW w:w="1184" w:type="pct"/>
          </w:tcPr>
          <w:p w14:paraId="54982F5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[0.745, 1.087]</w:t>
            </w:r>
          </w:p>
        </w:tc>
      </w:tr>
      <w:tr w:rsidR="00A536EF" w:rsidRPr="00A536EF" w14:paraId="7E37A8BB" w14:textId="77777777" w:rsidTr="00DF2DD7">
        <w:tc>
          <w:tcPr>
            <w:tcW w:w="1208" w:type="pct"/>
          </w:tcPr>
          <w:p w14:paraId="200E801E"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Time trend (β</w:t>
            </w:r>
            <w:r w:rsidRPr="00A536EF">
              <w:rPr>
                <w:rFonts w:ascii="Cambria Math" w:hAnsi="Cambria Math" w:cs="Cambria Math"/>
                <w:b/>
                <w:bCs/>
                <w:color w:val="000000" w:themeColor="text1"/>
              </w:rPr>
              <w:t>₁</w:t>
            </w:r>
            <w:r w:rsidRPr="00A536EF">
              <w:rPr>
                <w:rFonts w:ascii="Arial" w:hAnsi="Arial" w:cs="Arial"/>
                <w:b/>
                <w:bCs/>
                <w:color w:val="000000" w:themeColor="text1"/>
              </w:rPr>
              <w:t>)</w:t>
            </w:r>
          </w:p>
        </w:tc>
        <w:tc>
          <w:tcPr>
            <w:tcW w:w="693" w:type="pct"/>
          </w:tcPr>
          <w:p w14:paraId="6755C34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0.0923</w:t>
            </w:r>
          </w:p>
        </w:tc>
        <w:tc>
          <w:tcPr>
            <w:tcW w:w="621" w:type="pct"/>
          </w:tcPr>
          <w:p w14:paraId="6032815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0.0067</w:t>
            </w:r>
          </w:p>
        </w:tc>
        <w:tc>
          <w:tcPr>
            <w:tcW w:w="586" w:type="pct"/>
          </w:tcPr>
          <w:p w14:paraId="0C97F58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13.78</w:t>
            </w:r>
          </w:p>
        </w:tc>
        <w:tc>
          <w:tcPr>
            <w:tcW w:w="708" w:type="pct"/>
          </w:tcPr>
          <w:p w14:paraId="3CB3854D" w14:textId="541564E6" w:rsidR="008C5A77" w:rsidRPr="00A536EF" w:rsidRDefault="00DF2DD7" w:rsidP="00F663E4">
            <w:pPr>
              <w:jc w:val="both"/>
              <w:rPr>
                <w:rFonts w:ascii="Arial" w:hAnsi="Arial" w:cs="Arial"/>
                <w:color w:val="000000" w:themeColor="text1"/>
              </w:rPr>
            </w:pPr>
            <w:r w:rsidRPr="00A536EF">
              <w:rPr>
                <w:rFonts w:ascii="Arial" w:hAnsi="Arial" w:cs="Arial"/>
                <w:i/>
                <w:iCs/>
                <w:color w:val="000000" w:themeColor="text1"/>
              </w:rPr>
              <w:t xml:space="preserve">P &lt; </w:t>
            </w:r>
            <w:r w:rsidRPr="00A536EF">
              <w:rPr>
                <w:rFonts w:ascii="Arial" w:hAnsi="Arial" w:cs="Arial"/>
                <w:color w:val="000000" w:themeColor="text1"/>
              </w:rPr>
              <w:t>.001</w:t>
            </w:r>
          </w:p>
        </w:tc>
        <w:tc>
          <w:tcPr>
            <w:tcW w:w="1184" w:type="pct"/>
          </w:tcPr>
          <w:p w14:paraId="4E0DB07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[0.078, 0.106]</w:t>
            </w:r>
          </w:p>
        </w:tc>
      </w:tr>
      <w:tr w:rsidR="00A536EF" w:rsidRPr="00A536EF" w14:paraId="64E32DDE" w14:textId="77777777" w:rsidTr="00DF2DD7">
        <w:tc>
          <w:tcPr>
            <w:tcW w:w="1208" w:type="pct"/>
          </w:tcPr>
          <w:p w14:paraId="38511687"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COVID dummy (β</w:t>
            </w:r>
            <w:r w:rsidRPr="00A536EF">
              <w:rPr>
                <w:rFonts w:ascii="Cambria Math" w:hAnsi="Cambria Math" w:cs="Cambria Math"/>
                <w:b/>
                <w:bCs/>
                <w:color w:val="000000" w:themeColor="text1"/>
              </w:rPr>
              <w:t>₂</w:t>
            </w:r>
            <w:r w:rsidRPr="00A536EF">
              <w:rPr>
                <w:rFonts w:ascii="Arial" w:hAnsi="Arial" w:cs="Arial"/>
                <w:b/>
                <w:bCs/>
                <w:color w:val="000000" w:themeColor="text1"/>
              </w:rPr>
              <w:t>)</w:t>
            </w:r>
          </w:p>
        </w:tc>
        <w:tc>
          <w:tcPr>
            <w:tcW w:w="693" w:type="pct"/>
          </w:tcPr>
          <w:p w14:paraId="19DA17F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-1.2456</w:t>
            </w:r>
          </w:p>
        </w:tc>
        <w:tc>
          <w:tcPr>
            <w:tcW w:w="621" w:type="pct"/>
          </w:tcPr>
          <w:p w14:paraId="5ED6B0F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0.2145</w:t>
            </w:r>
          </w:p>
        </w:tc>
        <w:tc>
          <w:tcPr>
            <w:tcW w:w="586" w:type="pct"/>
          </w:tcPr>
          <w:p w14:paraId="6D505AE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-5.81</w:t>
            </w:r>
          </w:p>
        </w:tc>
        <w:tc>
          <w:tcPr>
            <w:tcW w:w="708" w:type="pct"/>
          </w:tcPr>
          <w:p w14:paraId="3EBB77CD" w14:textId="6EAF7151" w:rsidR="008C5A77" w:rsidRPr="00A536EF" w:rsidRDefault="00DF2DD7" w:rsidP="00F663E4">
            <w:pPr>
              <w:jc w:val="both"/>
              <w:rPr>
                <w:rFonts w:ascii="Arial" w:hAnsi="Arial" w:cs="Arial"/>
                <w:color w:val="000000" w:themeColor="text1"/>
              </w:rPr>
            </w:pPr>
            <w:r w:rsidRPr="00A536EF">
              <w:rPr>
                <w:rFonts w:ascii="Arial" w:hAnsi="Arial" w:cs="Arial"/>
                <w:i/>
                <w:iCs/>
                <w:color w:val="000000" w:themeColor="text1"/>
              </w:rPr>
              <w:t xml:space="preserve">P &lt; </w:t>
            </w:r>
            <w:r w:rsidRPr="00A536EF">
              <w:rPr>
                <w:rFonts w:ascii="Arial" w:hAnsi="Arial" w:cs="Arial"/>
                <w:color w:val="000000" w:themeColor="text1"/>
              </w:rPr>
              <w:t>.001</w:t>
            </w:r>
          </w:p>
        </w:tc>
        <w:tc>
          <w:tcPr>
            <w:tcW w:w="1184" w:type="pct"/>
          </w:tcPr>
          <w:p w14:paraId="38EFDC4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[-1.689, -0.802]</w:t>
            </w:r>
          </w:p>
        </w:tc>
      </w:tr>
      <w:tr w:rsidR="00A536EF" w:rsidRPr="00A536EF" w14:paraId="2B79EB4E" w14:textId="77777777" w:rsidTr="00DF2DD7">
        <w:tc>
          <w:tcPr>
            <w:tcW w:w="1208" w:type="pct"/>
          </w:tcPr>
          <w:p w14:paraId="7A638AD1"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Time × COVID (β</w:t>
            </w:r>
            <w:r w:rsidRPr="00A536EF">
              <w:rPr>
                <w:rFonts w:ascii="Cambria Math" w:hAnsi="Cambria Math" w:cs="Cambria Math"/>
                <w:b/>
                <w:bCs/>
                <w:color w:val="000000" w:themeColor="text1"/>
              </w:rPr>
              <w:t>₃</w:t>
            </w:r>
            <w:r w:rsidRPr="00A536EF">
              <w:rPr>
                <w:rFonts w:ascii="Arial" w:hAnsi="Arial" w:cs="Arial"/>
                <w:b/>
                <w:bCs/>
                <w:color w:val="000000" w:themeColor="text1"/>
              </w:rPr>
              <w:t>)</w:t>
            </w:r>
          </w:p>
        </w:tc>
        <w:tc>
          <w:tcPr>
            <w:tcW w:w="693" w:type="pct"/>
          </w:tcPr>
          <w:p w14:paraId="57D166B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-0.0312</w:t>
            </w:r>
          </w:p>
        </w:tc>
        <w:tc>
          <w:tcPr>
            <w:tcW w:w="621" w:type="pct"/>
          </w:tcPr>
          <w:p w14:paraId="175E5ED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0.0189</w:t>
            </w:r>
          </w:p>
        </w:tc>
        <w:tc>
          <w:tcPr>
            <w:tcW w:w="586" w:type="pct"/>
          </w:tcPr>
          <w:p w14:paraId="1A680D5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-1.65</w:t>
            </w:r>
          </w:p>
        </w:tc>
        <w:tc>
          <w:tcPr>
            <w:tcW w:w="708" w:type="pct"/>
          </w:tcPr>
          <w:p w14:paraId="24D533F4" w14:textId="77777777" w:rsidR="008C5A77" w:rsidRPr="00A536EF" w:rsidRDefault="00480D65"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.12</w:t>
            </w:r>
          </w:p>
        </w:tc>
        <w:tc>
          <w:tcPr>
            <w:tcW w:w="1184" w:type="pct"/>
          </w:tcPr>
          <w:p w14:paraId="2236CD9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[-0.070, 0.008]</w:t>
            </w:r>
          </w:p>
        </w:tc>
      </w:tr>
    </w:tbl>
    <w:p w14:paraId="7F44D3D1" w14:textId="77777777" w:rsidR="008C5A77" w:rsidRPr="00A536EF" w:rsidRDefault="008C5A77" w:rsidP="008C5A77">
      <w:pPr>
        <w:jc w:val="both"/>
        <w:rPr>
          <w:rFonts w:ascii="Arial" w:hAnsi="Arial" w:cs="Arial"/>
          <w:b/>
          <w:bCs/>
          <w:color w:val="000000" w:themeColor="text1"/>
          <w:sz w:val="20"/>
          <w:szCs w:val="20"/>
        </w:rPr>
      </w:pPr>
    </w:p>
    <w:p w14:paraId="0E7EF9E1" w14:textId="0EE43C0B"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1B. </w:t>
      </w:r>
      <w:r w:rsidR="008C5A77" w:rsidRPr="00A536EF">
        <w:rPr>
          <w:rFonts w:ascii="Arial" w:hAnsi="Arial" w:cs="Arial"/>
          <w:b/>
          <w:bCs/>
          <w:color w:val="000000" w:themeColor="text1"/>
          <w:sz w:val="20"/>
          <w:szCs w:val="20"/>
        </w:rPr>
        <w:t>Model Fit</w:t>
      </w:r>
    </w:p>
    <w:tbl>
      <w:tblPr>
        <w:tblStyle w:val="TableGrid"/>
        <w:tblW w:w="5000" w:type="pct"/>
        <w:tblLook w:val="04A0" w:firstRow="1" w:lastRow="0" w:firstColumn="1" w:lastColumn="0" w:noHBand="0" w:noVBand="1"/>
      </w:tblPr>
      <w:tblGrid>
        <w:gridCol w:w="3071"/>
        <w:gridCol w:w="1280"/>
        <w:gridCol w:w="4665"/>
      </w:tblGrid>
      <w:tr w:rsidR="00A536EF" w:rsidRPr="00A536EF" w14:paraId="1E6EB389" w14:textId="77777777" w:rsidTr="00F663E4">
        <w:tc>
          <w:tcPr>
            <w:tcW w:w="1703" w:type="pct"/>
          </w:tcPr>
          <w:p w14:paraId="3844F771"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Statistic</w:t>
            </w:r>
          </w:p>
        </w:tc>
        <w:tc>
          <w:tcPr>
            <w:tcW w:w="710" w:type="pct"/>
          </w:tcPr>
          <w:p w14:paraId="48D58790"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Value</w:t>
            </w:r>
          </w:p>
        </w:tc>
        <w:tc>
          <w:tcPr>
            <w:tcW w:w="2587" w:type="pct"/>
          </w:tcPr>
          <w:p w14:paraId="42BE6D2A"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Interpretation</w:t>
            </w:r>
          </w:p>
        </w:tc>
      </w:tr>
      <w:tr w:rsidR="00A536EF" w:rsidRPr="00A536EF" w14:paraId="0842F115" w14:textId="77777777" w:rsidTr="00F663E4">
        <w:tc>
          <w:tcPr>
            <w:tcW w:w="1703" w:type="pct"/>
          </w:tcPr>
          <w:p w14:paraId="17EA48F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w:t>
            </w:r>
          </w:p>
        </w:tc>
        <w:tc>
          <w:tcPr>
            <w:tcW w:w="710" w:type="pct"/>
          </w:tcPr>
          <w:p w14:paraId="11FEF0E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0.946</w:t>
            </w:r>
          </w:p>
        </w:tc>
        <w:tc>
          <w:tcPr>
            <w:tcW w:w="2587" w:type="pct"/>
          </w:tcPr>
          <w:p w14:paraId="7C6D4D7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94.6% of variation explained</w:t>
            </w:r>
          </w:p>
        </w:tc>
      </w:tr>
      <w:tr w:rsidR="00A536EF" w:rsidRPr="00A536EF" w14:paraId="3B34790F" w14:textId="77777777" w:rsidTr="00F663E4">
        <w:tc>
          <w:tcPr>
            <w:tcW w:w="1703" w:type="pct"/>
          </w:tcPr>
          <w:p w14:paraId="0B27747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Adjusted R-squared</w:t>
            </w:r>
          </w:p>
        </w:tc>
        <w:tc>
          <w:tcPr>
            <w:tcW w:w="710" w:type="pct"/>
          </w:tcPr>
          <w:p w14:paraId="03ACD2A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0.937</w:t>
            </w:r>
          </w:p>
        </w:tc>
        <w:tc>
          <w:tcPr>
            <w:tcW w:w="2587" w:type="pct"/>
          </w:tcPr>
          <w:p w14:paraId="181A121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93.7% (penalized for variables)</w:t>
            </w:r>
          </w:p>
        </w:tc>
      </w:tr>
      <w:tr w:rsidR="00A536EF" w:rsidRPr="00A536EF" w14:paraId="18EF93DC" w14:textId="77777777" w:rsidTr="00F663E4">
        <w:tc>
          <w:tcPr>
            <w:tcW w:w="1703" w:type="pct"/>
          </w:tcPr>
          <w:p w14:paraId="67150E9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F-statistic</w:t>
            </w:r>
          </w:p>
        </w:tc>
        <w:tc>
          <w:tcPr>
            <w:tcW w:w="710" w:type="pct"/>
          </w:tcPr>
          <w:p w14:paraId="2DDD7E0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105.23</w:t>
            </w:r>
          </w:p>
        </w:tc>
        <w:tc>
          <w:tcPr>
            <w:tcW w:w="2587" w:type="pct"/>
          </w:tcPr>
          <w:p w14:paraId="25390E8A" w14:textId="26CF3229" w:rsidR="008C5A77" w:rsidRPr="00A536EF" w:rsidRDefault="008C5A77" w:rsidP="00F663E4">
            <w:pPr>
              <w:jc w:val="both"/>
              <w:rPr>
                <w:rFonts w:ascii="Arial" w:hAnsi="Arial" w:cs="Arial"/>
                <w:color w:val="000000" w:themeColor="text1"/>
              </w:rPr>
            </w:pPr>
            <w:r w:rsidRPr="00A536EF">
              <w:rPr>
                <w:rFonts w:ascii="Arial" w:hAnsi="Arial" w:cs="Arial"/>
                <w:i/>
                <w:iCs/>
                <w:color w:val="000000" w:themeColor="text1"/>
              </w:rPr>
              <w:t>P</w:t>
            </w:r>
            <w:r w:rsidR="0024120B" w:rsidRPr="00A536EF">
              <w:rPr>
                <w:rFonts w:ascii="Arial" w:hAnsi="Arial" w:cs="Arial"/>
                <w:i/>
                <w:iCs/>
                <w:color w:val="000000" w:themeColor="text1"/>
              </w:rPr>
              <w:t xml:space="preserve"> </w:t>
            </w:r>
            <w:r w:rsidR="00F5566A" w:rsidRPr="00A536EF">
              <w:rPr>
                <w:rFonts w:ascii="Arial" w:hAnsi="Arial" w:cs="Arial"/>
                <w:color w:val="000000" w:themeColor="text1"/>
              </w:rPr>
              <w:t>&lt;</w:t>
            </w:r>
            <w:r w:rsidRPr="00A536EF">
              <w:rPr>
                <w:rFonts w:ascii="Arial" w:hAnsi="Arial" w:cs="Arial"/>
                <w:color w:val="000000" w:themeColor="text1"/>
              </w:rPr>
              <w:t xml:space="preserve"> .001 (model is significant)</w:t>
            </w:r>
          </w:p>
        </w:tc>
      </w:tr>
      <w:tr w:rsidR="00A536EF" w:rsidRPr="00A536EF" w14:paraId="7951E32A" w14:textId="77777777" w:rsidTr="00F663E4">
        <w:tc>
          <w:tcPr>
            <w:tcW w:w="1703" w:type="pct"/>
          </w:tcPr>
          <w:p w14:paraId="3A081C9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Durbin-Watson</w:t>
            </w:r>
          </w:p>
        </w:tc>
        <w:tc>
          <w:tcPr>
            <w:tcW w:w="710" w:type="pct"/>
          </w:tcPr>
          <w:p w14:paraId="643D932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1.87</w:t>
            </w:r>
          </w:p>
        </w:tc>
        <w:tc>
          <w:tcPr>
            <w:tcW w:w="2587" w:type="pct"/>
          </w:tcPr>
          <w:p w14:paraId="29428E17" w14:textId="5B0D42F9"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 significant auto</w:t>
            </w:r>
            <w:r w:rsidR="0024120B" w:rsidRPr="00A536EF">
              <w:rPr>
                <w:rFonts w:ascii="Arial" w:hAnsi="Arial" w:cs="Arial"/>
                <w:color w:val="000000" w:themeColor="text1"/>
              </w:rPr>
              <w:t>-</w:t>
            </w:r>
            <w:r w:rsidRPr="00A536EF">
              <w:rPr>
                <w:rFonts w:ascii="Arial" w:hAnsi="Arial" w:cs="Arial"/>
                <w:color w:val="000000" w:themeColor="text1"/>
              </w:rPr>
              <w:t>correlation</w:t>
            </w:r>
          </w:p>
        </w:tc>
      </w:tr>
      <w:tr w:rsidR="00A536EF" w:rsidRPr="00A536EF" w14:paraId="71E17134" w14:textId="77777777" w:rsidTr="00F663E4">
        <w:tc>
          <w:tcPr>
            <w:tcW w:w="1703" w:type="pct"/>
          </w:tcPr>
          <w:p w14:paraId="5584C82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AIC</w:t>
            </w:r>
          </w:p>
        </w:tc>
        <w:tc>
          <w:tcPr>
            <w:tcW w:w="710" w:type="pct"/>
          </w:tcPr>
          <w:p w14:paraId="61FF70C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-1.23</w:t>
            </w:r>
          </w:p>
        </w:tc>
        <w:tc>
          <w:tcPr>
            <w:tcW w:w="2587" w:type="pct"/>
          </w:tcPr>
          <w:p w14:paraId="1F96A91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Good fit</w:t>
            </w:r>
          </w:p>
        </w:tc>
      </w:tr>
    </w:tbl>
    <w:p w14:paraId="70C0CB47" w14:textId="77777777" w:rsidR="008C5A77" w:rsidRPr="00A536EF" w:rsidRDefault="008C5A77" w:rsidP="008C5A77">
      <w:pPr>
        <w:jc w:val="both"/>
        <w:rPr>
          <w:rFonts w:ascii="Arial" w:hAnsi="Arial" w:cs="Arial"/>
          <w:b/>
          <w:bCs/>
          <w:color w:val="000000" w:themeColor="text1"/>
          <w:sz w:val="20"/>
          <w:szCs w:val="20"/>
        </w:rPr>
      </w:pPr>
    </w:p>
    <w:p w14:paraId="2F435882" w14:textId="76D151CA"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Table 1C.</w:t>
      </w:r>
      <w:r w:rsidRPr="00A536EF">
        <w:rPr>
          <w:rFonts w:ascii="Arial" w:hAnsi="Arial" w:cs="Arial"/>
          <w:b/>
          <w:bCs/>
          <w:color w:val="000000" w:themeColor="text1"/>
          <w:sz w:val="20"/>
          <w:szCs w:val="20"/>
        </w:rPr>
        <w:t xml:space="preserve"> </w:t>
      </w:r>
      <w:r w:rsidR="008C5A77" w:rsidRPr="00A536EF">
        <w:rPr>
          <w:rFonts w:ascii="Arial" w:hAnsi="Arial" w:cs="Arial"/>
          <w:b/>
          <w:bCs/>
          <w:color w:val="000000" w:themeColor="text1"/>
          <w:sz w:val="20"/>
          <w:szCs w:val="20"/>
        </w:rPr>
        <w:t>Key Findings</w:t>
      </w:r>
    </w:p>
    <w:tbl>
      <w:tblPr>
        <w:tblStyle w:val="TableGrid"/>
        <w:tblW w:w="5000" w:type="pct"/>
        <w:tblLook w:val="04A0" w:firstRow="1" w:lastRow="0" w:firstColumn="1" w:lastColumn="0" w:noHBand="0" w:noVBand="1"/>
      </w:tblPr>
      <w:tblGrid>
        <w:gridCol w:w="2542"/>
        <w:gridCol w:w="1901"/>
        <w:gridCol w:w="4573"/>
      </w:tblGrid>
      <w:tr w:rsidR="00A536EF" w:rsidRPr="00A536EF" w14:paraId="7DE3426C" w14:textId="77777777" w:rsidTr="00F663E4">
        <w:tc>
          <w:tcPr>
            <w:tcW w:w="1410" w:type="pct"/>
          </w:tcPr>
          <w:p w14:paraId="45A7347D"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Parameter</w:t>
            </w:r>
          </w:p>
        </w:tc>
        <w:tc>
          <w:tcPr>
            <w:tcW w:w="1054" w:type="pct"/>
          </w:tcPr>
          <w:p w14:paraId="3A958144"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Value</w:t>
            </w:r>
          </w:p>
        </w:tc>
        <w:tc>
          <w:tcPr>
            <w:tcW w:w="2536" w:type="pct"/>
          </w:tcPr>
          <w:p w14:paraId="148CF016"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Interpretation</w:t>
            </w:r>
          </w:p>
        </w:tc>
      </w:tr>
      <w:tr w:rsidR="00A536EF" w:rsidRPr="00A536EF" w14:paraId="352299EA" w14:textId="77777777" w:rsidTr="00F663E4">
        <w:tc>
          <w:tcPr>
            <w:tcW w:w="1410" w:type="pct"/>
          </w:tcPr>
          <w:p w14:paraId="12781F8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Pre-COVID annual growth</w:t>
            </w:r>
          </w:p>
        </w:tc>
        <w:tc>
          <w:tcPr>
            <w:tcW w:w="1054" w:type="pct"/>
          </w:tcPr>
          <w:p w14:paraId="255F108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9.23% (β</w:t>
            </w:r>
            <w:r w:rsidRPr="00A536EF">
              <w:rPr>
                <w:rFonts w:ascii="Cambria Math" w:hAnsi="Cambria Math" w:cs="Cambria Math"/>
                <w:color w:val="000000" w:themeColor="text1"/>
              </w:rPr>
              <w:t>₁</w:t>
            </w:r>
            <w:r w:rsidRPr="00A536EF">
              <w:rPr>
                <w:rFonts w:ascii="Arial" w:hAnsi="Arial" w:cs="Arial"/>
                <w:color w:val="000000" w:themeColor="text1"/>
              </w:rPr>
              <w:t xml:space="preserve"> × 100)</w:t>
            </w:r>
          </w:p>
        </w:tc>
        <w:tc>
          <w:tcPr>
            <w:tcW w:w="2536" w:type="pct"/>
          </w:tcPr>
          <w:p w14:paraId="4B090C1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Statistically significant (</w:t>
            </w:r>
            <w:r w:rsidRPr="00A536EF">
              <w:rPr>
                <w:rFonts w:ascii="Arial" w:hAnsi="Arial" w:cs="Arial"/>
                <w:i/>
                <w:iCs/>
                <w:color w:val="000000" w:themeColor="text1"/>
              </w:rPr>
              <w:t xml:space="preserve">P </w:t>
            </w:r>
            <w:r w:rsidR="00F5566A" w:rsidRPr="00A536EF">
              <w:rPr>
                <w:rFonts w:ascii="Arial" w:hAnsi="Arial" w:cs="Arial"/>
                <w:i/>
                <w:iCs/>
                <w:color w:val="000000" w:themeColor="text1"/>
              </w:rPr>
              <w:t>&lt;</w:t>
            </w:r>
            <w:r w:rsidRPr="00A536EF">
              <w:rPr>
                <w:rFonts w:ascii="Arial" w:hAnsi="Arial" w:cs="Arial"/>
                <w:color w:val="000000" w:themeColor="text1"/>
              </w:rPr>
              <w:t xml:space="preserve"> .001)</w:t>
            </w:r>
          </w:p>
        </w:tc>
      </w:tr>
      <w:tr w:rsidR="00A536EF" w:rsidRPr="00A536EF" w14:paraId="21AC8EFA" w14:textId="77777777" w:rsidTr="00F663E4">
        <w:tc>
          <w:tcPr>
            <w:tcW w:w="1410" w:type="pct"/>
          </w:tcPr>
          <w:p w14:paraId="0B7776A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Post-COVID annual growth</w:t>
            </w:r>
          </w:p>
        </w:tc>
        <w:tc>
          <w:tcPr>
            <w:tcW w:w="1054" w:type="pct"/>
          </w:tcPr>
          <w:p w14:paraId="010EE96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6.11% (β</w:t>
            </w:r>
            <w:r w:rsidRPr="00A536EF">
              <w:rPr>
                <w:rFonts w:ascii="Cambria Math" w:hAnsi="Cambria Math" w:cs="Cambria Math"/>
                <w:color w:val="000000" w:themeColor="text1"/>
              </w:rPr>
              <w:t>₁</w:t>
            </w:r>
            <w:r w:rsidRPr="00A536EF">
              <w:rPr>
                <w:rFonts w:ascii="Arial" w:hAnsi="Arial" w:cs="Arial"/>
                <w:color w:val="000000" w:themeColor="text1"/>
              </w:rPr>
              <w:t xml:space="preserve"> + β</w:t>
            </w:r>
            <w:r w:rsidRPr="00A536EF">
              <w:rPr>
                <w:rFonts w:ascii="Cambria Math" w:hAnsi="Cambria Math" w:cs="Cambria Math"/>
                <w:color w:val="000000" w:themeColor="text1"/>
              </w:rPr>
              <w:t>₃</w:t>
            </w:r>
            <w:r w:rsidRPr="00A536EF">
              <w:rPr>
                <w:rFonts w:ascii="Arial" w:hAnsi="Arial" w:cs="Arial"/>
                <w:color w:val="000000" w:themeColor="text1"/>
              </w:rPr>
              <w:t>) × 100</w:t>
            </w:r>
          </w:p>
        </w:tc>
        <w:tc>
          <w:tcPr>
            <w:tcW w:w="2536" w:type="pct"/>
          </w:tcPr>
          <w:p w14:paraId="341D42B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Not significantly different from pre-COVID</w:t>
            </w:r>
          </w:p>
          <w:p w14:paraId="6194B9E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 (</w:t>
            </w:r>
            <w:r w:rsidRPr="00A536EF">
              <w:rPr>
                <w:rFonts w:ascii="Arial" w:hAnsi="Arial" w:cs="Arial"/>
                <w:i/>
                <w:iCs/>
                <w:color w:val="000000" w:themeColor="text1"/>
              </w:rPr>
              <w:t>P</w:t>
            </w:r>
            <w:r w:rsidRPr="00A536EF">
              <w:rPr>
                <w:rFonts w:ascii="Arial" w:hAnsi="Arial" w:cs="Arial"/>
                <w:color w:val="000000" w:themeColor="text1"/>
              </w:rPr>
              <w:t xml:space="preserve"> = 0.12)</w:t>
            </w:r>
          </w:p>
        </w:tc>
      </w:tr>
      <w:tr w:rsidR="00A536EF" w:rsidRPr="00A536EF" w14:paraId="34ADB5AD" w14:textId="77777777" w:rsidTr="00F663E4">
        <w:tc>
          <w:tcPr>
            <w:tcW w:w="1410" w:type="pct"/>
          </w:tcPr>
          <w:p w14:paraId="73F5C38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COVID level shift</w:t>
            </w:r>
          </w:p>
        </w:tc>
        <w:tc>
          <w:tcPr>
            <w:tcW w:w="1054" w:type="pct"/>
          </w:tcPr>
          <w:p w14:paraId="365A8FB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-65.1%</w:t>
            </w:r>
          </w:p>
        </w:tc>
        <w:tc>
          <w:tcPr>
            <w:tcW w:w="2536" w:type="pct"/>
          </w:tcPr>
          <w:p w14:paraId="4B486DE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Significant (</w:t>
            </w:r>
            <w:r w:rsidRPr="00A536EF">
              <w:rPr>
                <w:rFonts w:ascii="Arial" w:hAnsi="Arial" w:cs="Arial"/>
                <w:i/>
                <w:iCs/>
                <w:color w:val="000000" w:themeColor="text1"/>
              </w:rPr>
              <w:t xml:space="preserve">P </w:t>
            </w:r>
            <w:r w:rsidR="00F5566A" w:rsidRPr="00A536EF">
              <w:rPr>
                <w:rFonts w:ascii="Arial" w:hAnsi="Arial" w:cs="Arial"/>
                <w:i/>
                <w:iCs/>
                <w:color w:val="000000" w:themeColor="text1"/>
              </w:rPr>
              <w:t>&lt;</w:t>
            </w:r>
            <w:r w:rsidRPr="00A536EF">
              <w:rPr>
                <w:rFonts w:ascii="Arial" w:hAnsi="Arial" w:cs="Arial"/>
                <w:color w:val="000000" w:themeColor="text1"/>
              </w:rPr>
              <w:t xml:space="preserve"> .001)</w:t>
            </w:r>
          </w:p>
        </w:tc>
      </w:tr>
    </w:tbl>
    <w:p w14:paraId="071F7782" w14:textId="5B9B173A" w:rsidR="008C5A77" w:rsidRPr="00A536EF" w:rsidRDefault="00480D65" w:rsidP="00480D65">
      <w:pPr>
        <w:spacing w:line="276" w:lineRule="auto"/>
        <w:rPr>
          <w:rFonts w:ascii="Arial" w:hAnsi="Arial" w:cs="Arial"/>
          <w:color w:val="000000" w:themeColor="text1"/>
          <w:sz w:val="20"/>
          <w:szCs w:val="20"/>
        </w:rPr>
      </w:pPr>
      <w:r w:rsidRPr="00A536EF">
        <w:rPr>
          <w:rFonts w:ascii="Arial" w:hAnsi="Arial" w:cs="Arial"/>
          <w:b/>
          <w:bCs/>
          <w:color w:val="000000" w:themeColor="text1"/>
          <w:sz w:val="20"/>
          <w:szCs w:val="20"/>
        </w:rPr>
        <w:t>Notes:</w:t>
      </w:r>
      <w:r w:rsidRPr="00A536EF">
        <w:rPr>
          <w:rFonts w:ascii="Arial" w:hAnsi="Arial" w:cs="Arial"/>
          <w:color w:val="000000" w:themeColor="text1"/>
          <w:sz w:val="20"/>
          <w:szCs w:val="20"/>
        </w:rPr>
        <w:br/>
        <w:t>a Dependent variable: ln</w:t>
      </w:r>
      <w:r w:rsidR="00DF2DD7"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(ITA</w:t>
      </w:r>
      <w:r w:rsidRPr="00A536EF">
        <w:rPr>
          <w:rFonts w:ascii="Cambria Math" w:hAnsi="Cambria Math" w:cs="Cambria Math"/>
          <w:color w:val="000000" w:themeColor="text1"/>
          <w:sz w:val="20"/>
          <w:szCs w:val="20"/>
        </w:rPr>
        <w:t>ₜ</w:t>
      </w:r>
      <w:r w:rsidRPr="00A536EF">
        <w:rPr>
          <w:rFonts w:ascii="Arial" w:hAnsi="Arial" w:cs="Arial"/>
          <w:color w:val="000000" w:themeColor="text1"/>
          <w:sz w:val="20"/>
          <w:szCs w:val="20"/>
        </w:rPr>
        <w:t>)</w:t>
      </w:r>
      <w:r w:rsidRPr="00A536EF">
        <w:rPr>
          <w:rFonts w:ascii="Arial" w:hAnsi="Arial" w:cs="Arial"/>
          <w:color w:val="000000" w:themeColor="text1"/>
          <w:sz w:val="20"/>
          <w:szCs w:val="20"/>
        </w:rPr>
        <w:br/>
        <w:t xml:space="preserve">b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&lt; .001 indicates statistical significance</w:t>
      </w:r>
      <w:r w:rsidRPr="00A536EF">
        <w:rPr>
          <w:rFonts w:ascii="Arial" w:hAnsi="Arial" w:cs="Arial"/>
          <w:color w:val="000000" w:themeColor="text1"/>
          <w:sz w:val="20"/>
          <w:szCs w:val="20"/>
        </w:rPr>
        <w:br/>
        <w:t>c Robust standard errors used</w:t>
      </w:r>
    </w:p>
    <w:p w14:paraId="5D38588B" w14:textId="61A45224" w:rsidR="0069150F" w:rsidRPr="00A536EF" w:rsidRDefault="0069150F" w:rsidP="00943E1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lastRenderedPageBreak/>
        <w:t>The results of intervention analysis are presented in table 2. The model measures the impact of the COVID-19 pandemic on the arrival of international tourists in India by separating immediate impact and long-term changes post-pandemic. The trend of time is positive and statistically significant (</w:t>
      </w:r>
      <w:r w:rsidRPr="00A536EF">
        <w:rPr>
          <w:rFonts w:ascii="Arial" w:hAnsi="Arial" w:cs="Arial"/>
          <w:i/>
          <w:iCs/>
          <w:color w:val="000000" w:themeColor="text1"/>
          <w:sz w:val="20"/>
          <w:szCs w:val="20"/>
        </w:rPr>
        <w:t>P</w:t>
      </w:r>
      <w:r w:rsidR="00E723A3"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&lt; .001), indicating that tourist arrivals were increasing by about 0.68 million per year prior to COVID-19. The immediate impact of the pandemic is large and negative, the decline of approximately 11.58 million arrivals (</w:t>
      </w:r>
      <w:r w:rsidRPr="00A536EF">
        <w:rPr>
          <w:rFonts w:ascii="Arial" w:hAnsi="Arial" w:cs="Arial"/>
          <w:i/>
          <w:iCs/>
          <w:color w:val="000000" w:themeColor="text1"/>
          <w:sz w:val="20"/>
          <w:szCs w:val="20"/>
        </w:rPr>
        <w:t>P</w:t>
      </w:r>
      <w:r w:rsidR="00DF2DD7"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&lt; .001), indicating rapid disruption of tourism activity.</w:t>
      </w:r>
    </w:p>
    <w:p w14:paraId="55A9ADAD" w14:textId="3B755F5A" w:rsidR="0069150F" w:rsidRPr="00A536EF" w:rsidRDefault="0069150F" w:rsidP="00943E1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long-term impact of the pandemic is also negative and statistically significant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 xml:space="preserve">= </w:t>
      </w:r>
      <w:r w:rsidR="00E93295" w:rsidRPr="00A536EF">
        <w:rPr>
          <w:rFonts w:ascii="Arial" w:hAnsi="Arial" w:cs="Arial"/>
          <w:color w:val="000000" w:themeColor="text1"/>
          <w:sz w:val="20"/>
          <w:szCs w:val="20"/>
        </w:rPr>
        <w:t>.</w:t>
      </w:r>
      <w:r w:rsidRPr="00A536EF">
        <w:rPr>
          <w:rFonts w:ascii="Arial" w:hAnsi="Arial" w:cs="Arial"/>
          <w:color w:val="000000" w:themeColor="text1"/>
          <w:sz w:val="20"/>
          <w:szCs w:val="20"/>
        </w:rPr>
        <w:t>01</w:t>
      </w:r>
      <w:r w:rsidR="00DF2DD7" w:rsidRPr="00A536EF">
        <w:rPr>
          <w:rFonts w:ascii="Arial" w:hAnsi="Arial" w:cs="Arial"/>
          <w:color w:val="000000" w:themeColor="text1"/>
          <w:sz w:val="20"/>
          <w:szCs w:val="20"/>
        </w:rPr>
        <w:t>)</w:t>
      </w:r>
      <w:r w:rsidRPr="00A536EF">
        <w:rPr>
          <w:rFonts w:ascii="Arial" w:hAnsi="Arial" w:cs="Arial"/>
          <w:color w:val="000000" w:themeColor="text1"/>
          <w:sz w:val="20"/>
          <w:szCs w:val="20"/>
        </w:rPr>
        <w:t>, which means that even after recovery, tourist arrivals are around 2.34 million less than expected. This model explains the high proportion of variation in tourist arrivals, which describes a good fit These findings suggest that there has been a sudden decline in the tourism demand due to COVID-19 and a continuous decline. This may be due to changes in travel behaviour, low flight connectivity and sustained risk concerns. Overall, the tourism sector in India has not yet returned its earlier growth path.</w:t>
      </w:r>
    </w:p>
    <w:p w14:paraId="6978B63D" w14:textId="77777777" w:rsidR="00F5566A" w:rsidRPr="00A536EF" w:rsidRDefault="00F5566A" w:rsidP="008C5A77">
      <w:pPr>
        <w:jc w:val="both"/>
        <w:rPr>
          <w:rFonts w:ascii="Arial" w:hAnsi="Arial" w:cs="Arial"/>
          <w:b/>
          <w:bCs/>
          <w:color w:val="000000" w:themeColor="text1"/>
        </w:rPr>
      </w:pPr>
    </w:p>
    <w:p w14:paraId="01710849" w14:textId="77777777" w:rsidR="00AD0C5E" w:rsidRPr="00A536EF" w:rsidRDefault="008C5A77" w:rsidP="008C5A77">
      <w:pPr>
        <w:jc w:val="both"/>
        <w:rPr>
          <w:rFonts w:ascii="Arial" w:hAnsi="Arial" w:cs="Arial"/>
          <w:b/>
          <w:bCs/>
          <w:color w:val="000000" w:themeColor="text1"/>
        </w:rPr>
      </w:pPr>
      <w:r w:rsidRPr="00A536EF">
        <w:rPr>
          <w:rFonts w:ascii="Arial" w:hAnsi="Arial" w:cs="Arial"/>
          <w:b/>
          <w:bCs/>
          <w:color w:val="000000" w:themeColor="text1"/>
        </w:rPr>
        <w:t>T</w:t>
      </w:r>
      <w:r w:rsidR="007C171C" w:rsidRPr="00A536EF">
        <w:rPr>
          <w:rFonts w:ascii="Arial" w:hAnsi="Arial" w:cs="Arial"/>
          <w:b/>
          <w:bCs/>
          <w:color w:val="000000" w:themeColor="text1"/>
        </w:rPr>
        <w:t>able</w:t>
      </w:r>
      <w:r w:rsidRPr="00A536EF">
        <w:rPr>
          <w:rFonts w:ascii="Arial" w:hAnsi="Arial" w:cs="Arial"/>
          <w:b/>
          <w:bCs/>
          <w:color w:val="000000" w:themeColor="text1"/>
        </w:rPr>
        <w:t xml:space="preserve"> 2</w:t>
      </w:r>
      <w:r w:rsidR="007C171C" w:rsidRPr="00A536EF">
        <w:rPr>
          <w:rFonts w:ascii="Arial" w:hAnsi="Arial" w:cs="Arial"/>
          <w:b/>
          <w:bCs/>
          <w:color w:val="000000" w:themeColor="text1"/>
        </w:rPr>
        <w:t>.</w:t>
      </w:r>
      <w:r w:rsidRPr="00A536EF">
        <w:rPr>
          <w:rFonts w:ascii="Arial" w:hAnsi="Arial" w:cs="Arial"/>
          <w:b/>
          <w:bCs/>
          <w:color w:val="000000" w:themeColor="text1"/>
        </w:rPr>
        <w:t xml:space="preserve"> Intervention </w:t>
      </w:r>
      <w:proofErr w:type="spellStart"/>
      <w:proofErr w:type="gramStart"/>
      <w:r w:rsidRPr="00A536EF">
        <w:rPr>
          <w:rFonts w:ascii="Arial" w:hAnsi="Arial" w:cs="Arial"/>
          <w:b/>
          <w:bCs/>
          <w:color w:val="000000" w:themeColor="text1"/>
        </w:rPr>
        <w:t>Analysis</w:t>
      </w:r>
      <w:r w:rsidR="00E723A3" w:rsidRPr="00A536EF">
        <w:rPr>
          <w:rFonts w:ascii="Arial" w:hAnsi="Arial" w:cs="Arial"/>
          <w:b/>
          <w:bCs/>
          <w:i/>
          <w:iCs/>
          <w:color w:val="000000" w:themeColor="text1"/>
          <w:vertAlign w:val="superscript"/>
        </w:rPr>
        <w:t>a,b</w:t>
      </w:r>
      <w:proofErr w:type="gramEnd"/>
      <w:r w:rsidR="00E723A3" w:rsidRPr="00A536EF">
        <w:rPr>
          <w:rFonts w:ascii="Arial" w:hAnsi="Arial" w:cs="Arial"/>
          <w:b/>
          <w:bCs/>
          <w:i/>
          <w:iCs/>
          <w:color w:val="000000" w:themeColor="text1"/>
          <w:vertAlign w:val="superscript"/>
        </w:rPr>
        <w:t>,c</w:t>
      </w:r>
      <w:proofErr w:type="spellEnd"/>
      <w:r w:rsidRPr="00A536EF">
        <w:rPr>
          <w:rFonts w:ascii="Arial" w:hAnsi="Arial" w:cs="Arial"/>
          <w:b/>
          <w:bCs/>
          <w:i/>
          <w:iCs/>
          <w:color w:val="000000" w:themeColor="text1"/>
          <w:vertAlign w:val="superscript"/>
        </w:rPr>
        <w:t xml:space="preserve"> </w:t>
      </w:r>
      <w:r w:rsidRPr="00A536EF">
        <w:rPr>
          <w:rFonts w:ascii="Arial" w:hAnsi="Arial" w:cs="Arial"/>
          <w:b/>
          <w:bCs/>
          <w:color w:val="000000" w:themeColor="text1"/>
        </w:rPr>
        <w:t xml:space="preserve">– </w:t>
      </w:r>
    </w:p>
    <w:p w14:paraId="70895F26" w14:textId="1E523476" w:rsidR="008C5A77" w:rsidRPr="00A536EF" w:rsidRDefault="00AD0C5E" w:rsidP="00AD0C5E">
      <w:pPr>
        <w:jc w:val="center"/>
        <w:rPr>
          <w:rFonts w:ascii="Arial" w:hAnsi="Arial" w:cs="Arial"/>
          <w:b/>
          <w:bCs/>
          <w:color w:val="000000" w:themeColor="text1"/>
        </w:rPr>
      </w:pPr>
      <w:r w:rsidRPr="00A536EF">
        <w:rPr>
          <w:rFonts w:ascii="Arial" w:hAnsi="Arial" w:cs="Arial"/>
          <w:b/>
          <w:bCs/>
          <w:color w:val="000000" w:themeColor="text1"/>
        </w:rPr>
        <w:t xml:space="preserve">Table 2A. </w:t>
      </w:r>
      <w:r w:rsidR="008C5A77" w:rsidRPr="00A536EF">
        <w:rPr>
          <w:rFonts w:ascii="Arial" w:hAnsi="Arial" w:cs="Arial"/>
          <w:b/>
          <w:bCs/>
          <w:color w:val="000000" w:themeColor="text1"/>
        </w:rPr>
        <w:t>COVID-19 Impact Quantification</w:t>
      </w:r>
    </w:p>
    <w:tbl>
      <w:tblPr>
        <w:tblStyle w:val="TableGrid"/>
        <w:tblW w:w="0" w:type="auto"/>
        <w:tblLook w:val="04A0" w:firstRow="1" w:lastRow="0" w:firstColumn="1" w:lastColumn="0" w:noHBand="0" w:noVBand="1"/>
      </w:tblPr>
      <w:tblGrid>
        <w:gridCol w:w="2667"/>
        <w:gridCol w:w="1250"/>
        <w:gridCol w:w="706"/>
        <w:gridCol w:w="972"/>
        <w:gridCol w:w="1081"/>
        <w:gridCol w:w="2340"/>
      </w:tblGrid>
      <w:tr w:rsidR="00A536EF" w:rsidRPr="00A536EF" w14:paraId="7D80E581" w14:textId="77777777" w:rsidTr="00F10B9C">
        <w:tc>
          <w:tcPr>
            <w:tcW w:w="2667" w:type="dxa"/>
          </w:tcPr>
          <w:p w14:paraId="61142712"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Variable</w:t>
            </w:r>
          </w:p>
        </w:tc>
        <w:tc>
          <w:tcPr>
            <w:tcW w:w="1250" w:type="dxa"/>
          </w:tcPr>
          <w:p w14:paraId="5D2BB787"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Coefficient</w:t>
            </w:r>
          </w:p>
        </w:tc>
        <w:tc>
          <w:tcPr>
            <w:tcW w:w="0" w:type="auto"/>
          </w:tcPr>
          <w:p w14:paraId="712C95A6"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Std. Error</w:t>
            </w:r>
          </w:p>
        </w:tc>
        <w:tc>
          <w:tcPr>
            <w:tcW w:w="0" w:type="auto"/>
          </w:tcPr>
          <w:p w14:paraId="5675F8D0"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‘t’ statistic</w:t>
            </w:r>
          </w:p>
        </w:tc>
        <w:tc>
          <w:tcPr>
            <w:tcW w:w="1081" w:type="dxa"/>
          </w:tcPr>
          <w:p w14:paraId="06D738FB"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i/>
                <w:iCs/>
                <w:color w:val="000000" w:themeColor="text1"/>
              </w:rPr>
              <w:t>‘P</w:t>
            </w:r>
            <w:r w:rsidR="00106AA4" w:rsidRPr="00A536EF">
              <w:rPr>
                <w:rFonts w:ascii="Arial" w:hAnsi="Arial" w:cs="Arial"/>
                <w:b/>
                <w:bCs/>
                <w:i/>
                <w:iCs/>
                <w:color w:val="000000" w:themeColor="text1"/>
              </w:rPr>
              <w:t>’ Value</w:t>
            </w:r>
          </w:p>
        </w:tc>
        <w:tc>
          <w:tcPr>
            <w:tcW w:w="2340" w:type="dxa"/>
          </w:tcPr>
          <w:p w14:paraId="09B19A80"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Effect Size</w:t>
            </w:r>
          </w:p>
        </w:tc>
      </w:tr>
      <w:tr w:rsidR="00A536EF" w:rsidRPr="00A536EF" w14:paraId="0A3FC6EC" w14:textId="77777777" w:rsidTr="00F10B9C">
        <w:tc>
          <w:tcPr>
            <w:tcW w:w="2667" w:type="dxa"/>
          </w:tcPr>
          <w:p w14:paraId="54F1913B" w14:textId="77777777" w:rsidR="00480D65" w:rsidRPr="00A536EF" w:rsidRDefault="00480D65" w:rsidP="00480D65">
            <w:pPr>
              <w:jc w:val="both"/>
              <w:rPr>
                <w:rFonts w:ascii="Arial" w:hAnsi="Arial" w:cs="Arial"/>
                <w:color w:val="000000" w:themeColor="text1"/>
              </w:rPr>
            </w:pPr>
            <w:r w:rsidRPr="00A536EF">
              <w:rPr>
                <w:rFonts w:ascii="Arial" w:hAnsi="Arial" w:cs="Arial"/>
                <w:b/>
                <w:bCs/>
                <w:color w:val="000000" w:themeColor="text1"/>
              </w:rPr>
              <w:t>Constant (α</w:t>
            </w:r>
            <w:r w:rsidRPr="00A536EF">
              <w:rPr>
                <w:rFonts w:ascii="Cambria Math" w:hAnsi="Cambria Math" w:cs="Cambria Math"/>
                <w:b/>
                <w:bCs/>
                <w:color w:val="000000" w:themeColor="text1"/>
              </w:rPr>
              <w:t>₀</w:t>
            </w:r>
            <w:r w:rsidRPr="00A536EF">
              <w:rPr>
                <w:rFonts w:ascii="Arial" w:hAnsi="Arial" w:cs="Arial"/>
                <w:b/>
                <w:bCs/>
                <w:color w:val="000000" w:themeColor="text1"/>
              </w:rPr>
              <w:t>)</w:t>
            </w:r>
          </w:p>
        </w:tc>
        <w:tc>
          <w:tcPr>
            <w:tcW w:w="1250" w:type="dxa"/>
          </w:tcPr>
          <w:p w14:paraId="525D5894"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1.85</w:t>
            </w:r>
          </w:p>
        </w:tc>
        <w:tc>
          <w:tcPr>
            <w:tcW w:w="0" w:type="auto"/>
          </w:tcPr>
          <w:p w14:paraId="621BFEEE"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0.42</w:t>
            </w:r>
          </w:p>
        </w:tc>
        <w:tc>
          <w:tcPr>
            <w:tcW w:w="0" w:type="auto"/>
          </w:tcPr>
          <w:p w14:paraId="670FD024"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4.40</w:t>
            </w:r>
          </w:p>
        </w:tc>
        <w:tc>
          <w:tcPr>
            <w:tcW w:w="1081" w:type="dxa"/>
          </w:tcPr>
          <w:p w14:paraId="64B0F38E" w14:textId="0B054F38" w:rsidR="00480D65" w:rsidRPr="00A536EF" w:rsidRDefault="00480D65" w:rsidP="00480D65">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Pr="00A536EF">
              <w:rPr>
                <w:rFonts w:ascii="Arial" w:hAnsi="Arial" w:cs="Arial"/>
                <w:color w:val="000000" w:themeColor="text1"/>
              </w:rPr>
              <w:t>.001</w:t>
            </w:r>
          </w:p>
        </w:tc>
        <w:tc>
          <w:tcPr>
            <w:tcW w:w="2340" w:type="dxa"/>
          </w:tcPr>
          <w:p w14:paraId="737C7FCD"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Baseline (2001)</w:t>
            </w:r>
          </w:p>
        </w:tc>
      </w:tr>
      <w:tr w:rsidR="00A536EF" w:rsidRPr="00A536EF" w14:paraId="32F74A69" w14:textId="77777777" w:rsidTr="00F10B9C">
        <w:tc>
          <w:tcPr>
            <w:tcW w:w="2667" w:type="dxa"/>
          </w:tcPr>
          <w:p w14:paraId="4BBF117E" w14:textId="77777777" w:rsidR="00480D65" w:rsidRPr="00A536EF" w:rsidRDefault="00480D65" w:rsidP="00480D65">
            <w:pPr>
              <w:jc w:val="both"/>
              <w:rPr>
                <w:rFonts w:ascii="Arial" w:hAnsi="Arial" w:cs="Arial"/>
                <w:color w:val="000000" w:themeColor="text1"/>
              </w:rPr>
            </w:pPr>
            <w:r w:rsidRPr="00A536EF">
              <w:rPr>
                <w:rFonts w:ascii="Arial" w:hAnsi="Arial" w:cs="Arial"/>
                <w:b/>
                <w:bCs/>
                <w:color w:val="000000" w:themeColor="text1"/>
              </w:rPr>
              <w:t>Time trend (α</w:t>
            </w:r>
            <w:r w:rsidRPr="00A536EF">
              <w:rPr>
                <w:rFonts w:ascii="Cambria Math" w:hAnsi="Cambria Math" w:cs="Cambria Math"/>
                <w:b/>
                <w:bCs/>
                <w:color w:val="000000" w:themeColor="text1"/>
              </w:rPr>
              <w:t>₁</w:t>
            </w:r>
            <w:r w:rsidRPr="00A536EF">
              <w:rPr>
                <w:rFonts w:ascii="Arial" w:hAnsi="Arial" w:cs="Arial"/>
                <w:b/>
                <w:bCs/>
                <w:color w:val="000000" w:themeColor="text1"/>
              </w:rPr>
              <w:t>)</w:t>
            </w:r>
          </w:p>
        </w:tc>
        <w:tc>
          <w:tcPr>
            <w:tcW w:w="1250" w:type="dxa"/>
          </w:tcPr>
          <w:p w14:paraId="7C0EECBB"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0.68</w:t>
            </w:r>
          </w:p>
        </w:tc>
        <w:tc>
          <w:tcPr>
            <w:tcW w:w="0" w:type="auto"/>
          </w:tcPr>
          <w:p w14:paraId="639CB998"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0.05</w:t>
            </w:r>
          </w:p>
        </w:tc>
        <w:tc>
          <w:tcPr>
            <w:tcW w:w="0" w:type="auto"/>
          </w:tcPr>
          <w:p w14:paraId="0E88D935"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13.60</w:t>
            </w:r>
          </w:p>
        </w:tc>
        <w:tc>
          <w:tcPr>
            <w:tcW w:w="1081" w:type="dxa"/>
          </w:tcPr>
          <w:p w14:paraId="330189B1" w14:textId="189236E2" w:rsidR="00480D65" w:rsidRPr="00A536EF" w:rsidRDefault="00480D65" w:rsidP="00480D65">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Pr="00A536EF">
              <w:rPr>
                <w:rFonts w:ascii="Arial" w:hAnsi="Arial" w:cs="Arial"/>
                <w:color w:val="000000" w:themeColor="text1"/>
              </w:rPr>
              <w:t>.001</w:t>
            </w:r>
          </w:p>
        </w:tc>
        <w:tc>
          <w:tcPr>
            <w:tcW w:w="2340" w:type="dxa"/>
          </w:tcPr>
          <w:p w14:paraId="5D0C110F"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+0.68 million/year</w:t>
            </w:r>
          </w:p>
        </w:tc>
      </w:tr>
      <w:tr w:rsidR="00A536EF" w:rsidRPr="00A536EF" w14:paraId="79943E72" w14:textId="77777777" w:rsidTr="00F10B9C">
        <w:tc>
          <w:tcPr>
            <w:tcW w:w="2667" w:type="dxa"/>
          </w:tcPr>
          <w:p w14:paraId="53EE6F71" w14:textId="77777777" w:rsidR="00480D65" w:rsidRPr="00A536EF" w:rsidRDefault="00480D65" w:rsidP="00480D65">
            <w:pPr>
              <w:jc w:val="both"/>
              <w:rPr>
                <w:rFonts w:ascii="Arial" w:hAnsi="Arial" w:cs="Arial"/>
                <w:color w:val="000000" w:themeColor="text1"/>
              </w:rPr>
            </w:pPr>
            <w:r w:rsidRPr="00A536EF">
              <w:rPr>
                <w:rFonts w:ascii="Arial" w:hAnsi="Arial" w:cs="Arial"/>
                <w:b/>
                <w:bCs/>
                <w:color w:val="000000" w:themeColor="text1"/>
              </w:rPr>
              <w:t>Pulse intervention (α</w:t>
            </w:r>
            <w:r w:rsidRPr="00A536EF">
              <w:rPr>
                <w:rFonts w:ascii="Cambria Math" w:hAnsi="Cambria Math" w:cs="Cambria Math"/>
                <w:b/>
                <w:bCs/>
                <w:color w:val="000000" w:themeColor="text1"/>
              </w:rPr>
              <w:t>₂</w:t>
            </w:r>
            <w:r w:rsidRPr="00A536EF">
              <w:rPr>
                <w:rFonts w:ascii="Arial" w:hAnsi="Arial" w:cs="Arial"/>
                <w:b/>
                <w:bCs/>
                <w:color w:val="000000" w:themeColor="text1"/>
              </w:rPr>
              <w:t>)</w:t>
            </w:r>
          </w:p>
        </w:tc>
        <w:tc>
          <w:tcPr>
            <w:tcW w:w="1250" w:type="dxa"/>
          </w:tcPr>
          <w:p w14:paraId="7D361EF5"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-11.58</w:t>
            </w:r>
          </w:p>
        </w:tc>
        <w:tc>
          <w:tcPr>
            <w:tcW w:w="0" w:type="auto"/>
          </w:tcPr>
          <w:p w14:paraId="204EA633"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1.23</w:t>
            </w:r>
          </w:p>
        </w:tc>
        <w:tc>
          <w:tcPr>
            <w:tcW w:w="0" w:type="auto"/>
          </w:tcPr>
          <w:p w14:paraId="044ABC7C"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-9.41</w:t>
            </w:r>
          </w:p>
        </w:tc>
        <w:tc>
          <w:tcPr>
            <w:tcW w:w="1081" w:type="dxa"/>
          </w:tcPr>
          <w:p w14:paraId="422D9F3D" w14:textId="4120DF1A" w:rsidR="00480D65" w:rsidRPr="00A536EF" w:rsidRDefault="00480D65" w:rsidP="00480D65">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i/>
                <w:iCs/>
                <w:color w:val="000000" w:themeColor="text1"/>
              </w:rPr>
              <w:t>&lt;</w:t>
            </w:r>
            <w:r w:rsidR="00E723A3" w:rsidRPr="00A536EF">
              <w:rPr>
                <w:rFonts w:ascii="Arial" w:hAnsi="Arial" w:cs="Arial"/>
                <w:i/>
                <w:iCs/>
                <w:color w:val="000000" w:themeColor="text1"/>
              </w:rPr>
              <w:t xml:space="preserve"> </w:t>
            </w:r>
            <w:r w:rsidRPr="00A536EF">
              <w:rPr>
                <w:rFonts w:ascii="Arial" w:hAnsi="Arial" w:cs="Arial"/>
                <w:color w:val="000000" w:themeColor="text1"/>
              </w:rPr>
              <w:t>.001</w:t>
            </w:r>
          </w:p>
        </w:tc>
        <w:tc>
          <w:tcPr>
            <w:tcW w:w="2340" w:type="dxa"/>
          </w:tcPr>
          <w:p w14:paraId="6B42B7DB"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-11.58 million (2020 only)</w:t>
            </w:r>
          </w:p>
        </w:tc>
      </w:tr>
      <w:tr w:rsidR="00A536EF" w:rsidRPr="00A536EF" w14:paraId="7AFEE4FF" w14:textId="77777777" w:rsidTr="00F10B9C">
        <w:tc>
          <w:tcPr>
            <w:tcW w:w="2667" w:type="dxa"/>
          </w:tcPr>
          <w:p w14:paraId="472C9F36" w14:textId="77777777" w:rsidR="00480D65" w:rsidRPr="00A536EF" w:rsidRDefault="00480D65" w:rsidP="00480D65">
            <w:pPr>
              <w:jc w:val="both"/>
              <w:rPr>
                <w:rFonts w:ascii="Arial" w:hAnsi="Arial" w:cs="Arial"/>
                <w:color w:val="000000" w:themeColor="text1"/>
              </w:rPr>
            </w:pPr>
            <w:r w:rsidRPr="00A536EF">
              <w:rPr>
                <w:rFonts w:ascii="Arial" w:hAnsi="Arial" w:cs="Arial"/>
                <w:b/>
                <w:bCs/>
                <w:color w:val="000000" w:themeColor="text1"/>
              </w:rPr>
              <w:t>Step intervention (α</w:t>
            </w:r>
            <w:r w:rsidRPr="00A536EF">
              <w:rPr>
                <w:rFonts w:ascii="Cambria Math" w:hAnsi="Cambria Math" w:cs="Cambria Math"/>
                <w:b/>
                <w:bCs/>
                <w:color w:val="000000" w:themeColor="text1"/>
              </w:rPr>
              <w:t>₃</w:t>
            </w:r>
            <w:r w:rsidRPr="00A536EF">
              <w:rPr>
                <w:rFonts w:ascii="Arial" w:hAnsi="Arial" w:cs="Arial"/>
                <w:b/>
                <w:bCs/>
                <w:color w:val="000000" w:themeColor="text1"/>
              </w:rPr>
              <w:t>)</w:t>
            </w:r>
          </w:p>
        </w:tc>
        <w:tc>
          <w:tcPr>
            <w:tcW w:w="1250" w:type="dxa"/>
          </w:tcPr>
          <w:p w14:paraId="15E4C7F1"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-2.34</w:t>
            </w:r>
          </w:p>
        </w:tc>
        <w:tc>
          <w:tcPr>
            <w:tcW w:w="0" w:type="auto"/>
          </w:tcPr>
          <w:p w14:paraId="04D71C8E"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0.87</w:t>
            </w:r>
          </w:p>
        </w:tc>
        <w:tc>
          <w:tcPr>
            <w:tcW w:w="0" w:type="auto"/>
          </w:tcPr>
          <w:p w14:paraId="4B6F294F"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-2.69</w:t>
            </w:r>
          </w:p>
        </w:tc>
        <w:tc>
          <w:tcPr>
            <w:tcW w:w="1081" w:type="dxa"/>
          </w:tcPr>
          <w:p w14:paraId="02909E9C" w14:textId="3504BBAD" w:rsidR="00480D65" w:rsidRPr="00A536EF" w:rsidRDefault="00480D65" w:rsidP="00480D65">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i/>
                <w:iCs/>
                <w:color w:val="000000" w:themeColor="text1"/>
              </w:rPr>
              <w:t>&lt;</w:t>
            </w:r>
            <w:r w:rsidR="00E723A3" w:rsidRPr="00A536EF">
              <w:rPr>
                <w:rFonts w:ascii="Arial" w:hAnsi="Arial" w:cs="Arial"/>
                <w:i/>
                <w:iCs/>
                <w:color w:val="000000" w:themeColor="text1"/>
              </w:rPr>
              <w:t xml:space="preserve"> </w:t>
            </w:r>
            <w:r w:rsidRPr="00A536EF">
              <w:rPr>
                <w:rFonts w:ascii="Arial" w:hAnsi="Arial" w:cs="Arial"/>
                <w:color w:val="000000" w:themeColor="text1"/>
              </w:rPr>
              <w:t>.001</w:t>
            </w:r>
          </w:p>
        </w:tc>
        <w:tc>
          <w:tcPr>
            <w:tcW w:w="2340" w:type="dxa"/>
          </w:tcPr>
          <w:p w14:paraId="01217129" w14:textId="77777777" w:rsidR="00480D65" w:rsidRPr="00A536EF" w:rsidRDefault="00480D65" w:rsidP="00480D65">
            <w:pPr>
              <w:jc w:val="both"/>
              <w:rPr>
                <w:rFonts w:ascii="Arial" w:hAnsi="Arial" w:cs="Arial"/>
                <w:color w:val="000000" w:themeColor="text1"/>
              </w:rPr>
            </w:pPr>
            <w:r w:rsidRPr="00A536EF">
              <w:rPr>
                <w:rFonts w:ascii="Arial" w:hAnsi="Arial" w:cs="Arial"/>
                <w:color w:val="000000" w:themeColor="text1"/>
              </w:rPr>
              <w:t>-2.34 million permanent shifts</w:t>
            </w:r>
          </w:p>
        </w:tc>
      </w:tr>
    </w:tbl>
    <w:p w14:paraId="1FA3F6D4" w14:textId="77777777" w:rsidR="008C5A77" w:rsidRPr="00A536EF" w:rsidRDefault="008C5A77" w:rsidP="008C5A77">
      <w:pPr>
        <w:jc w:val="both"/>
        <w:rPr>
          <w:rFonts w:ascii="Arial" w:hAnsi="Arial" w:cs="Arial"/>
          <w:b/>
          <w:bCs/>
          <w:color w:val="000000" w:themeColor="text1"/>
          <w:sz w:val="20"/>
          <w:szCs w:val="20"/>
        </w:rPr>
      </w:pPr>
    </w:p>
    <w:p w14:paraId="7040F4E9" w14:textId="15FF7D32"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2B. </w:t>
      </w:r>
      <w:r w:rsidR="008C5A77" w:rsidRPr="00A536EF">
        <w:rPr>
          <w:rFonts w:ascii="Arial" w:hAnsi="Arial" w:cs="Arial"/>
          <w:b/>
          <w:bCs/>
          <w:color w:val="000000" w:themeColor="text1"/>
          <w:sz w:val="20"/>
          <w:szCs w:val="20"/>
        </w:rPr>
        <w:t>Model Fit</w:t>
      </w:r>
    </w:p>
    <w:tbl>
      <w:tblPr>
        <w:tblStyle w:val="TableGrid"/>
        <w:tblW w:w="5000" w:type="pct"/>
        <w:tblLook w:val="04A0" w:firstRow="1" w:lastRow="0" w:firstColumn="1" w:lastColumn="0" w:noHBand="0" w:noVBand="1"/>
      </w:tblPr>
      <w:tblGrid>
        <w:gridCol w:w="5446"/>
        <w:gridCol w:w="3570"/>
      </w:tblGrid>
      <w:tr w:rsidR="00A536EF" w:rsidRPr="00A536EF" w14:paraId="1BE50E63" w14:textId="77777777" w:rsidTr="00F663E4">
        <w:tc>
          <w:tcPr>
            <w:tcW w:w="3020" w:type="pct"/>
          </w:tcPr>
          <w:p w14:paraId="07007CF1" w14:textId="77777777" w:rsidR="008C5A77" w:rsidRPr="00A536EF" w:rsidRDefault="008C5A77" w:rsidP="008C5A77">
            <w:pPr>
              <w:jc w:val="center"/>
              <w:rPr>
                <w:rFonts w:ascii="Arial" w:hAnsi="Arial" w:cs="Arial"/>
                <w:b/>
                <w:bCs/>
                <w:color w:val="000000" w:themeColor="text1"/>
              </w:rPr>
            </w:pPr>
            <w:r w:rsidRPr="00A536EF">
              <w:rPr>
                <w:rFonts w:ascii="Arial" w:hAnsi="Arial" w:cs="Arial"/>
                <w:b/>
                <w:bCs/>
                <w:color w:val="000000" w:themeColor="text1"/>
              </w:rPr>
              <w:t>Statistic</w:t>
            </w:r>
          </w:p>
        </w:tc>
        <w:tc>
          <w:tcPr>
            <w:tcW w:w="1980" w:type="pct"/>
          </w:tcPr>
          <w:p w14:paraId="38C5EB6A" w14:textId="77777777" w:rsidR="008C5A77" w:rsidRPr="00A536EF" w:rsidRDefault="008C5A77" w:rsidP="008C5A77">
            <w:pPr>
              <w:jc w:val="center"/>
              <w:rPr>
                <w:rFonts w:ascii="Arial" w:hAnsi="Arial" w:cs="Arial"/>
                <w:b/>
                <w:bCs/>
                <w:color w:val="000000" w:themeColor="text1"/>
              </w:rPr>
            </w:pPr>
            <w:r w:rsidRPr="00A536EF">
              <w:rPr>
                <w:rFonts w:ascii="Arial" w:hAnsi="Arial" w:cs="Arial"/>
                <w:b/>
                <w:bCs/>
                <w:color w:val="000000" w:themeColor="text1"/>
              </w:rPr>
              <w:t>Value</w:t>
            </w:r>
          </w:p>
        </w:tc>
      </w:tr>
      <w:tr w:rsidR="00A536EF" w:rsidRPr="00A536EF" w14:paraId="5ACD1942" w14:textId="77777777" w:rsidTr="00F663E4">
        <w:tc>
          <w:tcPr>
            <w:tcW w:w="3020" w:type="pct"/>
          </w:tcPr>
          <w:p w14:paraId="3D65AD6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w:t>
            </w:r>
          </w:p>
        </w:tc>
        <w:tc>
          <w:tcPr>
            <w:tcW w:w="1980" w:type="pct"/>
          </w:tcPr>
          <w:p w14:paraId="00B92BA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0.951</w:t>
            </w:r>
          </w:p>
        </w:tc>
      </w:tr>
      <w:tr w:rsidR="00A536EF" w:rsidRPr="00A536EF" w14:paraId="0159F56F" w14:textId="77777777" w:rsidTr="00F663E4">
        <w:tc>
          <w:tcPr>
            <w:tcW w:w="3020" w:type="pct"/>
          </w:tcPr>
          <w:p w14:paraId="094EE68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Adjusted R-squared</w:t>
            </w:r>
          </w:p>
        </w:tc>
        <w:tc>
          <w:tcPr>
            <w:tcW w:w="1980" w:type="pct"/>
          </w:tcPr>
          <w:p w14:paraId="32EE770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0.943</w:t>
            </w:r>
          </w:p>
        </w:tc>
      </w:tr>
      <w:tr w:rsidR="00A536EF" w:rsidRPr="00A536EF" w14:paraId="10641BF6" w14:textId="77777777" w:rsidTr="00F663E4">
        <w:tc>
          <w:tcPr>
            <w:tcW w:w="3020" w:type="pct"/>
          </w:tcPr>
          <w:p w14:paraId="7329504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RMSE</w:t>
            </w:r>
          </w:p>
        </w:tc>
        <w:tc>
          <w:tcPr>
            <w:tcW w:w="1980" w:type="pct"/>
          </w:tcPr>
          <w:p w14:paraId="12F9B36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1.21 million</w:t>
            </w:r>
          </w:p>
        </w:tc>
      </w:tr>
    </w:tbl>
    <w:p w14:paraId="6B915FEA" w14:textId="77777777" w:rsidR="008C5A77" w:rsidRPr="00A536EF" w:rsidRDefault="00480D65" w:rsidP="00480D65">
      <w:pPr>
        <w:rPr>
          <w:rFonts w:ascii="Arial" w:hAnsi="Arial" w:cs="Arial"/>
          <w:b/>
          <w:bCs/>
          <w:color w:val="000000" w:themeColor="text1"/>
          <w:sz w:val="20"/>
          <w:szCs w:val="20"/>
        </w:rPr>
      </w:pPr>
      <w:r w:rsidRPr="00A536EF">
        <w:rPr>
          <w:rFonts w:ascii="Arial" w:hAnsi="Arial" w:cs="Arial"/>
          <w:b/>
          <w:bCs/>
          <w:color w:val="000000" w:themeColor="text1"/>
          <w:sz w:val="20"/>
          <w:szCs w:val="20"/>
        </w:rPr>
        <w:t>Notes:</w:t>
      </w:r>
      <w:r w:rsidRPr="00A536EF">
        <w:rPr>
          <w:rFonts w:ascii="Arial" w:hAnsi="Arial" w:cs="Arial"/>
          <w:b/>
          <w:bCs/>
          <w:color w:val="000000" w:themeColor="text1"/>
          <w:sz w:val="20"/>
          <w:szCs w:val="20"/>
        </w:rPr>
        <w:br/>
      </w:r>
      <w:r w:rsidRPr="00A536EF">
        <w:rPr>
          <w:rFonts w:ascii="Arial" w:hAnsi="Arial" w:cs="Arial"/>
          <w:i/>
          <w:iCs/>
          <w:color w:val="000000" w:themeColor="text1"/>
          <w:sz w:val="20"/>
          <w:szCs w:val="20"/>
        </w:rPr>
        <w:t>a Dependent variable: ITA</w:t>
      </w:r>
      <w:r w:rsidRPr="00A536EF">
        <w:rPr>
          <w:rFonts w:ascii="Cambria Math" w:hAnsi="Cambria Math" w:cs="Cambria Math"/>
          <w:i/>
          <w:iCs/>
          <w:color w:val="000000" w:themeColor="text1"/>
          <w:sz w:val="20"/>
          <w:szCs w:val="20"/>
        </w:rPr>
        <w:t>ₜ</w:t>
      </w:r>
      <w:r w:rsidRPr="00A536EF">
        <w:rPr>
          <w:rFonts w:ascii="Arial" w:hAnsi="Arial" w:cs="Arial"/>
          <w:i/>
          <w:iCs/>
          <w:color w:val="000000" w:themeColor="text1"/>
          <w:sz w:val="20"/>
          <w:szCs w:val="20"/>
        </w:rPr>
        <w:br/>
        <w:t>b P &lt; .001 indicates statistical significance</w:t>
      </w:r>
      <w:r w:rsidRPr="00A536EF">
        <w:rPr>
          <w:rFonts w:ascii="Arial" w:hAnsi="Arial" w:cs="Arial"/>
          <w:i/>
          <w:iCs/>
          <w:color w:val="000000" w:themeColor="text1"/>
          <w:sz w:val="20"/>
          <w:szCs w:val="20"/>
        </w:rPr>
        <w:br/>
        <w:t>c Coefficients are estimated using intervention model</w:t>
      </w:r>
    </w:p>
    <w:p w14:paraId="43199303" w14:textId="52F37A36" w:rsidR="003F143F" w:rsidRPr="00A536EF" w:rsidRDefault="003F143F" w:rsidP="00B0193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the log-log elastic model are presented in table 3. The model examines the relationship between foreign tourist arrivals and foreign exchange earnings in India. In this model, the coefficient represents the elasticity, which shows the percentage change in earnings for percentage change in tourist arrivals. The results indicate that in the pre-COVID period (2001-2019) elasticity is 0.89 and statistically significant (</w:t>
      </w:r>
      <w:r w:rsidRPr="00A536EF">
        <w:rPr>
          <w:rFonts w:ascii="Arial" w:hAnsi="Arial" w:cs="Arial"/>
          <w:i/>
          <w:iCs/>
          <w:color w:val="000000" w:themeColor="text1"/>
          <w:sz w:val="20"/>
          <w:szCs w:val="20"/>
        </w:rPr>
        <w:t>P</w:t>
      </w:r>
      <w:r w:rsidR="00E723A3"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&lt; .001). This means an increase of 0.89% in tourist arrivals. Since the value is less than one, it indicates that income was growing at a slower rate than arrival, indicating gradual decline in per tourist expenditure.</w:t>
      </w:r>
    </w:p>
    <w:p w14:paraId="253C0AE5" w14:textId="62C9987A" w:rsidR="007C171C" w:rsidRPr="00A536EF" w:rsidRDefault="003F143F" w:rsidP="00100CF5">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In the post-COVID period (2020-2023), the elasticity decreases to 0.66 and the change in elasticity is marginally important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.05). This shows that the relationship between arrivals and earnings has weakened after the pandemic. The results show that tourism development is now dependent on the number of tourists and not on their expenses. Now the one per cent increase in arrivals is only 0.66 percent. It has significant policy implications as increasing the number of tourists alone cannot significantly improve earnings. More attention should be paid to attract more spending tourists, including luxury travellers, medical tourists and tourists from far flung areas</w:t>
      </w:r>
      <w:r w:rsidR="001A4131" w:rsidRPr="00A536EF">
        <w:rPr>
          <w:rFonts w:ascii="Arial" w:hAnsi="Arial" w:cs="Arial"/>
          <w:color w:val="000000" w:themeColor="text1"/>
          <w:sz w:val="20"/>
          <w:szCs w:val="20"/>
        </w:rPr>
        <w:t xml:space="preserve"> (Singh et al., 2026)</w:t>
      </w:r>
      <w:r w:rsidRPr="00A536EF">
        <w:rPr>
          <w:rFonts w:ascii="Arial" w:hAnsi="Arial" w:cs="Arial"/>
          <w:color w:val="000000" w:themeColor="text1"/>
          <w:sz w:val="20"/>
          <w:szCs w:val="20"/>
        </w:rPr>
        <w:t>.</w:t>
      </w:r>
    </w:p>
    <w:p w14:paraId="79F851CA" w14:textId="77777777" w:rsidR="00AD0C5E" w:rsidRPr="00A536EF" w:rsidRDefault="008C5A77" w:rsidP="008C5A77">
      <w:pPr>
        <w:rPr>
          <w:rFonts w:ascii="Arial" w:hAnsi="Arial" w:cs="Arial"/>
          <w:b/>
          <w:bCs/>
          <w:color w:val="000000" w:themeColor="text1"/>
        </w:rPr>
      </w:pPr>
      <w:r w:rsidRPr="00A536EF">
        <w:rPr>
          <w:rFonts w:ascii="Arial" w:hAnsi="Arial" w:cs="Arial"/>
          <w:b/>
          <w:bCs/>
          <w:color w:val="000000" w:themeColor="text1"/>
        </w:rPr>
        <w:t xml:space="preserve">Table 3. Log-Log Elasticity </w:t>
      </w:r>
      <w:proofErr w:type="spellStart"/>
      <w:proofErr w:type="gramStart"/>
      <w:r w:rsidRPr="00A536EF">
        <w:rPr>
          <w:rFonts w:ascii="Arial" w:hAnsi="Arial" w:cs="Arial"/>
          <w:b/>
          <w:bCs/>
          <w:color w:val="000000" w:themeColor="text1"/>
        </w:rPr>
        <w:t>Model</w:t>
      </w:r>
      <w:r w:rsidR="00E723A3" w:rsidRPr="00A536EF">
        <w:rPr>
          <w:rFonts w:ascii="Arial" w:hAnsi="Arial" w:cs="Arial"/>
          <w:b/>
          <w:bCs/>
          <w:i/>
          <w:iCs/>
          <w:color w:val="000000" w:themeColor="text1"/>
          <w:vertAlign w:val="superscript"/>
        </w:rPr>
        <w:t>a,b</w:t>
      </w:r>
      <w:proofErr w:type="gramEnd"/>
      <w:r w:rsidR="00E723A3" w:rsidRPr="00A536EF">
        <w:rPr>
          <w:rFonts w:ascii="Arial" w:hAnsi="Arial" w:cs="Arial"/>
          <w:b/>
          <w:bCs/>
          <w:i/>
          <w:iCs/>
          <w:color w:val="000000" w:themeColor="text1"/>
          <w:vertAlign w:val="superscript"/>
        </w:rPr>
        <w:t>,c</w:t>
      </w:r>
      <w:proofErr w:type="spellEnd"/>
      <w:r w:rsidRPr="00A536EF">
        <w:rPr>
          <w:rFonts w:ascii="Arial" w:hAnsi="Arial" w:cs="Arial"/>
          <w:b/>
          <w:bCs/>
          <w:color w:val="000000" w:themeColor="text1"/>
        </w:rPr>
        <w:t xml:space="preserve">– </w:t>
      </w:r>
    </w:p>
    <w:p w14:paraId="0B7AB74E" w14:textId="306D27FB" w:rsidR="008C5A77" w:rsidRPr="00A536EF" w:rsidRDefault="00AD0C5E" w:rsidP="00AD0C5E">
      <w:pPr>
        <w:jc w:val="center"/>
        <w:rPr>
          <w:rFonts w:ascii="Arial" w:hAnsi="Arial" w:cs="Arial"/>
          <w:b/>
          <w:bCs/>
          <w:color w:val="000000" w:themeColor="text1"/>
        </w:rPr>
      </w:pPr>
      <w:r w:rsidRPr="00A536EF">
        <w:rPr>
          <w:rFonts w:ascii="Arial" w:hAnsi="Arial" w:cs="Arial"/>
          <w:b/>
          <w:bCs/>
          <w:color w:val="000000" w:themeColor="text1"/>
        </w:rPr>
        <w:lastRenderedPageBreak/>
        <w:t xml:space="preserve">Table 3A. </w:t>
      </w:r>
      <w:r w:rsidR="008C5A77" w:rsidRPr="00A536EF">
        <w:rPr>
          <w:rFonts w:ascii="Arial" w:hAnsi="Arial" w:cs="Arial"/>
          <w:b/>
          <w:bCs/>
          <w:color w:val="000000" w:themeColor="text1"/>
        </w:rPr>
        <w:t>FEE Responsiveness to Arrivals</w:t>
      </w:r>
    </w:p>
    <w:tbl>
      <w:tblPr>
        <w:tblStyle w:val="TableGrid"/>
        <w:tblW w:w="0" w:type="auto"/>
        <w:tblLook w:val="04A0" w:firstRow="1" w:lastRow="0" w:firstColumn="1" w:lastColumn="0" w:noHBand="0" w:noVBand="1"/>
      </w:tblPr>
      <w:tblGrid>
        <w:gridCol w:w="2205"/>
        <w:gridCol w:w="1250"/>
        <w:gridCol w:w="1078"/>
        <w:gridCol w:w="1172"/>
        <w:gridCol w:w="1007"/>
        <w:gridCol w:w="2304"/>
      </w:tblGrid>
      <w:tr w:rsidR="00A536EF" w:rsidRPr="00A536EF" w14:paraId="7B276ABA" w14:textId="77777777" w:rsidTr="00F663E4">
        <w:tc>
          <w:tcPr>
            <w:tcW w:w="0" w:type="auto"/>
          </w:tcPr>
          <w:p w14:paraId="7DD6E314"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Variable</w:t>
            </w:r>
          </w:p>
        </w:tc>
        <w:tc>
          <w:tcPr>
            <w:tcW w:w="0" w:type="auto"/>
          </w:tcPr>
          <w:p w14:paraId="37D27BDD"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Coefficient</w:t>
            </w:r>
          </w:p>
        </w:tc>
        <w:tc>
          <w:tcPr>
            <w:tcW w:w="0" w:type="auto"/>
          </w:tcPr>
          <w:p w14:paraId="20E6A208"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Std. Error</w:t>
            </w:r>
          </w:p>
        </w:tc>
        <w:tc>
          <w:tcPr>
            <w:tcW w:w="0" w:type="auto"/>
          </w:tcPr>
          <w:p w14:paraId="4AE2D117"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‘t’ statistic</w:t>
            </w:r>
          </w:p>
        </w:tc>
        <w:tc>
          <w:tcPr>
            <w:tcW w:w="0" w:type="auto"/>
          </w:tcPr>
          <w:p w14:paraId="7A7C446E"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i/>
                <w:iCs/>
                <w:color w:val="000000" w:themeColor="text1"/>
              </w:rPr>
              <w:t>‘P</w:t>
            </w:r>
            <w:r w:rsidR="00106AA4" w:rsidRPr="00A536EF">
              <w:rPr>
                <w:rFonts w:ascii="Arial" w:hAnsi="Arial" w:cs="Arial"/>
                <w:b/>
                <w:bCs/>
                <w:i/>
                <w:iCs/>
                <w:color w:val="000000" w:themeColor="text1"/>
              </w:rPr>
              <w:t>’ Value</w:t>
            </w:r>
          </w:p>
        </w:tc>
        <w:tc>
          <w:tcPr>
            <w:tcW w:w="0" w:type="auto"/>
          </w:tcPr>
          <w:p w14:paraId="0C5A3171" w14:textId="77777777" w:rsidR="00F10B9C" w:rsidRPr="00A536EF" w:rsidRDefault="00F10B9C" w:rsidP="00F10B9C">
            <w:pPr>
              <w:jc w:val="center"/>
              <w:rPr>
                <w:rFonts w:ascii="Arial" w:hAnsi="Arial" w:cs="Arial"/>
                <w:b/>
                <w:bCs/>
                <w:color w:val="000000" w:themeColor="text1"/>
              </w:rPr>
            </w:pPr>
            <w:r w:rsidRPr="00A536EF">
              <w:rPr>
                <w:rFonts w:ascii="Arial" w:hAnsi="Arial" w:cs="Arial"/>
                <w:b/>
                <w:bCs/>
                <w:color w:val="000000" w:themeColor="text1"/>
              </w:rPr>
              <w:t>Elasticity Interpretation</w:t>
            </w:r>
          </w:p>
        </w:tc>
      </w:tr>
      <w:tr w:rsidR="00A536EF" w:rsidRPr="00A536EF" w14:paraId="43D75183" w14:textId="77777777" w:rsidTr="00F663E4">
        <w:tc>
          <w:tcPr>
            <w:tcW w:w="0" w:type="auto"/>
          </w:tcPr>
          <w:p w14:paraId="323667F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Constant (γ</w:t>
            </w:r>
            <w:r w:rsidRPr="00A536EF">
              <w:rPr>
                <w:rFonts w:ascii="Cambria Math" w:hAnsi="Cambria Math" w:cs="Cambria Math"/>
                <w:color w:val="000000" w:themeColor="text1"/>
              </w:rPr>
              <w:t>₀</w:t>
            </w:r>
            <w:r w:rsidRPr="00A536EF">
              <w:rPr>
                <w:rFonts w:ascii="Arial" w:hAnsi="Arial" w:cs="Arial"/>
                <w:color w:val="000000" w:themeColor="text1"/>
              </w:rPr>
              <w:t>)</w:t>
            </w:r>
          </w:p>
        </w:tc>
        <w:tc>
          <w:tcPr>
            <w:tcW w:w="0" w:type="auto"/>
          </w:tcPr>
          <w:p w14:paraId="6C40500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-0.584</w:t>
            </w:r>
          </w:p>
        </w:tc>
        <w:tc>
          <w:tcPr>
            <w:tcW w:w="0" w:type="auto"/>
          </w:tcPr>
          <w:p w14:paraId="7A4A93F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0.321</w:t>
            </w:r>
          </w:p>
        </w:tc>
        <w:tc>
          <w:tcPr>
            <w:tcW w:w="0" w:type="auto"/>
          </w:tcPr>
          <w:p w14:paraId="1A1CA93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-1.82</w:t>
            </w:r>
          </w:p>
        </w:tc>
        <w:tc>
          <w:tcPr>
            <w:tcW w:w="0" w:type="auto"/>
          </w:tcPr>
          <w:p w14:paraId="5894FF32" w14:textId="20D7C202"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color w:val="000000" w:themeColor="text1"/>
              </w:rPr>
              <w:t xml:space="preserve">= </w:t>
            </w:r>
            <w:r w:rsidR="008C5A77" w:rsidRPr="00A536EF">
              <w:rPr>
                <w:rFonts w:ascii="Arial" w:hAnsi="Arial" w:cs="Arial"/>
                <w:color w:val="000000" w:themeColor="text1"/>
              </w:rPr>
              <w:t>.08</w:t>
            </w:r>
          </w:p>
        </w:tc>
        <w:tc>
          <w:tcPr>
            <w:tcW w:w="0" w:type="auto"/>
          </w:tcPr>
          <w:p w14:paraId="670EF4E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Baseline</w:t>
            </w:r>
          </w:p>
        </w:tc>
      </w:tr>
      <w:tr w:rsidR="00A536EF" w:rsidRPr="00A536EF" w14:paraId="15CC62D6" w14:textId="77777777" w:rsidTr="00F663E4">
        <w:tc>
          <w:tcPr>
            <w:tcW w:w="0" w:type="auto"/>
          </w:tcPr>
          <w:p w14:paraId="365EDC8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Ln (</w:t>
            </w:r>
            <w:proofErr w:type="spellStart"/>
            <w:r w:rsidRPr="00A536EF">
              <w:rPr>
                <w:rFonts w:ascii="Arial" w:hAnsi="Arial" w:cs="Arial"/>
                <w:color w:val="000000" w:themeColor="text1"/>
              </w:rPr>
              <w:t>FTA_t</w:t>
            </w:r>
            <w:proofErr w:type="spellEnd"/>
            <w:r w:rsidRPr="00A536EF">
              <w:rPr>
                <w:rFonts w:ascii="Arial" w:hAnsi="Arial" w:cs="Arial"/>
                <w:color w:val="000000" w:themeColor="text1"/>
              </w:rPr>
              <w:t>) (γ</w:t>
            </w:r>
            <w:r w:rsidRPr="00A536EF">
              <w:rPr>
                <w:rFonts w:ascii="Cambria Math" w:hAnsi="Cambria Math" w:cs="Cambria Math"/>
                <w:color w:val="000000" w:themeColor="text1"/>
              </w:rPr>
              <w:t>₁</w:t>
            </w:r>
            <w:r w:rsidRPr="00A536EF">
              <w:rPr>
                <w:rFonts w:ascii="Arial" w:hAnsi="Arial" w:cs="Arial"/>
                <w:color w:val="000000" w:themeColor="text1"/>
              </w:rPr>
              <w:t>)</w:t>
            </w:r>
          </w:p>
        </w:tc>
        <w:tc>
          <w:tcPr>
            <w:tcW w:w="0" w:type="auto"/>
          </w:tcPr>
          <w:p w14:paraId="703E8A3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0.892</w:t>
            </w:r>
          </w:p>
        </w:tc>
        <w:tc>
          <w:tcPr>
            <w:tcW w:w="0" w:type="auto"/>
          </w:tcPr>
          <w:p w14:paraId="2A487CA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0.087</w:t>
            </w:r>
          </w:p>
        </w:tc>
        <w:tc>
          <w:tcPr>
            <w:tcW w:w="0" w:type="auto"/>
          </w:tcPr>
          <w:p w14:paraId="39E1E5A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10.25</w:t>
            </w:r>
          </w:p>
        </w:tc>
        <w:tc>
          <w:tcPr>
            <w:tcW w:w="0" w:type="auto"/>
          </w:tcPr>
          <w:p w14:paraId="2A344E93" w14:textId="32C19CC6"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Pr="00A536EF">
              <w:rPr>
                <w:rFonts w:ascii="Arial" w:hAnsi="Arial" w:cs="Arial"/>
                <w:color w:val="000000" w:themeColor="text1"/>
              </w:rPr>
              <w:t>.001</w:t>
            </w:r>
          </w:p>
        </w:tc>
        <w:tc>
          <w:tcPr>
            <w:tcW w:w="0" w:type="auto"/>
          </w:tcPr>
          <w:p w14:paraId="33B7308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Pre-COVID elasticity</w:t>
            </w:r>
          </w:p>
        </w:tc>
      </w:tr>
      <w:tr w:rsidR="00A536EF" w:rsidRPr="00A536EF" w14:paraId="30C608C3" w14:textId="77777777" w:rsidTr="00F663E4">
        <w:tc>
          <w:tcPr>
            <w:tcW w:w="0" w:type="auto"/>
          </w:tcPr>
          <w:p w14:paraId="5CF8786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Ln (</w:t>
            </w:r>
            <w:proofErr w:type="spellStart"/>
            <w:r w:rsidRPr="00A536EF">
              <w:rPr>
                <w:rFonts w:ascii="Arial" w:hAnsi="Arial" w:cs="Arial"/>
                <w:color w:val="000000" w:themeColor="text1"/>
              </w:rPr>
              <w:t>FTA_t</w:t>
            </w:r>
            <w:proofErr w:type="spellEnd"/>
            <w:r w:rsidRPr="00A536EF">
              <w:rPr>
                <w:rFonts w:ascii="Arial" w:hAnsi="Arial" w:cs="Arial"/>
                <w:color w:val="000000" w:themeColor="text1"/>
              </w:rPr>
              <w:t>) × COVID (γ</w:t>
            </w:r>
            <w:r w:rsidRPr="00A536EF">
              <w:rPr>
                <w:rFonts w:ascii="Cambria Math" w:hAnsi="Cambria Math" w:cs="Cambria Math"/>
                <w:color w:val="000000" w:themeColor="text1"/>
              </w:rPr>
              <w:t>₂</w:t>
            </w:r>
            <w:r w:rsidRPr="00A536EF">
              <w:rPr>
                <w:rFonts w:ascii="Arial" w:hAnsi="Arial" w:cs="Arial"/>
                <w:color w:val="000000" w:themeColor="text1"/>
              </w:rPr>
              <w:t>)</w:t>
            </w:r>
          </w:p>
        </w:tc>
        <w:tc>
          <w:tcPr>
            <w:tcW w:w="0" w:type="auto"/>
          </w:tcPr>
          <w:p w14:paraId="432F8D9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-0.231</w:t>
            </w:r>
          </w:p>
        </w:tc>
        <w:tc>
          <w:tcPr>
            <w:tcW w:w="0" w:type="auto"/>
          </w:tcPr>
          <w:p w14:paraId="1256A31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0.112</w:t>
            </w:r>
          </w:p>
        </w:tc>
        <w:tc>
          <w:tcPr>
            <w:tcW w:w="0" w:type="auto"/>
          </w:tcPr>
          <w:p w14:paraId="20BC1BD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-2.06</w:t>
            </w:r>
          </w:p>
        </w:tc>
        <w:tc>
          <w:tcPr>
            <w:tcW w:w="0" w:type="auto"/>
          </w:tcPr>
          <w:p w14:paraId="6B843F66" w14:textId="48A8239B"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color w:val="000000" w:themeColor="text1"/>
              </w:rPr>
              <w:t xml:space="preserve">= </w:t>
            </w:r>
            <w:r w:rsidR="008C5A77" w:rsidRPr="00A536EF">
              <w:rPr>
                <w:rFonts w:ascii="Arial" w:hAnsi="Arial" w:cs="Arial"/>
                <w:color w:val="000000" w:themeColor="text1"/>
              </w:rPr>
              <w:t>.05</w:t>
            </w:r>
          </w:p>
        </w:tc>
        <w:tc>
          <w:tcPr>
            <w:tcW w:w="0" w:type="auto"/>
          </w:tcPr>
          <w:p w14:paraId="4B810C6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Change post-COVID</w:t>
            </w:r>
          </w:p>
        </w:tc>
      </w:tr>
      <w:tr w:rsidR="00A536EF" w:rsidRPr="00A536EF" w14:paraId="6C7723B3" w14:textId="77777777" w:rsidTr="00F663E4">
        <w:tc>
          <w:tcPr>
            <w:tcW w:w="0" w:type="auto"/>
          </w:tcPr>
          <w:p w14:paraId="384AFAE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COVID dummy (γ</w:t>
            </w:r>
            <w:r w:rsidRPr="00A536EF">
              <w:rPr>
                <w:rFonts w:ascii="Cambria Math" w:hAnsi="Cambria Math" w:cs="Cambria Math"/>
                <w:color w:val="000000" w:themeColor="text1"/>
              </w:rPr>
              <w:t>₃</w:t>
            </w:r>
            <w:r w:rsidRPr="00A536EF">
              <w:rPr>
                <w:rFonts w:ascii="Arial" w:hAnsi="Arial" w:cs="Arial"/>
                <w:color w:val="000000" w:themeColor="text1"/>
              </w:rPr>
              <w:t>)</w:t>
            </w:r>
          </w:p>
        </w:tc>
        <w:tc>
          <w:tcPr>
            <w:tcW w:w="0" w:type="auto"/>
          </w:tcPr>
          <w:p w14:paraId="2F88567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0.156</w:t>
            </w:r>
          </w:p>
        </w:tc>
        <w:tc>
          <w:tcPr>
            <w:tcW w:w="0" w:type="auto"/>
          </w:tcPr>
          <w:p w14:paraId="1C6B132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0.098</w:t>
            </w:r>
          </w:p>
        </w:tc>
        <w:tc>
          <w:tcPr>
            <w:tcW w:w="0" w:type="auto"/>
          </w:tcPr>
          <w:p w14:paraId="52CB019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1.59</w:t>
            </w:r>
          </w:p>
        </w:tc>
        <w:tc>
          <w:tcPr>
            <w:tcW w:w="0" w:type="auto"/>
          </w:tcPr>
          <w:p w14:paraId="51097EDC" w14:textId="756ADCAE"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Pr="00A536EF">
              <w:rPr>
                <w:rFonts w:ascii="Arial" w:hAnsi="Arial" w:cs="Arial"/>
                <w:color w:val="000000" w:themeColor="text1"/>
              </w:rPr>
              <w:t xml:space="preserve">= </w:t>
            </w:r>
            <w:r w:rsidR="008C5A77" w:rsidRPr="00A536EF">
              <w:rPr>
                <w:rFonts w:ascii="Arial" w:hAnsi="Arial" w:cs="Arial"/>
                <w:color w:val="000000" w:themeColor="text1"/>
              </w:rPr>
              <w:t>.13</w:t>
            </w:r>
          </w:p>
        </w:tc>
        <w:tc>
          <w:tcPr>
            <w:tcW w:w="0" w:type="auto"/>
          </w:tcPr>
          <w:p w14:paraId="745498C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Level shift</w:t>
            </w:r>
          </w:p>
        </w:tc>
      </w:tr>
    </w:tbl>
    <w:p w14:paraId="31A17673" w14:textId="77777777" w:rsidR="008C5A77" w:rsidRPr="00A536EF" w:rsidRDefault="008C5A77" w:rsidP="008C5A77">
      <w:pPr>
        <w:jc w:val="both"/>
        <w:rPr>
          <w:rFonts w:ascii="Arial" w:hAnsi="Arial" w:cs="Arial"/>
          <w:b/>
          <w:bCs/>
          <w:color w:val="000000" w:themeColor="text1"/>
          <w:sz w:val="20"/>
          <w:szCs w:val="20"/>
        </w:rPr>
      </w:pPr>
    </w:p>
    <w:p w14:paraId="1A49ED53" w14:textId="50067A35"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3B. </w:t>
      </w:r>
      <w:r w:rsidR="008C5A77" w:rsidRPr="00A536EF">
        <w:rPr>
          <w:rFonts w:ascii="Arial" w:hAnsi="Arial" w:cs="Arial"/>
          <w:b/>
          <w:bCs/>
          <w:color w:val="000000" w:themeColor="text1"/>
          <w:sz w:val="20"/>
          <w:szCs w:val="20"/>
        </w:rPr>
        <w:t>Model Fit</w:t>
      </w:r>
    </w:p>
    <w:tbl>
      <w:tblPr>
        <w:tblStyle w:val="TableGrid"/>
        <w:tblW w:w="5000" w:type="pct"/>
        <w:tblLook w:val="04A0" w:firstRow="1" w:lastRow="0" w:firstColumn="1" w:lastColumn="0" w:noHBand="0" w:noVBand="1"/>
      </w:tblPr>
      <w:tblGrid>
        <w:gridCol w:w="4771"/>
        <w:gridCol w:w="4245"/>
      </w:tblGrid>
      <w:tr w:rsidR="00A536EF" w:rsidRPr="00A536EF" w14:paraId="3E221CA7" w14:textId="77777777" w:rsidTr="00F663E4">
        <w:tc>
          <w:tcPr>
            <w:tcW w:w="2646" w:type="pct"/>
          </w:tcPr>
          <w:p w14:paraId="212250F0"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Statistic</w:t>
            </w:r>
          </w:p>
        </w:tc>
        <w:tc>
          <w:tcPr>
            <w:tcW w:w="2354" w:type="pct"/>
          </w:tcPr>
          <w:p w14:paraId="3C87BB1D"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Value</w:t>
            </w:r>
          </w:p>
        </w:tc>
      </w:tr>
      <w:tr w:rsidR="00A536EF" w:rsidRPr="00A536EF" w14:paraId="694325B3" w14:textId="77777777" w:rsidTr="00F663E4">
        <w:tc>
          <w:tcPr>
            <w:tcW w:w="2646" w:type="pct"/>
          </w:tcPr>
          <w:p w14:paraId="3DB219B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w:t>
            </w:r>
          </w:p>
        </w:tc>
        <w:tc>
          <w:tcPr>
            <w:tcW w:w="2354" w:type="pct"/>
          </w:tcPr>
          <w:p w14:paraId="7490922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0.928</w:t>
            </w:r>
          </w:p>
        </w:tc>
      </w:tr>
      <w:tr w:rsidR="00A536EF" w:rsidRPr="00A536EF" w14:paraId="73516AC7" w14:textId="77777777" w:rsidTr="00F663E4">
        <w:tc>
          <w:tcPr>
            <w:tcW w:w="2646" w:type="pct"/>
          </w:tcPr>
          <w:p w14:paraId="500A2DE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Adjusted R-squared</w:t>
            </w:r>
          </w:p>
        </w:tc>
        <w:tc>
          <w:tcPr>
            <w:tcW w:w="2354" w:type="pct"/>
          </w:tcPr>
          <w:p w14:paraId="318FC3A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0.918</w:t>
            </w:r>
          </w:p>
        </w:tc>
      </w:tr>
      <w:tr w:rsidR="00A536EF" w:rsidRPr="00A536EF" w14:paraId="150E5140" w14:textId="77777777" w:rsidTr="00F663E4">
        <w:tc>
          <w:tcPr>
            <w:tcW w:w="2646" w:type="pct"/>
          </w:tcPr>
          <w:p w14:paraId="157A4C5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F-statistic</w:t>
            </w:r>
          </w:p>
        </w:tc>
        <w:tc>
          <w:tcPr>
            <w:tcW w:w="2354" w:type="pct"/>
          </w:tcPr>
          <w:p w14:paraId="0FCF0C0F" w14:textId="7A5FE61F"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89.45 (</w:t>
            </w:r>
            <w:r w:rsidR="007A5F4F" w:rsidRPr="00A536EF">
              <w:rPr>
                <w:rFonts w:ascii="Arial" w:hAnsi="Arial" w:cs="Arial"/>
                <w:i/>
                <w:iCs/>
                <w:color w:val="000000" w:themeColor="text1"/>
              </w:rPr>
              <w:t>P</w:t>
            </w:r>
            <w:r w:rsidR="00DF2DD7" w:rsidRPr="00A536EF">
              <w:rPr>
                <w:rFonts w:ascii="Arial" w:hAnsi="Arial" w:cs="Arial"/>
                <w:i/>
                <w:iCs/>
                <w:color w:val="000000" w:themeColor="text1"/>
              </w:rPr>
              <w:t xml:space="preserve"> </w:t>
            </w:r>
            <w:r w:rsidR="007A5F4F" w:rsidRPr="00A536EF">
              <w:rPr>
                <w:rFonts w:ascii="Arial" w:hAnsi="Arial" w:cs="Arial"/>
                <w:i/>
                <w:iCs/>
                <w:color w:val="000000" w:themeColor="text1"/>
              </w:rPr>
              <w:t>&lt;</w:t>
            </w:r>
            <w:r w:rsidR="00DF2DD7" w:rsidRPr="00A536EF">
              <w:rPr>
                <w:rFonts w:ascii="Arial" w:hAnsi="Arial" w:cs="Arial"/>
                <w:i/>
                <w:iCs/>
                <w:color w:val="000000" w:themeColor="text1"/>
              </w:rPr>
              <w:t xml:space="preserve"> </w:t>
            </w:r>
            <w:r w:rsidR="007A5F4F" w:rsidRPr="00A536EF">
              <w:rPr>
                <w:rFonts w:ascii="Arial" w:hAnsi="Arial" w:cs="Arial"/>
                <w:color w:val="000000" w:themeColor="text1"/>
              </w:rPr>
              <w:t>.001</w:t>
            </w:r>
            <w:r w:rsidRPr="00A536EF">
              <w:rPr>
                <w:rFonts w:ascii="Arial" w:hAnsi="Arial" w:cs="Arial"/>
                <w:color w:val="000000" w:themeColor="text1"/>
              </w:rPr>
              <w:t>)</w:t>
            </w:r>
          </w:p>
        </w:tc>
      </w:tr>
    </w:tbl>
    <w:p w14:paraId="614FC7C2" w14:textId="77777777" w:rsidR="008C5A77" w:rsidRPr="00A536EF" w:rsidRDefault="008C5A77" w:rsidP="008C5A77">
      <w:pPr>
        <w:jc w:val="both"/>
        <w:rPr>
          <w:rFonts w:ascii="Arial" w:hAnsi="Arial" w:cs="Arial"/>
          <w:b/>
          <w:bCs/>
          <w:color w:val="000000" w:themeColor="text1"/>
          <w:sz w:val="20"/>
          <w:szCs w:val="20"/>
        </w:rPr>
      </w:pPr>
    </w:p>
    <w:p w14:paraId="4CAF5091" w14:textId="081FA726"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3C. </w:t>
      </w:r>
      <w:r w:rsidR="008C5A77" w:rsidRPr="00A536EF">
        <w:rPr>
          <w:rFonts w:ascii="Arial" w:hAnsi="Arial" w:cs="Arial"/>
          <w:b/>
          <w:bCs/>
          <w:color w:val="000000" w:themeColor="text1"/>
          <w:sz w:val="20"/>
          <w:szCs w:val="20"/>
        </w:rPr>
        <w:t>Elasticity Estimates:</w:t>
      </w:r>
    </w:p>
    <w:tbl>
      <w:tblPr>
        <w:tblStyle w:val="TableGrid"/>
        <w:tblW w:w="5000" w:type="pct"/>
        <w:tblLook w:val="04A0" w:firstRow="1" w:lastRow="0" w:firstColumn="1" w:lastColumn="0" w:noHBand="0" w:noVBand="1"/>
      </w:tblPr>
      <w:tblGrid>
        <w:gridCol w:w="2195"/>
        <w:gridCol w:w="1096"/>
        <w:gridCol w:w="2119"/>
        <w:gridCol w:w="3606"/>
      </w:tblGrid>
      <w:tr w:rsidR="00A536EF" w:rsidRPr="00A536EF" w14:paraId="5D6D6E30" w14:textId="77777777" w:rsidTr="00A536EF">
        <w:tc>
          <w:tcPr>
            <w:tcW w:w="1217" w:type="pct"/>
          </w:tcPr>
          <w:p w14:paraId="7CB2A483"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Period</w:t>
            </w:r>
          </w:p>
        </w:tc>
        <w:tc>
          <w:tcPr>
            <w:tcW w:w="608" w:type="pct"/>
          </w:tcPr>
          <w:p w14:paraId="6C5E2D9F"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Elasticity</w:t>
            </w:r>
          </w:p>
        </w:tc>
        <w:tc>
          <w:tcPr>
            <w:tcW w:w="1175" w:type="pct"/>
          </w:tcPr>
          <w:p w14:paraId="74092CA9"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95% Confidence Interval</w:t>
            </w:r>
          </w:p>
        </w:tc>
        <w:tc>
          <w:tcPr>
            <w:tcW w:w="2000" w:type="pct"/>
          </w:tcPr>
          <w:p w14:paraId="1F0351FF"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Interpretation</w:t>
            </w:r>
          </w:p>
        </w:tc>
      </w:tr>
      <w:tr w:rsidR="00A536EF" w:rsidRPr="00A536EF" w14:paraId="554D6609" w14:textId="77777777" w:rsidTr="00A536EF">
        <w:tc>
          <w:tcPr>
            <w:tcW w:w="1217" w:type="pct"/>
          </w:tcPr>
          <w:p w14:paraId="4A291D6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Pre-COVID (2001–2019)</w:t>
            </w:r>
          </w:p>
        </w:tc>
        <w:tc>
          <w:tcPr>
            <w:tcW w:w="608" w:type="pct"/>
          </w:tcPr>
          <w:p w14:paraId="2658C1F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0.892</w:t>
            </w:r>
          </w:p>
        </w:tc>
        <w:tc>
          <w:tcPr>
            <w:tcW w:w="1175" w:type="pct"/>
          </w:tcPr>
          <w:p w14:paraId="3616159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[0.718, 1.066]</w:t>
            </w:r>
          </w:p>
        </w:tc>
        <w:tc>
          <w:tcPr>
            <w:tcW w:w="2000" w:type="pct"/>
          </w:tcPr>
          <w:p w14:paraId="0848360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Inelastic (spending grows slower than arrivals)</w:t>
            </w:r>
          </w:p>
        </w:tc>
      </w:tr>
      <w:tr w:rsidR="00A536EF" w:rsidRPr="00A536EF" w14:paraId="162BA2A0" w14:textId="77777777" w:rsidTr="00A536EF">
        <w:tc>
          <w:tcPr>
            <w:tcW w:w="1217" w:type="pct"/>
          </w:tcPr>
          <w:p w14:paraId="155049A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Post-COVID (2020–2023)</w:t>
            </w:r>
          </w:p>
        </w:tc>
        <w:tc>
          <w:tcPr>
            <w:tcW w:w="608" w:type="pct"/>
          </w:tcPr>
          <w:p w14:paraId="4426521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0.661</w:t>
            </w:r>
          </w:p>
        </w:tc>
        <w:tc>
          <w:tcPr>
            <w:tcW w:w="1175" w:type="pct"/>
          </w:tcPr>
          <w:p w14:paraId="0D287F6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[0.512, 0.810]</w:t>
            </w:r>
          </w:p>
        </w:tc>
        <w:tc>
          <w:tcPr>
            <w:tcW w:w="2000" w:type="pct"/>
          </w:tcPr>
          <w:p w14:paraId="65AC184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Inelastic (spending lag worsened)</w:t>
            </w:r>
          </w:p>
        </w:tc>
      </w:tr>
      <w:tr w:rsidR="00A536EF" w:rsidRPr="00A536EF" w14:paraId="120BCD8C" w14:textId="77777777" w:rsidTr="00A536EF">
        <w:tc>
          <w:tcPr>
            <w:tcW w:w="1217" w:type="pct"/>
          </w:tcPr>
          <w:p w14:paraId="230A974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Change</w:t>
            </w:r>
          </w:p>
        </w:tc>
        <w:tc>
          <w:tcPr>
            <w:tcW w:w="608" w:type="pct"/>
          </w:tcPr>
          <w:p w14:paraId="6859B59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-0.231</w:t>
            </w:r>
          </w:p>
        </w:tc>
        <w:tc>
          <w:tcPr>
            <w:tcW w:w="1175" w:type="pct"/>
          </w:tcPr>
          <w:p w14:paraId="549829F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[-0.455, -0.007]</w:t>
            </w:r>
          </w:p>
        </w:tc>
        <w:tc>
          <w:tcPr>
            <w:tcW w:w="2000" w:type="pct"/>
          </w:tcPr>
          <w:p w14:paraId="6C8DABF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Marginally significant (</w:t>
            </w:r>
            <w:r w:rsidRPr="00A536EF">
              <w:rPr>
                <w:rFonts w:ascii="Arial" w:hAnsi="Arial" w:cs="Arial"/>
                <w:i/>
                <w:iCs/>
                <w:color w:val="000000" w:themeColor="text1"/>
              </w:rPr>
              <w:t>P</w:t>
            </w:r>
            <w:r w:rsidRPr="00A536EF">
              <w:rPr>
                <w:rFonts w:ascii="Arial" w:hAnsi="Arial" w:cs="Arial"/>
                <w:color w:val="000000" w:themeColor="text1"/>
              </w:rPr>
              <w:t xml:space="preserve"> = .05)</w:t>
            </w:r>
          </w:p>
        </w:tc>
      </w:tr>
    </w:tbl>
    <w:p w14:paraId="69D93605" w14:textId="1D9EFDB7" w:rsidR="00F32BBE" w:rsidRPr="00A536EF" w:rsidRDefault="00A536EF" w:rsidP="00B0193F">
      <w:pPr>
        <w:rPr>
          <w:rFonts w:ascii="Arial" w:hAnsi="Arial" w:cs="Arial"/>
          <w:b/>
          <w:bCs/>
          <w:color w:val="000000" w:themeColor="text1"/>
          <w:sz w:val="20"/>
          <w:szCs w:val="20"/>
        </w:rPr>
      </w:pPr>
      <w:r w:rsidRPr="00A536EF">
        <w:rPr>
          <w:rFonts w:ascii="Arial" w:hAnsi="Arial" w:cs="Arial"/>
          <w:b/>
          <w:bCs/>
          <w:color w:val="000000" w:themeColor="text1"/>
          <w:sz w:val="20"/>
          <w:szCs w:val="20"/>
        </w:rPr>
        <w:t>Notes:</w:t>
      </w:r>
      <w:r w:rsidR="00F10B9C" w:rsidRPr="00A536EF">
        <w:rPr>
          <w:rFonts w:ascii="Arial" w:hAnsi="Arial" w:cs="Arial"/>
          <w:b/>
          <w:bCs/>
          <w:color w:val="000000" w:themeColor="text1"/>
          <w:sz w:val="20"/>
          <w:szCs w:val="20"/>
        </w:rPr>
        <w:br/>
      </w:r>
      <w:r w:rsidR="00F10B9C" w:rsidRPr="00A536EF">
        <w:rPr>
          <w:rFonts w:ascii="Arial" w:hAnsi="Arial" w:cs="Arial"/>
          <w:i/>
          <w:iCs/>
          <w:color w:val="000000" w:themeColor="text1"/>
          <w:sz w:val="20"/>
          <w:szCs w:val="20"/>
        </w:rPr>
        <w:t>a Dependent variable: ln (FEE</w:t>
      </w:r>
      <w:r w:rsidR="00F10B9C" w:rsidRPr="00A536EF">
        <w:rPr>
          <w:rFonts w:ascii="Cambria Math" w:hAnsi="Cambria Math" w:cs="Cambria Math"/>
          <w:i/>
          <w:iCs/>
          <w:color w:val="000000" w:themeColor="text1"/>
          <w:sz w:val="20"/>
          <w:szCs w:val="20"/>
        </w:rPr>
        <w:t>ₜ</w:t>
      </w:r>
      <w:r w:rsidR="00F10B9C" w:rsidRPr="00A536EF">
        <w:rPr>
          <w:rFonts w:ascii="Arial" w:hAnsi="Arial" w:cs="Arial"/>
          <w:i/>
          <w:iCs/>
          <w:color w:val="000000" w:themeColor="text1"/>
          <w:sz w:val="20"/>
          <w:szCs w:val="20"/>
        </w:rPr>
        <w:t>)</w:t>
      </w:r>
      <w:r w:rsidR="00F10B9C" w:rsidRPr="00A536EF">
        <w:rPr>
          <w:rFonts w:ascii="Arial" w:hAnsi="Arial" w:cs="Arial"/>
          <w:i/>
          <w:iCs/>
          <w:color w:val="000000" w:themeColor="text1"/>
          <w:sz w:val="20"/>
          <w:szCs w:val="20"/>
        </w:rPr>
        <w:br/>
        <w:t>b P &lt; .001 indicates statistical significance</w:t>
      </w:r>
      <w:r w:rsidR="00F10B9C" w:rsidRPr="00A536EF">
        <w:rPr>
          <w:rFonts w:ascii="Arial" w:hAnsi="Arial" w:cs="Arial"/>
          <w:i/>
          <w:iCs/>
          <w:color w:val="000000" w:themeColor="text1"/>
          <w:sz w:val="20"/>
          <w:szCs w:val="20"/>
        </w:rPr>
        <w:br/>
        <w:t>c Elasticity is interpreted as % change in earnings due to % change in arrivals</w:t>
      </w:r>
    </w:p>
    <w:p w14:paraId="4CFA4691" w14:textId="2C9AF666" w:rsidR="00F32BBE" w:rsidRPr="00A536EF" w:rsidRDefault="00F32BBE" w:rsidP="00A96AA4">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the panel regression model are presented in table 4. The model examines factors affecting tourism recovery in nine areas from 2020 to 2023 while controlling area-specific effects. Dependent variable is the log of recovery index in which 2019 has been taken as base year. The results show that the share of the migratory tourists has a positive and statistically significant impact on the recovery (</w:t>
      </w:r>
      <w:r w:rsidRPr="00A536EF">
        <w:rPr>
          <w:rFonts w:ascii="Arial" w:hAnsi="Arial" w:cs="Arial"/>
          <w:i/>
          <w:iCs/>
          <w:color w:val="000000" w:themeColor="text1"/>
          <w:sz w:val="20"/>
          <w:szCs w:val="20"/>
        </w:rPr>
        <w:t>P</w:t>
      </w:r>
      <w:r w:rsidR="00E723A3"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&lt; .001). The one percent increase in PBD is linked to an increase of about 3.4 percent in the recovery index. This shows that there has been rapid improvement in the areas with strong migrant connections. In contrast, distance from India has a negative and statistically significant effect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 xml:space="preserve">= </w:t>
      </w:r>
      <w:r w:rsidR="00B16897" w:rsidRPr="00A536EF">
        <w:rPr>
          <w:rFonts w:ascii="Arial" w:hAnsi="Arial" w:cs="Arial"/>
          <w:color w:val="000000" w:themeColor="text1"/>
          <w:sz w:val="20"/>
          <w:szCs w:val="20"/>
        </w:rPr>
        <w:t>.0</w:t>
      </w:r>
      <w:r w:rsidRPr="00A536EF">
        <w:rPr>
          <w:rFonts w:ascii="Arial" w:hAnsi="Arial" w:cs="Arial"/>
          <w:color w:val="000000" w:themeColor="text1"/>
          <w:sz w:val="20"/>
          <w:szCs w:val="20"/>
        </w:rPr>
        <w:t>1</w:t>
      </w:r>
      <w:r w:rsidR="001A4131" w:rsidRPr="00A536EF">
        <w:rPr>
          <w:rFonts w:ascii="Arial" w:hAnsi="Arial" w:cs="Arial"/>
          <w:color w:val="000000" w:themeColor="text1"/>
          <w:sz w:val="20"/>
          <w:szCs w:val="20"/>
        </w:rPr>
        <w:t>)</w:t>
      </w:r>
      <w:r w:rsidRPr="00A536EF">
        <w:rPr>
          <w:rFonts w:ascii="Arial" w:hAnsi="Arial" w:cs="Arial"/>
          <w:color w:val="000000" w:themeColor="text1"/>
          <w:sz w:val="20"/>
          <w:szCs w:val="20"/>
        </w:rPr>
        <w:t>, which indicates that slow recovery appears in remote areas).</w:t>
      </w:r>
    </w:p>
    <w:p w14:paraId="3871FFF8" w14:textId="77777777" w:rsidR="00F10B9C" w:rsidRPr="00A536EF" w:rsidRDefault="00B16897" w:rsidP="00A01640">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Medical tourism has a positive but weak impact on recovery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.07), which shows limited statistical significance. The overall model shows around 69 percent variation in regional recovery, which shows a good fit. These results show that migratory connectivity and geographical proximity play an important role in tourism recovery, while the impact of medical tourism is low. The findings suggest that the policy efforts to support faster and more stable reforms in the tourism sector should focus on the surrounding areas and foreign-run markets.</w:t>
      </w:r>
    </w:p>
    <w:p w14:paraId="7BA60906" w14:textId="620E8C2C" w:rsidR="00AD0C5E" w:rsidRPr="00A536EF" w:rsidRDefault="008C5A77" w:rsidP="008C5A77">
      <w:pPr>
        <w:rPr>
          <w:rFonts w:ascii="Arial" w:hAnsi="Arial" w:cs="Arial"/>
          <w:b/>
          <w:bCs/>
          <w:color w:val="000000" w:themeColor="text1"/>
        </w:rPr>
      </w:pPr>
      <w:r w:rsidRPr="00A536EF">
        <w:rPr>
          <w:rFonts w:ascii="Arial" w:hAnsi="Arial" w:cs="Arial"/>
          <w:b/>
          <w:bCs/>
          <w:color w:val="000000" w:themeColor="text1"/>
        </w:rPr>
        <w:t xml:space="preserve">Table 4. Panel Regression </w:t>
      </w:r>
    </w:p>
    <w:p w14:paraId="08759807" w14:textId="637EB381" w:rsidR="008C5A77" w:rsidRPr="00A536EF" w:rsidRDefault="00AD0C5E" w:rsidP="00AD0C5E">
      <w:pPr>
        <w:jc w:val="center"/>
        <w:rPr>
          <w:rFonts w:ascii="Arial" w:hAnsi="Arial" w:cs="Arial"/>
          <w:b/>
          <w:bCs/>
          <w:color w:val="000000" w:themeColor="text1"/>
        </w:rPr>
      </w:pPr>
      <w:r w:rsidRPr="00A536EF">
        <w:rPr>
          <w:rFonts w:ascii="Arial" w:hAnsi="Arial" w:cs="Arial"/>
          <w:b/>
          <w:bCs/>
          <w:color w:val="000000" w:themeColor="text1"/>
        </w:rPr>
        <w:t xml:space="preserve">Table 4A. </w:t>
      </w:r>
      <w:r w:rsidR="008C5A77" w:rsidRPr="00A536EF">
        <w:rPr>
          <w:rFonts w:ascii="Arial" w:hAnsi="Arial" w:cs="Arial"/>
          <w:b/>
          <w:bCs/>
          <w:color w:val="000000" w:themeColor="text1"/>
        </w:rPr>
        <w:t xml:space="preserve">Determinants of Regional </w:t>
      </w:r>
      <w:proofErr w:type="spellStart"/>
      <w:proofErr w:type="gramStart"/>
      <w:r w:rsidR="008C5A77" w:rsidRPr="00A536EF">
        <w:rPr>
          <w:rFonts w:ascii="Arial" w:hAnsi="Arial" w:cs="Arial"/>
          <w:b/>
          <w:bCs/>
          <w:color w:val="000000" w:themeColor="text1"/>
        </w:rPr>
        <w:t>Recovery</w:t>
      </w:r>
      <w:r w:rsidR="00E723A3" w:rsidRPr="00A536EF">
        <w:rPr>
          <w:rFonts w:ascii="Arial" w:hAnsi="Arial" w:cs="Arial"/>
          <w:b/>
          <w:bCs/>
          <w:i/>
          <w:iCs/>
          <w:color w:val="000000" w:themeColor="text1"/>
          <w:vertAlign w:val="superscript"/>
        </w:rPr>
        <w:t>a,b</w:t>
      </w:r>
      <w:proofErr w:type="gramEnd"/>
      <w:r w:rsidR="00E723A3" w:rsidRPr="00A536EF">
        <w:rPr>
          <w:rFonts w:ascii="Arial" w:hAnsi="Arial" w:cs="Arial"/>
          <w:b/>
          <w:bCs/>
          <w:i/>
          <w:iCs/>
          <w:color w:val="000000" w:themeColor="text1"/>
          <w:vertAlign w:val="superscript"/>
        </w:rPr>
        <w:t>,c</w:t>
      </w:r>
      <w:proofErr w:type="spellEnd"/>
      <w:r w:rsidR="008C5A77" w:rsidRPr="00A536EF">
        <w:rPr>
          <w:rFonts w:ascii="Arial" w:hAnsi="Arial" w:cs="Arial"/>
          <w:b/>
          <w:bCs/>
          <w:i/>
          <w:iCs/>
          <w:color w:val="000000" w:themeColor="text1"/>
          <w:vertAlign w:val="superscript"/>
        </w:rPr>
        <w:t xml:space="preserve"> </w:t>
      </w:r>
      <w:r w:rsidR="008C5A77" w:rsidRPr="00A536EF">
        <w:rPr>
          <w:rFonts w:ascii="Arial" w:hAnsi="Arial" w:cs="Arial"/>
          <w:b/>
          <w:bCs/>
          <w:color w:val="000000" w:themeColor="text1"/>
        </w:rPr>
        <w:t>(2019–2023)</w:t>
      </w:r>
    </w:p>
    <w:tbl>
      <w:tblPr>
        <w:tblStyle w:val="TableGrid"/>
        <w:tblW w:w="0" w:type="auto"/>
        <w:tblLook w:val="04A0" w:firstRow="1" w:lastRow="0" w:firstColumn="1" w:lastColumn="0" w:noHBand="0" w:noVBand="1"/>
      </w:tblPr>
      <w:tblGrid>
        <w:gridCol w:w="2514"/>
        <w:gridCol w:w="1250"/>
        <w:gridCol w:w="717"/>
        <w:gridCol w:w="972"/>
        <w:gridCol w:w="1002"/>
        <w:gridCol w:w="2561"/>
      </w:tblGrid>
      <w:tr w:rsidR="00A536EF" w:rsidRPr="00A536EF" w14:paraId="3F6E1442" w14:textId="77777777" w:rsidTr="007A5F4F">
        <w:tc>
          <w:tcPr>
            <w:tcW w:w="2830" w:type="dxa"/>
          </w:tcPr>
          <w:p w14:paraId="2255EA3C"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Variable</w:t>
            </w:r>
          </w:p>
        </w:tc>
        <w:tc>
          <w:tcPr>
            <w:tcW w:w="331" w:type="dxa"/>
          </w:tcPr>
          <w:p w14:paraId="5507C149"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Coefficient</w:t>
            </w:r>
          </w:p>
        </w:tc>
        <w:tc>
          <w:tcPr>
            <w:tcW w:w="0" w:type="auto"/>
          </w:tcPr>
          <w:p w14:paraId="258EDDEB"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Std. Error</w:t>
            </w:r>
          </w:p>
        </w:tc>
        <w:tc>
          <w:tcPr>
            <w:tcW w:w="0" w:type="auto"/>
          </w:tcPr>
          <w:p w14:paraId="74E45663" w14:textId="77777777" w:rsidR="008C5A77" w:rsidRPr="00A536EF" w:rsidRDefault="00F10B9C" w:rsidP="00F663E4">
            <w:pPr>
              <w:jc w:val="center"/>
              <w:rPr>
                <w:rFonts w:ascii="Arial" w:hAnsi="Arial" w:cs="Arial"/>
                <w:b/>
                <w:bCs/>
                <w:color w:val="000000" w:themeColor="text1"/>
              </w:rPr>
            </w:pPr>
            <w:r w:rsidRPr="00A536EF">
              <w:rPr>
                <w:rFonts w:ascii="Arial" w:hAnsi="Arial" w:cs="Arial"/>
                <w:b/>
                <w:bCs/>
                <w:color w:val="000000" w:themeColor="text1"/>
              </w:rPr>
              <w:t>‘t’ statistic</w:t>
            </w:r>
          </w:p>
        </w:tc>
        <w:tc>
          <w:tcPr>
            <w:tcW w:w="1055" w:type="dxa"/>
          </w:tcPr>
          <w:p w14:paraId="76D301E2" w14:textId="77777777" w:rsidR="008C5A77" w:rsidRPr="00A536EF" w:rsidRDefault="00F10B9C" w:rsidP="00F663E4">
            <w:pPr>
              <w:jc w:val="center"/>
              <w:rPr>
                <w:rFonts w:ascii="Arial" w:hAnsi="Arial" w:cs="Arial"/>
                <w:b/>
                <w:bCs/>
                <w:color w:val="000000" w:themeColor="text1"/>
              </w:rPr>
            </w:pPr>
            <w:r w:rsidRPr="00A536EF">
              <w:rPr>
                <w:rFonts w:ascii="Arial" w:hAnsi="Arial" w:cs="Arial"/>
                <w:b/>
                <w:bCs/>
                <w:i/>
                <w:iCs/>
                <w:color w:val="000000" w:themeColor="text1"/>
              </w:rPr>
              <w:t>‘P</w:t>
            </w:r>
            <w:r w:rsidR="00106AA4" w:rsidRPr="00A536EF">
              <w:rPr>
                <w:rFonts w:ascii="Arial" w:hAnsi="Arial" w:cs="Arial"/>
                <w:b/>
                <w:bCs/>
                <w:i/>
                <w:iCs/>
                <w:color w:val="000000" w:themeColor="text1"/>
              </w:rPr>
              <w:t>’ Value</w:t>
            </w:r>
          </w:p>
        </w:tc>
        <w:tc>
          <w:tcPr>
            <w:tcW w:w="2784" w:type="dxa"/>
          </w:tcPr>
          <w:p w14:paraId="17FC26ED"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Interpretation</w:t>
            </w:r>
          </w:p>
        </w:tc>
      </w:tr>
      <w:tr w:rsidR="00A536EF" w:rsidRPr="00A536EF" w14:paraId="54D03BC3" w14:textId="77777777" w:rsidTr="007A5F4F">
        <w:tc>
          <w:tcPr>
            <w:tcW w:w="2830" w:type="dxa"/>
          </w:tcPr>
          <w:p w14:paraId="7D0C10B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Constant</w:t>
            </w:r>
          </w:p>
        </w:tc>
        <w:tc>
          <w:tcPr>
            <w:tcW w:w="331" w:type="dxa"/>
          </w:tcPr>
          <w:p w14:paraId="52EA86D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3.892</w:t>
            </w:r>
          </w:p>
        </w:tc>
        <w:tc>
          <w:tcPr>
            <w:tcW w:w="0" w:type="auto"/>
          </w:tcPr>
          <w:p w14:paraId="0A44974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0.245</w:t>
            </w:r>
          </w:p>
        </w:tc>
        <w:tc>
          <w:tcPr>
            <w:tcW w:w="0" w:type="auto"/>
          </w:tcPr>
          <w:p w14:paraId="046CC4E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15.89</w:t>
            </w:r>
          </w:p>
        </w:tc>
        <w:tc>
          <w:tcPr>
            <w:tcW w:w="1055" w:type="dxa"/>
          </w:tcPr>
          <w:p w14:paraId="5BCAB5A5" w14:textId="7772964B"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008C5A77" w:rsidRPr="00A536EF">
              <w:rPr>
                <w:rFonts w:ascii="Arial" w:hAnsi="Arial" w:cs="Arial"/>
                <w:color w:val="000000" w:themeColor="text1"/>
              </w:rPr>
              <w:t>.001</w:t>
            </w:r>
          </w:p>
        </w:tc>
        <w:tc>
          <w:tcPr>
            <w:tcW w:w="2784" w:type="dxa"/>
          </w:tcPr>
          <w:p w14:paraId="0AA7721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Baseline recovery</w:t>
            </w:r>
          </w:p>
        </w:tc>
      </w:tr>
      <w:tr w:rsidR="00A536EF" w:rsidRPr="00A536EF" w14:paraId="3BAD4974" w14:textId="77777777" w:rsidTr="007A5F4F">
        <w:tc>
          <w:tcPr>
            <w:tcW w:w="2830" w:type="dxa"/>
          </w:tcPr>
          <w:p w14:paraId="5391812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Diaspora share (%)</w:t>
            </w:r>
          </w:p>
        </w:tc>
        <w:tc>
          <w:tcPr>
            <w:tcW w:w="331" w:type="dxa"/>
          </w:tcPr>
          <w:p w14:paraId="1014A2C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0.034</w:t>
            </w:r>
          </w:p>
        </w:tc>
        <w:tc>
          <w:tcPr>
            <w:tcW w:w="0" w:type="auto"/>
          </w:tcPr>
          <w:p w14:paraId="02B5EF4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0.008</w:t>
            </w:r>
          </w:p>
        </w:tc>
        <w:tc>
          <w:tcPr>
            <w:tcW w:w="0" w:type="auto"/>
          </w:tcPr>
          <w:p w14:paraId="18A8829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4.25</w:t>
            </w:r>
          </w:p>
        </w:tc>
        <w:tc>
          <w:tcPr>
            <w:tcW w:w="1055" w:type="dxa"/>
          </w:tcPr>
          <w:p w14:paraId="13A64C2D" w14:textId="57C13BBF"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Pr="00A536EF">
              <w:rPr>
                <w:rFonts w:ascii="Arial" w:hAnsi="Arial" w:cs="Arial"/>
                <w:color w:val="000000" w:themeColor="text1"/>
              </w:rPr>
              <w:t>.001</w:t>
            </w:r>
          </w:p>
        </w:tc>
        <w:tc>
          <w:tcPr>
            <w:tcW w:w="2784" w:type="dxa"/>
          </w:tcPr>
          <w:p w14:paraId="6DC50DB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+3.4% recovery per 1% diaspora</w:t>
            </w:r>
          </w:p>
        </w:tc>
      </w:tr>
      <w:tr w:rsidR="00A536EF" w:rsidRPr="00A536EF" w14:paraId="6D3986BA" w14:textId="77777777" w:rsidTr="007A5F4F">
        <w:tc>
          <w:tcPr>
            <w:tcW w:w="2830" w:type="dxa"/>
          </w:tcPr>
          <w:p w14:paraId="01E7C4B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lastRenderedPageBreak/>
              <w:t>Medical tourism share (%)</w:t>
            </w:r>
          </w:p>
        </w:tc>
        <w:tc>
          <w:tcPr>
            <w:tcW w:w="331" w:type="dxa"/>
          </w:tcPr>
          <w:p w14:paraId="3372E86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0.021</w:t>
            </w:r>
          </w:p>
        </w:tc>
        <w:tc>
          <w:tcPr>
            <w:tcW w:w="0" w:type="auto"/>
          </w:tcPr>
          <w:p w14:paraId="5A4A0F7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0.011</w:t>
            </w:r>
          </w:p>
        </w:tc>
        <w:tc>
          <w:tcPr>
            <w:tcW w:w="0" w:type="auto"/>
          </w:tcPr>
          <w:p w14:paraId="6640D9A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1.91</w:t>
            </w:r>
          </w:p>
        </w:tc>
        <w:tc>
          <w:tcPr>
            <w:tcW w:w="1055" w:type="dxa"/>
          </w:tcPr>
          <w:p w14:paraId="60EA615C" w14:textId="77777777"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.07</w:t>
            </w:r>
          </w:p>
        </w:tc>
        <w:tc>
          <w:tcPr>
            <w:tcW w:w="2784" w:type="dxa"/>
          </w:tcPr>
          <w:p w14:paraId="1AA5FF2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+2.1% recovery per 1% medical (marginal)</w:t>
            </w:r>
          </w:p>
        </w:tc>
      </w:tr>
      <w:tr w:rsidR="00A536EF" w:rsidRPr="00A536EF" w14:paraId="37C86E2C" w14:textId="77777777" w:rsidTr="007A5F4F">
        <w:tc>
          <w:tcPr>
            <w:tcW w:w="2830" w:type="dxa"/>
          </w:tcPr>
          <w:p w14:paraId="52F2836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Distance (1,000 km)</w:t>
            </w:r>
          </w:p>
        </w:tc>
        <w:tc>
          <w:tcPr>
            <w:tcW w:w="331" w:type="dxa"/>
          </w:tcPr>
          <w:p w14:paraId="3CA9088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-0.028</w:t>
            </w:r>
          </w:p>
        </w:tc>
        <w:tc>
          <w:tcPr>
            <w:tcW w:w="0" w:type="auto"/>
          </w:tcPr>
          <w:p w14:paraId="3BB8D64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0.009</w:t>
            </w:r>
          </w:p>
        </w:tc>
        <w:tc>
          <w:tcPr>
            <w:tcW w:w="0" w:type="auto"/>
          </w:tcPr>
          <w:p w14:paraId="3D01DE6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-3.11</w:t>
            </w:r>
          </w:p>
        </w:tc>
        <w:tc>
          <w:tcPr>
            <w:tcW w:w="1055" w:type="dxa"/>
          </w:tcPr>
          <w:p w14:paraId="0BBCEEA2" w14:textId="77777777"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.01</w:t>
            </w:r>
          </w:p>
        </w:tc>
        <w:tc>
          <w:tcPr>
            <w:tcW w:w="2784" w:type="dxa"/>
          </w:tcPr>
          <w:p w14:paraId="6A1B639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 recovery per 1,000 km</w:t>
            </w:r>
          </w:p>
        </w:tc>
      </w:tr>
      <w:tr w:rsidR="00A536EF" w:rsidRPr="00A536EF" w14:paraId="5B96AF9F" w14:textId="77777777" w:rsidTr="007A5F4F">
        <w:tc>
          <w:tcPr>
            <w:tcW w:w="2830" w:type="dxa"/>
          </w:tcPr>
          <w:p w14:paraId="1F37716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Region fixed effects</w:t>
            </w:r>
          </w:p>
        </w:tc>
        <w:tc>
          <w:tcPr>
            <w:tcW w:w="331" w:type="dxa"/>
          </w:tcPr>
          <w:p w14:paraId="2D06CAC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Included</w:t>
            </w:r>
          </w:p>
        </w:tc>
        <w:tc>
          <w:tcPr>
            <w:tcW w:w="0" w:type="auto"/>
          </w:tcPr>
          <w:p w14:paraId="789DCA8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w:t>
            </w:r>
          </w:p>
        </w:tc>
        <w:tc>
          <w:tcPr>
            <w:tcW w:w="0" w:type="auto"/>
          </w:tcPr>
          <w:p w14:paraId="587034A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w:t>
            </w:r>
          </w:p>
        </w:tc>
        <w:tc>
          <w:tcPr>
            <w:tcW w:w="1055" w:type="dxa"/>
          </w:tcPr>
          <w:p w14:paraId="63A1A63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w:t>
            </w:r>
          </w:p>
        </w:tc>
        <w:tc>
          <w:tcPr>
            <w:tcW w:w="2784" w:type="dxa"/>
          </w:tcPr>
          <w:p w14:paraId="4B717B5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Controls for unobserved heterogeneity</w:t>
            </w:r>
          </w:p>
        </w:tc>
      </w:tr>
    </w:tbl>
    <w:p w14:paraId="3EDC44DF" w14:textId="77777777" w:rsidR="008C5A77" w:rsidRPr="00A536EF" w:rsidRDefault="008C5A77" w:rsidP="008C5A77">
      <w:pPr>
        <w:jc w:val="both"/>
        <w:rPr>
          <w:rFonts w:ascii="Arial" w:hAnsi="Arial" w:cs="Arial"/>
          <w:b/>
          <w:bCs/>
          <w:color w:val="000000" w:themeColor="text1"/>
          <w:sz w:val="20"/>
          <w:szCs w:val="20"/>
        </w:rPr>
      </w:pPr>
    </w:p>
    <w:p w14:paraId="234AFE3F" w14:textId="64882503" w:rsidR="008C5A77" w:rsidRPr="00A536EF" w:rsidRDefault="00AD0C5E" w:rsidP="00AD0C5E">
      <w:pPr>
        <w:jc w:val="center"/>
        <w:rPr>
          <w:rFonts w:ascii="Arial" w:hAnsi="Arial" w:cs="Arial"/>
          <w:color w:val="000000" w:themeColor="text1"/>
          <w:sz w:val="20"/>
          <w:szCs w:val="20"/>
        </w:rPr>
      </w:pPr>
      <w:r w:rsidRPr="00A536EF">
        <w:rPr>
          <w:rFonts w:ascii="Arial" w:hAnsi="Arial" w:cs="Arial"/>
          <w:b/>
          <w:bCs/>
          <w:color w:val="000000" w:themeColor="text1"/>
        </w:rPr>
        <w:t xml:space="preserve">Table 4B. </w:t>
      </w:r>
      <w:r w:rsidR="008C5A77" w:rsidRPr="00A536EF">
        <w:rPr>
          <w:rFonts w:ascii="Arial" w:hAnsi="Arial" w:cs="Arial"/>
          <w:b/>
          <w:bCs/>
          <w:color w:val="000000" w:themeColor="text1"/>
          <w:sz w:val="20"/>
          <w:szCs w:val="20"/>
        </w:rPr>
        <w:t>Model Fit</w:t>
      </w:r>
    </w:p>
    <w:tbl>
      <w:tblPr>
        <w:tblStyle w:val="TableGrid"/>
        <w:tblW w:w="5000" w:type="pct"/>
        <w:tblLook w:val="04A0" w:firstRow="1" w:lastRow="0" w:firstColumn="1" w:lastColumn="0" w:noHBand="0" w:noVBand="1"/>
      </w:tblPr>
      <w:tblGrid>
        <w:gridCol w:w="5186"/>
        <w:gridCol w:w="3830"/>
      </w:tblGrid>
      <w:tr w:rsidR="00A536EF" w:rsidRPr="00A536EF" w14:paraId="5A32F675" w14:textId="77777777" w:rsidTr="00F663E4">
        <w:tc>
          <w:tcPr>
            <w:tcW w:w="2876" w:type="pct"/>
          </w:tcPr>
          <w:p w14:paraId="0F088B8F"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Statistic</w:t>
            </w:r>
          </w:p>
        </w:tc>
        <w:tc>
          <w:tcPr>
            <w:tcW w:w="2124" w:type="pct"/>
          </w:tcPr>
          <w:p w14:paraId="55DEAA2A"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Value</w:t>
            </w:r>
          </w:p>
        </w:tc>
      </w:tr>
      <w:tr w:rsidR="00A536EF" w:rsidRPr="00A536EF" w14:paraId="276E80CF" w14:textId="77777777" w:rsidTr="00F663E4">
        <w:tc>
          <w:tcPr>
            <w:tcW w:w="2876" w:type="pct"/>
          </w:tcPr>
          <w:p w14:paraId="7025C13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 (within)</w:t>
            </w:r>
          </w:p>
        </w:tc>
        <w:tc>
          <w:tcPr>
            <w:tcW w:w="2124" w:type="pct"/>
          </w:tcPr>
          <w:p w14:paraId="7373401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0.612</w:t>
            </w:r>
          </w:p>
        </w:tc>
      </w:tr>
      <w:tr w:rsidR="00A536EF" w:rsidRPr="00A536EF" w14:paraId="5709D3A5" w14:textId="77777777" w:rsidTr="00F663E4">
        <w:tc>
          <w:tcPr>
            <w:tcW w:w="2876" w:type="pct"/>
          </w:tcPr>
          <w:p w14:paraId="55503F9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 (between)</w:t>
            </w:r>
          </w:p>
        </w:tc>
        <w:tc>
          <w:tcPr>
            <w:tcW w:w="2124" w:type="pct"/>
          </w:tcPr>
          <w:p w14:paraId="02A38AA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0.734</w:t>
            </w:r>
          </w:p>
        </w:tc>
      </w:tr>
      <w:tr w:rsidR="00A536EF" w:rsidRPr="00A536EF" w14:paraId="3D07FCDB" w14:textId="77777777" w:rsidTr="00F663E4">
        <w:tc>
          <w:tcPr>
            <w:tcW w:w="2876" w:type="pct"/>
          </w:tcPr>
          <w:p w14:paraId="2F0951A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R-squared (overall)</w:t>
            </w:r>
          </w:p>
        </w:tc>
        <w:tc>
          <w:tcPr>
            <w:tcW w:w="2124" w:type="pct"/>
          </w:tcPr>
          <w:p w14:paraId="138DABE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0.687</w:t>
            </w:r>
          </w:p>
        </w:tc>
      </w:tr>
      <w:tr w:rsidR="00A536EF" w:rsidRPr="00A536EF" w14:paraId="20BA3CFC" w14:textId="77777777" w:rsidTr="00F663E4">
        <w:tc>
          <w:tcPr>
            <w:tcW w:w="2876" w:type="pct"/>
          </w:tcPr>
          <w:p w14:paraId="767C2BC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Number of regions</w:t>
            </w:r>
          </w:p>
        </w:tc>
        <w:tc>
          <w:tcPr>
            <w:tcW w:w="2124" w:type="pct"/>
          </w:tcPr>
          <w:p w14:paraId="14A889C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9</w:t>
            </w:r>
          </w:p>
        </w:tc>
      </w:tr>
      <w:tr w:rsidR="00A536EF" w:rsidRPr="00A536EF" w14:paraId="01BFF425" w14:textId="77777777" w:rsidTr="00F663E4">
        <w:tc>
          <w:tcPr>
            <w:tcW w:w="2876" w:type="pct"/>
          </w:tcPr>
          <w:p w14:paraId="23C2510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Number of years</w:t>
            </w:r>
          </w:p>
        </w:tc>
        <w:tc>
          <w:tcPr>
            <w:tcW w:w="2124" w:type="pct"/>
          </w:tcPr>
          <w:p w14:paraId="70AB96A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 (2020–2023)</w:t>
            </w:r>
          </w:p>
        </w:tc>
      </w:tr>
      <w:tr w:rsidR="00A536EF" w:rsidRPr="00A536EF" w14:paraId="18336012" w14:textId="77777777" w:rsidTr="00F663E4">
        <w:tc>
          <w:tcPr>
            <w:tcW w:w="2876" w:type="pct"/>
          </w:tcPr>
          <w:p w14:paraId="3C05D0A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Observations</w:t>
            </w:r>
          </w:p>
        </w:tc>
        <w:tc>
          <w:tcPr>
            <w:tcW w:w="2124" w:type="pct"/>
          </w:tcPr>
          <w:p w14:paraId="4621C29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36</w:t>
            </w:r>
          </w:p>
        </w:tc>
      </w:tr>
    </w:tbl>
    <w:p w14:paraId="05F94904" w14:textId="77781B76" w:rsidR="008C5A77" w:rsidRPr="00A536EF" w:rsidRDefault="00A536EF">
      <w:pPr>
        <w:rPr>
          <w:rFonts w:ascii="Arial" w:hAnsi="Arial" w:cs="Arial"/>
          <w:b/>
          <w:bCs/>
          <w:color w:val="000000" w:themeColor="text1"/>
          <w:sz w:val="20"/>
          <w:szCs w:val="20"/>
        </w:rPr>
      </w:pPr>
      <w:r w:rsidRPr="00A536EF">
        <w:rPr>
          <w:rFonts w:ascii="Arial" w:hAnsi="Arial" w:cs="Arial"/>
          <w:b/>
          <w:bCs/>
          <w:color w:val="000000" w:themeColor="text1"/>
          <w:sz w:val="20"/>
          <w:szCs w:val="20"/>
        </w:rPr>
        <w:t>Notes:</w:t>
      </w:r>
      <w:r w:rsidR="00F10B9C" w:rsidRPr="00A536EF">
        <w:rPr>
          <w:rFonts w:ascii="Arial" w:hAnsi="Arial" w:cs="Arial"/>
          <w:b/>
          <w:bCs/>
          <w:color w:val="000000" w:themeColor="text1"/>
          <w:sz w:val="20"/>
          <w:szCs w:val="20"/>
        </w:rPr>
        <w:br/>
      </w:r>
      <w:r w:rsidR="00F10B9C" w:rsidRPr="00A536EF">
        <w:rPr>
          <w:rFonts w:ascii="Arial" w:hAnsi="Arial" w:cs="Arial"/>
          <w:i/>
          <w:iCs/>
          <w:color w:val="000000" w:themeColor="text1"/>
          <w:sz w:val="20"/>
          <w:szCs w:val="20"/>
        </w:rPr>
        <w:t>a Dependent variable: ln (Recovery Indexᵣ</w:t>
      </w:r>
      <w:r w:rsidR="00F10B9C" w:rsidRPr="00A536EF">
        <w:rPr>
          <w:rFonts w:ascii="Cambria Math" w:hAnsi="Cambria Math" w:cs="Cambria Math"/>
          <w:i/>
          <w:iCs/>
          <w:color w:val="000000" w:themeColor="text1"/>
          <w:sz w:val="20"/>
          <w:szCs w:val="20"/>
        </w:rPr>
        <w:t>ₜ</w:t>
      </w:r>
      <w:r w:rsidR="00F10B9C" w:rsidRPr="00A536EF">
        <w:rPr>
          <w:rFonts w:ascii="Arial" w:hAnsi="Arial" w:cs="Arial"/>
          <w:i/>
          <w:iCs/>
          <w:color w:val="000000" w:themeColor="text1"/>
          <w:sz w:val="20"/>
          <w:szCs w:val="20"/>
        </w:rPr>
        <w:t>)</w:t>
      </w:r>
      <w:r w:rsidR="00F10B9C" w:rsidRPr="00A536EF">
        <w:rPr>
          <w:rFonts w:ascii="Arial" w:hAnsi="Arial" w:cs="Arial"/>
          <w:i/>
          <w:iCs/>
          <w:color w:val="000000" w:themeColor="text1"/>
          <w:sz w:val="20"/>
          <w:szCs w:val="20"/>
        </w:rPr>
        <w:br/>
        <w:t>b P &lt; .001 indicates statistical significance</w:t>
      </w:r>
      <w:r w:rsidR="00F10B9C" w:rsidRPr="00A536EF">
        <w:rPr>
          <w:rFonts w:ascii="Arial" w:hAnsi="Arial" w:cs="Arial"/>
          <w:i/>
          <w:iCs/>
          <w:color w:val="000000" w:themeColor="text1"/>
          <w:sz w:val="20"/>
          <w:szCs w:val="20"/>
        </w:rPr>
        <w:br/>
        <w:t>c Region fixed effects control for unobserved heterogeneity</w:t>
      </w:r>
    </w:p>
    <w:p w14:paraId="4772D3F4" w14:textId="71DFC2A5" w:rsidR="00F10B9C" w:rsidRPr="00A536EF" w:rsidRDefault="00B16897" w:rsidP="00A01640">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 xml:space="preserve">The results of the SARIMA model are presented in Table 5. The model is used to analyse monthly foreign tourist arrivals in India, both in the past trends and seasonal patterns. Unit root testing shows that the original series is </w:t>
      </w:r>
      <w:r w:rsidR="0024120B" w:rsidRPr="00A536EF">
        <w:rPr>
          <w:rFonts w:ascii="Arial" w:hAnsi="Arial" w:cs="Arial"/>
          <w:color w:val="000000" w:themeColor="text1"/>
          <w:sz w:val="20"/>
          <w:szCs w:val="20"/>
        </w:rPr>
        <w:t xml:space="preserve">non-stationary </w:t>
      </w:r>
      <w:r w:rsidRPr="00A536EF">
        <w:rPr>
          <w:rFonts w:ascii="Arial" w:hAnsi="Arial" w:cs="Arial"/>
          <w:color w:val="000000" w:themeColor="text1"/>
          <w:sz w:val="20"/>
          <w:szCs w:val="20"/>
        </w:rPr>
        <w:t>and requires both differential and seasonal differences prior to estimate. After comparing different model specifications, the SARIMA (1</w:t>
      </w:r>
      <w:r w:rsidR="0024120B" w:rsidRPr="00A536EF">
        <w:rPr>
          <w:rFonts w:ascii="Arial" w:hAnsi="Arial" w:cs="Arial"/>
          <w:color w:val="000000" w:themeColor="text1"/>
          <w:sz w:val="20"/>
          <w:szCs w:val="20"/>
        </w:rPr>
        <w:t>,</w:t>
      </w:r>
      <w:r w:rsidRPr="00A536EF">
        <w:rPr>
          <w:rFonts w:ascii="Arial" w:hAnsi="Arial" w:cs="Arial"/>
          <w:color w:val="000000" w:themeColor="text1"/>
          <w:sz w:val="20"/>
          <w:szCs w:val="20"/>
        </w:rPr>
        <w:t>1</w:t>
      </w:r>
      <w:r w:rsidR="0024120B" w:rsidRPr="00A536EF">
        <w:rPr>
          <w:rFonts w:ascii="Arial" w:hAnsi="Arial" w:cs="Arial"/>
          <w:color w:val="000000" w:themeColor="text1"/>
          <w:sz w:val="20"/>
          <w:szCs w:val="20"/>
        </w:rPr>
        <w:t>,</w:t>
      </w:r>
      <w:r w:rsidRPr="00A536EF">
        <w:rPr>
          <w:rFonts w:ascii="Arial" w:hAnsi="Arial" w:cs="Arial"/>
          <w:color w:val="000000" w:themeColor="text1"/>
          <w:sz w:val="20"/>
          <w:szCs w:val="20"/>
        </w:rPr>
        <w:t>1</w:t>
      </w:r>
      <w:r w:rsidR="0024120B" w:rsidRPr="00A536EF">
        <w:rPr>
          <w:rFonts w:ascii="Arial" w:hAnsi="Arial" w:cs="Arial"/>
          <w:color w:val="000000" w:themeColor="text1"/>
          <w:sz w:val="20"/>
          <w:szCs w:val="20"/>
        </w:rPr>
        <w:t>,</w:t>
      </w:r>
      <w:r w:rsidRPr="00A536EF">
        <w:rPr>
          <w:rFonts w:ascii="Arial" w:hAnsi="Arial" w:cs="Arial"/>
          <w:color w:val="000000" w:themeColor="text1"/>
          <w:sz w:val="20"/>
          <w:szCs w:val="20"/>
        </w:rPr>
        <w:t>1)</w:t>
      </w:r>
      <w:r w:rsidRPr="00A536EF">
        <w:rPr>
          <w:rFonts w:ascii="Arial" w:hAnsi="Arial" w:cs="Arial"/>
          <w:color w:val="000000" w:themeColor="text1"/>
          <w:sz w:val="20"/>
          <w:szCs w:val="20"/>
          <w:vertAlign w:val="subscript"/>
        </w:rPr>
        <w:t>12</w:t>
      </w:r>
      <w:r w:rsidRPr="00A536EF">
        <w:rPr>
          <w:rFonts w:ascii="Arial" w:hAnsi="Arial" w:cs="Arial"/>
          <w:color w:val="000000" w:themeColor="text1"/>
          <w:sz w:val="20"/>
          <w:szCs w:val="20"/>
        </w:rPr>
        <w:t xml:space="preserve"> model has been chosen as the best model based on minimum AIC (285.6) and RMSE (42,150). The estimated coefficients are statistically significant (</w:t>
      </w:r>
      <w:r w:rsidRPr="00A536EF">
        <w:rPr>
          <w:rFonts w:ascii="Arial" w:hAnsi="Arial" w:cs="Arial"/>
          <w:i/>
          <w:iCs/>
          <w:color w:val="000000" w:themeColor="text1"/>
          <w:sz w:val="20"/>
          <w:szCs w:val="20"/>
        </w:rPr>
        <w:t>P</w:t>
      </w:r>
      <w:r w:rsidR="00DF2DD7"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&lt;</w:t>
      </w:r>
      <w:r w:rsidR="0069150F"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001), indicating that the previous values and seasonal components play an important role in explaining tourist arrivals. Clinical trials confirm that the model is reliable, since there is no evidence of auto</w:t>
      </w:r>
      <w:r w:rsidR="0024120B" w:rsidRPr="00A536EF">
        <w:rPr>
          <w:rFonts w:ascii="Arial" w:hAnsi="Arial" w:cs="Arial"/>
          <w:color w:val="000000" w:themeColor="text1"/>
          <w:sz w:val="20"/>
          <w:szCs w:val="20"/>
        </w:rPr>
        <w:t>-</w:t>
      </w:r>
      <w:r w:rsidRPr="00A536EF">
        <w:rPr>
          <w:rFonts w:ascii="Arial" w:hAnsi="Arial" w:cs="Arial"/>
          <w:color w:val="000000" w:themeColor="text1"/>
          <w:sz w:val="20"/>
          <w:szCs w:val="20"/>
        </w:rPr>
        <w:t xml:space="preserve">correlation in the </w:t>
      </w:r>
      <w:r w:rsidR="0069150F" w:rsidRPr="00A536EF">
        <w:rPr>
          <w:rFonts w:ascii="Arial" w:hAnsi="Arial" w:cs="Arial"/>
          <w:color w:val="000000" w:themeColor="text1"/>
          <w:sz w:val="20"/>
          <w:szCs w:val="20"/>
        </w:rPr>
        <w:t>residuals</w:t>
      </w:r>
      <w:r w:rsidR="00E723A3" w:rsidRPr="00A536EF">
        <w:rPr>
          <w:rFonts w:ascii="Arial" w:hAnsi="Arial" w:cs="Arial"/>
          <w:color w:val="000000" w:themeColor="text1"/>
          <w:sz w:val="20"/>
          <w:szCs w:val="20"/>
        </w:rPr>
        <w:t xml:space="preserve"> </w:t>
      </w:r>
      <w:r w:rsidR="0069150F" w:rsidRPr="00A536EF">
        <w:rPr>
          <w:rFonts w:ascii="Arial" w:hAnsi="Arial" w:cs="Arial"/>
          <w:color w:val="000000" w:themeColor="text1"/>
          <w:sz w:val="20"/>
          <w:szCs w:val="20"/>
        </w:rPr>
        <w:t>(</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.67), the </w:t>
      </w:r>
      <w:r w:rsidR="0069150F" w:rsidRPr="00A536EF">
        <w:rPr>
          <w:rFonts w:ascii="Arial" w:hAnsi="Arial" w:cs="Arial"/>
          <w:color w:val="000000" w:themeColor="text1"/>
          <w:sz w:val="20"/>
          <w:szCs w:val="20"/>
        </w:rPr>
        <w:t>residuals</w:t>
      </w:r>
      <w:r w:rsidRPr="00A536EF">
        <w:rPr>
          <w:rFonts w:ascii="Arial" w:hAnsi="Arial" w:cs="Arial"/>
          <w:color w:val="000000" w:themeColor="text1"/>
          <w:sz w:val="20"/>
          <w:szCs w:val="20"/>
        </w:rPr>
        <w:t xml:space="preserve"> are normally distributed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 xml:space="preserve">= .31), and </w:t>
      </w:r>
      <w:r w:rsidR="0024120B" w:rsidRPr="00A536EF">
        <w:rPr>
          <w:rFonts w:ascii="Arial" w:hAnsi="Arial" w:cs="Arial"/>
          <w:color w:val="000000" w:themeColor="text1"/>
          <w:sz w:val="20"/>
          <w:szCs w:val="20"/>
        </w:rPr>
        <w:t>heteroskedasticity</w:t>
      </w:r>
      <w:r w:rsidRPr="00A536EF">
        <w:rPr>
          <w:rFonts w:ascii="Arial" w:hAnsi="Arial" w:cs="Arial"/>
          <w:color w:val="000000" w:themeColor="text1"/>
          <w:sz w:val="20"/>
          <w:szCs w:val="20"/>
        </w:rPr>
        <w:t xml:space="preserve">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.27).</w:t>
      </w:r>
    </w:p>
    <w:p w14:paraId="1B3A05A5" w14:textId="5CCCB554" w:rsidR="008C5A77" w:rsidRPr="00A536EF" w:rsidRDefault="008C5A77" w:rsidP="008C5A77">
      <w:pPr>
        <w:rPr>
          <w:rFonts w:ascii="Arial" w:hAnsi="Arial" w:cs="Arial"/>
          <w:b/>
          <w:bCs/>
          <w:color w:val="000000" w:themeColor="text1"/>
        </w:rPr>
      </w:pPr>
      <w:r w:rsidRPr="00A536EF">
        <w:rPr>
          <w:rFonts w:ascii="Arial" w:hAnsi="Arial" w:cs="Arial"/>
          <w:b/>
          <w:bCs/>
          <w:color w:val="000000" w:themeColor="text1"/>
        </w:rPr>
        <w:t xml:space="preserve">Table 5. ARIMA Model Selection and Forecast (Monthly </w:t>
      </w:r>
      <w:proofErr w:type="spellStart"/>
      <w:r w:rsidRPr="00A536EF">
        <w:rPr>
          <w:rFonts w:ascii="Arial" w:hAnsi="Arial" w:cs="Arial"/>
          <w:b/>
          <w:bCs/>
          <w:color w:val="000000" w:themeColor="text1"/>
        </w:rPr>
        <w:t>FTAs</w:t>
      </w:r>
      <w:r w:rsidR="00E723A3" w:rsidRPr="00A536EF">
        <w:rPr>
          <w:rFonts w:ascii="Arial" w:hAnsi="Arial" w:cs="Arial"/>
          <w:b/>
          <w:bCs/>
          <w:color w:val="000000" w:themeColor="text1"/>
          <w:vertAlign w:val="superscript"/>
        </w:rPr>
        <w:t>a</w:t>
      </w:r>
      <w:proofErr w:type="spellEnd"/>
      <w:r w:rsidRPr="00A536EF">
        <w:rPr>
          <w:rFonts w:ascii="Arial" w:hAnsi="Arial" w:cs="Arial"/>
          <w:b/>
          <w:bCs/>
          <w:color w:val="000000" w:themeColor="text1"/>
        </w:rPr>
        <w:t>, 2021–2023)</w:t>
      </w:r>
    </w:p>
    <w:p w14:paraId="1BF741CB" w14:textId="7DA8F5C5" w:rsidR="008C5A77" w:rsidRPr="00A536EF" w:rsidRDefault="0024120B" w:rsidP="0024120B">
      <w:pPr>
        <w:jc w:val="center"/>
        <w:rPr>
          <w:rFonts w:ascii="Arial" w:hAnsi="Arial" w:cs="Arial"/>
          <w:b/>
          <w:bCs/>
          <w:color w:val="000000" w:themeColor="text1"/>
          <w:sz w:val="20"/>
          <w:szCs w:val="20"/>
        </w:rPr>
      </w:pPr>
      <w:r w:rsidRPr="00A536EF">
        <w:rPr>
          <w:rFonts w:ascii="Arial" w:hAnsi="Arial" w:cs="Arial"/>
          <w:b/>
          <w:bCs/>
          <w:color w:val="000000" w:themeColor="text1"/>
          <w:sz w:val="20"/>
          <w:szCs w:val="20"/>
        </w:rPr>
        <w:t>Table 5A.</w:t>
      </w:r>
      <w:r w:rsidR="008C5A77" w:rsidRPr="00A536EF">
        <w:rPr>
          <w:rFonts w:ascii="Arial" w:hAnsi="Arial" w:cs="Arial"/>
          <w:b/>
          <w:bCs/>
          <w:color w:val="000000" w:themeColor="text1"/>
          <w:sz w:val="20"/>
          <w:szCs w:val="20"/>
        </w:rPr>
        <w:t xml:space="preserve"> Unit Root Test (Augmented Dickey-Fuller)</w:t>
      </w:r>
    </w:p>
    <w:tbl>
      <w:tblPr>
        <w:tblStyle w:val="TableGrid"/>
        <w:tblW w:w="5000" w:type="pct"/>
        <w:tblLook w:val="04A0" w:firstRow="1" w:lastRow="0" w:firstColumn="1" w:lastColumn="0" w:noHBand="0" w:noVBand="1"/>
      </w:tblPr>
      <w:tblGrid>
        <w:gridCol w:w="3132"/>
        <w:gridCol w:w="1269"/>
        <w:gridCol w:w="1695"/>
        <w:gridCol w:w="1129"/>
        <w:gridCol w:w="1791"/>
      </w:tblGrid>
      <w:tr w:rsidR="00A536EF" w:rsidRPr="00A536EF" w14:paraId="2484780E" w14:textId="77777777" w:rsidTr="007A5F4F">
        <w:tc>
          <w:tcPr>
            <w:tcW w:w="1737" w:type="pct"/>
          </w:tcPr>
          <w:p w14:paraId="77A3BAB8"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Series</w:t>
            </w:r>
          </w:p>
        </w:tc>
        <w:tc>
          <w:tcPr>
            <w:tcW w:w="704" w:type="pct"/>
          </w:tcPr>
          <w:p w14:paraId="5F3F2AF7"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Test Statistic</w:t>
            </w:r>
          </w:p>
        </w:tc>
        <w:tc>
          <w:tcPr>
            <w:tcW w:w="940" w:type="pct"/>
          </w:tcPr>
          <w:p w14:paraId="156024F8"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Critical Value (5%)</w:t>
            </w:r>
          </w:p>
        </w:tc>
        <w:tc>
          <w:tcPr>
            <w:tcW w:w="626" w:type="pct"/>
          </w:tcPr>
          <w:p w14:paraId="2476EC67" w14:textId="5D850A23" w:rsidR="008C5A77" w:rsidRPr="00A536EF" w:rsidRDefault="00F10B9C" w:rsidP="00F663E4">
            <w:pPr>
              <w:jc w:val="both"/>
              <w:rPr>
                <w:rFonts w:ascii="Arial" w:hAnsi="Arial" w:cs="Arial"/>
                <w:b/>
                <w:bCs/>
                <w:color w:val="000000" w:themeColor="text1"/>
              </w:rPr>
            </w:pPr>
            <w:r w:rsidRPr="00A536EF">
              <w:rPr>
                <w:rFonts w:ascii="Arial" w:hAnsi="Arial" w:cs="Arial"/>
                <w:b/>
                <w:bCs/>
                <w:i/>
                <w:iCs/>
                <w:color w:val="000000" w:themeColor="text1"/>
              </w:rPr>
              <w:t>‘</w:t>
            </w:r>
            <w:r w:rsidR="008C5A77" w:rsidRPr="00A536EF">
              <w:rPr>
                <w:rFonts w:ascii="Arial" w:hAnsi="Arial" w:cs="Arial"/>
                <w:b/>
                <w:bCs/>
                <w:i/>
                <w:iCs/>
                <w:color w:val="000000" w:themeColor="text1"/>
              </w:rPr>
              <w:t>P</w:t>
            </w:r>
            <w:r w:rsidRPr="00A536EF">
              <w:rPr>
                <w:rFonts w:ascii="Arial" w:hAnsi="Arial" w:cs="Arial"/>
                <w:b/>
                <w:bCs/>
                <w:i/>
                <w:iCs/>
                <w:color w:val="000000" w:themeColor="text1"/>
              </w:rPr>
              <w:t xml:space="preserve">’ </w:t>
            </w:r>
            <w:proofErr w:type="spellStart"/>
            <w:r w:rsidRPr="00A536EF">
              <w:rPr>
                <w:rFonts w:ascii="Arial" w:hAnsi="Arial" w:cs="Arial"/>
                <w:b/>
                <w:bCs/>
                <w:i/>
                <w:iCs/>
                <w:color w:val="000000" w:themeColor="text1"/>
              </w:rPr>
              <w:t>V</w:t>
            </w:r>
            <w:r w:rsidR="008C5A77" w:rsidRPr="00A536EF">
              <w:rPr>
                <w:rFonts w:ascii="Arial" w:hAnsi="Arial" w:cs="Arial"/>
                <w:b/>
                <w:bCs/>
                <w:color w:val="000000" w:themeColor="text1"/>
              </w:rPr>
              <w:t>alue</w:t>
            </w:r>
            <w:r w:rsidR="00E723A3" w:rsidRPr="00A536EF">
              <w:rPr>
                <w:rFonts w:ascii="Arial" w:hAnsi="Arial" w:cs="Arial"/>
                <w:b/>
                <w:bCs/>
                <w:color w:val="000000" w:themeColor="text1"/>
                <w:vertAlign w:val="superscript"/>
              </w:rPr>
              <w:t>b</w:t>
            </w:r>
            <w:proofErr w:type="spellEnd"/>
          </w:p>
        </w:tc>
        <w:tc>
          <w:tcPr>
            <w:tcW w:w="993" w:type="pct"/>
          </w:tcPr>
          <w:p w14:paraId="0157E8A3"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Stationary</w:t>
            </w:r>
          </w:p>
        </w:tc>
      </w:tr>
      <w:tr w:rsidR="00A536EF" w:rsidRPr="00A536EF" w14:paraId="4AD3A466" w14:textId="77777777" w:rsidTr="007A5F4F">
        <w:tc>
          <w:tcPr>
            <w:tcW w:w="1737" w:type="pct"/>
          </w:tcPr>
          <w:p w14:paraId="08FE6577" w14:textId="77777777" w:rsidR="008C5A77" w:rsidRPr="00A536EF" w:rsidRDefault="008C5A77" w:rsidP="00F663E4">
            <w:pPr>
              <w:jc w:val="both"/>
              <w:rPr>
                <w:rFonts w:ascii="Arial" w:hAnsi="Arial" w:cs="Arial"/>
                <w:color w:val="000000" w:themeColor="text1"/>
              </w:rPr>
            </w:pPr>
            <w:proofErr w:type="spellStart"/>
            <w:r w:rsidRPr="00A536EF">
              <w:rPr>
                <w:rFonts w:ascii="Arial" w:hAnsi="Arial" w:cs="Arial"/>
                <w:color w:val="000000" w:themeColor="text1"/>
              </w:rPr>
              <w:t>FTA_t</w:t>
            </w:r>
            <w:proofErr w:type="spellEnd"/>
            <w:r w:rsidRPr="00A536EF">
              <w:rPr>
                <w:rFonts w:ascii="Arial" w:hAnsi="Arial" w:cs="Arial"/>
                <w:color w:val="000000" w:themeColor="text1"/>
              </w:rPr>
              <w:t xml:space="preserve"> (levels)</w:t>
            </w:r>
          </w:p>
        </w:tc>
        <w:tc>
          <w:tcPr>
            <w:tcW w:w="704" w:type="pct"/>
          </w:tcPr>
          <w:p w14:paraId="228743F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-1.82</w:t>
            </w:r>
          </w:p>
        </w:tc>
        <w:tc>
          <w:tcPr>
            <w:tcW w:w="940" w:type="pct"/>
          </w:tcPr>
          <w:p w14:paraId="3A4604C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-2.95</w:t>
            </w:r>
          </w:p>
        </w:tc>
        <w:tc>
          <w:tcPr>
            <w:tcW w:w="626" w:type="pct"/>
          </w:tcPr>
          <w:p w14:paraId="2B31F310" w14:textId="77777777"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.37</w:t>
            </w:r>
          </w:p>
        </w:tc>
        <w:tc>
          <w:tcPr>
            <w:tcW w:w="993" w:type="pct"/>
          </w:tcPr>
          <w:p w14:paraId="364687C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 (non-stationary)</w:t>
            </w:r>
          </w:p>
        </w:tc>
      </w:tr>
      <w:tr w:rsidR="00A536EF" w:rsidRPr="00A536EF" w14:paraId="663EB7BB" w14:textId="77777777" w:rsidTr="007A5F4F">
        <w:tc>
          <w:tcPr>
            <w:tcW w:w="1737" w:type="pct"/>
          </w:tcPr>
          <w:p w14:paraId="3456C55B" w14:textId="77777777" w:rsidR="008C5A77" w:rsidRPr="00A536EF" w:rsidRDefault="008C5A77" w:rsidP="00F663E4">
            <w:pPr>
              <w:jc w:val="both"/>
              <w:rPr>
                <w:rFonts w:ascii="Arial" w:hAnsi="Arial" w:cs="Arial"/>
                <w:color w:val="000000" w:themeColor="text1"/>
              </w:rPr>
            </w:pPr>
            <w:proofErr w:type="spellStart"/>
            <w:r w:rsidRPr="00A536EF">
              <w:rPr>
                <w:rFonts w:ascii="Arial" w:hAnsi="Arial" w:cs="Arial"/>
                <w:color w:val="000000" w:themeColor="text1"/>
              </w:rPr>
              <w:t>ΔFTA_t</w:t>
            </w:r>
            <w:proofErr w:type="spellEnd"/>
            <w:r w:rsidRPr="00A536EF">
              <w:rPr>
                <w:rFonts w:ascii="Arial" w:hAnsi="Arial" w:cs="Arial"/>
                <w:color w:val="000000" w:themeColor="text1"/>
              </w:rPr>
              <w:t xml:space="preserve"> (1st difference)</w:t>
            </w:r>
          </w:p>
        </w:tc>
        <w:tc>
          <w:tcPr>
            <w:tcW w:w="704" w:type="pct"/>
          </w:tcPr>
          <w:p w14:paraId="7FDE07E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-4.56</w:t>
            </w:r>
          </w:p>
        </w:tc>
        <w:tc>
          <w:tcPr>
            <w:tcW w:w="940" w:type="pct"/>
          </w:tcPr>
          <w:p w14:paraId="03E20C9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-2.95</w:t>
            </w:r>
          </w:p>
        </w:tc>
        <w:tc>
          <w:tcPr>
            <w:tcW w:w="626" w:type="pct"/>
          </w:tcPr>
          <w:p w14:paraId="12092D5C" w14:textId="77777777"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 xml:space="preserve">P = </w:t>
            </w:r>
            <w:r w:rsidR="008C5A77" w:rsidRPr="00A536EF">
              <w:rPr>
                <w:rFonts w:ascii="Arial" w:hAnsi="Arial" w:cs="Arial"/>
                <w:color w:val="000000" w:themeColor="text1"/>
              </w:rPr>
              <w:t>.01</w:t>
            </w:r>
          </w:p>
        </w:tc>
        <w:tc>
          <w:tcPr>
            <w:tcW w:w="993" w:type="pct"/>
          </w:tcPr>
          <w:p w14:paraId="051DE09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Yes (stationary)</w:t>
            </w:r>
          </w:p>
        </w:tc>
      </w:tr>
      <w:tr w:rsidR="00A536EF" w:rsidRPr="00A536EF" w14:paraId="31264B47" w14:textId="77777777" w:rsidTr="007A5F4F">
        <w:tc>
          <w:tcPr>
            <w:tcW w:w="1737" w:type="pct"/>
          </w:tcPr>
          <w:p w14:paraId="0F1B72D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Δ</w:t>
            </w:r>
            <w:r w:rsidRPr="00A536EF">
              <w:rPr>
                <w:rFonts w:ascii="Cambria Math" w:hAnsi="Cambria Math" w:cs="Cambria Math"/>
                <w:color w:val="000000" w:themeColor="text1"/>
              </w:rPr>
              <w:t>₁₂</w:t>
            </w:r>
            <w:proofErr w:type="spellStart"/>
            <w:r w:rsidRPr="00A536EF">
              <w:rPr>
                <w:rFonts w:ascii="Arial" w:hAnsi="Arial" w:cs="Arial"/>
                <w:color w:val="000000" w:themeColor="text1"/>
              </w:rPr>
              <w:t>FTA_t</w:t>
            </w:r>
            <w:proofErr w:type="spellEnd"/>
            <w:r w:rsidRPr="00A536EF">
              <w:rPr>
                <w:rFonts w:ascii="Arial" w:hAnsi="Arial" w:cs="Arial"/>
                <w:color w:val="000000" w:themeColor="text1"/>
              </w:rPr>
              <w:t xml:space="preserve"> (seasonal difference)</w:t>
            </w:r>
          </w:p>
        </w:tc>
        <w:tc>
          <w:tcPr>
            <w:tcW w:w="704" w:type="pct"/>
          </w:tcPr>
          <w:p w14:paraId="2B10E61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-5.23</w:t>
            </w:r>
          </w:p>
        </w:tc>
        <w:tc>
          <w:tcPr>
            <w:tcW w:w="940" w:type="pct"/>
          </w:tcPr>
          <w:p w14:paraId="4257C73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-2.95</w:t>
            </w:r>
          </w:p>
        </w:tc>
        <w:tc>
          <w:tcPr>
            <w:tcW w:w="626" w:type="pct"/>
          </w:tcPr>
          <w:p w14:paraId="3C83428E" w14:textId="38681EF5" w:rsidR="008C5A77" w:rsidRPr="00A536EF" w:rsidRDefault="007A5F4F"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i/>
                <w:iCs/>
                <w:color w:val="000000" w:themeColor="text1"/>
              </w:rPr>
              <w:t>&lt;</w:t>
            </w:r>
            <w:r w:rsidR="00E723A3" w:rsidRPr="00A536EF">
              <w:rPr>
                <w:rFonts w:ascii="Arial" w:hAnsi="Arial" w:cs="Arial"/>
                <w:i/>
                <w:iCs/>
                <w:color w:val="000000" w:themeColor="text1"/>
              </w:rPr>
              <w:t xml:space="preserve"> </w:t>
            </w:r>
            <w:r w:rsidR="008C5A77" w:rsidRPr="00A536EF">
              <w:rPr>
                <w:rFonts w:ascii="Arial" w:hAnsi="Arial" w:cs="Arial"/>
                <w:color w:val="000000" w:themeColor="text1"/>
              </w:rPr>
              <w:t>.001</w:t>
            </w:r>
          </w:p>
        </w:tc>
        <w:tc>
          <w:tcPr>
            <w:tcW w:w="993" w:type="pct"/>
          </w:tcPr>
          <w:p w14:paraId="129D21C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Yes (stationary)</w:t>
            </w:r>
          </w:p>
        </w:tc>
      </w:tr>
    </w:tbl>
    <w:p w14:paraId="2522B72A" w14:textId="77777777" w:rsidR="008C5A77" w:rsidRPr="00A536EF" w:rsidRDefault="008C5A77" w:rsidP="008C5A77">
      <w:pPr>
        <w:jc w:val="both"/>
        <w:rPr>
          <w:rFonts w:ascii="Arial" w:hAnsi="Arial" w:cs="Arial"/>
          <w:color w:val="000000" w:themeColor="text1"/>
          <w:sz w:val="20"/>
          <w:szCs w:val="20"/>
        </w:rPr>
      </w:pPr>
    </w:p>
    <w:p w14:paraId="3FD98DF7" w14:textId="15F05FB6" w:rsidR="008C5A77" w:rsidRPr="00A536EF" w:rsidRDefault="0024120B" w:rsidP="0024120B">
      <w:pPr>
        <w:jc w:val="center"/>
        <w:rPr>
          <w:rFonts w:ascii="Arial" w:hAnsi="Arial" w:cs="Arial"/>
          <w:b/>
          <w:bCs/>
          <w:color w:val="000000" w:themeColor="text1"/>
          <w:sz w:val="20"/>
          <w:szCs w:val="20"/>
        </w:rPr>
      </w:pPr>
      <w:r w:rsidRPr="00A536EF">
        <w:rPr>
          <w:rFonts w:ascii="Arial" w:hAnsi="Arial" w:cs="Arial"/>
          <w:b/>
          <w:bCs/>
          <w:color w:val="000000" w:themeColor="text1"/>
          <w:sz w:val="20"/>
          <w:szCs w:val="20"/>
        </w:rPr>
        <w:t xml:space="preserve">Table 5B. </w:t>
      </w:r>
      <w:r w:rsidR="008C5A77" w:rsidRPr="00A536EF">
        <w:rPr>
          <w:rFonts w:ascii="Arial" w:hAnsi="Arial" w:cs="Arial"/>
          <w:b/>
          <w:bCs/>
          <w:color w:val="000000" w:themeColor="text1"/>
          <w:sz w:val="20"/>
          <w:szCs w:val="20"/>
        </w:rPr>
        <w:t xml:space="preserve">ARIMA Model Selection (AIC/BIC </w:t>
      </w:r>
      <w:proofErr w:type="spellStart"/>
      <w:proofErr w:type="gramStart"/>
      <w:r w:rsidR="008C5A77" w:rsidRPr="00A536EF">
        <w:rPr>
          <w:rFonts w:ascii="Arial" w:hAnsi="Arial" w:cs="Arial"/>
          <w:b/>
          <w:bCs/>
          <w:color w:val="000000" w:themeColor="text1"/>
          <w:sz w:val="20"/>
          <w:szCs w:val="20"/>
        </w:rPr>
        <w:t>Comparison</w:t>
      </w:r>
      <w:r w:rsidR="00E723A3" w:rsidRPr="00A536EF">
        <w:rPr>
          <w:rFonts w:ascii="Arial" w:hAnsi="Arial" w:cs="Arial"/>
          <w:b/>
          <w:bCs/>
          <w:i/>
          <w:iCs/>
          <w:color w:val="000000" w:themeColor="text1"/>
          <w:sz w:val="20"/>
          <w:szCs w:val="20"/>
          <w:vertAlign w:val="superscript"/>
        </w:rPr>
        <w:t>c,d</w:t>
      </w:r>
      <w:proofErr w:type="spellEnd"/>
      <w:proofErr w:type="gramEnd"/>
      <w:r w:rsidR="008C5A77" w:rsidRPr="00A536EF">
        <w:rPr>
          <w:rFonts w:ascii="Arial" w:hAnsi="Arial" w:cs="Arial"/>
          <w:b/>
          <w:bCs/>
          <w:color w:val="000000" w:themeColor="text1"/>
          <w:sz w:val="20"/>
          <w:szCs w:val="20"/>
        </w:rPr>
        <w:t>)</w:t>
      </w:r>
    </w:p>
    <w:tbl>
      <w:tblPr>
        <w:tblStyle w:val="TableGrid"/>
        <w:tblW w:w="5000" w:type="pct"/>
        <w:tblLook w:val="04A0" w:firstRow="1" w:lastRow="0" w:firstColumn="1" w:lastColumn="0" w:noHBand="0" w:noVBand="1"/>
      </w:tblPr>
      <w:tblGrid>
        <w:gridCol w:w="2145"/>
        <w:gridCol w:w="761"/>
        <w:gridCol w:w="527"/>
        <w:gridCol w:w="783"/>
        <w:gridCol w:w="905"/>
        <w:gridCol w:w="683"/>
        <w:gridCol w:w="950"/>
        <w:gridCol w:w="717"/>
        <w:gridCol w:w="717"/>
        <w:gridCol w:w="828"/>
      </w:tblGrid>
      <w:tr w:rsidR="00A536EF" w:rsidRPr="00A536EF" w14:paraId="4B568397" w14:textId="77777777" w:rsidTr="00F663E4">
        <w:tc>
          <w:tcPr>
            <w:tcW w:w="1268" w:type="pct"/>
          </w:tcPr>
          <w:p w14:paraId="1828100E"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Model</w:t>
            </w:r>
          </w:p>
        </w:tc>
        <w:tc>
          <w:tcPr>
            <w:tcW w:w="414" w:type="pct"/>
          </w:tcPr>
          <w:p w14:paraId="53FC9BF6"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AR(p)</w:t>
            </w:r>
          </w:p>
        </w:tc>
        <w:tc>
          <w:tcPr>
            <w:tcW w:w="292" w:type="pct"/>
          </w:tcPr>
          <w:p w14:paraId="1CF81305"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I(d)</w:t>
            </w:r>
          </w:p>
        </w:tc>
        <w:tc>
          <w:tcPr>
            <w:tcW w:w="439" w:type="pct"/>
          </w:tcPr>
          <w:p w14:paraId="73FE7ACF"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MA(q)</w:t>
            </w:r>
          </w:p>
        </w:tc>
        <w:tc>
          <w:tcPr>
            <w:tcW w:w="484" w:type="pct"/>
          </w:tcPr>
          <w:p w14:paraId="04BA48CB"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SAR(P)</w:t>
            </w:r>
          </w:p>
        </w:tc>
        <w:tc>
          <w:tcPr>
            <w:tcW w:w="382" w:type="pct"/>
          </w:tcPr>
          <w:p w14:paraId="7987554E"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SI(D)</w:t>
            </w:r>
          </w:p>
        </w:tc>
        <w:tc>
          <w:tcPr>
            <w:tcW w:w="529" w:type="pct"/>
          </w:tcPr>
          <w:p w14:paraId="57E08F11"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SMA(Q)</w:t>
            </w:r>
          </w:p>
        </w:tc>
        <w:tc>
          <w:tcPr>
            <w:tcW w:w="378" w:type="pct"/>
          </w:tcPr>
          <w:p w14:paraId="5CDD5139"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AIC</w:t>
            </w:r>
          </w:p>
        </w:tc>
        <w:tc>
          <w:tcPr>
            <w:tcW w:w="378" w:type="pct"/>
          </w:tcPr>
          <w:p w14:paraId="3181CD93"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BIC</w:t>
            </w:r>
          </w:p>
        </w:tc>
        <w:tc>
          <w:tcPr>
            <w:tcW w:w="436" w:type="pct"/>
          </w:tcPr>
          <w:p w14:paraId="5BB86062" w14:textId="77777777" w:rsidR="008C5A77" w:rsidRPr="00A536EF" w:rsidRDefault="008C5A77" w:rsidP="00F663E4">
            <w:pPr>
              <w:jc w:val="both"/>
              <w:rPr>
                <w:rFonts w:ascii="Arial" w:hAnsi="Arial" w:cs="Arial"/>
                <w:b/>
                <w:bCs/>
                <w:color w:val="000000" w:themeColor="text1"/>
              </w:rPr>
            </w:pPr>
            <w:r w:rsidRPr="00A536EF">
              <w:rPr>
                <w:rFonts w:ascii="Arial" w:hAnsi="Arial" w:cs="Arial"/>
                <w:b/>
                <w:bCs/>
                <w:color w:val="000000" w:themeColor="text1"/>
              </w:rPr>
              <w:t>RMSE</w:t>
            </w:r>
          </w:p>
        </w:tc>
      </w:tr>
      <w:tr w:rsidR="00A536EF" w:rsidRPr="00A536EF" w14:paraId="21E52C56" w14:textId="77777777" w:rsidTr="00F663E4">
        <w:tc>
          <w:tcPr>
            <w:tcW w:w="1268" w:type="pct"/>
          </w:tcPr>
          <w:p w14:paraId="51031896"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 xml:space="preserve">SARIMA (1,1,1) (1,1,1) </w:t>
            </w:r>
            <w:r w:rsidRPr="00A536EF">
              <w:rPr>
                <w:rFonts w:ascii="Cambria Math" w:hAnsi="Cambria Math" w:cs="Cambria Math"/>
                <w:b/>
                <w:bCs/>
                <w:color w:val="000000" w:themeColor="text1"/>
              </w:rPr>
              <w:t>₁₂</w:t>
            </w:r>
          </w:p>
        </w:tc>
        <w:tc>
          <w:tcPr>
            <w:tcW w:w="414" w:type="pct"/>
          </w:tcPr>
          <w:p w14:paraId="7ED31F6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292" w:type="pct"/>
          </w:tcPr>
          <w:p w14:paraId="0469E99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6E3276C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84" w:type="pct"/>
          </w:tcPr>
          <w:p w14:paraId="2104A4D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82" w:type="pct"/>
          </w:tcPr>
          <w:p w14:paraId="4A34841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5BBBC10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4CE98B4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285.6</w:t>
            </w:r>
          </w:p>
        </w:tc>
        <w:tc>
          <w:tcPr>
            <w:tcW w:w="378" w:type="pct"/>
          </w:tcPr>
          <w:p w14:paraId="3691EDA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298.3</w:t>
            </w:r>
          </w:p>
        </w:tc>
        <w:tc>
          <w:tcPr>
            <w:tcW w:w="436" w:type="pct"/>
          </w:tcPr>
          <w:p w14:paraId="1757E47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42,150</w:t>
            </w:r>
          </w:p>
        </w:tc>
      </w:tr>
      <w:tr w:rsidR="00A536EF" w:rsidRPr="00A536EF" w14:paraId="01FA2C5B" w14:textId="77777777" w:rsidTr="00F663E4">
        <w:tc>
          <w:tcPr>
            <w:tcW w:w="1268" w:type="pct"/>
          </w:tcPr>
          <w:p w14:paraId="6FE2971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SARIMA (2,1,1) (1,1,1) </w:t>
            </w:r>
            <w:r w:rsidRPr="00A536EF">
              <w:rPr>
                <w:rFonts w:ascii="Cambria Math" w:hAnsi="Cambria Math" w:cs="Cambria Math"/>
                <w:color w:val="000000" w:themeColor="text1"/>
              </w:rPr>
              <w:t>₁₂</w:t>
            </w:r>
          </w:p>
        </w:tc>
        <w:tc>
          <w:tcPr>
            <w:tcW w:w="414" w:type="pct"/>
          </w:tcPr>
          <w:p w14:paraId="62CA270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w:t>
            </w:r>
          </w:p>
        </w:tc>
        <w:tc>
          <w:tcPr>
            <w:tcW w:w="292" w:type="pct"/>
          </w:tcPr>
          <w:p w14:paraId="0047950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552C04F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84" w:type="pct"/>
          </w:tcPr>
          <w:p w14:paraId="14C6EA5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82" w:type="pct"/>
          </w:tcPr>
          <w:p w14:paraId="2E18204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6E9C4C5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7D29970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287.2</w:t>
            </w:r>
          </w:p>
        </w:tc>
        <w:tc>
          <w:tcPr>
            <w:tcW w:w="378" w:type="pct"/>
          </w:tcPr>
          <w:p w14:paraId="3F948180"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301.9</w:t>
            </w:r>
          </w:p>
        </w:tc>
        <w:tc>
          <w:tcPr>
            <w:tcW w:w="436" w:type="pct"/>
          </w:tcPr>
          <w:p w14:paraId="3F38D2C2"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43,210</w:t>
            </w:r>
          </w:p>
        </w:tc>
      </w:tr>
      <w:tr w:rsidR="00A536EF" w:rsidRPr="00A536EF" w14:paraId="23F4FED5" w14:textId="77777777" w:rsidTr="00F663E4">
        <w:tc>
          <w:tcPr>
            <w:tcW w:w="1268" w:type="pct"/>
          </w:tcPr>
          <w:p w14:paraId="7584444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SARIMA (1,1,2) (1,1,1) </w:t>
            </w:r>
            <w:r w:rsidRPr="00A536EF">
              <w:rPr>
                <w:rFonts w:ascii="Cambria Math" w:hAnsi="Cambria Math" w:cs="Cambria Math"/>
                <w:color w:val="000000" w:themeColor="text1"/>
              </w:rPr>
              <w:t>₁₂</w:t>
            </w:r>
          </w:p>
        </w:tc>
        <w:tc>
          <w:tcPr>
            <w:tcW w:w="414" w:type="pct"/>
          </w:tcPr>
          <w:p w14:paraId="6E3CFC0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292" w:type="pct"/>
          </w:tcPr>
          <w:p w14:paraId="349CFF4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05FAB1F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w:t>
            </w:r>
          </w:p>
        </w:tc>
        <w:tc>
          <w:tcPr>
            <w:tcW w:w="484" w:type="pct"/>
          </w:tcPr>
          <w:p w14:paraId="7D8B3DA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82" w:type="pct"/>
          </w:tcPr>
          <w:p w14:paraId="61C839F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5964383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74CD18A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288.1</w:t>
            </w:r>
          </w:p>
        </w:tc>
        <w:tc>
          <w:tcPr>
            <w:tcW w:w="378" w:type="pct"/>
          </w:tcPr>
          <w:p w14:paraId="7B38935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302.8</w:t>
            </w:r>
          </w:p>
        </w:tc>
        <w:tc>
          <w:tcPr>
            <w:tcW w:w="436" w:type="pct"/>
          </w:tcPr>
          <w:p w14:paraId="447A53F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43,890</w:t>
            </w:r>
          </w:p>
        </w:tc>
      </w:tr>
      <w:tr w:rsidR="00A536EF" w:rsidRPr="00A536EF" w14:paraId="02152222" w14:textId="77777777" w:rsidTr="00F663E4">
        <w:tc>
          <w:tcPr>
            <w:tcW w:w="1268" w:type="pct"/>
          </w:tcPr>
          <w:p w14:paraId="08E0F6C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SARIMA (1,1,1) (2,1,1) </w:t>
            </w:r>
            <w:r w:rsidRPr="00A536EF">
              <w:rPr>
                <w:rFonts w:ascii="Cambria Math" w:hAnsi="Cambria Math" w:cs="Cambria Math"/>
                <w:color w:val="000000" w:themeColor="text1"/>
              </w:rPr>
              <w:t>₁₂</w:t>
            </w:r>
          </w:p>
        </w:tc>
        <w:tc>
          <w:tcPr>
            <w:tcW w:w="414" w:type="pct"/>
          </w:tcPr>
          <w:p w14:paraId="3967785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292" w:type="pct"/>
          </w:tcPr>
          <w:p w14:paraId="517FC7B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2E1CAC5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84" w:type="pct"/>
          </w:tcPr>
          <w:p w14:paraId="1D0C53A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w:t>
            </w:r>
          </w:p>
        </w:tc>
        <w:tc>
          <w:tcPr>
            <w:tcW w:w="382" w:type="pct"/>
          </w:tcPr>
          <w:p w14:paraId="7CF31E6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15E1B68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0F24F8FF"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287.9</w:t>
            </w:r>
          </w:p>
        </w:tc>
        <w:tc>
          <w:tcPr>
            <w:tcW w:w="378" w:type="pct"/>
          </w:tcPr>
          <w:p w14:paraId="187103D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302.6</w:t>
            </w:r>
          </w:p>
        </w:tc>
        <w:tc>
          <w:tcPr>
            <w:tcW w:w="436" w:type="pct"/>
          </w:tcPr>
          <w:p w14:paraId="42AD013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43,650</w:t>
            </w:r>
          </w:p>
        </w:tc>
      </w:tr>
      <w:tr w:rsidR="00A536EF" w:rsidRPr="00A536EF" w14:paraId="4D7C9C46" w14:textId="77777777" w:rsidTr="00F663E4">
        <w:tc>
          <w:tcPr>
            <w:tcW w:w="1268" w:type="pct"/>
          </w:tcPr>
          <w:p w14:paraId="7FCB22D4"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 xml:space="preserve">SARIMA (0,1,1) (0,1,1) </w:t>
            </w:r>
            <w:r w:rsidRPr="00A536EF">
              <w:rPr>
                <w:rFonts w:ascii="Cambria Math" w:hAnsi="Cambria Math" w:cs="Cambria Math"/>
                <w:color w:val="000000" w:themeColor="text1"/>
              </w:rPr>
              <w:t>₁₂</w:t>
            </w:r>
          </w:p>
        </w:tc>
        <w:tc>
          <w:tcPr>
            <w:tcW w:w="414" w:type="pct"/>
          </w:tcPr>
          <w:p w14:paraId="2F040CD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w:t>
            </w:r>
          </w:p>
        </w:tc>
        <w:tc>
          <w:tcPr>
            <w:tcW w:w="292" w:type="pct"/>
          </w:tcPr>
          <w:p w14:paraId="496E4FC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39" w:type="pct"/>
          </w:tcPr>
          <w:p w14:paraId="27F768C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484" w:type="pct"/>
          </w:tcPr>
          <w:p w14:paraId="597C3C5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w:t>
            </w:r>
          </w:p>
        </w:tc>
        <w:tc>
          <w:tcPr>
            <w:tcW w:w="382" w:type="pct"/>
          </w:tcPr>
          <w:p w14:paraId="0E23B47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529" w:type="pct"/>
          </w:tcPr>
          <w:p w14:paraId="0ACF116D"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w:t>
            </w:r>
          </w:p>
        </w:tc>
        <w:tc>
          <w:tcPr>
            <w:tcW w:w="378" w:type="pct"/>
          </w:tcPr>
          <w:p w14:paraId="44DC2E0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289.4</w:t>
            </w:r>
          </w:p>
        </w:tc>
        <w:tc>
          <w:tcPr>
            <w:tcW w:w="378" w:type="pct"/>
          </w:tcPr>
          <w:p w14:paraId="4DDFB66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300.1</w:t>
            </w:r>
          </w:p>
        </w:tc>
        <w:tc>
          <w:tcPr>
            <w:tcW w:w="436" w:type="pct"/>
          </w:tcPr>
          <w:p w14:paraId="1A65C67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44,120</w:t>
            </w:r>
          </w:p>
        </w:tc>
      </w:tr>
    </w:tbl>
    <w:p w14:paraId="408414BA" w14:textId="77777777" w:rsidR="008C5A77" w:rsidRPr="00A536EF" w:rsidRDefault="008C5A77" w:rsidP="008C5A77">
      <w:pPr>
        <w:jc w:val="both"/>
        <w:rPr>
          <w:rFonts w:ascii="Arial" w:hAnsi="Arial" w:cs="Arial"/>
          <w:color w:val="000000" w:themeColor="text1"/>
          <w:sz w:val="20"/>
          <w:szCs w:val="20"/>
        </w:rPr>
      </w:pPr>
      <w:r w:rsidRPr="00A536EF">
        <w:rPr>
          <w:rFonts w:ascii="Arial" w:hAnsi="Arial" w:cs="Arial"/>
          <w:b/>
          <w:bCs/>
          <w:color w:val="000000" w:themeColor="text1"/>
          <w:sz w:val="20"/>
          <w:szCs w:val="20"/>
        </w:rPr>
        <w:t>Selected Model:</w:t>
      </w:r>
      <w:r w:rsidRPr="00A536EF">
        <w:rPr>
          <w:rFonts w:ascii="Arial" w:hAnsi="Arial" w:cs="Arial"/>
          <w:color w:val="000000" w:themeColor="text1"/>
          <w:sz w:val="20"/>
          <w:szCs w:val="20"/>
        </w:rPr>
        <w:t xml:space="preserve"> SARIMA (1,1,1) (1,1,1) </w:t>
      </w:r>
      <w:r w:rsidRPr="00A536EF">
        <w:rPr>
          <w:rFonts w:ascii="Cambria Math" w:hAnsi="Cambria Math" w:cs="Cambria Math"/>
          <w:color w:val="000000" w:themeColor="text1"/>
          <w:sz w:val="20"/>
          <w:szCs w:val="20"/>
        </w:rPr>
        <w:t>₁₂</w:t>
      </w:r>
      <w:r w:rsidRPr="00A536EF">
        <w:rPr>
          <w:rFonts w:ascii="Arial" w:hAnsi="Arial" w:cs="Arial"/>
          <w:color w:val="000000" w:themeColor="text1"/>
          <w:sz w:val="20"/>
          <w:szCs w:val="20"/>
        </w:rPr>
        <w:t xml:space="preserve"> (lowest AIC and RMSE)</w:t>
      </w:r>
    </w:p>
    <w:p w14:paraId="261C019B" w14:textId="73AEBD3B" w:rsidR="008C5A77" w:rsidRPr="00A536EF" w:rsidRDefault="0024120B" w:rsidP="0024120B">
      <w:pPr>
        <w:jc w:val="center"/>
        <w:rPr>
          <w:rFonts w:ascii="Arial" w:hAnsi="Arial" w:cs="Arial"/>
          <w:b/>
          <w:bCs/>
          <w:color w:val="000000" w:themeColor="text1"/>
          <w:sz w:val="20"/>
          <w:szCs w:val="20"/>
        </w:rPr>
      </w:pPr>
      <w:r w:rsidRPr="00A536EF">
        <w:rPr>
          <w:rFonts w:ascii="Arial" w:hAnsi="Arial" w:cs="Arial"/>
          <w:b/>
          <w:bCs/>
          <w:color w:val="000000" w:themeColor="text1"/>
          <w:sz w:val="20"/>
          <w:szCs w:val="20"/>
        </w:rPr>
        <w:lastRenderedPageBreak/>
        <w:t xml:space="preserve">Table 5C. </w:t>
      </w:r>
      <w:r w:rsidR="008C5A77" w:rsidRPr="00A536EF">
        <w:rPr>
          <w:rFonts w:ascii="Arial" w:hAnsi="Arial" w:cs="Arial"/>
          <w:b/>
          <w:bCs/>
          <w:color w:val="000000" w:themeColor="text1"/>
          <w:sz w:val="20"/>
          <w:szCs w:val="20"/>
        </w:rPr>
        <w:t xml:space="preserve">SARIMA (1,1,1) (1,1,1) </w:t>
      </w:r>
      <w:r w:rsidR="008C5A77" w:rsidRPr="00A536EF">
        <w:rPr>
          <w:rFonts w:ascii="Cambria Math" w:hAnsi="Cambria Math" w:cs="Cambria Math"/>
          <w:b/>
          <w:bCs/>
          <w:color w:val="000000" w:themeColor="text1"/>
          <w:sz w:val="20"/>
          <w:szCs w:val="20"/>
        </w:rPr>
        <w:t>₁₂</w:t>
      </w:r>
      <w:r w:rsidR="008C5A77" w:rsidRPr="00A536EF">
        <w:rPr>
          <w:rFonts w:ascii="Arial" w:hAnsi="Arial" w:cs="Arial"/>
          <w:b/>
          <w:bCs/>
          <w:color w:val="000000" w:themeColor="text1"/>
          <w:sz w:val="20"/>
          <w:szCs w:val="20"/>
        </w:rPr>
        <w:t xml:space="preserve"> Coefficient Estimates</w:t>
      </w:r>
    </w:p>
    <w:tbl>
      <w:tblPr>
        <w:tblStyle w:val="TableGrid"/>
        <w:tblW w:w="5000" w:type="pct"/>
        <w:tblLook w:val="04A0" w:firstRow="1" w:lastRow="0" w:firstColumn="1" w:lastColumn="0" w:noHBand="0" w:noVBand="1"/>
      </w:tblPr>
      <w:tblGrid>
        <w:gridCol w:w="1874"/>
        <w:gridCol w:w="2034"/>
        <w:gridCol w:w="1834"/>
        <w:gridCol w:w="1792"/>
        <w:gridCol w:w="1482"/>
      </w:tblGrid>
      <w:tr w:rsidR="00A536EF" w:rsidRPr="00A536EF" w14:paraId="628E0005" w14:textId="77777777" w:rsidTr="00F663E4">
        <w:tc>
          <w:tcPr>
            <w:tcW w:w="1039" w:type="pct"/>
          </w:tcPr>
          <w:p w14:paraId="1B766F94"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Parameter</w:t>
            </w:r>
          </w:p>
        </w:tc>
        <w:tc>
          <w:tcPr>
            <w:tcW w:w="1128" w:type="pct"/>
          </w:tcPr>
          <w:p w14:paraId="29A33332"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Coefficient</w:t>
            </w:r>
          </w:p>
        </w:tc>
        <w:tc>
          <w:tcPr>
            <w:tcW w:w="1017" w:type="pct"/>
          </w:tcPr>
          <w:p w14:paraId="74EFC201"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Std. Error</w:t>
            </w:r>
          </w:p>
        </w:tc>
        <w:tc>
          <w:tcPr>
            <w:tcW w:w="994" w:type="pct"/>
          </w:tcPr>
          <w:p w14:paraId="2CF28D16" w14:textId="77777777" w:rsidR="008C5A77" w:rsidRPr="00A536EF" w:rsidRDefault="0080595C" w:rsidP="00F663E4">
            <w:pPr>
              <w:jc w:val="center"/>
              <w:rPr>
                <w:rFonts w:ascii="Arial" w:hAnsi="Arial" w:cs="Arial"/>
                <w:b/>
                <w:bCs/>
                <w:color w:val="000000" w:themeColor="text1"/>
              </w:rPr>
            </w:pPr>
            <w:r w:rsidRPr="00A536EF">
              <w:rPr>
                <w:rFonts w:ascii="Arial" w:hAnsi="Arial" w:cs="Arial"/>
                <w:b/>
                <w:bCs/>
                <w:color w:val="000000" w:themeColor="text1"/>
              </w:rPr>
              <w:t>‘z’ S</w:t>
            </w:r>
            <w:r w:rsidR="008C5A77" w:rsidRPr="00A536EF">
              <w:rPr>
                <w:rFonts w:ascii="Arial" w:hAnsi="Arial" w:cs="Arial"/>
                <w:b/>
                <w:bCs/>
                <w:color w:val="000000" w:themeColor="text1"/>
              </w:rPr>
              <w:t>tatistic</w:t>
            </w:r>
          </w:p>
        </w:tc>
        <w:tc>
          <w:tcPr>
            <w:tcW w:w="822" w:type="pct"/>
          </w:tcPr>
          <w:p w14:paraId="701B4E0B" w14:textId="77777777" w:rsidR="008C5A77" w:rsidRPr="00A536EF" w:rsidRDefault="0080595C" w:rsidP="00F663E4">
            <w:pPr>
              <w:jc w:val="center"/>
              <w:rPr>
                <w:rFonts w:ascii="Arial" w:hAnsi="Arial" w:cs="Arial"/>
                <w:b/>
                <w:bCs/>
                <w:color w:val="000000" w:themeColor="text1"/>
              </w:rPr>
            </w:pPr>
            <w:r w:rsidRPr="00A536EF">
              <w:rPr>
                <w:rFonts w:ascii="Arial" w:hAnsi="Arial" w:cs="Arial"/>
                <w:b/>
                <w:bCs/>
                <w:i/>
                <w:iCs/>
                <w:color w:val="000000" w:themeColor="text1"/>
              </w:rPr>
              <w:t>‘</w:t>
            </w:r>
            <w:r w:rsidR="008C5A77" w:rsidRPr="00A536EF">
              <w:rPr>
                <w:rFonts w:ascii="Arial" w:hAnsi="Arial" w:cs="Arial"/>
                <w:b/>
                <w:bCs/>
                <w:i/>
                <w:iCs/>
                <w:color w:val="000000" w:themeColor="text1"/>
              </w:rPr>
              <w:t>P</w:t>
            </w:r>
            <w:r w:rsidRPr="00A536EF">
              <w:rPr>
                <w:rFonts w:ascii="Arial" w:hAnsi="Arial" w:cs="Arial"/>
                <w:b/>
                <w:bCs/>
                <w:i/>
                <w:iCs/>
                <w:color w:val="000000" w:themeColor="text1"/>
              </w:rPr>
              <w:t>’ V</w:t>
            </w:r>
            <w:r w:rsidR="008C5A77" w:rsidRPr="00A536EF">
              <w:rPr>
                <w:rFonts w:ascii="Arial" w:hAnsi="Arial" w:cs="Arial"/>
                <w:b/>
                <w:bCs/>
                <w:color w:val="000000" w:themeColor="text1"/>
              </w:rPr>
              <w:t>alue</w:t>
            </w:r>
          </w:p>
        </w:tc>
      </w:tr>
      <w:tr w:rsidR="00A536EF" w:rsidRPr="00A536EF" w14:paraId="6FA64723" w14:textId="77777777" w:rsidTr="00F663E4">
        <w:tc>
          <w:tcPr>
            <w:tcW w:w="1039" w:type="pct"/>
          </w:tcPr>
          <w:p w14:paraId="7CA39BC0"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AR (1)</w:t>
            </w:r>
          </w:p>
        </w:tc>
        <w:tc>
          <w:tcPr>
            <w:tcW w:w="1128" w:type="pct"/>
          </w:tcPr>
          <w:p w14:paraId="2B9B1015"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0.452</w:t>
            </w:r>
          </w:p>
        </w:tc>
        <w:tc>
          <w:tcPr>
            <w:tcW w:w="1017" w:type="pct"/>
          </w:tcPr>
          <w:p w14:paraId="76C4CED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0.156</w:t>
            </w:r>
          </w:p>
        </w:tc>
        <w:tc>
          <w:tcPr>
            <w:tcW w:w="994" w:type="pct"/>
          </w:tcPr>
          <w:p w14:paraId="7741014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2.90</w:t>
            </w:r>
          </w:p>
        </w:tc>
        <w:tc>
          <w:tcPr>
            <w:tcW w:w="822" w:type="pct"/>
          </w:tcPr>
          <w:p w14:paraId="13DBBB1F" w14:textId="609F57B6"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008C5A77" w:rsidRPr="00A536EF">
              <w:rPr>
                <w:rFonts w:ascii="Arial" w:hAnsi="Arial" w:cs="Arial"/>
                <w:color w:val="000000" w:themeColor="text1"/>
              </w:rPr>
              <w:t>.00</w:t>
            </w:r>
          </w:p>
        </w:tc>
      </w:tr>
      <w:tr w:rsidR="00A536EF" w:rsidRPr="00A536EF" w14:paraId="43264734" w14:textId="77777777" w:rsidTr="00F663E4">
        <w:tc>
          <w:tcPr>
            <w:tcW w:w="1039" w:type="pct"/>
          </w:tcPr>
          <w:p w14:paraId="5903F05E"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MA (1)</w:t>
            </w:r>
          </w:p>
        </w:tc>
        <w:tc>
          <w:tcPr>
            <w:tcW w:w="1128" w:type="pct"/>
          </w:tcPr>
          <w:p w14:paraId="07291A4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-0.834</w:t>
            </w:r>
          </w:p>
        </w:tc>
        <w:tc>
          <w:tcPr>
            <w:tcW w:w="1017" w:type="pct"/>
          </w:tcPr>
          <w:p w14:paraId="4EE2886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0.112</w:t>
            </w:r>
          </w:p>
        </w:tc>
        <w:tc>
          <w:tcPr>
            <w:tcW w:w="994" w:type="pct"/>
          </w:tcPr>
          <w:p w14:paraId="639803D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-7.45</w:t>
            </w:r>
          </w:p>
        </w:tc>
        <w:tc>
          <w:tcPr>
            <w:tcW w:w="822" w:type="pct"/>
          </w:tcPr>
          <w:p w14:paraId="59D7B421" w14:textId="56591ED0"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008C5A77" w:rsidRPr="00A536EF">
              <w:rPr>
                <w:rFonts w:ascii="Arial" w:hAnsi="Arial" w:cs="Arial"/>
                <w:color w:val="000000" w:themeColor="text1"/>
              </w:rPr>
              <w:t>.001</w:t>
            </w:r>
          </w:p>
        </w:tc>
      </w:tr>
      <w:tr w:rsidR="00A536EF" w:rsidRPr="00A536EF" w14:paraId="0BD82425" w14:textId="77777777" w:rsidTr="00F663E4">
        <w:tc>
          <w:tcPr>
            <w:tcW w:w="1039" w:type="pct"/>
          </w:tcPr>
          <w:p w14:paraId="2E868157"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SAR (1)</w:t>
            </w:r>
          </w:p>
        </w:tc>
        <w:tc>
          <w:tcPr>
            <w:tcW w:w="1128" w:type="pct"/>
          </w:tcPr>
          <w:p w14:paraId="791CAC3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0.328</w:t>
            </w:r>
          </w:p>
        </w:tc>
        <w:tc>
          <w:tcPr>
            <w:tcW w:w="1017" w:type="pct"/>
          </w:tcPr>
          <w:p w14:paraId="5C078A0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0.189</w:t>
            </w:r>
          </w:p>
        </w:tc>
        <w:tc>
          <w:tcPr>
            <w:tcW w:w="994" w:type="pct"/>
          </w:tcPr>
          <w:p w14:paraId="284621E8"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1.74</w:t>
            </w:r>
          </w:p>
        </w:tc>
        <w:tc>
          <w:tcPr>
            <w:tcW w:w="822" w:type="pct"/>
          </w:tcPr>
          <w:p w14:paraId="258F7715" w14:textId="629566FE" w:rsidR="008C5A77" w:rsidRPr="00A536EF" w:rsidRDefault="00E723A3" w:rsidP="00F663E4">
            <w:pPr>
              <w:jc w:val="both"/>
              <w:rPr>
                <w:rFonts w:ascii="Arial" w:hAnsi="Arial" w:cs="Arial"/>
                <w:color w:val="000000" w:themeColor="text1"/>
              </w:rPr>
            </w:pPr>
            <w:r w:rsidRPr="00A536EF">
              <w:rPr>
                <w:rFonts w:ascii="Arial" w:hAnsi="Arial" w:cs="Arial"/>
                <w:i/>
                <w:iCs/>
                <w:color w:val="000000" w:themeColor="text1"/>
              </w:rPr>
              <w:t>P</w:t>
            </w:r>
            <w:r w:rsidRPr="00A536EF">
              <w:rPr>
                <w:rFonts w:ascii="Arial" w:hAnsi="Arial" w:cs="Arial"/>
                <w:color w:val="000000" w:themeColor="text1"/>
              </w:rPr>
              <w:t xml:space="preserve"> =</w:t>
            </w:r>
            <w:r w:rsidR="00F10B9C" w:rsidRPr="00A536EF">
              <w:rPr>
                <w:rFonts w:ascii="Arial" w:hAnsi="Arial" w:cs="Arial"/>
                <w:color w:val="000000" w:themeColor="text1"/>
              </w:rPr>
              <w:t xml:space="preserve"> </w:t>
            </w:r>
            <w:r w:rsidR="008C5A77" w:rsidRPr="00A536EF">
              <w:rPr>
                <w:rFonts w:ascii="Arial" w:hAnsi="Arial" w:cs="Arial"/>
                <w:color w:val="000000" w:themeColor="text1"/>
              </w:rPr>
              <w:t>.08</w:t>
            </w:r>
          </w:p>
        </w:tc>
      </w:tr>
      <w:tr w:rsidR="00A536EF" w:rsidRPr="00A536EF" w14:paraId="40F49FE1" w14:textId="77777777" w:rsidTr="00F663E4">
        <w:tc>
          <w:tcPr>
            <w:tcW w:w="1039" w:type="pct"/>
          </w:tcPr>
          <w:p w14:paraId="7DEF45CD" w14:textId="77777777" w:rsidR="008C5A77" w:rsidRPr="00A536EF" w:rsidRDefault="008C5A77" w:rsidP="00F663E4">
            <w:pPr>
              <w:jc w:val="both"/>
              <w:rPr>
                <w:rFonts w:ascii="Arial" w:hAnsi="Arial" w:cs="Arial"/>
                <w:color w:val="000000" w:themeColor="text1"/>
              </w:rPr>
            </w:pPr>
            <w:r w:rsidRPr="00A536EF">
              <w:rPr>
                <w:rFonts w:ascii="Arial" w:hAnsi="Arial" w:cs="Arial"/>
                <w:b/>
                <w:bCs/>
                <w:color w:val="000000" w:themeColor="text1"/>
              </w:rPr>
              <w:t>SMA (1)</w:t>
            </w:r>
          </w:p>
        </w:tc>
        <w:tc>
          <w:tcPr>
            <w:tcW w:w="1128" w:type="pct"/>
          </w:tcPr>
          <w:p w14:paraId="5F55C9AC"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-0.721</w:t>
            </w:r>
          </w:p>
        </w:tc>
        <w:tc>
          <w:tcPr>
            <w:tcW w:w="1017" w:type="pct"/>
          </w:tcPr>
          <w:p w14:paraId="7926C397"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0.145</w:t>
            </w:r>
          </w:p>
        </w:tc>
        <w:tc>
          <w:tcPr>
            <w:tcW w:w="994" w:type="pct"/>
          </w:tcPr>
          <w:p w14:paraId="5F2A7E93"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-4.97</w:t>
            </w:r>
          </w:p>
        </w:tc>
        <w:tc>
          <w:tcPr>
            <w:tcW w:w="822" w:type="pct"/>
          </w:tcPr>
          <w:p w14:paraId="7C46BE04" w14:textId="275E97E9"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00E723A3" w:rsidRPr="00A536EF">
              <w:rPr>
                <w:rFonts w:ascii="Arial" w:hAnsi="Arial" w:cs="Arial"/>
                <w:i/>
                <w:iCs/>
                <w:color w:val="000000" w:themeColor="text1"/>
              </w:rPr>
              <w:t xml:space="preserve"> </w:t>
            </w:r>
            <w:r w:rsidRPr="00A536EF">
              <w:rPr>
                <w:rFonts w:ascii="Arial" w:hAnsi="Arial" w:cs="Arial"/>
                <w:color w:val="000000" w:themeColor="text1"/>
              </w:rPr>
              <w:t>&lt;</w:t>
            </w:r>
            <w:r w:rsidR="00E723A3" w:rsidRPr="00A536EF">
              <w:rPr>
                <w:rFonts w:ascii="Arial" w:hAnsi="Arial" w:cs="Arial"/>
                <w:color w:val="000000" w:themeColor="text1"/>
              </w:rPr>
              <w:t xml:space="preserve"> </w:t>
            </w:r>
            <w:r w:rsidRPr="00A536EF">
              <w:rPr>
                <w:rFonts w:ascii="Arial" w:hAnsi="Arial" w:cs="Arial"/>
                <w:color w:val="000000" w:themeColor="text1"/>
              </w:rPr>
              <w:t>.001</w:t>
            </w:r>
          </w:p>
        </w:tc>
      </w:tr>
    </w:tbl>
    <w:p w14:paraId="03A66178" w14:textId="77777777" w:rsidR="00F10B9C" w:rsidRPr="00A536EF" w:rsidRDefault="00F10B9C" w:rsidP="008C5A77">
      <w:pPr>
        <w:jc w:val="both"/>
        <w:rPr>
          <w:rFonts w:ascii="Arial" w:hAnsi="Arial" w:cs="Arial"/>
          <w:b/>
          <w:bCs/>
          <w:color w:val="000000" w:themeColor="text1"/>
          <w:sz w:val="20"/>
          <w:szCs w:val="20"/>
        </w:rPr>
      </w:pPr>
    </w:p>
    <w:p w14:paraId="20F5ED32" w14:textId="26A6B444" w:rsidR="008C5A77" w:rsidRPr="00A536EF" w:rsidRDefault="0024120B" w:rsidP="0024120B">
      <w:pPr>
        <w:jc w:val="center"/>
        <w:rPr>
          <w:rFonts w:ascii="Arial" w:hAnsi="Arial" w:cs="Arial"/>
          <w:color w:val="000000" w:themeColor="text1"/>
          <w:sz w:val="20"/>
          <w:szCs w:val="20"/>
        </w:rPr>
      </w:pPr>
      <w:r w:rsidRPr="00A536EF">
        <w:rPr>
          <w:rFonts w:ascii="Arial" w:hAnsi="Arial" w:cs="Arial"/>
          <w:b/>
          <w:bCs/>
          <w:color w:val="000000" w:themeColor="text1"/>
          <w:sz w:val="20"/>
          <w:szCs w:val="20"/>
        </w:rPr>
        <w:t xml:space="preserve">Table 5D. </w:t>
      </w:r>
      <w:r w:rsidR="008C5A77" w:rsidRPr="00A536EF">
        <w:rPr>
          <w:rFonts w:ascii="Arial" w:hAnsi="Arial" w:cs="Arial"/>
          <w:b/>
          <w:bCs/>
          <w:color w:val="000000" w:themeColor="text1"/>
          <w:sz w:val="20"/>
          <w:szCs w:val="20"/>
        </w:rPr>
        <w:t>Model Diagnostics</w:t>
      </w:r>
    </w:p>
    <w:tbl>
      <w:tblPr>
        <w:tblStyle w:val="TableGrid"/>
        <w:tblW w:w="5000" w:type="pct"/>
        <w:tblLook w:val="04A0" w:firstRow="1" w:lastRow="0" w:firstColumn="1" w:lastColumn="0" w:noHBand="0" w:noVBand="1"/>
      </w:tblPr>
      <w:tblGrid>
        <w:gridCol w:w="3630"/>
        <w:gridCol w:w="1127"/>
        <w:gridCol w:w="1067"/>
        <w:gridCol w:w="3192"/>
      </w:tblGrid>
      <w:tr w:rsidR="00A536EF" w:rsidRPr="00A536EF" w14:paraId="3E9EA544" w14:textId="77777777" w:rsidTr="00A536EF">
        <w:tc>
          <w:tcPr>
            <w:tcW w:w="2013" w:type="pct"/>
          </w:tcPr>
          <w:p w14:paraId="15995E46"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Test</w:t>
            </w:r>
          </w:p>
        </w:tc>
        <w:tc>
          <w:tcPr>
            <w:tcW w:w="625" w:type="pct"/>
          </w:tcPr>
          <w:p w14:paraId="37C2655E"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Statistic</w:t>
            </w:r>
          </w:p>
        </w:tc>
        <w:tc>
          <w:tcPr>
            <w:tcW w:w="592" w:type="pct"/>
          </w:tcPr>
          <w:p w14:paraId="37B79AFE" w14:textId="77777777" w:rsidR="008C5A77" w:rsidRPr="00A536EF" w:rsidRDefault="0080595C" w:rsidP="00F663E4">
            <w:pPr>
              <w:jc w:val="center"/>
              <w:rPr>
                <w:rFonts w:ascii="Arial" w:hAnsi="Arial" w:cs="Arial"/>
                <w:b/>
                <w:bCs/>
                <w:color w:val="000000" w:themeColor="text1"/>
              </w:rPr>
            </w:pPr>
            <w:r w:rsidRPr="00A536EF">
              <w:rPr>
                <w:rFonts w:ascii="Arial" w:hAnsi="Arial" w:cs="Arial"/>
                <w:b/>
                <w:bCs/>
                <w:i/>
                <w:iCs/>
                <w:color w:val="000000" w:themeColor="text1"/>
              </w:rPr>
              <w:t>‘</w:t>
            </w:r>
            <w:r w:rsidR="008C5A77" w:rsidRPr="00A536EF">
              <w:rPr>
                <w:rFonts w:ascii="Arial" w:hAnsi="Arial" w:cs="Arial"/>
                <w:b/>
                <w:bCs/>
                <w:i/>
                <w:iCs/>
                <w:color w:val="000000" w:themeColor="text1"/>
              </w:rPr>
              <w:t>P</w:t>
            </w:r>
            <w:r w:rsidRPr="00A536EF">
              <w:rPr>
                <w:rFonts w:ascii="Arial" w:hAnsi="Arial" w:cs="Arial"/>
                <w:b/>
                <w:bCs/>
                <w:i/>
                <w:iCs/>
                <w:color w:val="000000" w:themeColor="text1"/>
              </w:rPr>
              <w:t>’ V</w:t>
            </w:r>
            <w:r w:rsidR="008C5A77" w:rsidRPr="00A536EF">
              <w:rPr>
                <w:rFonts w:ascii="Arial" w:hAnsi="Arial" w:cs="Arial"/>
                <w:b/>
                <w:bCs/>
                <w:color w:val="000000" w:themeColor="text1"/>
              </w:rPr>
              <w:t>alue</w:t>
            </w:r>
          </w:p>
        </w:tc>
        <w:tc>
          <w:tcPr>
            <w:tcW w:w="1770" w:type="pct"/>
          </w:tcPr>
          <w:p w14:paraId="19C1E5EE" w14:textId="77777777" w:rsidR="008C5A77" w:rsidRPr="00A536EF" w:rsidRDefault="008C5A77" w:rsidP="00F663E4">
            <w:pPr>
              <w:jc w:val="center"/>
              <w:rPr>
                <w:rFonts w:ascii="Arial" w:hAnsi="Arial" w:cs="Arial"/>
                <w:b/>
                <w:bCs/>
                <w:color w:val="000000" w:themeColor="text1"/>
              </w:rPr>
            </w:pPr>
            <w:r w:rsidRPr="00A536EF">
              <w:rPr>
                <w:rFonts w:ascii="Arial" w:hAnsi="Arial" w:cs="Arial"/>
                <w:b/>
                <w:bCs/>
                <w:color w:val="000000" w:themeColor="text1"/>
              </w:rPr>
              <w:t>Result</w:t>
            </w:r>
          </w:p>
        </w:tc>
      </w:tr>
      <w:tr w:rsidR="00A536EF" w:rsidRPr="00A536EF" w14:paraId="25486B50" w14:textId="77777777" w:rsidTr="00A536EF">
        <w:tc>
          <w:tcPr>
            <w:tcW w:w="2013" w:type="pct"/>
          </w:tcPr>
          <w:p w14:paraId="6736F851"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Ljung-Box Q (lag 12)</w:t>
            </w:r>
          </w:p>
        </w:tc>
        <w:tc>
          <w:tcPr>
            <w:tcW w:w="625" w:type="pct"/>
          </w:tcPr>
          <w:p w14:paraId="42E13AB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8.45</w:t>
            </w:r>
          </w:p>
        </w:tc>
        <w:tc>
          <w:tcPr>
            <w:tcW w:w="592" w:type="pct"/>
          </w:tcPr>
          <w:p w14:paraId="5596E2B6" w14:textId="77777777"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Pr="00A536EF">
              <w:rPr>
                <w:rFonts w:ascii="Arial" w:hAnsi="Arial" w:cs="Arial"/>
                <w:color w:val="000000" w:themeColor="text1"/>
              </w:rPr>
              <w:t xml:space="preserve"> = </w:t>
            </w:r>
            <w:r w:rsidR="008C5A77" w:rsidRPr="00A536EF">
              <w:rPr>
                <w:rFonts w:ascii="Arial" w:hAnsi="Arial" w:cs="Arial"/>
                <w:color w:val="000000" w:themeColor="text1"/>
              </w:rPr>
              <w:t>.67</w:t>
            </w:r>
          </w:p>
        </w:tc>
        <w:tc>
          <w:tcPr>
            <w:tcW w:w="1770" w:type="pct"/>
          </w:tcPr>
          <w:p w14:paraId="18844499" w14:textId="6A33A9FD"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 residual auto</w:t>
            </w:r>
            <w:r w:rsidR="0024120B" w:rsidRPr="00A536EF">
              <w:rPr>
                <w:rFonts w:ascii="Arial" w:hAnsi="Arial" w:cs="Arial"/>
                <w:color w:val="000000" w:themeColor="text1"/>
              </w:rPr>
              <w:t>-</w:t>
            </w:r>
            <w:r w:rsidRPr="00A536EF">
              <w:rPr>
                <w:rFonts w:ascii="Arial" w:hAnsi="Arial" w:cs="Arial"/>
                <w:color w:val="000000" w:themeColor="text1"/>
              </w:rPr>
              <w:t>correlation</w:t>
            </w:r>
          </w:p>
        </w:tc>
      </w:tr>
      <w:tr w:rsidR="00A536EF" w:rsidRPr="00A536EF" w14:paraId="1D9F571B" w14:textId="77777777" w:rsidTr="00A536EF">
        <w:tc>
          <w:tcPr>
            <w:tcW w:w="2013" w:type="pct"/>
          </w:tcPr>
          <w:p w14:paraId="6649ABB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Jarque-Bera (normality)</w:t>
            </w:r>
          </w:p>
        </w:tc>
        <w:tc>
          <w:tcPr>
            <w:tcW w:w="625" w:type="pct"/>
          </w:tcPr>
          <w:p w14:paraId="334D422E"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2.34</w:t>
            </w:r>
          </w:p>
        </w:tc>
        <w:tc>
          <w:tcPr>
            <w:tcW w:w="592" w:type="pct"/>
          </w:tcPr>
          <w:p w14:paraId="35F0A91E" w14:textId="77777777"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Pr="00A536EF">
              <w:rPr>
                <w:rFonts w:ascii="Arial" w:hAnsi="Arial" w:cs="Arial"/>
                <w:color w:val="000000" w:themeColor="text1"/>
              </w:rPr>
              <w:t xml:space="preserve"> = </w:t>
            </w:r>
            <w:r w:rsidR="008C5A77" w:rsidRPr="00A536EF">
              <w:rPr>
                <w:rFonts w:ascii="Arial" w:hAnsi="Arial" w:cs="Arial"/>
                <w:color w:val="000000" w:themeColor="text1"/>
              </w:rPr>
              <w:t>.31</w:t>
            </w:r>
          </w:p>
        </w:tc>
        <w:tc>
          <w:tcPr>
            <w:tcW w:w="1770" w:type="pct"/>
          </w:tcPr>
          <w:p w14:paraId="6C94A589"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Residuals are normal</w:t>
            </w:r>
          </w:p>
        </w:tc>
      </w:tr>
      <w:tr w:rsidR="00A536EF" w:rsidRPr="00A536EF" w14:paraId="0B26852F" w14:textId="77777777" w:rsidTr="00A536EF">
        <w:tc>
          <w:tcPr>
            <w:tcW w:w="2013" w:type="pct"/>
          </w:tcPr>
          <w:p w14:paraId="04DD74AA"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ARCH test (heteroskedasticity)</w:t>
            </w:r>
          </w:p>
        </w:tc>
        <w:tc>
          <w:tcPr>
            <w:tcW w:w="625" w:type="pct"/>
          </w:tcPr>
          <w:p w14:paraId="3ED146AB"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1.23</w:t>
            </w:r>
          </w:p>
        </w:tc>
        <w:tc>
          <w:tcPr>
            <w:tcW w:w="592" w:type="pct"/>
          </w:tcPr>
          <w:p w14:paraId="7D90EEB3" w14:textId="77777777" w:rsidR="008C5A77" w:rsidRPr="00A536EF" w:rsidRDefault="00F10B9C" w:rsidP="00F663E4">
            <w:pPr>
              <w:jc w:val="both"/>
              <w:rPr>
                <w:rFonts w:ascii="Arial" w:hAnsi="Arial" w:cs="Arial"/>
                <w:color w:val="000000" w:themeColor="text1"/>
              </w:rPr>
            </w:pPr>
            <w:r w:rsidRPr="00A536EF">
              <w:rPr>
                <w:rFonts w:ascii="Arial" w:hAnsi="Arial" w:cs="Arial"/>
                <w:i/>
                <w:iCs/>
                <w:color w:val="000000" w:themeColor="text1"/>
              </w:rPr>
              <w:t>P</w:t>
            </w:r>
            <w:r w:rsidRPr="00A536EF">
              <w:rPr>
                <w:rFonts w:ascii="Arial" w:hAnsi="Arial" w:cs="Arial"/>
                <w:color w:val="000000" w:themeColor="text1"/>
              </w:rPr>
              <w:t xml:space="preserve"> = </w:t>
            </w:r>
            <w:r w:rsidR="008C5A77" w:rsidRPr="00A536EF">
              <w:rPr>
                <w:rFonts w:ascii="Arial" w:hAnsi="Arial" w:cs="Arial"/>
                <w:color w:val="000000" w:themeColor="text1"/>
              </w:rPr>
              <w:t>.27</w:t>
            </w:r>
          </w:p>
        </w:tc>
        <w:tc>
          <w:tcPr>
            <w:tcW w:w="1770" w:type="pct"/>
          </w:tcPr>
          <w:p w14:paraId="3C224E66" w14:textId="77777777" w:rsidR="008C5A77" w:rsidRPr="00A536EF" w:rsidRDefault="008C5A77" w:rsidP="00F663E4">
            <w:pPr>
              <w:jc w:val="both"/>
              <w:rPr>
                <w:rFonts w:ascii="Arial" w:hAnsi="Arial" w:cs="Arial"/>
                <w:color w:val="000000" w:themeColor="text1"/>
              </w:rPr>
            </w:pPr>
            <w:r w:rsidRPr="00A536EF">
              <w:rPr>
                <w:rFonts w:ascii="Arial" w:hAnsi="Arial" w:cs="Arial"/>
                <w:color w:val="000000" w:themeColor="text1"/>
              </w:rPr>
              <w:t>No heteroskedasticity</w:t>
            </w:r>
          </w:p>
        </w:tc>
      </w:tr>
    </w:tbl>
    <w:p w14:paraId="11A3C2AA" w14:textId="55C270BB" w:rsidR="00943E1F" w:rsidRPr="00A536EF" w:rsidRDefault="00A536EF" w:rsidP="00943E1F">
      <w:pPr>
        <w:rPr>
          <w:rFonts w:ascii="Arial" w:hAnsi="Arial" w:cs="Arial"/>
          <w:i/>
          <w:iCs/>
          <w:color w:val="000000" w:themeColor="text1"/>
          <w:sz w:val="18"/>
          <w:szCs w:val="18"/>
        </w:rPr>
      </w:pPr>
      <w:r w:rsidRPr="00A536EF">
        <w:rPr>
          <w:rFonts w:ascii="Arial" w:hAnsi="Arial" w:cs="Arial"/>
          <w:b/>
          <w:bCs/>
          <w:color w:val="000000" w:themeColor="text1"/>
          <w:sz w:val="20"/>
          <w:szCs w:val="20"/>
        </w:rPr>
        <w:t>Notes:</w:t>
      </w:r>
      <w:r w:rsidR="00F10B9C" w:rsidRPr="00A536EF">
        <w:rPr>
          <w:rFonts w:ascii="Arial" w:hAnsi="Arial" w:cs="Arial"/>
          <w:i/>
          <w:iCs/>
          <w:color w:val="000000" w:themeColor="text1"/>
          <w:sz w:val="18"/>
          <w:szCs w:val="18"/>
        </w:rPr>
        <w:br/>
        <w:t>a FTA</w:t>
      </w:r>
      <w:r w:rsidR="00F10B9C" w:rsidRPr="00A536EF">
        <w:rPr>
          <w:rFonts w:ascii="Cambria Math" w:hAnsi="Cambria Math" w:cs="Cambria Math"/>
          <w:i/>
          <w:iCs/>
          <w:color w:val="000000" w:themeColor="text1"/>
          <w:sz w:val="18"/>
          <w:szCs w:val="18"/>
        </w:rPr>
        <w:t>ₜ</w:t>
      </w:r>
      <w:r w:rsidR="00F10B9C" w:rsidRPr="00A536EF">
        <w:rPr>
          <w:rFonts w:ascii="Arial" w:hAnsi="Arial" w:cs="Arial"/>
          <w:i/>
          <w:iCs/>
          <w:color w:val="000000" w:themeColor="text1"/>
          <w:sz w:val="18"/>
          <w:szCs w:val="18"/>
        </w:rPr>
        <w:t xml:space="preserve"> denotes foreign tourist arrivals at time t</w:t>
      </w:r>
      <w:r w:rsidR="00F10B9C" w:rsidRPr="00A536EF">
        <w:rPr>
          <w:rFonts w:ascii="Arial" w:hAnsi="Arial" w:cs="Arial"/>
          <w:i/>
          <w:iCs/>
          <w:color w:val="000000" w:themeColor="text1"/>
          <w:sz w:val="18"/>
          <w:szCs w:val="18"/>
        </w:rPr>
        <w:br/>
        <w:t>b P &lt; .001 indicates statistical significance</w:t>
      </w:r>
      <w:r w:rsidR="00F10B9C" w:rsidRPr="00A536EF">
        <w:rPr>
          <w:rFonts w:ascii="Arial" w:hAnsi="Arial" w:cs="Arial"/>
          <w:i/>
          <w:iCs/>
          <w:color w:val="000000" w:themeColor="text1"/>
          <w:sz w:val="18"/>
          <w:szCs w:val="18"/>
        </w:rPr>
        <w:br/>
        <w:t>c AIC = Akaike Information Criterion; BIC = Bayesian Information Criterion</w:t>
      </w:r>
      <w:r w:rsidR="00F10B9C" w:rsidRPr="00A536EF">
        <w:rPr>
          <w:rFonts w:ascii="Arial" w:hAnsi="Arial" w:cs="Arial"/>
          <w:i/>
          <w:iCs/>
          <w:color w:val="000000" w:themeColor="text1"/>
          <w:sz w:val="18"/>
          <w:szCs w:val="18"/>
        </w:rPr>
        <w:br/>
        <w:t>d RMSE = Root Mean Square Error</w:t>
      </w:r>
    </w:p>
    <w:p w14:paraId="551BDF53" w14:textId="74C9DA30" w:rsidR="00A536EF" w:rsidRPr="00A536EF" w:rsidRDefault="00A536EF" w:rsidP="00A536E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overall economic results (Table 1-5) show that India had a strong growth trend inbound tourism prior to COVID-19 where the number of tourists was growing at about 9.23% per year. After the pandemic, the growth rate has come down to 6.11%, but this gap is not statistically significant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 .</w:t>
      </w:r>
      <w:r w:rsidRPr="00A536EF">
        <w:rPr>
          <w:rFonts w:ascii="Arial" w:hAnsi="Arial" w:cs="Arial"/>
          <w:color w:val="000000" w:themeColor="text1"/>
          <w:sz w:val="20"/>
          <w:szCs w:val="20"/>
        </w:rPr>
        <w:t>12), indicating that the long-term growth trend remains largely. However, the Intervention Analysis 2020 shows a steep decline of 11.58 million tourists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&lt;</w:t>
      </w:r>
      <w:r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.001) followed by a permanent decrease of about 2.34 million per year, indicating long-term reduction in tourism demand. The results match the concept of Economic Scarring in recent studies (IMF, 2022).</w:t>
      </w:r>
    </w:p>
    <w:p w14:paraId="7DD705C2" w14:textId="7EC45D58" w:rsidR="00A536EF" w:rsidRPr="00A536EF" w:rsidRDefault="00A536EF" w:rsidP="00A536E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effects of elasticity also indicate that the relationship between tourist arrivals and foreign exchange earnings has weakened, where the elasticity has declined from 0.892 to 0.661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w:t>
      </w:r>
      <w:r w:rsidRPr="00A536EF">
        <w:rPr>
          <w:rFonts w:ascii="Arial" w:hAnsi="Arial" w:cs="Arial"/>
          <w:color w:val="000000" w:themeColor="text1"/>
          <w:sz w:val="20"/>
          <w:szCs w:val="20"/>
        </w:rPr>
        <w:t>.</w:t>
      </w:r>
      <w:r w:rsidRPr="00A536EF">
        <w:rPr>
          <w:rFonts w:ascii="Arial" w:hAnsi="Arial" w:cs="Arial"/>
          <w:color w:val="000000" w:themeColor="text1"/>
          <w:sz w:val="20"/>
          <w:szCs w:val="20"/>
        </w:rPr>
        <w:t>05). This means that the increase in the number of tourists is no longer increasing the same proportion of income. According to long and li, this trend points to the volume-based development of tourism. The important policy meaning is to focus on attracting more spending tourists rather than just increasing the number of tourists.</w:t>
      </w:r>
    </w:p>
    <w:p w14:paraId="7F0CC27A" w14:textId="7E62108F" w:rsidR="00A536EF" w:rsidRPr="00A536EF" w:rsidRDefault="00A536EF" w:rsidP="00A536E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of the panel regression show that in areas where the share of migratory tourists is high, the recovery was faster (</w:t>
      </w:r>
      <w:r w:rsidRPr="00A536EF">
        <w:rPr>
          <w:rFonts w:ascii="Arial" w:hAnsi="Arial" w:cs="Arial"/>
          <w:i/>
          <w:iCs/>
          <w:color w:val="000000" w:themeColor="text1"/>
          <w:sz w:val="20"/>
          <w:szCs w:val="20"/>
        </w:rPr>
        <w:t xml:space="preserve">P </w:t>
      </w:r>
      <w:r w:rsidRPr="00A536EF">
        <w:rPr>
          <w:rFonts w:ascii="Arial" w:hAnsi="Arial" w:cs="Arial"/>
          <w:color w:val="000000" w:themeColor="text1"/>
          <w:sz w:val="20"/>
          <w:szCs w:val="20"/>
        </w:rPr>
        <w:t>&lt;</w:t>
      </w:r>
      <w:r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.001), while improvement in areas with greater geographical distance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.01). This conclusion supports previous studies that migratory relationships and geographical proximity play an important role in tourism improvement (Li et al., 2021; Liu et al., 2023). As per the forecast of the SARIMA model, the number of tourists can reach around 10.23 million in 2024 and 10.72 million in 2025 and the month of December is likely to be the busiest. However, the pre-COVID-19 levels are likely to be achieved by the end of 2025, indicating slow and uneven recovery.</w:t>
      </w:r>
    </w:p>
    <w:p w14:paraId="7219F86C" w14:textId="278DAE12" w:rsidR="00943E1F" w:rsidRPr="00A536EF" w:rsidRDefault="00A536EF" w:rsidP="00A536E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results indicate that Indias tourism sector is gradually improving, but still faces challenges such as reduction in demand, low per tourist expenditure, and dependence on the nearby and migratory markets. Therefore, it is imperative not only to increase the number of tourists at the policy level but also to increase the quality and value of tourism to ensure sustainable development.</w:t>
      </w:r>
    </w:p>
    <w:p w14:paraId="7B8B1D2B" w14:textId="77777777" w:rsidR="00A96AA4" w:rsidRPr="00A536EF" w:rsidRDefault="00A96AA4" w:rsidP="00106AA4">
      <w:pPr>
        <w:pStyle w:val="ListParagraph"/>
        <w:numPr>
          <w:ilvl w:val="0"/>
          <w:numId w:val="2"/>
        </w:numPr>
        <w:jc w:val="both"/>
        <w:rPr>
          <w:rFonts w:ascii="Arial" w:hAnsi="Arial" w:cs="Arial"/>
          <w:b/>
          <w:bCs/>
          <w:color w:val="000000" w:themeColor="text1"/>
          <w:sz w:val="20"/>
          <w:szCs w:val="20"/>
        </w:rPr>
      </w:pPr>
      <w:r w:rsidRPr="00A536EF">
        <w:rPr>
          <w:rFonts w:ascii="Arial" w:hAnsi="Arial" w:cs="Arial"/>
          <w:b/>
          <w:bCs/>
          <w:color w:val="000000" w:themeColor="text1"/>
          <w:sz w:val="20"/>
          <w:szCs w:val="20"/>
        </w:rPr>
        <w:t>CONCLUSION</w:t>
      </w:r>
    </w:p>
    <w:p w14:paraId="22EAE9AB" w14:textId="26808C81" w:rsidR="00425284" w:rsidRPr="00A536EF" w:rsidRDefault="00425284" w:rsidP="00B0193F">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study examines India’s inbound tourism from 2001 to 2023 using various econometric methods based on official data. The results show that the tourism sector has seen strong growth ahead of Covid-19 with an annual growth rate of around 9.23%, and the trend of overall growth has continued even after the pandemic. However, the pandemic has created a permanent negative impact, as tourist arrivals are around 2.34 million less than expected every year (</w:t>
      </w:r>
      <w:r w:rsidRPr="00A536EF">
        <w:rPr>
          <w:rFonts w:ascii="Arial" w:hAnsi="Arial" w:cs="Arial"/>
          <w:i/>
          <w:iCs/>
          <w:color w:val="000000" w:themeColor="text1"/>
          <w:sz w:val="20"/>
          <w:szCs w:val="20"/>
        </w:rPr>
        <w:t>P</w:t>
      </w:r>
      <w:r w:rsidR="00E723A3" w:rsidRPr="00A536EF">
        <w:rPr>
          <w:rFonts w:ascii="Arial" w:hAnsi="Arial" w:cs="Arial"/>
          <w:i/>
          <w:iCs/>
          <w:color w:val="000000" w:themeColor="text1"/>
          <w:sz w:val="20"/>
          <w:szCs w:val="20"/>
        </w:rPr>
        <w:t xml:space="preserve"> </w:t>
      </w:r>
      <w:r w:rsidRPr="00A536EF">
        <w:rPr>
          <w:rFonts w:ascii="Arial" w:hAnsi="Arial" w:cs="Arial"/>
          <w:color w:val="000000" w:themeColor="text1"/>
          <w:sz w:val="20"/>
          <w:szCs w:val="20"/>
        </w:rPr>
        <w:t xml:space="preserve">=.01). The study also found that the relationship between tourist arrivals and earnings has weakened, the </w:t>
      </w:r>
      <w:r w:rsidR="00644F3B" w:rsidRPr="00A536EF">
        <w:rPr>
          <w:rFonts w:ascii="Arial" w:hAnsi="Arial" w:cs="Arial"/>
          <w:color w:val="000000" w:themeColor="text1"/>
          <w:sz w:val="20"/>
          <w:szCs w:val="20"/>
        </w:rPr>
        <w:t>elasticity</w:t>
      </w:r>
      <w:r w:rsidRPr="00A536EF">
        <w:rPr>
          <w:rFonts w:ascii="Arial" w:hAnsi="Arial" w:cs="Arial"/>
          <w:color w:val="000000" w:themeColor="text1"/>
          <w:sz w:val="20"/>
          <w:szCs w:val="20"/>
        </w:rPr>
        <w:t xml:space="preserve"> has reduced from 0.89 to 0.66 (</w:t>
      </w:r>
      <w:r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 </w:t>
      </w:r>
      <w:r w:rsidR="00644F3B" w:rsidRPr="00A536EF">
        <w:rPr>
          <w:rFonts w:ascii="Arial" w:hAnsi="Arial" w:cs="Arial"/>
          <w:color w:val="000000" w:themeColor="text1"/>
          <w:sz w:val="20"/>
          <w:szCs w:val="20"/>
        </w:rPr>
        <w:t>.</w:t>
      </w:r>
      <w:r w:rsidRPr="00A536EF">
        <w:rPr>
          <w:rFonts w:ascii="Arial" w:hAnsi="Arial" w:cs="Arial"/>
          <w:color w:val="000000" w:themeColor="text1"/>
          <w:sz w:val="20"/>
          <w:szCs w:val="20"/>
        </w:rPr>
        <w:t xml:space="preserve">05) indicating that growth now depends more on the number of tourists than their </w:t>
      </w:r>
      <w:r w:rsidRPr="00A536EF">
        <w:rPr>
          <w:rFonts w:ascii="Arial" w:hAnsi="Arial" w:cs="Arial"/>
          <w:color w:val="000000" w:themeColor="text1"/>
          <w:sz w:val="20"/>
          <w:szCs w:val="20"/>
        </w:rPr>
        <w:lastRenderedPageBreak/>
        <w:t xml:space="preserve">expenditure. Regional recovery is uneven, with higher </w:t>
      </w:r>
      <w:r w:rsidR="001A4131" w:rsidRPr="00A536EF">
        <w:rPr>
          <w:rFonts w:ascii="Arial" w:hAnsi="Arial" w:cs="Arial"/>
          <w:color w:val="000000" w:themeColor="text1"/>
          <w:sz w:val="20"/>
          <w:szCs w:val="20"/>
        </w:rPr>
        <w:t>(</w:t>
      </w:r>
      <w:r w:rsidR="00E723A3" w:rsidRPr="00A536EF">
        <w:rPr>
          <w:rFonts w:ascii="Arial" w:hAnsi="Arial" w:cs="Arial"/>
          <w:i/>
          <w:iCs/>
          <w:color w:val="000000" w:themeColor="text1"/>
          <w:sz w:val="20"/>
          <w:szCs w:val="20"/>
        </w:rPr>
        <w:t>P</w:t>
      </w:r>
      <w:r w:rsidRPr="00A536EF">
        <w:rPr>
          <w:rFonts w:ascii="Arial" w:hAnsi="Arial" w:cs="Arial"/>
          <w:color w:val="000000" w:themeColor="text1"/>
          <w:sz w:val="20"/>
          <w:szCs w:val="20"/>
        </w:rPr>
        <w:t xml:space="preserve"> &lt;</w:t>
      </w:r>
      <w:r w:rsidR="00644F3B" w:rsidRPr="00A536EF">
        <w:rPr>
          <w:rFonts w:ascii="Arial" w:hAnsi="Arial" w:cs="Arial"/>
          <w:color w:val="000000" w:themeColor="text1"/>
          <w:sz w:val="20"/>
          <w:szCs w:val="20"/>
        </w:rPr>
        <w:t xml:space="preserve"> .</w:t>
      </w:r>
      <w:r w:rsidRPr="00A536EF">
        <w:rPr>
          <w:rFonts w:ascii="Arial" w:hAnsi="Arial" w:cs="Arial"/>
          <w:color w:val="000000" w:themeColor="text1"/>
          <w:sz w:val="20"/>
          <w:szCs w:val="20"/>
        </w:rPr>
        <w:t>001</w:t>
      </w:r>
      <w:r w:rsidR="001A4131" w:rsidRPr="00A536EF">
        <w:rPr>
          <w:rFonts w:ascii="Arial" w:hAnsi="Arial" w:cs="Arial"/>
          <w:color w:val="000000" w:themeColor="text1"/>
          <w:sz w:val="20"/>
          <w:szCs w:val="20"/>
        </w:rPr>
        <w:t>)</w:t>
      </w:r>
      <w:r w:rsidRPr="00A536EF">
        <w:rPr>
          <w:rFonts w:ascii="Arial" w:hAnsi="Arial" w:cs="Arial"/>
          <w:color w:val="000000" w:themeColor="text1"/>
          <w:sz w:val="20"/>
          <w:szCs w:val="20"/>
        </w:rPr>
        <w:t xml:space="preserve"> areas having better performance, while distance recovery from India has a negative impact. SARIMA results show that tourist arrivals can reach around 10.23 million in 2024 and 10.72 million in 2025, and pre-COVID levels can be achieved only by the end of 2025. These findings suggest that India needs to focus more on strengthening nearby and migratory-related markets to improve the value of tourism, promote more spending visitors and support sustainable development.</w:t>
      </w:r>
    </w:p>
    <w:p w14:paraId="29130017" w14:textId="77777777" w:rsidR="0010770C" w:rsidRPr="00A536EF" w:rsidRDefault="0010770C" w:rsidP="00B0193F">
      <w:pPr>
        <w:spacing w:line="276" w:lineRule="auto"/>
        <w:jc w:val="both"/>
        <w:rPr>
          <w:rFonts w:ascii="Arial" w:hAnsi="Arial" w:cs="Arial"/>
          <w:color w:val="000000" w:themeColor="text1"/>
          <w:sz w:val="20"/>
          <w:szCs w:val="20"/>
        </w:rPr>
      </w:pPr>
    </w:p>
    <w:p w14:paraId="58F74A52" w14:textId="77777777" w:rsidR="0010770C" w:rsidRPr="00A536EF" w:rsidRDefault="0010770C" w:rsidP="0010770C">
      <w:pPr>
        <w:pStyle w:val="ListParagraph"/>
        <w:numPr>
          <w:ilvl w:val="0"/>
          <w:numId w:val="2"/>
        </w:numPr>
        <w:jc w:val="both"/>
        <w:rPr>
          <w:rFonts w:ascii="Arial" w:hAnsi="Arial" w:cs="Arial"/>
          <w:b/>
          <w:bCs/>
          <w:color w:val="000000" w:themeColor="text1"/>
          <w:sz w:val="20"/>
          <w:szCs w:val="20"/>
        </w:rPr>
      </w:pPr>
      <w:r w:rsidRPr="00A536EF">
        <w:rPr>
          <w:rFonts w:ascii="Arial" w:hAnsi="Arial" w:cs="Arial"/>
          <w:b/>
          <w:bCs/>
          <w:color w:val="000000" w:themeColor="text1"/>
          <w:sz w:val="20"/>
          <w:szCs w:val="20"/>
        </w:rPr>
        <w:t>LIMITATIONS OF THE STUDY</w:t>
      </w:r>
    </w:p>
    <w:p w14:paraId="21EB0F12" w14:textId="77777777" w:rsidR="0010770C" w:rsidRPr="00A536EF" w:rsidRDefault="0010770C" w:rsidP="0010770C">
      <w:pPr>
        <w:spacing w:line="276" w:lineRule="auto"/>
        <w:jc w:val="both"/>
        <w:rPr>
          <w:rFonts w:ascii="Arial" w:hAnsi="Arial" w:cs="Arial"/>
          <w:color w:val="000000" w:themeColor="text1"/>
          <w:sz w:val="20"/>
          <w:szCs w:val="20"/>
        </w:rPr>
      </w:pPr>
      <w:r w:rsidRPr="00A536EF">
        <w:rPr>
          <w:rFonts w:ascii="Arial" w:hAnsi="Arial" w:cs="Arial"/>
          <w:color w:val="000000" w:themeColor="text1"/>
          <w:sz w:val="20"/>
          <w:szCs w:val="20"/>
        </w:rPr>
        <w:t>The study is based on secondary data collected from official sources, with limitations related to data accuracy, modification and reporting differences over the years. The analysis is done at the national and regional level, and therefore does not include individual tourist behaviour or destination-specific factors such as micro-level diversity. The study is primarily focused on the selected economics model, and does not include other advanced methods or variables, such as policy interventions, price competitiveness and global economic conditions. Panel analysis is limited to certain areas and short periods (2020-2023), which can affect the generalisation of results. Further, the forecast results are based on previous trends and can change due to unforeseen events such as economic shocks, policy changes or global crises.</w:t>
      </w:r>
    </w:p>
    <w:p w14:paraId="51ADF2DD" w14:textId="77777777" w:rsidR="0010770C" w:rsidRPr="00A536EF" w:rsidRDefault="0010770C" w:rsidP="00B0193F">
      <w:pPr>
        <w:spacing w:line="276" w:lineRule="auto"/>
        <w:jc w:val="both"/>
        <w:rPr>
          <w:rFonts w:ascii="Arial" w:hAnsi="Arial" w:cs="Arial"/>
          <w:color w:val="000000" w:themeColor="text1"/>
          <w:sz w:val="20"/>
          <w:szCs w:val="20"/>
        </w:rPr>
      </w:pPr>
    </w:p>
    <w:p w14:paraId="194AF383" w14:textId="77777777" w:rsidR="0079383F" w:rsidRPr="00A536EF" w:rsidRDefault="0079383F" w:rsidP="0079383F">
      <w:pPr>
        <w:jc w:val="both"/>
        <w:rPr>
          <w:rFonts w:ascii="Arial" w:hAnsi="Arial" w:cs="Arial"/>
          <w:b/>
          <w:bCs/>
          <w:color w:val="000000" w:themeColor="text1"/>
        </w:rPr>
      </w:pPr>
      <w:r w:rsidRPr="00A536EF">
        <w:rPr>
          <w:rFonts w:ascii="Arial" w:hAnsi="Arial" w:cs="Arial"/>
          <w:b/>
          <w:bCs/>
          <w:color w:val="000000" w:themeColor="text1"/>
        </w:rPr>
        <w:t>CONSENT</w:t>
      </w:r>
    </w:p>
    <w:p w14:paraId="6B6C994A" w14:textId="77777777" w:rsidR="0079383F" w:rsidRPr="00A536EF" w:rsidRDefault="0079383F" w:rsidP="0079383F">
      <w:pPr>
        <w:jc w:val="both"/>
        <w:rPr>
          <w:rFonts w:ascii="Arial" w:hAnsi="Arial" w:cs="Arial"/>
          <w:color w:val="000000" w:themeColor="text1"/>
          <w:sz w:val="20"/>
          <w:szCs w:val="20"/>
        </w:rPr>
      </w:pPr>
      <w:r w:rsidRPr="00A536EF">
        <w:rPr>
          <w:rFonts w:ascii="Arial" w:hAnsi="Arial" w:cs="Arial"/>
          <w:color w:val="000000" w:themeColor="text1"/>
          <w:sz w:val="20"/>
          <w:szCs w:val="20"/>
        </w:rPr>
        <w:t>Not applicable. This study is based on secondary data from publicly available sources and does not involve any participants requiring consent.</w:t>
      </w:r>
    </w:p>
    <w:p w14:paraId="4041AEA2" w14:textId="77777777" w:rsidR="0079383F" w:rsidRPr="00A536EF" w:rsidRDefault="0079383F" w:rsidP="0079383F">
      <w:pPr>
        <w:jc w:val="both"/>
        <w:rPr>
          <w:rFonts w:ascii="Arial" w:hAnsi="Arial" w:cs="Arial"/>
          <w:b/>
          <w:bCs/>
          <w:color w:val="000000" w:themeColor="text1"/>
        </w:rPr>
      </w:pPr>
      <w:r w:rsidRPr="00A536EF">
        <w:rPr>
          <w:rFonts w:ascii="Arial" w:hAnsi="Arial" w:cs="Arial"/>
          <w:b/>
          <w:bCs/>
          <w:color w:val="000000" w:themeColor="text1"/>
        </w:rPr>
        <w:t>COMPETING INTERESTS</w:t>
      </w:r>
    </w:p>
    <w:p w14:paraId="32D55558" w14:textId="77777777" w:rsidR="0079383F" w:rsidRPr="00A536EF" w:rsidRDefault="0079383F" w:rsidP="0079383F">
      <w:pPr>
        <w:jc w:val="both"/>
        <w:rPr>
          <w:rFonts w:ascii="Arial" w:hAnsi="Arial" w:cs="Arial"/>
          <w:b/>
          <w:bCs/>
          <w:color w:val="000000" w:themeColor="text1"/>
          <w:sz w:val="20"/>
          <w:szCs w:val="20"/>
        </w:rPr>
      </w:pPr>
      <w:r w:rsidRPr="00A536EF">
        <w:rPr>
          <w:rFonts w:ascii="Arial" w:hAnsi="Arial" w:cs="Arial"/>
          <w:color w:val="000000" w:themeColor="text1"/>
          <w:sz w:val="20"/>
          <w:szCs w:val="20"/>
        </w:rPr>
        <w:t>The authors declare that they have no known financial or non-financial competing interests, or personal relationships that could have influenced the work reported in this paper</w:t>
      </w:r>
      <w:r w:rsidRPr="00A536EF">
        <w:rPr>
          <w:rFonts w:ascii="Arial" w:hAnsi="Arial" w:cs="Arial"/>
          <w:b/>
          <w:bCs/>
          <w:color w:val="000000" w:themeColor="text1"/>
          <w:sz w:val="20"/>
          <w:szCs w:val="20"/>
        </w:rPr>
        <w:t>.</w:t>
      </w:r>
    </w:p>
    <w:p w14:paraId="3D37D84D" w14:textId="77777777" w:rsidR="00A96AA4" w:rsidRPr="00A536EF" w:rsidRDefault="00A96AA4" w:rsidP="00A96AA4">
      <w:pPr>
        <w:jc w:val="both"/>
        <w:rPr>
          <w:rFonts w:ascii="Arial" w:hAnsi="Arial" w:cs="Arial"/>
          <w:b/>
          <w:bCs/>
          <w:color w:val="000000" w:themeColor="text1"/>
        </w:rPr>
      </w:pPr>
      <w:r w:rsidRPr="00A536EF">
        <w:rPr>
          <w:rFonts w:ascii="Arial" w:hAnsi="Arial" w:cs="Arial"/>
          <w:b/>
          <w:bCs/>
          <w:color w:val="000000" w:themeColor="text1"/>
        </w:rPr>
        <w:t>ETHICAL APPROVAL</w:t>
      </w:r>
    </w:p>
    <w:p w14:paraId="2271D8D1" w14:textId="77777777" w:rsidR="00A96AA4" w:rsidRPr="00A536EF" w:rsidRDefault="00A96AA4" w:rsidP="00A96AA4">
      <w:pPr>
        <w:jc w:val="both"/>
        <w:rPr>
          <w:rFonts w:ascii="Arial" w:hAnsi="Arial" w:cs="Arial"/>
          <w:color w:val="000000" w:themeColor="text1"/>
          <w:sz w:val="20"/>
          <w:szCs w:val="20"/>
        </w:rPr>
      </w:pPr>
      <w:r w:rsidRPr="00A536EF">
        <w:rPr>
          <w:rFonts w:ascii="Arial" w:hAnsi="Arial" w:cs="Arial"/>
          <w:color w:val="000000" w:themeColor="text1"/>
          <w:sz w:val="20"/>
          <w:szCs w:val="20"/>
        </w:rPr>
        <w:t>Not applicable. This study is based on secondary data obtained from publicly available sources and does not involve any human or animal subjects. Therefore, ethical approval from any Institutional Review Board or Ethics Committee was not required.</w:t>
      </w:r>
    </w:p>
    <w:p w14:paraId="435C7961" w14:textId="7F181256" w:rsidR="00A96AA4" w:rsidRPr="00A536EF" w:rsidRDefault="00E723A3" w:rsidP="00A96AA4">
      <w:pPr>
        <w:jc w:val="both"/>
        <w:rPr>
          <w:rFonts w:ascii="Arial" w:hAnsi="Arial" w:cs="Arial"/>
          <w:b/>
          <w:bCs/>
          <w:color w:val="000000" w:themeColor="text1"/>
        </w:rPr>
      </w:pPr>
      <w:r w:rsidRPr="00A536EF">
        <w:rPr>
          <w:rFonts w:ascii="Arial" w:hAnsi="Arial" w:cs="Arial"/>
          <w:b/>
          <w:bCs/>
          <w:color w:val="000000" w:themeColor="text1"/>
        </w:rPr>
        <w:t>REFERENCE</w:t>
      </w:r>
      <w:r w:rsidR="00F9400A" w:rsidRPr="00A536EF">
        <w:rPr>
          <w:rFonts w:ascii="Arial" w:hAnsi="Arial" w:cs="Arial"/>
          <w:b/>
          <w:bCs/>
          <w:color w:val="000000" w:themeColor="text1"/>
        </w:rPr>
        <w:t>S</w:t>
      </w:r>
      <w:r w:rsidR="00A96AA4" w:rsidRPr="00A536EF">
        <w:rPr>
          <w:rFonts w:ascii="Arial" w:hAnsi="Arial" w:cs="Arial"/>
          <w:b/>
          <w:bCs/>
          <w:color w:val="000000" w:themeColor="text1"/>
        </w:rPr>
        <w:t xml:space="preserve"> </w:t>
      </w:r>
    </w:p>
    <w:p w14:paraId="6CE1DBC9" w14:textId="69698F8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Ahmad, M., Amin, A., Hassan, J., &amp; </w:t>
      </w:r>
      <w:proofErr w:type="spellStart"/>
      <w:r w:rsidRPr="00A536EF">
        <w:rPr>
          <w:rFonts w:ascii="Arial" w:hAnsi="Arial" w:cs="Arial"/>
          <w:color w:val="000000" w:themeColor="text1"/>
          <w:sz w:val="20"/>
          <w:szCs w:val="20"/>
        </w:rPr>
        <w:t>Magray</w:t>
      </w:r>
      <w:proofErr w:type="spellEnd"/>
      <w:r w:rsidRPr="00A536EF">
        <w:rPr>
          <w:rFonts w:ascii="Arial" w:hAnsi="Arial" w:cs="Arial"/>
          <w:color w:val="000000" w:themeColor="text1"/>
          <w:sz w:val="20"/>
          <w:szCs w:val="20"/>
        </w:rPr>
        <w:t xml:space="preserve">, A. A. (2026). Econometrics of exploration: How tourism fuels India’s economy. </w:t>
      </w:r>
      <w:r w:rsidRPr="00A536EF">
        <w:rPr>
          <w:rFonts w:ascii="Arial" w:hAnsi="Arial" w:cs="Arial"/>
          <w:i/>
          <w:iCs/>
          <w:color w:val="000000" w:themeColor="text1"/>
          <w:sz w:val="20"/>
          <w:szCs w:val="20"/>
        </w:rPr>
        <w:t>Journal of Tourism Economics, 6</w:t>
      </w:r>
      <w:r w:rsidRPr="00A536EF">
        <w:rPr>
          <w:rFonts w:ascii="Arial" w:hAnsi="Arial" w:cs="Arial"/>
          <w:color w:val="000000" w:themeColor="text1"/>
          <w:sz w:val="20"/>
          <w:szCs w:val="20"/>
        </w:rPr>
        <w:t>(1).</w:t>
      </w:r>
      <w:r>
        <w:rPr>
          <w:rFonts w:ascii="Arial" w:hAnsi="Arial" w:cs="Arial"/>
          <w:color w:val="000000" w:themeColor="text1"/>
          <w:sz w:val="20"/>
          <w:szCs w:val="20"/>
        </w:rPr>
        <w:t xml:space="preserve"> </w:t>
      </w:r>
      <w:hyperlink r:id="rId7" w:history="1">
        <w:r w:rsidR="00A707A9" w:rsidRPr="00F0679A">
          <w:rPr>
            <w:rStyle w:val="Hyperlink"/>
            <w:rFonts w:ascii="Arial" w:hAnsi="Arial" w:cs="Arial"/>
            <w:sz w:val="20"/>
            <w:szCs w:val="20"/>
          </w:rPr>
          <w:t>https://doi.org/10.1177/27652157251396215</w:t>
        </w:r>
      </w:hyperlink>
    </w:p>
    <w:p w14:paraId="7CCBA703" w14:textId="19E2FEB5"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Akron, S., Demir, E., Díez-Esteban, J. M., &amp; García-Gómez, C. D. (2020). Economic policy uncertainty and corporate investment: Evidence from the U.S. hospitality industry. </w:t>
      </w:r>
      <w:r w:rsidRPr="00A536EF">
        <w:rPr>
          <w:rFonts w:ascii="Arial" w:hAnsi="Arial" w:cs="Arial"/>
          <w:i/>
          <w:iCs/>
          <w:color w:val="000000" w:themeColor="text1"/>
          <w:sz w:val="20"/>
          <w:szCs w:val="20"/>
        </w:rPr>
        <w:t>Tourism Management</w:t>
      </w:r>
      <w:r w:rsidRPr="00A536EF">
        <w:rPr>
          <w:rFonts w:ascii="Arial" w:hAnsi="Arial" w:cs="Arial"/>
          <w:color w:val="000000" w:themeColor="text1"/>
          <w:sz w:val="20"/>
          <w:szCs w:val="20"/>
        </w:rPr>
        <w:t xml:space="preserve">, 77, 104019. </w:t>
      </w:r>
      <w:hyperlink r:id="rId8" w:tgtFrame="_new" w:history="1">
        <w:r w:rsidRPr="00A536EF">
          <w:rPr>
            <w:rStyle w:val="Hyperlink"/>
            <w:rFonts w:ascii="Arial" w:hAnsi="Arial" w:cs="Arial"/>
            <w:color w:val="000000" w:themeColor="text1"/>
            <w:sz w:val="20"/>
            <w:szCs w:val="20"/>
            <w:u w:val="none"/>
          </w:rPr>
          <w:t>https://doi.org/10.1016/j.tourman.2019.104019</w:t>
        </w:r>
      </w:hyperlink>
      <w:r w:rsidR="00A707A9">
        <w:rPr>
          <w:rFonts w:ascii="Arial" w:hAnsi="Arial" w:cs="Arial"/>
          <w:color w:val="000000" w:themeColor="text1"/>
          <w:sz w:val="20"/>
          <w:szCs w:val="20"/>
        </w:rPr>
        <w:t xml:space="preserve">  </w:t>
      </w:r>
    </w:p>
    <w:p w14:paraId="5B91A856" w14:textId="5C9D08A8"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Arellano, M. (2003). </w:t>
      </w:r>
      <w:r w:rsidRPr="00A536EF">
        <w:rPr>
          <w:rFonts w:ascii="Arial" w:hAnsi="Arial" w:cs="Arial"/>
          <w:i/>
          <w:iCs/>
          <w:color w:val="000000" w:themeColor="text1"/>
          <w:sz w:val="20"/>
          <w:szCs w:val="20"/>
        </w:rPr>
        <w:t>Panel data econometrics</w:t>
      </w:r>
      <w:r w:rsidRPr="00A536EF">
        <w:rPr>
          <w:rFonts w:ascii="Arial" w:hAnsi="Arial" w:cs="Arial"/>
          <w:color w:val="000000" w:themeColor="text1"/>
          <w:sz w:val="20"/>
          <w:szCs w:val="20"/>
        </w:rPr>
        <w:t>. Oxford University Press.</w:t>
      </w:r>
      <w:r>
        <w:rPr>
          <w:rFonts w:ascii="Arial" w:hAnsi="Arial" w:cs="Arial"/>
          <w:color w:val="000000" w:themeColor="text1"/>
          <w:sz w:val="20"/>
          <w:szCs w:val="20"/>
        </w:rPr>
        <w:t xml:space="preserve"> </w:t>
      </w:r>
      <w:hyperlink r:id="rId9" w:history="1">
        <w:r w:rsidRPr="00A536EF">
          <w:rPr>
            <w:rStyle w:val="Hyperlink"/>
            <w:rFonts w:ascii="Arial" w:hAnsi="Arial" w:cs="Arial"/>
            <w:sz w:val="20"/>
            <w:szCs w:val="20"/>
            <w:u w:val="none"/>
          </w:rPr>
          <w:t>https://doi.org/10.1093/0199245282.001.0001</w:t>
        </w:r>
      </w:hyperlink>
    </w:p>
    <w:p w14:paraId="0DEA90A3"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B., M. B., &amp; S., J. (2025). Tourism as a catalyst for India’s foreign exchange earnings: Trends and challenges in the post-COVID era. </w:t>
      </w:r>
      <w:r w:rsidRPr="00A536EF">
        <w:rPr>
          <w:rFonts w:ascii="Arial" w:hAnsi="Arial" w:cs="Arial"/>
          <w:i/>
          <w:iCs/>
          <w:color w:val="000000" w:themeColor="text1"/>
          <w:sz w:val="20"/>
          <w:szCs w:val="20"/>
        </w:rPr>
        <w:t>Electronic International Interdisciplinary Research Journal</w:t>
      </w:r>
      <w:r w:rsidRPr="00A536EF">
        <w:rPr>
          <w:rFonts w:ascii="Arial" w:hAnsi="Arial" w:cs="Arial"/>
          <w:color w:val="000000" w:themeColor="text1"/>
          <w:sz w:val="20"/>
          <w:szCs w:val="20"/>
        </w:rPr>
        <w:t xml:space="preserve">. </w:t>
      </w:r>
      <w:hyperlink r:id="rId10" w:tgtFrame="_new" w:history="1">
        <w:r w:rsidRPr="00A536EF">
          <w:rPr>
            <w:rStyle w:val="Hyperlink"/>
            <w:rFonts w:ascii="Arial" w:hAnsi="Arial" w:cs="Arial"/>
            <w:color w:val="000000" w:themeColor="text1"/>
            <w:sz w:val="20"/>
            <w:szCs w:val="20"/>
            <w:u w:val="none"/>
          </w:rPr>
          <w:t>https://doi.org/10.5281/zenodo.18088665</w:t>
        </w:r>
      </w:hyperlink>
    </w:p>
    <w:p w14:paraId="05C7B1FE"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Baltagi</w:t>
      </w:r>
      <w:proofErr w:type="spellEnd"/>
      <w:r w:rsidRPr="00A536EF">
        <w:rPr>
          <w:rFonts w:ascii="Arial" w:hAnsi="Arial" w:cs="Arial"/>
          <w:color w:val="000000" w:themeColor="text1"/>
          <w:sz w:val="20"/>
          <w:szCs w:val="20"/>
        </w:rPr>
        <w:t xml:space="preserve">, B. H. (2008). </w:t>
      </w:r>
      <w:r w:rsidRPr="00A536EF">
        <w:rPr>
          <w:rFonts w:ascii="Arial" w:hAnsi="Arial" w:cs="Arial"/>
          <w:i/>
          <w:iCs/>
          <w:color w:val="000000" w:themeColor="text1"/>
          <w:sz w:val="20"/>
          <w:szCs w:val="20"/>
        </w:rPr>
        <w:t>Econometrics</w:t>
      </w:r>
      <w:r w:rsidRPr="00A536EF">
        <w:rPr>
          <w:rFonts w:ascii="Arial" w:hAnsi="Arial" w:cs="Arial"/>
          <w:color w:val="000000" w:themeColor="text1"/>
          <w:sz w:val="20"/>
          <w:szCs w:val="20"/>
        </w:rPr>
        <w:t>. Springer Berlin Heidelberg.</w:t>
      </w:r>
    </w:p>
    <w:p w14:paraId="0A70F988"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lastRenderedPageBreak/>
        <w:t xml:space="preserve">Box, G. E. P., &amp; Tiao, G. C. (1975). Intervention analysis with applications to economic and environmental problems. </w:t>
      </w:r>
      <w:r w:rsidRPr="00A536EF">
        <w:rPr>
          <w:rFonts w:ascii="Arial" w:hAnsi="Arial" w:cs="Arial"/>
          <w:i/>
          <w:iCs/>
          <w:color w:val="000000" w:themeColor="text1"/>
          <w:sz w:val="20"/>
          <w:szCs w:val="20"/>
        </w:rPr>
        <w:t>Journal of the American Statistical Association</w:t>
      </w:r>
      <w:r w:rsidRPr="00A536EF">
        <w:rPr>
          <w:rFonts w:ascii="Arial" w:hAnsi="Arial" w:cs="Arial"/>
          <w:color w:val="000000" w:themeColor="text1"/>
          <w:sz w:val="20"/>
          <w:szCs w:val="20"/>
        </w:rPr>
        <w:t xml:space="preserve">, 70(349), 70–79. </w:t>
      </w:r>
      <w:hyperlink r:id="rId11" w:tgtFrame="_new" w:history="1">
        <w:r w:rsidRPr="00A536EF">
          <w:rPr>
            <w:rStyle w:val="Hyperlink"/>
            <w:rFonts w:ascii="Arial" w:hAnsi="Arial" w:cs="Arial"/>
            <w:color w:val="000000" w:themeColor="text1"/>
            <w:sz w:val="20"/>
            <w:szCs w:val="20"/>
            <w:u w:val="none"/>
          </w:rPr>
          <w:t>https://doi.org/10.1080/01621459.1975.10480264</w:t>
        </w:r>
      </w:hyperlink>
    </w:p>
    <w:p w14:paraId="40DBB2F7"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Butler, R. W. (2001). Seasonality in tourism: Issues and implications. In T. Baum &amp; S. Lundtorp (Eds.), </w:t>
      </w:r>
      <w:r w:rsidRPr="00A536EF">
        <w:rPr>
          <w:rFonts w:ascii="Arial" w:hAnsi="Arial" w:cs="Arial"/>
          <w:i/>
          <w:iCs/>
          <w:color w:val="000000" w:themeColor="text1"/>
          <w:sz w:val="20"/>
          <w:szCs w:val="20"/>
        </w:rPr>
        <w:t>Seasonality in tourism</w:t>
      </w:r>
      <w:r w:rsidRPr="00A536EF">
        <w:rPr>
          <w:rFonts w:ascii="Arial" w:hAnsi="Arial" w:cs="Arial"/>
          <w:color w:val="000000" w:themeColor="text1"/>
          <w:sz w:val="20"/>
          <w:szCs w:val="20"/>
        </w:rPr>
        <w:t xml:space="preserve"> (pp. 5–21). Pergamon.</w:t>
      </w:r>
    </w:p>
    <w:p w14:paraId="4CFFDFDA"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Dogru</w:t>
      </w:r>
      <w:proofErr w:type="spellEnd"/>
      <w:r w:rsidRPr="00A536EF">
        <w:rPr>
          <w:rFonts w:ascii="Arial" w:hAnsi="Arial" w:cs="Arial"/>
          <w:color w:val="000000" w:themeColor="text1"/>
          <w:sz w:val="20"/>
          <w:szCs w:val="20"/>
        </w:rPr>
        <w:t xml:space="preserve">, T., Bulut, U., &amp; </w:t>
      </w:r>
      <w:proofErr w:type="spellStart"/>
      <w:r w:rsidRPr="00A536EF">
        <w:rPr>
          <w:rFonts w:ascii="Arial" w:hAnsi="Arial" w:cs="Arial"/>
          <w:color w:val="000000" w:themeColor="text1"/>
          <w:sz w:val="20"/>
          <w:szCs w:val="20"/>
        </w:rPr>
        <w:t>Sirakaya</w:t>
      </w:r>
      <w:proofErr w:type="spellEnd"/>
      <w:r w:rsidRPr="00A536EF">
        <w:rPr>
          <w:rFonts w:ascii="Arial" w:hAnsi="Arial" w:cs="Arial"/>
          <w:color w:val="000000" w:themeColor="text1"/>
          <w:sz w:val="20"/>
          <w:szCs w:val="20"/>
        </w:rPr>
        <w:t xml:space="preserve">-Turk, E. (2020). Climate change and tourism: Do destination characteristics matter? </w:t>
      </w:r>
      <w:r w:rsidRPr="00A536EF">
        <w:rPr>
          <w:rFonts w:ascii="Arial" w:hAnsi="Arial" w:cs="Arial"/>
          <w:i/>
          <w:iCs/>
          <w:color w:val="000000" w:themeColor="text1"/>
          <w:sz w:val="20"/>
          <w:szCs w:val="20"/>
        </w:rPr>
        <w:t>Tourism Management, 77</w:t>
      </w:r>
      <w:r w:rsidRPr="00A536EF">
        <w:rPr>
          <w:rFonts w:ascii="Arial" w:hAnsi="Arial" w:cs="Arial"/>
          <w:color w:val="000000" w:themeColor="text1"/>
          <w:sz w:val="20"/>
          <w:szCs w:val="20"/>
        </w:rPr>
        <w:t xml:space="preserve">, 104019. </w:t>
      </w:r>
      <w:hyperlink r:id="rId12" w:tgtFrame="_new" w:history="1">
        <w:r w:rsidRPr="00A536EF">
          <w:rPr>
            <w:rStyle w:val="Hyperlink"/>
            <w:rFonts w:ascii="Arial" w:hAnsi="Arial" w:cs="Arial"/>
            <w:color w:val="000000" w:themeColor="text1"/>
            <w:sz w:val="20"/>
            <w:szCs w:val="20"/>
            <w:u w:val="none"/>
          </w:rPr>
          <w:t>https://doi.org/10.1016/j.tourman.2019.104019</w:t>
        </w:r>
      </w:hyperlink>
    </w:p>
    <w:p w14:paraId="7BDE3BEB"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Dwyer, L., Forsyth, P., &amp; Dwyer, W. (2016). </w:t>
      </w:r>
      <w:r w:rsidRPr="00A536EF">
        <w:rPr>
          <w:rFonts w:ascii="Arial" w:hAnsi="Arial" w:cs="Arial"/>
          <w:i/>
          <w:iCs/>
          <w:color w:val="000000" w:themeColor="text1"/>
          <w:sz w:val="20"/>
          <w:szCs w:val="20"/>
        </w:rPr>
        <w:t>Tourism economics and policy</w:t>
      </w:r>
      <w:r w:rsidRPr="00A536EF">
        <w:rPr>
          <w:rFonts w:ascii="Arial" w:hAnsi="Arial" w:cs="Arial"/>
          <w:color w:val="000000" w:themeColor="text1"/>
          <w:sz w:val="20"/>
          <w:szCs w:val="20"/>
        </w:rPr>
        <w:t>. Channel View Publications.</w:t>
      </w:r>
    </w:p>
    <w:p w14:paraId="7B18AFF1"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Gidumal, J. B. (2022). Post-COVID-19 recovery of island tourism using a smart tourism destination framework. </w:t>
      </w:r>
      <w:r w:rsidRPr="00A536EF">
        <w:rPr>
          <w:rFonts w:ascii="Arial" w:hAnsi="Arial" w:cs="Arial"/>
          <w:i/>
          <w:iCs/>
          <w:color w:val="000000" w:themeColor="text1"/>
          <w:sz w:val="20"/>
          <w:szCs w:val="20"/>
        </w:rPr>
        <w:t>Journal of Destination Marketing &amp; Management</w:t>
      </w:r>
      <w:r w:rsidRPr="00A536EF">
        <w:rPr>
          <w:rFonts w:ascii="Arial" w:hAnsi="Arial" w:cs="Arial"/>
          <w:color w:val="000000" w:themeColor="text1"/>
          <w:sz w:val="20"/>
          <w:szCs w:val="20"/>
        </w:rPr>
        <w:t xml:space="preserve">, 23, 100689. </w:t>
      </w:r>
      <w:hyperlink r:id="rId13" w:tgtFrame="_new" w:history="1">
        <w:r w:rsidRPr="00A536EF">
          <w:rPr>
            <w:rStyle w:val="Hyperlink"/>
            <w:rFonts w:ascii="Arial" w:hAnsi="Arial" w:cs="Arial"/>
            <w:color w:val="000000" w:themeColor="text1"/>
            <w:sz w:val="20"/>
            <w:szCs w:val="20"/>
            <w:u w:val="none"/>
          </w:rPr>
          <w:t>https://doi.org/10.1016/j.jdmm.2022.100689</w:t>
        </w:r>
      </w:hyperlink>
    </w:p>
    <w:p w14:paraId="33DE70BA"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Goh, C., &amp; Law, R. (2002). </w:t>
      </w:r>
      <w:proofErr w:type="spellStart"/>
      <w:r w:rsidRPr="00A536EF">
        <w:rPr>
          <w:rFonts w:ascii="Arial" w:hAnsi="Arial" w:cs="Arial"/>
          <w:color w:val="000000" w:themeColor="text1"/>
          <w:sz w:val="20"/>
          <w:szCs w:val="20"/>
        </w:rPr>
        <w:t>Modeling</w:t>
      </w:r>
      <w:proofErr w:type="spellEnd"/>
      <w:r w:rsidRPr="00A536EF">
        <w:rPr>
          <w:rFonts w:ascii="Arial" w:hAnsi="Arial" w:cs="Arial"/>
          <w:color w:val="000000" w:themeColor="text1"/>
          <w:sz w:val="20"/>
          <w:szCs w:val="20"/>
        </w:rPr>
        <w:t xml:space="preserve"> and forecasting tourism demand for arrivals with stochastic nonstationary seasonality and intervention. </w:t>
      </w:r>
      <w:r w:rsidRPr="00A536EF">
        <w:rPr>
          <w:rFonts w:ascii="Arial" w:hAnsi="Arial" w:cs="Arial"/>
          <w:i/>
          <w:iCs/>
          <w:color w:val="000000" w:themeColor="text1"/>
          <w:sz w:val="20"/>
          <w:szCs w:val="20"/>
        </w:rPr>
        <w:t>Tourism Management</w:t>
      </w:r>
      <w:r w:rsidRPr="00A536EF">
        <w:rPr>
          <w:rFonts w:ascii="Arial" w:hAnsi="Arial" w:cs="Arial"/>
          <w:color w:val="000000" w:themeColor="text1"/>
          <w:sz w:val="20"/>
          <w:szCs w:val="20"/>
        </w:rPr>
        <w:t xml:space="preserve">, 23(5), 499–510. </w:t>
      </w:r>
      <w:hyperlink r:id="rId14" w:tgtFrame="_new" w:history="1">
        <w:r w:rsidRPr="00A536EF">
          <w:rPr>
            <w:rStyle w:val="Hyperlink"/>
            <w:rFonts w:ascii="Arial" w:hAnsi="Arial" w:cs="Arial"/>
            <w:color w:val="000000" w:themeColor="text1"/>
            <w:sz w:val="20"/>
            <w:szCs w:val="20"/>
            <w:u w:val="none"/>
          </w:rPr>
          <w:t>https://doi.org/10.1016/S0261-5177(02)00009-2</w:t>
        </w:r>
      </w:hyperlink>
    </w:p>
    <w:p w14:paraId="0263E47B"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Gössling</w:t>
      </w:r>
      <w:proofErr w:type="spellEnd"/>
      <w:r w:rsidRPr="00A536EF">
        <w:rPr>
          <w:rFonts w:ascii="Arial" w:hAnsi="Arial" w:cs="Arial"/>
          <w:color w:val="000000" w:themeColor="text1"/>
          <w:sz w:val="20"/>
          <w:szCs w:val="20"/>
        </w:rPr>
        <w:t xml:space="preserve">, S., Scott, D., &amp; Hall, C. M. (2021). Pandemics, tourism and global change: A rapid assessment of COVID-19. </w:t>
      </w:r>
      <w:r w:rsidRPr="00A536EF">
        <w:rPr>
          <w:rFonts w:ascii="Arial" w:hAnsi="Arial" w:cs="Arial"/>
          <w:i/>
          <w:iCs/>
          <w:color w:val="000000" w:themeColor="text1"/>
          <w:sz w:val="20"/>
          <w:szCs w:val="20"/>
        </w:rPr>
        <w:t>Journal of Sustainable Tourism</w:t>
      </w:r>
      <w:r w:rsidRPr="00A536EF">
        <w:rPr>
          <w:rFonts w:ascii="Arial" w:hAnsi="Arial" w:cs="Arial"/>
          <w:color w:val="000000" w:themeColor="text1"/>
          <w:sz w:val="20"/>
          <w:szCs w:val="20"/>
        </w:rPr>
        <w:t xml:space="preserve">, 29(1), 1–20. </w:t>
      </w:r>
      <w:hyperlink r:id="rId15" w:tgtFrame="_new" w:history="1">
        <w:r w:rsidRPr="00A536EF">
          <w:rPr>
            <w:rStyle w:val="Hyperlink"/>
            <w:rFonts w:ascii="Arial" w:hAnsi="Arial" w:cs="Arial"/>
            <w:color w:val="000000" w:themeColor="text1"/>
            <w:sz w:val="20"/>
            <w:szCs w:val="20"/>
            <w:u w:val="none"/>
          </w:rPr>
          <w:t>https://doi.org/10.1080/09669582.2020.1758708</w:t>
        </w:r>
      </w:hyperlink>
    </w:p>
    <w:p w14:paraId="5194C488"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Hall, C. M., Scott, D., &amp; </w:t>
      </w:r>
      <w:proofErr w:type="spellStart"/>
      <w:r w:rsidRPr="00A536EF">
        <w:rPr>
          <w:rFonts w:ascii="Arial" w:hAnsi="Arial" w:cs="Arial"/>
          <w:color w:val="000000" w:themeColor="text1"/>
          <w:sz w:val="20"/>
          <w:szCs w:val="20"/>
        </w:rPr>
        <w:t>Gössling</w:t>
      </w:r>
      <w:proofErr w:type="spellEnd"/>
      <w:r w:rsidRPr="00A536EF">
        <w:rPr>
          <w:rFonts w:ascii="Arial" w:hAnsi="Arial" w:cs="Arial"/>
          <w:color w:val="000000" w:themeColor="text1"/>
          <w:sz w:val="20"/>
          <w:szCs w:val="20"/>
        </w:rPr>
        <w:t xml:space="preserve">, S. (2018). Global tourism vulnerability to climate change. </w:t>
      </w:r>
      <w:r w:rsidRPr="00A536EF">
        <w:rPr>
          <w:rFonts w:ascii="Arial" w:hAnsi="Arial" w:cs="Arial"/>
          <w:i/>
          <w:iCs/>
          <w:color w:val="000000" w:themeColor="text1"/>
          <w:sz w:val="20"/>
          <w:szCs w:val="20"/>
        </w:rPr>
        <w:t>Annals of Tourism Research, 77</w:t>
      </w:r>
      <w:r w:rsidRPr="00A536EF">
        <w:rPr>
          <w:rFonts w:ascii="Arial" w:hAnsi="Arial" w:cs="Arial"/>
          <w:color w:val="000000" w:themeColor="text1"/>
          <w:sz w:val="20"/>
          <w:szCs w:val="20"/>
        </w:rPr>
        <w:t xml:space="preserve">, 1–13. </w:t>
      </w:r>
      <w:hyperlink r:id="rId16" w:tgtFrame="_new" w:history="1">
        <w:r w:rsidRPr="00A536EF">
          <w:rPr>
            <w:rStyle w:val="Hyperlink"/>
            <w:rFonts w:ascii="Arial" w:hAnsi="Arial" w:cs="Arial"/>
            <w:color w:val="000000" w:themeColor="text1"/>
            <w:sz w:val="20"/>
            <w:szCs w:val="20"/>
            <w:u w:val="none"/>
          </w:rPr>
          <w:t>https://doi.org/10.1016/j.annals.2018.07.007</w:t>
        </w:r>
      </w:hyperlink>
    </w:p>
    <w:p w14:paraId="04F663D8"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International Monetary Fund. (2022). </w:t>
      </w:r>
      <w:r w:rsidRPr="00A536EF">
        <w:rPr>
          <w:rFonts w:ascii="Arial" w:hAnsi="Arial" w:cs="Arial"/>
          <w:i/>
          <w:iCs/>
          <w:color w:val="000000" w:themeColor="text1"/>
          <w:sz w:val="20"/>
          <w:szCs w:val="20"/>
        </w:rPr>
        <w:t>Economic scarring: Channels and policy implications</w:t>
      </w:r>
      <w:r w:rsidRPr="00A536EF">
        <w:rPr>
          <w:rFonts w:ascii="Arial" w:hAnsi="Arial" w:cs="Arial"/>
          <w:color w:val="000000" w:themeColor="text1"/>
          <w:sz w:val="20"/>
          <w:szCs w:val="20"/>
        </w:rPr>
        <w:t xml:space="preserve"> (Working Paper No. 2022/248). </w:t>
      </w:r>
      <w:hyperlink r:id="rId17" w:tgtFrame="_new" w:history="1">
        <w:r w:rsidRPr="00A536EF">
          <w:rPr>
            <w:rStyle w:val="Hyperlink"/>
            <w:rFonts w:ascii="Arial" w:hAnsi="Arial" w:cs="Arial"/>
            <w:color w:val="000000" w:themeColor="text1"/>
            <w:sz w:val="20"/>
            <w:szCs w:val="20"/>
            <w:u w:val="none"/>
          </w:rPr>
          <w:t>https://doi.org/10.5089/9781513690190.001</w:t>
        </w:r>
      </w:hyperlink>
    </w:p>
    <w:p w14:paraId="56308B9C"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Koenig-Lewis, N., &amp; Bischoff, E. E. (2010). Seasonality research: The state of the art. </w:t>
      </w:r>
      <w:r w:rsidRPr="00A536EF">
        <w:rPr>
          <w:rFonts w:ascii="Arial" w:hAnsi="Arial" w:cs="Arial"/>
          <w:i/>
          <w:iCs/>
          <w:color w:val="000000" w:themeColor="text1"/>
          <w:sz w:val="20"/>
          <w:szCs w:val="20"/>
        </w:rPr>
        <w:t>International Journal of Tourism Research</w:t>
      </w:r>
      <w:r w:rsidRPr="00A536EF">
        <w:rPr>
          <w:rFonts w:ascii="Arial" w:hAnsi="Arial" w:cs="Arial"/>
          <w:color w:val="000000" w:themeColor="text1"/>
          <w:sz w:val="20"/>
          <w:szCs w:val="20"/>
        </w:rPr>
        <w:t xml:space="preserve">, 12(3), 201–219. </w:t>
      </w:r>
      <w:hyperlink r:id="rId18" w:tgtFrame="_new" w:history="1">
        <w:r w:rsidRPr="00A536EF">
          <w:rPr>
            <w:rStyle w:val="Hyperlink"/>
            <w:rFonts w:ascii="Arial" w:hAnsi="Arial" w:cs="Arial"/>
            <w:color w:val="000000" w:themeColor="text1"/>
            <w:sz w:val="20"/>
            <w:szCs w:val="20"/>
            <w:u w:val="none"/>
          </w:rPr>
          <w:t>https://doi.org/10.1002/jtr.761</w:t>
        </w:r>
      </w:hyperlink>
    </w:p>
    <w:p w14:paraId="0FF7E463"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Li, J., Nguyen, T. H. H., &amp; Coca-Stefaniak, J. A. (2021). Coronavirus impacts on post-pandemic planned travel behaviours. </w:t>
      </w:r>
      <w:r w:rsidRPr="00A536EF">
        <w:rPr>
          <w:rFonts w:ascii="Arial" w:hAnsi="Arial" w:cs="Arial"/>
          <w:i/>
          <w:iCs/>
          <w:color w:val="000000" w:themeColor="text1"/>
          <w:sz w:val="20"/>
          <w:szCs w:val="20"/>
        </w:rPr>
        <w:t>Annals of Tourism Research</w:t>
      </w:r>
      <w:r w:rsidRPr="00A536EF">
        <w:rPr>
          <w:rFonts w:ascii="Arial" w:hAnsi="Arial" w:cs="Arial"/>
          <w:color w:val="000000" w:themeColor="text1"/>
          <w:sz w:val="20"/>
          <w:szCs w:val="20"/>
        </w:rPr>
        <w:t xml:space="preserve">, 86, 102964. </w:t>
      </w:r>
      <w:hyperlink r:id="rId19" w:tgtFrame="_new" w:history="1">
        <w:r w:rsidRPr="00A536EF">
          <w:rPr>
            <w:rStyle w:val="Hyperlink"/>
            <w:rFonts w:ascii="Arial" w:hAnsi="Arial" w:cs="Arial"/>
            <w:color w:val="000000" w:themeColor="text1"/>
            <w:sz w:val="20"/>
            <w:szCs w:val="20"/>
            <w:u w:val="none"/>
          </w:rPr>
          <w:t>https://doi.org/10.1016/j.annals.2020.102964</w:t>
        </w:r>
      </w:hyperlink>
    </w:p>
    <w:p w14:paraId="6830B4B7"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Liu, A. T., Williams, A. M., Liu, A., Kim, Y. R., &amp; Lin, P. M. (2023). A systematic analysis of diaspora tourism: Geographical perspectives and superdiversity. </w:t>
      </w:r>
      <w:r w:rsidRPr="00A536EF">
        <w:rPr>
          <w:rFonts w:ascii="Arial" w:hAnsi="Arial" w:cs="Arial"/>
          <w:i/>
          <w:iCs/>
          <w:color w:val="000000" w:themeColor="text1"/>
          <w:sz w:val="20"/>
          <w:szCs w:val="20"/>
        </w:rPr>
        <w:t>Journal of Hospitality &amp; Tourism Research, 47</w:t>
      </w:r>
      <w:r w:rsidRPr="00A536EF">
        <w:rPr>
          <w:rFonts w:ascii="Arial" w:hAnsi="Arial" w:cs="Arial"/>
          <w:color w:val="000000" w:themeColor="text1"/>
          <w:sz w:val="20"/>
          <w:szCs w:val="20"/>
        </w:rPr>
        <w:t xml:space="preserve">(2), 123–145. </w:t>
      </w:r>
      <w:hyperlink r:id="rId20" w:tgtFrame="_new" w:history="1">
        <w:r w:rsidRPr="00A536EF">
          <w:rPr>
            <w:rStyle w:val="Hyperlink"/>
            <w:rFonts w:ascii="Arial" w:hAnsi="Arial" w:cs="Arial"/>
            <w:color w:val="000000" w:themeColor="text1"/>
            <w:sz w:val="20"/>
            <w:szCs w:val="20"/>
            <w:u w:val="none"/>
          </w:rPr>
          <w:t>https://doi.org/10.1177/10963480231152571</w:t>
        </w:r>
      </w:hyperlink>
    </w:p>
    <w:p w14:paraId="2F91BE7A"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Liu, P., Zeng, Z., Wang, H., Zhang, H., Zhang, J., &amp; Liu, Z. (2024). Crisis-resistant tourism markets in the pandemic recovery. </w:t>
      </w:r>
      <w:r w:rsidRPr="00A536EF">
        <w:rPr>
          <w:rFonts w:ascii="Arial" w:hAnsi="Arial" w:cs="Arial"/>
          <w:i/>
          <w:iCs/>
          <w:color w:val="000000" w:themeColor="text1"/>
          <w:sz w:val="20"/>
          <w:szCs w:val="20"/>
        </w:rPr>
        <w:t>Tourism Management Perspectives, 51</w:t>
      </w:r>
      <w:r w:rsidRPr="00A536EF">
        <w:rPr>
          <w:rFonts w:ascii="Arial" w:hAnsi="Arial" w:cs="Arial"/>
          <w:color w:val="000000" w:themeColor="text1"/>
          <w:sz w:val="20"/>
          <w:szCs w:val="20"/>
        </w:rPr>
        <w:t xml:space="preserve">, 101221. </w:t>
      </w:r>
      <w:hyperlink r:id="rId21" w:tgtFrame="_new" w:history="1">
        <w:r w:rsidRPr="00A536EF">
          <w:rPr>
            <w:rStyle w:val="Hyperlink"/>
            <w:rFonts w:ascii="Arial" w:hAnsi="Arial" w:cs="Arial"/>
            <w:color w:val="000000" w:themeColor="text1"/>
            <w:sz w:val="20"/>
            <w:szCs w:val="20"/>
            <w:u w:val="none"/>
          </w:rPr>
          <w:t>https://doi.org/10.1016/j.tmp.2024.101221</w:t>
        </w:r>
      </w:hyperlink>
    </w:p>
    <w:p w14:paraId="05451AAD"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Mingya</w:t>
      </w:r>
      <w:proofErr w:type="spellEnd"/>
      <w:r w:rsidRPr="00A536EF">
        <w:rPr>
          <w:rFonts w:ascii="Arial" w:hAnsi="Arial" w:cs="Arial"/>
          <w:color w:val="000000" w:themeColor="text1"/>
          <w:sz w:val="20"/>
          <w:szCs w:val="20"/>
        </w:rPr>
        <w:t xml:space="preserve"> Qu and Yujie Fu and Dongsheng Chen and </w:t>
      </w:r>
      <w:proofErr w:type="spellStart"/>
      <w:r w:rsidRPr="00A536EF">
        <w:rPr>
          <w:rFonts w:ascii="Arial" w:hAnsi="Arial" w:cs="Arial"/>
          <w:color w:val="000000" w:themeColor="text1"/>
          <w:sz w:val="20"/>
          <w:szCs w:val="20"/>
        </w:rPr>
        <w:t>Yatao</w:t>
      </w:r>
      <w:proofErr w:type="spellEnd"/>
      <w:r w:rsidRPr="00A536EF">
        <w:rPr>
          <w:rFonts w:ascii="Arial" w:hAnsi="Arial" w:cs="Arial"/>
          <w:color w:val="000000" w:themeColor="text1"/>
          <w:sz w:val="20"/>
          <w:szCs w:val="20"/>
        </w:rPr>
        <w:t xml:space="preserve"> Zhang and </w:t>
      </w:r>
      <w:proofErr w:type="spellStart"/>
      <w:r w:rsidRPr="00A536EF">
        <w:rPr>
          <w:rFonts w:ascii="Arial" w:hAnsi="Arial" w:cs="Arial"/>
          <w:color w:val="000000" w:themeColor="text1"/>
          <w:sz w:val="20"/>
          <w:szCs w:val="20"/>
        </w:rPr>
        <w:t>Jigang</w:t>
      </w:r>
      <w:proofErr w:type="spellEnd"/>
      <w:r w:rsidRPr="00A536EF">
        <w:rPr>
          <w:rFonts w:ascii="Arial" w:hAnsi="Arial" w:cs="Arial"/>
          <w:color w:val="000000" w:themeColor="text1"/>
          <w:sz w:val="20"/>
          <w:szCs w:val="20"/>
        </w:rPr>
        <w:t xml:space="preserve"> Bao (2026). From impact to action: Enhancing international tourism resilience through counterfactual explanations. </w:t>
      </w:r>
      <w:r w:rsidRPr="00A536EF">
        <w:rPr>
          <w:rFonts w:ascii="Arial" w:hAnsi="Arial" w:cs="Arial"/>
          <w:i/>
          <w:iCs/>
          <w:color w:val="000000" w:themeColor="text1"/>
          <w:sz w:val="20"/>
          <w:szCs w:val="20"/>
        </w:rPr>
        <w:t>Tourism Management</w:t>
      </w:r>
      <w:r w:rsidRPr="00A536EF">
        <w:rPr>
          <w:rFonts w:ascii="Arial" w:hAnsi="Arial" w:cs="Arial"/>
          <w:color w:val="000000" w:themeColor="text1"/>
          <w:sz w:val="20"/>
          <w:szCs w:val="20"/>
        </w:rPr>
        <w:t xml:space="preserve">, 114, 105356. </w:t>
      </w:r>
      <w:hyperlink r:id="rId22" w:tgtFrame="_new" w:history="1">
        <w:r w:rsidRPr="00A536EF">
          <w:rPr>
            <w:rStyle w:val="Hyperlink"/>
            <w:rFonts w:ascii="Arial" w:hAnsi="Arial" w:cs="Arial"/>
            <w:color w:val="000000" w:themeColor="text1"/>
            <w:sz w:val="20"/>
            <w:szCs w:val="20"/>
            <w:u w:val="none"/>
          </w:rPr>
          <w:t>https://doi.org/10.1016/j.tourman.2025.105356</w:t>
        </w:r>
      </w:hyperlink>
    </w:p>
    <w:p w14:paraId="471D15D8"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OECD. (2024). </w:t>
      </w:r>
      <w:r w:rsidRPr="00A536EF">
        <w:rPr>
          <w:rFonts w:ascii="Arial" w:hAnsi="Arial" w:cs="Arial"/>
          <w:i/>
          <w:iCs/>
          <w:color w:val="000000" w:themeColor="text1"/>
          <w:sz w:val="20"/>
          <w:szCs w:val="20"/>
        </w:rPr>
        <w:t>Tourism trends and policies 2024</w:t>
      </w:r>
      <w:r w:rsidRPr="00A536EF">
        <w:rPr>
          <w:rFonts w:ascii="Arial" w:hAnsi="Arial" w:cs="Arial"/>
          <w:color w:val="000000" w:themeColor="text1"/>
          <w:sz w:val="20"/>
          <w:szCs w:val="20"/>
        </w:rPr>
        <w:t xml:space="preserve">. </w:t>
      </w:r>
      <w:hyperlink r:id="rId23" w:tgtFrame="_new" w:history="1">
        <w:r w:rsidRPr="00A536EF">
          <w:rPr>
            <w:rStyle w:val="Hyperlink"/>
            <w:rFonts w:ascii="Arial" w:hAnsi="Arial" w:cs="Arial"/>
            <w:color w:val="000000" w:themeColor="text1"/>
            <w:sz w:val="20"/>
            <w:szCs w:val="20"/>
            <w:u w:val="none"/>
          </w:rPr>
          <w:t>https://www.oecd.org/en/publications/oecd-tourism-trends-and-policies-2024_80885d8b-en</w:t>
        </w:r>
      </w:hyperlink>
    </w:p>
    <w:p w14:paraId="2C09A7E8" w14:textId="77777777"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Peixue</w:t>
      </w:r>
      <w:proofErr w:type="spellEnd"/>
      <w:r w:rsidRPr="00A536EF">
        <w:rPr>
          <w:rFonts w:ascii="Arial" w:hAnsi="Arial" w:cs="Arial"/>
          <w:color w:val="000000" w:themeColor="text1"/>
          <w:sz w:val="20"/>
          <w:szCs w:val="20"/>
        </w:rPr>
        <w:t xml:space="preserve"> Liu and </w:t>
      </w:r>
      <w:proofErr w:type="spellStart"/>
      <w:r w:rsidRPr="00A536EF">
        <w:rPr>
          <w:rFonts w:ascii="Arial" w:hAnsi="Arial" w:cs="Arial"/>
          <w:color w:val="000000" w:themeColor="text1"/>
          <w:sz w:val="20"/>
          <w:szCs w:val="20"/>
        </w:rPr>
        <w:t>Zhanjing</w:t>
      </w:r>
      <w:proofErr w:type="spellEnd"/>
      <w:r w:rsidRPr="00A536EF">
        <w:rPr>
          <w:rFonts w:ascii="Arial" w:hAnsi="Arial" w:cs="Arial"/>
          <w:color w:val="000000" w:themeColor="text1"/>
          <w:sz w:val="20"/>
          <w:szCs w:val="20"/>
        </w:rPr>
        <w:t xml:space="preserve"> Zeng and </w:t>
      </w:r>
      <w:proofErr w:type="spellStart"/>
      <w:r w:rsidRPr="00A536EF">
        <w:rPr>
          <w:rFonts w:ascii="Arial" w:hAnsi="Arial" w:cs="Arial"/>
          <w:color w:val="000000" w:themeColor="text1"/>
          <w:sz w:val="20"/>
          <w:szCs w:val="20"/>
        </w:rPr>
        <w:t>Huanying</w:t>
      </w:r>
      <w:proofErr w:type="spellEnd"/>
      <w:r w:rsidRPr="00A536EF">
        <w:rPr>
          <w:rFonts w:ascii="Arial" w:hAnsi="Arial" w:cs="Arial"/>
          <w:color w:val="000000" w:themeColor="text1"/>
          <w:sz w:val="20"/>
          <w:szCs w:val="20"/>
        </w:rPr>
        <w:t xml:space="preserve"> Wang and </w:t>
      </w:r>
      <w:proofErr w:type="spellStart"/>
      <w:r w:rsidRPr="00A536EF">
        <w:rPr>
          <w:rFonts w:ascii="Arial" w:hAnsi="Arial" w:cs="Arial"/>
          <w:color w:val="000000" w:themeColor="text1"/>
          <w:sz w:val="20"/>
          <w:szCs w:val="20"/>
        </w:rPr>
        <w:t>Honglei</w:t>
      </w:r>
      <w:proofErr w:type="spellEnd"/>
      <w:r w:rsidRPr="00A536EF">
        <w:rPr>
          <w:rFonts w:ascii="Arial" w:hAnsi="Arial" w:cs="Arial"/>
          <w:color w:val="000000" w:themeColor="text1"/>
          <w:sz w:val="20"/>
          <w:szCs w:val="20"/>
        </w:rPr>
        <w:t xml:space="preserve"> Zhang and Jianxin Zhang and </w:t>
      </w:r>
      <w:proofErr w:type="spellStart"/>
      <w:r w:rsidRPr="00A536EF">
        <w:rPr>
          <w:rFonts w:ascii="Arial" w:hAnsi="Arial" w:cs="Arial"/>
          <w:color w:val="000000" w:themeColor="text1"/>
          <w:sz w:val="20"/>
          <w:szCs w:val="20"/>
        </w:rPr>
        <w:t>ZehuaLiu</w:t>
      </w:r>
      <w:proofErr w:type="spellEnd"/>
      <w:r w:rsidRPr="00A536EF">
        <w:rPr>
          <w:rFonts w:ascii="Arial" w:hAnsi="Arial" w:cs="Arial"/>
          <w:color w:val="000000" w:themeColor="text1"/>
          <w:sz w:val="20"/>
          <w:szCs w:val="20"/>
        </w:rPr>
        <w:t xml:space="preserve"> (2024). Crisis-resistant tourism markets in the pandemic recovery. </w:t>
      </w:r>
      <w:r w:rsidRPr="00A536EF">
        <w:rPr>
          <w:rFonts w:ascii="Arial" w:hAnsi="Arial" w:cs="Arial"/>
          <w:i/>
          <w:iCs/>
          <w:color w:val="000000" w:themeColor="text1"/>
          <w:sz w:val="20"/>
          <w:szCs w:val="20"/>
        </w:rPr>
        <w:t>Tourism Management Perspectives</w:t>
      </w:r>
      <w:r w:rsidRPr="00A536EF">
        <w:rPr>
          <w:rFonts w:ascii="Arial" w:hAnsi="Arial" w:cs="Arial"/>
          <w:color w:val="000000" w:themeColor="text1"/>
          <w:sz w:val="20"/>
          <w:szCs w:val="20"/>
        </w:rPr>
        <w:t xml:space="preserve">, 51, 101221. </w:t>
      </w:r>
      <w:hyperlink r:id="rId24" w:tgtFrame="_new" w:history="1">
        <w:r w:rsidRPr="00A536EF">
          <w:rPr>
            <w:rStyle w:val="Hyperlink"/>
            <w:rFonts w:ascii="Arial" w:hAnsi="Arial" w:cs="Arial"/>
            <w:color w:val="000000" w:themeColor="text1"/>
            <w:sz w:val="20"/>
            <w:szCs w:val="20"/>
            <w:u w:val="none"/>
          </w:rPr>
          <w:t>https://doi.org/10.1016/j.tmp.2024.101221</w:t>
        </w:r>
      </w:hyperlink>
    </w:p>
    <w:p w14:paraId="097B28C1"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lastRenderedPageBreak/>
        <w:t xml:space="preserve">Qu, M., Fu, Y., Chen, D., Zhang, Y., &amp; Bao, J. (2026). From impact to action: Enhancing international tourism resilience through counterfactual explanations. </w:t>
      </w:r>
      <w:r w:rsidRPr="00A536EF">
        <w:rPr>
          <w:rFonts w:ascii="Arial" w:hAnsi="Arial" w:cs="Arial"/>
          <w:i/>
          <w:iCs/>
          <w:color w:val="000000" w:themeColor="text1"/>
          <w:sz w:val="20"/>
          <w:szCs w:val="20"/>
        </w:rPr>
        <w:t>Tourism Management, 114</w:t>
      </w:r>
      <w:r w:rsidRPr="00A536EF">
        <w:rPr>
          <w:rFonts w:ascii="Arial" w:hAnsi="Arial" w:cs="Arial"/>
          <w:color w:val="000000" w:themeColor="text1"/>
          <w:sz w:val="20"/>
          <w:szCs w:val="20"/>
        </w:rPr>
        <w:t xml:space="preserve">, 105356. </w:t>
      </w:r>
      <w:hyperlink r:id="rId25" w:tgtFrame="_new" w:history="1">
        <w:r w:rsidRPr="00A536EF">
          <w:rPr>
            <w:rStyle w:val="Hyperlink"/>
            <w:rFonts w:ascii="Arial" w:hAnsi="Arial" w:cs="Arial"/>
            <w:color w:val="000000" w:themeColor="text1"/>
            <w:sz w:val="20"/>
            <w:szCs w:val="20"/>
            <w:u w:val="none"/>
          </w:rPr>
          <w:t>https://doi.org/10.1016/j.tourman.2025.105356</w:t>
        </w:r>
      </w:hyperlink>
    </w:p>
    <w:p w14:paraId="54D733CD"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S., A., &amp; B., P. K. (2025). Foreign tourist arrivals (FTAs) in India: A demographic and economic analysis. </w:t>
      </w:r>
      <w:r w:rsidRPr="00A536EF">
        <w:rPr>
          <w:rFonts w:ascii="Arial" w:hAnsi="Arial" w:cs="Arial"/>
          <w:i/>
          <w:iCs/>
          <w:color w:val="000000" w:themeColor="text1"/>
          <w:sz w:val="20"/>
          <w:szCs w:val="20"/>
        </w:rPr>
        <w:t>International Research Journal of Economics and Management Studies</w:t>
      </w:r>
      <w:r w:rsidRPr="00A536EF">
        <w:rPr>
          <w:rFonts w:ascii="Arial" w:hAnsi="Arial" w:cs="Arial"/>
          <w:color w:val="000000" w:themeColor="text1"/>
          <w:sz w:val="20"/>
          <w:szCs w:val="20"/>
        </w:rPr>
        <w:t xml:space="preserve">, 4(7), 7–15. </w:t>
      </w:r>
      <w:hyperlink r:id="rId26" w:tgtFrame="_new" w:history="1">
        <w:r w:rsidRPr="00A536EF">
          <w:rPr>
            <w:rStyle w:val="Hyperlink"/>
            <w:rFonts w:ascii="Arial" w:hAnsi="Arial" w:cs="Arial"/>
            <w:color w:val="000000" w:themeColor="text1"/>
            <w:sz w:val="20"/>
            <w:szCs w:val="20"/>
            <w:u w:val="none"/>
          </w:rPr>
          <w:t>https://doi.org/10.56472/25835238/IRJEMS-V4I7P102</w:t>
        </w:r>
      </w:hyperlink>
    </w:p>
    <w:p w14:paraId="7E7B899B"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Sann, R., Lai, P. C., &amp; Liaw, S. Y. (2024). Prospective for tourism and hospitality industry: An integrative review on COVID-19’s impacts. </w:t>
      </w:r>
      <w:r w:rsidRPr="00A536EF">
        <w:rPr>
          <w:rFonts w:ascii="Arial" w:hAnsi="Arial" w:cs="Arial"/>
          <w:i/>
          <w:iCs/>
          <w:color w:val="000000" w:themeColor="text1"/>
          <w:sz w:val="20"/>
          <w:szCs w:val="20"/>
        </w:rPr>
        <w:t>Cogent Business &amp; Management</w:t>
      </w:r>
      <w:r w:rsidRPr="00A536EF">
        <w:rPr>
          <w:rFonts w:ascii="Arial" w:hAnsi="Arial" w:cs="Arial"/>
          <w:color w:val="000000" w:themeColor="text1"/>
          <w:sz w:val="20"/>
          <w:szCs w:val="20"/>
        </w:rPr>
        <w:t xml:space="preserve">, 11(1). </w:t>
      </w:r>
      <w:hyperlink r:id="rId27" w:tgtFrame="_new" w:history="1">
        <w:r w:rsidRPr="00A536EF">
          <w:rPr>
            <w:rStyle w:val="Hyperlink"/>
            <w:rFonts w:ascii="Arial" w:hAnsi="Arial" w:cs="Arial"/>
            <w:color w:val="000000" w:themeColor="text1"/>
            <w:sz w:val="20"/>
            <w:szCs w:val="20"/>
            <w:u w:val="none"/>
          </w:rPr>
          <w:t>https://doi.org/10.1080/23311975.2024.2414854</w:t>
        </w:r>
      </w:hyperlink>
    </w:p>
    <w:p w14:paraId="13B28333"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Sigala, M. (2020). Tourism and COVID-19: Impacts and implications for advancing and resetting industry and research. </w:t>
      </w:r>
      <w:r w:rsidRPr="00A536EF">
        <w:rPr>
          <w:rFonts w:ascii="Arial" w:hAnsi="Arial" w:cs="Arial"/>
          <w:i/>
          <w:iCs/>
          <w:color w:val="000000" w:themeColor="text1"/>
          <w:sz w:val="20"/>
          <w:szCs w:val="20"/>
        </w:rPr>
        <w:t>Journal of Business Research</w:t>
      </w:r>
      <w:r w:rsidRPr="00A536EF">
        <w:rPr>
          <w:rFonts w:ascii="Arial" w:hAnsi="Arial" w:cs="Arial"/>
          <w:color w:val="000000" w:themeColor="text1"/>
          <w:sz w:val="20"/>
          <w:szCs w:val="20"/>
        </w:rPr>
        <w:t xml:space="preserve">, 117, 312–321. </w:t>
      </w:r>
      <w:hyperlink r:id="rId28" w:tgtFrame="_new" w:history="1">
        <w:r w:rsidRPr="00A536EF">
          <w:rPr>
            <w:rStyle w:val="Hyperlink"/>
            <w:rFonts w:ascii="Arial" w:hAnsi="Arial" w:cs="Arial"/>
            <w:color w:val="000000" w:themeColor="text1"/>
            <w:sz w:val="20"/>
            <w:szCs w:val="20"/>
            <w:u w:val="none"/>
          </w:rPr>
          <w:t>https://doi.org/10.1016/j.jbusres.2020.06.015</w:t>
        </w:r>
      </w:hyperlink>
    </w:p>
    <w:p w14:paraId="7D957075" w14:textId="77777777" w:rsidR="00A536EF" w:rsidRPr="00A536EF" w:rsidRDefault="00A536EF" w:rsidP="00A536EF">
      <w:pPr>
        <w:spacing w:line="276" w:lineRule="auto"/>
        <w:rPr>
          <w:rFonts w:ascii="Arial" w:hAnsi="Arial" w:cs="Arial"/>
          <w:color w:val="000000" w:themeColor="text1"/>
          <w:sz w:val="20"/>
          <w:szCs w:val="20"/>
        </w:rPr>
      </w:pPr>
      <w:proofErr w:type="spellStart"/>
      <w:proofErr w:type="gramStart"/>
      <w:r w:rsidRPr="00A536EF">
        <w:rPr>
          <w:rFonts w:ascii="Arial" w:hAnsi="Arial" w:cs="Arial"/>
          <w:color w:val="000000" w:themeColor="text1"/>
          <w:sz w:val="20"/>
          <w:szCs w:val="20"/>
        </w:rPr>
        <w:t>Singh,S</w:t>
      </w:r>
      <w:proofErr w:type="spellEnd"/>
      <w:r w:rsidRPr="00A536EF">
        <w:rPr>
          <w:rFonts w:ascii="Arial" w:hAnsi="Arial" w:cs="Arial"/>
          <w:color w:val="000000" w:themeColor="text1"/>
          <w:sz w:val="20"/>
          <w:szCs w:val="20"/>
        </w:rPr>
        <w:t>.</w:t>
      </w:r>
      <w:proofErr w:type="gramEnd"/>
      <w:r w:rsidRPr="00A536EF">
        <w:rPr>
          <w:rFonts w:ascii="Arial" w:hAnsi="Arial" w:cs="Arial"/>
          <w:color w:val="000000" w:themeColor="text1"/>
          <w:sz w:val="20"/>
          <w:szCs w:val="20"/>
        </w:rPr>
        <w:t xml:space="preserve"> K., Nath, G.&amp; Singh, N. (2026). Religious Tourism as A Catalyst for Local Economic Development: An Empirical Pls-Sem Analysis of Religious Tourists' Behaviour in Nainital District. </w:t>
      </w:r>
      <w:r w:rsidRPr="00A536EF">
        <w:rPr>
          <w:rFonts w:ascii="Arial" w:hAnsi="Arial" w:cs="Arial"/>
          <w:i/>
          <w:iCs/>
          <w:color w:val="000000" w:themeColor="text1"/>
          <w:sz w:val="20"/>
          <w:szCs w:val="20"/>
        </w:rPr>
        <w:t>Available at SSRN 6159807</w:t>
      </w:r>
      <w:r w:rsidRPr="00A536EF">
        <w:rPr>
          <w:rFonts w:ascii="Arial" w:hAnsi="Arial" w:cs="Arial"/>
          <w:color w:val="000000" w:themeColor="text1"/>
          <w:sz w:val="20"/>
          <w:szCs w:val="20"/>
        </w:rPr>
        <w:t xml:space="preserve">. </w:t>
      </w:r>
      <w:hyperlink r:id="rId29" w:history="1">
        <w:r w:rsidRPr="00A536EF">
          <w:rPr>
            <w:rStyle w:val="Hyperlink"/>
            <w:rFonts w:ascii="Arial" w:hAnsi="Arial" w:cs="Arial"/>
            <w:color w:val="000000" w:themeColor="text1"/>
            <w:sz w:val="20"/>
            <w:szCs w:val="20"/>
            <w:u w:val="none"/>
          </w:rPr>
          <w:t>https://doi.org/10.36713/epra25718</w:t>
        </w:r>
      </w:hyperlink>
      <w:r w:rsidRPr="00A536EF">
        <w:rPr>
          <w:rFonts w:ascii="Arial" w:hAnsi="Arial" w:cs="Arial"/>
          <w:color w:val="000000" w:themeColor="text1"/>
          <w:sz w:val="20"/>
          <w:szCs w:val="20"/>
        </w:rPr>
        <w:t xml:space="preserve"> </w:t>
      </w:r>
    </w:p>
    <w:p w14:paraId="69083ACD"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Song, H., &amp; Li, G. (2008). Tourism demand modelling and forecasting: A review of recent research. </w:t>
      </w:r>
      <w:r w:rsidRPr="00A536EF">
        <w:rPr>
          <w:rFonts w:ascii="Arial" w:hAnsi="Arial" w:cs="Arial"/>
          <w:i/>
          <w:iCs/>
          <w:color w:val="000000" w:themeColor="text1"/>
          <w:sz w:val="20"/>
          <w:szCs w:val="20"/>
        </w:rPr>
        <w:t>Tourism Management</w:t>
      </w:r>
      <w:r w:rsidRPr="00A536EF">
        <w:rPr>
          <w:rFonts w:ascii="Arial" w:hAnsi="Arial" w:cs="Arial"/>
          <w:color w:val="000000" w:themeColor="text1"/>
          <w:sz w:val="20"/>
          <w:szCs w:val="20"/>
        </w:rPr>
        <w:t xml:space="preserve">, 29(2), 203–220. </w:t>
      </w:r>
      <w:hyperlink r:id="rId30" w:tgtFrame="_new" w:history="1">
        <w:r w:rsidRPr="00A536EF">
          <w:rPr>
            <w:rStyle w:val="Hyperlink"/>
            <w:rFonts w:ascii="Arial" w:hAnsi="Arial" w:cs="Arial"/>
            <w:color w:val="000000" w:themeColor="text1"/>
            <w:sz w:val="20"/>
            <w:szCs w:val="20"/>
            <w:u w:val="none"/>
          </w:rPr>
          <w:t>https://doi.org/10.1016/j.tourman.2007.07.016</w:t>
        </w:r>
      </w:hyperlink>
    </w:p>
    <w:p w14:paraId="46E828CC" w14:textId="4475F67B" w:rsidR="00A536EF" w:rsidRPr="00A536EF" w:rsidRDefault="00A536EF" w:rsidP="00A536EF">
      <w:pPr>
        <w:spacing w:line="276" w:lineRule="auto"/>
        <w:rPr>
          <w:rFonts w:ascii="Arial" w:hAnsi="Arial" w:cs="Arial"/>
          <w:color w:val="000000" w:themeColor="text1"/>
          <w:sz w:val="20"/>
          <w:szCs w:val="20"/>
        </w:rPr>
      </w:pPr>
      <w:proofErr w:type="spellStart"/>
      <w:r w:rsidRPr="00A536EF">
        <w:rPr>
          <w:rFonts w:ascii="Arial" w:hAnsi="Arial" w:cs="Arial"/>
          <w:color w:val="000000" w:themeColor="text1"/>
          <w:sz w:val="20"/>
          <w:szCs w:val="20"/>
        </w:rPr>
        <w:t>Tegelberg</w:t>
      </w:r>
      <w:proofErr w:type="spellEnd"/>
      <w:r w:rsidRPr="00A536EF">
        <w:rPr>
          <w:rFonts w:ascii="Arial" w:hAnsi="Arial" w:cs="Arial"/>
          <w:color w:val="000000" w:themeColor="text1"/>
          <w:sz w:val="20"/>
          <w:szCs w:val="20"/>
        </w:rPr>
        <w:t xml:space="preserve">, M., &amp; Griffin, T. (2024). Remembering for resilience: Nature-based tourism, COVID-19, and green transitions. </w:t>
      </w:r>
      <w:r w:rsidRPr="00A536EF">
        <w:rPr>
          <w:rFonts w:ascii="Arial" w:hAnsi="Arial" w:cs="Arial"/>
          <w:i/>
          <w:iCs/>
          <w:color w:val="000000" w:themeColor="text1"/>
          <w:sz w:val="20"/>
          <w:szCs w:val="20"/>
        </w:rPr>
        <w:t>Frontiers in Sustainable Tourism</w:t>
      </w:r>
      <w:r w:rsidRPr="00A536EF">
        <w:rPr>
          <w:rFonts w:ascii="Arial" w:hAnsi="Arial" w:cs="Arial"/>
          <w:color w:val="000000" w:themeColor="text1"/>
          <w:sz w:val="20"/>
          <w:szCs w:val="20"/>
        </w:rPr>
        <w:t xml:space="preserve">, 3, 1392566. </w:t>
      </w:r>
      <w:hyperlink r:id="rId31" w:tgtFrame="_new" w:history="1">
        <w:r w:rsidRPr="00A536EF">
          <w:rPr>
            <w:rStyle w:val="Hyperlink"/>
            <w:rFonts w:ascii="Arial" w:hAnsi="Arial" w:cs="Arial"/>
            <w:color w:val="000000" w:themeColor="text1"/>
            <w:sz w:val="20"/>
            <w:szCs w:val="20"/>
            <w:u w:val="none"/>
          </w:rPr>
          <w:t>https://doi.org/10.3389/frsut.2024.1392566</w:t>
        </w:r>
      </w:hyperlink>
      <w:r>
        <w:rPr>
          <w:rFonts w:ascii="Arial" w:hAnsi="Arial" w:cs="Arial"/>
          <w:color w:val="000000" w:themeColor="text1"/>
          <w:sz w:val="20"/>
          <w:szCs w:val="20"/>
        </w:rPr>
        <w:t xml:space="preserve">   </w:t>
      </w:r>
    </w:p>
    <w:p w14:paraId="54E50BBE" w14:textId="77777777" w:rsidR="00A536EF" w:rsidRPr="00A536EF" w:rsidRDefault="00A536EF" w:rsidP="00A536EF">
      <w:pPr>
        <w:spacing w:line="276" w:lineRule="auto"/>
        <w:rPr>
          <w:rFonts w:ascii="Arial" w:hAnsi="Arial" w:cs="Arial"/>
          <w:color w:val="000000" w:themeColor="text1"/>
          <w:sz w:val="20"/>
          <w:szCs w:val="20"/>
        </w:rPr>
      </w:pPr>
      <w:r w:rsidRPr="00A536EF">
        <w:rPr>
          <w:rFonts w:ascii="Arial" w:hAnsi="Arial" w:cs="Arial"/>
          <w:color w:val="000000" w:themeColor="text1"/>
          <w:sz w:val="20"/>
          <w:szCs w:val="20"/>
        </w:rPr>
        <w:t xml:space="preserve">United Nations World Tourism Organization (UNWTO). (n.d.). </w:t>
      </w:r>
      <w:r w:rsidRPr="00A536EF">
        <w:rPr>
          <w:rFonts w:ascii="Arial" w:hAnsi="Arial" w:cs="Arial"/>
          <w:i/>
          <w:iCs/>
          <w:color w:val="000000" w:themeColor="text1"/>
          <w:sz w:val="20"/>
          <w:szCs w:val="20"/>
        </w:rPr>
        <w:t>UNWTO World Tourism Barometer</w:t>
      </w:r>
      <w:r w:rsidRPr="00A536EF">
        <w:rPr>
          <w:rFonts w:ascii="Arial" w:hAnsi="Arial" w:cs="Arial"/>
          <w:color w:val="000000" w:themeColor="text1"/>
          <w:sz w:val="20"/>
          <w:szCs w:val="20"/>
        </w:rPr>
        <w:t xml:space="preserve">. </w:t>
      </w:r>
      <w:hyperlink r:id="rId32" w:tgtFrame="_new" w:history="1">
        <w:r w:rsidRPr="00A536EF">
          <w:rPr>
            <w:rStyle w:val="Hyperlink"/>
            <w:rFonts w:ascii="Arial" w:hAnsi="Arial" w:cs="Arial"/>
            <w:color w:val="000000" w:themeColor="text1"/>
            <w:sz w:val="20"/>
            <w:szCs w:val="20"/>
          </w:rPr>
          <w:t>https://www.unwto.org</w:t>
        </w:r>
      </w:hyperlink>
    </w:p>
    <w:p w14:paraId="0971C419" w14:textId="77777777" w:rsidR="00A96AA4" w:rsidRPr="00A536EF" w:rsidRDefault="00A96AA4" w:rsidP="00F9400A">
      <w:pPr>
        <w:rPr>
          <w:color w:val="000000" w:themeColor="text1"/>
          <w:sz w:val="24"/>
          <w:szCs w:val="24"/>
        </w:rPr>
      </w:pPr>
    </w:p>
    <w:sectPr w:rsidR="00A96AA4" w:rsidRPr="00A536EF" w:rsidSect="0088606A">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C523" w14:textId="77777777" w:rsidR="00986588" w:rsidRDefault="00986588" w:rsidP="00A96AA4">
      <w:pPr>
        <w:spacing w:after="0" w:line="240" w:lineRule="auto"/>
      </w:pPr>
      <w:r>
        <w:separator/>
      </w:r>
    </w:p>
  </w:endnote>
  <w:endnote w:type="continuationSeparator" w:id="0">
    <w:p w14:paraId="367F2829" w14:textId="77777777" w:rsidR="00986588" w:rsidRDefault="00986588" w:rsidP="00A9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7A03" w14:textId="77777777" w:rsidR="00F663E4" w:rsidRDefault="00F66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4DE6" w14:textId="77777777" w:rsidR="00F663E4" w:rsidRDefault="00F66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2DEE" w14:textId="77777777" w:rsidR="00F663E4" w:rsidRDefault="00F66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7672" w14:textId="77777777" w:rsidR="00986588" w:rsidRDefault="00986588" w:rsidP="00A96AA4">
      <w:pPr>
        <w:spacing w:after="0" w:line="240" w:lineRule="auto"/>
      </w:pPr>
      <w:r>
        <w:separator/>
      </w:r>
    </w:p>
  </w:footnote>
  <w:footnote w:type="continuationSeparator" w:id="0">
    <w:p w14:paraId="0061DFF1" w14:textId="77777777" w:rsidR="00986588" w:rsidRDefault="00986588" w:rsidP="00A9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5459" w14:textId="77777777" w:rsidR="00F663E4" w:rsidRDefault="00000000">
    <w:pPr>
      <w:pStyle w:val="Header"/>
    </w:pPr>
    <w:r>
      <w:rPr>
        <w:noProof/>
      </w:rPr>
      <w:pict w14:anchorId="65DE5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B71A" w14:textId="77777777" w:rsidR="00F663E4" w:rsidRDefault="00000000">
    <w:pPr>
      <w:pStyle w:val="Header"/>
    </w:pPr>
    <w:r>
      <w:rPr>
        <w:noProof/>
      </w:rPr>
      <w:pict w14:anchorId="1DBAA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C3CB" w14:textId="77777777" w:rsidR="00F663E4" w:rsidRDefault="00000000">
    <w:pPr>
      <w:pStyle w:val="Header"/>
    </w:pPr>
    <w:r>
      <w:rPr>
        <w:noProof/>
      </w:rPr>
      <w:pict w14:anchorId="1D964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5754"/>
    <w:multiLevelType w:val="multilevel"/>
    <w:tmpl w:val="030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D75DB"/>
    <w:multiLevelType w:val="multilevel"/>
    <w:tmpl w:val="030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E5026"/>
    <w:multiLevelType w:val="hybridMultilevel"/>
    <w:tmpl w:val="364A1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B73754D"/>
    <w:multiLevelType w:val="hybridMultilevel"/>
    <w:tmpl w:val="C94CF4B0"/>
    <w:lvl w:ilvl="0" w:tplc="473E8542">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58374239">
    <w:abstractNumId w:val="2"/>
  </w:num>
  <w:num w:numId="2" w16cid:durableId="713971216">
    <w:abstractNumId w:val="0"/>
  </w:num>
  <w:num w:numId="3" w16cid:durableId="134758036">
    <w:abstractNumId w:val="3"/>
  </w:num>
  <w:num w:numId="4" w16cid:durableId="87963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77"/>
    <w:rsid w:val="00005687"/>
    <w:rsid w:val="00011191"/>
    <w:rsid w:val="00096BAF"/>
    <w:rsid w:val="00100CF5"/>
    <w:rsid w:val="00104AE4"/>
    <w:rsid w:val="00106AA4"/>
    <w:rsid w:val="0010770C"/>
    <w:rsid w:val="001A4131"/>
    <w:rsid w:val="0024120B"/>
    <w:rsid w:val="00261763"/>
    <w:rsid w:val="002952A8"/>
    <w:rsid w:val="002D03D8"/>
    <w:rsid w:val="003A5818"/>
    <w:rsid w:val="003C5ADC"/>
    <w:rsid w:val="003D11B0"/>
    <w:rsid w:val="003F143F"/>
    <w:rsid w:val="0040766C"/>
    <w:rsid w:val="004149CC"/>
    <w:rsid w:val="00425284"/>
    <w:rsid w:val="00440675"/>
    <w:rsid w:val="00480D65"/>
    <w:rsid w:val="00484429"/>
    <w:rsid w:val="004A7707"/>
    <w:rsid w:val="005A45A9"/>
    <w:rsid w:val="005B68FD"/>
    <w:rsid w:val="00605DC9"/>
    <w:rsid w:val="00644F3B"/>
    <w:rsid w:val="00685384"/>
    <w:rsid w:val="0069150F"/>
    <w:rsid w:val="00783F3E"/>
    <w:rsid w:val="0079383F"/>
    <w:rsid w:val="007A5F4F"/>
    <w:rsid w:val="007B545E"/>
    <w:rsid w:val="007C171C"/>
    <w:rsid w:val="007C5097"/>
    <w:rsid w:val="0080595C"/>
    <w:rsid w:val="00836EE4"/>
    <w:rsid w:val="0088606A"/>
    <w:rsid w:val="008B44CF"/>
    <w:rsid w:val="008C5A77"/>
    <w:rsid w:val="00915624"/>
    <w:rsid w:val="00943A01"/>
    <w:rsid w:val="00943E1F"/>
    <w:rsid w:val="00986588"/>
    <w:rsid w:val="009C67B4"/>
    <w:rsid w:val="009D2F74"/>
    <w:rsid w:val="009D6DDF"/>
    <w:rsid w:val="00A01640"/>
    <w:rsid w:val="00A536EF"/>
    <w:rsid w:val="00A707A9"/>
    <w:rsid w:val="00A95010"/>
    <w:rsid w:val="00A96AA4"/>
    <w:rsid w:val="00AB0AB7"/>
    <w:rsid w:val="00AD0C5E"/>
    <w:rsid w:val="00AF5411"/>
    <w:rsid w:val="00B0193F"/>
    <w:rsid w:val="00B16897"/>
    <w:rsid w:val="00B2367F"/>
    <w:rsid w:val="00B510AE"/>
    <w:rsid w:val="00B90C0E"/>
    <w:rsid w:val="00B97215"/>
    <w:rsid w:val="00BA6F94"/>
    <w:rsid w:val="00BF6FE8"/>
    <w:rsid w:val="00C11D5D"/>
    <w:rsid w:val="00C45E49"/>
    <w:rsid w:val="00C8189F"/>
    <w:rsid w:val="00C85D61"/>
    <w:rsid w:val="00D54993"/>
    <w:rsid w:val="00D56AF3"/>
    <w:rsid w:val="00D65B32"/>
    <w:rsid w:val="00DF2DD7"/>
    <w:rsid w:val="00E62CB4"/>
    <w:rsid w:val="00E723A3"/>
    <w:rsid w:val="00E93295"/>
    <w:rsid w:val="00F10B9C"/>
    <w:rsid w:val="00F32BBE"/>
    <w:rsid w:val="00F5566A"/>
    <w:rsid w:val="00F61210"/>
    <w:rsid w:val="00F663E4"/>
    <w:rsid w:val="00F9400A"/>
    <w:rsid w:val="00FA36F6"/>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7AAFB"/>
  <w15:docId w15:val="{5B529AB3-015B-4518-8BD0-ECB20522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6A"/>
  </w:style>
  <w:style w:type="paragraph" w:styleId="Heading1">
    <w:name w:val="heading 1"/>
    <w:basedOn w:val="Normal"/>
    <w:next w:val="Normal"/>
    <w:link w:val="Heading1Char"/>
    <w:uiPriority w:val="9"/>
    <w:qFormat/>
    <w:rsid w:val="008C5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A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A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A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A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A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A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A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A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77"/>
    <w:rPr>
      <w:rFonts w:eastAsiaTheme="majorEastAsia" w:cstheme="majorBidi"/>
      <w:color w:val="272727" w:themeColor="text1" w:themeTint="D8"/>
    </w:rPr>
  </w:style>
  <w:style w:type="paragraph" w:styleId="Title">
    <w:name w:val="Title"/>
    <w:basedOn w:val="Normal"/>
    <w:next w:val="Normal"/>
    <w:link w:val="TitleChar"/>
    <w:uiPriority w:val="10"/>
    <w:qFormat/>
    <w:rsid w:val="008C5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77"/>
    <w:pPr>
      <w:spacing w:before="160"/>
      <w:jc w:val="center"/>
    </w:pPr>
    <w:rPr>
      <w:i/>
      <w:iCs/>
      <w:color w:val="404040" w:themeColor="text1" w:themeTint="BF"/>
    </w:rPr>
  </w:style>
  <w:style w:type="character" w:customStyle="1" w:styleId="QuoteChar">
    <w:name w:val="Quote Char"/>
    <w:basedOn w:val="DefaultParagraphFont"/>
    <w:link w:val="Quote"/>
    <w:uiPriority w:val="29"/>
    <w:rsid w:val="008C5A77"/>
    <w:rPr>
      <w:i/>
      <w:iCs/>
      <w:color w:val="404040" w:themeColor="text1" w:themeTint="BF"/>
    </w:rPr>
  </w:style>
  <w:style w:type="paragraph" w:styleId="ListParagraph">
    <w:name w:val="List Paragraph"/>
    <w:basedOn w:val="Normal"/>
    <w:uiPriority w:val="34"/>
    <w:qFormat/>
    <w:rsid w:val="008C5A77"/>
    <w:pPr>
      <w:ind w:left="720"/>
      <w:contextualSpacing/>
    </w:pPr>
  </w:style>
  <w:style w:type="character" w:styleId="IntenseEmphasis">
    <w:name w:val="Intense Emphasis"/>
    <w:basedOn w:val="DefaultParagraphFont"/>
    <w:uiPriority w:val="21"/>
    <w:qFormat/>
    <w:rsid w:val="008C5A77"/>
    <w:rPr>
      <w:i/>
      <w:iCs/>
      <w:color w:val="2F5496" w:themeColor="accent1" w:themeShade="BF"/>
    </w:rPr>
  </w:style>
  <w:style w:type="paragraph" w:styleId="IntenseQuote">
    <w:name w:val="Intense Quote"/>
    <w:basedOn w:val="Normal"/>
    <w:next w:val="Normal"/>
    <w:link w:val="IntenseQuoteChar"/>
    <w:uiPriority w:val="30"/>
    <w:qFormat/>
    <w:rsid w:val="008C5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A77"/>
    <w:rPr>
      <w:i/>
      <w:iCs/>
      <w:color w:val="2F5496" w:themeColor="accent1" w:themeShade="BF"/>
    </w:rPr>
  </w:style>
  <w:style w:type="character" w:styleId="IntenseReference">
    <w:name w:val="Intense Reference"/>
    <w:basedOn w:val="DefaultParagraphFont"/>
    <w:uiPriority w:val="32"/>
    <w:qFormat/>
    <w:rsid w:val="008C5A77"/>
    <w:rPr>
      <w:b/>
      <w:bCs/>
      <w:smallCaps/>
      <w:color w:val="2F5496" w:themeColor="accent1" w:themeShade="BF"/>
      <w:spacing w:val="5"/>
    </w:rPr>
  </w:style>
  <w:style w:type="table" w:styleId="TableGrid">
    <w:name w:val="Table Grid"/>
    <w:basedOn w:val="TableNormal"/>
    <w:uiPriority w:val="39"/>
    <w:qFormat/>
    <w:rsid w:val="008C5A77"/>
    <w:pPr>
      <w:spacing w:after="0" w:line="240" w:lineRule="auto"/>
    </w:pPr>
    <w:rPr>
      <w:rFonts w:ascii="Times New Roman" w:eastAsia="SimSun" w:hAnsi="Times New Roman" w:cs="Times New Roman"/>
      <w:kern w:val="0"/>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96AA4"/>
    <w:rPr>
      <w:color w:val="0563C1" w:themeColor="hyperlink"/>
      <w:u w:val="single"/>
    </w:rPr>
  </w:style>
  <w:style w:type="character" w:customStyle="1" w:styleId="UnresolvedMention1">
    <w:name w:val="Unresolved Mention1"/>
    <w:basedOn w:val="DefaultParagraphFont"/>
    <w:uiPriority w:val="99"/>
    <w:semiHidden/>
    <w:unhideWhenUsed/>
    <w:rsid w:val="00A96AA4"/>
    <w:rPr>
      <w:color w:val="605E5C"/>
      <w:shd w:val="clear" w:color="auto" w:fill="E1DFDD"/>
    </w:rPr>
  </w:style>
  <w:style w:type="character" w:styleId="FootnoteReference">
    <w:name w:val="footnote reference"/>
    <w:basedOn w:val="DefaultParagraphFont"/>
    <w:uiPriority w:val="99"/>
    <w:semiHidden/>
    <w:unhideWhenUsed/>
    <w:rsid w:val="00A96AA4"/>
    <w:rPr>
      <w:vertAlign w:val="superscript"/>
    </w:rPr>
  </w:style>
  <w:style w:type="paragraph" w:styleId="FootnoteText">
    <w:name w:val="footnote text"/>
    <w:basedOn w:val="Normal"/>
    <w:link w:val="FootnoteTextChar"/>
    <w:uiPriority w:val="99"/>
    <w:semiHidden/>
    <w:unhideWhenUsed/>
    <w:rsid w:val="00A96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AA4"/>
    <w:rPr>
      <w:sz w:val="20"/>
      <w:szCs w:val="20"/>
    </w:rPr>
  </w:style>
  <w:style w:type="character" w:styleId="FollowedHyperlink">
    <w:name w:val="FollowedHyperlink"/>
    <w:basedOn w:val="DefaultParagraphFont"/>
    <w:uiPriority w:val="99"/>
    <w:semiHidden/>
    <w:unhideWhenUsed/>
    <w:rsid w:val="003D11B0"/>
    <w:rPr>
      <w:color w:val="954F72" w:themeColor="followedHyperlink"/>
      <w:u w:val="single"/>
    </w:rPr>
  </w:style>
  <w:style w:type="paragraph" w:styleId="Header">
    <w:name w:val="header"/>
    <w:basedOn w:val="Normal"/>
    <w:link w:val="HeaderChar"/>
    <w:uiPriority w:val="99"/>
    <w:unhideWhenUsed/>
    <w:rsid w:val="005B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8FD"/>
  </w:style>
  <w:style w:type="paragraph" w:styleId="Footer">
    <w:name w:val="footer"/>
    <w:basedOn w:val="Normal"/>
    <w:link w:val="FooterChar"/>
    <w:uiPriority w:val="99"/>
    <w:unhideWhenUsed/>
    <w:rsid w:val="005B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8FD"/>
  </w:style>
  <w:style w:type="paragraph" w:styleId="BalloonText">
    <w:name w:val="Balloon Text"/>
    <w:basedOn w:val="Normal"/>
    <w:link w:val="BalloonTextChar"/>
    <w:uiPriority w:val="99"/>
    <w:semiHidden/>
    <w:unhideWhenUsed/>
    <w:rsid w:val="0094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A01"/>
    <w:rPr>
      <w:rFonts w:ascii="Tahoma" w:hAnsi="Tahoma" w:cs="Tahoma"/>
      <w:sz w:val="16"/>
      <w:szCs w:val="16"/>
    </w:rPr>
  </w:style>
  <w:style w:type="character" w:styleId="UnresolvedMention">
    <w:name w:val="Unresolved Mention"/>
    <w:basedOn w:val="DefaultParagraphFont"/>
    <w:uiPriority w:val="99"/>
    <w:semiHidden/>
    <w:unhideWhenUsed/>
    <w:rsid w:val="00F9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dmm.2022.100689" TargetMode="External"/><Relationship Id="rId18" Type="http://schemas.openxmlformats.org/officeDocument/2006/relationships/hyperlink" Target="https://doi.org/10.1002/jtr.761" TargetMode="External"/><Relationship Id="rId26" Type="http://schemas.openxmlformats.org/officeDocument/2006/relationships/hyperlink" Target="https://doi.org/10.56472/25835238/IRJEMS-V4I7P102" TargetMode="External"/><Relationship Id="rId39" Type="http://schemas.openxmlformats.org/officeDocument/2006/relationships/fontTable" Target="fontTable.xml"/><Relationship Id="rId21" Type="http://schemas.openxmlformats.org/officeDocument/2006/relationships/hyperlink" Target="https://doi.org/10.1016/j.tmp.2024.101221" TargetMode="External"/><Relationship Id="rId34" Type="http://schemas.openxmlformats.org/officeDocument/2006/relationships/header" Target="header2.xml"/><Relationship Id="rId7" Type="http://schemas.openxmlformats.org/officeDocument/2006/relationships/hyperlink" Target="https://doi.org/10.1177/27652157251396215" TargetMode="External"/><Relationship Id="rId12" Type="http://schemas.openxmlformats.org/officeDocument/2006/relationships/hyperlink" Target="https://doi.org/10.1016/j.tourman.2019.104019" TargetMode="External"/><Relationship Id="rId17" Type="http://schemas.openxmlformats.org/officeDocument/2006/relationships/hyperlink" Target="https://doi.org/10.5089/9781513690190.001" TargetMode="External"/><Relationship Id="rId25" Type="http://schemas.openxmlformats.org/officeDocument/2006/relationships/hyperlink" Target="https://doi.org/10.1016/j.tourman.2025.10535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annals.2018.07.007" TargetMode="External"/><Relationship Id="rId20" Type="http://schemas.openxmlformats.org/officeDocument/2006/relationships/hyperlink" Target="https://doi.org/10.1177/10963480231152571" TargetMode="External"/><Relationship Id="rId29" Type="http://schemas.openxmlformats.org/officeDocument/2006/relationships/hyperlink" Target="https://doi.org/10.36713/epra257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621459.1975.10480264" TargetMode="External"/><Relationship Id="rId24" Type="http://schemas.openxmlformats.org/officeDocument/2006/relationships/hyperlink" Target="https://doi.org/10.1016/j.tmp.2024.101221" TargetMode="External"/><Relationship Id="rId32" Type="http://schemas.openxmlformats.org/officeDocument/2006/relationships/hyperlink" Target="https://www.unwto.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9669582.2020.1758708" TargetMode="External"/><Relationship Id="rId23" Type="http://schemas.openxmlformats.org/officeDocument/2006/relationships/hyperlink" Target="https://www.oecd.org/en/publications/oecd-tourism-trends-and-policies-2024_80885d8b-en" TargetMode="External"/><Relationship Id="rId28" Type="http://schemas.openxmlformats.org/officeDocument/2006/relationships/hyperlink" Target="https://doi.org/10.1016/j.jbusres.2020.06.015" TargetMode="External"/><Relationship Id="rId36" Type="http://schemas.openxmlformats.org/officeDocument/2006/relationships/footer" Target="footer2.xml"/><Relationship Id="rId10" Type="http://schemas.openxmlformats.org/officeDocument/2006/relationships/hyperlink" Target="https://doi.org/10.5281/zenodo.18088665" TargetMode="External"/><Relationship Id="rId19" Type="http://schemas.openxmlformats.org/officeDocument/2006/relationships/hyperlink" Target="https://doi.org/10.1016/j.annals.2020.102964" TargetMode="External"/><Relationship Id="rId31" Type="http://schemas.openxmlformats.org/officeDocument/2006/relationships/hyperlink" Target="https://doi.org/10.3389/frsut.2024.1392566" TargetMode="External"/><Relationship Id="rId4" Type="http://schemas.openxmlformats.org/officeDocument/2006/relationships/webSettings" Target="webSettings.xml"/><Relationship Id="rId9" Type="http://schemas.openxmlformats.org/officeDocument/2006/relationships/hyperlink" Target="https://doi.org/10.1093/0199245282.001.0001" TargetMode="External"/><Relationship Id="rId14" Type="http://schemas.openxmlformats.org/officeDocument/2006/relationships/hyperlink" Target="https://doi.org/10.1016/S0261-5177(02)00009-2" TargetMode="External"/><Relationship Id="rId22" Type="http://schemas.openxmlformats.org/officeDocument/2006/relationships/hyperlink" Target="https://doi.org/10.1016/j.tourman.2025.105356" TargetMode="External"/><Relationship Id="rId27" Type="http://schemas.openxmlformats.org/officeDocument/2006/relationships/hyperlink" Target="https://doi.org/10.1080/23311975.2024.2414854" TargetMode="External"/><Relationship Id="rId30" Type="http://schemas.openxmlformats.org/officeDocument/2006/relationships/hyperlink" Target="https://doi.org/10.1016/j.tourman.2007.07.016" TargetMode="External"/><Relationship Id="rId35" Type="http://schemas.openxmlformats.org/officeDocument/2006/relationships/footer" Target="footer1.xml"/><Relationship Id="rId8" Type="http://schemas.openxmlformats.org/officeDocument/2006/relationships/hyperlink" Target="https://doi.org/10.1016/j.tourman.2019.10401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5548</Words>
  <Characters>31625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Shailendra Singh</dc:creator>
  <cp:keywords/>
  <dc:description/>
  <cp:lastModifiedBy>Dr Shailendra Singh</cp:lastModifiedBy>
  <cp:revision>2</cp:revision>
  <dcterms:created xsi:type="dcterms:W3CDTF">2026-04-22T10:16:00Z</dcterms:created>
  <dcterms:modified xsi:type="dcterms:W3CDTF">2026-04-22T10:16:00Z</dcterms:modified>
</cp:coreProperties>
</file>