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4E4D6536" w:rsidR="00754C9A" w:rsidRPr="00092FB8" w:rsidRDefault="00092FB8" w:rsidP="00441B6F">
      <w:pPr>
        <w:pStyle w:val="Title"/>
        <w:spacing w:after="0"/>
        <w:jc w:val="both"/>
        <w:rPr>
          <w:rFonts w:ascii="Arial" w:hAnsi="Arial" w:cs="Arial"/>
          <w:u w:val="single"/>
        </w:rPr>
      </w:pPr>
      <w:r w:rsidRPr="00092FB8">
        <w:rPr>
          <w:rFonts w:ascii="Arial" w:hAnsi="Arial" w:cs="Arial"/>
          <w:u w:val="single"/>
        </w:rPr>
        <w:t>Original Research Article</w:t>
      </w:r>
    </w:p>
    <w:p w14:paraId="09375944" w14:textId="77777777" w:rsidR="00092FB8" w:rsidRDefault="00723EFD" w:rsidP="00723EFD">
      <w:pPr>
        <w:pStyle w:val="Author"/>
        <w:spacing w:line="240" w:lineRule="auto"/>
        <w:rPr>
          <w:rFonts w:ascii="Arial" w:hAnsi="Arial" w:cs="Arial"/>
          <w:bCs/>
          <w:iCs/>
          <w:kern w:val="28"/>
          <w:sz w:val="36"/>
        </w:rPr>
      </w:pPr>
      <w:r w:rsidRPr="00723EFD">
        <w:rPr>
          <w:rFonts w:ascii="Arial" w:hAnsi="Arial" w:cs="Arial"/>
          <w:bCs/>
          <w:iCs/>
          <w:kern w:val="28"/>
          <w:sz w:val="36"/>
        </w:rPr>
        <w:t xml:space="preserve"> </w:t>
      </w:r>
    </w:p>
    <w:p w14:paraId="2727ABF7" w14:textId="02DA3BDE" w:rsidR="00A258C3" w:rsidRDefault="00723EFD" w:rsidP="00723EFD">
      <w:pPr>
        <w:pStyle w:val="Author"/>
        <w:spacing w:line="240" w:lineRule="auto"/>
        <w:rPr>
          <w:rFonts w:ascii="Arial" w:hAnsi="Arial" w:cs="Arial"/>
          <w:bCs/>
          <w:iCs/>
          <w:kern w:val="28"/>
          <w:sz w:val="36"/>
        </w:rPr>
      </w:pPr>
      <w:r w:rsidRPr="00723EFD">
        <w:rPr>
          <w:rFonts w:ascii="Arial" w:hAnsi="Arial" w:cs="Arial"/>
          <w:bCs/>
          <w:iCs/>
          <w:kern w:val="28"/>
          <w:sz w:val="36"/>
        </w:rPr>
        <w:t xml:space="preserve"> </w:t>
      </w:r>
      <w:r w:rsidR="00766DFD" w:rsidRPr="00766DFD">
        <w:rPr>
          <w:rFonts w:ascii="Arial" w:hAnsi="Arial" w:cs="Arial"/>
          <w:bCs/>
          <w:iCs/>
          <w:kern w:val="28"/>
          <w:sz w:val="36"/>
        </w:rPr>
        <w:t xml:space="preserve">Customers' Satisfaction in Public Market among </w:t>
      </w:r>
      <w:proofErr w:type="spellStart"/>
      <w:r w:rsidR="00766DFD" w:rsidRPr="00766DFD">
        <w:rPr>
          <w:rFonts w:ascii="Arial" w:hAnsi="Arial" w:cs="Arial"/>
          <w:bCs/>
          <w:iCs/>
          <w:kern w:val="28"/>
          <w:sz w:val="36"/>
        </w:rPr>
        <w:t>Tabo</w:t>
      </w:r>
      <w:proofErr w:type="spellEnd"/>
      <w:r w:rsidR="00766DFD" w:rsidRPr="00766DFD">
        <w:rPr>
          <w:rFonts w:ascii="Arial" w:hAnsi="Arial" w:cs="Arial"/>
          <w:bCs/>
          <w:iCs/>
          <w:kern w:val="28"/>
          <w:sz w:val="36"/>
        </w:rPr>
        <w:t xml:space="preserve"> Vendors in </w:t>
      </w:r>
      <w:proofErr w:type="spellStart"/>
      <w:r w:rsidR="00766DFD" w:rsidRPr="00766DFD">
        <w:rPr>
          <w:rFonts w:ascii="Arial" w:hAnsi="Arial" w:cs="Arial"/>
          <w:bCs/>
          <w:iCs/>
          <w:kern w:val="28"/>
          <w:sz w:val="36"/>
        </w:rPr>
        <w:t>Cateel</w:t>
      </w:r>
      <w:proofErr w:type="spellEnd"/>
      <w:r w:rsidR="00766DFD" w:rsidRPr="00766DFD">
        <w:rPr>
          <w:rFonts w:ascii="Arial" w:hAnsi="Arial" w:cs="Arial"/>
          <w:bCs/>
          <w:iCs/>
          <w:kern w:val="28"/>
          <w:sz w:val="36"/>
        </w:rPr>
        <w:t>, Davao Oriental</w:t>
      </w:r>
    </w:p>
    <w:p w14:paraId="4CA8E736" w14:textId="77777777" w:rsidR="00092FB8" w:rsidRPr="00790ADA" w:rsidRDefault="00092FB8" w:rsidP="00723EFD">
      <w:pPr>
        <w:pStyle w:val="Author"/>
        <w:spacing w:line="240" w:lineRule="auto"/>
        <w:rPr>
          <w:rFonts w:ascii="Arial" w:hAnsi="Arial" w:cs="Arial"/>
          <w:sz w:val="36"/>
        </w:rPr>
      </w:pPr>
    </w:p>
    <w:p w14:paraId="7BD5F918" w14:textId="0476061B" w:rsidR="00092FB8" w:rsidRDefault="00092FB8" w:rsidP="00092FB8">
      <w:pPr>
        <w:pStyle w:val="Affiliation"/>
        <w:spacing w:after="0" w:line="240" w:lineRule="auto"/>
        <w:rPr>
          <w:rFonts w:ascii="Arial" w:hAnsi="Arial" w:cs="Arial"/>
          <w:i/>
        </w:rPr>
      </w:pPr>
      <w:r>
        <w:rPr>
          <w:rFonts w:ascii="Arial" w:hAnsi="Arial" w:cs="Arial"/>
          <w:i/>
        </w:rPr>
        <w:t xml:space="preserve"> </w:t>
      </w:r>
    </w:p>
    <w:p w14:paraId="5ADD3C05" w14:textId="77777777" w:rsidR="00790ADA" w:rsidRDefault="00790ADA" w:rsidP="00441B6F">
      <w:pPr>
        <w:pStyle w:val="Affiliation"/>
        <w:spacing w:after="0" w:line="240" w:lineRule="auto"/>
        <w:jc w:val="both"/>
        <w:rPr>
          <w:rFonts w:ascii="Arial" w:hAnsi="Arial" w:cs="Arial"/>
        </w:rPr>
      </w:pP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77777777" w:rsidR="00B01FCD" w:rsidRPr="00FB3A86" w:rsidRDefault="00A77721" w:rsidP="00441B6F">
      <w:pPr>
        <w:pStyle w:val="Copyright"/>
        <w:spacing w:after="0" w:line="240" w:lineRule="auto"/>
        <w:jc w:val="both"/>
        <w:rPr>
          <w:rFonts w:ascii="Arial" w:hAnsi="Arial" w:cs="Arial"/>
        </w:rPr>
        <w:sectPr w:rsidR="00B01FCD" w:rsidRPr="00FB3A86" w:rsidSect="005C55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4939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23228E" w14:textId="77777777" w:rsidTr="001E44FE">
        <w:tc>
          <w:tcPr>
            <w:tcW w:w="9576" w:type="dxa"/>
            <w:shd w:val="clear" w:color="auto" w:fill="F2F2F2"/>
          </w:tcPr>
          <w:p w14:paraId="725056E9" w14:textId="102EA05D" w:rsidR="00505F06" w:rsidRPr="00BA1B01" w:rsidRDefault="00412064" w:rsidP="00441B6F">
            <w:pPr>
              <w:pStyle w:val="Body"/>
              <w:spacing w:after="0"/>
              <w:rPr>
                <w:rFonts w:ascii="Arial" w:eastAsia="Calibri" w:hAnsi="Arial" w:cs="Arial"/>
                <w:szCs w:val="22"/>
              </w:rPr>
            </w:pPr>
            <w:r w:rsidRPr="00412064">
              <w:rPr>
                <w:rFonts w:ascii="Arial" w:eastAsia="Calibri" w:hAnsi="Arial" w:cs="Arial"/>
                <w:szCs w:val="22"/>
              </w:rPr>
              <w:t xml:space="preserve">This study examined customer satisfaction levels among </w:t>
            </w:r>
            <w:proofErr w:type="spellStart"/>
            <w:r w:rsidRPr="00412064">
              <w:rPr>
                <w:rFonts w:ascii="Arial" w:eastAsia="Calibri" w:hAnsi="Arial" w:cs="Arial"/>
                <w:szCs w:val="22"/>
              </w:rPr>
              <w:t>tabo</w:t>
            </w:r>
            <w:proofErr w:type="spellEnd"/>
            <w:r w:rsidRPr="00412064">
              <w:rPr>
                <w:rFonts w:ascii="Arial" w:eastAsia="Calibri" w:hAnsi="Arial" w:cs="Arial"/>
                <w:szCs w:val="22"/>
              </w:rPr>
              <w:t xml:space="preserve"> vendors in the public market of Cateel, Davao Oriental, with a particular focus on how demographic factors influenced perceptions of service quality. Employing a descriptive research design, data were collected through a survey questionnaire adapted from </w:t>
            </w:r>
            <w:proofErr w:type="spellStart"/>
            <w:r w:rsidRPr="00412064">
              <w:rPr>
                <w:rFonts w:ascii="Arial" w:eastAsia="Calibri" w:hAnsi="Arial" w:cs="Arial"/>
                <w:szCs w:val="22"/>
              </w:rPr>
              <w:t>Phusist</w:t>
            </w:r>
            <w:proofErr w:type="spellEnd"/>
            <w:r w:rsidRPr="00412064">
              <w:rPr>
                <w:rFonts w:ascii="Arial" w:eastAsia="Calibri" w:hAnsi="Arial" w:cs="Arial"/>
                <w:szCs w:val="22"/>
              </w:rPr>
              <w:t xml:space="preserve"> </w:t>
            </w:r>
            <w:proofErr w:type="spellStart"/>
            <w:r w:rsidRPr="00412064">
              <w:rPr>
                <w:rFonts w:ascii="Arial" w:eastAsia="Calibri" w:hAnsi="Arial" w:cs="Arial"/>
                <w:szCs w:val="22"/>
              </w:rPr>
              <w:t>Khumnuakthong</w:t>
            </w:r>
            <w:proofErr w:type="spellEnd"/>
            <w:r w:rsidRPr="00412064">
              <w:rPr>
                <w:rFonts w:ascii="Arial" w:eastAsia="Calibri" w:hAnsi="Arial" w:cs="Arial"/>
                <w:szCs w:val="22"/>
              </w:rPr>
              <w:t xml:space="preserve"> (2015) and administered to 200 respondents selected via quota sampling. The questionnaire assessed customer satisfaction based on the 7Ps of marketing: Product, Price, Place, Promotion, People, Process, and Physical Evidence. Findings revealed that respondents reported high satisfaction levels, particularly regarding product quality, pricing, and staff interactions, while promotion was identified as the weakest aspect. A correlational analysis was conducted to examine the strength and direction of relationships between the elements of the 7Ps and overall customer satisfaction, revealing positive and significant correlations, especially for product, price, and people. The study concluded that while vendors generally met customer needs, there was a need to enhance promotional efforts and maintain focus on core satisfaction drivers. Recommendations included investing in cost-effective promotional activities, sustaining product quality and customer relations, and conducting regular assessments of customer satisfaction to adapt to evolving expectations</w:t>
            </w:r>
            <w:r>
              <w:rPr>
                <w:rFonts w:ascii="Arial" w:eastAsia="Calibri" w:hAnsi="Arial" w:cs="Arial"/>
                <w:szCs w:val="22"/>
              </w:rPr>
              <w:t>.</w:t>
            </w:r>
          </w:p>
        </w:tc>
      </w:tr>
    </w:tbl>
    <w:p w14:paraId="51F16971" w14:textId="77777777" w:rsidR="00636EB2" w:rsidRDefault="00636EB2" w:rsidP="00441B6F">
      <w:pPr>
        <w:pStyle w:val="Body"/>
        <w:spacing w:after="0"/>
        <w:rPr>
          <w:rFonts w:ascii="Arial" w:hAnsi="Arial" w:cs="Arial"/>
          <w:i/>
        </w:rPr>
      </w:pPr>
    </w:p>
    <w:p w14:paraId="3566F54F" w14:textId="22814EDA" w:rsidR="00A24E7E" w:rsidRDefault="00A24E7E" w:rsidP="00441B6F">
      <w:pPr>
        <w:pStyle w:val="Body"/>
        <w:spacing w:after="0"/>
        <w:rPr>
          <w:rFonts w:ascii="Arial" w:hAnsi="Arial" w:cs="Arial"/>
          <w:i/>
        </w:rPr>
      </w:pPr>
      <w:r>
        <w:rPr>
          <w:rFonts w:ascii="Arial" w:hAnsi="Arial" w:cs="Arial"/>
          <w:i/>
        </w:rPr>
        <w:t xml:space="preserve">Keywords: </w:t>
      </w:r>
      <w:r w:rsidR="00A051E5" w:rsidRPr="00A051E5">
        <w:rPr>
          <w:rFonts w:ascii="Arial" w:hAnsi="Arial" w:cs="Arial"/>
          <w:i/>
        </w:rPr>
        <w:t xml:space="preserve">customer satisfaction, public market, expectancy disconfirmation theory, </w:t>
      </w:r>
      <w:proofErr w:type="spellStart"/>
      <w:r w:rsidR="00A051E5" w:rsidRPr="00A051E5">
        <w:rPr>
          <w:rFonts w:ascii="Arial" w:hAnsi="Arial" w:cs="Arial"/>
          <w:i/>
        </w:rPr>
        <w:t>tabo</w:t>
      </w:r>
      <w:proofErr w:type="spellEnd"/>
      <w:r w:rsidR="00A051E5" w:rsidRPr="00A051E5">
        <w:rPr>
          <w:rFonts w:ascii="Arial" w:hAnsi="Arial" w:cs="Arial"/>
          <w:i/>
        </w:rPr>
        <w:t xml:space="preserve"> vendors, marketing mix</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3A8FC424" w14:textId="7B91784A" w:rsidR="00B877FD" w:rsidRPr="00B877FD" w:rsidRDefault="00B877FD" w:rsidP="00B877FD">
      <w:pPr>
        <w:pStyle w:val="Body"/>
        <w:rPr>
          <w:rFonts w:ascii="Arial" w:hAnsi="Arial" w:cs="Arial"/>
        </w:rPr>
      </w:pPr>
      <w:r w:rsidRPr="00B877FD">
        <w:rPr>
          <w:rFonts w:ascii="Arial" w:hAnsi="Arial" w:cs="Arial"/>
        </w:rPr>
        <w:t>Customer satisfaction is the backbone of any business, especially in the public sector, as most top vendors will be very dominant (Kotler &amp; Keller, 2016). Public markets contribute to the country not only in terms of cheaper goods but also to the economic development of the regions. Kotler and Keller (</w:t>
      </w:r>
      <w:r w:rsidR="001F5DE3">
        <w:rPr>
          <w:rFonts w:ascii="Arial" w:hAnsi="Arial" w:cs="Arial"/>
        </w:rPr>
        <w:t>2015</w:t>
      </w:r>
      <w:r w:rsidRPr="00B877FD">
        <w:rPr>
          <w:rFonts w:ascii="Arial" w:hAnsi="Arial" w:cs="Arial"/>
        </w:rPr>
        <w:t>) have noted that customer satisfaction leads to repurchase, thereby sustaining the business of vendors and further strengthening long-term relationships between buyers and sellers. Public markets, especially in rural settings, serve as the primary point of entry for fresh products; therefore, customer satisfaction is crucial for sustaining economic activity at the venue, benefiting both operators and the broader community (</w:t>
      </w:r>
      <w:r w:rsidR="008F1D5B" w:rsidRPr="008F1D5B">
        <w:rPr>
          <w:rFonts w:ascii="Arial" w:hAnsi="Arial" w:cs="Arial"/>
        </w:rPr>
        <w:t>Wilson</w:t>
      </w:r>
      <w:r w:rsidR="008F1D5B">
        <w:rPr>
          <w:rFonts w:ascii="Arial" w:hAnsi="Arial" w:cs="Arial"/>
        </w:rPr>
        <w:t xml:space="preserve"> </w:t>
      </w:r>
      <w:r w:rsidRPr="00B877FD">
        <w:rPr>
          <w:rFonts w:ascii="Arial" w:hAnsi="Arial" w:cs="Arial"/>
        </w:rPr>
        <w:t xml:space="preserve">et al., </w:t>
      </w:r>
      <w:r w:rsidR="008F1D5B">
        <w:rPr>
          <w:rFonts w:ascii="Arial" w:hAnsi="Arial" w:cs="Arial"/>
        </w:rPr>
        <w:t>2020</w:t>
      </w:r>
      <w:r w:rsidRPr="00B877FD">
        <w:rPr>
          <w:rFonts w:ascii="Arial" w:hAnsi="Arial" w:cs="Arial"/>
        </w:rPr>
        <w:t xml:space="preserve">). </w:t>
      </w:r>
    </w:p>
    <w:p w14:paraId="38647564" w14:textId="3A70F1C8" w:rsidR="00B877FD" w:rsidRPr="00B877FD" w:rsidRDefault="00B877FD" w:rsidP="00B877FD">
      <w:pPr>
        <w:pStyle w:val="Body"/>
        <w:rPr>
          <w:rFonts w:ascii="Arial" w:hAnsi="Arial" w:cs="Arial"/>
        </w:rPr>
      </w:pPr>
      <w:r w:rsidRPr="00B877FD">
        <w:rPr>
          <w:rFonts w:ascii="Arial" w:hAnsi="Arial" w:cs="Arial"/>
        </w:rPr>
        <w:t xml:space="preserve">Knowledge of customer satisfaction in these markets is crucial to their existence and success (Oliver, </w:t>
      </w:r>
      <w:r w:rsidR="009574C1">
        <w:rPr>
          <w:rFonts w:ascii="Arial" w:hAnsi="Arial" w:cs="Arial"/>
        </w:rPr>
        <w:t>2014</w:t>
      </w:r>
      <w:r w:rsidRPr="00B877FD">
        <w:rPr>
          <w:rFonts w:ascii="Arial" w:hAnsi="Arial" w:cs="Arial"/>
        </w:rPr>
        <w:t xml:space="preserve">). Despite the importance, public markets worldwide face extreme difficulties in maintaining a high level of customer satisfaction. According to global research, vendors in developing countries have failed to meet expectations due to poor market conditions and subpar product quality. For instance, Grönroos (2015) noted that inadequacies in market infrastructure and hygiene are among the reasons leading to a </w:t>
      </w:r>
      <w:r w:rsidRPr="00B877FD">
        <w:rPr>
          <w:rFonts w:ascii="Arial" w:hAnsi="Arial" w:cs="Arial"/>
        </w:rPr>
        <w:lastRenderedPageBreak/>
        <w:t xml:space="preserve">decline in customer satisfaction rates in many African and Southeast Asian countries. Research in advanced countries, such as the United States, has already shown that customer satisfaction has decreased by 20% in public markets due to customer service problems and a lack of diversified products (Parasuraman et al., </w:t>
      </w:r>
      <w:r w:rsidR="00F176BA">
        <w:rPr>
          <w:rFonts w:ascii="Arial" w:hAnsi="Arial" w:cs="Arial"/>
        </w:rPr>
        <w:t>1988</w:t>
      </w:r>
      <w:r w:rsidRPr="00B877FD">
        <w:rPr>
          <w:rFonts w:ascii="Arial" w:hAnsi="Arial" w:cs="Arial"/>
        </w:rPr>
        <w:t xml:space="preserve">). Without solutions, public markets are facing a survival crisis in the face of competition from new supermarkets and e-commerce (Kotler &amp; Keller, </w:t>
      </w:r>
      <w:r w:rsidR="001F5DE3">
        <w:rPr>
          <w:rFonts w:ascii="Arial" w:hAnsi="Arial" w:cs="Arial"/>
        </w:rPr>
        <w:t>2015</w:t>
      </w:r>
      <w:r w:rsidRPr="00B877FD">
        <w:rPr>
          <w:rFonts w:ascii="Arial" w:hAnsi="Arial" w:cs="Arial"/>
        </w:rPr>
        <w:t>).</w:t>
      </w:r>
    </w:p>
    <w:p w14:paraId="00F84EC8" w14:textId="27AFFA67" w:rsidR="00B877FD" w:rsidRPr="00B877FD" w:rsidRDefault="00B877FD" w:rsidP="00B877FD">
      <w:pPr>
        <w:pStyle w:val="Body"/>
        <w:rPr>
          <w:rFonts w:ascii="Arial" w:hAnsi="Arial" w:cs="Arial"/>
        </w:rPr>
      </w:pPr>
      <w:r w:rsidRPr="00B877FD">
        <w:rPr>
          <w:rFonts w:ascii="Arial" w:hAnsi="Arial" w:cs="Arial"/>
        </w:rPr>
        <w:t xml:space="preserve">This is also true for the Philippines (Department of Trade and Industry [DTI], 2020). The Department of Trade and Industry has noted that one of the issues it has identified, which has led to a significant decline in customer satisfaction, is the presence of public markets with inadequate infrastructure, limited product offerings, and unhygienic environments. This is a particular concern in rural areas, such as Cateel, Davao Oriental, where Tabo vendors report experiencing more difficulties. Flores &amp; Olivarez (2019) conducted a study that found customers in rural public markets in the Philippines are susceptible to the quality of products, cleanliness, and vendor behavior. A decline in satisfaction directly impacts sales and market participation.  </w:t>
      </w:r>
    </w:p>
    <w:p w14:paraId="50F2ECC7" w14:textId="2121DC03" w:rsidR="00B877FD" w:rsidRPr="00B877FD" w:rsidRDefault="00B877FD" w:rsidP="00B877FD">
      <w:pPr>
        <w:pStyle w:val="Body"/>
        <w:rPr>
          <w:rFonts w:ascii="Arial" w:hAnsi="Arial" w:cs="Arial"/>
        </w:rPr>
      </w:pPr>
      <w:r w:rsidRPr="00B877FD">
        <w:rPr>
          <w:rFonts w:ascii="Arial" w:hAnsi="Arial" w:cs="Arial"/>
        </w:rPr>
        <w:t xml:space="preserve">Several factors contribute to customer satisfaction in public markets, especially among Tabo vendors (Lovelock &amp; Wirtz, </w:t>
      </w:r>
      <w:r w:rsidR="000850AF">
        <w:rPr>
          <w:rFonts w:ascii="Arial" w:hAnsi="Arial" w:cs="Arial"/>
        </w:rPr>
        <w:t>2004</w:t>
      </w:r>
      <w:r w:rsidRPr="00B877FD">
        <w:rPr>
          <w:rFonts w:ascii="Arial" w:hAnsi="Arial" w:cs="Arial"/>
        </w:rPr>
        <w:t xml:space="preserve">). Among the main drivers of customer satisfaction are product quality and price, while customer service also plays a significant role. Tabo vendors offering fresh, diverse products and competitive prices are more likely to attract and retain clients (Baker &amp; Crompton, </w:t>
      </w:r>
      <w:r w:rsidR="004D5A03">
        <w:rPr>
          <w:rFonts w:ascii="Arial" w:hAnsi="Arial" w:cs="Arial"/>
        </w:rPr>
        <w:t>2000</w:t>
      </w:r>
      <w:r w:rsidRPr="00B877FD">
        <w:rPr>
          <w:rFonts w:ascii="Arial" w:hAnsi="Arial" w:cs="Arial"/>
        </w:rPr>
        <w:t>). Cleanliness and market infrastructure are also crucial in shaping customers' market experiences (Bromley &amp; Mackie, 2016). Friendliness, responsiveness to customer inquiries, and vendor behavior can significantly improve satisfaction (</w:t>
      </w:r>
      <w:r w:rsidR="00E51472" w:rsidRPr="00E51472">
        <w:rPr>
          <w:rFonts w:ascii="Arial" w:hAnsi="Arial" w:cs="Arial"/>
        </w:rPr>
        <w:t xml:space="preserve">Parasuraman et al., </w:t>
      </w:r>
      <w:r w:rsidR="00F176BA">
        <w:rPr>
          <w:rFonts w:ascii="Arial" w:hAnsi="Arial" w:cs="Arial"/>
        </w:rPr>
        <w:t>1988</w:t>
      </w:r>
      <w:r w:rsidRPr="00B877FD">
        <w:rPr>
          <w:rFonts w:ascii="Arial" w:hAnsi="Arial" w:cs="Arial"/>
        </w:rPr>
        <w:t>). All these factors together either enhance or detract from customer satisfaction, depending on how well they are managed by the vendors (</w:t>
      </w:r>
      <w:r w:rsidR="008F1D5B" w:rsidRPr="008F1D5B">
        <w:rPr>
          <w:rFonts w:ascii="Arial" w:hAnsi="Arial" w:cs="Arial"/>
        </w:rPr>
        <w:t>Wilson</w:t>
      </w:r>
      <w:r w:rsidRPr="00B877FD">
        <w:rPr>
          <w:rFonts w:ascii="Arial" w:hAnsi="Arial" w:cs="Arial"/>
        </w:rPr>
        <w:t xml:space="preserve"> et al., </w:t>
      </w:r>
      <w:r w:rsidR="008F1D5B">
        <w:rPr>
          <w:rFonts w:ascii="Arial" w:hAnsi="Arial" w:cs="Arial"/>
        </w:rPr>
        <w:t>2020</w:t>
      </w:r>
      <w:r w:rsidRPr="00B877FD">
        <w:rPr>
          <w:rFonts w:ascii="Arial" w:hAnsi="Arial" w:cs="Arial"/>
        </w:rPr>
        <w:t xml:space="preserve">).  </w:t>
      </w:r>
    </w:p>
    <w:p w14:paraId="127268E3" w14:textId="3A91600E" w:rsidR="00B877FD" w:rsidRPr="00B877FD" w:rsidRDefault="00B877FD" w:rsidP="00B877FD">
      <w:pPr>
        <w:pStyle w:val="Body"/>
        <w:rPr>
          <w:rFonts w:ascii="Arial" w:hAnsi="Arial" w:cs="Arial"/>
        </w:rPr>
      </w:pPr>
      <w:r w:rsidRPr="00B877FD">
        <w:rPr>
          <w:rFonts w:ascii="Arial" w:hAnsi="Arial" w:cs="Arial"/>
        </w:rPr>
        <w:t xml:space="preserve">While several studies have examined customer satisfaction in formal retailing and supermarkets, very little research has explored public markets and the specific challenges of rural Tabo vending (Flores &amp; Olivarez, 2019). In the existing literature, the influence of product quality and customer service on customer satisfaction is the most pertinent aspect in urban markets (Lovelock &amp; Wirtz, </w:t>
      </w:r>
      <w:r w:rsidR="000850AF">
        <w:rPr>
          <w:rFonts w:ascii="Arial" w:hAnsi="Arial" w:cs="Arial"/>
        </w:rPr>
        <w:t>2004</w:t>
      </w:r>
      <w:r w:rsidRPr="00B877FD">
        <w:rPr>
          <w:rFonts w:ascii="Arial" w:hAnsi="Arial" w:cs="Arial"/>
        </w:rPr>
        <w:t xml:space="preserve">). However, an extensive account is not provided for the dynamics of the rural public market, where market dynamics are significantly different, as well as customer expectations (Baker &amp; Crompton, </w:t>
      </w:r>
      <w:r w:rsidR="004D5A03">
        <w:rPr>
          <w:rFonts w:ascii="Arial" w:hAnsi="Arial" w:cs="Arial"/>
        </w:rPr>
        <w:t>2000</w:t>
      </w:r>
      <w:r w:rsidRPr="00B877FD">
        <w:rPr>
          <w:rFonts w:ascii="Arial" w:hAnsi="Arial" w:cs="Arial"/>
        </w:rPr>
        <w:t xml:space="preserve">). The literature is still lacking specific information on how certain market conditions, such as infrastructure and hygiene, affect the satisfaction of Tabo vendors in the Philippines (Flores &amp; Olivarez, 2019). This study examines the current state of customer satisfaction in public markets in rural areas, such as Cateel. </w:t>
      </w:r>
    </w:p>
    <w:p w14:paraId="07ACADF7" w14:textId="18BA7916" w:rsidR="00843C44" w:rsidRPr="008247A6" w:rsidRDefault="00B877FD" w:rsidP="00B877FD">
      <w:pPr>
        <w:pStyle w:val="Body"/>
        <w:spacing w:after="0"/>
        <w:rPr>
          <w:rFonts w:ascii="Arial" w:hAnsi="Arial" w:cs="Arial"/>
          <w:b/>
          <w:bCs/>
          <w:szCs w:val="22"/>
        </w:rPr>
      </w:pPr>
      <w:r w:rsidRPr="00B877FD">
        <w:rPr>
          <w:rFonts w:ascii="Arial" w:hAnsi="Arial" w:cs="Arial"/>
        </w:rPr>
        <w:t>Improving customer satisfaction in public markets, particularly for Tabo vendors, is not only economically significant but also socially relevant, as public markets play a crucial role in supplying low-cost goods to low-income communities (Bromley &amp; Mackie, 2016). Therefore, improving customer satisfaction in these markets is relevant to the sustainability of public market services (</w:t>
      </w:r>
      <w:r w:rsidR="008F1D5B" w:rsidRPr="008F1D5B">
        <w:rPr>
          <w:rFonts w:ascii="Arial" w:hAnsi="Arial" w:cs="Arial"/>
        </w:rPr>
        <w:t>Wilson</w:t>
      </w:r>
      <w:r w:rsidRPr="00B877FD">
        <w:rPr>
          <w:rFonts w:ascii="Arial" w:hAnsi="Arial" w:cs="Arial"/>
        </w:rPr>
        <w:t xml:space="preserve"> et al., </w:t>
      </w:r>
      <w:r w:rsidR="008F1D5B">
        <w:rPr>
          <w:rFonts w:ascii="Arial" w:hAnsi="Arial" w:cs="Arial"/>
        </w:rPr>
        <w:t>2020</w:t>
      </w:r>
      <w:r w:rsidRPr="00B877FD">
        <w:rPr>
          <w:rFonts w:ascii="Arial" w:hAnsi="Arial" w:cs="Arial"/>
        </w:rPr>
        <w:t xml:space="preserve">). Satisfied customers are more likely to return and even recommend these markets to others, thus contributing to the economic stability of the vendors and generally strengthening the local economy (Oliver, </w:t>
      </w:r>
      <w:r w:rsidR="009574C1">
        <w:rPr>
          <w:rFonts w:ascii="Arial" w:hAnsi="Arial" w:cs="Arial"/>
        </w:rPr>
        <w:t>2014</w:t>
      </w:r>
      <w:r w:rsidRPr="00B877FD">
        <w:rPr>
          <w:rFonts w:ascii="Arial" w:hAnsi="Arial" w:cs="Arial"/>
        </w:rPr>
        <w:t>). This study aims to provide valuable insights for local government units, market managers, and vendors into strategies that may improve market conditions and customer satisfaction, with the potential to positively impact the lives of vendors and the community (Flores &amp; Olivarez, 2019).</w:t>
      </w:r>
    </w:p>
    <w:p w14:paraId="5DC2E544" w14:textId="77777777" w:rsidR="00851412" w:rsidRDefault="00851412" w:rsidP="000C53F7">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5429DDA3" w14:textId="468AB236" w:rsidR="00F83E6A" w:rsidRPr="00F83E6A" w:rsidRDefault="00F83E6A" w:rsidP="00F83E6A">
      <w:pPr>
        <w:pStyle w:val="Body"/>
        <w:rPr>
          <w:rFonts w:ascii="Arial" w:hAnsi="Arial" w:cs="Arial"/>
        </w:rPr>
      </w:pPr>
      <w:r w:rsidRPr="00F83E6A">
        <w:rPr>
          <w:rFonts w:ascii="Arial" w:hAnsi="Arial" w:cs="Arial"/>
        </w:rPr>
        <w:t xml:space="preserve">This study employed a quantitative-descriptive research design to evaluate customer satisfaction among </w:t>
      </w:r>
      <w:proofErr w:type="spellStart"/>
      <w:r w:rsidRPr="00F83E6A">
        <w:rPr>
          <w:rFonts w:ascii="Arial" w:hAnsi="Arial" w:cs="Arial"/>
        </w:rPr>
        <w:t>tabo</w:t>
      </w:r>
      <w:proofErr w:type="spellEnd"/>
      <w:r w:rsidRPr="00F83E6A">
        <w:rPr>
          <w:rFonts w:ascii="Arial" w:hAnsi="Arial" w:cs="Arial"/>
        </w:rPr>
        <w:t xml:space="preserve"> vendors and customers in the public market of Cateel, Davao Oriental. According to Creswell</w:t>
      </w:r>
      <w:r w:rsidR="00A7782B">
        <w:rPr>
          <w:rFonts w:ascii="Arial" w:hAnsi="Arial" w:cs="Arial"/>
        </w:rPr>
        <w:t xml:space="preserve"> </w:t>
      </w:r>
      <w:r w:rsidR="00A7782B" w:rsidRPr="00A7782B">
        <w:rPr>
          <w:rFonts w:ascii="Arial" w:hAnsi="Arial" w:cs="Arial"/>
        </w:rPr>
        <w:t>&amp; Poth</w:t>
      </w:r>
      <w:r w:rsidRPr="00F83E6A">
        <w:rPr>
          <w:rFonts w:ascii="Arial" w:hAnsi="Arial" w:cs="Arial"/>
        </w:rPr>
        <w:t xml:space="preserve"> (</w:t>
      </w:r>
      <w:r w:rsidR="006B36B2">
        <w:rPr>
          <w:rFonts w:ascii="Arial" w:hAnsi="Arial" w:cs="Arial"/>
        </w:rPr>
        <w:t>2016</w:t>
      </w:r>
      <w:r w:rsidRPr="00F83E6A">
        <w:rPr>
          <w:rFonts w:ascii="Arial" w:hAnsi="Arial" w:cs="Arial"/>
        </w:rPr>
        <w:t xml:space="preserve">), quantitative research employs structured methods, such as surveys, to collect data through predetermined instruments, which can then be statistically analyzed to yield objective results. This approach was suitable for the study, as it provided measurable insights into the factors influencing customer satisfaction within the market. </w:t>
      </w:r>
    </w:p>
    <w:p w14:paraId="7E80A615" w14:textId="65288F01" w:rsidR="00103862" w:rsidRDefault="00F83E6A" w:rsidP="00F83E6A">
      <w:pPr>
        <w:pStyle w:val="Body"/>
        <w:spacing w:after="0"/>
        <w:rPr>
          <w:rFonts w:ascii="Arial" w:hAnsi="Arial" w:cs="Arial"/>
        </w:rPr>
      </w:pPr>
      <w:r w:rsidRPr="00F83E6A">
        <w:rPr>
          <w:rFonts w:ascii="Arial" w:hAnsi="Arial" w:cs="Arial"/>
        </w:rPr>
        <w:t xml:space="preserve">As noted by </w:t>
      </w:r>
      <w:proofErr w:type="spellStart"/>
      <w:r w:rsidRPr="00F83E6A">
        <w:rPr>
          <w:rFonts w:ascii="Arial" w:hAnsi="Arial" w:cs="Arial"/>
        </w:rPr>
        <w:t>Sirisilla</w:t>
      </w:r>
      <w:proofErr w:type="spellEnd"/>
      <w:r w:rsidRPr="00F83E6A">
        <w:rPr>
          <w:rFonts w:ascii="Arial" w:hAnsi="Arial" w:cs="Arial"/>
        </w:rPr>
        <w:t xml:space="preserve"> (2023), descriptive research aims to provide a comprehensive overview of the characteristics and behaviors of a specific population or phenomenon. In this case, the study aimed to describe the levels of satisfaction experienced by both vendors and customers, as well as the factors that influenced them. Descriptive research enabled the identification of patterns and trends within the market, including the relationship between customer expectations, service quality, and overall satisfaction. By offering a detailed account of these variables, the research provided a deeper understanding of the dynamics at play in the local market.</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00C7619E" w14:textId="2B024034" w:rsidR="00103862" w:rsidRDefault="00103B53" w:rsidP="003A4A75">
      <w:pPr>
        <w:pStyle w:val="Body"/>
        <w:spacing w:after="0"/>
        <w:rPr>
          <w:rFonts w:ascii="Arial" w:hAnsi="Arial" w:cs="Arial"/>
        </w:rPr>
      </w:pPr>
      <w:r w:rsidRPr="00103B53">
        <w:rPr>
          <w:rFonts w:ascii="Arial" w:hAnsi="Arial" w:cs="Arial"/>
        </w:rPr>
        <w:t xml:space="preserve">The research instrument used in this study was an adapted survey questionnaire from </w:t>
      </w:r>
      <w:proofErr w:type="spellStart"/>
      <w:r w:rsidRPr="00103B53">
        <w:rPr>
          <w:rFonts w:ascii="Arial" w:hAnsi="Arial" w:cs="Arial"/>
        </w:rPr>
        <w:t>Phusist</w:t>
      </w:r>
      <w:proofErr w:type="spellEnd"/>
      <w:r w:rsidRPr="00103B53">
        <w:rPr>
          <w:rFonts w:ascii="Arial" w:hAnsi="Arial" w:cs="Arial"/>
        </w:rPr>
        <w:t xml:space="preserve"> </w:t>
      </w:r>
      <w:proofErr w:type="spellStart"/>
      <w:r w:rsidRPr="00103B53">
        <w:rPr>
          <w:rFonts w:ascii="Arial" w:hAnsi="Arial" w:cs="Arial"/>
        </w:rPr>
        <w:t>Khumnualthong</w:t>
      </w:r>
      <w:proofErr w:type="spellEnd"/>
      <w:r w:rsidRPr="00103B53">
        <w:rPr>
          <w:rFonts w:ascii="Arial" w:hAnsi="Arial" w:cs="Arial"/>
        </w:rPr>
        <w:t xml:space="preserve"> (2015), designed to measure customer satisfaction (the dependent variable) and the 7Ps of marketing—product, price, place, promotion, people, process, and physical evidence (the independent variables). Each item was rated on a 5-point Likert scale (1 – Strongly Dissatisfied to 5 – Strongly Satisfied). The questionnaire included 5 items for product, 2 items for price, 4 items for place, 3 items for promotion, 5 items for people, 4 items for process, 3 items for physical evidence, and 4 items for overall customer satisfaction.</w:t>
      </w:r>
    </w:p>
    <w:p w14:paraId="21A97F2F" w14:textId="77777777" w:rsidR="003A4A75" w:rsidRDefault="003A4A75"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3535DB96" w14:textId="77777777" w:rsidR="00103B53" w:rsidRPr="00103B53" w:rsidRDefault="00103B53" w:rsidP="00103B53">
      <w:pPr>
        <w:pStyle w:val="Body"/>
        <w:rPr>
          <w:rFonts w:ascii="Arial" w:hAnsi="Arial" w:cs="Arial"/>
        </w:rPr>
      </w:pPr>
      <w:r w:rsidRPr="00103B53">
        <w:rPr>
          <w:rFonts w:ascii="Arial" w:hAnsi="Arial" w:cs="Arial"/>
        </w:rPr>
        <w:t xml:space="preserve">The respondents for this study were customers from the Tabo Market in Cateel, Davao Oriental, who actively purchase agricultural products during Tabo Market activities. Only those customers with direct engagement in the market were included, as they were the most likely to provide relevant insights into their satisfaction with </w:t>
      </w:r>
      <w:proofErr w:type="spellStart"/>
      <w:r w:rsidRPr="00103B53">
        <w:rPr>
          <w:rFonts w:ascii="Arial" w:hAnsi="Arial" w:cs="Arial"/>
        </w:rPr>
        <w:t>tabo</w:t>
      </w:r>
      <w:proofErr w:type="spellEnd"/>
      <w:r w:rsidRPr="00103B53">
        <w:rPr>
          <w:rFonts w:ascii="Arial" w:hAnsi="Arial" w:cs="Arial"/>
        </w:rPr>
        <w:t xml:space="preserve"> vendors. A quota sampling technique was used to select 200 respondents. This approach was particularly effective in ensuring the representation of key subgroups within the population without relying on random sampling methods (</w:t>
      </w:r>
      <w:proofErr w:type="spellStart"/>
      <w:r w:rsidRPr="00103B53">
        <w:rPr>
          <w:rFonts w:ascii="Arial" w:hAnsi="Arial" w:cs="Arial"/>
        </w:rPr>
        <w:t>Etikan</w:t>
      </w:r>
      <w:proofErr w:type="spellEnd"/>
      <w:r w:rsidRPr="00103B53">
        <w:rPr>
          <w:rFonts w:ascii="Arial" w:hAnsi="Arial" w:cs="Arial"/>
        </w:rPr>
        <w:t xml:space="preserve"> &amp; </w:t>
      </w:r>
      <w:proofErr w:type="spellStart"/>
      <w:r w:rsidRPr="00103B53">
        <w:rPr>
          <w:rFonts w:ascii="Arial" w:hAnsi="Arial" w:cs="Arial"/>
        </w:rPr>
        <w:t>Bala</w:t>
      </w:r>
      <w:proofErr w:type="spellEnd"/>
      <w:r w:rsidRPr="00103B53">
        <w:rPr>
          <w:rFonts w:ascii="Arial" w:hAnsi="Arial" w:cs="Arial"/>
        </w:rPr>
        <w:t xml:space="preserve">, 2017). </w:t>
      </w:r>
    </w:p>
    <w:p w14:paraId="641EBFF5" w14:textId="6E35CC40" w:rsidR="0057535D" w:rsidRDefault="00103B53" w:rsidP="00103B53">
      <w:pPr>
        <w:pStyle w:val="Body"/>
        <w:spacing w:after="0"/>
        <w:rPr>
          <w:rFonts w:ascii="Arial" w:hAnsi="Arial" w:cs="Arial"/>
        </w:rPr>
      </w:pPr>
      <w:r w:rsidRPr="00103B53">
        <w:rPr>
          <w:rFonts w:ascii="Arial" w:hAnsi="Arial" w:cs="Arial"/>
        </w:rPr>
        <w:t xml:space="preserve">Quota sampling allowed for greater control over the sample composition by ensuring that specific characteristics, such as age, gender, and frequency of market visits, were proportionally represented. This method was essential for achieving a balanced representation of different customer segments within the Tabo Market, thereby enhancing the study's validity by incorporating diverse demographic perspectives (Acharya et al., 2013). Given the limitations of time and resources, quota sampling ensured that the selected sample reflected the diverse customer base of the Tabo Market. By doing so, the study provided a more comprehensive understanding of how various demographic groups </w:t>
      </w:r>
      <w:r w:rsidRPr="00103B53">
        <w:rPr>
          <w:rFonts w:ascii="Arial" w:hAnsi="Arial" w:cs="Arial"/>
        </w:rPr>
        <w:lastRenderedPageBreak/>
        <w:t xml:space="preserve">perceived their satisfaction with </w:t>
      </w:r>
      <w:proofErr w:type="spellStart"/>
      <w:r w:rsidRPr="00103B53">
        <w:rPr>
          <w:rFonts w:ascii="Arial" w:hAnsi="Arial" w:cs="Arial"/>
        </w:rPr>
        <w:t>tabo</w:t>
      </w:r>
      <w:proofErr w:type="spellEnd"/>
      <w:r w:rsidRPr="00103B53">
        <w:rPr>
          <w:rFonts w:ascii="Arial" w:hAnsi="Arial" w:cs="Arial"/>
        </w:rPr>
        <w:t xml:space="preserve"> vendors' services, offering insights that accurately represented the broader customer population in the market (Patton, 2002).</w:t>
      </w:r>
    </w:p>
    <w:p w14:paraId="50D67840" w14:textId="77777777" w:rsidR="0057535D" w:rsidRDefault="0057535D" w:rsidP="0057535D">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7CAA4068"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3026A2" w:rsidRPr="003026A2">
        <w:rPr>
          <w:rFonts w:ascii="Arial" w:hAnsi="Arial" w:cs="Arial"/>
          <w:b/>
          <w:sz w:val="22"/>
        </w:rPr>
        <w:t>Profile of the Respondents</w:t>
      </w:r>
    </w:p>
    <w:p w14:paraId="5EC9E7D2" w14:textId="77777777" w:rsidR="004208F9" w:rsidRDefault="004208F9" w:rsidP="00851412">
      <w:pPr>
        <w:pStyle w:val="Body"/>
        <w:spacing w:after="0"/>
        <w:rPr>
          <w:rFonts w:ascii="Arial" w:hAnsi="Arial" w:cs="Arial"/>
          <w:b/>
          <w:sz w:val="22"/>
        </w:rPr>
      </w:pPr>
    </w:p>
    <w:p w14:paraId="221A5FE8" w14:textId="24F502AF" w:rsidR="00FE5D04" w:rsidRPr="001C1CF6" w:rsidRDefault="00FE5D04" w:rsidP="00FE5D04">
      <w:pPr>
        <w:pStyle w:val="Body"/>
        <w:rPr>
          <w:rFonts w:ascii="Arial" w:hAnsi="Arial" w:cs="Arial"/>
          <w:color w:val="000000" w:themeColor="text1"/>
        </w:rPr>
      </w:pPr>
      <w:r w:rsidRPr="001C1CF6">
        <w:rPr>
          <w:rFonts w:ascii="Arial" w:hAnsi="Arial" w:cs="Arial"/>
          <w:color w:val="000000" w:themeColor="text1"/>
        </w:rPr>
        <w:t>T</w:t>
      </w:r>
      <w:r w:rsidR="00A24F22" w:rsidRPr="001C1CF6">
        <w:rPr>
          <w:rFonts w:ascii="Arial" w:hAnsi="Arial" w:cs="Arial"/>
          <w:color w:val="000000" w:themeColor="text1"/>
        </w:rPr>
        <w:t>able 1</w:t>
      </w:r>
      <w:r w:rsidRPr="001C1CF6">
        <w:rPr>
          <w:rFonts w:ascii="Arial" w:hAnsi="Arial" w:cs="Arial"/>
          <w:color w:val="000000" w:themeColor="text1"/>
        </w:rPr>
        <w:t xml:space="preserve"> presents the demographic </w:t>
      </w:r>
      <w:r w:rsidR="00E300EC" w:rsidRPr="001C1CF6">
        <w:rPr>
          <w:rFonts w:ascii="Arial" w:hAnsi="Arial" w:cs="Arial"/>
          <w:color w:val="000000" w:themeColor="text1"/>
        </w:rPr>
        <w:t>p</w:t>
      </w:r>
      <w:r w:rsidRPr="001C1CF6">
        <w:rPr>
          <w:rFonts w:ascii="Arial" w:hAnsi="Arial" w:cs="Arial"/>
          <w:color w:val="000000" w:themeColor="text1"/>
        </w:rPr>
        <w:t xml:space="preserve">rofile of customers in the public market among </w:t>
      </w:r>
      <w:proofErr w:type="spellStart"/>
      <w:r w:rsidRPr="001C1CF6">
        <w:rPr>
          <w:rFonts w:ascii="Arial" w:hAnsi="Arial" w:cs="Arial"/>
          <w:color w:val="000000" w:themeColor="text1"/>
        </w:rPr>
        <w:t>tabo</w:t>
      </w:r>
      <w:proofErr w:type="spellEnd"/>
      <w:r w:rsidRPr="001C1CF6">
        <w:rPr>
          <w:rFonts w:ascii="Arial" w:hAnsi="Arial" w:cs="Arial"/>
          <w:color w:val="000000" w:themeColor="text1"/>
        </w:rPr>
        <w:t xml:space="preserve"> vendors, including age, gender, income, and frequency of market visits. The high representation of respondents aged 36 to 45 suggests that this age group may be the most active or engaged in local market activities, potentially due to their roles as household decision-makers or income earners. </w:t>
      </w:r>
    </w:p>
    <w:p w14:paraId="32C23A2D" w14:textId="4B5981F8" w:rsidR="00FE5D04" w:rsidRPr="001C1CF6" w:rsidRDefault="00FE5D04" w:rsidP="00FE5D04">
      <w:pPr>
        <w:pStyle w:val="Body"/>
        <w:rPr>
          <w:rFonts w:ascii="Arial" w:hAnsi="Arial" w:cs="Arial"/>
          <w:color w:val="000000" w:themeColor="text1"/>
        </w:rPr>
      </w:pPr>
      <w:r w:rsidRPr="001C1CF6">
        <w:rPr>
          <w:rFonts w:ascii="Arial" w:hAnsi="Arial" w:cs="Arial"/>
          <w:color w:val="000000" w:themeColor="text1"/>
        </w:rPr>
        <w:t>This has important implications for customer satisfaction and marketing strategies. Vendors and local officials should consider tailoring products, pricing, and communication efforts to this age group, as their preferences may significantly influence market demand (</w:t>
      </w:r>
      <w:proofErr w:type="spellStart"/>
      <w:r w:rsidRPr="001C1CF6">
        <w:rPr>
          <w:rFonts w:ascii="Arial" w:hAnsi="Arial" w:cs="Arial"/>
          <w:color w:val="000000" w:themeColor="text1"/>
        </w:rPr>
        <w:t>Katawetawaraks</w:t>
      </w:r>
      <w:proofErr w:type="spellEnd"/>
      <w:r w:rsidRPr="001C1CF6">
        <w:rPr>
          <w:rFonts w:ascii="Arial" w:hAnsi="Arial" w:cs="Arial"/>
          <w:color w:val="000000" w:themeColor="text1"/>
        </w:rPr>
        <w:t xml:space="preserve"> &amp; Wang, 2015). On the other hand, the low representation of the 46 and above age group may indicate barriers such as mobility issues, health concerns, or a preference for more traditional or familiar vendors and products. This suggests a potential market segment that is currently underserved. Addressing their needs through improved accessibility or more senior-friendly services could enhance inclusivity and expand customer reach (Nguyen et al., 2018).</w:t>
      </w:r>
    </w:p>
    <w:p w14:paraId="31C4AD00" w14:textId="128D956F" w:rsidR="00FC7B34" w:rsidRPr="001C1CF6" w:rsidRDefault="00FC7B34" w:rsidP="00FE5D04">
      <w:pPr>
        <w:pStyle w:val="Body"/>
        <w:rPr>
          <w:rFonts w:ascii="Arial" w:hAnsi="Arial"/>
          <w:b/>
          <w:color w:val="000000" w:themeColor="text1"/>
        </w:rPr>
      </w:pPr>
      <w:r w:rsidRPr="001C1CF6">
        <w:rPr>
          <w:rFonts w:ascii="Arial" w:hAnsi="Arial"/>
          <w:b/>
          <w:color w:val="000000" w:themeColor="text1"/>
        </w:rPr>
        <w:t xml:space="preserve">Table </w:t>
      </w:r>
      <w:r w:rsidR="00AB00E6" w:rsidRPr="001C1CF6">
        <w:rPr>
          <w:rFonts w:ascii="Arial" w:hAnsi="Arial"/>
          <w:b/>
          <w:color w:val="000000" w:themeColor="text1"/>
        </w:rPr>
        <w:t>1</w:t>
      </w:r>
      <w:r w:rsidRPr="001C1CF6">
        <w:rPr>
          <w:rFonts w:ascii="Arial" w:hAnsi="Arial"/>
          <w:b/>
          <w:color w:val="000000" w:themeColor="text1"/>
        </w:rPr>
        <w:t>.</w:t>
      </w:r>
      <w:r w:rsidRPr="001C1CF6">
        <w:rPr>
          <w:rFonts w:ascii="Arial" w:hAnsi="Arial"/>
          <w:b/>
          <w:color w:val="000000" w:themeColor="text1"/>
        </w:rPr>
        <w:tab/>
      </w:r>
      <w:r w:rsidR="00FE5D04" w:rsidRPr="001C1CF6">
        <w:rPr>
          <w:rFonts w:ascii="Arial" w:hAnsi="Arial"/>
          <w:b/>
          <w:color w:val="000000" w:themeColor="text1"/>
        </w:rPr>
        <w:t>Profile of the respondents in terms of age</w:t>
      </w:r>
    </w:p>
    <w:tbl>
      <w:tblPr>
        <w:tblStyle w:val="APA"/>
        <w:tblW w:w="5000" w:type="pct"/>
        <w:tblLook w:val="04A0" w:firstRow="1" w:lastRow="0" w:firstColumn="1" w:lastColumn="0" w:noHBand="0" w:noVBand="1"/>
      </w:tblPr>
      <w:tblGrid>
        <w:gridCol w:w="4171"/>
        <w:gridCol w:w="2332"/>
        <w:gridCol w:w="1921"/>
      </w:tblGrid>
      <w:tr w:rsidR="001C1CF6" w:rsidRPr="001C1CF6" w14:paraId="58C567BD" w14:textId="77777777" w:rsidTr="00610DB6">
        <w:trPr>
          <w:cnfStyle w:val="100000000000" w:firstRow="1" w:lastRow="0" w:firstColumn="0" w:lastColumn="0" w:oddVBand="0" w:evenVBand="0" w:oddHBand="0" w:evenHBand="0" w:firstRowFirstColumn="0" w:firstRowLastColumn="0" w:lastRowFirstColumn="0" w:lastRowLastColumn="0"/>
          <w:trHeight w:val="20"/>
        </w:trPr>
        <w:tc>
          <w:tcPr>
            <w:tcW w:w="2476" w:type="pct"/>
          </w:tcPr>
          <w:p w14:paraId="4C68BCA9" w14:textId="77777777" w:rsidR="00610DB6" w:rsidRPr="00610DB6" w:rsidRDefault="00610DB6" w:rsidP="00610DB6">
            <w:pPr>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Age </w:t>
            </w:r>
          </w:p>
        </w:tc>
        <w:tc>
          <w:tcPr>
            <w:tcW w:w="1384" w:type="pct"/>
          </w:tcPr>
          <w:p w14:paraId="691A9029"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Frequency </w:t>
            </w:r>
          </w:p>
        </w:tc>
        <w:tc>
          <w:tcPr>
            <w:tcW w:w="1140" w:type="pct"/>
          </w:tcPr>
          <w:p w14:paraId="3B19685C"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Percent </w:t>
            </w:r>
          </w:p>
        </w:tc>
      </w:tr>
      <w:tr w:rsidR="001C1CF6" w:rsidRPr="001C1CF6" w14:paraId="22014B0E" w14:textId="77777777" w:rsidTr="00610DB6">
        <w:trPr>
          <w:trHeight w:val="20"/>
        </w:trPr>
        <w:tc>
          <w:tcPr>
            <w:tcW w:w="2476" w:type="pct"/>
          </w:tcPr>
          <w:p w14:paraId="2829A117" w14:textId="77777777" w:rsidR="00610DB6" w:rsidRPr="00610DB6" w:rsidRDefault="00610DB6" w:rsidP="00610DB6">
            <w:pPr>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15 to 25 years old </w:t>
            </w:r>
          </w:p>
        </w:tc>
        <w:tc>
          <w:tcPr>
            <w:tcW w:w="1384" w:type="pct"/>
          </w:tcPr>
          <w:p w14:paraId="6015CA9E"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39 </w:t>
            </w:r>
          </w:p>
        </w:tc>
        <w:tc>
          <w:tcPr>
            <w:tcW w:w="1140" w:type="pct"/>
          </w:tcPr>
          <w:p w14:paraId="3F0AF261"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19.50 </w:t>
            </w:r>
          </w:p>
        </w:tc>
      </w:tr>
      <w:tr w:rsidR="001C1CF6" w:rsidRPr="001C1CF6" w14:paraId="42F09110" w14:textId="77777777" w:rsidTr="00610DB6">
        <w:trPr>
          <w:trHeight w:val="20"/>
        </w:trPr>
        <w:tc>
          <w:tcPr>
            <w:tcW w:w="2476" w:type="pct"/>
          </w:tcPr>
          <w:p w14:paraId="26A92D6E" w14:textId="77777777" w:rsidR="00610DB6" w:rsidRPr="00610DB6" w:rsidRDefault="00610DB6" w:rsidP="00610DB6">
            <w:pPr>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26 to 35 years old </w:t>
            </w:r>
          </w:p>
        </w:tc>
        <w:tc>
          <w:tcPr>
            <w:tcW w:w="1384" w:type="pct"/>
          </w:tcPr>
          <w:p w14:paraId="4340AA87"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59 </w:t>
            </w:r>
          </w:p>
        </w:tc>
        <w:tc>
          <w:tcPr>
            <w:tcW w:w="1140" w:type="pct"/>
          </w:tcPr>
          <w:p w14:paraId="22DAE785"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29.50 </w:t>
            </w:r>
          </w:p>
        </w:tc>
      </w:tr>
      <w:tr w:rsidR="001C1CF6" w:rsidRPr="001C1CF6" w14:paraId="100CE177" w14:textId="77777777" w:rsidTr="00610DB6">
        <w:trPr>
          <w:trHeight w:val="20"/>
        </w:trPr>
        <w:tc>
          <w:tcPr>
            <w:tcW w:w="2476" w:type="pct"/>
          </w:tcPr>
          <w:p w14:paraId="21F9F20C" w14:textId="77777777" w:rsidR="00610DB6" w:rsidRPr="00610DB6" w:rsidRDefault="00610DB6" w:rsidP="00610DB6">
            <w:pPr>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36 to 45 years old </w:t>
            </w:r>
          </w:p>
        </w:tc>
        <w:tc>
          <w:tcPr>
            <w:tcW w:w="1384" w:type="pct"/>
          </w:tcPr>
          <w:p w14:paraId="0CC78B08"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72 </w:t>
            </w:r>
          </w:p>
        </w:tc>
        <w:tc>
          <w:tcPr>
            <w:tcW w:w="1140" w:type="pct"/>
          </w:tcPr>
          <w:p w14:paraId="5E2D6F1F"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36.00 </w:t>
            </w:r>
          </w:p>
        </w:tc>
      </w:tr>
      <w:tr w:rsidR="001C1CF6" w:rsidRPr="001C1CF6" w14:paraId="7260C2A4" w14:textId="77777777" w:rsidTr="00610DB6">
        <w:trPr>
          <w:trHeight w:val="20"/>
        </w:trPr>
        <w:tc>
          <w:tcPr>
            <w:tcW w:w="2476" w:type="pct"/>
          </w:tcPr>
          <w:p w14:paraId="5932469B" w14:textId="77777777" w:rsidR="00610DB6" w:rsidRPr="00610DB6" w:rsidRDefault="00610DB6" w:rsidP="00610DB6">
            <w:pPr>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46 years old and above </w:t>
            </w:r>
          </w:p>
        </w:tc>
        <w:tc>
          <w:tcPr>
            <w:tcW w:w="1384" w:type="pct"/>
          </w:tcPr>
          <w:p w14:paraId="78CB80DF"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30 </w:t>
            </w:r>
          </w:p>
        </w:tc>
        <w:tc>
          <w:tcPr>
            <w:tcW w:w="1140" w:type="pct"/>
          </w:tcPr>
          <w:p w14:paraId="321BDFAD" w14:textId="77777777" w:rsidR="00610DB6" w:rsidRPr="00610DB6" w:rsidRDefault="00610DB6" w:rsidP="00610DB6">
            <w:pPr>
              <w:ind w:left="5"/>
              <w:jc w:val="both"/>
              <w:rPr>
                <w:rFonts w:ascii="Arial" w:eastAsia="DengXian" w:hAnsi="Arial" w:cs="Arial"/>
                <w:color w:val="000000" w:themeColor="text1"/>
                <w:lang w:val="en-PH" w:eastAsia="en-PH"/>
              </w:rPr>
            </w:pPr>
            <w:r w:rsidRPr="00610DB6">
              <w:rPr>
                <w:rFonts w:ascii="Arial" w:eastAsia="DengXian" w:hAnsi="Arial" w:cs="Arial"/>
                <w:color w:val="000000" w:themeColor="text1"/>
                <w:lang w:val="en-PH" w:eastAsia="en-PH"/>
              </w:rPr>
              <w:t xml:space="preserve">15.00 </w:t>
            </w:r>
          </w:p>
        </w:tc>
      </w:tr>
      <w:tr w:rsidR="001C1CF6" w:rsidRPr="001C1CF6" w14:paraId="116FB2B4" w14:textId="77777777" w:rsidTr="00610DB6">
        <w:trPr>
          <w:trHeight w:val="20"/>
        </w:trPr>
        <w:tc>
          <w:tcPr>
            <w:tcW w:w="2476" w:type="pct"/>
          </w:tcPr>
          <w:p w14:paraId="051802C5" w14:textId="77777777" w:rsidR="00610DB6" w:rsidRPr="00610DB6" w:rsidRDefault="00610DB6" w:rsidP="00610DB6">
            <w:pPr>
              <w:jc w:val="both"/>
              <w:rPr>
                <w:rFonts w:ascii="Arial" w:eastAsia="DengXian" w:hAnsi="Arial" w:cs="Arial"/>
                <w:b/>
                <w:bCs/>
                <w:color w:val="000000" w:themeColor="text1"/>
                <w:lang w:val="en-PH" w:eastAsia="en-PH"/>
              </w:rPr>
            </w:pPr>
            <w:r w:rsidRPr="00610DB6">
              <w:rPr>
                <w:rFonts w:ascii="Arial" w:eastAsia="DengXian" w:hAnsi="Arial" w:cs="Arial"/>
                <w:b/>
                <w:bCs/>
                <w:color w:val="000000" w:themeColor="text1"/>
                <w:lang w:val="en-PH" w:eastAsia="en-PH"/>
              </w:rPr>
              <w:t xml:space="preserve">Total </w:t>
            </w:r>
          </w:p>
        </w:tc>
        <w:tc>
          <w:tcPr>
            <w:tcW w:w="1384" w:type="pct"/>
          </w:tcPr>
          <w:p w14:paraId="052EF658" w14:textId="77777777" w:rsidR="00610DB6" w:rsidRPr="00610DB6" w:rsidRDefault="00610DB6" w:rsidP="00610DB6">
            <w:pPr>
              <w:ind w:left="5"/>
              <w:jc w:val="both"/>
              <w:rPr>
                <w:rFonts w:ascii="Arial" w:eastAsia="DengXian" w:hAnsi="Arial" w:cs="Arial"/>
                <w:b/>
                <w:bCs/>
                <w:color w:val="000000" w:themeColor="text1"/>
                <w:lang w:val="en-PH" w:eastAsia="en-PH"/>
              </w:rPr>
            </w:pPr>
            <w:r w:rsidRPr="00610DB6">
              <w:rPr>
                <w:rFonts w:ascii="Arial" w:eastAsia="DengXian" w:hAnsi="Arial" w:cs="Arial"/>
                <w:b/>
                <w:bCs/>
                <w:color w:val="000000" w:themeColor="text1"/>
                <w:lang w:val="en-PH" w:eastAsia="en-PH"/>
              </w:rPr>
              <w:t xml:space="preserve">200 </w:t>
            </w:r>
          </w:p>
        </w:tc>
        <w:tc>
          <w:tcPr>
            <w:tcW w:w="1140" w:type="pct"/>
          </w:tcPr>
          <w:p w14:paraId="75AD38FA" w14:textId="77777777" w:rsidR="00610DB6" w:rsidRPr="00610DB6" w:rsidRDefault="00610DB6" w:rsidP="00610DB6">
            <w:pPr>
              <w:ind w:left="5"/>
              <w:jc w:val="both"/>
              <w:rPr>
                <w:rFonts w:ascii="Arial" w:eastAsia="DengXian" w:hAnsi="Arial" w:cs="Arial"/>
                <w:b/>
                <w:bCs/>
                <w:color w:val="000000" w:themeColor="text1"/>
                <w:lang w:val="en-PH" w:eastAsia="en-PH"/>
              </w:rPr>
            </w:pPr>
            <w:r w:rsidRPr="00610DB6">
              <w:rPr>
                <w:rFonts w:ascii="Arial" w:eastAsia="DengXian" w:hAnsi="Arial" w:cs="Arial"/>
                <w:b/>
                <w:bCs/>
                <w:color w:val="000000" w:themeColor="text1"/>
                <w:lang w:val="en-PH" w:eastAsia="en-PH"/>
              </w:rPr>
              <w:t xml:space="preserve">100.00 </w:t>
            </w:r>
          </w:p>
        </w:tc>
      </w:tr>
    </w:tbl>
    <w:p w14:paraId="125B1614" w14:textId="77777777" w:rsidR="000E26ED" w:rsidRDefault="000E26ED" w:rsidP="000E26ED">
      <w:pPr>
        <w:pStyle w:val="Body"/>
        <w:rPr>
          <w:rFonts w:ascii="Arial" w:hAnsi="Arial" w:cs="Arial"/>
          <w:color w:val="0070C0"/>
        </w:rPr>
      </w:pPr>
    </w:p>
    <w:p w14:paraId="04675EE3" w14:textId="61ABEBDE" w:rsidR="000E26ED" w:rsidRPr="00003CD1" w:rsidRDefault="00394CFC" w:rsidP="000E26ED">
      <w:pPr>
        <w:pStyle w:val="Body"/>
        <w:rPr>
          <w:rFonts w:ascii="Arial" w:hAnsi="Arial" w:cs="Arial"/>
          <w:color w:val="000000" w:themeColor="text1"/>
        </w:rPr>
      </w:pPr>
      <w:r w:rsidRPr="00003CD1">
        <w:rPr>
          <w:rFonts w:ascii="Arial" w:hAnsi="Arial" w:cs="Arial"/>
          <w:color w:val="000000" w:themeColor="text1"/>
        </w:rPr>
        <w:t>T</w:t>
      </w:r>
      <w:r w:rsidR="000E26ED" w:rsidRPr="00003CD1">
        <w:rPr>
          <w:rFonts w:ascii="Arial" w:hAnsi="Arial" w:cs="Arial"/>
          <w:color w:val="000000" w:themeColor="text1"/>
        </w:rPr>
        <w:t>able</w:t>
      </w:r>
      <w:r w:rsidRPr="00003CD1">
        <w:rPr>
          <w:rFonts w:ascii="Arial" w:hAnsi="Arial" w:cs="Arial"/>
          <w:color w:val="000000" w:themeColor="text1"/>
        </w:rPr>
        <w:t xml:space="preserve"> 2</w:t>
      </w:r>
      <w:r w:rsidR="000E26ED" w:rsidRPr="00003CD1">
        <w:rPr>
          <w:rFonts w:ascii="Arial" w:hAnsi="Arial" w:cs="Arial"/>
          <w:color w:val="000000" w:themeColor="text1"/>
        </w:rPr>
        <w:t xml:space="preserve"> shows a high average of female respondents (65%), indicating that women play a dominant role in public market participation. This supports the findings of </w:t>
      </w:r>
      <w:r w:rsidR="00F77B23" w:rsidRPr="00F77B23">
        <w:rPr>
          <w:rFonts w:ascii="Arial" w:hAnsi="Arial" w:cs="Arial"/>
          <w:color w:val="000000" w:themeColor="text1"/>
        </w:rPr>
        <w:t>De Simone</w:t>
      </w:r>
      <w:r w:rsidR="000E26ED" w:rsidRPr="00003CD1">
        <w:rPr>
          <w:rFonts w:ascii="Arial" w:hAnsi="Arial" w:cs="Arial"/>
          <w:color w:val="000000" w:themeColor="text1"/>
        </w:rPr>
        <w:t xml:space="preserve"> (</w:t>
      </w:r>
      <w:r w:rsidR="00F77B23">
        <w:rPr>
          <w:rFonts w:ascii="Arial" w:hAnsi="Arial" w:cs="Arial"/>
          <w:color w:val="000000" w:themeColor="text1"/>
        </w:rPr>
        <w:t>2026</w:t>
      </w:r>
      <w:r w:rsidR="000E26ED" w:rsidRPr="00003CD1">
        <w:rPr>
          <w:rFonts w:ascii="Arial" w:hAnsi="Arial" w:cs="Arial"/>
          <w:color w:val="000000" w:themeColor="text1"/>
        </w:rPr>
        <w:t>), who noted that women are often responsible for household food purchasing and are more likely to visit local markets.</w:t>
      </w:r>
    </w:p>
    <w:p w14:paraId="591E71E2" w14:textId="3EB5A755" w:rsidR="000E26ED" w:rsidRPr="00003CD1" w:rsidRDefault="000E26ED" w:rsidP="000E26ED">
      <w:pPr>
        <w:pStyle w:val="Body"/>
        <w:rPr>
          <w:rFonts w:ascii="Arial" w:hAnsi="Arial" w:cs="Arial"/>
          <w:color w:val="000000" w:themeColor="text1"/>
        </w:rPr>
      </w:pPr>
      <w:r w:rsidRPr="00003CD1">
        <w:rPr>
          <w:rFonts w:ascii="Arial" w:hAnsi="Arial" w:cs="Arial"/>
          <w:color w:val="000000" w:themeColor="text1"/>
        </w:rPr>
        <w:t xml:space="preserve">Their strong presence in the study highlights their critical role in shaping customer satisfaction and service expectations. On the other hand, the low average of male respondents (35%) still reflects a significant portion of the customer base. Although fewer in number, their inclusion suggests that men are also engaged in local trade activities. As </w:t>
      </w:r>
      <w:proofErr w:type="spellStart"/>
      <w:r w:rsidRPr="00003CD1">
        <w:rPr>
          <w:rFonts w:ascii="Arial" w:hAnsi="Arial" w:cs="Arial"/>
          <w:color w:val="000000" w:themeColor="text1"/>
        </w:rPr>
        <w:t>Ladhari</w:t>
      </w:r>
      <w:proofErr w:type="spellEnd"/>
      <w:r w:rsidRPr="00003CD1">
        <w:rPr>
          <w:rFonts w:ascii="Arial" w:hAnsi="Arial" w:cs="Arial"/>
          <w:color w:val="000000" w:themeColor="text1"/>
        </w:rPr>
        <w:t xml:space="preserve"> (</w:t>
      </w:r>
      <w:r w:rsidR="00F53190">
        <w:rPr>
          <w:rFonts w:ascii="Arial" w:hAnsi="Arial" w:cs="Arial"/>
          <w:color w:val="000000" w:themeColor="text1"/>
        </w:rPr>
        <w:t>2009</w:t>
      </w:r>
      <w:r w:rsidRPr="00003CD1">
        <w:rPr>
          <w:rFonts w:ascii="Arial" w:hAnsi="Arial" w:cs="Arial"/>
          <w:color w:val="000000" w:themeColor="text1"/>
        </w:rPr>
        <w:t>) emphasized, understanding gender dynamics is essential in developing inclusive marketing and service strategies that cater to the needs of all market participants.</w:t>
      </w:r>
    </w:p>
    <w:p w14:paraId="2B655321" w14:textId="4ACF2A76" w:rsidR="00C04AB7" w:rsidRPr="00003CD1" w:rsidRDefault="00C04AB7" w:rsidP="00C04AB7">
      <w:pPr>
        <w:pStyle w:val="Body"/>
        <w:rPr>
          <w:rFonts w:ascii="Arial" w:hAnsi="Arial"/>
          <w:b/>
          <w:color w:val="000000" w:themeColor="text1"/>
        </w:rPr>
      </w:pPr>
      <w:r w:rsidRPr="00003CD1">
        <w:rPr>
          <w:rFonts w:ascii="Arial" w:hAnsi="Arial"/>
          <w:b/>
          <w:color w:val="000000" w:themeColor="text1"/>
        </w:rPr>
        <w:t>Table 2.</w:t>
      </w:r>
      <w:r w:rsidRPr="00003CD1">
        <w:rPr>
          <w:rFonts w:ascii="Arial" w:hAnsi="Arial"/>
          <w:b/>
          <w:color w:val="000000" w:themeColor="text1"/>
        </w:rPr>
        <w:tab/>
        <w:t>Profile of the respondents in terms of gender</w:t>
      </w:r>
    </w:p>
    <w:tbl>
      <w:tblPr>
        <w:tblStyle w:val="APA"/>
        <w:tblW w:w="5000" w:type="pct"/>
        <w:tblLook w:val="04A0" w:firstRow="1" w:lastRow="0" w:firstColumn="1" w:lastColumn="0" w:noHBand="0" w:noVBand="1"/>
      </w:tblPr>
      <w:tblGrid>
        <w:gridCol w:w="3586"/>
        <w:gridCol w:w="2414"/>
        <w:gridCol w:w="2424"/>
      </w:tblGrid>
      <w:tr w:rsidR="00003CD1" w:rsidRPr="00C04AB7" w14:paraId="14257EED" w14:textId="77777777" w:rsidTr="00883D3C">
        <w:trPr>
          <w:cnfStyle w:val="100000000000" w:firstRow="1" w:lastRow="0" w:firstColumn="0" w:lastColumn="0" w:oddVBand="0" w:evenVBand="0" w:oddHBand="0" w:evenHBand="0" w:firstRowFirstColumn="0" w:firstRowLastColumn="0" w:lastRowFirstColumn="0" w:lastRowLastColumn="0"/>
          <w:trHeight w:val="20"/>
        </w:trPr>
        <w:tc>
          <w:tcPr>
            <w:tcW w:w="2128" w:type="pct"/>
          </w:tcPr>
          <w:p w14:paraId="62506B80"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Gender </w:t>
            </w:r>
          </w:p>
        </w:tc>
        <w:tc>
          <w:tcPr>
            <w:tcW w:w="1433" w:type="pct"/>
          </w:tcPr>
          <w:p w14:paraId="4238F3DA"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Frequency </w:t>
            </w:r>
          </w:p>
        </w:tc>
        <w:tc>
          <w:tcPr>
            <w:tcW w:w="1439" w:type="pct"/>
          </w:tcPr>
          <w:p w14:paraId="1DEFD0AF" w14:textId="77777777" w:rsidR="00C04AB7" w:rsidRPr="00C04AB7" w:rsidRDefault="00C04AB7" w:rsidP="00C04AB7">
            <w:pPr>
              <w:ind w:left="5"/>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Percent </w:t>
            </w:r>
          </w:p>
        </w:tc>
      </w:tr>
      <w:tr w:rsidR="00003CD1" w:rsidRPr="00C04AB7" w14:paraId="2E1A6947" w14:textId="77777777" w:rsidTr="00883D3C">
        <w:trPr>
          <w:trHeight w:val="20"/>
        </w:trPr>
        <w:tc>
          <w:tcPr>
            <w:tcW w:w="2128" w:type="pct"/>
          </w:tcPr>
          <w:p w14:paraId="7D830A28"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Female </w:t>
            </w:r>
          </w:p>
        </w:tc>
        <w:tc>
          <w:tcPr>
            <w:tcW w:w="1433" w:type="pct"/>
          </w:tcPr>
          <w:p w14:paraId="2729AC59"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130 </w:t>
            </w:r>
          </w:p>
        </w:tc>
        <w:tc>
          <w:tcPr>
            <w:tcW w:w="1439" w:type="pct"/>
          </w:tcPr>
          <w:p w14:paraId="04C5AA14" w14:textId="77777777" w:rsidR="00C04AB7" w:rsidRPr="00C04AB7" w:rsidRDefault="00C04AB7" w:rsidP="00C04AB7">
            <w:pPr>
              <w:ind w:left="5"/>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65.00 </w:t>
            </w:r>
          </w:p>
        </w:tc>
      </w:tr>
      <w:tr w:rsidR="00003CD1" w:rsidRPr="00C04AB7" w14:paraId="3985586F" w14:textId="77777777" w:rsidTr="00883D3C">
        <w:trPr>
          <w:trHeight w:val="20"/>
        </w:trPr>
        <w:tc>
          <w:tcPr>
            <w:tcW w:w="2128" w:type="pct"/>
          </w:tcPr>
          <w:p w14:paraId="4645A27B"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Male </w:t>
            </w:r>
          </w:p>
        </w:tc>
        <w:tc>
          <w:tcPr>
            <w:tcW w:w="1433" w:type="pct"/>
          </w:tcPr>
          <w:p w14:paraId="787732C7" w14:textId="77777777" w:rsidR="00C04AB7" w:rsidRPr="00C04AB7" w:rsidRDefault="00C04AB7" w:rsidP="00C04AB7">
            <w:pPr>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70 </w:t>
            </w:r>
          </w:p>
        </w:tc>
        <w:tc>
          <w:tcPr>
            <w:tcW w:w="1439" w:type="pct"/>
          </w:tcPr>
          <w:p w14:paraId="0FE4044B" w14:textId="77777777" w:rsidR="00C04AB7" w:rsidRPr="00C04AB7" w:rsidRDefault="00C04AB7" w:rsidP="00C04AB7">
            <w:pPr>
              <w:ind w:left="5"/>
              <w:jc w:val="both"/>
              <w:rPr>
                <w:rFonts w:ascii="Arial" w:eastAsia="DengXian" w:hAnsi="Arial" w:cs="Arial"/>
                <w:color w:val="000000" w:themeColor="text1"/>
                <w:lang w:val="en-PH" w:eastAsia="en-PH"/>
              </w:rPr>
            </w:pPr>
            <w:r w:rsidRPr="00C04AB7">
              <w:rPr>
                <w:rFonts w:ascii="Arial" w:eastAsia="DengXian" w:hAnsi="Arial" w:cs="Arial"/>
                <w:color w:val="000000" w:themeColor="text1"/>
                <w:lang w:val="en-PH" w:eastAsia="en-PH"/>
              </w:rPr>
              <w:t xml:space="preserve">35.00 </w:t>
            </w:r>
          </w:p>
        </w:tc>
      </w:tr>
      <w:tr w:rsidR="00003CD1" w:rsidRPr="00C04AB7" w14:paraId="4E580038" w14:textId="77777777" w:rsidTr="00883D3C">
        <w:trPr>
          <w:trHeight w:val="20"/>
        </w:trPr>
        <w:tc>
          <w:tcPr>
            <w:tcW w:w="2128" w:type="pct"/>
          </w:tcPr>
          <w:p w14:paraId="4B9E7417" w14:textId="77777777" w:rsidR="00C04AB7" w:rsidRPr="00C04AB7" w:rsidRDefault="00C04AB7" w:rsidP="00C04AB7">
            <w:pPr>
              <w:jc w:val="both"/>
              <w:rPr>
                <w:rFonts w:ascii="Arial" w:eastAsia="DengXian" w:hAnsi="Arial" w:cs="Arial"/>
                <w:b/>
                <w:bCs/>
                <w:color w:val="000000" w:themeColor="text1"/>
                <w:lang w:val="en-PH" w:eastAsia="en-PH"/>
              </w:rPr>
            </w:pPr>
            <w:r w:rsidRPr="00C04AB7">
              <w:rPr>
                <w:rFonts w:ascii="Arial" w:eastAsia="DengXian" w:hAnsi="Arial" w:cs="Arial"/>
                <w:b/>
                <w:bCs/>
                <w:color w:val="000000" w:themeColor="text1"/>
                <w:lang w:val="en-PH" w:eastAsia="en-PH"/>
              </w:rPr>
              <w:t xml:space="preserve">Total </w:t>
            </w:r>
          </w:p>
        </w:tc>
        <w:tc>
          <w:tcPr>
            <w:tcW w:w="1433" w:type="pct"/>
          </w:tcPr>
          <w:p w14:paraId="18D86110" w14:textId="77777777" w:rsidR="00C04AB7" w:rsidRPr="00C04AB7" w:rsidRDefault="00C04AB7" w:rsidP="00C04AB7">
            <w:pPr>
              <w:jc w:val="both"/>
              <w:rPr>
                <w:rFonts w:ascii="Arial" w:eastAsia="DengXian" w:hAnsi="Arial" w:cs="Arial"/>
                <w:b/>
                <w:bCs/>
                <w:color w:val="000000" w:themeColor="text1"/>
                <w:lang w:val="en-PH" w:eastAsia="en-PH"/>
              </w:rPr>
            </w:pPr>
            <w:r w:rsidRPr="00C04AB7">
              <w:rPr>
                <w:rFonts w:ascii="Arial" w:eastAsia="DengXian" w:hAnsi="Arial" w:cs="Arial"/>
                <w:b/>
                <w:bCs/>
                <w:color w:val="000000" w:themeColor="text1"/>
                <w:lang w:val="en-PH" w:eastAsia="en-PH"/>
              </w:rPr>
              <w:t xml:space="preserve">200 </w:t>
            </w:r>
          </w:p>
        </w:tc>
        <w:tc>
          <w:tcPr>
            <w:tcW w:w="1439" w:type="pct"/>
          </w:tcPr>
          <w:p w14:paraId="401059F6" w14:textId="77777777" w:rsidR="00C04AB7" w:rsidRPr="00C04AB7" w:rsidRDefault="00C04AB7" w:rsidP="00C04AB7">
            <w:pPr>
              <w:jc w:val="both"/>
              <w:rPr>
                <w:rFonts w:ascii="Arial" w:eastAsia="DengXian" w:hAnsi="Arial" w:cs="Arial"/>
                <w:b/>
                <w:bCs/>
                <w:color w:val="000000" w:themeColor="text1"/>
                <w:lang w:val="en-PH" w:eastAsia="en-PH"/>
              </w:rPr>
            </w:pPr>
            <w:r w:rsidRPr="00C04AB7">
              <w:rPr>
                <w:rFonts w:ascii="Arial" w:eastAsia="DengXian" w:hAnsi="Arial" w:cs="Arial"/>
                <w:b/>
                <w:bCs/>
                <w:color w:val="000000" w:themeColor="text1"/>
                <w:lang w:val="en-PH" w:eastAsia="en-PH"/>
              </w:rPr>
              <w:t xml:space="preserve">100.00 </w:t>
            </w:r>
          </w:p>
        </w:tc>
      </w:tr>
    </w:tbl>
    <w:p w14:paraId="74ADF4C9" w14:textId="77777777" w:rsidR="00C04AB7" w:rsidRPr="00003CD1" w:rsidRDefault="00C04AB7" w:rsidP="00C04AB7">
      <w:pPr>
        <w:pStyle w:val="Body"/>
        <w:rPr>
          <w:rFonts w:ascii="Arial" w:hAnsi="Arial" w:cs="Arial"/>
          <w:color w:val="000000" w:themeColor="text1"/>
        </w:rPr>
      </w:pPr>
    </w:p>
    <w:p w14:paraId="1B81CDEF" w14:textId="5C8F9E64" w:rsidR="00883D3C" w:rsidRPr="007D4F52" w:rsidRDefault="005F4F48" w:rsidP="00883D3C">
      <w:pPr>
        <w:pStyle w:val="Body"/>
        <w:rPr>
          <w:rFonts w:ascii="Arial" w:hAnsi="Arial" w:cs="Arial"/>
          <w:color w:val="000000" w:themeColor="text1"/>
        </w:rPr>
      </w:pPr>
      <w:r w:rsidRPr="007D4F52">
        <w:rPr>
          <w:rFonts w:ascii="Arial" w:hAnsi="Arial" w:cs="Arial"/>
          <w:color w:val="000000" w:themeColor="text1"/>
        </w:rPr>
        <w:lastRenderedPageBreak/>
        <w:t xml:space="preserve">The high average in Table </w:t>
      </w:r>
      <w:r w:rsidR="007D4F52" w:rsidRPr="007D4F52">
        <w:rPr>
          <w:rFonts w:ascii="Arial" w:hAnsi="Arial" w:cs="Arial"/>
          <w:color w:val="000000" w:themeColor="text1"/>
        </w:rPr>
        <w:t>3</w:t>
      </w:r>
      <w:r w:rsidRPr="007D4F52">
        <w:rPr>
          <w:rFonts w:ascii="Arial" w:hAnsi="Arial" w:cs="Arial"/>
          <w:color w:val="000000" w:themeColor="text1"/>
        </w:rPr>
        <w:t xml:space="preserve"> indicates that 66.5% of respondents earn Php 20,000 or less, suggesting that the majority of public market patrons belong to low-income households. This underscores the importance of affordability in purchasing decisions. As Schiffman and </w:t>
      </w:r>
      <w:proofErr w:type="spellStart"/>
      <w:r w:rsidRPr="007D4F52">
        <w:rPr>
          <w:rFonts w:ascii="Arial" w:hAnsi="Arial" w:cs="Arial"/>
          <w:color w:val="000000" w:themeColor="text1"/>
        </w:rPr>
        <w:t>Wisenblit</w:t>
      </w:r>
      <w:proofErr w:type="spellEnd"/>
      <w:r w:rsidRPr="007D4F52">
        <w:rPr>
          <w:rFonts w:ascii="Arial" w:hAnsi="Arial" w:cs="Arial"/>
          <w:color w:val="000000" w:themeColor="text1"/>
        </w:rPr>
        <w:t xml:space="preserve"> (2019) note, low-income consumers are typically more price-sensitive and prioritize products that offer greater value for their money, making competitive pricing a critical factor in achieving customer satisfaction.</w:t>
      </w:r>
    </w:p>
    <w:p w14:paraId="5DC611D4" w14:textId="7433AECC" w:rsidR="00883D3C" w:rsidRPr="007D4F52" w:rsidRDefault="005F4F48" w:rsidP="00883D3C">
      <w:pPr>
        <w:pStyle w:val="Body"/>
        <w:rPr>
          <w:rFonts w:ascii="Arial" w:hAnsi="Arial" w:cs="Arial"/>
          <w:color w:val="000000" w:themeColor="text1"/>
        </w:rPr>
      </w:pPr>
      <w:r w:rsidRPr="007D4F52">
        <w:rPr>
          <w:rFonts w:ascii="Arial" w:hAnsi="Arial" w:cs="Arial"/>
          <w:color w:val="000000" w:themeColor="text1"/>
        </w:rPr>
        <w:t xml:space="preserve">In contrast, the low average is represented by the 4.5% of respondents earning Php 40,001 and above. This minimal proportion suggests that higher-income groups are less likely to rely on public markets for their regular shopping needs. According to </w:t>
      </w:r>
      <w:r w:rsidR="002E53F2" w:rsidRPr="002E53F2">
        <w:rPr>
          <w:rFonts w:ascii="Arial" w:hAnsi="Arial" w:cs="Arial"/>
          <w:color w:val="000000" w:themeColor="text1"/>
        </w:rPr>
        <w:t>Rajput</w:t>
      </w:r>
      <w:r w:rsidRPr="007D4F52">
        <w:rPr>
          <w:rFonts w:ascii="Arial" w:hAnsi="Arial" w:cs="Arial"/>
          <w:color w:val="000000" w:themeColor="text1"/>
        </w:rPr>
        <w:t xml:space="preserve"> et al. (</w:t>
      </w:r>
      <w:r w:rsidR="002E53F2">
        <w:rPr>
          <w:rFonts w:ascii="Arial" w:hAnsi="Arial" w:cs="Arial"/>
          <w:color w:val="000000" w:themeColor="text1"/>
        </w:rPr>
        <w:t>2012</w:t>
      </w:r>
      <w:r w:rsidRPr="007D4F52">
        <w:rPr>
          <w:rFonts w:ascii="Arial" w:hAnsi="Arial" w:cs="Arial"/>
          <w:color w:val="000000" w:themeColor="text1"/>
        </w:rPr>
        <w:t>), understanding the economic profile of customers is essential for vendors to align their pricing and product quality with consumer expectations, especially when price-conscious buyers dominate the market.</w:t>
      </w:r>
    </w:p>
    <w:p w14:paraId="12A6E136" w14:textId="6DFC0D1D" w:rsidR="00883D3C" w:rsidRPr="007D4F52" w:rsidRDefault="00883D3C" w:rsidP="00883D3C">
      <w:pPr>
        <w:pStyle w:val="Body"/>
        <w:rPr>
          <w:rFonts w:ascii="Arial" w:hAnsi="Arial"/>
          <w:b/>
          <w:color w:val="000000" w:themeColor="text1"/>
        </w:rPr>
      </w:pPr>
      <w:r w:rsidRPr="007D4F52">
        <w:rPr>
          <w:rFonts w:ascii="Arial" w:hAnsi="Arial"/>
          <w:b/>
          <w:color w:val="000000" w:themeColor="text1"/>
        </w:rPr>
        <w:t xml:space="preserve">Table </w:t>
      </w:r>
      <w:r w:rsidR="0053774D" w:rsidRPr="007D4F52">
        <w:rPr>
          <w:rFonts w:ascii="Arial" w:hAnsi="Arial"/>
          <w:b/>
          <w:color w:val="000000" w:themeColor="text1"/>
        </w:rPr>
        <w:t>3</w:t>
      </w:r>
      <w:r w:rsidRPr="007D4F52">
        <w:rPr>
          <w:rFonts w:ascii="Arial" w:hAnsi="Arial"/>
          <w:b/>
          <w:color w:val="000000" w:themeColor="text1"/>
        </w:rPr>
        <w:t>.</w:t>
      </w:r>
      <w:r w:rsidRPr="007D4F52">
        <w:rPr>
          <w:rFonts w:ascii="Arial" w:hAnsi="Arial"/>
          <w:b/>
          <w:color w:val="000000" w:themeColor="text1"/>
        </w:rPr>
        <w:tab/>
        <w:t xml:space="preserve">Profile of the respondents in terms of </w:t>
      </w:r>
      <w:r w:rsidR="005F4F48" w:rsidRPr="007D4F52">
        <w:rPr>
          <w:rFonts w:ascii="Arial" w:hAnsi="Arial"/>
          <w:b/>
          <w:color w:val="000000" w:themeColor="text1"/>
        </w:rPr>
        <w:t>income</w:t>
      </w:r>
    </w:p>
    <w:tbl>
      <w:tblPr>
        <w:tblStyle w:val="APA"/>
        <w:tblW w:w="5000" w:type="pct"/>
        <w:tblLook w:val="04A0" w:firstRow="1" w:lastRow="0" w:firstColumn="1" w:lastColumn="0" w:noHBand="0" w:noVBand="1"/>
      </w:tblPr>
      <w:tblGrid>
        <w:gridCol w:w="4598"/>
        <w:gridCol w:w="2328"/>
        <w:gridCol w:w="1498"/>
      </w:tblGrid>
      <w:tr w:rsidR="007D4F52" w:rsidRPr="007D4F52" w14:paraId="536B58DF" w14:textId="77777777" w:rsidTr="004A2262">
        <w:trPr>
          <w:cnfStyle w:val="100000000000" w:firstRow="1" w:lastRow="0" w:firstColumn="0" w:lastColumn="0" w:oddVBand="0" w:evenVBand="0" w:oddHBand="0" w:evenHBand="0" w:firstRowFirstColumn="0" w:firstRowLastColumn="0" w:lastRowFirstColumn="0" w:lastRowLastColumn="0"/>
          <w:trHeight w:val="20"/>
        </w:trPr>
        <w:tc>
          <w:tcPr>
            <w:tcW w:w="2729" w:type="pct"/>
          </w:tcPr>
          <w:p w14:paraId="36F4BD53"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Income </w:t>
            </w:r>
          </w:p>
        </w:tc>
        <w:tc>
          <w:tcPr>
            <w:tcW w:w="1382" w:type="pct"/>
          </w:tcPr>
          <w:p w14:paraId="660FE0C8" w14:textId="77777777" w:rsidR="00EC4D1A" w:rsidRPr="00EC4D1A" w:rsidRDefault="00EC4D1A" w:rsidP="00EC4D1A">
            <w:pPr>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Frequency  </w:t>
            </w:r>
          </w:p>
        </w:tc>
        <w:tc>
          <w:tcPr>
            <w:tcW w:w="889" w:type="pct"/>
          </w:tcPr>
          <w:p w14:paraId="0A2F4B60"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Percent </w:t>
            </w:r>
          </w:p>
        </w:tc>
      </w:tr>
      <w:tr w:rsidR="007D4F52" w:rsidRPr="007D4F52" w14:paraId="6A13BD84" w14:textId="77777777" w:rsidTr="004A2262">
        <w:trPr>
          <w:trHeight w:val="20"/>
        </w:trPr>
        <w:tc>
          <w:tcPr>
            <w:tcW w:w="2729" w:type="pct"/>
          </w:tcPr>
          <w:p w14:paraId="583D494A"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Php 20,000 and below </w:t>
            </w:r>
          </w:p>
        </w:tc>
        <w:tc>
          <w:tcPr>
            <w:tcW w:w="1382" w:type="pct"/>
          </w:tcPr>
          <w:p w14:paraId="42317366" w14:textId="77777777" w:rsidR="00EC4D1A" w:rsidRPr="00EC4D1A" w:rsidRDefault="00EC4D1A" w:rsidP="00EC4D1A">
            <w:pPr>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133 </w:t>
            </w:r>
          </w:p>
        </w:tc>
        <w:tc>
          <w:tcPr>
            <w:tcW w:w="889" w:type="pct"/>
          </w:tcPr>
          <w:p w14:paraId="7E24EFE2"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66.50 </w:t>
            </w:r>
          </w:p>
        </w:tc>
      </w:tr>
      <w:tr w:rsidR="007D4F52" w:rsidRPr="007D4F52" w14:paraId="068032EF" w14:textId="77777777" w:rsidTr="004A2262">
        <w:trPr>
          <w:trHeight w:val="20"/>
        </w:trPr>
        <w:tc>
          <w:tcPr>
            <w:tcW w:w="2729" w:type="pct"/>
          </w:tcPr>
          <w:p w14:paraId="125A5A15"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Php 20,001 to Php 30,000 </w:t>
            </w:r>
          </w:p>
        </w:tc>
        <w:tc>
          <w:tcPr>
            <w:tcW w:w="1382" w:type="pct"/>
          </w:tcPr>
          <w:p w14:paraId="2F3E8509" w14:textId="77777777" w:rsidR="00EC4D1A" w:rsidRPr="00EC4D1A" w:rsidRDefault="00EC4D1A" w:rsidP="00EC4D1A">
            <w:pPr>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41 </w:t>
            </w:r>
          </w:p>
        </w:tc>
        <w:tc>
          <w:tcPr>
            <w:tcW w:w="889" w:type="pct"/>
          </w:tcPr>
          <w:p w14:paraId="0C8286F6"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20.50 </w:t>
            </w:r>
          </w:p>
        </w:tc>
      </w:tr>
      <w:tr w:rsidR="007D4F52" w:rsidRPr="007D4F52" w14:paraId="7170811C" w14:textId="77777777" w:rsidTr="004A2262">
        <w:trPr>
          <w:trHeight w:val="20"/>
        </w:trPr>
        <w:tc>
          <w:tcPr>
            <w:tcW w:w="2729" w:type="pct"/>
          </w:tcPr>
          <w:p w14:paraId="7F2EAAB3"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Php 30,001 to Php 40,000 </w:t>
            </w:r>
          </w:p>
        </w:tc>
        <w:tc>
          <w:tcPr>
            <w:tcW w:w="1382" w:type="pct"/>
          </w:tcPr>
          <w:p w14:paraId="3C5797DA" w14:textId="77777777" w:rsidR="00EC4D1A" w:rsidRPr="00EC4D1A" w:rsidRDefault="00EC4D1A" w:rsidP="00EC4D1A">
            <w:pPr>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17 </w:t>
            </w:r>
          </w:p>
        </w:tc>
        <w:tc>
          <w:tcPr>
            <w:tcW w:w="889" w:type="pct"/>
          </w:tcPr>
          <w:p w14:paraId="076965BC"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8.50 </w:t>
            </w:r>
          </w:p>
        </w:tc>
      </w:tr>
      <w:tr w:rsidR="007D4F52" w:rsidRPr="007D4F52" w14:paraId="1830C01F" w14:textId="77777777" w:rsidTr="004A2262">
        <w:trPr>
          <w:trHeight w:val="20"/>
        </w:trPr>
        <w:tc>
          <w:tcPr>
            <w:tcW w:w="2729" w:type="pct"/>
          </w:tcPr>
          <w:p w14:paraId="041608A2"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Php 40,001 and above </w:t>
            </w:r>
          </w:p>
        </w:tc>
        <w:tc>
          <w:tcPr>
            <w:tcW w:w="1382" w:type="pct"/>
          </w:tcPr>
          <w:p w14:paraId="5C55F342" w14:textId="77777777" w:rsidR="00EC4D1A" w:rsidRPr="00EC4D1A" w:rsidRDefault="00EC4D1A" w:rsidP="00EC4D1A">
            <w:pPr>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9 </w:t>
            </w:r>
          </w:p>
        </w:tc>
        <w:tc>
          <w:tcPr>
            <w:tcW w:w="889" w:type="pct"/>
          </w:tcPr>
          <w:p w14:paraId="686224F5" w14:textId="77777777" w:rsidR="00EC4D1A" w:rsidRPr="00EC4D1A" w:rsidRDefault="00EC4D1A" w:rsidP="00EC4D1A">
            <w:pPr>
              <w:ind w:left="5"/>
              <w:jc w:val="both"/>
              <w:rPr>
                <w:rFonts w:ascii="Arial" w:eastAsia="DengXian" w:hAnsi="Arial" w:cs="Arial"/>
                <w:color w:val="000000" w:themeColor="text1"/>
                <w:lang w:val="en-PH" w:eastAsia="en-PH"/>
              </w:rPr>
            </w:pPr>
            <w:r w:rsidRPr="00EC4D1A">
              <w:rPr>
                <w:rFonts w:ascii="Arial" w:eastAsia="DengXian" w:hAnsi="Arial" w:cs="Arial"/>
                <w:color w:val="000000" w:themeColor="text1"/>
                <w:lang w:val="en-PH" w:eastAsia="en-PH"/>
              </w:rPr>
              <w:t xml:space="preserve">4.50 </w:t>
            </w:r>
          </w:p>
        </w:tc>
      </w:tr>
      <w:tr w:rsidR="007D4F52" w:rsidRPr="007D4F52" w14:paraId="2610055C" w14:textId="77777777" w:rsidTr="004A2262">
        <w:trPr>
          <w:trHeight w:val="20"/>
        </w:trPr>
        <w:tc>
          <w:tcPr>
            <w:tcW w:w="2729" w:type="pct"/>
          </w:tcPr>
          <w:p w14:paraId="21471511" w14:textId="77777777" w:rsidR="00EC4D1A" w:rsidRPr="00EC4D1A" w:rsidRDefault="00EC4D1A" w:rsidP="00EC4D1A">
            <w:pPr>
              <w:jc w:val="both"/>
              <w:rPr>
                <w:rFonts w:ascii="Arial" w:eastAsia="DengXian" w:hAnsi="Arial" w:cs="Arial"/>
                <w:b/>
                <w:bCs/>
                <w:color w:val="000000" w:themeColor="text1"/>
                <w:lang w:val="en-PH" w:eastAsia="en-PH"/>
              </w:rPr>
            </w:pPr>
            <w:r w:rsidRPr="00EC4D1A">
              <w:rPr>
                <w:rFonts w:ascii="Arial" w:eastAsia="DengXian" w:hAnsi="Arial" w:cs="Arial"/>
                <w:b/>
                <w:bCs/>
                <w:color w:val="000000" w:themeColor="text1"/>
                <w:lang w:val="en-PH" w:eastAsia="en-PH"/>
              </w:rPr>
              <w:t xml:space="preserve">Total </w:t>
            </w:r>
          </w:p>
        </w:tc>
        <w:tc>
          <w:tcPr>
            <w:tcW w:w="1382" w:type="pct"/>
          </w:tcPr>
          <w:p w14:paraId="3F0002AB" w14:textId="77777777" w:rsidR="00EC4D1A" w:rsidRPr="00EC4D1A" w:rsidRDefault="00EC4D1A" w:rsidP="00EC4D1A">
            <w:pPr>
              <w:jc w:val="both"/>
              <w:rPr>
                <w:rFonts w:ascii="Arial" w:eastAsia="DengXian" w:hAnsi="Arial" w:cs="Arial"/>
                <w:b/>
                <w:bCs/>
                <w:color w:val="000000" w:themeColor="text1"/>
                <w:lang w:val="en-PH" w:eastAsia="en-PH"/>
              </w:rPr>
            </w:pPr>
            <w:r w:rsidRPr="00EC4D1A">
              <w:rPr>
                <w:rFonts w:ascii="Arial" w:eastAsia="DengXian" w:hAnsi="Arial" w:cs="Arial"/>
                <w:b/>
                <w:bCs/>
                <w:color w:val="000000" w:themeColor="text1"/>
                <w:lang w:val="en-PH" w:eastAsia="en-PH"/>
              </w:rPr>
              <w:t xml:space="preserve">200 </w:t>
            </w:r>
          </w:p>
        </w:tc>
        <w:tc>
          <w:tcPr>
            <w:tcW w:w="889" w:type="pct"/>
          </w:tcPr>
          <w:p w14:paraId="7E733D9F" w14:textId="77777777" w:rsidR="00EC4D1A" w:rsidRPr="00EC4D1A" w:rsidRDefault="00EC4D1A" w:rsidP="00EC4D1A">
            <w:pPr>
              <w:ind w:left="5"/>
              <w:jc w:val="both"/>
              <w:rPr>
                <w:rFonts w:ascii="Arial" w:eastAsia="DengXian" w:hAnsi="Arial" w:cs="Arial"/>
                <w:b/>
                <w:bCs/>
                <w:color w:val="000000" w:themeColor="text1"/>
                <w:lang w:val="en-PH" w:eastAsia="en-PH"/>
              </w:rPr>
            </w:pPr>
            <w:r w:rsidRPr="00EC4D1A">
              <w:rPr>
                <w:rFonts w:ascii="Arial" w:eastAsia="DengXian" w:hAnsi="Arial" w:cs="Arial"/>
                <w:b/>
                <w:bCs/>
                <w:color w:val="000000" w:themeColor="text1"/>
                <w:lang w:val="en-PH" w:eastAsia="en-PH"/>
              </w:rPr>
              <w:t xml:space="preserve">100.00 </w:t>
            </w:r>
          </w:p>
        </w:tc>
      </w:tr>
    </w:tbl>
    <w:p w14:paraId="6C30AE0B" w14:textId="77777777" w:rsidR="00E64291" w:rsidRPr="00B4517E" w:rsidRDefault="00E64291" w:rsidP="00E64291">
      <w:pPr>
        <w:pStyle w:val="Body"/>
        <w:rPr>
          <w:rFonts w:ascii="Arial" w:hAnsi="Arial" w:cs="Arial"/>
          <w:color w:val="000000" w:themeColor="text1"/>
        </w:rPr>
      </w:pPr>
    </w:p>
    <w:p w14:paraId="4EA9FF5F" w14:textId="2BEA8D29" w:rsidR="00E64291" w:rsidRPr="00B4517E" w:rsidRDefault="00B2088E" w:rsidP="00E64291">
      <w:pPr>
        <w:pStyle w:val="Body"/>
        <w:rPr>
          <w:rFonts w:ascii="Arial" w:hAnsi="Arial" w:cs="Arial"/>
          <w:color w:val="000000" w:themeColor="text1"/>
        </w:rPr>
      </w:pPr>
      <w:r w:rsidRPr="00B4517E">
        <w:rPr>
          <w:rFonts w:ascii="Arial" w:hAnsi="Arial" w:cs="Arial"/>
          <w:color w:val="000000" w:themeColor="text1"/>
        </w:rPr>
        <w:t xml:space="preserve">The high average in Table </w:t>
      </w:r>
      <w:r w:rsidR="00B4517E" w:rsidRPr="00B4517E">
        <w:rPr>
          <w:rFonts w:ascii="Arial" w:hAnsi="Arial" w:cs="Arial"/>
          <w:color w:val="000000" w:themeColor="text1"/>
        </w:rPr>
        <w:t>4</w:t>
      </w:r>
      <w:r w:rsidRPr="00B4517E">
        <w:rPr>
          <w:rFonts w:ascii="Arial" w:hAnsi="Arial" w:cs="Arial"/>
          <w:color w:val="000000" w:themeColor="text1"/>
        </w:rPr>
        <w:t xml:space="preserve"> shows that 78.5% of respondents visit the market weekly, highlighting a strong habitual behavior among consumers. This frequent visitation suggests a high level of trust and satisfaction with the market's offerings. According to </w:t>
      </w:r>
      <w:r w:rsidR="00603E09" w:rsidRPr="00603E09">
        <w:rPr>
          <w:rFonts w:ascii="Arial" w:hAnsi="Arial" w:cs="Arial"/>
          <w:color w:val="000000" w:themeColor="text1"/>
        </w:rPr>
        <w:t>Nadeem</w:t>
      </w:r>
      <w:r w:rsidRPr="00B4517E">
        <w:rPr>
          <w:rFonts w:ascii="Arial" w:hAnsi="Arial" w:cs="Arial"/>
          <w:color w:val="000000" w:themeColor="text1"/>
        </w:rPr>
        <w:t xml:space="preserve"> et al. (</w:t>
      </w:r>
      <w:r w:rsidR="00603E09">
        <w:rPr>
          <w:rFonts w:ascii="Arial" w:hAnsi="Arial" w:cs="Arial"/>
          <w:color w:val="000000" w:themeColor="text1"/>
        </w:rPr>
        <w:t>2025</w:t>
      </w:r>
      <w:r w:rsidRPr="00B4517E">
        <w:rPr>
          <w:rFonts w:ascii="Arial" w:hAnsi="Arial" w:cs="Arial"/>
          <w:color w:val="000000" w:themeColor="text1"/>
        </w:rPr>
        <w:t>), consistent customer visits often indicate perceived reliability and a solid customer–vendor relationship, reinforcing the importance of maintaining quality and service consistency.</w:t>
      </w:r>
    </w:p>
    <w:p w14:paraId="6AB6D1ED" w14:textId="57611106" w:rsidR="00E64291" w:rsidRPr="00B4517E" w:rsidRDefault="00B2088E" w:rsidP="00E64291">
      <w:pPr>
        <w:pStyle w:val="Body"/>
        <w:rPr>
          <w:rFonts w:ascii="Arial" w:hAnsi="Arial" w:cs="Arial"/>
          <w:color w:val="000000" w:themeColor="text1"/>
        </w:rPr>
      </w:pPr>
      <w:r w:rsidRPr="00B4517E">
        <w:rPr>
          <w:rFonts w:ascii="Arial" w:hAnsi="Arial" w:cs="Arial"/>
          <w:color w:val="000000" w:themeColor="text1"/>
        </w:rPr>
        <w:t xml:space="preserve">On the other hand, the low averages are the 8.5% who visit twice a week and the 13% who shop occasionally. These smaller groups suggest that a portion of the market still caters to less frequent shoppers. As noted by </w:t>
      </w:r>
      <w:r w:rsidR="00986F07" w:rsidRPr="00986F07">
        <w:rPr>
          <w:rFonts w:ascii="Arial" w:hAnsi="Arial" w:cs="Arial"/>
          <w:color w:val="000000" w:themeColor="text1"/>
        </w:rPr>
        <w:t>Najib</w:t>
      </w:r>
      <w:r w:rsidR="00986F07">
        <w:rPr>
          <w:rFonts w:ascii="Arial" w:hAnsi="Arial" w:cs="Arial"/>
          <w:color w:val="000000" w:themeColor="text1"/>
        </w:rPr>
        <w:t xml:space="preserve"> &amp; </w:t>
      </w:r>
      <w:proofErr w:type="spellStart"/>
      <w:r w:rsidR="00986F07" w:rsidRPr="00986F07">
        <w:rPr>
          <w:rFonts w:ascii="Arial" w:hAnsi="Arial" w:cs="Arial"/>
          <w:color w:val="000000" w:themeColor="text1"/>
        </w:rPr>
        <w:t>Sosianika</w:t>
      </w:r>
      <w:proofErr w:type="spellEnd"/>
      <w:r w:rsidRPr="00B4517E">
        <w:rPr>
          <w:rFonts w:ascii="Arial" w:hAnsi="Arial" w:cs="Arial"/>
          <w:color w:val="000000" w:themeColor="text1"/>
        </w:rPr>
        <w:t xml:space="preserve"> (</w:t>
      </w:r>
      <w:r w:rsidR="00986F07">
        <w:rPr>
          <w:rFonts w:ascii="Arial" w:hAnsi="Arial" w:cs="Arial"/>
          <w:color w:val="000000" w:themeColor="text1"/>
        </w:rPr>
        <w:t>2019</w:t>
      </w:r>
      <w:r w:rsidRPr="00B4517E">
        <w:rPr>
          <w:rFonts w:ascii="Arial" w:hAnsi="Arial" w:cs="Arial"/>
          <w:color w:val="000000" w:themeColor="text1"/>
        </w:rPr>
        <w:t>), recognizing and responding to varied shopping frequencies can help vendors tailor their strategies to encourage repeat visits through inventory consistency, promotions, or personalized service.</w:t>
      </w:r>
    </w:p>
    <w:p w14:paraId="02A058F4" w14:textId="0069E75A" w:rsidR="00E64291" w:rsidRPr="00B4517E" w:rsidRDefault="00E64291" w:rsidP="00E64291">
      <w:pPr>
        <w:pStyle w:val="Body"/>
        <w:rPr>
          <w:rFonts w:ascii="Arial" w:hAnsi="Arial"/>
          <w:b/>
          <w:color w:val="000000" w:themeColor="text1"/>
        </w:rPr>
      </w:pPr>
      <w:r w:rsidRPr="00B4517E">
        <w:rPr>
          <w:rFonts w:ascii="Arial" w:hAnsi="Arial"/>
          <w:b/>
          <w:color w:val="000000" w:themeColor="text1"/>
        </w:rPr>
        <w:t xml:space="preserve">Table </w:t>
      </w:r>
      <w:r w:rsidR="00B86115" w:rsidRPr="00B4517E">
        <w:rPr>
          <w:rFonts w:ascii="Arial" w:hAnsi="Arial"/>
          <w:b/>
          <w:color w:val="000000" w:themeColor="text1"/>
        </w:rPr>
        <w:t>4</w:t>
      </w:r>
      <w:r w:rsidRPr="00B4517E">
        <w:rPr>
          <w:rFonts w:ascii="Arial" w:hAnsi="Arial"/>
          <w:b/>
          <w:color w:val="000000" w:themeColor="text1"/>
        </w:rPr>
        <w:t>.</w:t>
      </w:r>
      <w:r w:rsidRPr="00B4517E">
        <w:rPr>
          <w:rFonts w:ascii="Arial" w:hAnsi="Arial"/>
          <w:b/>
          <w:color w:val="000000" w:themeColor="text1"/>
        </w:rPr>
        <w:tab/>
        <w:t xml:space="preserve">Profile of the respondents in terms of </w:t>
      </w:r>
      <w:r w:rsidR="0029563F" w:rsidRPr="00B4517E">
        <w:rPr>
          <w:rFonts w:ascii="Arial" w:hAnsi="Arial"/>
          <w:b/>
          <w:color w:val="000000" w:themeColor="text1"/>
        </w:rPr>
        <w:t>frequency of market visits</w:t>
      </w:r>
    </w:p>
    <w:tbl>
      <w:tblPr>
        <w:tblStyle w:val="APA"/>
        <w:tblW w:w="5000" w:type="pct"/>
        <w:tblLook w:val="04A0" w:firstRow="1" w:lastRow="0" w:firstColumn="1" w:lastColumn="0" w:noHBand="0" w:noVBand="1"/>
      </w:tblPr>
      <w:tblGrid>
        <w:gridCol w:w="3003"/>
        <w:gridCol w:w="2970"/>
        <w:gridCol w:w="2451"/>
      </w:tblGrid>
      <w:tr w:rsidR="00B4517E" w:rsidRPr="00B4517E" w14:paraId="2B96B6AB" w14:textId="77777777" w:rsidTr="00B86115">
        <w:trPr>
          <w:cnfStyle w:val="100000000000" w:firstRow="1" w:lastRow="0" w:firstColumn="0" w:lastColumn="0" w:oddVBand="0" w:evenVBand="0" w:oddHBand="0" w:evenHBand="0" w:firstRowFirstColumn="0" w:firstRowLastColumn="0" w:lastRowFirstColumn="0" w:lastRowLastColumn="0"/>
          <w:trHeight w:val="20"/>
        </w:trPr>
        <w:tc>
          <w:tcPr>
            <w:tcW w:w="1782" w:type="pct"/>
          </w:tcPr>
          <w:p w14:paraId="0278CBBC" w14:textId="77777777" w:rsidR="00B86115" w:rsidRPr="00B86115" w:rsidRDefault="00B86115" w:rsidP="00B86115">
            <w:pPr>
              <w:ind w:left="7"/>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Frequency of visits </w:t>
            </w:r>
          </w:p>
        </w:tc>
        <w:tc>
          <w:tcPr>
            <w:tcW w:w="1763" w:type="pct"/>
          </w:tcPr>
          <w:p w14:paraId="6F2CA357" w14:textId="77777777" w:rsidR="00B86115" w:rsidRPr="00B86115" w:rsidRDefault="00B86115" w:rsidP="00B86115">
            <w:pPr>
              <w:ind w:left="13"/>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Frequency </w:t>
            </w:r>
          </w:p>
        </w:tc>
        <w:tc>
          <w:tcPr>
            <w:tcW w:w="1455" w:type="pct"/>
          </w:tcPr>
          <w:p w14:paraId="1E833BB8" w14:textId="77777777" w:rsidR="00B86115" w:rsidRPr="00B86115" w:rsidRDefault="00B86115" w:rsidP="00B86115">
            <w:pPr>
              <w:ind w:left="8"/>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Percent </w:t>
            </w:r>
          </w:p>
        </w:tc>
      </w:tr>
      <w:tr w:rsidR="00B4517E" w:rsidRPr="00B4517E" w14:paraId="53E1796F" w14:textId="77777777" w:rsidTr="00B86115">
        <w:trPr>
          <w:trHeight w:val="20"/>
        </w:trPr>
        <w:tc>
          <w:tcPr>
            <w:tcW w:w="1782" w:type="pct"/>
          </w:tcPr>
          <w:p w14:paraId="4FEA9A22" w14:textId="77777777" w:rsidR="00B86115" w:rsidRPr="00B86115" w:rsidRDefault="00B86115" w:rsidP="00B86115">
            <w:pPr>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Twice a week </w:t>
            </w:r>
          </w:p>
        </w:tc>
        <w:tc>
          <w:tcPr>
            <w:tcW w:w="1763" w:type="pct"/>
          </w:tcPr>
          <w:p w14:paraId="7627E649" w14:textId="77777777" w:rsidR="00B86115" w:rsidRPr="00B86115" w:rsidRDefault="00B86115" w:rsidP="00B86115">
            <w:pPr>
              <w:ind w:left="12"/>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17 </w:t>
            </w:r>
          </w:p>
        </w:tc>
        <w:tc>
          <w:tcPr>
            <w:tcW w:w="1455" w:type="pct"/>
          </w:tcPr>
          <w:p w14:paraId="73BA79D9" w14:textId="77777777" w:rsidR="00B86115" w:rsidRPr="00B86115" w:rsidRDefault="00B86115" w:rsidP="00B86115">
            <w:pPr>
              <w:ind w:left="2"/>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8.50 </w:t>
            </w:r>
          </w:p>
        </w:tc>
      </w:tr>
      <w:tr w:rsidR="00B4517E" w:rsidRPr="00B4517E" w14:paraId="3F68245F" w14:textId="77777777" w:rsidTr="00B86115">
        <w:trPr>
          <w:trHeight w:val="20"/>
        </w:trPr>
        <w:tc>
          <w:tcPr>
            <w:tcW w:w="1782" w:type="pct"/>
          </w:tcPr>
          <w:p w14:paraId="0BFC7E0E" w14:textId="77777777" w:rsidR="00B86115" w:rsidRPr="00B86115" w:rsidRDefault="00B86115" w:rsidP="00B86115">
            <w:pPr>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Weekly </w:t>
            </w:r>
          </w:p>
        </w:tc>
        <w:tc>
          <w:tcPr>
            <w:tcW w:w="1763" w:type="pct"/>
          </w:tcPr>
          <w:p w14:paraId="707C93AF" w14:textId="77777777" w:rsidR="00B86115" w:rsidRPr="00B86115" w:rsidRDefault="00B86115" w:rsidP="00B86115">
            <w:pPr>
              <w:ind w:left="7"/>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157 </w:t>
            </w:r>
          </w:p>
        </w:tc>
        <w:tc>
          <w:tcPr>
            <w:tcW w:w="1455" w:type="pct"/>
          </w:tcPr>
          <w:p w14:paraId="763A8E0B" w14:textId="77777777" w:rsidR="00B86115" w:rsidRPr="00B86115" w:rsidRDefault="00B86115" w:rsidP="00B86115">
            <w:pPr>
              <w:ind w:left="2"/>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78.50 </w:t>
            </w:r>
          </w:p>
        </w:tc>
      </w:tr>
      <w:tr w:rsidR="00B4517E" w:rsidRPr="00B4517E" w14:paraId="0406C234" w14:textId="77777777" w:rsidTr="00B86115">
        <w:trPr>
          <w:trHeight w:val="20"/>
        </w:trPr>
        <w:tc>
          <w:tcPr>
            <w:tcW w:w="1782" w:type="pct"/>
          </w:tcPr>
          <w:p w14:paraId="19482B67" w14:textId="77777777" w:rsidR="00B86115" w:rsidRPr="00B86115" w:rsidRDefault="00B86115" w:rsidP="00B86115">
            <w:pPr>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Occasionally </w:t>
            </w:r>
          </w:p>
        </w:tc>
        <w:tc>
          <w:tcPr>
            <w:tcW w:w="1763" w:type="pct"/>
          </w:tcPr>
          <w:p w14:paraId="00B5CE90" w14:textId="77777777" w:rsidR="00B86115" w:rsidRPr="00B86115" w:rsidRDefault="00B86115" w:rsidP="00B86115">
            <w:pPr>
              <w:ind w:left="12"/>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26 </w:t>
            </w:r>
          </w:p>
        </w:tc>
        <w:tc>
          <w:tcPr>
            <w:tcW w:w="1455" w:type="pct"/>
          </w:tcPr>
          <w:p w14:paraId="59C20A02" w14:textId="77777777" w:rsidR="00B86115" w:rsidRPr="00B86115" w:rsidRDefault="00B86115" w:rsidP="00B86115">
            <w:pPr>
              <w:ind w:left="2"/>
              <w:jc w:val="both"/>
              <w:rPr>
                <w:rFonts w:ascii="Arial" w:eastAsia="DengXian" w:hAnsi="Arial" w:cs="Arial"/>
                <w:color w:val="000000" w:themeColor="text1"/>
                <w:lang w:val="en-PH" w:eastAsia="en-PH"/>
              </w:rPr>
            </w:pPr>
            <w:r w:rsidRPr="00B86115">
              <w:rPr>
                <w:rFonts w:ascii="Arial" w:eastAsia="DengXian" w:hAnsi="Arial" w:cs="Arial"/>
                <w:color w:val="000000" w:themeColor="text1"/>
                <w:lang w:val="en-PH" w:eastAsia="en-PH"/>
              </w:rPr>
              <w:t xml:space="preserve">13.00 </w:t>
            </w:r>
          </w:p>
        </w:tc>
      </w:tr>
      <w:tr w:rsidR="00B4517E" w:rsidRPr="00B4517E" w14:paraId="5C64D0BC" w14:textId="77777777" w:rsidTr="00B86115">
        <w:trPr>
          <w:trHeight w:val="20"/>
        </w:trPr>
        <w:tc>
          <w:tcPr>
            <w:tcW w:w="1782" w:type="pct"/>
          </w:tcPr>
          <w:p w14:paraId="1254EACF" w14:textId="77777777" w:rsidR="00B86115" w:rsidRPr="00B86115" w:rsidRDefault="00B86115" w:rsidP="00B86115">
            <w:pPr>
              <w:jc w:val="both"/>
              <w:rPr>
                <w:rFonts w:ascii="Arial" w:eastAsia="DengXian" w:hAnsi="Arial" w:cs="Arial"/>
                <w:b/>
                <w:bCs/>
                <w:color w:val="000000" w:themeColor="text1"/>
                <w:lang w:val="en-PH" w:eastAsia="en-PH"/>
              </w:rPr>
            </w:pPr>
            <w:r w:rsidRPr="00B86115">
              <w:rPr>
                <w:rFonts w:ascii="Arial" w:eastAsia="DengXian" w:hAnsi="Arial" w:cs="Arial"/>
                <w:b/>
                <w:bCs/>
                <w:color w:val="000000" w:themeColor="text1"/>
                <w:lang w:val="en-PH" w:eastAsia="en-PH"/>
              </w:rPr>
              <w:t xml:space="preserve">Total </w:t>
            </w:r>
          </w:p>
        </w:tc>
        <w:tc>
          <w:tcPr>
            <w:tcW w:w="1763" w:type="pct"/>
          </w:tcPr>
          <w:p w14:paraId="5EC0B73A" w14:textId="77777777" w:rsidR="00B86115" w:rsidRPr="00B86115" w:rsidRDefault="00B86115" w:rsidP="00B86115">
            <w:pPr>
              <w:ind w:left="7"/>
              <w:jc w:val="both"/>
              <w:rPr>
                <w:rFonts w:ascii="Arial" w:eastAsia="DengXian" w:hAnsi="Arial" w:cs="Arial"/>
                <w:b/>
                <w:bCs/>
                <w:color w:val="000000" w:themeColor="text1"/>
                <w:lang w:val="en-PH" w:eastAsia="en-PH"/>
              </w:rPr>
            </w:pPr>
            <w:r w:rsidRPr="00B86115">
              <w:rPr>
                <w:rFonts w:ascii="Arial" w:eastAsia="DengXian" w:hAnsi="Arial" w:cs="Arial"/>
                <w:b/>
                <w:bCs/>
                <w:color w:val="000000" w:themeColor="text1"/>
                <w:lang w:val="en-PH" w:eastAsia="en-PH"/>
              </w:rPr>
              <w:t xml:space="preserve">200 </w:t>
            </w:r>
          </w:p>
        </w:tc>
        <w:tc>
          <w:tcPr>
            <w:tcW w:w="1455" w:type="pct"/>
          </w:tcPr>
          <w:p w14:paraId="22421678" w14:textId="77777777" w:rsidR="00B86115" w:rsidRPr="00B86115" w:rsidRDefault="00B86115" w:rsidP="00B86115">
            <w:pPr>
              <w:ind w:left="7"/>
              <w:jc w:val="both"/>
              <w:rPr>
                <w:rFonts w:ascii="Arial" w:eastAsia="DengXian" w:hAnsi="Arial" w:cs="Arial"/>
                <w:b/>
                <w:bCs/>
                <w:color w:val="000000" w:themeColor="text1"/>
                <w:lang w:val="en-PH" w:eastAsia="en-PH"/>
              </w:rPr>
            </w:pPr>
            <w:r w:rsidRPr="00B86115">
              <w:rPr>
                <w:rFonts w:ascii="Arial" w:eastAsia="DengXian" w:hAnsi="Arial" w:cs="Arial"/>
                <w:b/>
                <w:bCs/>
                <w:color w:val="000000" w:themeColor="text1"/>
                <w:lang w:val="en-PH" w:eastAsia="en-PH"/>
              </w:rPr>
              <w:t xml:space="preserve">100.00 </w:t>
            </w:r>
          </w:p>
        </w:tc>
      </w:tr>
    </w:tbl>
    <w:p w14:paraId="23583BD0" w14:textId="77777777" w:rsidR="000E26ED" w:rsidRPr="00B4517E" w:rsidRDefault="000E26ED" w:rsidP="000E26ED">
      <w:pPr>
        <w:pStyle w:val="Body"/>
        <w:rPr>
          <w:rFonts w:ascii="Arial" w:hAnsi="Arial" w:cs="Arial"/>
          <w:color w:val="000000" w:themeColor="text1"/>
        </w:rPr>
      </w:pPr>
    </w:p>
    <w:p w14:paraId="5F3CB8D0" w14:textId="7C57A3F5" w:rsidR="00851412" w:rsidRPr="008A4AE2" w:rsidRDefault="00E253E0" w:rsidP="00851412">
      <w:pPr>
        <w:pStyle w:val="Body"/>
        <w:spacing w:after="0"/>
        <w:rPr>
          <w:rFonts w:ascii="Arial" w:hAnsi="Arial" w:cs="Arial"/>
          <w:b/>
          <w:color w:val="000000" w:themeColor="text1"/>
          <w:sz w:val="22"/>
        </w:rPr>
      </w:pPr>
      <w:r w:rsidRPr="008A4AE2">
        <w:rPr>
          <w:rFonts w:ascii="Arial" w:hAnsi="Arial" w:cs="Arial"/>
          <w:b/>
          <w:color w:val="000000" w:themeColor="text1"/>
          <w:sz w:val="22"/>
        </w:rPr>
        <w:t>3</w:t>
      </w:r>
      <w:r w:rsidR="00851412" w:rsidRPr="008A4AE2">
        <w:rPr>
          <w:rFonts w:ascii="Arial" w:hAnsi="Arial" w:cs="Arial"/>
          <w:b/>
          <w:color w:val="000000" w:themeColor="text1"/>
          <w:sz w:val="22"/>
        </w:rPr>
        <w:t xml:space="preserve">.2 </w:t>
      </w:r>
      <w:r w:rsidR="008A4AE2" w:rsidRPr="008A4AE2">
        <w:rPr>
          <w:rFonts w:ascii="Arial" w:hAnsi="Arial" w:cs="Arial"/>
          <w:b/>
          <w:color w:val="000000" w:themeColor="text1"/>
          <w:sz w:val="22"/>
        </w:rPr>
        <w:t>Level of Customer Satisfaction</w:t>
      </w:r>
    </w:p>
    <w:p w14:paraId="359D267B" w14:textId="77777777" w:rsidR="004208F9" w:rsidRPr="003026A2" w:rsidRDefault="004208F9" w:rsidP="00851412">
      <w:pPr>
        <w:pStyle w:val="Body"/>
        <w:spacing w:after="0"/>
        <w:rPr>
          <w:rFonts w:ascii="Arial" w:hAnsi="Arial" w:cs="Arial"/>
          <w:b/>
          <w:color w:val="FF0000"/>
          <w:sz w:val="22"/>
        </w:rPr>
      </w:pPr>
    </w:p>
    <w:p w14:paraId="5DDDE7AE" w14:textId="46C5932A" w:rsidR="00AB00E6" w:rsidRPr="00692CFE" w:rsidRDefault="000B53D0" w:rsidP="00AB00E6">
      <w:pPr>
        <w:pStyle w:val="Body"/>
        <w:rPr>
          <w:rFonts w:ascii="Arial" w:hAnsi="Arial" w:cs="Arial"/>
          <w:color w:val="000000" w:themeColor="text1"/>
        </w:rPr>
      </w:pPr>
      <w:r w:rsidRPr="00692CFE">
        <w:rPr>
          <w:rFonts w:ascii="Arial" w:hAnsi="Arial" w:cs="Arial"/>
          <w:color w:val="000000" w:themeColor="text1"/>
        </w:rPr>
        <w:t xml:space="preserve">The overall mean of 4.59 in Table </w:t>
      </w:r>
      <w:r w:rsidR="00692CFE" w:rsidRPr="00692CFE">
        <w:rPr>
          <w:rFonts w:ascii="Arial" w:hAnsi="Arial" w:cs="Arial"/>
          <w:color w:val="000000" w:themeColor="text1"/>
        </w:rPr>
        <w:t>5</w:t>
      </w:r>
      <w:r w:rsidRPr="00692CFE">
        <w:rPr>
          <w:rFonts w:ascii="Arial" w:hAnsi="Arial" w:cs="Arial"/>
          <w:color w:val="000000" w:themeColor="text1"/>
        </w:rPr>
        <w:t xml:space="preserve"> reflects a very high level of customer satisfaction with the product, indicating that customers are strongly satisfied with the offerings of </w:t>
      </w:r>
      <w:proofErr w:type="spellStart"/>
      <w:r w:rsidRPr="00692CFE">
        <w:rPr>
          <w:rFonts w:ascii="Arial" w:hAnsi="Arial" w:cs="Arial"/>
          <w:color w:val="000000" w:themeColor="text1"/>
        </w:rPr>
        <w:t>tabo</w:t>
      </w:r>
      <w:proofErr w:type="spellEnd"/>
      <w:r w:rsidRPr="00692CFE">
        <w:rPr>
          <w:rFonts w:ascii="Arial" w:hAnsi="Arial" w:cs="Arial"/>
          <w:color w:val="000000" w:themeColor="text1"/>
        </w:rPr>
        <w:t xml:space="preserve"> vendors in public markets.</w:t>
      </w:r>
    </w:p>
    <w:p w14:paraId="423E5DDF" w14:textId="4C605AC1" w:rsidR="00D7585A" w:rsidRPr="00543EA7" w:rsidRDefault="000B53D0" w:rsidP="00AB00E6">
      <w:pPr>
        <w:pStyle w:val="Body"/>
        <w:spacing w:after="0"/>
        <w:rPr>
          <w:rFonts w:ascii="Arial" w:hAnsi="Arial" w:cs="Arial"/>
          <w:color w:val="000000" w:themeColor="text1"/>
        </w:rPr>
      </w:pPr>
      <w:r w:rsidRPr="00692CFE">
        <w:rPr>
          <w:rFonts w:ascii="Arial" w:hAnsi="Arial" w:cs="Arial"/>
          <w:color w:val="000000" w:themeColor="text1"/>
        </w:rPr>
        <w:lastRenderedPageBreak/>
        <w:t>This high rating suggests that the vendors consistently meet or exceed customer expectations in terms of product quality, variety, freshness, and trustworthiness. According to Kotler and Keller (</w:t>
      </w:r>
      <w:r w:rsidR="001F5DE3">
        <w:rPr>
          <w:rFonts w:ascii="Arial" w:hAnsi="Arial" w:cs="Arial"/>
          <w:color w:val="000000" w:themeColor="text1"/>
        </w:rPr>
        <w:t>2015</w:t>
      </w:r>
      <w:r w:rsidRPr="00692CFE">
        <w:rPr>
          <w:rFonts w:ascii="Arial" w:hAnsi="Arial" w:cs="Arial"/>
          <w:color w:val="000000" w:themeColor="text1"/>
        </w:rPr>
        <w:t xml:space="preserve">), product quality is a fundamental driver of customer satisfaction and plays a crucial role in fostering customer loyalty. When customers perceive that they are receiving high-quality products, their likelihood of repeat purchases increases. Similarly, </w:t>
      </w:r>
      <w:proofErr w:type="spellStart"/>
      <w:r w:rsidR="00D72707">
        <w:rPr>
          <w:rFonts w:ascii="Arial" w:hAnsi="Arial" w:cs="Arial"/>
          <w:color w:val="000000" w:themeColor="text1"/>
        </w:rPr>
        <w:t>Utale</w:t>
      </w:r>
      <w:proofErr w:type="spellEnd"/>
      <w:r w:rsidR="00D72707">
        <w:rPr>
          <w:rFonts w:ascii="Arial" w:hAnsi="Arial" w:cs="Arial"/>
          <w:color w:val="000000" w:themeColor="text1"/>
        </w:rPr>
        <w:t xml:space="preserve"> et al.</w:t>
      </w:r>
      <w:r w:rsidRPr="00692CFE">
        <w:rPr>
          <w:rFonts w:ascii="Arial" w:hAnsi="Arial" w:cs="Arial"/>
          <w:color w:val="000000" w:themeColor="text1"/>
        </w:rPr>
        <w:t xml:space="preserve"> (</w:t>
      </w:r>
      <w:r w:rsidR="00D72707">
        <w:rPr>
          <w:rFonts w:ascii="Arial" w:hAnsi="Arial" w:cs="Arial"/>
          <w:color w:val="000000" w:themeColor="text1"/>
        </w:rPr>
        <w:t>2022</w:t>
      </w:r>
      <w:r w:rsidRPr="00692CFE">
        <w:rPr>
          <w:rFonts w:ascii="Arial" w:hAnsi="Arial" w:cs="Arial"/>
          <w:color w:val="000000" w:themeColor="text1"/>
        </w:rPr>
        <w:t xml:space="preserve">) emphasizes that </w:t>
      </w:r>
      <w:r w:rsidRPr="00543EA7">
        <w:rPr>
          <w:rFonts w:ascii="Arial" w:hAnsi="Arial" w:cs="Arial"/>
          <w:color w:val="000000" w:themeColor="text1"/>
        </w:rPr>
        <w:t xml:space="preserve">high product satisfaction not only enhances customer experience but also strengthens the intention to return, which is essential in maintaining long-term relationships with market patrons. The very high average supported by a low standard deviation further indicates consistent satisfaction across the sample, reinforcing the reliability and acceptability of </w:t>
      </w:r>
      <w:proofErr w:type="spellStart"/>
      <w:r w:rsidRPr="00543EA7">
        <w:rPr>
          <w:rFonts w:ascii="Arial" w:hAnsi="Arial" w:cs="Arial"/>
          <w:color w:val="000000" w:themeColor="text1"/>
        </w:rPr>
        <w:t>tabo</w:t>
      </w:r>
      <w:proofErr w:type="spellEnd"/>
      <w:r w:rsidRPr="00543EA7">
        <w:rPr>
          <w:rFonts w:ascii="Arial" w:hAnsi="Arial" w:cs="Arial"/>
          <w:color w:val="000000" w:themeColor="text1"/>
        </w:rPr>
        <w:t xml:space="preserve"> vendors' product offerings.</w:t>
      </w:r>
    </w:p>
    <w:p w14:paraId="1623412B" w14:textId="77777777" w:rsidR="00AB00E6" w:rsidRPr="00543EA7" w:rsidRDefault="00AB00E6" w:rsidP="00AB00E6">
      <w:pPr>
        <w:pStyle w:val="Body"/>
        <w:spacing w:after="0"/>
        <w:rPr>
          <w:rFonts w:ascii="Arial" w:hAnsi="Arial" w:cs="Arial"/>
          <w:color w:val="000000" w:themeColor="text1"/>
        </w:rPr>
      </w:pPr>
    </w:p>
    <w:p w14:paraId="7513DD33" w14:textId="512A4AEB" w:rsidR="00AB00E6" w:rsidRPr="00543EA7" w:rsidRDefault="00AB00E6" w:rsidP="00AB00E6">
      <w:pPr>
        <w:tabs>
          <w:tab w:val="left" w:pos="1080"/>
        </w:tabs>
        <w:jc w:val="both"/>
        <w:rPr>
          <w:rFonts w:ascii="Arial" w:hAnsi="Arial"/>
          <w:b/>
          <w:color w:val="000000" w:themeColor="text1"/>
        </w:rPr>
      </w:pPr>
      <w:r w:rsidRPr="00543EA7">
        <w:rPr>
          <w:rFonts w:ascii="Arial" w:hAnsi="Arial"/>
          <w:b/>
          <w:color w:val="000000" w:themeColor="text1"/>
        </w:rPr>
        <w:t xml:space="preserve">Table </w:t>
      </w:r>
      <w:r w:rsidR="00171658" w:rsidRPr="00543EA7">
        <w:rPr>
          <w:rFonts w:ascii="Arial" w:hAnsi="Arial"/>
          <w:b/>
          <w:color w:val="000000" w:themeColor="text1"/>
        </w:rPr>
        <w:t>5</w:t>
      </w:r>
      <w:r w:rsidRPr="00543EA7">
        <w:rPr>
          <w:rFonts w:ascii="Arial" w:hAnsi="Arial"/>
          <w:b/>
          <w:color w:val="000000" w:themeColor="text1"/>
        </w:rPr>
        <w:t>.</w:t>
      </w:r>
      <w:r w:rsidRPr="00543EA7">
        <w:rPr>
          <w:rFonts w:ascii="Arial" w:hAnsi="Arial"/>
          <w:b/>
          <w:color w:val="000000" w:themeColor="text1"/>
        </w:rPr>
        <w:tab/>
      </w:r>
      <w:r w:rsidR="000C48C9" w:rsidRPr="00543EA7">
        <w:rPr>
          <w:rFonts w:ascii="Arial" w:hAnsi="Arial"/>
          <w:b/>
          <w:color w:val="000000" w:themeColor="text1"/>
        </w:rPr>
        <w:t>Level of customer satisfaction in terms of the product</w:t>
      </w:r>
    </w:p>
    <w:tbl>
      <w:tblPr>
        <w:tblStyle w:val="APA"/>
        <w:tblW w:w="5000" w:type="pct"/>
        <w:tblLook w:val="04A0" w:firstRow="1" w:lastRow="0" w:firstColumn="1" w:lastColumn="0" w:noHBand="0" w:noVBand="1"/>
      </w:tblPr>
      <w:tblGrid>
        <w:gridCol w:w="635"/>
        <w:gridCol w:w="3558"/>
        <w:gridCol w:w="1004"/>
        <w:gridCol w:w="1569"/>
        <w:gridCol w:w="1658"/>
      </w:tblGrid>
      <w:tr w:rsidR="00543EA7" w:rsidRPr="00543EA7" w14:paraId="47364528" w14:textId="77777777" w:rsidTr="00B956AF">
        <w:trPr>
          <w:cnfStyle w:val="100000000000" w:firstRow="1" w:lastRow="0" w:firstColumn="0" w:lastColumn="0" w:oddVBand="0" w:evenVBand="0" w:oddHBand="0" w:evenHBand="0" w:firstRowFirstColumn="0" w:firstRowLastColumn="0" w:lastRowFirstColumn="0" w:lastRowLastColumn="0"/>
          <w:trHeight w:val="20"/>
        </w:trPr>
        <w:tc>
          <w:tcPr>
            <w:tcW w:w="377" w:type="pct"/>
            <w:vAlign w:val="center"/>
          </w:tcPr>
          <w:p w14:paraId="3031248A" w14:textId="06BEE329" w:rsidR="00B956AF" w:rsidRPr="00B956AF" w:rsidRDefault="00B956AF" w:rsidP="00B956AF">
            <w:pPr>
              <w:ind w:left="19"/>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No.</w:t>
            </w:r>
          </w:p>
        </w:tc>
        <w:tc>
          <w:tcPr>
            <w:tcW w:w="2112" w:type="pct"/>
            <w:vAlign w:val="center"/>
          </w:tcPr>
          <w:p w14:paraId="6853906E" w14:textId="3A8379E2" w:rsidR="00B956AF" w:rsidRPr="00B956AF" w:rsidRDefault="00B956AF" w:rsidP="00B956AF">
            <w:pPr>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Statement</w:t>
            </w:r>
          </w:p>
        </w:tc>
        <w:tc>
          <w:tcPr>
            <w:tcW w:w="596" w:type="pct"/>
            <w:vAlign w:val="center"/>
          </w:tcPr>
          <w:p w14:paraId="68D8C50B" w14:textId="60E79EC7" w:rsidR="00B956AF" w:rsidRPr="00B956AF" w:rsidRDefault="00B956AF" w:rsidP="00B956AF">
            <w:pPr>
              <w:ind w:left="134"/>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Mean</w:t>
            </w:r>
          </w:p>
        </w:tc>
        <w:tc>
          <w:tcPr>
            <w:tcW w:w="931" w:type="pct"/>
            <w:vAlign w:val="center"/>
          </w:tcPr>
          <w:p w14:paraId="5F0C2537" w14:textId="30C323AB" w:rsidR="00B956AF" w:rsidRPr="00B956AF" w:rsidRDefault="00B956AF" w:rsidP="00B956AF">
            <w:pPr>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Std. Deviation</w:t>
            </w:r>
          </w:p>
        </w:tc>
        <w:tc>
          <w:tcPr>
            <w:tcW w:w="984" w:type="pct"/>
            <w:vAlign w:val="center"/>
          </w:tcPr>
          <w:p w14:paraId="6FFC903C" w14:textId="493C15C3" w:rsidR="00B956AF" w:rsidRPr="00B956AF" w:rsidRDefault="00B956AF" w:rsidP="00B956AF">
            <w:pPr>
              <w:ind w:right="51"/>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Interpretation</w:t>
            </w:r>
          </w:p>
        </w:tc>
      </w:tr>
      <w:tr w:rsidR="00543EA7" w:rsidRPr="00543EA7" w14:paraId="525656ED" w14:textId="77777777" w:rsidTr="00B956AF">
        <w:trPr>
          <w:trHeight w:val="20"/>
        </w:trPr>
        <w:tc>
          <w:tcPr>
            <w:tcW w:w="377" w:type="pct"/>
          </w:tcPr>
          <w:p w14:paraId="0807F703" w14:textId="77777777" w:rsidR="00B956AF" w:rsidRPr="00B956AF" w:rsidRDefault="00B956AF" w:rsidP="00B956AF">
            <w:pPr>
              <w:ind w:left="101" w:right="150"/>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1  </w:t>
            </w:r>
          </w:p>
        </w:tc>
        <w:tc>
          <w:tcPr>
            <w:tcW w:w="2112" w:type="pct"/>
          </w:tcPr>
          <w:p w14:paraId="349BDBA6" w14:textId="77777777" w:rsidR="00B956AF" w:rsidRPr="00B956AF" w:rsidRDefault="00B956AF" w:rsidP="00B956AF">
            <w:pPr>
              <w:ind w:left="5"/>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The agricultural products from </w:t>
            </w:r>
            <w:proofErr w:type="spellStart"/>
            <w:r w:rsidRPr="00B956AF">
              <w:rPr>
                <w:rFonts w:ascii="Arial" w:eastAsia="DengXian" w:hAnsi="Arial" w:cs="Arial"/>
                <w:color w:val="000000" w:themeColor="text1"/>
                <w:lang w:val="en-PH" w:eastAsia="en-PH"/>
              </w:rPr>
              <w:t>tabo</w:t>
            </w:r>
            <w:proofErr w:type="spellEnd"/>
            <w:r w:rsidRPr="00B956AF">
              <w:rPr>
                <w:rFonts w:ascii="Arial" w:eastAsia="DengXian" w:hAnsi="Arial" w:cs="Arial"/>
                <w:color w:val="000000" w:themeColor="text1"/>
                <w:lang w:val="en-PH" w:eastAsia="en-PH"/>
              </w:rPr>
              <w:t xml:space="preserve"> vendors are of good quality. </w:t>
            </w:r>
          </w:p>
        </w:tc>
        <w:tc>
          <w:tcPr>
            <w:tcW w:w="596" w:type="pct"/>
          </w:tcPr>
          <w:p w14:paraId="5A463390" w14:textId="77777777" w:rsidR="00B956AF" w:rsidRPr="00B956AF" w:rsidRDefault="00B956AF" w:rsidP="00B956AF">
            <w:pPr>
              <w:ind w:left="413" w:right="192" w:hanging="216"/>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4.60</w:t>
            </w:r>
          </w:p>
        </w:tc>
        <w:tc>
          <w:tcPr>
            <w:tcW w:w="931" w:type="pct"/>
          </w:tcPr>
          <w:p w14:paraId="5235075C" w14:textId="77777777" w:rsidR="00B956AF" w:rsidRPr="00B956AF" w:rsidRDefault="00B956AF" w:rsidP="00B956AF">
            <w:pPr>
              <w:ind w:right="50"/>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0.67</w:t>
            </w:r>
          </w:p>
        </w:tc>
        <w:tc>
          <w:tcPr>
            <w:tcW w:w="984" w:type="pct"/>
          </w:tcPr>
          <w:p w14:paraId="57682B6A" w14:textId="77777777" w:rsidR="00B956AF" w:rsidRPr="00B956AF" w:rsidRDefault="00B956AF" w:rsidP="00B956AF">
            <w:pPr>
              <w:ind w:right="43"/>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Very High</w:t>
            </w:r>
          </w:p>
        </w:tc>
      </w:tr>
      <w:tr w:rsidR="00543EA7" w:rsidRPr="00543EA7" w14:paraId="63EEFAD3" w14:textId="77777777" w:rsidTr="00B956AF">
        <w:trPr>
          <w:trHeight w:val="20"/>
        </w:trPr>
        <w:tc>
          <w:tcPr>
            <w:tcW w:w="377" w:type="pct"/>
          </w:tcPr>
          <w:p w14:paraId="55519EA2" w14:textId="77777777" w:rsidR="00B956AF" w:rsidRPr="00B956AF" w:rsidRDefault="00B956AF" w:rsidP="00B956AF">
            <w:pPr>
              <w:ind w:right="49"/>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2 </w:t>
            </w:r>
          </w:p>
        </w:tc>
        <w:tc>
          <w:tcPr>
            <w:tcW w:w="2112" w:type="pct"/>
          </w:tcPr>
          <w:p w14:paraId="373F9334" w14:textId="77777777" w:rsidR="00B956AF" w:rsidRPr="00B956AF" w:rsidRDefault="00B956AF" w:rsidP="00B956AF">
            <w:pPr>
              <w:ind w:left="5"/>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The agricultural products from </w:t>
            </w:r>
            <w:proofErr w:type="spellStart"/>
            <w:r w:rsidRPr="00B956AF">
              <w:rPr>
                <w:rFonts w:ascii="Arial" w:eastAsia="DengXian" w:hAnsi="Arial" w:cs="Arial"/>
                <w:color w:val="000000" w:themeColor="text1"/>
                <w:lang w:val="en-PH" w:eastAsia="en-PH"/>
              </w:rPr>
              <w:t>tabo</w:t>
            </w:r>
            <w:proofErr w:type="spellEnd"/>
            <w:r w:rsidRPr="00B956AF">
              <w:rPr>
                <w:rFonts w:ascii="Arial" w:eastAsia="DengXian" w:hAnsi="Arial" w:cs="Arial"/>
                <w:color w:val="000000" w:themeColor="text1"/>
                <w:lang w:val="en-PH" w:eastAsia="en-PH"/>
              </w:rPr>
              <w:t xml:space="preserve"> vendors offer unique items that are only available at the market. </w:t>
            </w:r>
          </w:p>
        </w:tc>
        <w:tc>
          <w:tcPr>
            <w:tcW w:w="596" w:type="pct"/>
          </w:tcPr>
          <w:p w14:paraId="1CFF1061" w14:textId="77777777" w:rsidR="00B956AF" w:rsidRPr="00B956AF" w:rsidRDefault="00B956AF" w:rsidP="00B956AF">
            <w:pPr>
              <w:ind w:right="55"/>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4.55</w:t>
            </w:r>
          </w:p>
        </w:tc>
        <w:tc>
          <w:tcPr>
            <w:tcW w:w="931" w:type="pct"/>
          </w:tcPr>
          <w:p w14:paraId="00240E97" w14:textId="77777777" w:rsidR="00B956AF" w:rsidRPr="00B956AF" w:rsidRDefault="00B956AF" w:rsidP="00B956AF">
            <w:pPr>
              <w:ind w:right="50"/>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0.74</w:t>
            </w:r>
          </w:p>
        </w:tc>
        <w:tc>
          <w:tcPr>
            <w:tcW w:w="984" w:type="pct"/>
          </w:tcPr>
          <w:p w14:paraId="025076EC" w14:textId="77777777" w:rsidR="00B956AF" w:rsidRPr="00B956AF" w:rsidRDefault="00B956AF" w:rsidP="00B956AF">
            <w:pPr>
              <w:ind w:right="43"/>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Very High</w:t>
            </w:r>
          </w:p>
        </w:tc>
      </w:tr>
      <w:tr w:rsidR="00543EA7" w:rsidRPr="00543EA7" w14:paraId="7521374C" w14:textId="77777777" w:rsidTr="00B956AF">
        <w:trPr>
          <w:trHeight w:val="20"/>
        </w:trPr>
        <w:tc>
          <w:tcPr>
            <w:tcW w:w="377" w:type="pct"/>
          </w:tcPr>
          <w:p w14:paraId="6219569E" w14:textId="77777777" w:rsidR="00B956AF" w:rsidRPr="00B956AF" w:rsidRDefault="00B956AF" w:rsidP="00B956AF">
            <w:pPr>
              <w:ind w:right="49"/>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3 </w:t>
            </w:r>
          </w:p>
        </w:tc>
        <w:tc>
          <w:tcPr>
            <w:tcW w:w="2112" w:type="pct"/>
          </w:tcPr>
          <w:p w14:paraId="011CCD7C" w14:textId="77777777" w:rsidR="00B956AF" w:rsidRPr="00B956AF" w:rsidRDefault="00B956AF" w:rsidP="00B956AF">
            <w:pPr>
              <w:ind w:left="5"/>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The agricultural products from </w:t>
            </w:r>
            <w:proofErr w:type="spellStart"/>
            <w:r w:rsidRPr="00B956AF">
              <w:rPr>
                <w:rFonts w:ascii="Arial" w:eastAsia="DengXian" w:hAnsi="Arial" w:cs="Arial"/>
                <w:color w:val="000000" w:themeColor="text1"/>
                <w:lang w:val="en-PH" w:eastAsia="en-PH"/>
              </w:rPr>
              <w:t>tabo</w:t>
            </w:r>
            <w:proofErr w:type="spellEnd"/>
            <w:r w:rsidRPr="00B956AF">
              <w:rPr>
                <w:rFonts w:ascii="Arial" w:eastAsia="DengXian" w:hAnsi="Arial" w:cs="Arial"/>
                <w:color w:val="000000" w:themeColor="text1"/>
                <w:lang w:val="en-PH" w:eastAsia="en-PH"/>
              </w:rPr>
              <w:t xml:space="preserve"> vendors offer a wide variety of goods </w:t>
            </w:r>
          </w:p>
        </w:tc>
        <w:tc>
          <w:tcPr>
            <w:tcW w:w="596" w:type="pct"/>
          </w:tcPr>
          <w:p w14:paraId="4903B89B" w14:textId="77777777" w:rsidR="00B956AF" w:rsidRPr="00B956AF" w:rsidRDefault="00B956AF" w:rsidP="00B956AF">
            <w:pPr>
              <w:ind w:right="55"/>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4.62</w:t>
            </w:r>
          </w:p>
        </w:tc>
        <w:tc>
          <w:tcPr>
            <w:tcW w:w="931" w:type="pct"/>
          </w:tcPr>
          <w:p w14:paraId="2ECDF2BE" w14:textId="77777777" w:rsidR="00B956AF" w:rsidRPr="00B956AF" w:rsidRDefault="00B956AF" w:rsidP="00B956AF">
            <w:pPr>
              <w:ind w:right="50"/>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0.68</w:t>
            </w:r>
          </w:p>
        </w:tc>
        <w:tc>
          <w:tcPr>
            <w:tcW w:w="984" w:type="pct"/>
          </w:tcPr>
          <w:p w14:paraId="2DE63F90" w14:textId="77777777" w:rsidR="00B956AF" w:rsidRPr="00B956AF" w:rsidRDefault="00B956AF" w:rsidP="00B956AF">
            <w:pPr>
              <w:ind w:right="43"/>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Very High</w:t>
            </w:r>
          </w:p>
        </w:tc>
      </w:tr>
      <w:tr w:rsidR="00543EA7" w:rsidRPr="00543EA7" w14:paraId="12F36702" w14:textId="77777777" w:rsidTr="00B956AF">
        <w:trPr>
          <w:trHeight w:val="20"/>
        </w:trPr>
        <w:tc>
          <w:tcPr>
            <w:tcW w:w="377" w:type="pct"/>
          </w:tcPr>
          <w:p w14:paraId="16536376" w14:textId="77777777" w:rsidR="00B956AF" w:rsidRPr="00B956AF" w:rsidRDefault="00B956AF" w:rsidP="00B956AF">
            <w:pPr>
              <w:ind w:right="49"/>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4 </w:t>
            </w:r>
          </w:p>
        </w:tc>
        <w:tc>
          <w:tcPr>
            <w:tcW w:w="2112" w:type="pct"/>
          </w:tcPr>
          <w:p w14:paraId="181B5B4B" w14:textId="77777777" w:rsidR="00B956AF" w:rsidRPr="00B956AF" w:rsidRDefault="00B956AF" w:rsidP="00B956AF">
            <w:pPr>
              <w:ind w:left="5"/>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The vendors ensure the agricultural products are fresh and well-maintained. </w:t>
            </w:r>
          </w:p>
        </w:tc>
        <w:tc>
          <w:tcPr>
            <w:tcW w:w="596" w:type="pct"/>
          </w:tcPr>
          <w:p w14:paraId="6C8A1347" w14:textId="77777777" w:rsidR="00B956AF" w:rsidRPr="00B956AF" w:rsidRDefault="00B956AF" w:rsidP="00B956AF">
            <w:pPr>
              <w:ind w:right="55"/>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4.59</w:t>
            </w:r>
          </w:p>
        </w:tc>
        <w:tc>
          <w:tcPr>
            <w:tcW w:w="931" w:type="pct"/>
          </w:tcPr>
          <w:p w14:paraId="08126C21" w14:textId="77777777" w:rsidR="00B956AF" w:rsidRPr="00B956AF" w:rsidRDefault="00B956AF" w:rsidP="00B956AF">
            <w:pPr>
              <w:ind w:right="50"/>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0.71</w:t>
            </w:r>
          </w:p>
        </w:tc>
        <w:tc>
          <w:tcPr>
            <w:tcW w:w="984" w:type="pct"/>
          </w:tcPr>
          <w:p w14:paraId="45CADFAA" w14:textId="77777777" w:rsidR="00B956AF" w:rsidRPr="00B956AF" w:rsidRDefault="00B956AF" w:rsidP="00B956AF">
            <w:pPr>
              <w:ind w:right="43"/>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Very High</w:t>
            </w:r>
          </w:p>
        </w:tc>
      </w:tr>
      <w:tr w:rsidR="00543EA7" w:rsidRPr="00543EA7" w14:paraId="70302F03" w14:textId="77777777" w:rsidTr="00B956AF">
        <w:trPr>
          <w:trHeight w:val="20"/>
        </w:trPr>
        <w:tc>
          <w:tcPr>
            <w:tcW w:w="377" w:type="pct"/>
          </w:tcPr>
          <w:p w14:paraId="1EC380EF" w14:textId="77777777" w:rsidR="00B956AF" w:rsidRPr="00B956AF" w:rsidRDefault="00B956AF" w:rsidP="00B956AF">
            <w:pPr>
              <w:ind w:right="49"/>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5 </w:t>
            </w:r>
          </w:p>
        </w:tc>
        <w:tc>
          <w:tcPr>
            <w:tcW w:w="2112" w:type="pct"/>
          </w:tcPr>
          <w:p w14:paraId="4D36160F" w14:textId="77777777" w:rsidR="00B956AF" w:rsidRPr="00B956AF" w:rsidRDefault="00B956AF" w:rsidP="00B956AF">
            <w:pPr>
              <w:ind w:left="5"/>
              <w:jc w:val="both"/>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 xml:space="preserve">The agricultural products from </w:t>
            </w:r>
            <w:proofErr w:type="spellStart"/>
            <w:r w:rsidRPr="00B956AF">
              <w:rPr>
                <w:rFonts w:ascii="Arial" w:eastAsia="DengXian" w:hAnsi="Arial" w:cs="Arial"/>
                <w:color w:val="000000" w:themeColor="text1"/>
                <w:lang w:val="en-PH" w:eastAsia="en-PH"/>
              </w:rPr>
              <w:t>tabo</w:t>
            </w:r>
            <w:proofErr w:type="spellEnd"/>
            <w:r w:rsidRPr="00B956AF">
              <w:rPr>
                <w:rFonts w:ascii="Arial" w:eastAsia="DengXian" w:hAnsi="Arial" w:cs="Arial"/>
                <w:color w:val="000000" w:themeColor="text1"/>
                <w:lang w:val="en-PH" w:eastAsia="en-PH"/>
              </w:rPr>
              <w:t xml:space="preserve"> vendors are trusted for their brand/product quality. </w:t>
            </w:r>
          </w:p>
        </w:tc>
        <w:tc>
          <w:tcPr>
            <w:tcW w:w="596" w:type="pct"/>
          </w:tcPr>
          <w:p w14:paraId="2EF910FF" w14:textId="77777777" w:rsidR="00B956AF" w:rsidRPr="00B956AF" w:rsidRDefault="00B956AF" w:rsidP="00B956AF">
            <w:pPr>
              <w:ind w:right="55"/>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4.60</w:t>
            </w:r>
          </w:p>
        </w:tc>
        <w:tc>
          <w:tcPr>
            <w:tcW w:w="931" w:type="pct"/>
          </w:tcPr>
          <w:p w14:paraId="240DCE6C" w14:textId="77777777" w:rsidR="00B956AF" w:rsidRPr="00B956AF" w:rsidRDefault="00B956AF" w:rsidP="00B956AF">
            <w:pPr>
              <w:ind w:right="50"/>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0.63</w:t>
            </w:r>
          </w:p>
        </w:tc>
        <w:tc>
          <w:tcPr>
            <w:tcW w:w="984" w:type="pct"/>
          </w:tcPr>
          <w:p w14:paraId="40B4B929" w14:textId="77777777" w:rsidR="00B956AF" w:rsidRPr="00B956AF" w:rsidRDefault="00B956AF" w:rsidP="00B956AF">
            <w:pPr>
              <w:ind w:right="43"/>
              <w:jc w:val="center"/>
              <w:rPr>
                <w:rFonts w:ascii="Arial" w:eastAsia="DengXian" w:hAnsi="Arial" w:cs="Arial"/>
                <w:color w:val="000000" w:themeColor="text1"/>
                <w:lang w:val="en-PH" w:eastAsia="en-PH"/>
              </w:rPr>
            </w:pPr>
            <w:r w:rsidRPr="00B956AF">
              <w:rPr>
                <w:rFonts w:ascii="Arial" w:eastAsia="DengXian" w:hAnsi="Arial" w:cs="Arial"/>
                <w:color w:val="000000" w:themeColor="text1"/>
                <w:lang w:val="en-PH" w:eastAsia="en-PH"/>
              </w:rPr>
              <w:t>Very High</w:t>
            </w:r>
          </w:p>
        </w:tc>
      </w:tr>
      <w:tr w:rsidR="00543EA7" w:rsidRPr="00543EA7" w14:paraId="37C2633E" w14:textId="77777777" w:rsidTr="00B956AF">
        <w:trPr>
          <w:trHeight w:val="20"/>
        </w:trPr>
        <w:tc>
          <w:tcPr>
            <w:tcW w:w="377" w:type="pct"/>
          </w:tcPr>
          <w:p w14:paraId="03886D1F" w14:textId="77777777" w:rsidR="00B956AF" w:rsidRPr="00B956AF" w:rsidRDefault="00B956AF" w:rsidP="00B956AF">
            <w:pPr>
              <w:jc w:val="both"/>
              <w:rPr>
                <w:rFonts w:ascii="Arial" w:eastAsia="DengXian" w:hAnsi="Arial" w:cs="Arial"/>
                <w:color w:val="000000" w:themeColor="text1"/>
                <w:lang w:val="en-PH" w:eastAsia="en-PH"/>
              </w:rPr>
            </w:pPr>
          </w:p>
        </w:tc>
        <w:tc>
          <w:tcPr>
            <w:tcW w:w="2112" w:type="pct"/>
          </w:tcPr>
          <w:p w14:paraId="23CEE873" w14:textId="77777777" w:rsidR="00B956AF" w:rsidRPr="00B956AF" w:rsidRDefault="00B956AF" w:rsidP="00B956AF">
            <w:pPr>
              <w:ind w:left="1056"/>
              <w:jc w:val="both"/>
              <w:rPr>
                <w:rFonts w:ascii="Arial" w:eastAsia="DengXian" w:hAnsi="Arial" w:cs="Arial"/>
                <w:b/>
                <w:bCs/>
                <w:color w:val="000000" w:themeColor="text1"/>
                <w:lang w:val="en-PH" w:eastAsia="en-PH"/>
              </w:rPr>
            </w:pPr>
            <w:r w:rsidRPr="00B956AF">
              <w:rPr>
                <w:rFonts w:ascii="Arial" w:eastAsia="DengXian" w:hAnsi="Arial" w:cs="Arial"/>
                <w:b/>
                <w:bCs/>
                <w:color w:val="000000" w:themeColor="text1"/>
                <w:lang w:val="en-PH" w:eastAsia="en-PH"/>
              </w:rPr>
              <w:t xml:space="preserve">Average </w:t>
            </w:r>
          </w:p>
        </w:tc>
        <w:tc>
          <w:tcPr>
            <w:tcW w:w="596" w:type="pct"/>
          </w:tcPr>
          <w:p w14:paraId="53B8415E" w14:textId="77777777" w:rsidR="00B956AF" w:rsidRPr="00B956AF" w:rsidRDefault="00B956AF" w:rsidP="00B956AF">
            <w:pPr>
              <w:ind w:right="55"/>
              <w:jc w:val="center"/>
              <w:rPr>
                <w:rFonts w:ascii="Arial" w:eastAsia="DengXian" w:hAnsi="Arial" w:cs="Arial"/>
                <w:b/>
                <w:bCs/>
                <w:color w:val="000000" w:themeColor="text1"/>
                <w:lang w:val="en-PH" w:eastAsia="en-PH"/>
              </w:rPr>
            </w:pPr>
            <w:r w:rsidRPr="00B956AF">
              <w:rPr>
                <w:rFonts w:ascii="Arial" w:eastAsia="DengXian" w:hAnsi="Arial" w:cs="Arial"/>
                <w:b/>
                <w:bCs/>
                <w:color w:val="000000" w:themeColor="text1"/>
                <w:lang w:val="en-PH" w:eastAsia="en-PH"/>
              </w:rPr>
              <w:t>4.59</w:t>
            </w:r>
          </w:p>
        </w:tc>
        <w:tc>
          <w:tcPr>
            <w:tcW w:w="931" w:type="pct"/>
          </w:tcPr>
          <w:p w14:paraId="5EB098D3" w14:textId="77777777" w:rsidR="00B956AF" w:rsidRPr="00B956AF" w:rsidRDefault="00B956AF" w:rsidP="00B956AF">
            <w:pPr>
              <w:ind w:right="50"/>
              <w:jc w:val="center"/>
              <w:rPr>
                <w:rFonts w:ascii="Arial" w:eastAsia="DengXian" w:hAnsi="Arial" w:cs="Arial"/>
                <w:b/>
                <w:bCs/>
                <w:color w:val="000000" w:themeColor="text1"/>
                <w:lang w:val="en-PH" w:eastAsia="en-PH"/>
              </w:rPr>
            </w:pPr>
            <w:r w:rsidRPr="00B956AF">
              <w:rPr>
                <w:rFonts w:ascii="Arial" w:eastAsia="DengXian" w:hAnsi="Arial" w:cs="Arial"/>
                <w:b/>
                <w:bCs/>
                <w:color w:val="000000" w:themeColor="text1"/>
                <w:lang w:val="en-PH" w:eastAsia="en-PH"/>
              </w:rPr>
              <w:t>0.48</w:t>
            </w:r>
          </w:p>
        </w:tc>
        <w:tc>
          <w:tcPr>
            <w:tcW w:w="984" w:type="pct"/>
          </w:tcPr>
          <w:p w14:paraId="37E3C326" w14:textId="77777777" w:rsidR="00B956AF" w:rsidRPr="00B956AF" w:rsidRDefault="00B956AF" w:rsidP="00B956AF">
            <w:pPr>
              <w:ind w:right="43"/>
              <w:jc w:val="center"/>
              <w:rPr>
                <w:rFonts w:ascii="Arial" w:eastAsia="DengXian" w:hAnsi="Arial" w:cs="Arial"/>
                <w:b/>
                <w:bCs/>
                <w:color w:val="000000" w:themeColor="text1"/>
                <w:lang w:val="en-PH" w:eastAsia="en-PH"/>
              </w:rPr>
            </w:pPr>
            <w:r w:rsidRPr="00B956AF">
              <w:rPr>
                <w:rFonts w:ascii="Arial" w:eastAsia="DengXian" w:hAnsi="Arial" w:cs="Arial"/>
                <w:b/>
                <w:bCs/>
                <w:color w:val="000000" w:themeColor="text1"/>
                <w:lang w:val="en-PH" w:eastAsia="en-PH"/>
              </w:rPr>
              <w:t>Very High</w:t>
            </w:r>
          </w:p>
        </w:tc>
      </w:tr>
    </w:tbl>
    <w:p w14:paraId="2AED8FA8" w14:textId="77777777" w:rsidR="00AB00E6" w:rsidRPr="00543EA7" w:rsidRDefault="00AB00E6" w:rsidP="00AB00E6">
      <w:pPr>
        <w:tabs>
          <w:tab w:val="left" w:pos="1080"/>
        </w:tabs>
        <w:jc w:val="both"/>
        <w:rPr>
          <w:rFonts w:ascii="Arial" w:hAnsi="Arial"/>
          <w:bCs/>
          <w:color w:val="000000" w:themeColor="text1"/>
        </w:rPr>
      </w:pPr>
    </w:p>
    <w:p w14:paraId="3D36D7AE" w14:textId="62561C94" w:rsidR="000F6BD9" w:rsidRPr="00230E1A" w:rsidRDefault="000E0811" w:rsidP="00AB00E6">
      <w:pPr>
        <w:tabs>
          <w:tab w:val="left" w:pos="1080"/>
        </w:tabs>
        <w:jc w:val="both"/>
        <w:rPr>
          <w:rFonts w:ascii="Arial" w:hAnsi="Arial"/>
          <w:bCs/>
          <w:color w:val="000000" w:themeColor="text1"/>
        </w:rPr>
      </w:pPr>
      <w:r w:rsidRPr="00230E1A">
        <w:rPr>
          <w:rFonts w:ascii="Arial" w:hAnsi="Arial"/>
          <w:bCs/>
          <w:color w:val="000000" w:themeColor="text1"/>
        </w:rPr>
        <w:t xml:space="preserve">The overall mean of 4.54 in Table </w:t>
      </w:r>
      <w:r w:rsidR="00230E1A" w:rsidRPr="00230E1A">
        <w:rPr>
          <w:rFonts w:ascii="Arial" w:hAnsi="Arial"/>
          <w:bCs/>
          <w:color w:val="000000" w:themeColor="text1"/>
        </w:rPr>
        <w:t>6</w:t>
      </w:r>
      <w:r w:rsidRPr="00230E1A">
        <w:rPr>
          <w:rFonts w:ascii="Arial" w:hAnsi="Arial"/>
          <w:bCs/>
          <w:color w:val="000000" w:themeColor="text1"/>
        </w:rPr>
        <w:t xml:space="preserve"> indicates a very high level of customer satisfaction with the pricing strategies of </w:t>
      </w:r>
      <w:proofErr w:type="spellStart"/>
      <w:r w:rsidRPr="00230E1A">
        <w:rPr>
          <w:rFonts w:ascii="Arial" w:hAnsi="Arial"/>
          <w:bCs/>
          <w:color w:val="000000" w:themeColor="text1"/>
        </w:rPr>
        <w:t>tabo</w:t>
      </w:r>
      <w:proofErr w:type="spellEnd"/>
      <w:r w:rsidRPr="00230E1A">
        <w:rPr>
          <w:rFonts w:ascii="Arial" w:hAnsi="Arial"/>
          <w:bCs/>
          <w:color w:val="000000" w:themeColor="text1"/>
        </w:rPr>
        <w:t xml:space="preserve"> vendors, signifying that respondents are strongly satisfied with the pricing strategies employed by these vendors. This suggests that the agricultural products offered are perceived as affordable and offer good value, which is especially important considering that the majority of customers belong to low-income groups.</w:t>
      </w:r>
    </w:p>
    <w:p w14:paraId="4D40BA19" w14:textId="77777777" w:rsidR="000E0811" w:rsidRPr="00230E1A" w:rsidRDefault="000E0811" w:rsidP="00AB00E6">
      <w:pPr>
        <w:tabs>
          <w:tab w:val="left" w:pos="1080"/>
        </w:tabs>
        <w:jc w:val="both"/>
        <w:rPr>
          <w:rFonts w:ascii="Arial" w:hAnsi="Arial"/>
          <w:bCs/>
          <w:color w:val="000000" w:themeColor="text1"/>
        </w:rPr>
      </w:pPr>
    </w:p>
    <w:p w14:paraId="0E6F0A79" w14:textId="3CF68A1B" w:rsidR="000E0811" w:rsidRPr="00230E1A" w:rsidRDefault="000E0811" w:rsidP="000E0811">
      <w:pPr>
        <w:tabs>
          <w:tab w:val="left" w:pos="1080"/>
        </w:tabs>
        <w:jc w:val="both"/>
        <w:rPr>
          <w:rFonts w:ascii="Arial" w:hAnsi="Arial"/>
          <w:bCs/>
          <w:color w:val="000000" w:themeColor="text1"/>
        </w:rPr>
      </w:pPr>
      <w:r w:rsidRPr="00230E1A">
        <w:rPr>
          <w:rFonts w:ascii="Arial" w:hAnsi="Arial"/>
          <w:bCs/>
          <w:color w:val="000000" w:themeColor="text1"/>
        </w:rPr>
        <w:t xml:space="preserve">Pricing plays a crucial role in customer satisfaction, particularly in price-sensitive environments such as public markets. According to </w:t>
      </w:r>
      <w:r w:rsidR="002E53F2" w:rsidRPr="002E53F2">
        <w:rPr>
          <w:rFonts w:ascii="Arial" w:hAnsi="Arial"/>
          <w:bCs/>
          <w:color w:val="000000" w:themeColor="text1"/>
        </w:rPr>
        <w:t>Rajput</w:t>
      </w:r>
      <w:r w:rsidRPr="00230E1A">
        <w:rPr>
          <w:rFonts w:ascii="Arial" w:hAnsi="Arial"/>
          <w:bCs/>
          <w:color w:val="000000" w:themeColor="text1"/>
        </w:rPr>
        <w:t xml:space="preserve"> et al. (</w:t>
      </w:r>
      <w:r w:rsidR="002E53F2">
        <w:rPr>
          <w:rFonts w:ascii="Arial" w:hAnsi="Arial"/>
          <w:bCs/>
          <w:color w:val="000000" w:themeColor="text1"/>
        </w:rPr>
        <w:t>2012</w:t>
      </w:r>
      <w:r w:rsidRPr="00230E1A">
        <w:rPr>
          <w:rFonts w:ascii="Arial" w:hAnsi="Arial"/>
          <w:bCs/>
          <w:color w:val="000000" w:themeColor="text1"/>
        </w:rPr>
        <w:t xml:space="preserve">), customers in these settings are highly responsive to fair and value-driven pricing, which directly influences their purchasing decisions. </w:t>
      </w:r>
    </w:p>
    <w:p w14:paraId="25F4FF49" w14:textId="77777777" w:rsidR="000029EB" w:rsidRPr="00230E1A" w:rsidRDefault="000029EB" w:rsidP="000E0811">
      <w:pPr>
        <w:tabs>
          <w:tab w:val="left" w:pos="1080"/>
        </w:tabs>
        <w:jc w:val="both"/>
        <w:rPr>
          <w:rFonts w:ascii="Arial" w:hAnsi="Arial"/>
          <w:bCs/>
          <w:color w:val="000000" w:themeColor="text1"/>
        </w:rPr>
      </w:pPr>
    </w:p>
    <w:p w14:paraId="0C74CA4D" w14:textId="2C2D15E1" w:rsidR="000E0811" w:rsidRPr="00230E1A" w:rsidRDefault="000E0811" w:rsidP="000E0811">
      <w:pPr>
        <w:tabs>
          <w:tab w:val="left" w:pos="1080"/>
        </w:tabs>
        <w:jc w:val="both"/>
        <w:rPr>
          <w:rFonts w:ascii="Arial" w:hAnsi="Arial"/>
          <w:bCs/>
          <w:color w:val="000000" w:themeColor="text1"/>
        </w:rPr>
      </w:pPr>
      <w:r w:rsidRPr="00230E1A">
        <w:rPr>
          <w:rFonts w:ascii="Arial" w:hAnsi="Arial"/>
          <w:bCs/>
          <w:color w:val="000000" w:themeColor="text1"/>
        </w:rPr>
        <w:t xml:space="preserve">Additionally, </w:t>
      </w:r>
      <w:r w:rsidR="008F1D5B" w:rsidRPr="008F1D5B">
        <w:rPr>
          <w:rFonts w:ascii="Arial" w:hAnsi="Arial"/>
          <w:bCs/>
          <w:color w:val="000000" w:themeColor="text1"/>
        </w:rPr>
        <w:t>Jahanzeb</w:t>
      </w:r>
      <w:r w:rsidRPr="00230E1A">
        <w:rPr>
          <w:rFonts w:ascii="Arial" w:hAnsi="Arial"/>
          <w:bCs/>
          <w:color w:val="000000" w:themeColor="text1"/>
        </w:rPr>
        <w:t xml:space="preserve"> et al. (</w:t>
      </w:r>
      <w:r w:rsidR="008F1D5B">
        <w:rPr>
          <w:rFonts w:ascii="Arial" w:hAnsi="Arial"/>
          <w:bCs/>
          <w:color w:val="000000" w:themeColor="text1"/>
        </w:rPr>
        <w:t>2011</w:t>
      </w:r>
      <w:r w:rsidRPr="00230E1A">
        <w:rPr>
          <w:rFonts w:ascii="Arial" w:hAnsi="Arial"/>
          <w:bCs/>
          <w:color w:val="000000" w:themeColor="text1"/>
        </w:rPr>
        <w:t>) highlight that competitive pricing not only fosters customer trust but also enhances loyalty and repeat patronage. The very high average, paired with a relatively low standard deviation, demonstrates consistent satisfaction across respondents, reinforcing that vendors are effectively meeting customer expectations in terms of price fairness and value.</w:t>
      </w:r>
    </w:p>
    <w:p w14:paraId="6CAF1FF4" w14:textId="77777777" w:rsidR="000E0811" w:rsidRPr="00230E1A" w:rsidRDefault="000E0811" w:rsidP="000E0811">
      <w:pPr>
        <w:tabs>
          <w:tab w:val="left" w:pos="1080"/>
        </w:tabs>
        <w:jc w:val="both"/>
        <w:rPr>
          <w:rFonts w:ascii="Arial" w:hAnsi="Arial"/>
          <w:bCs/>
          <w:color w:val="000000" w:themeColor="text1"/>
        </w:rPr>
      </w:pPr>
    </w:p>
    <w:p w14:paraId="522DCB17" w14:textId="6F8CA89E" w:rsidR="000E0811" w:rsidRPr="00230E1A" w:rsidRDefault="000E0811" w:rsidP="000E0811">
      <w:pPr>
        <w:tabs>
          <w:tab w:val="left" w:pos="1080"/>
        </w:tabs>
        <w:jc w:val="both"/>
        <w:rPr>
          <w:rFonts w:ascii="Arial" w:hAnsi="Arial"/>
          <w:b/>
          <w:color w:val="000000" w:themeColor="text1"/>
        </w:rPr>
      </w:pPr>
      <w:r w:rsidRPr="00230E1A">
        <w:rPr>
          <w:rFonts w:ascii="Arial" w:hAnsi="Arial"/>
          <w:b/>
          <w:color w:val="000000" w:themeColor="text1"/>
        </w:rPr>
        <w:t xml:space="preserve">Table </w:t>
      </w:r>
      <w:r w:rsidR="00171658" w:rsidRPr="00230E1A">
        <w:rPr>
          <w:rFonts w:ascii="Arial" w:hAnsi="Arial"/>
          <w:b/>
          <w:color w:val="000000" w:themeColor="text1"/>
        </w:rPr>
        <w:t>6</w:t>
      </w:r>
      <w:r w:rsidRPr="00230E1A">
        <w:rPr>
          <w:rFonts w:ascii="Arial" w:hAnsi="Arial"/>
          <w:b/>
          <w:color w:val="000000" w:themeColor="text1"/>
        </w:rPr>
        <w:t>.</w:t>
      </w:r>
      <w:r w:rsidRPr="00230E1A">
        <w:rPr>
          <w:rFonts w:ascii="Arial" w:hAnsi="Arial"/>
          <w:b/>
          <w:color w:val="000000" w:themeColor="text1"/>
        </w:rPr>
        <w:tab/>
      </w:r>
      <w:r w:rsidR="0074722E" w:rsidRPr="00230E1A">
        <w:rPr>
          <w:rFonts w:ascii="Arial" w:hAnsi="Arial"/>
          <w:b/>
          <w:color w:val="000000" w:themeColor="text1"/>
        </w:rPr>
        <w:t>Level of customer satisfaction in terms of price</w:t>
      </w:r>
    </w:p>
    <w:tbl>
      <w:tblPr>
        <w:tblStyle w:val="APA"/>
        <w:tblW w:w="5000" w:type="pct"/>
        <w:tblLook w:val="04A0" w:firstRow="1" w:lastRow="0" w:firstColumn="1" w:lastColumn="0" w:noHBand="0" w:noVBand="1"/>
      </w:tblPr>
      <w:tblGrid>
        <w:gridCol w:w="550"/>
        <w:gridCol w:w="3034"/>
        <w:gridCol w:w="1053"/>
        <w:gridCol w:w="1708"/>
        <w:gridCol w:w="2079"/>
      </w:tblGrid>
      <w:tr w:rsidR="00230E1A" w:rsidRPr="00230E1A" w14:paraId="699886B4" w14:textId="77777777" w:rsidTr="0074722E">
        <w:trPr>
          <w:cnfStyle w:val="100000000000" w:firstRow="1" w:lastRow="0" w:firstColumn="0" w:lastColumn="0" w:oddVBand="0" w:evenVBand="0" w:oddHBand="0" w:evenHBand="0" w:firstRowFirstColumn="0" w:firstRowLastColumn="0" w:lastRowFirstColumn="0" w:lastRowLastColumn="0"/>
          <w:trHeight w:val="20"/>
        </w:trPr>
        <w:tc>
          <w:tcPr>
            <w:tcW w:w="326" w:type="pct"/>
          </w:tcPr>
          <w:p w14:paraId="420B4F2F" w14:textId="77777777" w:rsidR="0074722E" w:rsidRPr="0074722E" w:rsidRDefault="0074722E" w:rsidP="0074722E">
            <w:pPr>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No. </w:t>
            </w:r>
          </w:p>
        </w:tc>
        <w:tc>
          <w:tcPr>
            <w:tcW w:w="1800" w:type="pct"/>
          </w:tcPr>
          <w:p w14:paraId="46E993A4" w14:textId="77777777" w:rsidR="0074722E" w:rsidRPr="0074722E" w:rsidRDefault="0074722E" w:rsidP="0074722E">
            <w:pPr>
              <w:ind w:right="55"/>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Statement </w:t>
            </w:r>
          </w:p>
        </w:tc>
        <w:tc>
          <w:tcPr>
            <w:tcW w:w="625" w:type="pct"/>
          </w:tcPr>
          <w:p w14:paraId="09D1E50E" w14:textId="77777777" w:rsidR="0074722E" w:rsidRPr="0074722E" w:rsidRDefault="0074722E" w:rsidP="0074722E">
            <w:pPr>
              <w:ind w:right="64"/>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Mean </w:t>
            </w:r>
          </w:p>
        </w:tc>
        <w:tc>
          <w:tcPr>
            <w:tcW w:w="1014" w:type="pct"/>
          </w:tcPr>
          <w:p w14:paraId="544D01D5" w14:textId="77777777" w:rsidR="0074722E" w:rsidRPr="0074722E" w:rsidRDefault="0074722E" w:rsidP="0074722E">
            <w:pPr>
              <w:ind w:left="72"/>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Std. Deviation </w:t>
            </w:r>
          </w:p>
        </w:tc>
        <w:tc>
          <w:tcPr>
            <w:tcW w:w="1234" w:type="pct"/>
          </w:tcPr>
          <w:p w14:paraId="294C279D" w14:textId="77777777" w:rsidR="0074722E" w:rsidRPr="0074722E" w:rsidRDefault="0074722E" w:rsidP="0074722E">
            <w:pPr>
              <w:ind w:right="66"/>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Interpretation </w:t>
            </w:r>
          </w:p>
        </w:tc>
      </w:tr>
      <w:tr w:rsidR="00230E1A" w:rsidRPr="00230E1A" w14:paraId="6C2CA634" w14:textId="77777777" w:rsidTr="0074722E">
        <w:trPr>
          <w:trHeight w:val="20"/>
        </w:trPr>
        <w:tc>
          <w:tcPr>
            <w:tcW w:w="326" w:type="pct"/>
          </w:tcPr>
          <w:p w14:paraId="1B748AF9" w14:textId="77777777" w:rsidR="0074722E" w:rsidRPr="0074722E" w:rsidRDefault="0074722E" w:rsidP="0074722E">
            <w:pPr>
              <w:ind w:right="59"/>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1 </w:t>
            </w:r>
          </w:p>
        </w:tc>
        <w:tc>
          <w:tcPr>
            <w:tcW w:w="1800" w:type="pct"/>
          </w:tcPr>
          <w:p w14:paraId="6104354B" w14:textId="77777777" w:rsidR="0074722E" w:rsidRPr="0074722E" w:rsidRDefault="0074722E" w:rsidP="0074722E">
            <w:pPr>
              <w:ind w:left="5"/>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The price of agricultural products offers good value for money, considering both quality and quantity. </w:t>
            </w:r>
          </w:p>
        </w:tc>
        <w:tc>
          <w:tcPr>
            <w:tcW w:w="625" w:type="pct"/>
          </w:tcPr>
          <w:p w14:paraId="797D58FB" w14:textId="77777777" w:rsidR="0074722E" w:rsidRPr="0074722E" w:rsidRDefault="0074722E" w:rsidP="0074722E">
            <w:pPr>
              <w:ind w:right="59"/>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4.54</w:t>
            </w:r>
          </w:p>
        </w:tc>
        <w:tc>
          <w:tcPr>
            <w:tcW w:w="1014" w:type="pct"/>
          </w:tcPr>
          <w:p w14:paraId="58CB941C" w14:textId="77777777" w:rsidR="0074722E" w:rsidRPr="0074722E" w:rsidRDefault="0074722E" w:rsidP="0074722E">
            <w:pPr>
              <w:ind w:right="59"/>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0.71</w:t>
            </w:r>
          </w:p>
        </w:tc>
        <w:tc>
          <w:tcPr>
            <w:tcW w:w="1234" w:type="pct"/>
          </w:tcPr>
          <w:p w14:paraId="14FDEAFD" w14:textId="77777777" w:rsidR="0074722E" w:rsidRPr="0074722E" w:rsidRDefault="0074722E" w:rsidP="0074722E">
            <w:pPr>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Very High</w:t>
            </w:r>
          </w:p>
        </w:tc>
      </w:tr>
      <w:tr w:rsidR="00230E1A" w:rsidRPr="00230E1A" w14:paraId="77220E35" w14:textId="77777777" w:rsidTr="0074722E">
        <w:trPr>
          <w:trHeight w:val="20"/>
        </w:trPr>
        <w:tc>
          <w:tcPr>
            <w:tcW w:w="326" w:type="pct"/>
          </w:tcPr>
          <w:p w14:paraId="07F0FEDF" w14:textId="77777777" w:rsidR="0074722E" w:rsidRPr="0074722E" w:rsidRDefault="0074722E" w:rsidP="0074722E">
            <w:pPr>
              <w:ind w:right="59"/>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2 </w:t>
            </w:r>
          </w:p>
        </w:tc>
        <w:tc>
          <w:tcPr>
            <w:tcW w:w="1800" w:type="pct"/>
          </w:tcPr>
          <w:p w14:paraId="436E6CBB" w14:textId="77777777" w:rsidR="0074722E" w:rsidRPr="0074722E" w:rsidRDefault="0074722E" w:rsidP="0074722E">
            <w:pPr>
              <w:ind w:left="5"/>
              <w:jc w:val="both"/>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 xml:space="preserve">The price of agricultural products offers good value for </w:t>
            </w:r>
            <w:r w:rsidRPr="0074722E">
              <w:rPr>
                <w:rFonts w:ascii="Arial" w:eastAsia="DengXian" w:hAnsi="Arial" w:cs="Arial"/>
                <w:color w:val="000000" w:themeColor="text1"/>
                <w:lang w:val="en-PH" w:eastAsia="en-PH"/>
              </w:rPr>
              <w:lastRenderedPageBreak/>
              <w:t xml:space="preserve">money in terms of quantity. </w:t>
            </w:r>
          </w:p>
        </w:tc>
        <w:tc>
          <w:tcPr>
            <w:tcW w:w="625" w:type="pct"/>
          </w:tcPr>
          <w:p w14:paraId="7E4E12DA" w14:textId="77777777" w:rsidR="0074722E" w:rsidRPr="0074722E" w:rsidRDefault="0074722E" w:rsidP="0074722E">
            <w:pPr>
              <w:ind w:right="59"/>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lastRenderedPageBreak/>
              <w:t>4.55</w:t>
            </w:r>
          </w:p>
        </w:tc>
        <w:tc>
          <w:tcPr>
            <w:tcW w:w="1014" w:type="pct"/>
          </w:tcPr>
          <w:p w14:paraId="14363BFF" w14:textId="77777777" w:rsidR="0074722E" w:rsidRPr="0074722E" w:rsidRDefault="0074722E" w:rsidP="0074722E">
            <w:pPr>
              <w:ind w:right="59"/>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0.68</w:t>
            </w:r>
          </w:p>
        </w:tc>
        <w:tc>
          <w:tcPr>
            <w:tcW w:w="1234" w:type="pct"/>
          </w:tcPr>
          <w:p w14:paraId="7FA8506B" w14:textId="77777777" w:rsidR="0074722E" w:rsidRPr="0074722E" w:rsidRDefault="0074722E" w:rsidP="0074722E">
            <w:pPr>
              <w:jc w:val="center"/>
              <w:rPr>
                <w:rFonts w:ascii="Arial" w:eastAsia="DengXian" w:hAnsi="Arial" w:cs="Arial"/>
                <w:color w:val="000000" w:themeColor="text1"/>
                <w:lang w:val="en-PH" w:eastAsia="en-PH"/>
              </w:rPr>
            </w:pPr>
            <w:r w:rsidRPr="0074722E">
              <w:rPr>
                <w:rFonts w:ascii="Arial" w:eastAsia="DengXian" w:hAnsi="Arial" w:cs="Arial"/>
                <w:color w:val="000000" w:themeColor="text1"/>
                <w:lang w:val="en-PH" w:eastAsia="en-PH"/>
              </w:rPr>
              <w:t>Very High</w:t>
            </w:r>
          </w:p>
        </w:tc>
      </w:tr>
      <w:tr w:rsidR="00230E1A" w:rsidRPr="00230E1A" w14:paraId="115EC218" w14:textId="77777777" w:rsidTr="0074722E">
        <w:trPr>
          <w:trHeight w:val="20"/>
        </w:trPr>
        <w:tc>
          <w:tcPr>
            <w:tcW w:w="326" w:type="pct"/>
          </w:tcPr>
          <w:p w14:paraId="7087F279" w14:textId="77777777" w:rsidR="0074722E" w:rsidRPr="0074722E" w:rsidRDefault="0074722E" w:rsidP="0074722E">
            <w:pPr>
              <w:jc w:val="both"/>
              <w:rPr>
                <w:rFonts w:ascii="Arial" w:eastAsia="DengXian" w:hAnsi="Arial" w:cs="Arial"/>
                <w:color w:val="000000" w:themeColor="text1"/>
                <w:lang w:val="en-PH" w:eastAsia="en-PH"/>
              </w:rPr>
            </w:pPr>
          </w:p>
        </w:tc>
        <w:tc>
          <w:tcPr>
            <w:tcW w:w="1800" w:type="pct"/>
          </w:tcPr>
          <w:p w14:paraId="2A6E0977" w14:textId="77777777" w:rsidR="0074722E" w:rsidRPr="0074722E" w:rsidRDefault="0074722E" w:rsidP="0074722E">
            <w:pPr>
              <w:ind w:left="735"/>
              <w:jc w:val="both"/>
              <w:rPr>
                <w:rFonts w:ascii="Arial" w:eastAsia="DengXian" w:hAnsi="Arial" w:cs="Arial"/>
                <w:b/>
                <w:bCs/>
                <w:color w:val="000000" w:themeColor="text1"/>
                <w:lang w:val="en-PH" w:eastAsia="en-PH"/>
              </w:rPr>
            </w:pPr>
            <w:r w:rsidRPr="0074722E">
              <w:rPr>
                <w:rFonts w:ascii="Arial" w:eastAsia="DengXian" w:hAnsi="Arial" w:cs="Arial"/>
                <w:b/>
                <w:bCs/>
                <w:color w:val="000000" w:themeColor="text1"/>
                <w:lang w:val="en-PH" w:eastAsia="en-PH"/>
              </w:rPr>
              <w:t xml:space="preserve">Average </w:t>
            </w:r>
          </w:p>
        </w:tc>
        <w:tc>
          <w:tcPr>
            <w:tcW w:w="625" w:type="pct"/>
          </w:tcPr>
          <w:p w14:paraId="5A6DD74C" w14:textId="77777777" w:rsidR="0074722E" w:rsidRPr="0074722E" w:rsidRDefault="0074722E" w:rsidP="0074722E">
            <w:pPr>
              <w:ind w:right="59"/>
              <w:jc w:val="center"/>
              <w:rPr>
                <w:rFonts w:ascii="Arial" w:eastAsia="DengXian" w:hAnsi="Arial" w:cs="Arial"/>
                <w:b/>
                <w:bCs/>
                <w:color w:val="000000" w:themeColor="text1"/>
                <w:lang w:val="en-PH" w:eastAsia="en-PH"/>
              </w:rPr>
            </w:pPr>
            <w:r w:rsidRPr="0074722E">
              <w:rPr>
                <w:rFonts w:ascii="Arial" w:eastAsia="DengXian" w:hAnsi="Arial" w:cs="Arial"/>
                <w:b/>
                <w:bCs/>
                <w:color w:val="000000" w:themeColor="text1"/>
                <w:lang w:val="en-PH" w:eastAsia="en-PH"/>
              </w:rPr>
              <w:t>4.54</w:t>
            </w:r>
          </w:p>
        </w:tc>
        <w:tc>
          <w:tcPr>
            <w:tcW w:w="1014" w:type="pct"/>
          </w:tcPr>
          <w:p w14:paraId="42E959DF" w14:textId="77777777" w:rsidR="0074722E" w:rsidRPr="0074722E" w:rsidRDefault="0074722E" w:rsidP="0074722E">
            <w:pPr>
              <w:ind w:right="59"/>
              <w:jc w:val="center"/>
              <w:rPr>
                <w:rFonts w:ascii="Arial" w:eastAsia="DengXian" w:hAnsi="Arial" w:cs="Arial"/>
                <w:b/>
                <w:bCs/>
                <w:color w:val="000000" w:themeColor="text1"/>
                <w:lang w:val="en-PH" w:eastAsia="en-PH"/>
              </w:rPr>
            </w:pPr>
            <w:r w:rsidRPr="0074722E">
              <w:rPr>
                <w:rFonts w:ascii="Arial" w:eastAsia="DengXian" w:hAnsi="Arial" w:cs="Arial"/>
                <w:b/>
                <w:bCs/>
                <w:color w:val="000000" w:themeColor="text1"/>
                <w:lang w:val="en-PH" w:eastAsia="en-PH"/>
              </w:rPr>
              <w:t>0.59</w:t>
            </w:r>
          </w:p>
        </w:tc>
        <w:tc>
          <w:tcPr>
            <w:tcW w:w="1234" w:type="pct"/>
          </w:tcPr>
          <w:p w14:paraId="0D29A2FF" w14:textId="77777777" w:rsidR="0074722E" w:rsidRPr="0074722E" w:rsidRDefault="0074722E" w:rsidP="0074722E">
            <w:pPr>
              <w:jc w:val="center"/>
              <w:rPr>
                <w:rFonts w:ascii="Arial" w:eastAsia="DengXian" w:hAnsi="Arial" w:cs="Arial"/>
                <w:b/>
                <w:bCs/>
                <w:color w:val="000000" w:themeColor="text1"/>
                <w:lang w:val="en-PH" w:eastAsia="en-PH"/>
              </w:rPr>
            </w:pPr>
            <w:r w:rsidRPr="0074722E">
              <w:rPr>
                <w:rFonts w:ascii="Arial" w:eastAsia="DengXian" w:hAnsi="Arial" w:cs="Arial"/>
                <w:b/>
                <w:bCs/>
                <w:color w:val="000000" w:themeColor="text1"/>
                <w:lang w:val="en-PH" w:eastAsia="en-PH"/>
              </w:rPr>
              <w:t>Very High</w:t>
            </w:r>
          </w:p>
        </w:tc>
      </w:tr>
    </w:tbl>
    <w:p w14:paraId="5DDEF015" w14:textId="77777777" w:rsidR="0074722E" w:rsidRPr="00021945" w:rsidRDefault="0074722E" w:rsidP="000E0811">
      <w:pPr>
        <w:tabs>
          <w:tab w:val="left" w:pos="1080"/>
        </w:tabs>
        <w:jc w:val="both"/>
        <w:rPr>
          <w:rFonts w:ascii="Arial" w:hAnsi="Arial"/>
          <w:b/>
          <w:color w:val="000000" w:themeColor="text1"/>
        </w:rPr>
      </w:pPr>
    </w:p>
    <w:p w14:paraId="1D2A9DEE" w14:textId="3B263DB1" w:rsidR="008B3608" w:rsidRPr="00021945" w:rsidRDefault="00202905" w:rsidP="008B3608">
      <w:pPr>
        <w:pStyle w:val="Body"/>
        <w:rPr>
          <w:rFonts w:ascii="Arial" w:hAnsi="Arial" w:cs="Arial"/>
          <w:color w:val="000000" w:themeColor="text1"/>
        </w:rPr>
      </w:pPr>
      <w:r w:rsidRPr="00021945">
        <w:rPr>
          <w:rFonts w:ascii="Arial" w:hAnsi="Arial" w:cs="Arial"/>
          <w:color w:val="000000" w:themeColor="text1"/>
        </w:rPr>
        <w:t xml:space="preserve">The overall mean of 4.34 in Table </w:t>
      </w:r>
      <w:r w:rsidR="00021945" w:rsidRPr="00021945">
        <w:rPr>
          <w:rFonts w:ascii="Arial" w:hAnsi="Arial" w:cs="Arial"/>
          <w:color w:val="000000" w:themeColor="text1"/>
        </w:rPr>
        <w:t>7</w:t>
      </w:r>
      <w:r w:rsidRPr="00021945">
        <w:rPr>
          <w:rFonts w:ascii="Arial" w:hAnsi="Arial" w:cs="Arial"/>
          <w:color w:val="000000" w:themeColor="text1"/>
        </w:rPr>
        <w:t xml:space="preserve"> indicates a very high level of customer satisfaction regarding the place, signifying that respondents are strongly satisfied with the physical location and convenience of market access</w:t>
      </w:r>
      <w:r w:rsidR="008B3608" w:rsidRPr="00021945">
        <w:rPr>
          <w:rFonts w:ascii="Arial" w:hAnsi="Arial" w:cs="Arial"/>
          <w:color w:val="000000" w:themeColor="text1"/>
        </w:rPr>
        <w:t>.</w:t>
      </w:r>
    </w:p>
    <w:p w14:paraId="06F96332" w14:textId="5EAE2BFC" w:rsidR="008B3608" w:rsidRPr="00021945" w:rsidRDefault="00202905" w:rsidP="008B3608">
      <w:pPr>
        <w:pStyle w:val="Body"/>
        <w:rPr>
          <w:rFonts w:ascii="Arial" w:hAnsi="Arial" w:cs="Arial"/>
          <w:color w:val="000000" w:themeColor="text1"/>
        </w:rPr>
      </w:pPr>
      <w:r w:rsidRPr="00021945">
        <w:rPr>
          <w:rFonts w:ascii="Arial" w:hAnsi="Arial" w:cs="Arial"/>
          <w:color w:val="000000" w:themeColor="text1"/>
        </w:rPr>
        <w:t xml:space="preserve">This score reflects a positive perception of the market’s accessibility, vendor variety, and overall environment. Although this mean is slightly lower compared to other components of the marketing mix, it still shows that the market is largely meeting customer expectations. As </w:t>
      </w:r>
      <w:r w:rsidR="008F1D5B" w:rsidRPr="008F1D5B">
        <w:rPr>
          <w:rFonts w:ascii="Arial" w:hAnsi="Arial" w:cs="Arial"/>
          <w:color w:val="000000" w:themeColor="text1"/>
        </w:rPr>
        <w:t>Wilson</w:t>
      </w:r>
      <w:r w:rsidRPr="00021945">
        <w:rPr>
          <w:rFonts w:ascii="Arial" w:hAnsi="Arial" w:cs="Arial"/>
          <w:color w:val="000000" w:themeColor="text1"/>
        </w:rPr>
        <w:t xml:space="preserve"> et al. (</w:t>
      </w:r>
      <w:r w:rsidR="008F1D5B">
        <w:rPr>
          <w:rFonts w:ascii="Arial" w:hAnsi="Arial" w:cs="Arial"/>
          <w:color w:val="000000" w:themeColor="text1"/>
        </w:rPr>
        <w:t>2020</w:t>
      </w:r>
      <w:r w:rsidRPr="00021945">
        <w:rPr>
          <w:rFonts w:ascii="Arial" w:hAnsi="Arial" w:cs="Arial"/>
          <w:color w:val="000000" w:themeColor="text1"/>
        </w:rPr>
        <w:t xml:space="preserve">) point out, the physical environment and ease of access significantly influence customer satisfaction, particularly in traditional retail settings such as public markets. Likewise, </w:t>
      </w:r>
      <w:r w:rsidR="00B41930" w:rsidRPr="00B41930">
        <w:rPr>
          <w:rFonts w:ascii="Arial" w:hAnsi="Arial" w:cs="Arial"/>
          <w:color w:val="000000" w:themeColor="text1"/>
        </w:rPr>
        <w:t>Gajic</w:t>
      </w:r>
      <w:r w:rsidR="00B41930">
        <w:rPr>
          <w:rFonts w:ascii="Arial" w:hAnsi="Arial" w:cs="Arial"/>
          <w:color w:val="000000" w:themeColor="text1"/>
        </w:rPr>
        <w:t xml:space="preserve"> &amp;</w:t>
      </w:r>
      <w:r w:rsidRPr="00021945">
        <w:rPr>
          <w:rFonts w:ascii="Arial" w:hAnsi="Arial" w:cs="Arial"/>
          <w:color w:val="000000" w:themeColor="text1"/>
        </w:rPr>
        <w:t xml:space="preserve"> </w:t>
      </w:r>
      <w:r w:rsidR="00B41930" w:rsidRPr="00B41930">
        <w:rPr>
          <w:rFonts w:ascii="Arial" w:hAnsi="Arial" w:cs="Arial"/>
          <w:color w:val="000000" w:themeColor="text1"/>
        </w:rPr>
        <w:t xml:space="preserve">Boolaky </w:t>
      </w:r>
      <w:r w:rsidRPr="00021945">
        <w:rPr>
          <w:rFonts w:ascii="Arial" w:hAnsi="Arial" w:cs="Arial"/>
          <w:color w:val="000000" w:themeColor="text1"/>
        </w:rPr>
        <w:t>(</w:t>
      </w:r>
      <w:r w:rsidR="00B41930">
        <w:rPr>
          <w:rFonts w:ascii="Arial" w:hAnsi="Arial" w:cs="Arial"/>
          <w:color w:val="000000" w:themeColor="text1"/>
        </w:rPr>
        <w:t>2015</w:t>
      </w:r>
      <w:r w:rsidRPr="00021945">
        <w:rPr>
          <w:rFonts w:ascii="Arial" w:hAnsi="Arial" w:cs="Arial"/>
          <w:color w:val="000000" w:themeColor="text1"/>
        </w:rPr>
        <w:t>) emphasize that a convenient and secure location enhances the shopping experience and encourages customer loyalty. Thus, the very high average confirms that while the current infrastructure is effective, continuous improvements in layout, cleanliness, and accessibility could further strengthen customer satisfaction.</w:t>
      </w:r>
    </w:p>
    <w:p w14:paraId="285F1D54" w14:textId="7744F4C6" w:rsidR="008B3608" w:rsidRPr="00021945" w:rsidRDefault="008B3608" w:rsidP="008B3608">
      <w:pPr>
        <w:pStyle w:val="Body"/>
        <w:rPr>
          <w:rFonts w:ascii="Arial" w:hAnsi="Arial"/>
          <w:b/>
          <w:color w:val="000000" w:themeColor="text1"/>
        </w:rPr>
      </w:pPr>
      <w:r w:rsidRPr="00021945">
        <w:rPr>
          <w:rFonts w:ascii="Arial" w:hAnsi="Arial"/>
          <w:b/>
          <w:color w:val="000000" w:themeColor="text1"/>
        </w:rPr>
        <w:t xml:space="preserve">Table </w:t>
      </w:r>
      <w:r w:rsidR="00171658" w:rsidRPr="00021945">
        <w:rPr>
          <w:rFonts w:ascii="Arial" w:hAnsi="Arial"/>
          <w:b/>
          <w:color w:val="000000" w:themeColor="text1"/>
        </w:rPr>
        <w:t>7</w:t>
      </w:r>
      <w:r w:rsidRPr="00021945">
        <w:rPr>
          <w:rFonts w:ascii="Arial" w:hAnsi="Arial"/>
          <w:b/>
          <w:color w:val="000000" w:themeColor="text1"/>
        </w:rPr>
        <w:t>.</w:t>
      </w:r>
      <w:r w:rsidRPr="00021945">
        <w:rPr>
          <w:rFonts w:ascii="Arial" w:hAnsi="Arial"/>
          <w:b/>
          <w:color w:val="000000" w:themeColor="text1"/>
        </w:rPr>
        <w:tab/>
      </w:r>
      <w:r w:rsidR="000228B2" w:rsidRPr="00021945">
        <w:rPr>
          <w:rFonts w:ascii="Arial" w:hAnsi="Arial"/>
          <w:b/>
          <w:color w:val="000000" w:themeColor="text1"/>
        </w:rPr>
        <w:t>Level of customer satisfaction in terms of place</w:t>
      </w:r>
    </w:p>
    <w:tbl>
      <w:tblPr>
        <w:tblStyle w:val="APA"/>
        <w:tblW w:w="5000" w:type="pct"/>
        <w:tblLook w:val="04A0" w:firstRow="1" w:lastRow="0" w:firstColumn="1" w:lastColumn="0" w:noHBand="0" w:noVBand="1"/>
      </w:tblPr>
      <w:tblGrid>
        <w:gridCol w:w="657"/>
        <w:gridCol w:w="3348"/>
        <w:gridCol w:w="895"/>
        <w:gridCol w:w="1671"/>
        <w:gridCol w:w="1853"/>
      </w:tblGrid>
      <w:tr w:rsidR="00021945" w:rsidRPr="00021945" w14:paraId="357EC82A" w14:textId="77777777" w:rsidTr="006F256A">
        <w:trPr>
          <w:cnfStyle w:val="100000000000" w:firstRow="1" w:lastRow="0" w:firstColumn="0" w:lastColumn="0" w:oddVBand="0" w:evenVBand="0" w:oddHBand="0" w:evenHBand="0" w:firstRowFirstColumn="0" w:firstRowLastColumn="0" w:lastRowFirstColumn="0" w:lastRowLastColumn="0"/>
          <w:trHeight w:val="20"/>
        </w:trPr>
        <w:tc>
          <w:tcPr>
            <w:tcW w:w="390" w:type="pct"/>
          </w:tcPr>
          <w:p w14:paraId="5BD99F8A" w14:textId="77777777" w:rsidR="006F256A" w:rsidRPr="00021945" w:rsidRDefault="006F256A" w:rsidP="006F256A">
            <w:pPr>
              <w:ind w:left="58"/>
              <w:jc w:val="both"/>
              <w:rPr>
                <w:rFonts w:ascii="Arial" w:hAnsi="Arial" w:cs="Arial"/>
                <w:color w:val="000000" w:themeColor="text1"/>
              </w:rPr>
            </w:pPr>
            <w:r w:rsidRPr="00021945">
              <w:rPr>
                <w:rFonts w:ascii="Arial" w:hAnsi="Arial" w:cs="Arial"/>
                <w:color w:val="000000" w:themeColor="text1"/>
              </w:rPr>
              <w:t xml:space="preserve">No. </w:t>
            </w:r>
          </w:p>
        </w:tc>
        <w:tc>
          <w:tcPr>
            <w:tcW w:w="1987" w:type="pct"/>
          </w:tcPr>
          <w:p w14:paraId="46CA5B75" w14:textId="77777777" w:rsidR="006F256A" w:rsidRPr="00021945" w:rsidRDefault="006F256A" w:rsidP="006F256A">
            <w:pPr>
              <w:ind w:left="3"/>
              <w:jc w:val="both"/>
              <w:rPr>
                <w:rFonts w:ascii="Arial" w:hAnsi="Arial" w:cs="Arial"/>
                <w:color w:val="000000" w:themeColor="text1"/>
              </w:rPr>
            </w:pPr>
            <w:r w:rsidRPr="00021945">
              <w:rPr>
                <w:rFonts w:ascii="Arial" w:hAnsi="Arial" w:cs="Arial"/>
                <w:color w:val="000000" w:themeColor="text1"/>
              </w:rPr>
              <w:t xml:space="preserve">Statement </w:t>
            </w:r>
          </w:p>
        </w:tc>
        <w:tc>
          <w:tcPr>
            <w:tcW w:w="531" w:type="pct"/>
          </w:tcPr>
          <w:p w14:paraId="5C2367AD" w14:textId="77777777" w:rsidR="006F256A" w:rsidRPr="00021945" w:rsidRDefault="006F256A" w:rsidP="006F256A">
            <w:pPr>
              <w:ind w:left="77"/>
              <w:jc w:val="both"/>
              <w:rPr>
                <w:rFonts w:ascii="Arial" w:hAnsi="Arial" w:cs="Arial"/>
                <w:color w:val="000000" w:themeColor="text1"/>
              </w:rPr>
            </w:pPr>
            <w:r w:rsidRPr="00021945">
              <w:rPr>
                <w:rFonts w:ascii="Arial" w:hAnsi="Arial" w:cs="Arial"/>
                <w:color w:val="000000" w:themeColor="text1"/>
              </w:rPr>
              <w:t xml:space="preserve">Mean </w:t>
            </w:r>
          </w:p>
        </w:tc>
        <w:tc>
          <w:tcPr>
            <w:tcW w:w="992" w:type="pct"/>
          </w:tcPr>
          <w:p w14:paraId="554D3F53" w14:textId="77777777" w:rsidR="006F256A" w:rsidRPr="00021945" w:rsidRDefault="006F256A" w:rsidP="006F256A">
            <w:pPr>
              <w:ind w:left="67"/>
              <w:jc w:val="both"/>
              <w:rPr>
                <w:rFonts w:ascii="Arial" w:hAnsi="Arial" w:cs="Arial"/>
                <w:color w:val="000000" w:themeColor="text1"/>
              </w:rPr>
            </w:pPr>
            <w:r w:rsidRPr="00021945">
              <w:rPr>
                <w:rFonts w:ascii="Arial" w:hAnsi="Arial" w:cs="Arial"/>
                <w:color w:val="000000" w:themeColor="text1"/>
              </w:rPr>
              <w:t xml:space="preserve">Std. Deviation </w:t>
            </w:r>
          </w:p>
        </w:tc>
        <w:tc>
          <w:tcPr>
            <w:tcW w:w="1100" w:type="pct"/>
          </w:tcPr>
          <w:p w14:paraId="0F832713" w14:textId="77777777" w:rsidR="006F256A" w:rsidRPr="00021945" w:rsidRDefault="006F256A" w:rsidP="006F256A">
            <w:pPr>
              <w:ind w:right="6"/>
              <w:jc w:val="both"/>
              <w:rPr>
                <w:rFonts w:ascii="Arial" w:hAnsi="Arial" w:cs="Arial"/>
                <w:color w:val="000000" w:themeColor="text1"/>
              </w:rPr>
            </w:pPr>
            <w:r w:rsidRPr="00021945">
              <w:rPr>
                <w:rFonts w:ascii="Arial" w:hAnsi="Arial" w:cs="Arial"/>
                <w:color w:val="000000" w:themeColor="text1"/>
              </w:rPr>
              <w:t xml:space="preserve">Interpretation </w:t>
            </w:r>
          </w:p>
        </w:tc>
      </w:tr>
      <w:tr w:rsidR="00021945" w:rsidRPr="00021945" w14:paraId="1DC1C331" w14:textId="77777777" w:rsidTr="006F256A">
        <w:trPr>
          <w:trHeight w:val="20"/>
        </w:trPr>
        <w:tc>
          <w:tcPr>
            <w:tcW w:w="390" w:type="pct"/>
          </w:tcPr>
          <w:p w14:paraId="5BD1B8F1" w14:textId="77777777" w:rsidR="006F256A" w:rsidRPr="00021945" w:rsidRDefault="006F256A" w:rsidP="006F256A">
            <w:pPr>
              <w:ind w:right="1"/>
              <w:jc w:val="both"/>
              <w:rPr>
                <w:rFonts w:ascii="Arial" w:hAnsi="Arial" w:cs="Arial"/>
                <w:color w:val="000000" w:themeColor="text1"/>
              </w:rPr>
            </w:pPr>
            <w:r w:rsidRPr="00021945">
              <w:rPr>
                <w:rFonts w:ascii="Arial" w:hAnsi="Arial" w:cs="Arial"/>
                <w:color w:val="000000" w:themeColor="text1"/>
              </w:rPr>
              <w:t xml:space="preserve">1 </w:t>
            </w:r>
          </w:p>
        </w:tc>
        <w:tc>
          <w:tcPr>
            <w:tcW w:w="1987" w:type="pct"/>
          </w:tcPr>
          <w:p w14:paraId="17B0CC8C" w14:textId="77777777" w:rsidR="006F256A" w:rsidRPr="00021945" w:rsidRDefault="006F256A" w:rsidP="006F256A">
            <w:pPr>
              <w:ind w:left="5"/>
              <w:jc w:val="both"/>
              <w:rPr>
                <w:rFonts w:ascii="Arial" w:hAnsi="Arial" w:cs="Arial"/>
                <w:color w:val="000000" w:themeColor="text1"/>
              </w:rPr>
            </w:pPr>
            <w:r w:rsidRPr="00021945">
              <w:rPr>
                <w:rFonts w:ascii="Arial" w:hAnsi="Arial" w:cs="Arial"/>
                <w:color w:val="000000" w:themeColor="text1"/>
              </w:rPr>
              <w:t xml:space="preserve">The public market is convenient </w:t>
            </w:r>
          </w:p>
        </w:tc>
        <w:tc>
          <w:tcPr>
            <w:tcW w:w="531" w:type="pct"/>
          </w:tcPr>
          <w:p w14:paraId="74A3C5E9"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4.48</w:t>
            </w:r>
          </w:p>
        </w:tc>
        <w:tc>
          <w:tcPr>
            <w:tcW w:w="992" w:type="pct"/>
          </w:tcPr>
          <w:p w14:paraId="49EC7E8B"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0.71</w:t>
            </w:r>
          </w:p>
        </w:tc>
        <w:tc>
          <w:tcPr>
            <w:tcW w:w="1100" w:type="pct"/>
          </w:tcPr>
          <w:p w14:paraId="10BF80ED" w14:textId="77777777" w:rsidR="006F256A" w:rsidRPr="00021945" w:rsidRDefault="006F256A" w:rsidP="006F256A">
            <w:pPr>
              <w:jc w:val="center"/>
              <w:rPr>
                <w:rFonts w:ascii="Arial" w:hAnsi="Arial" w:cs="Arial"/>
                <w:color w:val="000000" w:themeColor="text1"/>
              </w:rPr>
            </w:pPr>
            <w:r w:rsidRPr="00021945">
              <w:rPr>
                <w:rFonts w:ascii="Arial" w:hAnsi="Arial" w:cs="Arial"/>
                <w:color w:val="000000" w:themeColor="text1"/>
              </w:rPr>
              <w:t>Very High</w:t>
            </w:r>
          </w:p>
        </w:tc>
      </w:tr>
      <w:tr w:rsidR="00021945" w:rsidRPr="00021945" w14:paraId="01DA7D4A" w14:textId="77777777" w:rsidTr="006F256A">
        <w:trPr>
          <w:trHeight w:val="20"/>
        </w:trPr>
        <w:tc>
          <w:tcPr>
            <w:tcW w:w="390" w:type="pct"/>
          </w:tcPr>
          <w:p w14:paraId="2D69E008" w14:textId="77777777" w:rsidR="006F256A" w:rsidRPr="00021945" w:rsidRDefault="006F256A" w:rsidP="006F256A">
            <w:pPr>
              <w:ind w:right="1"/>
              <w:jc w:val="both"/>
              <w:rPr>
                <w:rFonts w:ascii="Arial" w:hAnsi="Arial" w:cs="Arial"/>
                <w:color w:val="000000" w:themeColor="text1"/>
              </w:rPr>
            </w:pPr>
            <w:r w:rsidRPr="00021945">
              <w:rPr>
                <w:rFonts w:ascii="Arial" w:hAnsi="Arial" w:cs="Arial"/>
                <w:color w:val="000000" w:themeColor="text1"/>
              </w:rPr>
              <w:t xml:space="preserve">2 </w:t>
            </w:r>
          </w:p>
        </w:tc>
        <w:tc>
          <w:tcPr>
            <w:tcW w:w="1987" w:type="pct"/>
          </w:tcPr>
          <w:p w14:paraId="51C45358" w14:textId="77777777" w:rsidR="006F256A" w:rsidRPr="00021945" w:rsidRDefault="006F256A" w:rsidP="006F256A">
            <w:pPr>
              <w:ind w:left="5"/>
              <w:jc w:val="both"/>
              <w:rPr>
                <w:rFonts w:ascii="Arial" w:hAnsi="Arial" w:cs="Arial"/>
                <w:color w:val="000000" w:themeColor="text1"/>
              </w:rPr>
            </w:pPr>
            <w:r w:rsidRPr="00021945">
              <w:rPr>
                <w:rFonts w:ascii="Arial" w:hAnsi="Arial" w:cs="Arial"/>
                <w:color w:val="000000" w:themeColor="text1"/>
              </w:rPr>
              <w:t xml:space="preserve">The public market has a wide variety of vendors </w:t>
            </w:r>
          </w:p>
        </w:tc>
        <w:tc>
          <w:tcPr>
            <w:tcW w:w="531" w:type="pct"/>
          </w:tcPr>
          <w:p w14:paraId="73BE38E6"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4.35</w:t>
            </w:r>
          </w:p>
        </w:tc>
        <w:tc>
          <w:tcPr>
            <w:tcW w:w="992" w:type="pct"/>
          </w:tcPr>
          <w:p w14:paraId="6399B8E7"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0.79</w:t>
            </w:r>
          </w:p>
        </w:tc>
        <w:tc>
          <w:tcPr>
            <w:tcW w:w="1100" w:type="pct"/>
          </w:tcPr>
          <w:p w14:paraId="1B575EBF" w14:textId="77777777" w:rsidR="006F256A" w:rsidRPr="00021945" w:rsidRDefault="006F256A" w:rsidP="006F256A">
            <w:pPr>
              <w:jc w:val="center"/>
              <w:rPr>
                <w:rFonts w:ascii="Arial" w:hAnsi="Arial" w:cs="Arial"/>
                <w:color w:val="000000" w:themeColor="text1"/>
              </w:rPr>
            </w:pPr>
            <w:r w:rsidRPr="00021945">
              <w:rPr>
                <w:rFonts w:ascii="Arial" w:hAnsi="Arial" w:cs="Arial"/>
                <w:color w:val="000000" w:themeColor="text1"/>
              </w:rPr>
              <w:t>Very High</w:t>
            </w:r>
          </w:p>
        </w:tc>
      </w:tr>
      <w:tr w:rsidR="00021945" w:rsidRPr="00021945" w14:paraId="7206B0F8" w14:textId="77777777" w:rsidTr="006F256A">
        <w:trPr>
          <w:trHeight w:val="20"/>
        </w:trPr>
        <w:tc>
          <w:tcPr>
            <w:tcW w:w="390" w:type="pct"/>
          </w:tcPr>
          <w:p w14:paraId="36052054" w14:textId="77777777" w:rsidR="006F256A" w:rsidRPr="00021945" w:rsidRDefault="006F256A" w:rsidP="006F256A">
            <w:pPr>
              <w:ind w:right="1"/>
              <w:jc w:val="both"/>
              <w:rPr>
                <w:rFonts w:ascii="Arial" w:hAnsi="Arial" w:cs="Arial"/>
                <w:color w:val="000000" w:themeColor="text1"/>
              </w:rPr>
            </w:pPr>
            <w:r w:rsidRPr="00021945">
              <w:rPr>
                <w:rFonts w:ascii="Arial" w:hAnsi="Arial" w:cs="Arial"/>
                <w:color w:val="000000" w:themeColor="text1"/>
              </w:rPr>
              <w:t xml:space="preserve">3 </w:t>
            </w:r>
          </w:p>
        </w:tc>
        <w:tc>
          <w:tcPr>
            <w:tcW w:w="1987" w:type="pct"/>
          </w:tcPr>
          <w:p w14:paraId="7DB602F1" w14:textId="77777777" w:rsidR="006F256A" w:rsidRPr="00021945" w:rsidRDefault="006F256A" w:rsidP="006F256A">
            <w:pPr>
              <w:ind w:left="5" w:right="199"/>
              <w:jc w:val="both"/>
              <w:rPr>
                <w:rFonts w:ascii="Arial" w:hAnsi="Arial" w:cs="Arial"/>
                <w:color w:val="000000" w:themeColor="text1"/>
              </w:rPr>
            </w:pPr>
            <w:r w:rsidRPr="00021945">
              <w:rPr>
                <w:rFonts w:ascii="Arial" w:hAnsi="Arial" w:cs="Arial"/>
                <w:color w:val="000000" w:themeColor="text1"/>
              </w:rPr>
              <w:t xml:space="preserve">Shopping at this market is secure because of its location and environment </w:t>
            </w:r>
          </w:p>
        </w:tc>
        <w:tc>
          <w:tcPr>
            <w:tcW w:w="531" w:type="pct"/>
          </w:tcPr>
          <w:p w14:paraId="4A9BD2E2"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4.26</w:t>
            </w:r>
          </w:p>
        </w:tc>
        <w:tc>
          <w:tcPr>
            <w:tcW w:w="992" w:type="pct"/>
          </w:tcPr>
          <w:p w14:paraId="56F60157"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0.81</w:t>
            </w:r>
          </w:p>
        </w:tc>
        <w:tc>
          <w:tcPr>
            <w:tcW w:w="1100" w:type="pct"/>
          </w:tcPr>
          <w:p w14:paraId="369E4D42" w14:textId="77777777" w:rsidR="006F256A" w:rsidRPr="00021945" w:rsidRDefault="006F256A" w:rsidP="006F256A">
            <w:pPr>
              <w:jc w:val="center"/>
              <w:rPr>
                <w:rFonts w:ascii="Arial" w:hAnsi="Arial" w:cs="Arial"/>
                <w:color w:val="000000" w:themeColor="text1"/>
              </w:rPr>
            </w:pPr>
            <w:r w:rsidRPr="00021945">
              <w:rPr>
                <w:rFonts w:ascii="Arial" w:hAnsi="Arial" w:cs="Arial"/>
                <w:color w:val="000000" w:themeColor="text1"/>
              </w:rPr>
              <w:t>Very High</w:t>
            </w:r>
          </w:p>
        </w:tc>
      </w:tr>
      <w:tr w:rsidR="00021945" w:rsidRPr="00021945" w14:paraId="4947269C" w14:textId="77777777" w:rsidTr="006F256A">
        <w:trPr>
          <w:trHeight w:val="20"/>
        </w:trPr>
        <w:tc>
          <w:tcPr>
            <w:tcW w:w="390" w:type="pct"/>
          </w:tcPr>
          <w:p w14:paraId="05C00BB0" w14:textId="77777777" w:rsidR="006F256A" w:rsidRPr="00021945" w:rsidRDefault="006F256A" w:rsidP="006F256A">
            <w:pPr>
              <w:ind w:right="1"/>
              <w:jc w:val="both"/>
              <w:rPr>
                <w:rFonts w:ascii="Arial" w:hAnsi="Arial" w:cs="Arial"/>
                <w:color w:val="000000" w:themeColor="text1"/>
              </w:rPr>
            </w:pPr>
            <w:r w:rsidRPr="00021945">
              <w:rPr>
                <w:rFonts w:ascii="Arial" w:hAnsi="Arial" w:cs="Arial"/>
                <w:color w:val="000000" w:themeColor="text1"/>
              </w:rPr>
              <w:t xml:space="preserve">4 </w:t>
            </w:r>
          </w:p>
        </w:tc>
        <w:tc>
          <w:tcPr>
            <w:tcW w:w="1987" w:type="pct"/>
          </w:tcPr>
          <w:p w14:paraId="338D2080" w14:textId="77777777" w:rsidR="006F256A" w:rsidRPr="00021945" w:rsidRDefault="006F256A" w:rsidP="006F256A">
            <w:pPr>
              <w:ind w:left="5"/>
              <w:jc w:val="both"/>
              <w:rPr>
                <w:rFonts w:ascii="Arial" w:hAnsi="Arial" w:cs="Arial"/>
                <w:color w:val="000000" w:themeColor="text1"/>
              </w:rPr>
            </w:pPr>
            <w:r w:rsidRPr="00021945">
              <w:rPr>
                <w:rFonts w:ascii="Arial" w:hAnsi="Arial" w:cs="Arial"/>
                <w:color w:val="000000" w:themeColor="text1"/>
              </w:rPr>
              <w:t xml:space="preserve">The market provides parking or is easily accessible </w:t>
            </w:r>
          </w:p>
        </w:tc>
        <w:tc>
          <w:tcPr>
            <w:tcW w:w="531" w:type="pct"/>
          </w:tcPr>
          <w:p w14:paraId="4824A5DE"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4.30</w:t>
            </w:r>
          </w:p>
        </w:tc>
        <w:tc>
          <w:tcPr>
            <w:tcW w:w="992" w:type="pct"/>
          </w:tcPr>
          <w:p w14:paraId="40FC078C" w14:textId="77777777" w:rsidR="006F256A" w:rsidRPr="00021945" w:rsidRDefault="006F256A" w:rsidP="006F256A">
            <w:pPr>
              <w:ind w:left="3"/>
              <w:jc w:val="center"/>
              <w:rPr>
                <w:rFonts w:ascii="Arial" w:hAnsi="Arial" w:cs="Arial"/>
                <w:color w:val="000000" w:themeColor="text1"/>
              </w:rPr>
            </w:pPr>
            <w:r w:rsidRPr="00021945">
              <w:rPr>
                <w:rFonts w:ascii="Arial" w:hAnsi="Arial" w:cs="Arial"/>
                <w:color w:val="000000" w:themeColor="text1"/>
              </w:rPr>
              <w:t>0.76</w:t>
            </w:r>
          </w:p>
        </w:tc>
        <w:tc>
          <w:tcPr>
            <w:tcW w:w="1100" w:type="pct"/>
          </w:tcPr>
          <w:p w14:paraId="1FBA4DCB" w14:textId="77777777" w:rsidR="006F256A" w:rsidRPr="00021945" w:rsidRDefault="006F256A" w:rsidP="006F256A">
            <w:pPr>
              <w:jc w:val="center"/>
              <w:rPr>
                <w:rFonts w:ascii="Arial" w:hAnsi="Arial" w:cs="Arial"/>
                <w:color w:val="000000" w:themeColor="text1"/>
              </w:rPr>
            </w:pPr>
            <w:r w:rsidRPr="00021945">
              <w:rPr>
                <w:rFonts w:ascii="Arial" w:hAnsi="Arial" w:cs="Arial"/>
                <w:color w:val="000000" w:themeColor="text1"/>
              </w:rPr>
              <w:t>Very High</w:t>
            </w:r>
          </w:p>
        </w:tc>
      </w:tr>
      <w:tr w:rsidR="00021945" w:rsidRPr="00021945" w14:paraId="68A2B357" w14:textId="77777777" w:rsidTr="006F256A">
        <w:trPr>
          <w:trHeight w:val="20"/>
        </w:trPr>
        <w:tc>
          <w:tcPr>
            <w:tcW w:w="390" w:type="pct"/>
          </w:tcPr>
          <w:p w14:paraId="49A0FB8C" w14:textId="77777777" w:rsidR="006F256A" w:rsidRPr="00021945" w:rsidRDefault="006F256A" w:rsidP="006F256A">
            <w:pPr>
              <w:spacing w:after="160"/>
              <w:jc w:val="both"/>
              <w:rPr>
                <w:rFonts w:ascii="Arial" w:hAnsi="Arial" w:cs="Arial"/>
                <w:color w:val="000000" w:themeColor="text1"/>
              </w:rPr>
            </w:pPr>
          </w:p>
        </w:tc>
        <w:tc>
          <w:tcPr>
            <w:tcW w:w="1987" w:type="pct"/>
          </w:tcPr>
          <w:p w14:paraId="3FDF11A3" w14:textId="77777777" w:rsidR="006F256A" w:rsidRPr="00021945" w:rsidRDefault="006F256A" w:rsidP="006F256A">
            <w:pPr>
              <w:ind w:left="860"/>
              <w:jc w:val="both"/>
              <w:rPr>
                <w:rFonts w:ascii="Arial" w:hAnsi="Arial" w:cs="Arial"/>
                <w:b/>
                <w:bCs/>
                <w:color w:val="000000" w:themeColor="text1"/>
              </w:rPr>
            </w:pPr>
            <w:r w:rsidRPr="00021945">
              <w:rPr>
                <w:rFonts w:ascii="Arial" w:hAnsi="Arial" w:cs="Arial"/>
                <w:b/>
                <w:bCs/>
                <w:color w:val="000000" w:themeColor="text1"/>
              </w:rPr>
              <w:t xml:space="preserve">Average </w:t>
            </w:r>
          </w:p>
        </w:tc>
        <w:tc>
          <w:tcPr>
            <w:tcW w:w="531" w:type="pct"/>
          </w:tcPr>
          <w:p w14:paraId="6BB463A4" w14:textId="77777777" w:rsidR="006F256A" w:rsidRPr="00021945" w:rsidRDefault="006F256A" w:rsidP="006F256A">
            <w:pPr>
              <w:ind w:left="3"/>
              <w:jc w:val="center"/>
              <w:rPr>
                <w:rFonts w:ascii="Arial" w:hAnsi="Arial" w:cs="Arial"/>
                <w:b/>
                <w:bCs/>
                <w:color w:val="000000" w:themeColor="text1"/>
              </w:rPr>
            </w:pPr>
            <w:r w:rsidRPr="00021945">
              <w:rPr>
                <w:rFonts w:ascii="Arial" w:hAnsi="Arial" w:cs="Arial"/>
                <w:b/>
                <w:bCs/>
                <w:color w:val="000000" w:themeColor="text1"/>
              </w:rPr>
              <w:t>4.34</w:t>
            </w:r>
          </w:p>
        </w:tc>
        <w:tc>
          <w:tcPr>
            <w:tcW w:w="992" w:type="pct"/>
          </w:tcPr>
          <w:p w14:paraId="025F8B16" w14:textId="77777777" w:rsidR="006F256A" w:rsidRPr="00021945" w:rsidRDefault="006F256A" w:rsidP="006F256A">
            <w:pPr>
              <w:ind w:left="3"/>
              <w:jc w:val="center"/>
              <w:rPr>
                <w:rFonts w:ascii="Arial" w:hAnsi="Arial" w:cs="Arial"/>
                <w:b/>
                <w:bCs/>
                <w:color w:val="000000" w:themeColor="text1"/>
              </w:rPr>
            </w:pPr>
            <w:r w:rsidRPr="00021945">
              <w:rPr>
                <w:rFonts w:ascii="Arial" w:hAnsi="Arial" w:cs="Arial"/>
                <w:b/>
                <w:bCs/>
                <w:color w:val="000000" w:themeColor="text1"/>
              </w:rPr>
              <w:t>0.63</w:t>
            </w:r>
          </w:p>
        </w:tc>
        <w:tc>
          <w:tcPr>
            <w:tcW w:w="1100" w:type="pct"/>
          </w:tcPr>
          <w:p w14:paraId="26676BE3" w14:textId="77777777" w:rsidR="006F256A" w:rsidRPr="00021945" w:rsidRDefault="006F256A" w:rsidP="006F256A">
            <w:pPr>
              <w:jc w:val="center"/>
              <w:rPr>
                <w:rFonts w:ascii="Arial" w:hAnsi="Arial" w:cs="Arial"/>
                <w:b/>
                <w:bCs/>
                <w:color w:val="000000" w:themeColor="text1"/>
              </w:rPr>
            </w:pPr>
            <w:r w:rsidRPr="00021945">
              <w:rPr>
                <w:rFonts w:ascii="Arial" w:hAnsi="Arial" w:cs="Arial"/>
                <w:b/>
                <w:bCs/>
                <w:color w:val="000000" w:themeColor="text1"/>
              </w:rPr>
              <w:t>Very High</w:t>
            </w:r>
          </w:p>
        </w:tc>
      </w:tr>
    </w:tbl>
    <w:p w14:paraId="123CDD25" w14:textId="2318FCAB" w:rsidR="00AB00E6" w:rsidRDefault="00AB00E6" w:rsidP="00AB00E6">
      <w:pPr>
        <w:pStyle w:val="Body"/>
        <w:spacing w:after="0"/>
        <w:rPr>
          <w:rFonts w:ascii="Arial" w:hAnsi="Arial" w:cs="Arial"/>
          <w:b/>
          <w:color w:val="FF0000"/>
          <w:sz w:val="22"/>
        </w:rPr>
      </w:pPr>
    </w:p>
    <w:p w14:paraId="2D065C63" w14:textId="69FCAF67" w:rsidR="00202905" w:rsidRPr="006B51C5" w:rsidRDefault="00E537B2" w:rsidP="00202905">
      <w:pPr>
        <w:pStyle w:val="Body"/>
        <w:rPr>
          <w:rFonts w:ascii="Arial" w:hAnsi="Arial" w:cs="Arial"/>
          <w:color w:val="000000" w:themeColor="text1"/>
        </w:rPr>
      </w:pPr>
      <w:r w:rsidRPr="006B51C5">
        <w:rPr>
          <w:rFonts w:ascii="Arial" w:hAnsi="Arial" w:cs="Arial"/>
          <w:color w:val="000000" w:themeColor="text1"/>
        </w:rPr>
        <w:t xml:space="preserve">In Table </w:t>
      </w:r>
      <w:r w:rsidR="006B51C5" w:rsidRPr="006B51C5">
        <w:rPr>
          <w:rFonts w:ascii="Arial" w:hAnsi="Arial" w:cs="Arial"/>
          <w:color w:val="000000" w:themeColor="text1"/>
        </w:rPr>
        <w:t>8</w:t>
      </w:r>
      <w:r w:rsidRPr="006B51C5">
        <w:rPr>
          <w:rFonts w:ascii="Arial" w:hAnsi="Arial" w:cs="Arial"/>
          <w:color w:val="000000" w:themeColor="text1"/>
        </w:rPr>
        <w:t>, the highest average is seen in the item "The agricultural products from vendors offer redeemable vouchers or discounts," which received a mean score of 4.30. This reflects a very high level of customer satisfaction, indicating that respondents are strongly satisfied with the availability of discounts and redeemable offers.</w:t>
      </w:r>
    </w:p>
    <w:p w14:paraId="681317AE" w14:textId="12D2D840" w:rsidR="00202905" w:rsidRPr="006B51C5" w:rsidRDefault="002C4E4C" w:rsidP="00202905">
      <w:pPr>
        <w:pStyle w:val="Body"/>
        <w:rPr>
          <w:rFonts w:ascii="Arial" w:hAnsi="Arial" w:cs="Arial"/>
          <w:color w:val="000000" w:themeColor="text1"/>
        </w:rPr>
      </w:pPr>
      <w:r w:rsidRPr="006B51C5">
        <w:rPr>
          <w:rFonts w:ascii="Arial" w:hAnsi="Arial" w:cs="Arial"/>
          <w:color w:val="000000" w:themeColor="text1"/>
        </w:rPr>
        <w:t xml:space="preserve">According to </w:t>
      </w:r>
      <w:r w:rsidR="00092FFA" w:rsidRPr="00092FFA">
        <w:rPr>
          <w:rFonts w:ascii="Arial" w:hAnsi="Arial" w:cs="Arial"/>
          <w:color w:val="000000" w:themeColor="text1"/>
        </w:rPr>
        <w:t>Pereira</w:t>
      </w:r>
      <w:r w:rsidR="00092FFA">
        <w:rPr>
          <w:rFonts w:ascii="Arial" w:hAnsi="Arial" w:cs="Arial"/>
          <w:color w:val="000000" w:themeColor="text1"/>
        </w:rPr>
        <w:t xml:space="preserve"> </w:t>
      </w:r>
      <w:r w:rsidRPr="006B51C5">
        <w:rPr>
          <w:rFonts w:ascii="Arial" w:hAnsi="Arial" w:cs="Arial"/>
          <w:color w:val="000000" w:themeColor="text1"/>
        </w:rPr>
        <w:t>et al. (</w:t>
      </w:r>
      <w:r w:rsidR="00092FFA">
        <w:rPr>
          <w:rFonts w:ascii="Arial" w:hAnsi="Arial" w:cs="Arial"/>
          <w:color w:val="000000" w:themeColor="text1"/>
        </w:rPr>
        <w:t>2025</w:t>
      </w:r>
      <w:r w:rsidRPr="006B51C5">
        <w:rPr>
          <w:rFonts w:ascii="Arial" w:hAnsi="Arial" w:cs="Arial"/>
          <w:color w:val="000000" w:themeColor="text1"/>
        </w:rPr>
        <w:t xml:space="preserve">), such promotional tactics enhance perceived value and encourage repeat purchases, making them an effective tool for increasing customer loyalty. On the other hand, the low average is observed in the item "The agricultural products from vendors offer membership cards or loyalty benefits," with a mean of 3.94, which falls under the high level of satisfaction. This suggests that while customers are generally satisfied, there is room for improvement in long-term promotional engagement strategies. As noted by Berman </w:t>
      </w:r>
      <w:r w:rsidR="0092524E">
        <w:rPr>
          <w:rFonts w:ascii="Arial" w:hAnsi="Arial" w:cs="Arial"/>
          <w:color w:val="000000" w:themeColor="text1"/>
        </w:rPr>
        <w:t>et al.</w:t>
      </w:r>
      <w:r w:rsidRPr="006B51C5">
        <w:rPr>
          <w:rFonts w:ascii="Arial" w:hAnsi="Arial" w:cs="Arial"/>
          <w:color w:val="000000" w:themeColor="text1"/>
        </w:rPr>
        <w:t xml:space="preserve"> (</w:t>
      </w:r>
      <w:r w:rsidR="0092524E">
        <w:rPr>
          <w:rFonts w:ascii="Arial" w:hAnsi="Arial" w:cs="Arial"/>
          <w:color w:val="000000" w:themeColor="text1"/>
        </w:rPr>
        <w:t>2017</w:t>
      </w:r>
      <w:r w:rsidRPr="006B51C5">
        <w:rPr>
          <w:rFonts w:ascii="Arial" w:hAnsi="Arial" w:cs="Arial"/>
          <w:color w:val="000000" w:themeColor="text1"/>
        </w:rPr>
        <w:t>), loyalty programs and personalized promotions are crucial in fostering lasting customer relationships, and their limited presence may diminish the effectiveness of promotional efforts in the public market.</w:t>
      </w:r>
    </w:p>
    <w:p w14:paraId="3F80669F" w14:textId="0AA5A5D8" w:rsidR="00202905" w:rsidRPr="006B51C5" w:rsidRDefault="00202905" w:rsidP="00202905">
      <w:pPr>
        <w:pStyle w:val="Body"/>
        <w:rPr>
          <w:rFonts w:ascii="Arial" w:hAnsi="Arial"/>
          <w:b/>
          <w:color w:val="000000" w:themeColor="text1"/>
        </w:rPr>
      </w:pPr>
      <w:r w:rsidRPr="006B51C5">
        <w:rPr>
          <w:rFonts w:ascii="Arial" w:hAnsi="Arial"/>
          <w:b/>
          <w:color w:val="000000" w:themeColor="text1"/>
        </w:rPr>
        <w:t xml:space="preserve">Table </w:t>
      </w:r>
      <w:r w:rsidR="00171658" w:rsidRPr="006B51C5">
        <w:rPr>
          <w:rFonts w:ascii="Arial" w:hAnsi="Arial"/>
          <w:b/>
          <w:color w:val="000000" w:themeColor="text1"/>
        </w:rPr>
        <w:t>8</w:t>
      </w:r>
      <w:r w:rsidRPr="006B51C5">
        <w:rPr>
          <w:rFonts w:ascii="Arial" w:hAnsi="Arial"/>
          <w:b/>
          <w:color w:val="000000" w:themeColor="text1"/>
        </w:rPr>
        <w:t>.</w:t>
      </w:r>
      <w:r w:rsidRPr="006B51C5">
        <w:rPr>
          <w:rFonts w:ascii="Arial" w:hAnsi="Arial"/>
          <w:b/>
          <w:color w:val="000000" w:themeColor="text1"/>
        </w:rPr>
        <w:tab/>
      </w:r>
      <w:r w:rsidR="00BB53E9" w:rsidRPr="006B51C5">
        <w:rPr>
          <w:rFonts w:ascii="Arial" w:hAnsi="Arial"/>
          <w:b/>
          <w:color w:val="000000" w:themeColor="text1"/>
        </w:rPr>
        <w:t>Level of customer satisfaction in terms of promotion</w:t>
      </w:r>
    </w:p>
    <w:tbl>
      <w:tblPr>
        <w:tblStyle w:val="APA"/>
        <w:tblW w:w="5000" w:type="pct"/>
        <w:tblLook w:val="04A0" w:firstRow="1" w:lastRow="0" w:firstColumn="1" w:lastColumn="0" w:noHBand="0" w:noVBand="1"/>
      </w:tblPr>
      <w:tblGrid>
        <w:gridCol w:w="656"/>
        <w:gridCol w:w="3386"/>
        <w:gridCol w:w="950"/>
        <w:gridCol w:w="1653"/>
        <w:gridCol w:w="1779"/>
      </w:tblGrid>
      <w:tr w:rsidR="006B51C5" w:rsidRPr="006B51C5" w14:paraId="4B19F45E" w14:textId="77777777" w:rsidTr="00BC70E3">
        <w:trPr>
          <w:cnfStyle w:val="100000000000" w:firstRow="1" w:lastRow="0" w:firstColumn="0" w:lastColumn="0" w:oddVBand="0" w:evenVBand="0" w:oddHBand="0" w:evenHBand="0" w:firstRowFirstColumn="0" w:firstRowLastColumn="0" w:lastRowFirstColumn="0" w:lastRowLastColumn="0"/>
          <w:trHeight w:val="20"/>
        </w:trPr>
        <w:tc>
          <w:tcPr>
            <w:tcW w:w="389" w:type="pct"/>
          </w:tcPr>
          <w:p w14:paraId="45927EF7" w14:textId="77777777" w:rsidR="00BC70E3" w:rsidRPr="00BC70E3" w:rsidRDefault="00BC70E3" w:rsidP="00BC70E3">
            <w:pPr>
              <w:ind w:left="53"/>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No. </w:t>
            </w:r>
          </w:p>
        </w:tc>
        <w:tc>
          <w:tcPr>
            <w:tcW w:w="2010" w:type="pct"/>
          </w:tcPr>
          <w:p w14:paraId="201DA3DF" w14:textId="77777777" w:rsidR="00BC70E3" w:rsidRPr="00BC70E3" w:rsidRDefault="00BC70E3" w:rsidP="00BC70E3">
            <w:pPr>
              <w:ind w:right="2"/>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Statement </w:t>
            </w:r>
          </w:p>
        </w:tc>
        <w:tc>
          <w:tcPr>
            <w:tcW w:w="564" w:type="pct"/>
          </w:tcPr>
          <w:p w14:paraId="2C246932" w14:textId="77777777" w:rsidR="00BC70E3" w:rsidRPr="00BC70E3" w:rsidRDefault="00BC70E3" w:rsidP="00BC70E3">
            <w:pPr>
              <w:ind w:left="96"/>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Mean </w:t>
            </w:r>
          </w:p>
        </w:tc>
        <w:tc>
          <w:tcPr>
            <w:tcW w:w="981" w:type="pct"/>
          </w:tcPr>
          <w:p w14:paraId="0BE46C13" w14:textId="77777777" w:rsidR="00BC70E3" w:rsidRPr="00BC70E3" w:rsidRDefault="00BC70E3" w:rsidP="00BC70E3">
            <w:pPr>
              <w:ind w:left="48"/>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Std. Deviation </w:t>
            </w:r>
          </w:p>
        </w:tc>
        <w:tc>
          <w:tcPr>
            <w:tcW w:w="1056" w:type="pct"/>
          </w:tcPr>
          <w:p w14:paraId="5512BE43" w14:textId="77777777" w:rsidR="00BC70E3" w:rsidRPr="00BC70E3" w:rsidRDefault="00BC70E3" w:rsidP="00BC70E3">
            <w:pPr>
              <w:ind w:right="13"/>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Interpretation </w:t>
            </w:r>
          </w:p>
        </w:tc>
      </w:tr>
      <w:tr w:rsidR="006B51C5" w:rsidRPr="006B51C5" w14:paraId="45EEDC9D" w14:textId="77777777" w:rsidTr="00BC70E3">
        <w:trPr>
          <w:trHeight w:val="20"/>
        </w:trPr>
        <w:tc>
          <w:tcPr>
            <w:tcW w:w="389" w:type="pct"/>
          </w:tcPr>
          <w:p w14:paraId="3DC0A6CB" w14:textId="77777777" w:rsidR="00BC70E3" w:rsidRPr="00BC70E3" w:rsidRDefault="00BC70E3" w:rsidP="00BC70E3">
            <w:pPr>
              <w:ind w:right="6"/>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1 </w:t>
            </w:r>
          </w:p>
        </w:tc>
        <w:tc>
          <w:tcPr>
            <w:tcW w:w="2010" w:type="pct"/>
          </w:tcPr>
          <w:p w14:paraId="22CBA220" w14:textId="77777777" w:rsidR="00BC70E3" w:rsidRPr="00BC70E3" w:rsidRDefault="00BC70E3" w:rsidP="00BC70E3">
            <w:pPr>
              <w:ind w:right="329"/>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The agricultural products from vendors offer redeemable vouchers or discounts. </w:t>
            </w:r>
          </w:p>
        </w:tc>
        <w:tc>
          <w:tcPr>
            <w:tcW w:w="564" w:type="pct"/>
          </w:tcPr>
          <w:p w14:paraId="79175A12" w14:textId="77777777" w:rsidR="00BC70E3" w:rsidRPr="00BC70E3" w:rsidRDefault="00BC70E3" w:rsidP="00BC70E3">
            <w:pPr>
              <w:ind w:right="11"/>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4.30</w:t>
            </w:r>
          </w:p>
        </w:tc>
        <w:tc>
          <w:tcPr>
            <w:tcW w:w="981" w:type="pct"/>
          </w:tcPr>
          <w:p w14:paraId="0FE76A70" w14:textId="77777777" w:rsidR="00BC70E3" w:rsidRPr="00BC70E3" w:rsidRDefault="00BC70E3" w:rsidP="00BC70E3">
            <w:pPr>
              <w:ind w:right="12"/>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0.83</w:t>
            </w:r>
          </w:p>
          <w:p w14:paraId="3BEB14F1" w14:textId="77777777" w:rsidR="00BC70E3" w:rsidRPr="00BC70E3" w:rsidRDefault="00BC70E3" w:rsidP="00BC70E3">
            <w:pPr>
              <w:ind w:left="52"/>
              <w:jc w:val="center"/>
              <w:rPr>
                <w:rFonts w:ascii="Arial" w:eastAsia="DengXian" w:hAnsi="Arial" w:cs="Arial"/>
                <w:color w:val="000000" w:themeColor="text1"/>
                <w:lang w:val="en-PH" w:eastAsia="en-PH"/>
              </w:rPr>
            </w:pPr>
          </w:p>
        </w:tc>
        <w:tc>
          <w:tcPr>
            <w:tcW w:w="1056" w:type="pct"/>
          </w:tcPr>
          <w:p w14:paraId="448F3B9D" w14:textId="77777777" w:rsidR="00BC70E3" w:rsidRPr="00BC70E3" w:rsidRDefault="00BC70E3" w:rsidP="00BC70E3">
            <w:pPr>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Very High</w:t>
            </w:r>
          </w:p>
        </w:tc>
      </w:tr>
      <w:tr w:rsidR="006B51C5" w:rsidRPr="006B51C5" w14:paraId="477F3F95" w14:textId="77777777" w:rsidTr="00BC70E3">
        <w:trPr>
          <w:trHeight w:val="20"/>
        </w:trPr>
        <w:tc>
          <w:tcPr>
            <w:tcW w:w="389" w:type="pct"/>
          </w:tcPr>
          <w:p w14:paraId="7792400F" w14:textId="77777777" w:rsidR="00BC70E3" w:rsidRPr="00BC70E3" w:rsidRDefault="00BC70E3" w:rsidP="00BC70E3">
            <w:pPr>
              <w:ind w:right="6"/>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2 </w:t>
            </w:r>
          </w:p>
        </w:tc>
        <w:tc>
          <w:tcPr>
            <w:tcW w:w="2010" w:type="pct"/>
          </w:tcPr>
          <w:p w14:paraId="40B07529" w14:textId="77777777" w:rsidR="00BC70E3" w:rsidRPr="00BC70E3" w:rsidRDefault="00BC70E3" w:rsidP="00BC70E3">
            <w:pPr>
              <w:ind w:right="260"/>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Agricultural products from </w:t>
            </w:r>
            <w:r w:rsidRPr="00BC70E3">
              <w:rPr>
                <w:rFonts w:ascii="Arial" w:eastAsia="DengXian" w:hAnsi="Arial" w:cs="Arial"/>
                <w:color w:val="000000" w:themeColor="text1"/>
                <w:lang w:val="en-PH" w:eastAsia="en-PH"/>
              </w:rPr>
              <w:lastRenderedPageBreak/>
              <w:t xml:space="preserve">vendors are advertised through posters and announcements. </w:t>
            </w:r>
          </w:p>
        </w:tc>
        <w:tc>
          <w:tcPr>
            <w:tcW w:w="564" w:type="pct"/>
          </w:tcPr>
          <w:p w14:paraId="4C8B8D85" w14:textId="77777777" w:rsidR="00BC70E3" w:rsidRPr="00BC70E3" w:rsidRDefault="00BC70E3" w:rsidP="00BC70E3">
            <w:pPr>
              <w:ind w:right="11"/>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lastRenderedPageBreak/>
              <w:t>4.05</w:t>
            </w:r>
          </w:p>
        </w:tc>
        <w:tc>
          <w:tcPr>
            <w:tcW w:w="981" w:type="pct"/>
          </w:tcPr>
          <w:p w14:paraId="20C1092D" w14:textId="77777777" w:rsidR="00BC70E3" w:rsidRPr="00BC70E3" w:rsidRDefault="00BC70E3" w:rsidP="00BC70E3">
            <w:pPr>
              <w:ind w:right="12"/>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0.96</w:t>
            </w:r>
          </w:p>
        </w:tc>
        <w:tc>
          <w:tcPr>
            <w:tcW w:w="1056" w:type="pct"/>
          </w:tcPr>
          <w:p w14:paraId="2889BF5E" w14:textId="77777777" w:rsidR="00BC70E3" w:rsidRPr="00BC70E3" w:rsidRDefault="00BC70E3" w:rsidP="00BC70E3">
            <w:pPr>
              <w:ind w:right="12"/>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High</w:t>
            </w:r>
          </w:p>
        </w:tc>
      </w:tr>
      <w:tr w:rsidR="006B51C5" w:rsidRPr="006B51C5" w14:paraId="54BAEB5A" w14:textId="77777777" w:rsidTr="00BC70E3">
        <w:trPr>
          <w:trHeight w:val="20"/>
        </w:trPr>
        <w:tc>
          <w:tcPr>
            <w:tcW w:w="389" w:type="pct"/>
          </w:tcPr>
          <w:p w14:paraId="77B70713" w14:textId="77777777" w:rsidR="00BC70E3" w:rsidRPr="00BC70E3" w:rsidRDefault="00BC70E3" w:rsidP="00BC70E3">
            <w:pPr>
              <w:ind w:right="6"/>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3 </w:t>
            </w:r>
          </w:p>
        </w:tc>
        <w:tc>
          <w:tcPr>
            <w:tcW w:w="2010" w:type="pct"/>
          </w:tcPr>
          <w:p w14:paraId="43975CD6" w14:textId="77777777" w:rsidR="00BC70E3" w:rsidRPr="00BC70E3" w:rsidRDefault="00BC70E3" w:rsidP="00BC70E3">
            <w:pPr>
              <w:ind w:right="102"/>
              <w:jc w:val="both"/>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 xml:space="preserve">Agricultural products from vendors often offer membership cards or loyalty benefits. </w:t>
            </w:r>
          </w:p>
        </w:tc>
        <w:tc>
          <w:tcPr>
            <w:tcW w:w="564" w:type="pct"/>
          </w:tcPr>
          <w:p w14:paraId="20D15E2D" w14:textId="77777777" w:rsidR="00BC70E3" w:rsidRPr="00BC70E3" w:rsidRDefault="00BC70E3" w:rsidP="00BC70E3">
            <w:pPr>
              <w:ind w:right="11"/>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3.94</w:t>
            </w:r>
          </w:p>
        </w:tc>
        <w:tc>
          <w:tcPr>
            <w:tcW w:w="981" w:type="pct"/>
          </w:tcPr>
          <w:p w14:paraId="1B16B56C" w14:textId="77777777" w:rsidR="00BC70E3" w:rsidRPr="00BC70E3" w:rsidRDefault="00BC70E3" w:rsidP="00BC70E3">
            <w:pPr>
              <w:ind w:right="12"/>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1.00</w:t>
            </w:r>
          </w:p>
        </w:tc>
        <w:tc>
          <w:tcPr>
            <w:tcW w:w="1056" w:type="pct"/>
          </w:tcPr>
          <w:p w14:paraId="513AB83D" w14:textId="77777777" w:rsidR="00BC70E3" w:rsidRPr="00BC70E3" w:rsidRDefault="00BC70E3" w:rsidP="00BC70E3">
            <w:pPr>
              <w:ind w:right="12"/>
              <w:jc w:val="center"/>
              <w:rPr>
                <w:rFonts w:ascii="Arial" w:eastAsia="DengXian" w:hAnsi="Arial" w:cs="Arial"/>
                <w:color w:val="000000" w:themeColor="text1"/>
                <w:lang w:val="en-PH" w:eastAsia="en-PH"/>
              </w:rPr>
            </w:pPr>
            <w:r w:rsidRPr="00BC70E3">
              <w:rPr>
                <w:rFonts w:ascii="Arial" w:eastAsia="DengXian" w:hAnsi="Arial" w:cs="Arial"/>
                <w:color w:val="000000" w:themeColor="text1"/>
                <w:lang w:val="en-PH" w:eastAsia="en-PH"/>
              </w:rPr>
              <w:t>High</w:t>
            </w:r>
          </w:p>
        </w:tc>
      </w:tr>
      <w:tr w:rsidR="006B51C5" w:rsidRPr="006B51C5" w14:paraId="740BF144" w14:textId="77777777" w:rsidTr="00BC70E3">
        <w:trPr>
          <w:trHeight w:val="20"/>
        </w:trPr>
        <w:tc>
          <w:tcPr>
            <w:tcW w:w="389" w:type="pct"/>
          </w:tcPr>
          <w:p w14:paraId="21E3CAD1" w14:textId="77777777" w:rsidR="00BC70E3" w:rsidRPr="00BC70E3" w:rsidRDefault="00BC70E3" w:rsidP="00BC70E3">
            <w:pPr>
              <w:spacing w:after="160"/>
              <w:jc w:val="both"/>
              <w:rPr>
                <w:rFonts w:ascii="Arial" w:eastAsia="DengXian" w:hAnsi="Arial" w:cs="Arial"/>
                <w:color w:val="000000" w:themeColor="text1"/>
                <w:lang w:val="en-PH" w:eastAsia="en-PH"/>
              </w:rPr>
            </w:pPr>
          </w:p>
        </w:tc>
        <w:tc>
          <w:tcPr>
            <w:tcW w:w="2010" w:type="pct"/>
          </w:tcPr>
          <w:p w14:paraId="3AE875B7" w14:textId="77777777" w:rsidR="00BC70E3" w:rsidRPr="00BC70E3" w:rsidRDefault="00BC70E3" w:rsidP="00BC70E3">
            <w:pPr>
              <w:ind w:left="874"/>
              <w:jc w:val="both"/>
              <w:rPr>
                <w:rFonts w:ascii="Arial" w:eastAsia="DengXian" w:hAnsi="Arial" w:cs="Arial"/>
                <w:b/>
                <w:bCs/>
                <w:color w:val="000000" w:themeColor="text1"/>
                <w:lang w:val="en-PH" w:eastAsia="en-PH"/>
              </w:rPr>
            </w:pPr>
            <w:r w:rsidRPr="00BC70E3">
              <w:rPr>
                <w:rFonts w:ascii="Arial" w:eastAsia="DengXian" w:hAnsi="Arial" w:cs="Arial"/>
                <w:b/>
                <w:bCs/>
                <w:color w:val="000000" w:themeColor="text1"/>
                <w:lang w:val="en-PH" w:eastAsia="en-PH"/>
              </w:rPr>
              <w:t xml:space="preserve">Average </w:t>
            </w:r>
          </w:p>
        </w:tc>
        <w:tc>
          <w:tcPr>
            <w:tcW w:w="564" w:type="pct"/>
          </w:tcPr>
          <w:p w14:paraId="02F8B365" w14:textId="77777777" w:rsidR="00BC70E3" w:rsidRPr="00BC70E3" w:rsidRDefault="00BC70E3" w:rsidP="00BC70E3">
            <w:pPr>
              <w:ind w:right="11"/>
              <w:jc w:val="center"/>
              <w:rPr>
                <w:rFonts w:ascii="Arial" w:eastAsia="DengXian" w:hAnsi="Arial" w:cs="Arial"/>
                <w:b/>
                <w:bCs/>
                <w:color w:val="000000" w:themeColor="text1"/>
                <w:lang w:val="en-PH" w:eastAsia="en-PH"/>
              </w:rPr>
            </w:pPr>
            <w:r w:rsidRPr="00BC70E3">
              <w:rPr>
                <w:rFonts w:ascii="Arial" w:eastAsia="DengXian" w:hAnsi="Arial" w:cs="Arial"/>
                <w:b/>
                <w:bCs/>
                <w:color w:val="000000" w:themeColor="text1"/>
                <w:lang w:val="en-PH" w:eastAsia="en-PH"/>
              </w:rPr>
              <w:t>4.09</w:t>
            </w:r>
          </w:p>
        </w:tc>
        <w:tc>
          <w:tcPr>
            <w:tcW w:w="981" w:type="pct"/>
          </w:tcPr>
          <w:p w14:paraId="1A06C8DD" w14:textId="77777777" w:rsidR="00BC70E3" w:rsidRPr="00BC70E3" w:rsidRDefault="00BC70E3" w:rsidP="00BC70E3">
            <w:pPr>
              <w:ind w:right="12"/>
              <w:jc w:val="center"/>
              <w:rPr>
                <w:rFonts w:ascii="Arial" w:eastAsia="DengXian" w:hAnsi="Arial" w:cs="Arial"/>
                <w:b/>
                <w:bCs/>
                <w:color w:val="000000" w:themeColor="text1"/>
                <w:lang w:val="en-PH" w:eastAsia="en-PH"/>
              </w:rPr>
            </w:pPr>
            <w:r w:rsidRPr="00BC70E3">
              <w:rPr>
                <w:rFonts w:ascii="Arial" w:eastAsia="DengXian" w:hAnsi="Arial" w:cs="Arial"/>
                <w:b/>
                <w:bCs/>
                <w:color w:val="000000" w:themeColor="text1"/>
                <w:lang w:val="en-PH" w:eastAsia="en-PH"/>
              </w:rPr>
              <w:t>0.73</w:t>
            </w:r>
          </w:p>
        </w:tc>
        <w:tc>
          <w:tcPr>
            <w:tcW w:w="1056" w:type="pct"/>
          </w:tcPr>
          <w:p w14:paraId="11548F59" w14:textId="77777777" w:rsidR="00BC70E3" w:rsidRPr="00BC70E3" w:rsidRDefault="00BC70E3" w:rsidP="00BC70E3">
            <w:pPr>
              <w:ind w:right="12"/>
              <w:jc w:val="center"/>
              <w:rPr>
                <w:rFonts w:ascii="Arial" w:eastAsia="DengXian" w:hAnsi="Arial" w:cs="Arial"/>
                <w:b/>
                <w:bCs/>
                <w:color w:val="000000" w:themeColor="text1"/>
                <w:lang w:val="en-PH" w:eastAsia="en-PH"/>
              </w:rPr>
            </w:pPr>
            <w:r w:rsidRPr="00BC70E3">
              <w:rPr>
                <w:rFonts w:ascii="Arial" w:eastAsia="DengXian" w:hAnsi="Arial" w:cs="Arial"/>
                <w:b/>
                <w:bCs/>
                <w:color w:val="000000" w:themeColor="text1"/>
                <w:lang w:val="en-PH" w:eastAsia="en-PH"/>
              </w:rPr>
              <w:t>High</w:t>
            </w:r>
          </w:p>
        </w:tc>
      </w:tr>
    </w:tbl>
    <w:p w14:paraId="3B80BA6C" w14:textId="77777777" w:rsidR="00202905" w:rsidRPr="00AA7DD1" w:rsidRDefault="00202905" w:rsidP="00AB00E6">
      <w:pPr>
        <w:pStyle w:val="Body"/>
        <w:spacing w:after="0"/>
        <w:rPr>
          <w:rFonts w:ascii="Arial" w:hAnsi="Arial" w:cs="Arial"/>
          <w:b/>
          <w:color w:val="EE0000"/>
          <w:sz w:val="22"/>
        </w:rPr>
      </w:pPr>
    </w:p>
    <w:p w14:paraId="495FFE8E" w14:textId="27992E8B" w:rsidR="00AA7DD1" w:rsidRPr="00A03034" w:rsidRDefault="00FF7521" w:rsidP="00AA7DD1">
      <w:pPr>
        <w:pStyle w:val="Body"/>
        <w:rPr>
          <w:rFonts w:ascii="Arial" w:hAnsi="Arial" w:cs="Arial"/>
          <w:color w:val="000000" w:themeColor="text1"/>
        </w:rPr>
      </w:pPr>
      <w:r w:rsidRPr="00A03034">
        <w:rPr>
          <w:rFonts w:ascii="Arial" w:hAnsi="Arial" w:cs="Arial"/>
          <w:color w:val="000000" w:themeColor="text1"/>
        </w:rPr>
        <w:t xml:space="preserve">In Table </w:t>
      </w:r>
      <w:r w:rsidR="0097513F" w:rsidRPr="00A03034">
        <w:rPr>
          <w:rFonts w:ascii="Arial" w:hAnsi="Arial" w:cs="Arial"/>
          <w:color w:val="000000" w:themeColor="text1"/>
        </w:rPr>
        <w:t>9</w:t>
      </w:r>
      <w:r w:rsidRPr="00A03034">
        <w:rPr>
          <w:rFonts w:ascii="Arial" w:hAnsi="Arial" w:cs="Arial"/>
          <w:color w:val="000000" w:themeColor="text1"/>
        </w:rPr>
        <w:t>, the high average is found in the item "The vendors can solve any agricultural product-related issues effectively," which earned a mean score of 4.48. This reflects a very high level of customer satisfaction, meaning that customers are strongly satisfied with vendors' problem-solving abilities. This aligns with Parasuraman et al. (</w:t>
      </w:r>
      <w:r w:rsidR="00F176BA">
        <w:rPr>
          <w:rFonts w:ascii="Arial" w:hAnsi="Arial" w:cs="Arial"/>
          <w:color w:val="000000" w:themeColor="text1"/>
        </w:rPr>
        <w:t>1988</w:t>
      </w:r>
      <w:r w:rsidRPr="00A03034">
        <w:rPr>
          <w:rFonts w:ascii="Arial" w:hAnsi="Arial" w:cs="Arial"/>
          <w:color w:val="000000" w:themeColor="text1"/>
        </w:rPr>
        <w:t>), who emphasize that effective issue resolution is a key factor in building trust and loyalty in service interactions. Conversely, the low average appears in the item “The vendors provide fast service,” with a mean of 4.13, falling under the high satisfaction level.</w:t>
      </w:r>
    </w:p>
    <w:p w14:paraId="02B56063" w14:textId="068DBF59" w:rsidR="00AA7DD1" w:rsidRPr="00A03034" w:rsidRDefault="007C7527" w:rsidP="00AA7DD1">
      <w:pPr>
        <w:pStyle w:val="Body"/>
        <w:rPr>
          <w:rFonts w:ascii="Arial" w:hAnsi="Arial" w:cs="Arial"/>
          <w:color w:val="000000" w:themeColor="text1"/>
        </w:rPr>
      </w:pPr>
      <w:r w:rsidRPr="00A03034">
        <w:rPr>
          <w:rFonts w:ascii="Arial" w:hAnsi="Arial" w:cs="Arial"/>
          <w:color w:val="000000" w:themeColor="text1"/>
        </w:rPr>
        <w:t xml:space="preserve">This indicates that while customers are generally satisfied, there is some inconsistency in the speed of service delivery. Addressing this through training in responsiveness and time management could further enhance the overall service experience (Parasuraman et al., </w:t>
      </w:r>
      <w:r w:rsidR="00F176BA">
        <w:rPr>
          <w:rFonts w:ascii="Arial" w:hAnsi="Arial" w:cs="Arial"/>
          <w:color w:val="000000" w:themeColor="text1"/>
        </w:rPr>
        <w:t>1988</w:t>
      </w:r>
      <w:r w:rsidRPr="00A03034">
        <w:rPr>
          <w:rFonts w:ascii="Arial" w:hAnsi="Arial" w:cs="Arial"/>
          <w:color w:val="000000" w:themeColor="text1"/>
        </w:rPr>
        <w:t>).</w:t>
      </w:r>
    </w:p>
    <w:p w14:paraId="033F5E6E" w14:textId="014A6450" w:rsidR="00AA7DD1" w:rsidRPr="00A03034" w:rsidRDefault="00AA7DD1" w:rsidP="00AA7DD1">
      <w:pPr>
        <w:pStyle w:val="Body"/>
        <w:rPr>
          <w:rFonts w:ascii="Arial" w:hAnsi="Arial"/>
          <w:b/>
          <w:color w:val="000000" w:themeColor="text1"/>
        </w:rPr>
      </w:pPr>
      <w:r w:rsidRPr="00A03034">
        <w:rPr>
          <w:rFonts w:ascii="Arial" w:hAnsi="Arial"/>
          <w:b/>
          <w:color w:val="000000" w:themeColor="text1"/>
        </w:rPr>
        <w:t xml:space="preserve">Table </w:t>
      </w:r>
      <w:r w:rsidR="00171658" w:rsidRPr="00A03034">
        <w:rPr>
          <w:rFonts w:ascii="Arial" w:hAnsi="Arial"/>
          <w:b/>
          <w:color w:val="000000" w:themeColor="text1"/>
        </w:rPr>
        <w:t>9</w:t>
      </w:r>
      <w:r w:rsidRPr="00A03034">
        <w:rPr>
          <w:rFonts w:ascii="Arial" w:hAnsi="Arial"/>
          <w:b/>
          <w:color w:val="000000" w:themeColor="text1"/>
        </w:rPr>
        <w:t>.</w:t>
      </w:r>
      <w:r w:rsidRPr="00A03034">
        <w:rPr>
          <w:rFonts w:ascii="Arial" w:hAnsi="Arial"/>
          <w:b/>
          <w:color w:val="000000" w:themeColor="text1"/>
        </w:rPr>
        <w:tab/>
      </w:r>
      <w:r w:rsidR="00331462" w:rsidRPr="00A03034">
        <w:rPr>
          <w:rFonts w:ascii="Arial" w:hAnsi="Arial"/>
          <w:b/>
          <w:color w:val="000000" w:themeColor="text1"/>
        </w:rPr>
        <w:t>Level of customer satisfaction in terms of people</w:t>
      </w:r>
    </w:p>
    <w:tbl>
      <w:tblPr>
        <w:tblStyle w:val="APA"/>
        <w:tblpPr w:leftFromText="180" w:rightFromText="180" w:vertAnchor="text" w:horzAnchor="margin" w:tblpY="72"/>
        <w:tblW w:w="5000" w:type="pct"/>
        <w:tblLook w:val="04A0" w:firstRow="1" w:lastRow="0" w:firstColumn="1" w:lastColumn="0" w:noHBand="0" w:noVBand="1"/>
      </w:tblPr>
      <w:tblGrid>
        <w:gridCol w:w="551"/>
        <w:gridCol w:w="3129"/>
        <w:gridCol w:w="1233"/>
        <w:gridCol w:w="1695"/>
        <w:gridCol w:w="1816"/>
      </w:tblGrid>
      <w:tr w:rsidR="00A03034" w:rsidRPr="00A03034" w14:paraId="5A131E13" w14:textId="77777777" w:rsidTr="00776B16">
        <w:trPr>
          <w:cnfStyle w:val="100000000000" w:firstRow="1" w:lastRow="0" w:firstColumn="0" w:lastColumn="0" w:oddVBand="0" w:evenVBand="0" w:oddHBand="0" w:evenHBand="0" w:firstRowFirstColumn="0" w:firstRowLastColumn="0" w:lastRowFirstColumn="0" w:lastRowLastColumn="0"/>
          <w:trHeight w:val="20"/>
        </w:trPr>
        <w:tc>
          <w:tcPr>
            <w:tcW w:w="327" w:type="pct"/>
          </w:tcPr>
          <w:p w14:paraId="5B33B334"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No. </w:t>
            </w:r>
          </w:p>
        </w:tc>
        <w:tc>
          <w:tcPr>
            <w:tcW w:w="1857" w:type="pct"/>
          </w:tcPr>
          <w:p w14:paraId="696EC3A1" w14:textId="5E86154D" w:rsidR="00776B16" w:rsidRPr="00776B16" w:rsidRDefault="00776B16" w:rsidP="00776B16">
            <w:pPr>
              <w:ind w:left="5"/>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 </w:t>
            </w:r>
            <w:r w:rsidRPr="00A03034">
              <w:rPr>
                <w:color w:val="000000" w:themeColor="text1"/>
              </w:rPr>
              <w:t xml:space="preserve"> </w:t>
            </w:r>
            <w:r w:rsidRPr="00A03034">
              <w:rPr>
                <w:rFonts w:ascii="Arial" w:eastAsia="DengXian" w:hAnsi="Arial" w:cs="Arial"/>
                <w:color w:val="000000" w:themeColor="text1"/>
                <w:lang w:val="en-PH" w:eastAsia="en-PH"/>
              </w:rPr>
              <w:t>Statement</w:t>
            </w:r>
          </w:p>
        </w:tc>
        <w:tc>
          <w:tcPr>
            <w:tcW w:w="732" w:type="pct"/>
          </w:tcPr>
          <w:p w14:paraId="5953ED59" w14:textId="77777777" w:rsidR="00776B16" w:rsidRPr="00776B16" w:rsidRDefault="00776B16" w:rsidP="00776B16">
            <w:pPr>
              <w:ind w:right="64"/>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Mean </w:t>
            </w:r>
          </w:p>
        </w:tc>
        <w:tc>
          <w:tcPr>
            <w:tcW w:w="1006" w:type="pct"/>
          </w:tcPr>
          <w:p w14:paraId="03C564D3"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Std. Deviation </w:t>
            </w:r>
          </w:p>
        </w:tc>
        <w:tc>
          <w:tcPr>
            <w:tcW w:w="1078" w:type="pct"/>
          </w:tcPr>
          <w:p w14:paraId="46B99EEF" w14:textId="77777777" w:rsidR="00776B16" w:rsidRPr="00776B16" w:rsidRDefault="00776B16" w:rsidP="00776B16">
            <w:pPr>
              <w:ind w:left="5"/>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Interpretation </w:t>
            </w:r>
          </w:p>
        </w:tc>
      </w:tr>
      <w:tr w:rsidR="00A03034" w:rsidRPr="00A03034" w14:paraId="13549C07" w14:textId="77777777" w:rsidTr="00776B16">
        <w:trPr>
          <w:trHeight w:val="20"/>
        </w:trPr>
        <w:tc>
          <w:tcPr>
            <w:tcW w:w="327" w:type="pct"/>
          </w:tcPr>
          <w:p w14:paraId="2A75A448"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1 </w:t>
            </w:r>
          </w:p>
        </w:tc>
        <w:tc>
          <w:tcPr>
            <w:tcW w:w="1857" w:type="pct"/>
          </w:tcPr>
          <w:p w14:paraId="7E2C2EC7" w14:textId="77777777" w:rsidR="00776B16" w:rsidRPr="00776B16" w:rsidRDefault="00776B16" w:rsidP="00776B16">
            <w:pPr>
              <w:ind w:left="5" w:right="500"/>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The vendors and staff are friendly and have a neat appearance. </w:t>
            </w:r>
          </w:p>
        </w:tc>
        <w:tc>
          <w:tcPr>
            <w:tcW w:w="732" w:type="pct"/>
          </w:tcPr>
          <w:p w14:paraId="000B7338" w14:textId="77777777" w:rsidR="00776B16" w:rsidRPr="00776B16" w:rsidRDefault="00776B16" w:rsidP="00776B16">
            <w:pPr>
              <w:ind w:left="513" w:right="303" w:hanging="211"/>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4.17</w:t>
            </w:r>
          </w:p>
        </w:tc>
        <w:tc>
          <w:tcPr>
            <w:tcW w:w="1006" w:type="pct"/>
          </w:tcPr>
          <w:p w14:paraId="524FE69C" w14:textId="77777777" w:rsidR="00776B16" w:rsidRPr="00776B16" w:rsidRDefault="00776B16" w:rsidP="00776B16">
            <w:pPr>
              <w:ind w:right="55"/>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1.08</w:t>
            </w:r>
          </w:p>
        </w:tc>
        <w:tc>
          <w:tcPr>
            <w:tcW w:w="1078" w:type="pct"/>
          </w:tcPr>
          <w:p w14:paraId="5E4EE283" w14:textId="77777777" w:rsidR="00776B16" w:rsidRPr="00776B16" w:rsidRDefault="00776B16" w:rsidP="00776B16">
            <w:pPr>
              <w:ind w:right="51"/>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High</w:t>
            </w:r>
          </w:p>
        </w:tc>
      </w:tr>
      <w:tr w:rsidR="00A03034" w:rsidRPr="00A03034" w14:paraId="637ED9DE" w14:textId="77777777" w:rsidTr="00776B16">
        <w:trPr>
          <w:trHeight w:val="20"/>
        </w:trPr>
        <w:tc>
          <w:tcPr>
            <w:tcW w:w="327" w:type="pct"/>
          </w:tcPr>
          <w:p w14:paraId="2FF26341"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2 </w:t>
            </w:r>
          </w:p>
        </w:tc>
        <w:tc>
          <w:tcPr>
            <w:tcW w:w="1857" w:type="pct"/>
          </w:tcPr>
          <w:p w14:paraId="00D67CA0" w14:textId="77777777" w:rsidR="00776B16" w:rsidRPr="00776B16" w:rsidRDefault="00776B16" w:rsidP="00776B16">
            <w:pPr>
              <w:ind w:left="5"/>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The vendors greet and acknowledge promptly. </w:t>
            </w:r>
          </w:p>
        </w:tc>
        <w:tc>
          <w:tcPr>
            <w:tcW w:w="732" w:type="pct"/>
          </w:tcPr>
          <w:p w14:paraId="3F77A898" w14:textId="77777777" w:rsidR="00776B16" w:rsidRPr="00776B16" w:rsidRDefault="00776B16" w:rsidP="00776B16">
            <w:pPr>
              <w:ind w:right="59"/>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4.25</w:t>
            </w:r>
          </w:p>
        </w:tc>
        <w:tc>
          <w:tcPr>
            <w:tcW w:w="1006" w:type="pct"/>
          </w:tcPr>
          <w:p w14:paraId="6C8B97F9" w14:textId="77777777" w:rsidR="00776B16" w:rsidRPr="00776B16" w:rsidRDefault="00776B16" w:rsidP="00776B16">
            <w:pPr>
              <w:ind w:right="55"/>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1.01</w:t>
            </w:r>
          </w:p>
        </w:tc>
        <w:tc>
          <w:tcPr>
            <w:tcW w:w="1078" w:type="pct"/>
          </w:tcPr>
          <w:p w14:paraId="42521F12" w14:textId="77777777" w:rsidR="00776B16" w:rsidRPr="00776B16" w:rsidRDefault="00776B16" w:rsidP="00776B16">
            <w:pPr>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Very High</w:t>
            </w:r>
          </w:p>
        </w:tc>
      </w:tr>
      <w:tr w:rsidR="00A03034" w:rsidRPr="00A03034" w14:paraId="469A1583" w14:textId="77777777" w:rsidTr="00776B16">
        <w:trPr>
          <w:trHeight w:val="20"/>
        </w:trPr>
        <w:tc>
          <w:tcPr>
            <w:tcW w:w="327" w:type="pct"/>
          </w:tcPr>
          <w:p w14:paraId="1478FBCF"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3 </w:t>
            </w:r>
          </w:p>
        </w:tc>
        <w:tc>
          <w:tcPr>
            <w:tcW w:w="1857" w:type="pct"/>
          </w:tcPr>
          <w:p w14:paraId="0060E5BB" w14:textId="77777777" w:rsidR="00776B16" w:rsidRPr="00776B16" w:rsidRDefault="00776B16" w:rsidP="00776B16">
            <w:pPr>
              <w:ind w:left="5"/>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The vendors provide fast service. </w:t>
            </w:r>
          </w:p>
        </w:tc>
        <w:tc>
          <w:tcPr>
            <w:tcW w:w="732" w:type="pct"/>
          </w:tcPr>
          <w:p w14:paraId="2059ECE2" w14:textId="77777777" w:rsidR="00776B16" w:rsidRPr="00776B16" w:rsidRDefault="00776B16" w:rsidP="00776B16">
            <w:pPr>
              <w:ind w:right="59"/>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4.13</w:t>
            </w:r>
          </w:p>
        </w:tc>
        <w:tc>
          <w:tcPr>
            <w:tcW w:w="1006" w:type="pct"/>
          </w:tcPr>
          <w:p w14:paraId="34E16B8D" w14:textId="77777777" w:rsidR="00776B16" w:rsidRPr="00776B16" w:rsidRDefault="00776B16" w:rsidP="00776B16">
            <w:pPr>
              <w:ind w:right="55"/>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1.22</w:t>
            </w:r>
          </w:p>
        </w:tc>
        <w:tc>
          <w:tcPr>
            <w:tcW w:w="1078" w:type="pct"/>
          </w:tcPr>
          <w:p w14:paraId="46E7D318" w14:textId="77777777" w:rsidR="00776B16" w:rsidRPr="00776B16" w:rsidRDefault="00776B16" w:rsidP="00776B16">
            <w:pPr>
              <w:ind w:right="51"/>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High</w:t>
            </w:r>
          </w:p>
        </w:tc>
      </w:tr>
      <w:tr w:rsidR="00A03034" w:rsidRPr="00A03034" w14:paraId="0A8E2EE0" w14:textId="77777777" w:rsidTr="00776B16">
        <w:trPr>
          <w:trHeight w:val="20"/>
        </w:trPr>
        <w:tc>
          <w:tcPr>
            <w:tcW w:w="327" w:type="pct"/>
          </w:tcPr>
          <w:p w14:paraId="20381B9B"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4 </w:t>
            </w:r>
          </w:p>
        </w:tc>
        <w:tc>
          <w:tcPr>
            <w:tcW w:w="1857" w:type="pct"/>
          </w:tcPr>
          <w:p w14:paraId="2387DB0F" w14:textId="77777777" w:rsidR="00776B16" w:rsidRPr="00776B16" w:rsidRDefault="00776B16" w:rsidP="00776B16">
            <w:pPr>
              <w:ind w:left="5" w:right="388"/>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The vendors clearly explain the details of the agricultural products and are happy to answer questions. </w:t>
            </w:r>
          </w:p>
        </w:tc>
        <w:tc>
          <w:tcPr>
            <w:tcW w:w="732" w:type="pct"/>
          </w:tcPr>
          <w:p w14:paraId="2DEB8872" w14:textId="77777777" w:rsidR="00776B16" w:rsidRPr="00776B16" w:rsidRDefault="00776B16" w:rsidP="00776B16">
            <w:pPr>
              <w:ind w:right="59"/>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4.34</w:t>
            </w:r>
          </w:p>
        </w:tc>
        <w:tc>
          <w:tcPr>
            <w:tcW w:w="1006" w:type="pct"/>
          </w:tcPr>
          <w:p w14:paraId="3FDE4785" w14:textId="77777777" w:rsidR="00776B16" w:rsidRPr="00776B16" w:rsidRDefault="00776B16" w:rsidP="00776B16">
            <w:pPr>
              <w:ind w:right="55"/>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0.95</w:t>
            </w:r>
          </w:p>
        </w:tc>
        <w:tc>
          <w:tcPr>
            <w:tcW w:w="1078" w:type="pct"/>
          </w:tcPr>
          <w:p w14:paraId="4D6A8571" w14:textId="77777777" w:rsidR="00776B16" w:rsidRPr="00776B16" w:rsidRDefault="00776B16" w:rsidP="00776B16">
            <w:pPr>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Very High</w:t>
            </w:r>
          </w:p>
        </w:tc>
      </w:tr>
      <w:tr w:rsidR="00A03034" w:rsidRPr="00A03034" w14:paraId="6AE2FAC2" w14:textId="77777777" w:rsidTr="00776B16">
        <w:trPr>
          <w:trHeight w:val="20"/>
        </w:trPr>
        <w:tc>
          <w:tcPr>
            <w:tcW w:w="327" w:type="pct"/>
          </w:tcPr>
          <w:p w14:paraId="0BA8ED4B" w14:textId="77777777" w:rsidR="00776B16" w:rsidRPr="00776B16" w:rsidRDefault="00776B16" w:rsidP="00776B16">
            <w:pPr>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5 </w:t>
            </w:r>
          </w:p>
        </w:tc>
        <w:tc>
          <w:tcPr>
            <w:tcW w:w="1857" w:type="pct"/>
          </w:tcPr>
          <w:p w14:paraId="6AA40646" w14:textId="77777777" w:rsidR="00776B16" w:rsidRPr="00776B16" w:rsidRDefault="00776B16" w:rsidP="00776B16">
            <w:pPr>
              <w:ind w:left="5" w:right="107"/>
              <w:jc w:val="both"/>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 xml:space="preserve">The vendors are able to resolve any issues related to agricultural products effectively. </w:t>
            </w:r>
          </w:p>
        </w:tc>
        <w:tc>
          <w:tcPr>
            <w:tcW w:w="732" w:type="pct"/>
          </w:tcPr>
          <w:p w14:paraId="319195D4" w14:textId="77777777" w:rsidR="00776B16" w:rsidRPr="00776B16" w:rsidRDefault="00776B16" w:rsidP="00776B16">
            <w:pPr>
              <w:ind w:right="59"/>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4.48</w:t>
            </w:r>
          </w:p>
        </w:tc>
        <w:tc>
          <w:tcPr>
            <w:tcW w:w="1006" w:type="pct"/>
          </w:tcPr>
          <w:p w14:paraId="392DBD28" w14:textId="77777777" w:rsidR="00776B16" w:rsidRPr="00776B16" w:rsidRDefault="00776B16" w:rsidP="00776B16">
            <w:pPr>
              <w:ind w:right="55"/>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0.69</w:t>
            </w:r>
          </w:p>
        </w:tc>
        <w:tc>
          <w:tcPr>
            <w:tcW w:w="1078" w:type="pct"/>
          </w:tcPr>
          <w:p w14:paraId="2ABE8AE3" w14:textId="77777777" w:rsidR="00776B16" w:rsidRPr="00776B16" w:rsidRDefault="00776B16" w:rsidP="00776B16">
            <w:pPr>
              <w:jc w:val="center"/>
              <w:rPr>
                <w:rFonts w:ascii="Arial" w:eastAsia="DengXian" w:hAnsi="Arial" w:cs="Arial"/>
                <w:color w:val="000000" w:themeColor="text1"/>
                <w:lang w:val="en-PH" w:eastAsia="en-PH"/>
              </w:rPr>
            </w:pPr>
            <w:r w:rsidRPr="00776B16">
              <w:rPr>
                <w:rFonts w:ascii="Arial" w:eastAsia="DengXian" w:hAnsi="Arial" w:cs="Arial"/>
                <w:color w:val="000000" w:themeColor="text1"/>
                <w:lang w:val="en-PH" w:eastAsia="en-PH"/>
              </w:rPr>
              <w:t>Very High</w:t>
            </w:r>
          </w:p>
        </w:tc>
      </w:tr>
      <w:tr w:rsidR="00A03034" w:rsidRPr="00A03034" w14:paraId="48C3E46F" w14:textId="77777777" w:rsidTr="00776B16">
        <w:trPr>
          <w:trHeight w:val="20"/>
        </w:trPr>
        <w:tc>
          <w:tcPr>
            <w:tcW w:w="327" w:type="pct"/>
          </w:tcPr>
          <w:p w14:paraId="20BACB95" w14:textId="77777777" w:rsidR="00776B16" w:rsidRPr="00776B16" w:rsidRDefault="00776B16" w:rsidP="00776B16">
            <w:pPr>
              <w:jc w:val="both"/>
              <w:rPr>
                <w:rFonts w:ascii="Arial" w:eastAsia="DengXian" w:hAnsi="Arial" w:cs="Arial"/>
                <w:color w:val="000000" w:themeColor="text1"/>
                <w:lang w:val="en-PH" w:eastAsia="en-PH"/>
              </w:rPr>
            </w:pPr>
          </w:p>
        </w:tc>
        <w:tc>
          <w:tcPr>
            <w:tcW w:w="1857" w:type="pct"/>
          </w:tcPr>
          <w:p w14:paraId="3920C435" w14:textId="77777777" w:rsidR="00776B16" w:rsidRPr="00776B16" w:rsidRDefault="00776B16" w:rsidP="00776B16">
            <w:pPr>
              <w:ind w:left="783"/>
              <w:jc w:val="both"/>
              <w:rPr>
                <w:rFonts w:ascii="Arial" w:eastAsia="DengXian" w:hAnsi="Arial" w:cs="Arial"/>
                <w:b/>
                <w:bCs/>
                <w:color w:val="000000" w:themeColor="text1"/>
                <w:lang w:val="en-PH" w:eastAsia="en-PH"/>
              </w:rPr>
            </w:pPr>
            <w:r w:rsidRPr="00776B16">
              <w:rPr>
                <w:rFonts w:ascii="Arial" w:eastAsia="DengXian" w:hAnsi="Arial" w:cs="Arial"/>
                <w:b/>
                <w:bCs/>
                <w:color w:val="000000" w:themeColor="text1"/>
                <w:lang w:val="en-PH" w:eastAsia="en-PH"/>
              </w:rPr>
              <w:t xml:space="preserve">Average </w:t>
            </w:r>
          </w:p>
        </w:tc>
        <w:tc>
          <w:tcPr>
            <w:tcW w:w="732" w:type="pct"/>
          </w:tcPr>
          <w:p w14:paraId="3913FE1F" w14:textId="77777777" w:rsidR="00776B16" w:rsidRPr="00776B16" w:rsidRDefault="00776B16" w:rsidP="00776B16">
            <w:pPr>
              <w:ind w:right="59"/>
              <w:jc w:val="center"/>
              <w:rPr>
                <w:rFonts w:ascii="Arial" w:eastAsia="DengXian" w:hAnsi="Arial" w:cs="Arial"/>
                <w:b/>
                <w:bCs/>
                <w:color w:val="000000" w:themeColor="text1"/>
                <w:lang w:val="en-PH" w:eastAsia="en-PH"/>
              </w:rPr>
            </w:pPr>
            <w:r w:rsidRPr="00776B16">
              <w:rPr>
                <w:rFonts w:ascii="Arial" w:eastAsia="DengXian" w:hAnsi="Arial" w:cs="Arial"/>
                <w:b/>
                <w:bCs/>
                <w:color w:val="000000" w:themeColor="text1"/>
                <w:lang w:val="en-PH" w:eastAsia="en-PH"/>
              </w:rPr>
              <w:t>4.27</w:t>
            </w:r>
          </w:p>
        </w:tc>
        <w:tc>
          <w:tcPr>
            <w:tcW w:w="1006" w:type="pct"/>
          </w:tcPr>
          <w:p w14:paraId="4F08AF12" w14:textId="77777777" w:rsidR="00776B16" w:rsidRPr="00776B16" w:rsidRDefault="00776B16" w:rsidP="00776B16">
            <w:pPr>
              <w:ind w:right="55"/>
              <w:jc w:val="center"/>
              <w:rPr>
                <w:rFonts w:ascii="Arial" w:eastAsia="DengXian" w:hAnsi="Arial" w:cs="Arial"/>
                <w:b/>
                <w:bCs/>
                <w:color w:val="000000" w:themeColor="text1"/>
                <w:lang w:val="en-PH" w:eastAsia="en-PH"/>
              </w:rPr>
            </w:pPr>
            <w:r w:rsidRPr="00776B16">
              <w:rPr>
                <w:rFonts w:ascii="Arial" w:eastAsia="DengXian" w:hAnsi="Arial" w:cs="Arial"/>
                <w:b/>
                <w:bCs/>
                <w:color w:val="000000" w:themeColor="text1"/>
                <w:lang w:val="en-PH" w:eastAsia="en-PH"/>
              </w:rPr>
              <w:t>0.79</w:t>
            </w:r>
          </w:p>
        </w:tc>
        <w:tc>
          <w:tcPr>
            <w:tcW w:w="1078" w:type="pct"/>
          </w:tcPr>
          <w:p w14:paraId="1B312E24" w14:textId="77777777" w:rsidR="00776B16" w:rsidRPr="00776B16" w:rsidRDefault="00776B16" w:rsidP="00776B16">
            <w:pPr>
              <w:jc w:val="center"/>
              <w:rPr>
                <w:rFonts w:ascii="Arial" w:eastAsia="DengXian" w:hAnsi="Arial" w:cs="Arial"/>
                <w:b/>
                <w:bCs/>
                <w:color w:val="000000" w:themeColor="text1"/>
                <w:lang w:val="en-PH" w:eastAsia="en-PH"/>
              </w:rPr>
            </w:pPr>
            <w:r w:rsidRPr="00776B16">
              <w:rPr>
                <w:rFonts w:ascii="Arial" w:eastAsia="DengXian" w:hAnsi="Arial" w:cs="Arial"/>
                <w:b/>
                <w:bCs/>
                <w:color w:val="000000" w:themeColor="text1"/>
                <w:lang w:val="en-PH" w:eastAsia="en-PH"/>
              </w:rPr>
              <w:t>Very High</w:t>
            </w:r>
          </w:p>
        </w:tc>
      </w:tr>
    </w:tbl>
    <w:p w14:paraId="31F0C0B9" w14:textId="77777777" w:rsidR="00AA7DD1" w:rsidRPr="00A03034" w:rsidRDefault="00AA7DD1" w:rsidP="00AA7DD1">
      <w:pPr>
        <w:pStyle w:val="Body"/>
        <w:spacing w:after="0"/>
        <w:rPr>
          <w:rFonts w:ascii="Arial" w:hAnsi="Arial" w:cs="Arial"/>
          <w:b/>
          <w:color w:val="000000" w:themeColor="text1"/>
          <w:sz w:val="22"/>
        </w:rPr>
      </w:pPr>
    </w:p>
    <w:p w14:paraId="10D17798" w14:textId="7A45B9D3" w:rsidR="00AA7DD1" w:rsidRPr="00831C31" w:rsidRDefault="00DB22AD" w:rsidP="00AA7DD1">
      <w:pPr>
        <w:pStyle w:val="Body"/>
        <w:rPr>
          <w:rFonts w:ascii="Arial" w:hAnsi="Arial" w:cs="Arial"/>
          <w:color w:val="000000" w:themeColor="text1"/>
        </w:rPr>
      </w:pPr>
      <w:r w:rsidRPr="00831C31">
        <w:rPr>
          <w:rFonts w:ascii="Arial" w:hAnsi="Arial" w:cs="Arial"/>
          <w:color w:val="000000" w:themeColor="text1"/>
        </w:rPr>
        <w:t xml:space="preserve">The overall mean of 4.51 in Table </w:t>
      </w:r>
      <w:r w:rsidR="00831C31" w:rsidRPr="00831C31">
        <w:rPr>
          <w:rFonts w:ascii="Arial" w:hAnsi="Arial" w:cs="Arial"/>
          <w:color w:val="000000" w:themeColor="text1"/>
        </w:rPr>
        <w:t>10</w:t>
      </w:r>
      <w:r w:rsidRPr="00831C31">
        <w:rPr>
          <w:rFonts w:ascii="Arial" w:hAnsi="Arial" w:cs="Arial"/>
          <w:color w:val="000000" w:themeColor="text1"/>
        </w:rPr>
        <w:t xml:space="preserve"> reflects a very high level of customer satisfaction with the process, indicating that customers are strongly satisfied with how </w:t>
      </w:r>
      <w:proofErr w:type="spellStart"/>
      <w:r w:rsidRPr="00831C31">
        <w:rPr>
          <w:rFonts w:ascii="Arial" w:hAnsi="Arial" w:cs="Arial"/>
          <w:color w:val="000000" w:themeColor="text1"/>
        </w:rPr>
        <w:t>tabo</w:t>
      </w:r>
      <w:proofErr w:type="spellEnd"/>
      <w:r w:rsidRPr="00831C31">
        <w:rPr>
          <w:rFonts w:ascii="Arial" w:hAnsi="Arial" w:cs="Arial"/>
          <w:color w:val="000000" w:themeColor="text1"/>
        </w:rPr>
        <w:t xml:space="preserve"> vendors conduct services and transactions. This high rating indicates that market processes, including payment convenience, adherence to procedures, and operational flexibility, are efficiently managed and meet customer expectations. As noted by </w:t>
      </w:r>
      <w:r w:rsidR="00986F07" w:rsidRPr="00986F07">
        <w:rPr>
          <w:rFonts w:ascii="Arial" w:hAnsi="Arial" w:cs="Arial"/>
          <w:color w:val="000000" w:themeColor="text1"/>
        </w:rPr>
        <w:t xml:space="preserve">Najib &amp; </w:t>
      </w:r>
      <w:proofErr w:type="spellStart"/>
      <w:r w:rsidR="00986F07" w:rsidRPr="00986F07">
        <w:rPr>
          <w:rFonts w:ascii="Arial" w:hAnsi="Arial" w:cs="Arial"/>
          <w:color w:val="000000" w:themeColor="text1"/>
        </w:rPr>
        <w:t>Sosianika</w:t>
      </w:r>
      <w:proofErr w:type="spellEnd"/>
      <w:r w:rsidR="00986F07" w:rsidRPr="00986F07">
        <w:rPr>
          <w:rFonts w:ascii="Arial" w:hAnsi="Arial" w:cs="Arial"/>
          <w:color w:val="000000" w:themeColor="text1"/>
        </w:rPr>
        <w:t xml:space="preserve"> (2019</w:t>
      </w:r>
      <w:r w:rsidRPr="00831C31">
        <w:rPr>
          <w:rFonts w:ascii="Arial" w:hAnsi="Arial" w:cs="Arial"/>
          <w:color w:val="000000" w:themeColor="text1"/>
        </w:rPr>
        <w:t>), process efficiency is a crucial factor in enhancing customer satisfaction, particularly in fast-paced environments such as public markets, where smooth transactions and minimal delays are highly valued.</w:t>
      </w:r>
    </w:p>
    <w:p w14:paraId="4EE5B984" w14:textId="2193C715" w:rsidR="00AA7DD1" w:rsidRPr="00831C31" w:rsidRDefault="005B22D8" w:rsidP="00AA7DD1">
      <w:pPr>
        <w:pStyle w:val="Body"/>
        <w:rPr>
          <w:rFonts w:ascii="Arial" w:hAnsi="Arial" w:cs="Arial"/>
          <w:color w:val="000000" w:themeColor="text1"/>
        </w:rPr>
      </w:pPr>
      <w:r w:rsidRPr="00831C31">
        <w:rPr>
          <w:rFonts w:ascii="Arial" w:hAnsi="Arial" w:cs="Arial"/>
          <w:color w:val="000000" w:themeColor="text1"/>
        </w:rPr>
        <w:t xml:space="preserve">Additionally, </w:t>
      </w:r>
      <w:proofErr w:type="spellStart"/>
      <w:r w:rsidR="00D72707">
        <w:rPr>
          <w:rFonts w:ascii="Arial" w:hAnsi="Arial" w:cs="Arial"/>
          <w:color w:val="000000" w:themeColor="text1"/>
        </w:rPr>
        <w:t>Utale</w:t>
      </w:r>
      <w:proofErr w:type="spellEnd"/>
      <w:r w:rsidR="00D72707">
        <w:rPr>
          <w:rFonts w:ascii="Arial" w:hAnsi="Arial" w:cs="Arial"/>
          <w:color w:val="000000" w:themeColor="text1"/>
        </w:rPr>
        <w:t xml:space="preserve"> et al.</w:t>
      </w:r>
      <w:r w:rsidRPr="00831C31">
        <w:rPr>
          <w:rFonts w:ascii="Arial" w:hAnsi="Arial" w:cs="Arial"/>
          <w:color w:val="000000" w:themeColor="text1"/>
        </w:rPr>
        <w:t xml:space="preserve"> (</w:t>
      </w:r>
      <w:r w:rsidR="00D72707">
        <w:rPr>
          <w:rFonts w:ascii="Arial" w:hAnsi="Arial" w:cs="Arial"/>
          <w:color w:val="000000" w:themeColor="text1"/>
        </w:rPr>
        <w:t>2022</w:t>
      </w:r>
      <w:r w:rsidRPr="00831C31">
        <w:rPr>
          <w:rFonts w:ascii="Arial" w:hAnsi="Arial" w:cs="Arial"/>
          <w:color w:val="000000" w:themeColor="text1"/>
        </w:rPr>
        <w:t xml:space="preserve">) emphasizes that streamlined service delivery fosters positive customer experiences and encourages repeat patronage. The low standard deviation further </w:t>
      </w:r>
      <w:r w:rsidRPr="00831C31">
        <w:rPr>
          <w:rFonts w:ascii="Arial" w:hAnsi="Arial" w:cs="Arial"/>
          <w:color w:val="000000" w:themeColor="text1"/>
        </w:rPr>
        <w:lastRenderedPageBreak/>
        <w:t>reinforces that this high satisfaction level is consistently experienced across respondents, underlining the effectiveness of current operational practices.</w:t>
      </w:r>
    </w:p>
    <w:p w14:paraId="5E0AD8BD" w14:textId="39624F8B" w:rsidR="00AA7DD1" w:rsidRPr="00831C31" w:rsidRDefault="00AA7DD1" w:rsidP="00AA7DD1">
      <w:pPr>
        <w:pStyle w:val="Body"/>
        <w:rPr>
          <w:rFonts w:ascii="Arial" w:hAnsi="Arial"/>
          <w:b/>
          <w:color w:val="000000" w:themeColor="text1"/>
        </w:rPr>
      </w:pPr>
      <w:r w:rsidRPr="00831C31">
        <w:rPr>
          <w:rFonts w:ascii="Arial" w:hAnsi="Arial"/>
          <w:b/>
          <w:color w:val="000000" w:themeColor="text1"/>
        </w:rPr>
        <w:t xml:space="preserve">Table </w:t>
      </w:r>
      <w:r w:rsidR="00171658" w:rsidRPr="00831C31">
        <w:rPr>
          <w:rFonts w:ascii="Arial" w:hAnsi="Arial"/>
          <w:b/>
          <w:color w:val="000000" w:themeColor="text1"/>
        </w:rPr>
        <w:t>10</w:t>
      </w:r>
      <w:r w:rsidRPr="00831C31">
        <w:rPr>
          <w:rFonts w:ascii="Arial" w:hAnsi="Arial"/>
          <w:b/>
          <w:color w:val="000000" w:themeColor="text1"/>
        </w:rPr>
        <w:t>.</w:t>
      </w:r>
      <w:r w:rsidRPr="00831C31">
        <w:rPr>
          <w:rFonts w:ascii="Arial" w:hAnsi="Arial"/>
          <w:b/>
          <w:color w:val="000000" w:themeColor="text1"/>
        </w:rPr>
        <w:tab/>
      </w:r>
      <w:r w:rsidR="00512049" w:rsidRPr="00831C31">
        <w:rPr>
          <w:rFonts w:ascii="Arial" w:hAnsi="Arial"/>
          <w:b/>
          <w:color w:val="000000" w:themeColor="text1"/>
        </w:rPr>
        <w:t>Level of customer satisfaction in terms of the process</w:t>
      </w:r>
    </w:p>
    <w:tbl>
      <w:tblPr>
        <w:tblStyle w:val="APA"/>
        <w:tblW w:w="5000" w:type="pct"/>
        <w:tblLook w:val="04A0" w:firstRow="1" w:lastRow="0" w:firstColumn="1" w:lastColumn="0" w:noHBand="0" w:noVBand="1"/>
      </w:tblPr>
      <w:tblGrid>
        <w:gridCol w:w="552"/>
        <w:gridCol w:w="3312"/>
        <w:gridCol w:w="878"/>
        <w:gridCol w:w="1761"/>
        <w:gridCol w:w="1921"/>
      </w:tblGrid>
      <w:tr w:rsidR="00831C31" w:rsidRPr="00831C31" w14:paraId="57E433B2" w14:textId="77777777" w:rsidTr="00823869">
        <w:trPr>
          <w:cnfStyle w:val="100000000000" w:firstRow="1" w:lastRow="0" w:firstColumn="0" w:lastColumn="0" w:oddVBand="0" w:evenVBand="0" w:oddHBand="0" w:evenHBand="0" w:firstRowFirstColumn="0" w:firstRowLastColumn="0" w:lastRowFirstColumn="0" w:lastRowLastColumn="0"/>
          <w:trHeight w:val="20"/>
        </w:trPr>
        <w:tc>
          <w:tcPr>
            <w:tcW w:w="328" w:type="pct"/>
          </w:tcPr>
          <w:p w14:paraId="1E81DE76"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No. </w:t>
            </w:r>
          </w:p>
        </w:tc>
        <w:tc>
          <w:tcPr>
            <w:tcW w:w="1966" w:type="pct"/>
          </w:tcPr>
          <w:p w14:paraId="77402783"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Statement </w:t>
            </w:r>
          </w:p>
        </w:tc>
        <w:tc>
          <w:tcPr>
            <w:tcW w:w="521" w:type="pct"/>
          </w:tcPr>
          <w:p w14:paraId="7338B3D7"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Mean </w:t>
            </w:r>
          </w:p>
        </w:tc>
        <w:tc>
          <w:tcPr>
            <w:tcW w:w="1045" w:type="pct"/>
          </w:tcPr>
          <w:p w14:paraId="615824A2"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Std. Deviation </w:t>
            </w:r>
          </w:p>
        </w:tc>
        <w:tc>
          <w:tcPr>
            <w:tcW w:w="1140" w:type="pct"/>
          </w:tcPr>
          <w:p w14:paraId="0D82397D"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Interpretation </w:t>
            </w:r>
          </w:p>
        </w:tc>
      </w:tr>
      <w:tr w:rsidR="00831C31" w:rsidRPr="00831C31" w14:paraId="194C5A02" w14:textId="77777777" w:rsidTr="00823869">
        <w:trPr>
          <w:trHeight w:val="20"/>
        </w:trPr>
        <w:tc>
          <w:tcPr>
            <w:tcW w:w="328" w:type="pct"/>
          </w:tcPr>
          <w:p w14:paraId="68A011D9"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1 </w:t>
            </w:r>
          </w:p>
        </w:tc>
        <w:tc>
          <w:tcPr>
            <w:tcW w:w="1966" w:type="pct"/>
          </w:tcPr>
          <w:p w14:paraId="5FD99808" w14:textId="77777777" w:rsidR="00823869" w:rsidRPr="00823869" w:rsidRDefault="00823869" w:rsidP="00823869">
            <w:pPr>
              <w:ind w:left="5" w:right="12"/>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The payment process is fast and convenient </w:t>
            </w:r>
          </w:p>
        </w:tc>
        <w:tc>
          <w:tcPr>
            <w:tcW w:w="521" w:type="pct"/>
          </w:tcPr>
          <w:p w14:paraId="39AA61D1"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4.43 </w:t>
            </w:r>
          </w:p>
        </w:tc>
        <w:tc>
          <w:tcPr>
            <w:tcW w:w="1045" w:type="pct"/>
          </w:tcPr>
          <w:p w14:paraId="587772E1"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0.69 </w:t>
            </w:r>
          </w:p>
        </w:tc>
        <w:tc>
          <w:tcPr>
            <w:tcW w:w="1140" w:type="pct"/>
          </w:tcPr>
          <w:p w14:paraId="797F076A"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Very High</w:t>
            </w:r>
          </w:p>
        </w:tc>
      </w:tr>
      <w:tr w:rsidR="00831C31" w:rsidRPr="00831C31" w14:paraId="52AA3665" w14:textId="77777777" w:rsidTr="00823869">
        <w:trPr>
          <w:trHeight w:val="20"/>
        </w:trPr>
        <w:tc>
          <w:tcPr>
            <w:tcW w:w="328" w:type="pct"/>
          </w:tcPr>
          <w:p w14:paraId="2125B2CE"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2 </w:t>
            </w:r>
          </w:p>
        </w:tc>
        <w:tc>
          <w:tcPr>
            <w:tcW w:w="1966" w:type="pct"/>
          </w:tcPr>
          <w:p w14:paraId="3E494587" w14:textId="77777777" w:rsidR="00823869" w:rsidRPr="00823869" w:rsidRDefault="00823869" w:rsidP="00823869">
            <w:pPr>
              <w:ind w:left="5" w:right="490"/>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The service provided by the vendors follows standard procedure. </w:t>
            </w:r>
          </w:p>
        </w:tc>
        <w:tc>
          <w:tcPr>
            <w:tcW w:w="521" w:type="pct"/>
          </w:tcPr>
          <w:p w14:paraId="1BFD2AD4"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4.51 </w:t>
            </w:r>
          </w:p>
        </w:tc>
        <w:tc>
          <w:tcPr>
            <w:tcW w:w="1045" w:type="pct"/>
          </w:tcPr>
          <w:p w14:paraId="5A60D83D"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0.62 </w:t>
            </w:r>
          </w:p>
        </w:tc>
        <w:tc>
          <w:tcPr>
            <w:tcW w:w="1140" w:type="pct"/>
          </w:tcPr>
          <w:p w14:paraId="5054721A"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Very High</w:t>
            </w:r>
          </w:p>
        </w:tc>
      </w:tr>
      <w:tr w:rsidR="00831C31" w:rsidRPr="00831C31" w14:paraId="305F254C" w14:textId="77777777" w:rsidTr="00823869">
        <w:trPr>
          <w:trHeight w:val="20"/>
        </w:trPr>
        <w:tc>
          <w:tcPr>
            <w:tcW w:w="328" w:type="pct"/>
          </w:tcPr>
          <w:p w14:paraId="66F5B08F"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3 </w:t>
            </w:r>
          </w:p>
        </w:tc>
        <w:tc>
          <w:tcPr>
            <w:tcW w:w="1966" w:type="pct"/>
          </w:tcPr>
          <w:p w14:paraId="7A833F0E"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The vendors provide flexible operating hours </w:t>
            </w:r>
          </w:p>
        </w:tc>
        <w:tc>
          <w:tcPr>
            <w:tcW w:w="521" w:type="pct"/>
          </w:tcPr>
          <w:p w14:paraId="1816E583"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4.58 </w:t>
            </w:r>
          </w:p>
        </w:tc>
        <w:tc>
          <w:tcPr>
            <w:tcW w:w="1045" w:type="pct"/>
          </w:tcPr>
          <w:p w14:paraId="416F9BF2"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0.57 </w:t>
            </w:r>
          </w:p>
        </w:tc>
        <w:tc>
          <w:tcPr>
            <w:tcW w:w="1140" w:type="pct"/>
          </w:tcPr>
          <w:p w14:paraId="71BE6615"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Very High</w:t>
            </w:r>
          </w:p>
        </w:tc>
      </w:tr>
      <w:tr w:rsidR="00831C31" w:rsidRPr="00831C31" w14:paraId="6B91CCFC" w14:textId="77777777" w:rsidTr="00823869">
        <w:trPr>
          <w:trHeight w:val="20"/>
        </w:trPr>
        <w:tc>
          <w:tcPr>
            <w:tcW w:w="328" w:type="pct"/>
          </w:tcPr>
          <w:p w14:paraId="4D269D37"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4 </w:t>
            </w:r>
          </w:p>
        </w:tc>
        <w:tc>
          <w:tcPr>
            <w:tcW w:w="1966" w:type="pct"/>
          </w:tcPr>
          <w:p w14:paraId="5D6A2131"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There is no long wait when making purchases at the market </w:t>
            </w:r>
          </w:p>
        </w:tc>
        <w:tc>
          <w:tcPr>
            <w:tcW w:w="521" w:type="pct"/>
          </w:tcPr>
          <w:p w14:paraId="4B884950" w14:textId="77777777" w:rsidR="00823869" w:rsidRPr="00823869" w:rsidRDefault="00823869" w:rsidP="00823869">
            <w:pPr>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4.50 </w:t>
            </w:r>
          </w:p>
        </w:tc>
        <w:tc>
          <w:tcPr>
            <w:tcW w:w="1045" w:type="pct"/>
          </w:tcPr>
          <w:p w14:paraId="46716D36"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 xml:space="preserve">0.72 </w:t>
            </w:r>
          </w:p>
        </w:tc>
        <w:tc>
          <w:tcPr>
            <w:tcW w:w="1140" w:type="pct"/>
          </w:tcPr>
          <w:p w14:paraId="087780B8" w14:textId="77777777" w:rsidR="00823869" w:rsidRPr="00823869" w:rsidRDefault="00823869" w:rsidP="00823869">
            <w:pPr>
              <w:ind w:left="5"/>
              <w:jc w:val="both"/>
              <w:rPr>
                <w:rFonts w:ascii="Arial" w:eastAsia="DengXian" w:hAnsi="Arial" w:cs="Arial"/>
                <w:color w:val="000000" w:themeColor="text1"/>
                <w:lang w:val="en-PH" w:eastAsia="en-PH"/>
              </w:rPr>
            </w:pPr>
            <w:r w:rsidRPr="00823869">
              <w:rPr>
                <w:rFonts w:ascii="Arial" w:eastAsia="DengXian" w:hAnsi="Arial" w:cs="Arial"/>
                <w:color w:val="000000" w:themeColor="text1"/>
                <w:lang w:val="en-PH" w:eastAsia="en-PH"/>
              </w:rPr>
              <w:t>Very High</w:t>
            </w:r>
          </w:p>
        </w:tc>
      </w:tr>
      <w:tr w:rsidR="00831C31" w:rsidRPr="00831C31" w14:paraId="4D8A59CB" w14:textId="77777777" w:rsidTr="00823869">
        <w:trPr>
          <w:trHeight w:val="20"/>
        </w:trPr>
        <w:tc>
          <w:tcPr>
            <w:tcW w:w="2294" w:type="pct"/>
            <w:gridSpan w:val="2"/>
          </w:tcPr>
          <w:p w14:paraId="5371DDF3" w14:textId="54E69F48" w:rsidR="00823869" w:rsidRPr="00823869" w:rsidRDefault="00823869" w:rsidP="00823869">
            <w:pPr>
              <w:jc w:val="center"/>
              <w:rPr>
                <w:rFonts w:ascii="Arial" w:eastAsia="DengXian" w:hAnsi="Arial" w:cs="Arial"/>
                <w:b/>
                <w:bCs/>
                <w:color w:val="000000" w:themeColor="text1"/>
                <w:lang w:val="en-PH" w:eastAsia="en-PH"/>
              </w:rPr>
            </w:pPr>
            <w:r w:rsidRPr="00823869">
              <w:rPr>
                <w:rFonts w:ascii="Arial" w:eastAsia="DengXian" w:hAnsi="Arial" w:cs="Arial"/>
                <w:b/>
                <w:bCs/>
                <w:color w:val="000000" w:themeColor="text1"/>
                <w:lang w:val="en-PH" w:eastAsia="en-PH"/>
              </w:rPr>
              <w:t>Average</w:t>
            </w:r>
          </w:p>
        </w:tc>
        <w:tc>
          <w:tcPr>
            <w:tcW w:w="521" w:type="pct"/>
          </w:tcPr>
          <w:p w14:paraId="525C9D9A" w14:textId="2E795F34" w:rsidR="00823869" w:rsidRPr="00823869" w:rsidRDefault="00823869" w:rsidP="00823869">
            <w:pPr>
              <w:jc w:val="center"/>
              <w:rPr>
                <w:rFonts w:ascii="Arial" w:eastAsia="DengXian" w:hAnsi="Arial" w:cs="Arial"/>
                <w:b/>
                <w:bCs/>
                <w:color w:val="000000" w:themeColor="text1"/>
                <w:lang w:val="en-PH" w:eastAsia="en-PH"/>
              </w:rPr>
            </w:pPr>
            <w:r w:rsidRPr="00823869">
              <w:rPr>
                <w:rFonts w:ascii="Arial" w:eastAsia="DengXian" w:hAnsi="Arial" w:cs="Arial"/>
                <w:b/>
                <w:bCs/>
                <w:color w:val="000000" w:themeColor="text1"/>
                <w:lang w:val="en-PH" w:eastAsia="en-PH"/>
              </w:rPr>
              <w:t>4.51</w:t>
            </w:r>
          </w:p>
        </w:tc>
        <w:tc>
          <w:tcPr>
            <w:tcW w:w="1045" w:type="pct"/>
          </w:tcPr>
          <w:p w14:paraId="4616ED1E" w14:textId="014623C3" w:rsidR="00823869" w:rsidRPr="00823869" w:rsidRDefault="00823869" w:rsidP="00823869">
            <w:pPr>
              <w:ind w:left="5"/>
              <w:jc w:val="center"/>
              <w:rPr>
                <w:rFonts w:ascii="Arial" w:eastAsia="DengXian" w:hAnsi="Arial" w:cs="Arial"/>
                <w:b/>
                <w:bCs/>
                <w:color w:val="000000" w:themeColor="text1"/>
                <w:lang w:val="en-PH" w:eastAsia="en-PH"/>
              </w:rPr>
            </w:pPr>
            <w:r w:rsidRPr="00823869">
              <w:rPr>
                <w:rFonts w:ascii="Arial" w:eastAsia="DengXian" w:hAnsi="Arial" w:cs="Arial"/>
                <w:b/>
                <w:bCs/>
                <w:color w:val="000000" w:themeColor="text1"/>
                <w:lang w:val="en-PH" w:eastAsia="en-PH"/>
              </w:rPr>
              <w:t>0.55</w:t>
            </w:r>
          </w:p>
        </w:tc>
        <w:tc>
          <w:tcPr>
            <w:tcW w:w="1140" w:type="pct"/>
          </w:tcPr>
          <w:p w14:paraId="78937F5F" w14:textId="77777777" w:rsidR="00823869" w:rsidRPr="00823869" w:rsidRDefault="00823869" w:rsidP="00823869">
            <w:pPr>
              <w:ind w:left="5"/>
              <w:jc w:val="center"/>
              <w:rPr>
                <w:rFonts w:ascii="Arial" w:eastAsia="DengXian" w:hAnsi="Arial" w:cs="Arial"/>
                <w:b/>
                <w:bCs/>
                <w:color w:val="000000" w:themeColor="text1"/>
                <w:lang w:val="en-PH" w:eastAsia="en-PH"/>
              </w:rPr>
            </w:pPr>
            <w:r w:rsidRPr="00823869">
              <w:rPr>
                <w:rFonts w:ascii="Arial" w:eastAsia="DengXian" w:hAnsi="Arial" w:cs="Arial"/>
                <w:b/>
                <w:bCs/>
                <w:color w:val="000000" w:themeColor="text1"/>
                <w:lang w:val="en-PH" w:eastAsia="en-PH"/>
              </w:rPr>
              <w:t>Very High</w:t>
            </w:r>
          </w:p>
        </w:tc>
      </w:tr>
    </w:tbl>
    <w:p w14:paraId="19156505" w14:textId="77777777" w:rsidR="00AA7DD1" w:rsidRPr="006530C3" w:rsidRDefault="00AA7DD1" w:rsidP="00AA7DD1">
      <w:pPr>
        <w:pStyle w:val="Body"/>
        <w:spacing w:after="0"/>
        <w:rPr>
          <w:rFonts w:ascii="Arial" w:hAnsi="Arial" w:cs="Arial"/>
          <w:b/>
          <w:color w:val="000000" w:themeColor="text1"/>
          <w:sz w:val="22"/>
        </w:rPr>
      </w:pPr>
    </w:p>
    <w:p w14:paraId="01E4E625" w14:textId="0B973024" w:rsidR="00AA7DD1" w:rsidRPr="006530C3" w:rsidRDefault="002670ED" w:rsidP="00EA0C0C">
      <w:pPr>
        <w:pStyle w:val="Body"/>
        <w:rPr>
          <w:rFonts w:ascii="Arial" w:hAnsi="Arial" w:cs="Arial"/>
          <w:color w:val="000000" w:themeColor="text1"/>
        </w:rPr>
      </w:pPr>
      <w:r w:rsidRPr="006530C3">
        <w:rPr>
          <w:rFonts w:ascii="Arial" w:hAnsi="Arial" w:cs="Arial"/>
          <w:color w:val="000000" w:themeColor="text1"/>
        </w:rPr>
        <w:t>The overall mean of 4.42 in Table 1</w:t>
      </w:r>
      <w:r w:rsidR="004A0129" w:rsidRPr="006530C3">
        <w:rPr>
          <w:rFonts w:ascii="Arial" w:hAnsi="Arial" w:cs="Arial"/>
          <w:color w:val="000000" w:themeColor="text1"/>
        </w:rPr>
        <w:t>1</w:t>
      </w:r>
      <w:r w:rsidRPr="006530C3">
        <w:rPr>
          <w:rFonts w:ascii="Arial" w:hAnsi="Arial" w:cs="Arial"/>
          <w:color w:val="000000" w:themeColor="text1"/>
        </w:rPr>
        <w:t xml:space="preserve"> signifies a very high level of customer satisfaction with regard to physical evidence, indicating that customers are strongly satisfied with the tangible and visual aspects of the public market. This includes cleanliness, layout, signage, and the presentation of agricultural products. A well-maintained physical environment reinforces the perception of professionalism and reliability among vendors. According to Bitner (</w:t>
      </w:r>
      <w:r w:rsidR="00FC3B96">
        <w:rPr>
          <w:rFonts w:ascii="Arial" w:hAnsi="Arial" w:cs="Arial"/>
          <w:color w:val="000000" w:themeColor="text1"/>
        </w:rPr>
        <w:t>1992</w:t>
      </w:r>
      <w:r w:rsidRPr="006530C3">
        <w:rPr>
          <w:rFonts w:ascii="Arial" w:hAnsi="Arial" w:cs="Arial"/>
          <w:color w:val="000000" w:themeColor="text1"/>
        </w:rPr>
        <w:t xml:space="preserve">), physical surroundings play a crucial role in shaping customer impressions, as they can either enhance or detract from the service experience. When customers perceive a clean, organized, and visually appealing environment, they are more likely to feel comfortable and confident in their purchasing decisions. Similarly, </w:t>
      </w:r>
      <w:r w:rsidR="008F1D5B" w:rsidRPr="008F1D5B">
        <w:rPr>
          <w:rFonts w:ascii="Arial" w:hAnsi="Arial" w:cs="Arial"/>
          <w:color w:val="000000" w:themeColor="text1"/>
        </w:rPr>
        <w:t>Wilson</w:t>
      </w:r>
      <w:r w:rsidRPr="006530C3">
        <w:rPr>
          <w:rFonts w:ascii="Arial" w:hAnsi="Arial" w:cs="Arial"/>
          <w:color w:val="000000" w:themeColor="text1"/>
        </w:rPr>
        <w:t xml:space="preserve"> et al. (</w:t>
      </w:r>
      <w:r w:rsidR="008F1D5B">
        <w:rPr>
          <w:rFonts w:ascii="Arial" w:hAnsi="Arial" w:cs="Arial"/>
          <w:color w:val="000000" w:themeColor="text1"/>
        </w:rPr>
        <w:t>2020</w:t>
      </w:r>
      <w:r w:rsidRPr="006530C3">
        <w:rPr>
          <w:rFonts w:ascii="Arial" w:hAnsi="Arial" w:cs="Arial"/>
          <w:color w:val="000000" w:themeColor="text1"/>
        </w:rPr>
        <w:t>) argue that physical evidence serves as a key cue in assessing service quality, particularly in traditional retail settings such as public markets. The relatively low standard deviation (0.60) reflects consistent satisfaction across respondents, suggesting that most customers experience a reliably positive environment.</w:t>
      </w:r>
    </w:p>
    <w:p w14:paraId="455DC679" w14:textId="4514896C" w:rsidR="00AA7DD1" w:rsidRPr="006530C3" w:rsidRDefault="00AA7DD1" w:rsidP="00AA7DD1">
      <w:pPr>
        <w:pStyle w:val="Body"/>
        <w:rPr>
          <w:rFonts w:ascii="Arial" w:hAnsi="Arial"/>
          <w:b/>
          <w:color w:val="000000" w:themeColor="text1"/>
        </w:rPr>
      </w:pPr>
      <w:r w:rsidRPr="006530C3">
        <w:rPr>
          <w:rFonts w:ascii="Arial" w:hAnsi="Arial"/>
          <w:b/>
          <w:color w:val="000000" w:themeColor="text1"/>
        </w:rPr>
        <w:t xml:space="preserve">Table </w:t>
      </w:r>
      <w:r w:rsidR="00171658" w:rsidRPr="006530C3">
        <w:rPr>
          <w:rFonts w:ascii="Arial" w:hAnsi="Arial"/>
          <w:b/>
          <w:color w:val="000000" w:themeColor="text1"/>
        </w:rPr>
        <w:t>11</w:t>
      </w:r>
      <w:r w:rsidRPr="006530C3">
        <w:rPr>
          <w:rFonts w:ascii="Arial" w:hAnsi="Arial"/>
          <w:b/>
          <w:color w:val="000000" w:themeColor="text1"/>
        </w:rPr>
        <w:t>.</w:t>
      </w:r>
      <w:r w:rsidRPr="006530C3">
        <w:rPr>
          <w:rFonts w:ascii="Arial" w:hAnsi="Arial"/>
          <w:b/>
          <w:color w:val="000000" w:themeColor="text1"/>
        </w:rPr>
        <w:tab/>
      </w:r>
      <w:r w:rsidR="00F52604" w:rsidRPr="006530C3">
        <w:rPr>
          <w:rFonts w:ascii="Arial" w:hAnsi="Arial"/>
          <w:b/>
          <w:color w:val="000000" w:themeColor="text1"/>
        </w:rPr>
        <w:t>Level of customer satisfaction in terms of physical evidence</w:t>
      </w:r>
    </w:p>
    <w:tbl>
      <w:tblPr>
        <w:tblStyle w:val="APA"/>
        <w:tblW w:w="5000" w:type="pct"/>
        <w:tblLook w:val="04A0" w:firstRow="1" w:lastRow="0" w:firstColumn="1" w:lastColumn="0" w:noHBand="0" w:noVBand="1"/>
      </w:tblPr>
      <w:tblGrid>
        <w:gridCol w:w="708"/>
        <w:gridCol w:w="3644"/>
        <w:gridCol w:w="866"/>
        <w:gridCol w:w="1395"/>
        <w:gridCol w:w="1811"/>
      </w:tblGrid>
      <w:tr w:rsidR="006530C3" w:rsidRPr="006530C3" w14:paraId="38B893F9" w14:textId="77777777" w:rsidTr="00522351">
        <w:trPr>
          <w:cnfStyle w:val="100000000000" w:firstRow="1" w:lastRow="0" w:firstColumn="0" w:lastColumn="0" w:oddVBand="0" w:evenVBand="0" w:oddHBand="0" w:evenHBand="0" w:firstRowFirstColumn="0" w:firstRowLastColumn="0" w:lastRowFirstColumn="0" w:lastRowLastColumn="0"/>
          <w:trHeight w:val="20"/>
        </w:trPr>
        <w:tc>
          <w:tcPr>
            <w:tcW w:w="420" w:type="pct"/>
          </w:tcPr>
          <w:p w14:paraId="0BF01810" w14:textId="77777777" w:rsidR="00522351" w:rsidRPr="00522351" w:rsidRDefault="00522351" w:rsidP="00522351">
            <w:pPr>
              <w:ind w:right="39"/>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No. </w:t>
            </w:r>
          </w:p>
        </w:tc>
        <w:tc>
          <w:tcPr>
            <w:tcW w:w="2163" w:type="pct"/>
          </w:tcPr>
          <w:p w14:paraId="14D7C2D4" w14:textId="77777777" w:rsidR="00522351" w:rsidRPr="00522351" w:rsidRDefault="00522351" w:rsidP="00522351">
            <w:pPr>
              <w:ind w:right="41"/>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Statement </w:t>
            </w:r>
          </w:p>
        </w:tc>
        <w:tc>
          <w:tcPr>
            <w:tcW w:w="514" w:type="pct"/>
          </w:tcPr>
          <w:p w14:paraId="345A0E84" w14:textId="77777777" w:rsidR="00522351" w:rsidRPr="00522351" w:rsidRDefault="00522351" w:rsidP="00522351">
            <w:pPr>
              <w:ind w:right="47"/>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Mean </w:t>
            </w:r>
          </w:p>
        </w:tc>
        <w:tc>
          <w:tcPr>
            <w:tcW w:w="828" w:type="pct"/>
          </w:tcPr>
          <w:p w14:paraId="7DEBAD13" w14:textId="77777777" w:rsidR="00522351" w:rsidRPr="00522351" w:rsidRDefault="00522351" w:rsidP="00522351">
            <w:pPr>
              <w:ind w:left="48"/>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Std. Deviation </w:t>
            </w:r>
          </w:p>
        </w:tc>
        <w:tc>
          <w:tcPr>
            <w:tcW w:w="1075" w:type="pct"/>
          </w:tcPr>
          <w:p w14:paraId="555BAAE9" w14:textId="77777777" w:rsidR="00522351" w:rsidRPr="00522351" w:rsidRDefault="00522351" w:rsidP="00522351">
            <w:pPr>
              <w:ind w:right="43"/>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Interpretation </w:t>
            </w:r>
          </w:p>
        </w:tc>
      </w:tr>
      <w:tr w:rsidR="006530C3" w:rsidRPr="006530C3" w14:paraId="5C200628" w14:textId="77777777" w:rsidTr="00522351">
        <w:trPr>
          <w:trHeight w:val="20"/>
        </w:trPr>
        <w:tc>
          <w:tcPr>
            <w:tcW w:w="420" w:type="pct"/>
          </w:tcPr>
          <w:p w14:paraId="1C117D71" w14:textId="77777777" w:rsidR="00522351" w:rsidRPr="00522351" w:rsidRDefault="00522351" w:rsidP="00522351">
            <w:pPr>
              <w:ind w:right="46"/>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1 </w:t>
            </w:r>
          </w:p>
        </w:tc>
        <w:tc>
          <w:tcPr>
            <w:tcW w:w="2163" w:type="pct"/>
          </w:tcPr>
          <w:p w14:paraId="6606248D" w14:textId="77777777" w:rsidR="00522351" w:rsidRPr="00522351" w:rsidRDefault="00522351" w:rsidP="00522351">
            <w:pPr>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The market is clean and well-maintained. </w:t>
            </w:r>
          </w:p>
        </w:tc>
        <w:tc>
          <w:tcPr>
            <w:tcW w:w="514" w:type="pct"/>
          </w:tcPr>
          <w:p w14:paraId="14B52086" w14:textId="77777777" w:rsidR="00522351" w:rsidRPr="00522351" w:rsidRDefault="00522351" w:rsidP="00522351">
            <w:pPr>
              <w:ind w:right="42"/>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4.46</w:t>
            </w:r>
          </w:p>
        </w:tc>
        <w:tc>
          <w:tcPr>
            <w:tcW w:w="828" w:type="pct"/>
          </w:tcPr>
          <w:p w14:paraId="03AD6C5B" w14:textId="77777777" w:rsidR="00522351" w:rsidRPr="00522351" w:rsidRDefault="00522351" w:rsidP="00522351">
            <w:pPr>
              <w:ind w:right="37"/>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0.75</w:t>
            </w:r>
          </w:p>
        </w:tc>
        <w:tc>
          <w:tcPr>
            <w:tcW w:w="1075" w:type="pct"/>
          </w:tcPr>
          <w:p w14:paraId="2F2290F6" w14:textId="77777777" w:rsidR="00522351" w:rsidRPr="00522351" w:rsidRDefault="00522351" w:rsidP="00522351">
            <w:pPr>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Very High</w:t>
            </w:r>
          </w:p>
        </w:tc>
      </w:tr>
      <w:tr w:rsidR="006530C3" w:rsidRPr="006530C3" w14:paraId="70354A42" w14:textId="77777777" w:rsidTr="00522351">
        <w:trPr>
          <w:trHeight w:val="20"/>
        </w:trPr>
        <w:tc>
          <w:tcPr>
            <w:tcW w:w="420" w:type="pct"/>
          </w:tcPr>
          <w:p w14:paraId="53990FBC" w14:textId="77777777" w:rsidR="00522351" w:rsidRPr="00522351" w:rsidRDefault="00522351" w:rsidP="00522351">
            <w:pPr>
              <w:ind w:right="46"/>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2 </w:t>
            </w:r>
          </w:p>
        </w:tc>
        <w:tc>
          <w:tcPr>
            <w:tcW w:w="2163" w:type="pct"/>
          </w:tcPr>
          <w:p w14:paraId="31FD8C05" w14:textId="77777777" w:rsidR="00522351" w:rsidRPr="00522351" w:rsidRDefault="00522351" w:rsidP="00522351">
            <w:pPr>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The agricultural products are well-displayed and organized </w:t>
            </w:r>
          </w:p>
        </w:tc>
        <w:tc>
          <w:tcPr>
            <w:tcW w:w="514" w:type="pct"/>
          </w:tcPr>
          <w:p w14:paraId="66F164CB" w14:textId="77777777" w:rsidR="00522351" w:rsidRPr="00522351" w:rsidRDefault="00522351" w:rsidP="00522351">
            <w:pPr>
              <w:ind w:right="42"/>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4.39</w:t>
            </w:r>
          </w:p>
        </w:tc>
        <w:tc>
          <w:tcPr>
            <w:tcW w:w="828" w:type="pct"/>
          </w:tcPr>
          <w:p w14:paraId="55B4BCCD" w14:textId="77777777" w:rsidR="00522351" w:rsidRPr="00522351" w:rsidRDefault="00522351" w:rsidP="00522351">
            <w:pPr>
              <w:ind w:right="37"/>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0.70</w:t>
            </w:r>
          </w:p>
        </w:tc>
        <w:tc>
          <w:tcPr>
            <w:tcW w:w="1075" w:type="pct"/>
          </w:tcPr>
          <w:p w14:paraId="11BBE462" w14:textId="77777777" w:rsidR="00522351" w:rsidRPr="00522351" w:rsidRDefault="00522351" w:rsidP="00522351">
            <w:pPr>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Very High</w:t>
            </w:r>
          </w:p>
        </w:tc>
      </w:tr>
      <w:tr w:rsidR="006530C3" w:rsidRPr="006530C3" w14:paraId="69B85368" w14:textId="77777777" w:rsidTr="00522351">
        <w:trPr>
          <w:trHeight w:val="20"/>
        </w:trPr>
        <w:tc>
          <w:tcPr>
            <w:tcW w:w="420" w:type="pct"/>
          </w:tcPr>
          <w:p w14:paraId="476EAAD4" w14:textId="77777777" w:rsidR="00522351" w:rsidRPr="00522351" w:rsidRDefault="00522351" w:rsidP="00522351">
            <w:pPr>
              <w:ind w:right="46"/>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3 </w:t>
            </w:r>
          </w:p>
        </w:tc>
        <w:tc>
          <w:tcPr>
            <w:tcW w:w="2163" w:type="pct"/>
          </w:tcPr>
          <w:p w14:paraId="7B9C73BC" w14:textId="77777777" w:rsidR="00522351" w:rsidRPr="00522351" w:rsidRDefault="00522351" w:rsidP="00522351">
            <w:pPr>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The market's strategic location makes it convenient to access. </w:t>
            </w:r>
          </w:p>
        </w:tc>
        <w:tc>
          <w:tcPr>
            <w:tcW w:w="514" w:type="pct"/>
          </w:tcPr>
          <w:p w14:paraId="3C10E2A4" w14:textId="77777777" w:rsidR="00522351" w:rsidRPr="00522351" w:rsidRDefault="00522351" w:rsidP="00522351">
            <w:pPr>
              <w:ind w:right="42"/>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4.31</w:t>
            </w:r>
          </w:p>
        </w:tc>
        <w:tc>
          <w:tcPr>
            <w:tcW w:w="828" w:type="pct"/>
          </w:tcPr>
          <w:p w14:paraId="6ED3846B" w14:textId="77777777" w:rsidR="00522351" w:rsidRPr="00522351" w:rsidRDefault="00522351" w:rsidP="00522351">
            <w:pPr>
              <w:ind w:right="37"/>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0.93</w:t>
            </w:r>
          </w:p>
        </w:tc>
        <w:tc>
          <w:tcPr>
            <w:tcW w:w="1075" w:type="pct"/>
          </w:tcPr>
          <w:p w14:paraId="438BEAB7" w14:textId="77777777" w:rsidR="00522351" w:rsidRPr="00522351" w:rsidRDefault="00522351" w:rsidP="00522351">
            <w:pPr>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Very High</w:t>
            </w:r>
          </w:p>
        </w:tc>
      </w:tr>
      <w:tr w:rsidR="006530C3" w:rsidRPr="006530C3" w14:paraId="4C2DCF1D" w14:textId="77777777" w:rsidTr="00522351">
        <w:trPr>
          <w:trHeight w:val="20"/>
        </w:trPr>
        <w:tc>
          <w:tcPr>
            <w:tcW w:w="420" w:type="pct"/>
          </w:tcPr>
          <w:p w14:paraId="5F64B052" w14:textId="77777777" w:rsidR="00522351" w:rsidRPr="00522351" w:rsidRDefault="00522351" w:rsidP="00522351">
            <w:pPr>
              <w:ind w:right="46"/>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4 </w:t>
            </w:r>
          </w:p>
        </w:tc>
        <w:tc>
          <w:tcPr>
            <w:tcW w:w="2163" w:type="pct"/>
          </w:tcPr>
          <w:p w14:paraId="34CD1713" w14:textId="77777777" w:rsidR="00522351" w:rsidRPr="00522351" w:rsidRDefault="00522351" w:rsidP="00522351">
            <w:pPr>
              <w:jc w:val="both"/>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 xml:space="preserve">The market has proper signage and a kiosk to identify vendors. </w:t>
            </w:r>
          </w:p>
        </w:tc>
        <w:tc>
          <w:tcPr>
            <w:tcW w:w="514" w:type="pct"/>
          </w:tcPr>
          <w:p w14:paraId="3AFB1336" w14:textId="77777777" w:rsidR="00522351" w:rsidRPr="00522351" w:rsidRDefault="00522351" w:rsidP="00522351">
            <w:pPr>
              <w:ind w:right="42"/>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4.54</w:t>
            </w:r>
          </w:p>
        </w:tc>
        <w:tc>
          <w:tcPr>
            <w:tcW w:w="828" w:type="pct"/>
          </w:tcPr>
          <w:p w14:paraId="4D1CDA41" w14:textId="77777777" w:rsidR="00522351" w:rsidRPr="00522351" w:rsidRDefault="00522351" w:rsidP="00522351">
            <w:pPr>
              <w:ind w:right="37"/>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0.72</w:t>
            </w:r>
          </w:p>
        </w:tc>
        <w:tc>
          <w:tcPr>
            <w:tcW w:w="1075" w:type="pct"/>
          </w:tcPr>
          <w:p w14:paraId="66EDCF12" w14:textId="77777777" w:rsidR="00522351" w:rsidRPr="00522351" w:rsidRDefault="00522351" w:rsidP="00522351">
            <w:pPr>
              <w:jc w:val="center"/>
              <w:rPr>
                <w:rFonts w:ascii="Arial" w:eastAsia="DengXian" w:hAnsi="Arial" w:cs="Arial"/>
                <w:color w:val="000000" w:themeColor="text1"/>
                <w:lang w:val="en-PH" w:eastAsia="en-PH"/>
              </w:rPr>
            </w:pPr>
            <w:r w:rsidRPr="00522351">
              <w:rPr>
                <w:rFonts w:ascii="Arial" w:eastAsia="DengXian" w:hAnsi="Arial" w:cs="Arial"/>
                <w:color w:val="000000" w:themeColor="text1"/>
                <w:lang w:val="en-PH" w:eastAsia="en-PH"/>
              </w:rPr>
              <w:t>Very High</w:t>
            </w:r>
          </w:p>
        </w:tc>
      </w:tr>
      <w:tr w:rsidR="006530C3" w:rsidRPr="006530C3" w14:paraId="78342927" w14:textId="77777777" w:rsidTr="00522351">
        <w:trPr>
          <w:trHeight w:val="20"/>
        </w:trPr>
        <w:tc>
          <w:tcPr>
            <w:tcW w:w="420" w:type="pct"/>
          </w:tcPr>
          <w:p w14:paraId="146F62C1" w14:textId="77777777" w:rsidR="00522351" w:rsidRPr="00522351" w:rsidRDefault="00522351" w:rsidP="00522351">
            <w:pPr>
              <w:jc w:val="both"/>
              <w:rPr>
                <w:rFonts w:ascii="Arial" w:eastAsia="DengXian" w:hAnsi="Arial" w:cs="Arial"/>
                <w:color w:val="000000" w:themeColor="text1"/>
                <w:lang w:val="en-PH" w:eastAsia="en-PH"/>
              </w:rPr>
            </w:pPr>
          </w:p>
        </w:tc>
        <w:tc>
          <w:tcPr>
            <w:tcW w:w="2163" w:type="pct"/>
          </w:tcPr>
          <w:p w14:paraId="102C4A14" w14:textId="77777777" w:rsidR="00522351" w:rsidRPr="00522351" w:rsidRDefault="00522351" w:rsidP="00522351">
            <w:pPr>
              <w:ind w:left="1061"/>
              <w:jc w:val="both"/>
              <w:rPr>
                <w:rFonts w:ascii="Arial" w:eastAsia="DengXian" w:hAnsi="Arial" w:cs="Arial"/>
                <w:b/>
                <w:bCs/>
                <w:color w:val="000000" w:themeColor="text1"/>
                <w:lang w:val="en-PH" w:eastAsia="en-PH"/>
              </w:rPr>
            </w:pPr>
            <w:r w:rsidRPr="00522351">
              <w:rPr>
                <w:rFonts w:ascii="Arial" w:eastAsia="DengXian" w:hAnsi="Arial" w:cs="Arial"/>
                <w:b/>
                <w:bCs/>
                <w:color w:val="000000" w:themeColor="text1"/>
                <w:lang w:val="en-PH" w:eastAsia="en-PH"/>
              </w:rPr>
              <w:t xml:space="preserve">Average </w:t>
            </w:r>
          </w:p>
        </w:tc>
        <w:tc>
          <w:tcPr>
            <w:tcW w:w="514" w:type="pct"/>
          </w:tcPr>
          <w:p w14:paraId="0E228B14" w14:textId="77777777" w:rsidR="00522351" w:rsidRPr="00522351" w:rsidRDefault="00522351" w:rsidP="00522351">
            <w:pPr>
              <w:ind w:right="42"/>
              <w:jc w:val="center"/>
              <w:rPr>
                <w:rFonts w:ascii="Arial" w:eastAsia="DengXian" w:hAnsi="Arial" w:cs="Arial"/>
                <w:b/>
                <w:bCs/>
                <w:color w:val="000000" w:themeColor="text1"/>
                <w:lang w:val="en-PH" w:eastAsia="en-PH"/>
              </w:rPr>
            </w:pPr>
            <w:r w:rsidRPr="00522351">
              <w:rPr>
                <w:rFonts w:ascii="Arial" w:eastAsia="DengXian" w:hAnsi="Arial" w:cs="Arial"/>
                <w:b/>
                <w:bCs/>
                <w:color w:val="000000" w:themeColor="text1"/>
                <w:lang w:val="en-PH" w:eastAsia="en-PH"/>
              </w:rPr>
              <w:t>4.42</w:t>
            </w:r>
          </w:p>
        </w:tc>
        <w:tc>
          <w:tcPr>
            <w:tcW w:w="828" w:type="pct"/>
          </w:tcPr>
          <w:p w14:paraId="5E3E3F60" w14:textId="77777777" w:rsidR="00522351" w:rsidRPr="00522351" w:rsidRDefault="00522351" w:rsidP="00522351">
            <w:pPr>
              <w:ind w:right="37"/>
              <w:jc w:val="center"/>
              <w:rPr>
                <w:rFonts w:ascii="Arial" w:eastAsia="DengXian" w:hAnsi="Arial" w:cs="Arial"/>
                <w:b/>
                <w:bCs/>
                <w:color w:val="000000" w:themeColor="text1"/>
                <w:lang w:val="en-PH" w:eastAsia="en-PH"/>
              </w:rPr>
            </w:pPr>
            <w:r w:rsidRPr="00522351">
              <w:rPr>
                <w:rFonts w:ascii="Arial" w:eastAsia="DengXian" w:hAnsi="Arial" w:cs="Arial"/>
                <w:b/>
                <w:bCs/>
                <w:color w:val="000000" w:themeColor="text1"/>
                <w:lang w:val="en-PH" w:eastAsia="en-PH"/>
              </w:rPr>
              <w:t>0.60</w:t>
            </w:r>
          </w:p>
        </w:tc>
        <w:tc>
          <w:tcPr>
            <w:tcW w:w="1075" w:type="pct"/>
          </w:tcPr>
          <w:p w14:paraId="15124029" w14:textId="77777777" w:rsidR="00522351" w:rsidRPr="00522351" w:rsidRDefault="00522351" w:rsidP="00522351">
            <w:pPr>
              <w:jc w:val="center"/>
              <w:rPr>
                <w:rFonts w:ascii="Arial" w:eastAsia="DengXian" w:hAnsi="Arial" w:cs="Arial"/>
                <w:b/>
                <w:bCs/>
                <w:color w:val="000000" w:themeColor="text1"/>
                <w:lang w:val="en-PH" w:eastAsia="en-PH"/>
              </w:rPr>
            </w:pPr>
            <w:r w:rsidRPr="00522351">
              <w:rPr>
                <w:rFonts w:ascii="Arial" w:eastAsia="DengXian" w:hAnsi="Arial" w:cs="Arial"/>
                <w:b/>
                <w:bCs/>
                <w:color w:val="000000" w:themeColor="text1"/>
                <w:lang w:val="en-PH" w:eastAsia="en-PH"/>
              </w:rPr>
              <w:t>Very High</w:t>
            </w:r>
          </w:p>
        </w:tc>
      </w:tr>
    </w:tbl>
    <w:p w14:paraId="1BE4F2A5" w14:textId="77777777" w:rsidR="00AA7DD1" w:rsidRPr="006530C3" w:rsidRDefault="00AA7DD1" w:rsidP="00AA7DD1">
      <w:pPr>
        <w:pStyle w:val="Body"/>
        <w:spacing w:after="0"/>
        <w:rPr>
          <w:rFonts w:ascii="Arial" w:hAnsi="Arial" w:cs="Arial"/>
          <w:b/>
          <w:color w:val="000000" w:themeColor="text1"/>
          <w:sz w:val="22"/>
        </w:rPr>
      </w:pPr>
    </w:p>
    <w:p w14:paraId="6B3D750C" w14:textId="61610249" w:rsidR="00851412" w:rsidRPr="00F66E87" w:rsidRDefault="00E253E0" w:rsidP="00851412">
      <w:pPr>
        <w:pStyle w:val="Body"/>
        <w:spacing w:after="0"/>
        <w:rPr>
          <w:rFonts w:ascii="Arial" w:hAnsi="Arial" w:cs="Arial"/>
          <w:b/>
          <w:color w:val="000000" w:themeColor="text1"/>
          <w:sz w:val="22"/>
        </w:rPr>
      </w:pPr>
      <w:r w:rsidRPr="00F66E87">
        <w:rPr>
          <w:rFonts w:ascii="Arial" w:hAnsi="Arial" w:cs="Arial"/>
          <w:b/>
          <w:color w:val="000000" w:themeColor="text1"/>
          <w:sz w:val="22"/>
        </w:rPr>
        <w:t>3</w:t>
      </w:r>
      <w:r w:rsidR="00851412" w:rsidRPr="00F66E87">
        <w:rPr>
          <w:rFonts w:ascii="Arial" w:hAnsi="Arial" w:cs="Arial"/>
          <w:b/>
          <w:color w:val="000000" w:themeColor="text1"/>
          <w:sz w:val="22"/>
        </w:rPr>
        <w:t xml:space="preserve">.3 </w:t>
      </w:r>
      <w:r w:rsidR="00F66E87" w:rsidRPr="00F66E87">
        <w:rPr>
          <w:rFonts w:ascii="Arial" w:hAnsi="Arial" w:cs="Arial"/>
          <w:b/>
          <w:color w:val="000000" w:themeColor="text1"/>
          <w:sz w:val="22"/>
        </w:rPr>
        <w:t>Overall Level of Customer Satisfaction in the Public Market among Tabo Vendors</w:t>
      </w:r>
    </w:p>
    <w:p w14:paraId="2CB0A15E" w14:textId="77777777" w:rsidR="004208F9" w:rsidRPr="00E1630E" w:rsidRDefault="004208F9" w:rsidP="00851412">
      <w:pPr>
        <w:pStyle w:val="Body"/>
        <w:spacing w:after="0"/>
        <w:rPr>
          <w:rFonts w:ascii="Arial" w:hAnsi="Arial" w:cs="Arial"/>
          <w:b/>
          <w:color w:val="000000" w:themeColor="text1"/>
          <w:sz w:val="22"/>
        </w:rPr>
      </w:pPr>
    </w:p>
    <w:p w14:paraId="5684A539" w14:textId="2222B0AE" w:rsidR="00AC601D" w:rsidRPr="00E1630E" w:rsidRDefault="00D223A2" w:rsidP="00AC601D">
      <w:pPr>
        <w:pStyle w:val="Body"/>
        <w:rPr>
          <w:rFonts w:ascii="Arial" w:hAnsi="Arial" w:cs="Arial"/>
          <w:color w:val="000000" w:themeColor="text1"/>
        </w:rPr>
      </w:pPr>
      <w:r w:rsidRPr="00E1630E">
        <w:rPr>
          <w:rFonts w:ascii="Arial" w:hAnsi="Arial" w:cs="Arial"/>
          <w:color w:val="000000" w:themeColor="text1"/>
        </w:rPr>
        <w:t xml:space="preserve">The overall average mean of 4.54 in Table </w:t>
      </w:r>
      <w:r w:rsidR="00E1630E" w:rsidRPr="00E1630E">
        <w:rPr>
          <w:rFonts w:ascii="Arial" w:hAnsi="Arial" w:cs="Arial"/>
          <w:color w:val="000000" w:themeColor="text1"/>
        </w:rPr>
        <w:t>12</w:t>
      </w:r>
      <w:r w:rsidRPr="00E1630E">
        <w:rPr>
          <w:rFonts w:ascii="Arial" w:hAnsi="Arial" w:cs="Arial"/>
          <w:color w:val="000000" w:themeColor="text1"/>
        </w:rPr>
        <w:t xml:space="preserve"> reflects a very high level of customer satisfaction, indicating that customers are strongly satisfied with their experiences in public markets among </w:t>
      </w:r>
      <w:proofErr w:type="spellStart"/>
      <w:r w:rsidRPr="00E1630E">
        <w:rPr>
          <w:rFonts w:ascii="Arial" w:hAnsi="Arial" w:cs="Arial"/>
          <w:color w:val="000000" w:themeColor="text1"/>
        </w:rPr>
        <w:t>tabo</w:t>
      </w:r>
      <w:proofErr w:type="spellEnd"/>
      <w:r w:rsidRPr="00E1630E">
        <w:rPr>
          <w:rFonts w:ascii="Arial" w:hAnsi="Arial" w:cs="Arial"/>
          <w:color w:val="000000" w:themeColor="text1"/>
        </w:rPr>
        <w:t xml:space="preserve"> vendors. This high rating encompasses key factors such as service </w:t>
      </w:r>
      <w:r w:rsidRPr="00E1630E">
        <w:rPr>
          <w:rFonts w:ascii="Arial" w:hAnsi="Arial" w:cs="Arial"/>
          <w:color w:val="000000" w:themeColor="text1"/>
        </w:rPr>
        <w:lastRenderedPageBreak/>
        <w:t>quality, product freshness, value for money, and overall market cleanliness, demonstrating that vendors are effectively meeting the expectations of their customer base.</w:t>
      </w:r>
    </w:p>
    <w:p w14:paraId="16608422" w14:textId="1756F1C8" w:rsidR="00B2331E" w:rsidRPr="00E1630E" w:rsidRDefault="00B2331E" w:rsidP="00B2331E">
      <w:pPr>
        <w:pStyle w:val="Body"/>
        <w:rPr>
          <w:rFonts w:ascii="Arial" w:hAnsi="Arial" w:cs="Arial"/>
          <w:color w:val="000000" w:themeColor="text1"/>
        </w:rPr>
      </w:pPr>
      <w:r w:rsidRPr="00E1630E">
        <w:rPr>
          <w:rFonts w:ascii="Arial" w:hAnsi="Arial" w:cs="Arial"/>
          <w:color w:val="000000" w:themeColor="text1"/>
        </w:rPr>
        <w:t xml:space="preserve">This finding aligns well with the Expectation-Disconfirmation Theory (EDT), which posits that satisfaction is achieved when actual experiences meet or exceed customer expectations (Oliver, </w:t>
      </w:r>
      <w:r w:rsidR="009574C1">
        <w:rPr>
          <w:rFonts w:ascii="Arial" w:hAnsi="Arial" w:cs="Arial"/>
          <w:color w:val="000000" w:themeColor="text1"/>
        </w:rPr>
        <w:t>2014</w:t>
      </w:r>
      <w:r w:rsidRPr="00E1630E">
        <w:rPr>
          <w:rFonts w:ascii="Arial" w:hAnsi="Arial" w:cs="Arial"/>
          <w:color w:val="000000" w:themeColor="text1"/>
        </w:rPr>
        <w:t xml:space="preserve">). In this study, the high average mean score, coupled with a low standard deviation of 0.39, suggests a strong positive disconfirmation, meaning customer experiences have surpassed expectations, leading to heightened satisfaction. The consistency in responses further supports this, indicating that the satisfaction is not isolated but broadly shared across the respondent group. </w:t>
      </w:r>
    </w:p>
    <w:p w14:paraId="6CA512F5" w14:textId="19A55BA4" w:rsidR="00AC601D" w:rsidRPr="00E1630E" w:rsidRDefault="00B2331E" w:rsidP="00B2331E">
      <w:pPr>
        <w:pStyle w:val="Body"/>
        <w:rPr>
          <w:rFonts w:ascii="Arial" w:hAnsi="Arial" w:cs="Arial"/>
          <w:color w:val="000000" w:themeColor="text1"/>
        </w:rPr>
      </w:pPr>
      <w:r w:rsidRPr="00E1630E">
        <w:rPr>
          <w:rFonts w:ascii="Arial" w:hAnsi="Arial" w:cs="Arial"/>
          <w:color w:val="000000" w:themeColor="text1"/>
        </w:rPr>
        <w:t xml:space="preserve">As </w:t>
      </w:r>
      <w:r w:rsidR="008F1D5B" w:rsidRPr="008F1D5B">
        <w:rPr>
          <w:rFonts w:ascii="Arial" w:hAnsi="Arial" w:cs="Arial"/>
          <w:color w:val="000000" w:themeColor="text1"/>
        </w:rPr>
        <w:t>Wilson</w:t>
      </w:r>
      <w:r w:rsidRPr="00E1630E">
        <w:rPr>
          <w:rFonts w:ascii="Arial" w:hAnsi="Arial" w:cs="Arial"/>
          <w:color w:val="000000" w:themeColor="text1"/>
        </w:rPr>
        <w:t xml:space="preserve"> et al. (</w:t>
      </w:r>
      <w:r w:rsidR="008F1D5B">
        <w:rPr>
          <w:rFonts w:ascii="Arial" w:hAnsi="Arial" w:cs="Arial"/>
          <w:color w:val="000000" w:themeColor="text1"/>
        </w:rPr>
        <w:t>2020</w:t>
      </w:r>
      <w:r w:rsidRPr="00E1630E">
        <w:rPr>
          <w:rFonts w:ascii="Arial" w:hAnsi="Arial" w:cs="Arial"/>
          <w:color w:val="000000" w:themeColor="text1"/>
        </w:rPr>
        <w:t xml:space="preserve">) emphasized, overall satisfaction results from the cumulative evaluation of multiple service interactions. The ability of </w:t>
      </w:r>
      <w:proofErr w:type="spellStart"/>
      <w:r w:rsidRPr="00E1630E">
        <w:rPr>
          <w:rFonts w:ascii="Arial" w:hAnsi="Arial" w:cs="Arial"/>
          <w:color w:val="000000" w:themeColor="text1"/>
        </w:rPr>
        <w:t>tabo</w:t>
      </w:r>
      <w:proofErr w:type="spellEnd"/>
      <w:r w:rsidRPr="00E1630E">
        <w:rPr>
          <w:rFonts w:ascii="Arial" w:hAnsi="Arial" w:cs="Arial"/>
          <w:color w:val="000000" w:themeColor="text1"/>
        </w:rPr>
        <w:t xml:space="preserve"> vendors to consistently deliver quality service across various touchpoints reinforces EDT's assertion that exceeding expectations builds loyalty and sustained patronage. Moreover, according to </w:t>
      </w:r>
      <w:r w:rsidR="00B41930" w:rsidRPr="00B41930">
        <w:rPr>
          <w:rFonts w:ascii="Arial" w:hAnsi="Arial" w:cs="Arial"/>
          <w:color w:val="000000" w:themeColor="text1"/>
        </w:rPr>
        <w:t>Gajic &amp; Boolaky (2015</w:t>
      </w:r>
      <w:r w:rsidRPr="00E1630E">
        <w:rPr>
          <w:rFonts w:ascii="Arial" w:hAnsi="Arial" w:cs="Arial"/>
          <w:color w:val="000000" w:themeColor="text1"/>
        </w:rPr>
        <w:t>), such consistent performance in traditional retail settings, such as public markets, is vital for retaining customers and enhancing market viability over time.</w:t>
      </w:r>
    </w:p>
    <w:p w14:paraId="3BB82491" w14:textId="5ABF8E48" w:rsidR="00421CC7" w:rsidRPr="00E1630E" w:rsidRDefault="00183EE3" w:rsidP="00183EE3">
      <w:pPr>
        <w:tabs>
          <w:tab w:val="left" w:pos="1080"/>
        </w:tabs>
        <w:jc w:val="both"/>
        <w:rPr>
          <w:rFonts w:ascii="Arial" w:hAnsi="Arial"/>
          <w:b/>
          <w:color w:val="000000" w:themeColor="text1"/>
        </w:rPr>
      </w:pPr>
      <w:r w:rsidRPr="00E1630E">
        <w:rPr>
          <w:rFonts w:ascii="Arial" w:hAnsi="Arial"/>
          <w:b/>
          <w:color w:val="000000" w:themeColor="text1"/>
        </w:rPr>
        <w:t xml:space="preserve">Table </w:t>
      </w:r>
      <w:r w:rsidR="00021BBC" w:rsidRPr="00E1630E">
        <w:rPr>
          <w:rFonts w:ascii="Arial" w:hAnsi="Arial"/>
          <w:b/>
          <w:color w:val="000000" w:themeColor="text1"/>
        </w:rPr>
        <w:t>12</w:t>
      </w:r>
      <w:r w:rsidRPr="00E1630E">
        <w:rPr>
          <w:rFonts w:ascii="Arial" w:hAnsi="Arial"/>
          <w:b/>
          <w:color w:val="000000" w:themeColor="text1"/>
        </w:rPr>
        <w:t>.</w:t>
      </w:r>
      <w:r w:rsidRPr="00E1630E">
        <w:rPr>
          <w:rFonts w:ascii="Arial" w:hAnsi="Arial"/>
          <w:b/>
          <w:color w:val="000000" w:themeColor="text1"/>
        </w:rPr>
        <w:tab/>
      </w:r>
      <w:r w:rsidR="00560244" w:rsidRPr="00E1630E">
        <w:rPr>
          <w:rFonts w:ascii="Arial" w:hAnsi="Arial"/>
          <w:b/>
          <w:color w:val="000000" w:themeColor="text1"/>
        </w:rPr>
        <w:t xml:space="preserve">Overall level of customer satisfaction in the public market among </w:t>
      </w:r>
      <w:proofErr w:type="spellStart"/>
      <w:r w:rsidR="00560244" w:rsidRPr="00E1630E">
        <w:rPr>
          <w:rFonts w:ascii="Arial" w:hAnsi="Arial"/>
          <w:b/>
          <w:color w:val="000000" w:themeColor="text1"/>
        </w:rPr>
        <w:t>tabo</w:t>
      </w:r>
      <w:proofErr w:type="spellEnd"/>
      <w:r w:rsidR="00560244" w:rsidRPr="00E1630E">
        <w:rPr>
          <w:rFonts w:ascii="Arial" w:hAnsi="Arial"/>
          <w:b/>
          <w:color w:val="000000" w:themeColor="text1"/>
        </w:rPr>
        <w:t xml:space="preserve"> vendors</w:t>
      </w:r>
    </w:p>
    <w:tbl>
      <w:tblPr>
        <w:tblStyle w:val="APA"/>
        <w:tblW w:w="5000" w:type="pct"/>
        <w:tblLook w:val="04A0" w:firstRow="1" w:lastRow="0" w:firstColumn="1" w:lastColumn="0" w:noHBand="0" w:noVBand="1"/>
      </w:tblPr>
      <w:tblGrid>
        <w:gridCol w:w="631"/>
        <w:gridCol w:w="3614"/>
        <w:gridCol w:w="776"/>
        <w:gridCol w:w="1749"/>
        <w:gridCol w:w="1654"/>
      </w:tblGrid>
      <w:tr w:rsidR="00E1630E" w:rsidRPr="00E1630E" w14:paraId="10BD94C9" w14:textId="77777777" w:rsidTr="00E35350">
        <w:trPr>
          <w:cnfStyle w:val="100000000000" w:firstRow="1" w:lastRow="0" w:firstColumn="0" w:lastColumn="0" w:oddVBand="0" w:evenVBand="0" w:oddHBand="0" w:evenHBand="0" w:firstRowFirstColumn="0" w:firstRowLastColumn="0" w:lastRowFirstColumn="0" w:lastRowLastColumn="0"/>
          <w:trHeight w:val="20"/>
        </w:trPr>
        <w:tc>
          <w:tcPr>
            <w:tcW w:w="388" w:type="pct"/>
          </w:tcPr>
          <w:p w14:paraId="25F9688F" w14:textId="77777777" w:rsidR="00E35350" w:rsidRPr="00E35350" w:rsidRDefault="00E35350" w:rsidP="00E35350">
            <w:pPr>
              <w:ind w:right="51"/>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No. </w:t>
            </w:r>
          </w:p>
        </w:tc>
        <w:tc>
          <w:tcPr>
            <w:tcW w:w="2159" w:type="pct"/>
          </w:tcPr>
          <w:p w14:paraId="6C2D0A8A" w14:textId="77777777" w:rsidR="00E35350" w:rsidRPr="00E35350" w:rsidRDefault="00E35350" w:rsidP="00E35350">
            <w:pPr>
              <w:ind w:right="53"/>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Statement </w:t>
            </w:r>
          </w:p>
        </w:tc>
        <w:tc>
          <w:tcPr>
            <w:tcW w:w="443" w:type="pct"/>
          </w:tcPr>
          <w:p w14:paraId="16FA531C" w14:textId="77777777" w:rsidR="00E35350" w:rsidRPr="00E35350" w:rsidRDefault="00E35350" w:rsidP="00E35350">
            <w:pPr>
              <w:ind w:left="48"/>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Mean </w:t>
            </w:r>
          </w:p>
        </w:tc>
        <w:tc>
          <w:tcPr>
            <w:tcW w:w="1051" w:type="pct"/>
          </w:tcPr>
          <w:p w14:paraId="1C532022" w14:textId="77777777" w:rsidR="00E35350" w:rsidRPr="00E35350" w:rsidRDefault="00E35350" w:rsidP="00E35350">
            <w:pPr>
              <w:ind w:right="36"/>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Std. Deviation </w:t>
            </w:r>
          </w:p>
        </w:tc>
        <w:tc>
          <w:tcPr>
            <w:tcW w:w="959" w:type="pct"/>
          </w:tcPr>
          <w:p w14:paraId="3C046C5A" w14:textId="77777777" w:rsidR="00E35350" w:rsidRPr="00E35350" w:rsidRDefault="00E35350" w:rsidP="00E35350">
            <w:pPr>
              <w:ind w:right="37"/>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Interpretations </w:t>
            </w:r>
          </w:p>
        </w:tc>
      </w:tr>
      <w:tr w:rsidR="00E1630E" w:rsidRPr="00E1630E" w14:paraId="0F012C43" w14:textId="77777777" w:rsidTr="00E35350">
        <w:trPr>
          <w:trHeight w:val="20"/>
        </w:trPr>
        <w:tc>
          <w:tcPr>
            <w:tcW w:w="388" w:type="pct"/>
          </w:tcPr>
          <w:p w14:paraId="54019F90"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1 </w:t>
            </w:r>
          </w:p>
        </w:tc>
        <w:tc>
          <w:tcPr>
            <w:tcW w:w="2159" w:type="pct"/>
          </w:tcPr>
          <w:p w14:paraId="5D532829"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The service provided by the vendors at this public market is satisfactory </w:t>
            </w:r>
          </w:p>
        </w:tc>
        <w:tc>
          <w:tcPr>
            <w:tcW w:w="443" w:type="pct"/>
          </w:tcPr>
          <w:p w14:paraId="5A38865C" w14:textId="77777777" w:rsidR="00E35350" w:rsidRPr="00E35350" w:rsidRDefault="00E35350" w:rsidP="00E35350">
            <w:pPr>
              <w:ind w:right="49"/>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4.40 </w:t>
            </w:r>
          </w:p>
        </w:tc>
        <w:tc>
          <w:tcPr>
            <w:tcW w:w="1051" w:type="pct"/>
          </w:tcPr>
          <w:p w14:paraId="45874C9E" w14:textId="77777777" w:rsidR="00E35350" w:rsidRPr="00E35350" w:rsidRDefault="00E35350" w:rsidP="00E35350">
            <w:pPr>
              <w:ind w:right="35"/>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c>
          <w:tcPr>
            <w:tcW w:w="959" w:type="pct"/>
          </w:tcPr>
          <w:p w14:paraId="72931107" w14:textId="77777777" w:rsidR="00E35350" w:rsidRPr="00E35350" w:rsidRDefault="00E35350" w:rsidP="00E35350">
            <w:pPr>
              <w:ind w:left="24"/>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r>
      <w:tr w:rsidR="00E1630E" w:rsidRPr="00E1630E" w14:paraId="13E70301" w14:textId="77777777" w:rsidTr="00E35350">
        <w:trPr>
          <w:trHeight w:val="20"/>
        </w:trPr>
        <w:tc>
          <w:tcPr>
            <w:tcW w:w="388" w:type="pct"/>
          </w:tcPr>
          <w:p w14:paraId="3B0BBD6A"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2 </w:t>
            </w:r>
          </w:p>
        </w:tc>
        <w:tc>
          <w:tcPr>
            <w:tcW w:w="2159" w:type="pct"/>
          </w:tcPr>
          <w:p w14:paraId="4C6E5264"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The quality and freshness of the agricultural products here are satisfactory. </w:t>
            </w:r>
          </w:p>
        </w:tc>
        <w:tc>
          <w:tcPr>
            <w:tcW w:w="443" w:type="pct"/>
          </w:tcPr>
          <w:p w14:paraId="3F5B99B9" w14:textId="77777777" w:rsidR="00E35350" w:rsidRPr="00E35350" w:rsidRDefault="00E35350" w:rsidP="00E35350">
            <w:pPr>
              <w:ind w:right="49"/>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4.52 </w:t>
            </w:r>
          </w:p>
        </w:tc>
        <w:tc>
          <w:tcPr>
            <w:tcW w:w="1051" w:type="pct"/>
          </w:tcPr>
          <w:p w14:paraId="38252E6A" w14:textId="77777777" w:rsidR="00E35350" w:rsidRPr="00E35350" w:rsidRDefault="00E35350" w:rsidP="00E35350">
            <w:pPr>
              <w:ind w:right="35"/>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c>
          <w:tcPr>
            <w:tcW w:w="959" w:type="pct"/>
          </w:tcPr>
          <w:p w14:paraId="05727B0B" w14:textId="77777777" w:rsidR="00E35350" w:rsidRPr="00E35350" w:rsidRDefault="00E35350" w:rsidP="00E35350">
            <w:pPr>
              <w:ind w:left="24"/>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r>
      <w:tr w:rsidR="00E1630E" w:rsidRPr="00E1630E" w14:paraId="0E3D2088" w14:textId="77777777" w:rsidTr="00E35350">
        <w:trPr>
          <w:trHeight w:val="20"/>
        </w:trPr>
        <w:tc>
          <w:tcPr>
            <w:tcW w:w="388" w:type="pct"/>
          </w:tcPr>
          <w:p w14:paraId="206B0512"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3 </w:t>
            </w:r>
          </w:p>
        </w:tc>
        <w:tc>
          <w:tcPr>
            <w:tcW w:w="2159" w:type="pct"/>
          </w:tcPr>
          <w:p w14:paraId="44AE56DC"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The pricing and value for money at this market are satisfactory </w:t>
            </w:r>
          </w:p>
        </w:tc>
        <w:tc>
          <w:tcPr>
            <w:tcW w:w="443" w:type="pct"/>
          </w:tcPr>
          <w:p w14:paraId="6F470F29" w14:textId="77777777" w:rsidR="00E35350" w:rsidRPr="00E35350" w:rsidRDefault="00E35350" w:rsidP="00E35350">
            <w:pPr>
              <w:ind w:right="49"/>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4.69 </w:t>
            </w:r>
          </w:p>
        </w:tc>
        <w:tc>
          <w:tcPr>
            <w:tcW w:w="1051" w:type="pct"/>
          </w:tcPr>
          <w:p w14:paraId="141D7E8D" w14:textId="77777777" w:rsidR="00E35350" w:rsidRPr="00E35350" w:rsidRDefault="00E35350" w:rsidP="00E35350">
            <w:pPr>
              <w:ind w:right="35"/>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c>
          <w:tcPr>
            <w:tcW w:w="959" w:type="pct"/>
          </w:tcPr>
          <w:p w14:paraId="4A8C9501" w14:textId="77777777" w:rsidR="00E35350" w:rsidRPr="00E35350" w:rsidRDefault="00E35350" w:rsidP="00E35350">
            <w:pPr>
              <w:ind w:left="24"/>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r>
      <w:tr w:rsidR="00E1630E" w:rsidRPr="00E1630E" w14:paraId="2CA5DE5D" w14:textId="77777777" w:rsidTr="00E35350">
        <w:trPr>
          <w:trHeight w:val="20"/>
        </w:trPr>
        <w:tc>
          <w:tcPr>
            <w:tcW w:w="388" w:type="pct"/>
          </w:tcPr>
          <w:p w14:paraId="5A15BABA"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4 </w:t>
            </w:r>
          </w:p>
        </w:tc>
        <w:tc>
          <w:tcPr>
            <w:tcW w:w="2159" w:type="pct"/>
          </w:tcPr>
          <w:p w14:paraId="0EA949B0"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The market's overall organization and </w:t>
            </w:r>
          </w:p>
          <w:p w14:paraId="0F7CAFCB" w14:textId="77777777" w:rsidR="00E35350" w:rsidRPr="00E35350" w:rsidRDefault="00E35350" w:rsidP="00E35350">
            <w:pPr>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cleanliness </w:t>
            </w:r>
            <w:proofErr w:type="gramStart"/>
            <w:r w:rsidRPr="00E35350">
              <w:rPr>
                <w:rFonts w:ascii="Arial" w:eastAsia="DengXian" w:hAnsi="Arial" w:cs="Arial"/>
                <w:color w:val="000000" w:themeColor="text1"/>
                <w:lang w:val="en-PH" w:eastAsia="en-PH"/>
              </w:rPr>
              <w:t>are</w:t>
            </w:r>
            <w:proofErr w:type="gramEnd"/>
            <w:r w:rsidRPr="00E35350">
              <w:rPr>
                <w:rFonts w:ascii="Arial" w:eastAsia="DengXian" w:hAnsi="Arial" w:cs="Arial"/>
                <w:color w:val="000000" w:themeColor="text1"/>
                <w:lang w:val="en-PH" w:eastAsia="en-PH"/>
              </w:rPr>
              <w:t xml:space="preserve"> satisfactory </w:t>
            </w:r>
          </w:p>
        </w:tc>
        <w:tc>
          <w:tcPr>
            <w:tcW w:w="443" w:type="pct"/>
          </w:tcPr>
          <w:p w14:paraId="3D70C3D5" w14:textId="77777777" w:rsidR="00E35350" w:rsidRPr="00E35350" w:rsidRDefault="00E35350" w:rsidP="00E35350">
            <w:pPr>
              <w:ind w:right="49"/>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 xml:space="preserve">4.56 </w:t>
            </w:r>
          </w:p>
        </w:tc>
        <w:tc>
          <w:tcPr>
            <w:tcW w:w="1051" w:type="pct"/>
          </w:tcPr>
          <w:p w14:paraId="2A1587FD" w14:textId="77777777" w:rsidR="00E35350" w:rsidRPr="00E35350" w:rsidRDefault="00E35350" w:rsidP="00E35350">
            <w:pPr>
              <w:ind w:right="35"/>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c>
          <w:tcPr>
            <w:tcW w:w="959" w:type="pct"/>
          </w:tcPr>
          <w:p w14:paraId="170EC4F0" w14:textId="77777777" w:rsidR="00E35350" w:rsidRPr="00E35350" w:rsidRDefault="00E35350" w:rsidP="00E35350">
            <w:pPr>
              <w:ind w:left="24"/>
              <w:jc w:val="both"/>
              <w:rPr>
                <w:rFonts w:ascii="Arial" w:eastAsia="DengXian" w:hAnsi="Arial" w:cs="Arial"/>
                <w:color w:val="000000" w:themeColor="text1"/>
                <w:lang w:val="en-PH" w:eastAsia="en-PH"/>
              </w:rPr>
            </w:pPr>
            <w:r w:rsidRPr="00E35350">
              <w:rPr>
                <w:rFonts w:ascii="Arial" w:eastAsia="DengXian" w:hAnsi="Arial" w:cs="Arial"/>
                <w:color w:val="000000" w:themeColor="text1"/>
                <w:lang w:val="en-PH" w:eastAsia="en-PH"/>
              </w:rPr>
              <w:t>Very High</w:t>
            </w:r>
          </w:p>
        </w:tc>
      </w:tr>
      <w:tr w:rsidR="00E1630E" w:rsidRPr="00E1630E" w14:paraId="50A94EA7" w14:textId="77777777" w:rsidTr="00E35350">
        <w:trPr>
          <w:trHeight w:val="252"/>
        </w:trPr>
        <w:tc>
          <w:tcPr>
            <w:tcW w:w="2547" w:type="pct"/>
            <w:gridSpan w:val="2"/>
          </w:tcPr>
          <w:p w14:paraId="725071F2" w14:textId="63B15EC8" w:rsidR="00E35350" w:rsidRPr="00E35350" w:rsidRDefault="00E35350" w:rsidP="00E35350">
            <w:pPr>
              <w:ind w:right="50"/>
              <w:jc w:val="center"/>
              <w:rPr>
                <w:rFonts w:ascii="Arial" w:eastAsia="DengXian" w:hAnsi="Arial" w:cs="Arial"/>
                <w:b/>
                <w:bCs/>
                <w:color w:val="000000" w:themeColor="text1"/>
                <w:lang w:val="en-PH" w:eastAsia="en-PH"/>
              </w:rPr>
            </w:pPr>
            <w:r w:rsidRPr="00E35350">
              <w:rPr>
                <w:rFonts w:ascii="Arial" w:eastAsia="DengXian" w:hAnsi="Arial" w:cs="Arial"/>
                <w:b/>
                <w:bCs/>
                <w:color w:val="000000" w:themeColor="text1"/>
                <w:lang w:val="en-PH" w:eastAsia="en-PH"/>
              </w:rPr>
              <w:t>Average</w:t>
            </w:r>
          </w:p>
        </w:tc>
        <w:tc>
          <w:tcPr>
            <w:tcW w:w="443" w:type="pct"/>
          </w:tcPr>
          <w:p w14:paraId="13303ACA" w14:textId="268E0935" w:rsidR="00E35350" w:rsidRPr="00E35350" w:rsidRDefault="00E35350" w:rsidP="00E35350">
            <w:pPr>
              <w:ind w:right="49"/>
              <w:jc w:val="center"/>
              <w:rPr>
                <w:rFonts w:ascii="Arial" w:eastAsia="DengXian" w:hAnsi="Arial" w:cs="Arial"/>
                <w:b/>
                <w:bCs/>
                <w:color w:val="000000" w:themeColor="text1"/>
                <w:lang w:val="en-PH" w:eastAsia="en-PH"/>
              </w:rPr>
            </w:pPr>
            <w:r w:rsidRPr="00E35350">
              <w:rPr>
                <w:rFonts w:ascii="Arial" w:eastAsia="DengXian" w:hAnsi="Arial" w:cs="Arial"/>
                <w:b/>
                <w:bCs/>
                <w:color w:val="000000" w:themeColor="text1"/>
                <w:lang w:val="en-PH" w:eastAsia="en-PH"/>
              </w:rPr>
              <w:t>4.54</w:t>
            </w:r>
          </w:p>
        </w:tc>
        <w:tc>
          <w:tcPr>
            <w:tcW w:w="1051" w:type="pct"/>
          </w:tcPr>
          <w:p w14:paraId="3C4C242F" w14:textId="3203F4F8" w:rsidR="00E35350" w:rsidRPr="00E35350" w:rsidRDefault="00E35350" w:rsidP="00E35350">
            <w:pPr>
              <w:ind w:right="35"/>
              <w:jc w:val="center"/>
              <w:rPr>
                <w:rFonts w:ascii="Arial" w:eastAsia="DengXian" w:hAnsi="Arial" w:cs="Arial"/>
                <w:b/>
                <w:bCs/>
                <w:color w:val="000000" w:themeColor="text1"/>
                <w:lang w:val="en-PH" w:eastAsia="en-PH"/>
              </w:rPr>
            </w:pPr>
            <w:r w:rsidRPr="00E35350">
              <w:rPr>
                <w:rFonts w:ascii="Arial" w:eastAsia="DengXian" w:hAnsi="Arial" w:cs="Arial"/>
                <w:b/>
                <w:bCs/>
                <w:color w:val="000000" w:themeColor="text1"/>
                <w:lang w:val="en-PH" w:eastAsia="en-PH"/>
              </w:rPr>
              <w:t>0.39</w:t>
            </w:r>
          </w:p>
        </w:tc>
        <w:tc>
          <w:tcPr>
            <w:tcW w:w="959" w:type="pct"/>
          </w:tcPr>
          <w:p w14:paraId="5014FFE2" w14:textId="77777777" w:rsidR="00E35350" w:rsidRPr="00E35350" w:rsidRDefault="00E35350" w:rsidP="00E35350">
            <w:pPr>
              <w:ind w:left="24"/>
              <w:jc w:val="center"/>
              <w:rPr>
                <w:rFonts w:ascii="Arial" w:eastAsia="DengXian" w:hAnsi="Arial" w:cs="Arial"/>
                <w:b/>
                <w:bCs/>
                <w:color w:val="000000" w:themeColor="text1"/>
                <w:lang w:val="en-PH" w:eastAsia="en-PH"/>
              </w:rPr>
            </w:pPr>
            <w:r w:rsidRPr="00E35350">
              <w:rPr>
                <w:rFonts w:ascii="Arial" w:eastAsia="DengXian" w:hAnsi="Arial" w:cs="Arial"/>
                <w:b/>
                <w:bCs/>
                <w:color w:val="000000" w:themeColor="text1"/>
                <w:lang w:val="en-PH" w:eastAsia="en-PH"/>
              </w:rPr>
              <w:t>Very High</w:t>
            </w:r>
          </w:p>
        </w:tc>
      </w:tr>
    </w:tbl>
    <w:p w14:paraId="48C0674D" w14:textId="6AB682F6" w:rsidR="00183EE3" w:rsidRPr="00E1630E" w:rsidRDefault="00183EE3" w:rsidP="00851412">
      <w:pPr>
        <w:pStyle w:val="Body"/>
        <w:spacing w:after="0"/>
        <w:rPr>
          <w:rFonts w:ascii="Arial" w:hAnsi="Arial" w:cs="Arial"/>
          <w:b/>
          <w:color w:val="000000" w:themeColor="text1"/>
          <w:sz w:val="22"/>
        </w:rPr>
      </w:pPr>
    </w:p>
    <w:p w14:paraId="6ACC6338" w14:textId="01F1B461" w:rsidR="00851412" w:rsidRPr="00DD1E95" w:rsidRDefault="00E253E0" w:rsidP="00851412">
      <w:pPr>
        <w:pStyle w:val="Body"/>
        <w:spacing w:after="0"/>
        <w:rPr>
          <w:rFonts w:ascii="Arial" w:hAnsi="Arial" w:cs="Arial"/>
          <w:b/>
          <w:color w:val="000000" w:themeColor="text1"/>
          <w:sz w:val="22"/>
        </w:rPr>
      </w:pPr>
      <w:r w:rsidRPr="00DD1E95">
        <w:rPr>
          <w:rFonts w:ascii="Arial" w:hAnsi="Arial" w:cs="Arial"/>
          <w:b/>
          <w:color w:val="000000" w:themeColor="text1"/>
          <w:sz w:val="22"/>
        </w:rPr>
        <w:t>3</w:t>
      </w:r>
      <w:r w:rsidR="00851412" w:rsidRPr="00DD1E95">
        <w:rPr>
          <w:rFonts w:ascii="Arial" w:hAnsi="Arial" w:cs="Arial"/>
          <w:b/>
          <w:color w:val="000000" w:themeColor="text1"/>
          <w:sz w:val="22"/>
        </w:rPr>
        <w:t xml:space="preserve">.4 </w:t>
      </w:r>
      <w:r w:rsidR="00DD1E95" w:rsidRPr="00DD1E95">
        <w:rPr>
          <w:rFonts w:ascii="Arial" w:hAnsi="Arial" w:cs="Arial"/>
          <w:b/>
          <w:color w:val="000000" w:themeColor="text1"/>
          <w:sz w:val="22"/>
        </w:rPr>
        <w:t>Significant Relationship on the Level of Customer Satisfaction</w:t>
      </w:r>
    </w:p>
    <w:p w14:paraId="0C33C0AF" w14:textId="77777777" w:rsidR="004208F9" w:rsidRPr="000F64A6" w:rsidRDefault="004208F9" w:rsidP="00851412">
      <w:pPr>
        <w:pStyle w:val="Body"/>
        <w:spacing w:after="0"/>
        <w:rPr>
          <w:rFonts w:ascii="Arial" w:hAnsi="Arial" w:cs="Arial"/>
          <w:b/>
          <w:color w:val="000000" w:themeColor="text1"/>
          <w:sz w:val="22"/>
        </w:rPr>
      </w:pPr>
    </w:p>
    <w:p w14:paraId="474BECCC" w14:textId="78611C4D" w:rsidR="004208F9" w:rsidRPr="000F64A6" w:rsidRDefault="00FF15BA" w:rsidP="00851412">
      <w:pPr>
        <w:pStyle w:val="Body"/>
        <w:spacing w:after="0"/>
        <w:rPr>
          <w:rFonts w:ascii="Arial" w:hAnsi="Arial" w:cs="Arial"/>
          <w:color w:val="000000" w:themeColor="text1"/>
        </w:rPr>
      </w:pPr>
      <w:r w:rsidRPr="000F64A6">
        <w:rPr>
          <w:rFonts w:ascii="Arial" w:hAnsi="Arial" w:cs="Arial"/>
          <w:color w:val="000000" w:themeColor="text1"/>
        </w:rPr>
        <w:t>Table 1</w:t>
      </w:r>
      <w:r w:rsidR="00433641" w:rsidRPr="000F64A6">
        <w:rPr>
          <w:rFonts w:ascii="Arial" w:hAnsi="Arial" w:cs="Arial"/>
          <w:color w:val="000000" w:themeColor="text1"/>
        </w:rPr>
        <w:t>3</w:t>
      </w:r>
      <w:r w:rsidRPr="000F64A6">
        <w:rPr>
          <w:rFonts w:ascii="Arial" w:hAnsi="Arial" w:cs="Arial"/>
          <w:color w:val="000000" w:themeColor="text1"/>
        </w:rPr>
        <w:t xml:space="preserve"> presents the correlation between the 7Ps of marketing and overall customer satisfaction among </w:t>
      </w:r>
      <w:proofErr w:type="spellStart"/>
      <w:r w:rsidRPr="000F64A6">
        <w:rPr>
          <w:rFonts w:ascii="Arial" w:hAnsi="Arial" w:cs="Arial"/>
          <w:color w:val="000000" w:themeColor="text1"/>
        </w:rPr>
        <w:t>tabo</w:t>
      </w:r>
      <w:proofErr w:type="spellEnd"/>
      <w:r w:rsidRPr="000F64A6">
        <w:rPr>
          <w:rFonts w:ascii="Arial" w:hAnsi="Arial" w:cs="Arial"/>
          <w:color w:val="000000" w:themeColor="text1"/>
        </w:rPr>
        <w:t xml:space="preserve"> vendors. The results show that physical evidence has the strongest relationship with customer satisfaction (r = 0.628), followed by people (r = 0.588) and process (r = 0.485), all indicating moderate but significant correlations. These findings suggest that the physical environment, human interaction, and service delivery processes are key factors influencing customer satisfaction in public markets. Meanwhile, price (r = 0.413) and product (r = 0.334) also show significant positive correlations, though the strength of the relationships is relatively weaker. Place (r = 0.386) and Promotion (r = 0.278) exhibited the weakest correlations; however, both remain statistically significant. These results highlight that while all the 7Ps contribute to customer satisfaction, their impact varies, with some elements being more influential than others.</w:t>
      </w:r>
    </w:p>
    <w:p w14:paraId="4E5BA979" w14:textId="77777777" w:rsidR="00A95730" w:rsidRPr="000F64A6" w:rsidRDefault="00A95730" w:rsidP="00851412">
      <w:pPr>
        <w:pStyle w:val="Body"/>
        <w:spacing w:after="0"/>
        <w:rPr>
          <w:rFonts w:ascii="Arial" w:hAnsi="Arial" w:cs="Arial"/>
          <w:color w:val="000000" w:themeColor="text1"/>
        </w:rPr>
      </w:pPr>
    </w:p>
    <w:p w14:paraId="1C6C6B2A" w14:textId="18D0183E" w:rsidR="00A95730" w:rsidRPr="000F64A6" w:rsidRDefault="00A95730" w:rsidP="00A95730">
      <w:pPr>
        <w:pStyle w:val="Body"/>
        <w:rPr>
          <w:rFonts w:ascii="Arial" w:hAnsi="Arial" w:cs="Arial"/>
          <w:color w:val="000000" w:themeColor="text1"/>
        </w:rPr>
      </w:pPr>
      <w:r w:rsidRPr="000F64A6">
        <w:rPr>
          <w:rFonts w:ascii="Arial" w:hAnsi="Arial" w:cs="Arial"/>
          <w:color w:val="000000" w:themeColor="text1"/>
        </w:rPr>
        <w:t xml:space="preserve">Overall, the findings align with marketing literature that emphasizes a multidimensional approach to enhancing customer satisfaction (Kotler &amp; Keller, </w:t>
      </w:r>
      <w:r w:rsidR="001F5DE3">
        <w:rPr>
          <w:rFonts w:ascii="Arial" w:hAnsi="Arial" w:cs="Arial"/>
          <w:color w:val="000000" w:themeColor="text1"/>
        </w:rPr>
        <w:t>2015</w:t>
      </w:r>
      <w:r w:rsidRPr="000F64A6">
        <w:rPr>
          <w:rFonts w:ascii="Arial" w:hAnsi="Arial" w:cs="Arial"/>
          <w:color w:val="000000" w:themeColor="text1"/>
        </w:rPr>
        <w:t xml:space="preserve">; Parasuraman et al., </w:t>
      </w:r>
      <w:r w:rsidR="00F176BA">
        <w:rPr>
          <w:rFonts w:ascii="Arial" w:hAnsi="Arial" w:cs="Arial"/>
          <w:color w:val="000000" w:themeColor="text1"/>
        </w:rPr>
        <w:t>1988</w:t>
      </w:r>
      <w:r w:rsidRPr="000F64A6">
        <w:rPr>
          <w:rFonts w:ascii="Arial" w:hAnsi="Arial" w:cs="Arial"/>
          <w:color w:val="000000" w:themeColor="text1"/>
        </w:rPr>
        <w:t xml:space="preserve">). The average correlation value of 0.618 confirms a moderate and statistically significant relationship between the marketing mix and overall customer satisfaction. This implies that </w:t>
      </w:r>
      <w:proofErr w:type="spellStart"/>
      <w:r w:rsidRPr="000F64A6">
        <w:rPr>
          <w:rFonts w:ascii="Arial" w:hAnsi="Arial" w:cs="Arial"/>
          <w:color w:val="000000" w:themeColor="text1"/>
        </w:rPr>
        <w:t>tabo</w:t>
      </w:r>
      <w:proofErr w:type="spellEnd"/>
      <w:r w:rsidRPr="000F64A6">
        <w:rPr>
          <w:rFonts w:ascii="Arial" w:hAnsi="Arial" w:cs="Arial"/>
          <w:color w:val="000000" w:themeColor="text1"/>
        </w:rPr>
        <w:t xml:space="preserve"> vendors can benefit most by improving aspects related to physical evidence, people, and processes to elevate customer satisfaction levels in public markets. The correlation findings between the 7Ps of marketing and overall customer satisfaction </w:t>
      </w:r>
      <w:r w:rsidRPr="000F64A6">
        <w:rPr>
          <w:rFonts w:ascii="Arial" w:hAnsi="Arial" w:cs="Arial"/>
          <w:color w:val="000000" w:themeColor="text1"/>
        </w:rPr>
        <w:lastRenderedPageBreak/>
        <w:t xml:space="preserve">among </w:t>
      </w:r>
      <w:proofErr w:type="spellStart"/>
      <w:r w:rsidRPr="000F64A6">
        <w:rPr>
          <w:rFonts w:ascii="Arial" w:hAnsi="Arial" w:cs="Arial"/>
          <w:color w:val="000000" w:themeColor="text1"/>
        </w:rPr>
        <w:t>tabo</w:t>
      </w:r>
      <w:proofErr w:type="spellEnd"/>
      <w:r w:rsidRPr="000F64A6">
        <w:rPr>
          <w:rFonts w:ascii="Arial" w:hAnsi="Arial" w:cs="Arial"/>
          <w:color w:val="000000" w:themeColor="text1"/>
        </w:rPr>
        <w:t xml:space="preserve"> vendors offer valuable insights when viewed through the lens of Expectation-Disconfirmation Theory (EDT). EDT posits that satisfaction results from the comparison between pre-purchase expectations and post-purchase experiences (Oliver, </w:t>
      </w:r>
      <w:r w:rsidR="009574C1">
        <w:rPr>
          <w:rFonts w:ascii="Arial" w:hAnsi="Arial" w:cs="Arial"/>
          <w:color w:val="000000" w:themeColor="text1"/>
        </w:rPr>
        <w:t>2014</w:t>
      </w:r>
      <w:r w:rsidRPr="000F64A6">
        <w:rPr>
          <w:rFonts w:ascii="Arial" w:hAnsi="Arial" w:cs="Arial"/>
          <w:color w:val="000000" w:themeColor="text1"/>
        </w:rPr>
        <w:t xml:space="preserve">). The strong correlations of physical evidence (r = 0.628), people (r = 0.588), and process (r = 0.485) with customer satisfaction indicate that these elements play a critical role in positively confirming customer expectations. Specifically, the cleanliness, layout, and physical appeal of the market environment (physical evidence), the behavior and competence of vendors (people), and the efficiency of service delivery (process) significantly enhance the overall customer experience. </w:t>
      </w:r>
    </w:p>
    <w:p w14:paraId="44DCA463" w14:textId="0657F4BE" w:rsidR="00FF15BA" w:rsidRPr="000F64A6" w:rsidRDefault="00A95730" w:rsidP="00A95730">
      <w:pPr>
        <w:pStyle w:val="Body"/>
        <w:spacing w:after="0"/>
        <w:rPr>
          <w:rFonts w:ascii="Arial" w:hAnsi="Arial" w:cs="Arial"/>
          <w:color w:val="000000" w:themeColor="text1"/>
        </w:rPr>
      </w:pPr>
      <w:r w:rsidRPr="000F64A6">
        <w:rPr>
          <w:rFonts w:ascii="Arial" w:hAnsi="Arial" w:cs="Arial"/>
          <w:color w:val="000000" w:themeColor="text1"/>
        </w:rPr>
        <w:t>As noted by Pérez and del Bosque (2017), when service attributes perform better than expected, they contribute to positive disconfirmation, which is central to achieving customer satisfaction. These results emphasize that traditional market vendors must consistently deliver above-expectation experiences across key service areas to strengthen satisfaction and foster customer loyalty.</w:t>
      </w:r>
    </w:p>
    <w:p w14:paraId="7E405FAD" w14:textId="77777777" w:rsidR="00E07C43" w:rsidRPr="000F64A6" w:rsidRDefault="00E07C43" w:rsidP="00851412">
      <w:pPr>
        <w:pStyle w:val="Body"/>
        <w:spacing w:after="0"/>
        <w:rPr>
          <w:rFonts w:ascii="Arial" w:hAnsi="Arial" w:cs="Arial"/>
          <w:b/>
          <w:color w:val="000000" w:themeColor="text1"/>
          <w:sz w:val="22"/>
        </w:rPr>
      </w:pPr>
    </w:p>
    <w:p w14:paraId="7C335B43" w14:textId="29A8D791" w:rsidR="00E4187D" w:rsidRPr="000F64A6" w:rsidRDefault="00E4187D" w:rsidP="00851412">
      <w:pPr>
        <w:pStyle w:val="Body"/>
        <w:spacing w:after="0"/>
        <w:rPr>
          <w:rFonts w:ascii="Arial" w:hAnsi="Arial" w:cs="Arial"/>
          <w:b/>
          <w:color w:val="000000" w:themeColor="text1"/>
          <w:sz w:val="21"/>
          <w:szCs w:val="18"/>
        </w:rPr>
      </w:pPr>
      <w:r w:rsidRPr="000F64A6">
        <w:rPr>
          <w:rFonts w:ascii="Arial" w:hAnsi="Arial" w:cs="Arial"/>
          <w:b/>
          <w:color w:val="000000" w:themeColor="text1"/>
          <w:sz w:val="21"/>
          <w:szCs w:val="18"/>
        </w:rPr>
        <w:t xml:space="preserve">Table </w:t>
      </w:r>
      <w:r w:rsidR="00021BBC" w:rsidRPr="000F64A6">
        <w:rPr>
          <w:rFonts w:ascii="Arial" w:hAnsi="Arial" w:cs="Arial"/>
          <w:b/>
          <w:color w:val="000000" w:themeColor="text1"/>
          <w:sz w:val="21"/>
          <w:szCs w:val="18"/>
        </w:rPr>
        <w:t>13</w:t>
      </w:r>
      <w:r w:rsidRPr="000F64A6">
        <w:rPr>
          <w:rFonts w:ascii="Arial" w:hAnsi="Arial" w:cs="Arial"/>
          <w:b/>
          <w:color w:val="000000" w:themeColor="text1"/>
          <w:sz w:val="21"/>
          <w:szCs w:val="18"/>
        </w:rPr>
        <w:t>.</w:t>
      </w:r>
      <w:r w:rsidRPr="000F64A6">
        <w:rPr>
          <w:rFonts w:ascii="Arial" w:hAnsi="Arial" w:cs="Arial"/>
          <w:b/>
          <w:color w:val="000000" w:themeColor="text1"/>
          <w:sz w:val="21"/>
          <w:szCs w:val="18"/>
        </w:rPr>
        <w:tab/>
      </w:r>
      <w:r w:rsidR="00A95730" w:rsidRPr="000F64A6">
        <w:rPr>
          <w:rFonts w:ascii="Arial" w:hAnsi="Arial" w:cs="Arial"/>
          <w:b/>
          <w:color w:val="000000" w:themeColor="text1"/>
          <w:sz w:val="21"/>
          <w:szCs w:val="18"/>
        </w:rPr>
        <w:t>Significant relationship on the level of customer satisfaction</w:t>
      </w:r>
    </w:p>
    <w:tbl>
      <w:tblPr>
        <w:tblStyle w:val="APA"/>
        <w:tblW w:w="5000" w:type="pct"/>
        <w:tblLook w:val="04A0" w:firstRow="1" w:lastRow="0" w:firstColumn="1" w:lastColumn="0" w:noHBand="0" w:noVBand="1"/>
      </w:tblPr>
      <w:tblGrid>
        <w:gridCol w:w="2050"/>
        <w:gridCol w:w="2061"/>
        <w:gridCol w:w="1868"/>
        <w:gridCol w:w="2445"/>
      </w:tblGrid>
      <w:tr w:rsidR="000F64A6" w:rsidRPr="000F64A6" w14:paraId="6089A58E" w14:textId="77777777" w:rsidTr="00F16880">
        <w:trPr>
          <w:cnfStyle w:val="100000000000" w:firstRow="1" w:lastRow="0" w:firstColumn="0" w:lastColumn="0" w:oddVBand="0" w:evenVBand="0" w:oddHBand="0" w:evenHBand="0" w:firstRowFirstColumn="0" w:firstRowLastColumn="0" w:lastRowFirstColumn="0" w:lastRowLastColumn="0"/>
          <w:trHeight w:val="20"/>
        </w:trPr>
        <w:tc>
          <w:tcPr>
            <w:tcW w:w="2440" w:type="pct"/>
            <w:gridSpan w:val="2"/>
          </w:tcPr>
          <w:p w14:paraId="3302E505"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Independent Variables </w:t>
            </w:r>
          </w:p>
        </w:tc>
        <w:tc>
          <w:tcPr>
            <w:tcW w:w="1109" w:type="pct"/>
          </w:tcPr>
          <w:p w14:paraId="1118D1A0" w14:textId="77777777" w:rsidR="00F16880" w:rsidRPr="00F16880" w:rsidRDefault="00F16880" w:rsidP="00F16880">
            <w:pPr>
              <w:ind w:left="9"/>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Overall </w:t>
            </w:r>
          </w:p>
          <w:p w14:paraId="002EB4AE"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Customer </w:t>
            </w:r>
          </w:p>
          <w:p w14:paraId="1AD62A9D"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Satisfaction </w:t>
            </w:r>
          </w:p>
        </w:tc>
        <w:tc>
          <w:tcPr>
            <w:tcW w:w="1451" w:type="pct"/>
          </w:tcPr>
          <w:p w14:paraId="252D93BE" w14:textId="77777777" w:rsidR="00F16880" w:rsidRPr="00F16880" w:rsidRDefault="00F16880" w:rsidP="00F16880">
            <w:pPr>
              <w:ind w:right="4"/>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Interpretation </w:t>
            </w:r>
          </w:p>
        </w:tc>
      </w:tr>
      <w:tr w:rsidR="000F64A6" w:rsidRPr="000F64A6" w14:paraId="612354F8" w14:textId="77777777" w:rsidTr="00F16880">
        <w:trPr>
          <w:trHeight w:val="20"/>
        </w:trPr>
        <w:tc>
          <w:tcPr>
            <w:tcW w:w="1217" w:type="pct"/>
            <w:vMerge w:val="restart"/>
          </w:tcPr>
          <w:p w14:paraId="1BA12802"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Product </w:t>
            </w:r>
          </w:p>
        </w:tc>
        <w:tc>
          <w:tcPr>
            <w:tcW w:w="1223" w:type="pct"/>
          </w:tcPr>
          <w:p w14:paraId="10888C07"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61709DF7"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3868FA20"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0.334 </w:t>
            </w:r>
          </w:p>
        </w:tc>
        <w:tc>
          <w:tcPr>
            <w:tcW w:w="1451" w:type="pct"/>
            <w:vMerge w:val="restart"/>
          </w:tcPr>
          <w:p w14:paraId="2E507EF5"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Weak relationship but significant </w:t>
            </w:r>
          </w:p>
        </w:tc>
      </w:tr>
      <w:tr w:rsidR="000F64A6" w:rsidRPr="000F64A6" w14:paraId="0BB05230" w14:textId="77777777" w:rsidTr="00F16880">
        <w:trPr>
          <w:trHeight w:val="20"/>
        </w:trPr>
        <w:tc>
          <w:tcPr>
            <w:tcW w:w="1217" w:type="pct"/>
            <w:vMerge/>
          </w:tcPr>
          <w:p w14:paraId="237F9160"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6FF8DD33"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394AD8C0"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076A14E5"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0D7DCE74" w14:textId="77777777" w:rsidTr="00F16880">
        <w:trPr>
          <w:trHeight w:val="20"/>
        </w:trPr>
        <w:tc>
          <w:tcPr>
            <w:tcW w:w="1217" w:type="pct"/>
            <w:vMerge w:val="restart"/>
          </w:tcPr>
          <w:p w14:paraId="064DA95F"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Price </w:t>
            </w:r>
          </w:p>
        </w:tc>
        <w:tc>
          <w:tcPr>
            <w:tcW w:w="1223" w:type="pct"/>
          </w:tcPr>
          <w:p w14:paraId="6C67623F"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553108B1"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5527473D"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0.413 </w:t>
            </w:r>
          </w:p>
        </w:tc>
        <w:tc>
          <w:tcPr>
            <w:tcW w:w="1451" w:type="pct"/>
            <w:vMerge w:val="restart"/>
          </w:tcPr>
          <w:p w14:paraId="5EE4E04D"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Moderate relationship but significant </w:t>
            </w:r>
          </w:p>
        </w:tc>
      </w:tr>
      <w:tr w:rsidR="000F64A6" w:rsidRPr="000F64A6" w14:paraId="46B01948" w14:textId="77777777" w:rsidTr="00F16880">
        <w:trPr>
          <w:trHeight w:val="20"/>
        </w:trPr>
        <w:tc>
          <w:tcPr>
            <w:tcW w:w="1217" w:type="pct"/>
            <w:vMerge/>
          </w:tcPr>
          <w:p w14:paraId="2E6601DF"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1A6297AA"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53610B74"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4D0151E8"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7C12CBDE" w14:textId="77777777" w:rsidTr="00F16880">
        <w:trPr>
          <w:trHeight w:val="20"/>
        </w:trPr>
        <w:tc>
          <w:tcPr>
            <w:tcW w:w="1217" w:type="pct"/>
            <w:vMerge w:val="restart"/>
          </w:tcPr>
          <w:p w14:paraId="6CC6BD7D"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Place </w:t>
            </w:r>
          </w:p>
        </w:tc>
        <w:tc>
          <w:tcPr>
            <w:tcW w:w="1223" w:type="pct"/>
          </w:tcPr>
          <w:p w14:paraId="1F60588D"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4E31E1AE"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6AAB9C7C"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0.386 </w:t>
            </w:r>
          </w:p>
        </w:tc>
        <w:tc>
          <w:tcPr>
            <w:tcW w:w="1451" w:type="pct"/>
            <w:vMerge w:val="restart"/>
          </w:tcPr>
          <w:p w14:paraId="549F3DCD"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Weak relationship but significant </w:t>
            </w:r>
          </w:p>
        </w:tc>
      </w:tr>
      <w:tr w:rsidR="000F64A6" w:rsidRPr="000F64A6" w14:paraId="0E7C9A7D" w14:textId="77777777" w:rsidTr="00F16880">
        <w:trPr>
          <w:trHeight w:val="20"/>
        </w:trPr>
        <w:tc>
          <w:tcPr>
            <w:tcW w:w="1217" w:type="pct"/>
            <w:vMerge/>
          </w:tcPr>
          <w:p w14:paraId="78240126"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184D189A"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60B580EB"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2E1FA152"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2B80FB4E" w14:textId="77777777" w:rsidTr="00F16880">
        <w:trPr>
          <w:trHeight w:val="20"/>
        </w:trPr>
        <w:tc>
          <w:tcPr>
            <w:tcW w:w="1217" w:type="pct"/>
            <w:vMerge w:val="restart"/>
          </w:tcPr>
          <w:p w14:paraId="5D3F5CC3"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People </w:t>
            </w:r>
          </w:p>
        </w:tc>
        <w:tc>
          <w:tcPr>
            <w:tcW w:w="1223" w:type="pct"/>
          </w:tcPr>
          <w:p w14:paraId="62D69D3F"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5E5B761E"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75CF3CE1"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0.588 </w:t>
            </w:r>
          </w:p>
        </w:tc>
        <w:tc>
          <w:tcPr>
            <w:tcW w:w="1451" w:type="pct"/>
            <w:vMerge w:val="restart"/>
          </w:tcPr>
          <w:p w14:paraId="2A5F77BB" w14:textId="77777777" w:rsidR="00F16880" w:rsidRPr="00F16880" w:rsidRDefault="00F16880" w:rsidP="00F16880">
            <w:pPr>
              <w:ind w:left="471" w:hanging="418"/>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 Moderate relationship but significant </w:t>
            </w:r>
          </w:p>
        </w:tc>
      </w:tr>
      <w:tr w:rsidR="000F64A6" w:rsidRPr="000F64A6" w14:paraId="245961AE" w14:textId="77777777" w:rsidTr="00F16880">
        <w:trPr>
          <w:trHeight w:val="20"/>
        </w:trPr>
        <w:tc>
          <w:tcPr>
            <w:tcW w:w="1217" w:type="pct"/>
            <w:vMerge/>
          </w:tcPr>
          <w:p w14:paraId="0E35A5EC"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3B2B0642"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7C9BDC4D"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025F7D5F"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6094A126" w14:textId="77777777" w:rsidTr="00F16880">
        <w:trPr>
          <w:trHeight w:val="20"/>
        </w:trPr>
        <w:tc>
          <w:tcPr>
            <w:tcW w:w="1217" w:type="pct"/>
            <w:vMerge w:val="restart"/>
          </w:tcPr>
          <w:p w14:paraId="14052496"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Promotion </w:t>
            </w:r>
          </w:p>
        </w:tc>
        <w:tc>
          <w:tcPr>
            <w:tcW w:w="1223" w:type="pct"/>
          </w:tcPr>
          <w:p w14:paraId="245946D7"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0FFF705D"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5586537C"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0.278 </w:t>
            </w:r>
          </w:p>
        </w:tc>
        <w:tc>
          <w:tcPr>
            <w:tcW w:w="1451" w:type="pct"/>
            <w:vMerge w:val="restart"/>
          </w:tcPr>
          <w:p w14:paraId="1D3DA2A0"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Weak relationship but significant </w:t>
            </w:r>
          </w:p>
        </w:tc>
      </w:tr>
      <w:tr w:rsidR="000F64A6" w:rsidRPr="000F64A6" w14:paraId="0F55B5AD" w14:textId="77777777" w:rsidTr="00F16880">
        <w:trPr>
          <w:trHeight w:val="20"/>
        </w:trPr>
        <w:tc>
          <w:tcPr>
            <w:tcW w:w="1217" w:type="pct"/>
            <w:vMerge/>
          </w:tcPr>
          <w:p w14:paraId="40F72484"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6440C381"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239906C1"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40A4DA41"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0ABFCBCD" w14:textId="77777777" w:rsidTr="00F16880">
        <w:trPr>
          <w:trHeight w:val="20"/>
        </w:trPr>
        <w:tc>
          <w:tcPr>
            <w:tcW w:w="1217" w:type="pct"/>
            <w:vMerge w:val="restart"/>
          </w:tcPr>
          <w:p w14:paraId="66275AF4"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Process </w:t>
            </w:r>
          </w:p>
        </w:tc>
        <w:tc>
          <w:tcPr>
            <w:tcW w:w="1223" w:type="pct"/>
          </w:tcPr>
          <w:p w14:paraId="0ED929D2"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3C261556"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1C0D58FD"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0.485 </w:t>
            </w:r>
          </w:p>
        </w:tc>
        <w:tc>
          <w:tcPr>
            <w:tcW w:w="1451" w:type="pct"/>
            <w:vMerge w:val="restart"/>
          </w:tcPr>
          <w:p w14:paraId="471BA618"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Moderate relationship but significant </w:t>
            </w:r>
          </w:p>
        </w:tc>
      </w:tr>
      <w:tr w:rsidR="000F64A6" w:rsidRPr="000F64A6" w14:paraId="2CADDB40" w14:textId="77777777" w:rsidTr="00F16880">
        <w:trPr>
          <w:trHeight w:val="20"/>
        </w:trPr>
        <w:tc>
          <w:tcPr>
            <w:tcW w:w="1217" w:type="pct"/>
            <w:vMerge/>
          </w:tcPr>
          <w:p w14:paraId="7AFA2C38"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6A7F5BC0"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32EFB4E2"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30FB1DAA"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2C116069" w14:textId="77777777" w:rsidTr="00F16880">
        <w:trPr>
          <w:trHeight w:val="20"/>
        </w:trPr>
        <w:tc>
          <w:tcPr>
            <w:tcW w:w="1217" w:type="pct"/>
            <w:vMerge w:val="restart"/>
          </w:tcPr>
          <w:p w14:paraId="24C0ED95"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Physical Evidence </w:t>
            </w:r>
          </w:p>
        </w:tc>
        <w:tc>
          <w:tcPr>
            <w:tcW w:w="1223" w:type="pct"/>
          </w:tcPr>
          <w:p w14:paraId="186743F9"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4CA76EF0"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4E57D1F7"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0.628 </w:t>
            </w:r>
          </w:p>
        </w:tc>
        <w:tc>
          <w:tcPr>
            <w:tcW w:w="1451" w:type="pct"/>
            <w:vMerge w:val="restart"/>
          </w:tcPr>
          <w:p w14:paraId="1A1ED656"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Moderate relationship but significant </w:t>
            </w:r>
          </w:p>
        </w:tc>
      </w:tr>
      <w:tr w:rsidR="000F64A6" w:rsidRPr="000F64A6" w14:paraId="4EFF48C1" w14:textId="77777777" w:rsidTr="00F16880">
        <w:trPr>
          <w:trHeight w:val="20"/>
        </w:trPr>
        <w:tc>
          <w:tcPr>
            <w:tcW w:w="1217" w:type="pct"/>
            <w:vMerge/>
          </w:tcPr>
          <w:p w14:paraId="31AC5458"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3B2C7049"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32DC82D4"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5093BE7B" w14:textId="77777777" w:rsidR="00F16880" w:rsidRPr="00F16880" w:rsidRDefault="00F16880" w:rsidP="00F16880">
            <w:pPr>
              <w:spacing w:after="160"/>
              <w:jc w:val="both"/>
              <w:rPr>
                <w:rFonts w:ascii="Arial" w:eastAsia="DengXian" w:hAnsi="Arial" w:cs="Arial"/>
                <w:color w:val="000000" w:themeColor="text1"/>
                <w:lang w:val="en-PH" w:eastAsia="en-PH"/>
              </w:rPr>
            </w:pPr>
          </w:p>
        </w:tc>
      </w:tr>
      <w:tr w:rsidR="000F64A6" w:rsidRPr="000F64A6" w14:paraId="60EEC783" w14:textId="77777777" w:rsidTr="00F16880">
        <w:trPr>
          <w:trHeight w:val="20"/>
        </w:trPr>
        <w:tc>
          <w:tcPr>
            <w:tcW w:w="1217" w:type="pct"/>
            <w:vMerge w:val="restart"/>
          </w:tcPr>
          <w:p w14:paraId="3296E650"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Average </w:t>
            </w:r>
          </w:p>
        </w:tc>
        <w:tc>
          <w:tcPr>
            <w:tcW w:w="1223" w:type="pct"/>
          </w:tcPr>
          <w:p w14:paraId="620E4880"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Pearson </w:t>
            </w:r>
          </w:p>
          <w:p w14:paraId="5900549A"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Correlation </w:t>
            </w:r>
          </w:p>
        </w:tc>
        <w:tc>
          <w:tcPr>
            <w:tcW w:w="1109" w:type="pct"/>
          </w:tcPr>
          <w:p w14:paraId="7CBA8CAE"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0.618 </w:t>
            </w:r>
          </w:p>
        </w:tc>
        <w:tc>
          <w:tcPr>
            <w:tcW w:w="1451" w:type="pct"/>
            <w:vMerge w:val="restart"/>
          </w:tcPr>
          <w:p w14:paraId="1BB3EF44"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Moderate relationship but significant </w:t>
            </w:r>
          </w:p>
        </w:tc>
      </w:tr>
      <w:tr w:rsidR="000F64A6" w:rsidRPr="000F64A6" w14:paraId="3F3A4C32" w14:textId="77777777" w:rsidTr="00F16880">
        <w:trPr>
          <w:trHeight w:val="20"/>
        </w:trPr>
        <w:tc>
          <w:tcPr>
            <w:tcW w:w="1217" w:type="pct"/>
            <w:vMerge/>
          </w:tcPr>
          <w:p w14:paraId="4368D531" w14:textId="77777777" w:rsidR="00F16880" w:rsidRPr="00F16880" w:rsidRDefault="00F16880" w:rsidP="00F16880">
            <w:pPr>
              <w:spacing w:after="160"/>
              <w:jc w:val="both"/>
              <w:rPr>
                <w:rFonts w:ascii="Arial" w:eastAsia="DengXian" w:hAnsi="Arial" w:cs="Arial"/>
                <w:color w:val="000000" w:themeColor="text1"/>
                <w:lang w:val="en-PH" w:eastAsia="en-PH"/>
              </w:rPr>
            </w:pPr>
          </w:p>
        </w:tc>
        <w:tc>
          <w:tcPr>
            <w:tcW w:w="1223" w:type="pct"/>
          </w:tcPr>
          <w:p w14:paraId="27C78228" w14:textId="77777777" w:rsidR="00F16880" w:rsidRPr="00F16880" w:rsidRDefault="00F16880" w:rsidP="00F16880">
            <w:pPr>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Sig. (2-tailed) </w:t>
            </w:r>
          </w:p>
        </w:tc>
        <w:tc>
          <w:tcPr>
            <w:tcW w:w="1109" w:type="pct"/>
          </w:tcPr>
          <w:p w14:paraId="2BD90BB4" w14:textId="77777777" w:rsidR="00F16880" w:rsidRPr="00F16880" w:rsidRDefault="00F16880" w:rsidP="00F16880">
            <w:pPr>
              <w:ind w:left="5"/>
              <w:jc w:val="both"/>
              <w:rPr>
                <w:rFonts w:ascii="Arial" w:eastAsia="DengXian" w:hAnsi="Arial" w:cs="Arial"/>
                <w:color w:val="000000" w:themeColor="text1"/>
                <w:lang w:val="en-PH" w:eastAsia="en-PH"/>
              </w:rPr>
            </w:pPr>
            <w:r w:rsidRPr="00F16880">
              <w:rPr>
                <w:rFonts w:ascii="Arial" w:eastAsia="DengXian" w:hAnsi="Arial" w:cs="Arial"/>
                <w:color w:val="000000" w:themeColor="text1"/>
                <w:lang w:val="en-PH" w:eastAsia="en-PH"/>
              </w:rPr>
              <w:t xml:space="preserve">0.000 </w:t>
            </w:r>
          </w:p>
        </w:tc>
        <w:tc>
          <w:tcPr>
            <w:tcW w:w="1451" w:type="pct"/>
            <w:vMerge/>
          </w:tcPr>
          <w:p w14:paraId="40A2C3B2" w14:textId="77777777" w:rsidR="00F16880" w:rsidRPr="00F16880" w:rsidRDefault="00F16880" w:rsidP="00F16880">
            <w:pPr>
              <w:spacing w:after="160"/>
              <w:jc w:val="both"/>
              <w:rPr>
                <w:rFonts w:ascii="Arial" w:eastAsia="DengXian" w:hAnsi="Arial" w:cs="Arial"/>
                <w:color w:val="000000" w:themeColor="text1"/>
                <w:lang w:val="en-PH" w:eastAsia="en-PH"/>
              </w:rPr>
            </w:pPr>
          </w:p>
        </w:tc>
      </w:tr>
    </w:tbl>
    <w:p w14:paraId="09063778" w14:textId="77777777" w:rsidR="00790ADA" w:rsidRPr="000F64A6" w:rsidRDefault="00790ADA" w:rsidP="00441B6F">
      <w:pPr>
        <w:pStyle w:val="Body"/>
        <w:spacing w:after="0"/>
        <w:rPr>
          <w:rFonts w:ascii="Arial" w:hAnsi="Arial" w:cs="Arial"/>
          <w:color w:val="000000" w:themeColor="text1"/>
        </w:rPr>
      </w:pP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3FEE8280" w14:textId="77777777" w:rsidR="00790ADA" w:rsidRPr="00FB3A86" w:rsidRDefault="00790ADA" w:rsidP="00441B6F">
      <w:pPr>
        <w:pStyle w:val="ConcHead"/>
        <w:spacing w:after="0"/>
        <w:jc w:val="both"/>
        <w:rPr>
          <w:rFonts w:ascii="Arial" w:hAnsi="Arial" w:cs="Arial"/>
        </w:rPr>
      </w:pPr>
    </w:p>
    <w:p w14:paraId="757C21F7" w14:textId="77777777" w:rsidR="00A571DA" w:rsidRDefault="00A571DA" w:rsidP="00A571DA">
      <w:pPr>
        <w:pStyle w:val="Body"/>
        <w:rPr>
          <w:rFonts w:ascii="Arial" w:hAnsi="Arial" w:cs="Arial"/>
          <w:color w:val="000000" w:themeColor="text1"/>
        </w:rPr>
      </w:pPr>
      <w:r w:rsidRPr="00A571DA">
        <w:rPr>
          <w:rFonts w:ascii="Arial" w:hAnsi="Arial" w:cs="Arial"/>
          <w:color w:val="000000" w:themeColor="text1"/>
        </w:rPr>
        <w:t xml:space="preserve">The researchers reached the following conclusions:  </w:t>
      </w:r>
    </w:p>
    <w:p w14:paraId="5D0CF592" w14:textId="77777777" w:rsidR="00240E9E" w:rsidRPr="00240E9E" w:rsidRDefault="00240E9E" w:rsidP="00092FB8">
      <w:pPr>
        <w:pStyle w:val="ConcHead"/>
        <w:ind w:left="360"/>
        <w:jc w:val="both"/>
        <w:rPr>
          <w:rFonts w:ascii="Arial" w:hAnsi="Arial" w:cs="Arial"/>
          <w:b w:val="0"/>
          <w:caps w:val="0"/>
          <w:color w:val="000000" w:themeColor="text1"/>
          <w:sz w:val="20"/>
        </w:rPr>
      </w:pPr>
      <w:r w:rsidRPr="00240E9E">
        <w:rPr>
          <w:rFonts w:ascii="Arial" w:hAnsi="Arial" w:cs="Arial"/>
          <w:b w:val="0"/>
          <w:caps w:val="0"/>
          <w:color w:val="000000" w:themeColor="text1"/>
          <w:sz w:val="20"/>
        </w:rPr>
        <w:t xml:space="preserve">The findings revealed that the majority of customers in the public market are female, aged 36 to 45 years, with a monthly income of PHP 20,000 or less, who visit the market </w:t>
      </w:r>
      <w:r w:rsidRPr="00240E9E">
        <w:rPr>
          <w:rFonts w:ascii="Arial" w:hAnsi="Arial" w:cs="Arial"/>
          <w:b w:val="0"/>
          <w:caps w:val="0"/>
          <w:color w:val="000000" w:themeColor="text1"/>
          <w:sz w:val="20"/>
        </w:rPr>
        <w:lastRenderedPageBreak/>
        <w:t xml:space="preserve">on a weekly basis. This suggests that middle-aged, low-income women are the primary patrons of tab vendors and play a significant role in household purchasing decisions.  </w:t>
      </w:r>
    </w:p>
    <w:p w14:paraId="5535C7DE" w14:textId="77777777" w:rsidR="00240E9E" w:rsidRPr="00240E9E" w:rsidRDefault="00240E9E" w:rsidP="00092FB8">
      <w:pPr>
        <w:pStyle w:val="ConcHead"/>
        <w:ind w:left="360"/>
        <w:jc w:val="both"/>
        <w:rPr>
          <w:rFonts w:ascii="Arial" w:hAnsi="Arial" w:cs="Arial"/>
          <w:b w:val="0"/>
          <w:caps w:val="0"/>
          <w:color w:val="000000" w:themeColor="text1"/>
          <w:sz w:val="20"/>
        </w:rPr>
      </w:pPr>
      <w:r w:rsidRPr="00240E9E">
        <w:rPr>
          <w:rFonts w:ascii="Arial" w:hAnsi="Arial" w:cs="Arial"/>
          <w:b w:val="0"/>
          <w:caps w:val="0"/>
          <w:color w:val="000000" w:themeColor="text1"/>
          <w:sz w:val="20"/>
        </w:rPr>
        <w:t xml:space="preserve">Customers expressed a high level of satisfaction with the products, pricing, and services provided by </w:t>
      </w:r>
      <w:proofErr w:type="spellStart"/>
      <w:r w:rsidRPr="00240E9E">
        <w:rPr>
          <w:rFonts w:ascii="Arial" w:hAnsi="Arial" w:cs="Arial"/>
          <w:b w:val="0"/>
          <w:caps w:val="0"/>
          <w:color w:val="000000" w:themeColor="text1"/>
          <w:sz w:val="20"/>
        </w:rPr>
        <w:t>tabo</w:t>
      </w:r>
      <w:proofErr w:type="spellEnd"/>
      <w:r w:rsidRPr="00240E9E">
        <w:rPr>
          <w:rFonts w:ascii="Arial" w:hAnsi="Arial" w:cs="Arial"/>
          <w:b w:val="0"/>
          <w:caps w:val="0"/>
          <w:color w:val="000000" w:themeColor="text1"/>
          <w:sz w:val="20"/>
        </w:rPr>
        <w:t xml:space="preserve"> vendors. Overall, responses ranged from "Satisfied" to "Strongly Satisfied," although the promotional efforts and location received relatively lower ratings. This suggests there are opportunities for improvement in marketing strategies and accessibility.  </w:t>
      </w:r>
    </w:p>
    <w:p w14:paraId="0B4163B9" w14:textId="77777777" w:rsidR="00240E9E" w:rsidRPr="00240E9E" w:rsidRDefault="00240E9E" w:rsidP="00092FB8">
      <w:pPr>
        <w:pStyle w:val="ConcHead"/>
        <w:ind w:left="360"/>
        <w:jc w:val="both"/>
        <w:rPr>
          <w:rFonts w:ascii="Arial" w:hAnsi="Arial" w:cs="Arial"/>
          <w:b w:val="0"/>
          <w:caps w:val="0"/>
          <w:color w:val="000000" w:themeColor="text1"/>
          <w:sz w:val="20"/>
        </w:rPr>
      </w:pPr>
      <w:r w:rsidRPr="00240E9E">
        <w:rPr>
          <w:rFonts w:ascii="Arial" w:hAnsi="Arial" w:cs="Arial"/>
          <w:b w:val="0"/>
          <w:caps w:val="0"/>
          <w:color w:val="000000" w:themeColor="text1"/>
          <w:sz w:val="20"/>
        </w:rPr>
        <w:t xml:space="preserve">The results demonstrated that overall customer satisfaction is notably high, with respondents valuing the quality, affordability, and efficiency of the services provided by </w:t>
      </w:r>
      <w:proofErr w:type="spellStart"/>
      <w:r w:rsidRPr="00240E9E">
        <w:rPr>
          <w:rFonts w:ascii="Arial" w:hAnsi="Arial" w:cs="Arial"/>
          <w:b w:val="0"/>
          <w:caps w:val="0"/>
          <w:color w:val="000000" w:themeColor="text1"/>
          <w:sz w:val="20"/>
        </w:rPr>
        <w:t>tabo</w:t>
      </w:r>
      <w:proofErr w:type="spellEnd"/>
      <w:r w:rsidRPr="00240E9E">
        <w:rPr>
          <w:rFonts w:ascii="Arial" w:hAnsi="Arial" w:cs="Arial"/>
          <w:b w:val="0"/>
          <w:caps w:val="0"/>
          <w:color w:val="000000" w:themeColor="text1"/>
          <w:sz w:val="20"/>
        </w:rPr>
        <w:t xml:space="preserve"> vendors. The consistently positive ratings across various aspects reflect the reliability and value that these vendors deliver in meeting customer needs.  </w:t>
      </w:r>
    </w:p>
    <w:p w14:paraId="669B5C0A" w14:textId="77777777" w:rsidR="00240E9E" w:rsidRPr="00240E9E" w:rsidRDefault="00240E9E" w:rsidP="00092FB8">
      <w:pPr>
        <w:pStyle w:val="ConcHead"/>
        <w:ind w:left="360"/>
        <w:jc w:val="both"/>
        <w:rPr>
          <w:rFonts w:ascii="Arial" w:hAnsi="Arial" w:cs="Arial"/>
          <w:b w:val="0"/>
          <w:caps w:val="0"/>
          <w:color w:val="000000" w:themeColor="text1"/>
          <w:sz w:val="20"/>
        </w:rPr>
      </w:pPr>
      <w:r w:rsidRPr="00240E9E">
        <w:rPr>
          <w:rFonts w:ascii="Arial" w:hAnsi="Arial" w:cs="Arial"/>
          <w:b w:val="0"/>
          <w:caps w:val="0"/>
          <w:color w:val="000000" w:themeColor="text1"/>
          <w:sz w:val="20"/>
        </w:rPr>
        <w:t xml:space="preserve">A significant relationship was found between elements of the marketing mix and customer satisfaction. The factors of physical evidence, people, and processes showed the strongest correlations, highlighting the importance of a clean environment, professional vendor behavior, and smooth transactions in influencing positive customer experiences and loyalty. These findings underscore the critical role of service quality and the environment in shaping customer perceptions.  </w:t>
      </w:r>
    </w:p>
    <w:p w14:paraId="317F0A8E" w14:textId="672DE446" w:rsidR="009D4DFF" w:rsidRDefault="009D4DFF" w:rsidP="009D4DFF">
      <w:pPr>
        <w:pStyle w:val="ConcHead"/>
        <w:spacing w:after="0"/>
        <w:jc w:val="both"/>
        <w:rPr>
          <w:rFonts w:ascii="Arial" w:hAnsi="Arial" w:cs="Arial"/>
        </w:rPr>
      </w:pPr>
      <w:r>
        <w:rPr>
          <w:rFonts w:ascii="Arial" w:hAnsi="Arial" w:cs="Arial"/>
        </w:rPr>
        <w:t>4.2</w:t>
      </w:r>
      <w:r w:rsidRPr="009D4DFF">
        <w:rPr>
          <w:rFonts w:ascii="Arial" w:hAnsi="Arial" w:cs="Arial"/>
        </w:rPr>
        <w:t xml:space="preserve"> </w:t>
      </w:r>
      <w:r>
        <w:rPr>
          <w:rFonts w:ascii="Arial" w:hAnsi="Arial" w:cs="Arial"/>
          <w:caps w:val="0"/>
        </w:rPr>
        <w:t>Recommendations</w:t>
      </w:r>
    </w:p>
    <w:p w14:paraId="71C4A706" w14:textId="77777777" w:rsidR="009D4DFF" w:rsidRPr="00FB3A86" w:rsidRDefault="009D4DFF" w:rsidP="009D4DFF">
      <w:pPr>
        <w:pStyle w:val="ConcHead"/>
        <w:spacing w:after="0"/>
        <w:jc w:val="both"/>
        <w:rPr>
          <w:rFonts w:ascii="Arial" w:hAnsi="Arial" w:cs="Arial"/>
        </w:rPr>
      </w:pPr>
    </w:p>
    <w:p w14:paraId="14AC72C6" w14:textId="4B22E767" w:rsidR="00D90F61" w:rsidRPr="00D90F61" w:rsidRDefault="00240E9E" w:rsidP="00D90F61">
      <w:pPr>
        <w:pStyle w:val="Body"/>
        <w:rPr>
          <w:rFonts w:ascii="Arial" w:hAnsi="Arial" w:cs="Arial"/>
          <w:color w:val="000000" w:themeColor="text1"/>
        </w:rPr>
      </w:pPr>
      <w:r w:rsidRPr="00240E9E">
        <w:rPr>
          <w:rFonts w:ascii="Arial" w:hAnsi="Arial" w:cs="Arial"/>
          <w:color w:val="000000" w:themeColor="text1"/>
        </w:rPr>
        <w:t xml:space="preserve">Based on the study's findings, several recommendations aim to enhance customer satisfaction and improve marketing strategies for </w:t>
      </w:r>
      <w:proofErr w:type="spellStart"/>
      <w:r w:rsidRPr="00240E9E">
        <w:rPr>
          <w:rFonts w:ascii="Arial" w:hAnsi="Arial" w:cs="Arial"/>
          <w:color w:val="000000" w:themeColor="text1"/>
        </w:rPr>
        <w:t>tabo</w:t>
      </w:r>
      <w:proofErr w:type="spellEnd"/>
      <w:r w:rsidRPr="00240E9E">
        <w:rPr>
          <w:rFonts w:ascii="Arial" w:hAnsi="Arial" w:cs="Arial"/>
          <w:color w:val="000000" w:themeColor="text1"/>
        </w:rPr>
        <w:t xml:space="preserve"> vendors:</w:t>
      </w:r>
    </w:p>
    <w:p w14:paraId="190FCF42"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Empower Tabo Vendors Through Customer-Driven Training Programs: Regular training focused on customer service, product presentation, hygiene, and responsiveness can help vendors understand and meet customer expectations more effectively. This initiative may lead to improved satisfaction and increased sales.</w:t>
      </w:r>
    </w:p>
    <w:p w14:paraId="0E8ED03A"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Develop Customer Feedback Mechanisms: Implementing simple feedback systems, such as suggestion boxes or digital surveys, encourages customer participation in market development. This enables vendors to tailor services to real-time preferences and continually improve the shopping experience.</w:t>
      </w:r>
    </w:p>
    <w:p w14:paraId="17D6EBDB"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Support Further Academic and Market Research: Encouraging academic institutions and researchers to build upon this study can provide deeper insights into traditional market practices, customer behavior, and vendor sustainability. This contributes to the broader literature on local commerce and microenterprise development.</w:t>
      </w:r>
    </w:p>
    <w:p w14:paraId="2B22FF89"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 xml:space="preserve">Improve Promotional Strategies: Considering cost-effective marketing approaches like posters, community bulletins, or basic social media use can help </w:t>
      </w:r>
      <w:proofErr w:type="spellStart"/>
      <w:r w:rsidRPr="00240E9E">
        <w:rPr>
          <w:rFonts w:ascii="Arial" w:hAnsi="Arial" w:cs="Arial"/>
          <w:color w:val="000000" w:themeColor="text1"/>
        </w:rPr>
        <w:t>tabo</w:t>
      </w:r>
      <w:proofErr w:type="spellEnd"/>
      <w:r w:rsidRPr="00240E9E">
        <w:rPr>
          <w:rFonts w:ascii="Arial" w:hAnsi="Arial" w:cs="Arial"/>
          <w:color w:val="000000" w:themeColor="text1"/>
        </w:rPr>
        <w:t xml:space="preserve"> vendors better inform and attract customers, addressing the area of promotion where scores were lower.</w:t>
      </w:r>
    </w:p>
    <w:p w14:paraId="78B1EF7A"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Tailor Services Based on Age: Exploring age-targeted strategies can ensure product offerings and service approaches resonate with the preferences of different age groups, thereby enhancing satisfaction.</w:t>
      </w:r>
    </w:p>
    <w:p w14:paraId="5D3D0AD0"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Maintain Strengths in Product, Price, and Customer Service: High ratings in these areas indicate their importance to customers. Continuing to uphold and enhance these strengths can reinforce vendor appeal.</w:t>
      </w:r>
    </w:p>
    <w:p w14:paraId="09D4B232"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lastRenderedPageBreak/>
        <w:t>Vendor Training: Conducting regular training on customer engagement, hygiene practices, and basic marketing supports ongoing improvement in service delivery.</w:t>
      </w:r>
    </w:p>
    <w:p w14:paraId="3FC4D978" w14:textId="77777777" w:rsidR="00240E9E" w:rsidRPr="00240E9E" w:rsidRDefault="00240E9E" w:rsidP="00092FB8">
      <w:pPr>
        <w:pStyle w:val="Body"/>
        <w:ind w:left="360"/>
        <w:rPr>
          <w:rFonts w:ascii="Arial" w:hAnsi="Arial" w:cs="Arial"/>
          <w:color w:val="000000" w:themeColor="text1"/>
        </w:rPr>
      </w:pPr>
      <w:r w:rsidRPr="00240E9E">
        <w:rPr>
          <w:rFonts w:ascii="Arial" w:hAnsi="Arial" w:cs="Arial"/>
          <w:color w:val="000000" w:themeColor="text1"/>
        </w:rPr>
        <w:t>Strengthen Partnerships with Local Authorities: Collaborating with local government units (LGUs) can provide access to support services, infrastructure improvements, and marketing assistance, benefiting both vendors and customers.</w:t>
      </w:r>
    </w:p>
    <w:p w14:paraId="6943E2E8" w14:textId="7DD797FF" w:rsidR="00E0142C" w:rsidRPr="00E0142C" w:rsidRDefault="00240E9E" w:rsidP="00092FB8">
      <w:pPr>
        <w:pStyle w:val="Body"/>
        <w:ind w:left="360"/>
        <w:rPr>
          <w:rFonts w:ascii="Arial" w:hAnsi="Arial" w:cs="Arial"/>
          <w:color w:val="000000" w:themeColor="text1"/>
        </w:rPr>
      </w:pPr>
      <w:r w:rsidRPr="00240E9E">
        <w:rPr>
          <w:rFonts w:ascii="Arial" w:hAnsi="Arial" w:cs="Arial"/>
          <w:color w:val="000000" w:themeColor="text1"/>
        </w:rPr>
        <w:t>Conduct Regular Satisfaction Assessments: Periodic surveys can help monitor changes in customer expectations and satisfaction levels, guiding future improvements effectively.</w:t>
      </w:r>
    </w:p>
    <w:p w14:paraId="316F7119" w14:textId="5366C471" w:rsidR="00E0142C" w:rsidRDefault="00E0142C" w:rsidP="00E0142C">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26E39026" w14:textId="1AF2B1CB" w:rsidR="00E0142C" w:rsidRPr="00A23C64" w:rsidRDefault="00A23C64" w:rsidP="00E0142C">
      <w:pPr>
        <w:pStyle w:val="AcknHead"/>
        <w:spacing w:after="0"/>
        <w:jc w:val="both"/>
        <w:rPr>
          <w:rFonts w:ascii="Arial" w:hAnsi="Arial" w:cs="Arial"/>
          <w:b w:val="0"/>
          <w:caps w:val="0"/>
          <w:color w:val="000000" w:themeColor="text1"/>
          <w:sz w:val="20"/>
        </w:rPr>
      </w:pPr>
      <w:r w:rsidRPr="00A23C64">
        <w:rPr>
          <w:rFonts w:ascii="Arial" w:hAnsi="Arial" w:cs="Arial"/>
          <w:b w:val="0"/>
          <w:caps w:val="0"/>
          <w:color w:val="000000" w:themeColor="text1"/>
          <w:sz w:val="20"/>
        </w:rPr>
        <w:t>The authors declare that generative AI tools, specifically ChatGPT developed by OpenAI, were used solely for language refinement, grammar correction, and structural editing to improve clarity in sections such as the Abstract, Introduction, Objectives, Methods, Conclusion, and Recommendations. All aspects of research design, data collection, statistical analysis, and interpretation were conducted independently by the authors, ensuring that the originality and integrity of the study remain uncompromised.</w:t>
      </w:r>
    </w:p>
    <w:p w14:paraId="0B6948E3" w14:textId="3ED4E890" w:rsidR="00686190" w:rsidRDefault="00686190" w:rsidP="00441B6F">
      <w:pPr>
        <w:pStyle w:val="ReferHead"/>
        <w:spacing w:after="0"/>
        <w:jc w:val="both"/>
        <w:rPr>
          <w:rFonts w:ascii="Arial" w:hAnsi="Arial" w:cs="Arial"/>
          <w:b w:val="0"/>
          <w:caps w:val="0"/>
          <w:sz w:val="20"/>
        </w:rPr>
      </w:pPr>
    </w:p>
    <w:p w14:paraId="08EAC358" w14:textId="77777777" w:rsidR="005C55B2" w:rsidRDefault="005C55B2" w:rsidP="00441B6F">
      <w:pPr>
        <w:pStyle w:val="ReferHead"/>
        <w:spacing w:after="0"/>
        <w:jc w:val="both"/>
        <w:rPr>
          <w:rFonts w:ascii="Arial" w:hAnsi="Arial" w:cs="Arial"/>
          <w:b w:val="0"/>
          <w:caps w:val="0"/>
          <w:sz w:val="20"/>
        </w:rPr>
      </w:pPr>
      <w:bookmarkStart w:id="0" w:name="_GoBack"/>
      <w:bookmarkEnd w:id="0"/>
    </w:p>
    <w:p w14:paraId="4459819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8CDB07C" w14:textId="77777777" w:rsidR="002B685A" w:rsidRPr="002B685A" w:rsidRDefault="002B685A" w:rsidP="00441B6F">
      <w:pPr>
        <w:pStyle w:val="ReferHead"/>
        <w:spacing w:after="0"/>
        <w:jc w:val="both"/>
        <w:rPr>
          <w:rFonts w:ascii="Arial" w:hAnsi="Arial" w:cs="Arial"/>
          <w:bCs/>
        </w:rPr>
      </w:pPr>
    </w:p>
    <w:p w14:paraId="5779391F" w14:textId="6E10EE49" w:rsidR="005C784C"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Default="00D077DD" w:rsidP="00441B6F">
      <w:pPr>
        <w:pStyle w:val="ReferHead"/>
        <w:spacing w:after="0"/>
        <w:jc w:val="both"/>
        <w:rPr>
          <w:rFonts w:ascii="Arial" w:hAnsi="Arial" w:cs="Arial"/>
          <w:b w:val="0"/>
          <w:caps w:val="0"/>
          <w:sz w:val="20"/>
        </w:rPr>
      </w:pPr>
    </w:p>
    <w:p w14:paraId="60913F3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F3207FA" w14:textId="77777777" w:rsidR="005C784C" w:rsidRPr="002B685A" w:rsidRDefault="005C784C" w:rsidP="00441B6F">
      <w:pPr>
        <w:pStyle w:val="ReferHead"/>
        <w:spacing w:after="0"/>
        <w:jc w:val="both"/>
        <w:rPr>
          <w:rFonts w:ascii="Arial" w:hAnsi="Arial" w:cs="Arial"/>
          <w:bCs/>
        </w:rPr>
      </w:pPr>
    </w:p>
    <w:p w14:paraId="6E3FAC10" w14:textId="1A90CC52" w:rsidR="00860000"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written ethical approval has been collected and preserved by the author(s).</w:t>
      </w:r>
    </w:p>
    <w:p w14:paraId="05C77D3A" w14:textId="77777777" w:rsidR="00D077DD" w:rsidRDefault="00D077DD" w:rsidP="00441B6F">
      <w:pPr>
        <w:pStyle w:val="ReferHead"/>
        <w:spacing w:after="0"/>
        <w:jc w:val="both"/>
        <w:rPr>
          <w:rFonts w:ascii="Arial" w:hAnsi="Arial" w:cs="Arial"/>
        </w:rPr>
      </w:pPr>
    </w:p>
    <w:p w14:paraId="68AAED13" w14:textId="77777777" w:rsidR="00092FB8" w:rsidRDefault="00092FB8" w:rsidP="00441B6F">
      <w:pPr>
        <w:pStyle w:val="ReferHead"/>
        <w:spacing w:after="0"/>
        <w:jc w:val="both"/>
        <w:rPr>
          <w:rFonts w:ascii="Arial" w:hAnsi="Arial" w:cs="Arial"/>
        </w:rPr>
      </w:pPr>
    </w:p>
    <w:p w14:paraId="297A7A3D" w14:textId="77777777" w:rsidR="00092FB8" w:rsidRPr="00092FB8" w:rsidRDefault="00092FB8" w:rsidP="00092FB8">
      <w:pPr>
        <w:spacing w:after="200" w:line="276" w:lineRule="auto"/>
        <w:rPr>
          <w:rFonts w:ascii="Arial" w:eastAsiaTheme="minorEastAsia" w:hAnsi="Arial" w:cs="Arial"/>
          <w:b/>
          <w:bCs/>
          <w:sz w:val="22"/>
          <w:szCs w:val="22"/>
          <w:lang w:val="en-GB" w:eastAsia="en-GB"/>
        </w:rPr>
      </w:pPr>
      <w:r w:rsidRPr="00092FB8">
        <w:rPr>
          <w:rFonts w:ascii="Arial" w:eastAsiaTheme="minorEastAsia" w:hAnsi="Arial" w:cs="Arial"/>
          <w:b/>
          <w:bCs/>
          <w:sz w:val="22"/>
          <w:szCs w:val="22"/>
          <w:lang w:val="en-GB" w:eastAsia="en-GB"/>
        </w:rPr>
        <w:t>COMPETING INTERESTS DISCLAIMER:</w:t>
      </w:r>
    </w:p>
    <w:p w14:paraId="5AB02F54" w14:textId="77777777" w:rsidR="00092FB8" w:rsidRPr="00092FB8" w:rsidRDefault="00092FB8" w:rsidP="00092FB8">
      <w:pPr>
        <w:spacing w:after="200" w:line="276" w:lineRule="auto"/>
        <w:rPr>
          <w:rFonts w:asciiTheme="minorHAnsi" w:eastAsiaTheme="minorEastAsia" w:hAnsiTheme="minorHAnsi" w:cstheme="minorBidi"/>
          <w:sz w:val="22"/>
          <w:szCs w:val="22"/>
          <w:lang w:val="en-GB" w:eastAsia="en-GB"/>
        </w:rPr>
      </w:pPr>
      <w:r w:rsidRPr="00092FB8">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3DE98F9" w14:textId="77777777" w:rsidR="00092FB8" w:rsidRDefault="00092FB8" w:rsidP="00441B6F">
      <w:pPr>
        <w:pStyle w:val="ReferHead"/>
        <w:spacing w:after="0"/>
        <w:jc w:val="both"/>
        <w:rPr>
          <w:rFonts w:ascii="Arial" w:hAnsi="Arial" w:cs="Arial"/>
        </w:rPr>
      </w:pPr>
    </w:p>
    <w:p w14:paraId="31FA8BC0" w14:textId="77777777" w:rsidR="00092FB8" w:rsidRDefault="00092FB8" w:rsidP="00441B6F">
      <w:pPr>
        <w:pStyle w:val="ReferHead"/>
        <w:spacing w:after="0"/>
        <w:jc w:val="both"/>
        <w:rPr>
          <w:rFonts w:ascii="Arial" w:hAnsi="Arial" w:cs="Arial"/>
        </w:rPr>
      </w:pPr>
    </w:p>
    <w:p w14:paraId="1FDA54C5" w14:textId="77777777" w:rsidR="00092FB8" w:rsidRDefault="00092FB8"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549168" w14:textId="77777777" w:rsidR="007A1059" w:rsidRPr="00E51472" w:rsidRDefault="007A1059" w:rsidP="007A1059">
      <w:pPr>
        <w:pStyle w:val="Body"/>
        <w:spacing w:after="0"/>
        <w:rPr>
          <w:rFonts w:ascii="Arial" w:hAnsi="Arial" w:cs="Arial"/>
          <w:color w:val="0070C0"/>
        </w:rPr>
      </w:pPr>
    </w:p>
    <w:p w14:paraId="0DE69280" w14:textId="77777777" w:rsidR="00F77B23" w:rsidRPr="00F3157F" w:rsidRDefault="00F77B23" w:rsidP="004E1E8C">
      <w:pPr>
        <w:pStyle w:val="Body"/>
        <w:ind w:left="720" w:hanging="720"/>
        <w:rPr>
          <w:rFonts w:ascii="Arial" w:hAnsi="Arial" w:cs="Arial"/>
          <w:color w:val="000000" w:themeColor="text1"/>
        </w:rPr>
      </w:pPr>
      <w:r w:rsidRPr="00F3157F">
        <w:rPr>
          <w:rFonts w:ascii="Arial" w:hAnsi="Arial" w:cs="Arial"/>
          <w:color w:val="000000" w:themeColor="text1"/>
        </w:rPr>
        <w:t>Acharya, A. S., Prakash, A., Saxena, P., &amp; Nigam, A. (2013). Sampling: Why and how of it? Indian Journal of Medical Specialties, 4(2), 330–333. DOI: http://dx.doi.org/10.7713/ijms.2013.0032</w:t>
      </w:r>
    </w:p>
    <w:p w14:paraId="618EF800" w14:textId="77777777" w:rsidR="00F77B23" w:rsidRPr="00004264" w:rsidRDefault="00F77B23" w:rsidP="004E1E8C">
      <w:pPr>
        <w:pStyle w:val="Body"/>
        <w:ind w:left="720" w:hanging="720"/>
        <w:rPr>
          <w:rFonts w:ascii="Arial" w:hAnsi="Arial" w:cs="Arial"/>
          <w:color w:val="000000" w:themeColor="text1"/>
        </w:rPr>
      </w:pPr>
      <w:r w:rsidRPr="00004264">
        <w:rPr>
          <w:rFonts w:ascii="Arial" w:hAnsi="Arial" w:cs="Arial"/>
          <w:color w:val="000000" w:themeColor="text1"/>
        </w:rPr>
        <w:t>Baker, D. A., &amp; Crompton, J. L. (2000). Quality, satisfaction and behavioral intentions. Annals of Tourism Research, 27(3), 785–804. Retrieved from https://www.academia.edu/download/45928237/Quality_satisfaction_and_behavioral_inte20160524-22936-w1523k.pdf</w:t>
      </w:r>
    </w:p>
    <w:p w14:paraId="44CD02BC" w14:textId="77777777" w:rsidR="00F77B23" w:rsidRPr="0092524E" w:rsidRDefault="00F77B23" w:rsidP="004E1E8C">
      <w:pPr>
        <w:pStyle w:val="Body"/>
        <w:ind w:left="720" w:hanging="720"/>
        <w:rPr>
          <w:rFonts w:ascii="Arial" w:hAnsi="Arial" w:cs="Arial"/>
          <w:color w:val="000000" w:themeColor="text1"/>
        </w:rPr>
      </w:pPr>
      <w:r w:rsidRPr="0092524E">
        <w:rPr>
          <w:rFonts w:ascii="Arial" w:hAnsi="Arial" w:cs="Arial"/>
          <w:color w:val="000000" w:themeColor="text1"/>
        </w:rPr>
        <w:lastRenderedPageBreak/>
        <w:t xml:space="preserve">Berman, B., Berman, B. R., Evans, J. R., &amp; Chatterjee, P. M. (2017). Retail management. </w:t>
      </w:r>
      <w:proofErr w:type="spellStart"/>
      <w:r w:rsidRPr="0092524E">
        <w:rPr>
          <w:rFonts w:ascii="Arial" w:hAnsi="Arial" w:cs="Arial"/>
          <w:color w:val="000000" w:themeColor="text1"/>
        </w:rPr>
        <w:t>BoD</w:t>
      </w:r>
      <w:proofErr w:type="spellEnd"/>
      <w:r w:rsidRPr="0092524E">
        <w:rPr>
          <w:rFonts w:ascii="Arial" w:hAnsi="Arial" w:cs="Arial"/>
          <w:color w:val="000000" w:themeColor="text1"/>
        </w:rPr>
        <w:t>–Books on Demand. Retrieved from https://books.google.com.ph/books?hl=en&amp;lr=&amp;id=uk3HEQAAQBAJ&amp;oi=fnd&amp;pg=PA2&amp;dq=Berman,+B.,+%26+Evans,+J.+R.+(2015).+Retail+Management:+A+Strategic+Approach+(12th+ed.).+Pearson+Education.+&amp;ots=lFRg7DCbpP&amp;sig=-aviAboU-YLKS9-4L9YVNxFT5wM&amp;redir_esc=y#v=onepage&amp;q&amp;f=false</w:t>
      </w:r>
    </w:p>
    <w:p w14:paraId="07EEC9A8" w14:textId="77777777" w:rsidR="00F77B23" w:rsidRPr="00FC3B96" w:rsidRDefault="00F77B23" w:rsidP="004E1E8C">
      <w:pPr>
        <w:pStyle w:val="Body"/>
        <w:ind w:left="720" w:hanging="720"/>
        <w:rPr>
          <w:rFonts w:ascii="Arial" w:hAnsi="Arial" w:cs="Arial"/>
          <w:color w:val="000000" w:themeColor="text1"/>
        </w:rPr>
      </w:pPr>
      <w:r w:rsidRPr="00FC3B96">
        <w:rPr>
          <w:rFonts w:ascii="Arial" w:hAnsi="Arial" w:cs="Arial"/>
          <w:color w:val="000000" w:themeColor="text1"/>
        </w:rPr>
        <w:t xml:space="preserve">Bitner, M. J. (1992). </w:t>
      </w:r>
      <w:proofErr w:type="spellStart"/>
      <w:r w:rsidRPr="00FC3B96">
        <w:rPr>
          <w:rFonts w:ascii="Arial" w:hAnsi="Arial" w:cs="Arial"/>
          <w:color w:val="000000" w:themeColor="text1"/>
        </w:rPr>
        <w:t>Servicescapes</w:t>
      </w:r>
      <w:proofErr w:type="spellEnd"/>
      <w:r w:rsidRPr="00FC3B96">
        <w:rPr>
          <w:rFonts w:ascii="Arial" w:hAnsi="Arial" w:cs="Arial"/>
          <w:color w:val="000000" w:themeColor="text1"/>
        </w:rPr>
        <w:t>: The impact of physical surroundings on customers and employees. Journal of marketing, 56(2), 57-71.  https://doi.org/10.2307/1252042</w:t>
      </w:r>
    </w:p>
    <w:p w14:paraId="6EBADFF6" w14:textId="77777777" w:rsidR="00F77B23" w:rsidRPr="006B36B2" w:rsidRDefault="00F77B23" w:rsidP="004E1E8C">
      <w:pPr>
        <w:pStyle w:val="Body"/>
        <w:ind w:left="720" w:hanging="720"/>
        <w:rPr>
          <w:rFonts w:ascii="Arial" w:hAnsi="Arial" w:cs="Arial"/>
          <w:color w:val="000000" w:themeColor="text1"/>
        </w:rPr>
      </w:pPr>
      <w:r w:rsidRPr="006B36B2">
        <w:rPr>
          <w:rFonts w:ascii="Arial" w:hAnsi="Arial" w:cs="Arial"/>
          <w:color w:val="000000" w:themeColor="text1"/>
        </w:rPr>
        <w:t>Creswell, J. W., &amp; Poth, C. N. (2016). Qualitative inquiry and research design: Choosing among five approaches. Sage publications. Retrieved from https://www.ceil-conicet.gov.ar/wp-content/uploads/2018/04/CRESWELLQualitative-Inquary-and-Research-Design-Creswell.pdf</w:t>
      </w:r>
    </w:p>
    <w:p w14:paraId="122EC779" w14:textId="77777777" w:rsidR="00F77B23" w:rsidRPr="00F77B23" w:rsidRDefault="00F77B23" w:rsidP="004E1E8C">
      <w:pPr>
        <w:pStyle w:val="Body"/>
        <w:ind w:left="720" w:hanging="720"/>
        <w:rPr>
          <w:rFonts w:ascii="Arial" w:hAnsi="Arial" w:cs="Arial"/>
          <w:color w:val="000000" w:themeColor="text1"/>
        </w:rPr>
      </w:pPr>
      <w:r w:rsidRPr="00F77B23">
        <w:rPr>
          <w:rFonts w:ascii="Arial" w:hAnsi="Arial" w:cs="Arial"/>
          <w:color w:val="000000" w:themeColor="text1"/>
        </w:rPr>
        <w:t>De Simone, L. (2026). Retail, Consumption, and Gender. The Wiley Blackwell Companion to the City, Retail, and Consumption, 193-211. Retrieved from https://onlinelibrary.wiley.com/doi/abs/10.1002/9781394278657.ch11</w:t>
      </w:r>
    </w:p>
    <w:p w14:paraId="27A71E09" w14:textId="77777777" w:rsidR="00F77B23" w:rsidRPr="00BC6931" w:rsidRDefault="00F77B23" w:rsidP="004E1E8C">
      <w:pPr>
        <w:pStyle w:val="Body"/>
        <w:ind w:left="720" w:hanging="720"/>
        <w:rPr>
          <w:rFonts w:ascii="Arial" w:hAnsi="Arial" w:cs="Arial"/>
          <w:color w:val="000000" w:themeColor="text1"/>
        </w:rPr>
      </w:pPr>
      <w:proofErr w:type="spellStart"/>
      <w:r w:rsidRPr="00BC6931">
        <w:rPr>
          <w:rFonts w:ascii="Arial" w:hAnsi="Arial" w:cs="Arial"/>
          <w:color w:val="000000" w:themeColor="text1"/>
        </w:rPr>
        <w:t>Etikan</w:t>
      </w:r>
      <w:proofErr w:type="spellEnd"/>
      <w:r w:rsidRPr="00BC6931">
        <w:rPr>
          <w:rFonts w:ascii="Arial" w:hAnsi="Arial" w:cs="Arial"/>
          <w:color w:val="000000" w:themeColor="text1"/>
        </w:rPr>
        <w:t xml:space="preserve">, I., &amp; Bala, K. (2017). Sampling and sampling methods. Biometrics &amp; Biostatistics International Journal, 5(6), 00149. Retrieved from </w:t>
      </w:r>
      <w:r w:rsidRPr="00DB1DA9">
        <w:rPr>
          <w:rFonts w:ascii="Arial" w:hAnsi="Arial" w:cs="Arial"/>
          <w:color w:val="000000" w:themeColor="text1"/>
        </w:rPr>
        <w:t>https://www.academia.edu/download/76605654/BBIJ-05-00149.pdf</w:t>
      </w:r>
    </w:p>
    <w:p w14:paraId="51381822" w14:textId="77777777" w:rsidR="00F77B23" w:rsidRPr="00B41930" w:rsidRDefault="00F77B23" w:rsidP="004E1E8C">
      <w:pPr>
        <w:pStyle w:val="Body"/>
        <w:ind w:left="720" w:hanging="720"/>
        <w:rPr>
          <w:rFonts w:ascii="Arial" w:hAnsi="Arial" w:cs="Arial"/>
          <w:color w:val="000000" w:themeColor="text1"/>
        </w:rPr>
      </w:pPr>
      <w:r w:rsidRPr="00B41930">
        <w:rPr>
          <w:rFonts w:ascii="Arial" w:hAnsi="Arial" w:cs="Arial"/>
          <w:color w:val="000000" w:themeColor="text1"/>
        </w:rPr>
        <w:t>Gajic, N., &amp; Boolaky, M. (2015). Impact of technical support on customer satisfaction: Case of automotive paints. SAGE Open, 5(4), 2158244015611457. https://doi.org/10.1177/215824401561145</w:t>
      </w:r>
    </w:p>
    <w:p w14:paraId="7002BA86" w14:textId="77777777" w:rsidR="00F77B23" w:rsidRPr="008F1D5B" w:rsidRDefault="00F77B23" w:rsidP="004E1E8C">
      <w:pPr>
        <w:pStyle w:val="Body"/>
        <w:ind w:left="720" w:hanging="720"/>
        <w:rPr>
          <w:rFonts w:ascii="Arial" w:hAnsi="Arial" w:cs="Arial"/>
          <w:color w:val="000000" w:themeColor="text1"/>
        </w:rPr>
      </w:pPr>
      <w:r w:rsidRPr="008F1D5B">
        <w:rPr>
          <w:rFonts w:ascii="Arial" w:hAnsi="Arial" w:cs="Arial"/>
          <w:color w:val="000000" w:themeColor="text1"/>
        </w:rPr>
        <w:t>Jahanzeb, S., Fatima, T., &amp; Khan, M. B. (2011). An empirical analysis of customer loyalty in Pakistan's telecommunication industry. Journal of Database Marketing &amp; Customer Strategy Management, 18(1), 5-15. Retrieved from https://link.springer.com/content/pdf/10.1057/dbm.2011.2.pdf</w:t>
      </w:r>
    </w:p>
    <w:p w14:paraId="33BA8F48" w14:textId="77777777" w:rsidR="00F77B23" w:rsidRPr="00A445EF" w:rsidRDefault="00F77B23" w:rsidP="0017504F">
      <w:pPr>
        <w:pStyle w:val="Body"/>
        <w:ind w:left="720" w:hanging="720"/>
        <w:rPr>
          <w:rFonts w:ascii="Arial" w:hAnsi="Arial" w:cs="Arial"/>
          <w:color w:val="000000" w:themeColor="text1"/>
        </w:rPr>
      </w:pPr>
      <w:proofErr w:type="spellStart"/>
      <w:r w:rsidRPr="00A445EF">
        <w:rPr>
          <w:rFonts w:ascii="Arial" w:hAnsi="Arial" w:cs="Arial"/>
          <w:color w:val="000000" w:themeColor="text1"/>
        </w:rPr>
        <w:t>Khumnualthong</w:t>
      </w:r>
      <w:proofErr w:type="spellEnd"/>
      <w:r w:rsidRPr="00A445EF">
        <w:rPr>
          <w:rFonts w:ascii="Arial" w:hAnsi="Arial" w:cs="Arial"/>
          <w:color w:val="000000" w:themeColor="text1"/>
        </w:rPr>
        <w:t xml:space="preserve">, P. (2015). The effects of service marketing mix (7Ps) on customer Satisfaction and Customer Loyalty of Medical Aesthetic Clinics. Bangkok: University of the Thai Chamber of Commerce. Retrieved from https://searchlib.utcc.ac.th/library/onlinethesis/261399.pdf </w:t>
      </w:r>
    </w:p>
    <w:p w14:paraId="17178684" w14:textId="77777777" w:rsidR="00F77B23" w:rsidRPr="001F5DE3" w:rsidRDefault="00F77B23" w:rsidP="004E1E8C">
      <w:pPr>
        <w:pStyle w:val="Body"/>
        <w:ind w:left="720" w:hanging="720"/>
        <w:rPr>
          <w:rFonts w:ascii="Arial" w:hAnsi="Arial" w:cs="Arial"/>
          <w:color w:val="000000" w:themeColor="text1"/>
        </w:rPr>
      </w:pPr>
      <w:r w:rsidRPr="001F5DE3">
        <w:rPr>
          <w:rFonts w:ascii="Arial" w:hAnsi="Arial" w:cs="Arial"/>
          <w:color w:val="000000" w:themeColor="text1"/>
        </w:rPr>
        <w:t xml:space="preserve">Kotler, P., &amp; Keller, K. L. (2015). Framework for Marketing Management, A. </w:t>
      </w:r>
      <w:proofErr w:type="spellStart"/>
      <w:r w:rsidRPr="001F5DE3">
        <w:rPr>
          <w:rFonts w:ascii="Arial" w:hAnsi="Arial" w:cs="Arial"/>
          <w:color w:val="000000" w:themeColor="text1"/>
        </w:rPr>
        <w:t>BoD</w:t>
      </w:r>
      <w:proofErr w:type="spellEnd"/>
      <w:r w:rsidRPr="001F5DE3">
        <w:rPr>
          <w:rFonts w:ascii="Arial" w:hAnsi="Arial" w:cs="Arial"/>
          <w:color w:val="000000" w:themeColor="text1"/>
        </w:rPr>
        <w:t>–Books on Demand. Retrieved from https://books.google.com/books?hl=en&amp;lr=&amp;id=Z9jBEQAAQBAJ&amp;oi=fnd&amp;pg=PA19&amp;dq=Kotler,+P.,+%26+Keller,+K.+L.+(2016).+Marketing+management+(15th+ed.).+Pearson&amp;ots=oAlQm42Jv9&amp;sig=Bw3k8ivqU3pwyoWSLvccs_iNUnA</w:t>
      </w:r>
    </w:p>
    <w:p w14:paraId="7C9022C2" w14:textId="77777777" w:rsidR="00F77B23" w:rsidRPr="00F53190" w:rsidRDefault="00F77B23" w:rsidP="004E1E8C">
      <w:pPr>
        <w:pStyle w:val="Body"/>
        <w:ind w:left="720" w:hanging="720"/>
        <w:rPr>
          <w:rFonts w:ascii="Arial" w:hAnsi="Arial" w:cs="Arial"/>
          <w:color w:val="000000" w:themeColor="text1"/>
        </w:rPr>
      </w:pPr>
      <w:proofErr w:type="spellStart"/>
      <w:r w:rsidRPr="00F53190">
        <w:rPr>
          <w:rFonts w:ascii="Arial" w:hAnsi="Arial" w:cs="Arial"/>
          <w:color w:val="000000" w:themeColor="text1"/>
        </w:rPr>
        <w:t>Ladhari</w:t>
      </w:r>
      <w:proofErr w:type="spellEnd"/>
      <w:r w:rsidRPr="00F53190">
        <w:rPr>
          <w:rFonts w:ascii="Arial" w:hAnsi="Arial" w:cs="Arial"/>
          <w:color w:val="000000" w:themeColor="text1"/>
        </w:rPr>
        <w:t xml:space="preserve">, R. (2009). Service quality, emotional satisfaction, and </w:t>
      </w:r>
      <w:proofErr w:type="spellStart"/>
      <w:r w:rsidRPr="00F53190">
        <w:rPr>
          <w:rFonts w:ascii="Arial" w:hAnsi="Arial" w:cs="Arial"/>
          <w:color w:val="000000" w:themeColor="text1"/>
        </w:rPr>
        <w:t>behavioural</w:t>
      </w:r>
      <w:proofErr w:type="spellEnd"/>
      <w:r w:rsidRPr="00F53190">
        <w:rPr>
          <w:rFonts w:ascii="Arial" w:hAnsi="Arial" w:cs="Arial"/>
          <w:color w:val="000000" w:themeColor="text1"/>
        </w:rPr>
        <w:t xml:space="preserve"> intentions: A study in the hotel industry. Managing Service Quality: An International Journal, 19(3), 308-331. Retrieved from https://www.emerald.com/jstp/article-abstract/19/3/308/300320</w:t>
      </w:r>
    </w:p>
    <w:p w14:paraId="40925E25" w14:textId="77777777" w:rsidR="00F77B23" w:rsidRPr="000850AF" w:rsidRDefault="00F77B23" w:rsidP="000850AF">
      <w:pPr>
        <w:pStyle w:val="Body"/>
        <w:ind w:left="720" w:hanging="720"/>
        <w:rPr>
          <w:rFonts w:ascii="Arial" w:hAnsi="Arial" w:cs="Arial"/>
          <w:color w:val="000000" w:themeColor="text1"/>
        </w:rPr>
      </w:pPr>
      <w:r w:rsidRPr="000850AF">
        <w:rPr>
          <w:rFonts w:ascii="Arial" w:hAnsi="Arial" w:cs="Arial"/>
          <w:color w:val="000000" w:themeColor="text1"/>
        </w:rPr>
        <w:t>Lovelock, C., &amp; Wirtz, J. (2004). Services marketing: people, technology, strategy. Journal of Services Marketing, 18(5), 413-414.</w:t>
      </w:r>
    </w:p>
    <w:p w14:paraId="4A327A0C" w14:textId="77777777" w:rsidR="00F77B23" w:rsidRPr="00603E09" w:rsidRDefault="00F77B23" w:rsidP="004E1E8C">
      <w:pPr>
        <w:pStyle w:val="Body"/>
        <w:ind w:left="720" w:hanging="720"/>
        <w:rPr>
          <w:rFonts w:ascii="Arial" w:hAnsi="Arial" w:cs="Arial"/>
          <w:color w:val="000000" w:themeColor="text1"/>
        </w:rPr>
      </w:pPr>
      <w:r w:rsidRPr="00603E09">
        <w:rPr>
          <w:rFonts w:ascii="Arial" w:hAnsi="Arial" w:cs="Arial"/>
          <w:color w:val="000000" w:themeColor="text1"/>
        </w:rPr>
        <w:t xml:space="preserve">Nadeem, W., Ashraf, A. R., &amp; Hultman, M. (2025). Transformative sustainability marketing: catalyzing sustainable consumption and consumer well-being through environmental </w:t>
      </w:r>
      <w:r w:rsidRPr="00603E09">
        <w:rPr>
          <w:rFonts w:ascii="Arial" w:hAnsi="Arial" w:cs="Arial"/>
          <w:color w:val="000000" w:themeColor="text1"/>
        </w:rPr>
        <w:lastRenderedPageBreak/>
        <w:t>performance insights. European Journal of Marketing. Retrieved from https://www.emerald.com/ejm/article-abstract/doi/10.1108/EJM-07-2024-0572/1299183</w:t>
      </w:r>
    </w:p>
    <w:p w14:paraId="0D80F894" w14:textId="77777777" w:rsidR="00F77B23" w:rsidRPr="00986F07" w:rsidRDefault="00F77B23" w:rsidP="004E1E8C">
      <w:pPr>
        <w:pStyle w:val="Body"/>
        <w:ind w:left="720" w:hanging="720"/>
        <w:rPr>
          <w:rFonts w:ascii="Arial" w:hAnsi="Arial" w:cs="Arial"/>
          <w:color w:val="000000" w:themeColor="text1"/>
        </w:rPr>
      </w:pPr>
      <w:r w:rsidRPr="00986F07">
        <w:rPr>
          <w:rFonts w:ascii="Arial" w:hAnsi="Arial" w:cs="Arial"/>
          <w:color w:val="000000" w:themeColor="text1"/>
        </w:rPr>
        <w:t xml:space="preserve">Najib, M. F., &amp; </w:t>
      </w:r>
      <w:proofErr w:type="spellStart"/>
      <w:r w:rsidRPr="00986F07">
        <w:rPr>
          <w:rFonts w:ascii="Arial" w:hAnsi="Arial" w:cs="Arial"/>
          <w:color w:val="000000" w:themeColor="text1"/>
        </w:rPr>
        <w:t>Sosianika</w:t>
      </w:r>
      <w:proofErr w:type="spellEnd"/>
      <w:r w:rsidRPr="00986F07">
        <w:rPr>
          <w:rFonts w:ascii="Arial" w:hAnsi="Arial" w:cs="Arial"/>
          <w:color w:val="000000" w:themeColor="text1"/>
        </w:rPr>
        <w:t>, A. (2019). Retail service quality, satisfaction, and trust: the key to shopper loyalty in the context of the Indonesian traditional market. International Journal of Electronic Marketing and Retailing, 10(4), 425-440.</w:t>
      </w:r>
      <w:r>
        <w:rPr>
          <w:rFonts w:ascii="Arial" w:hAnsi="Arial" w:cs="Arial"/>
          <w:color w:val="000000" w:themeColor="text1"/>
        </w:rPr>
        <w:t xml:space="preserve"> Retrieved from </w:t>
      </w:r>
      <w:r w:rsidRPr="00426B42">
        <w:rPr>
          <w:rFonts w:ascii="Arial" w:hAnsi="Arial" w:cs="Arial"/>
          <w:color w:val="000000" w:themeColor="text1"/>
        </w:rPr>
        <w:t>https://www.researchgate.net/profile/Moh-Najib/publication/338062801_Retail_service_quality_satisfaction_and_trust_the_key_to_shopper_loyalty_in_the_context_of_the_Indonesian_traditional_market/links/5e45dd44299bf1cdb9284b47/Retail-service-quality-satisfaction-and-trust-the-key-to-shopper-loyalty-in-the-context-of-the-Indonesian-traditional-market.pdf</w:t>
      </w:r>
    </w:p>
    <w:p w14:paraId="27CCED8E" w14:textId="77777777" w:rsidR="00F77B23" w:rsidRPr="009574C1" w:rsidRDefault="00F77B23" w:rsidP="004E1E8C">
      <w:pPr>
        <w:pStyle w:val="Body"/>
        <w:ind w:left="720" w:hanging="720"/>
        <w:rPr>
          <w:rFonts w:ascii="Arial" w:hAnsi="Arial" w:cs="Arial"/>
          <w:color w:val="000000" w:themeColor="text1"/>
        </w:rPr>
      </w:pPr>
      <w:r w:rsidRPr="009574C1">
        <w:rPr>
          <w:rFonts w:ascii="Arial" w:hAnsi="Arial" w:cs="Arial"/>
          <w:color w:val="000000" w:themeColor="text1"/>
        </w:rPr>
        <w:t>Oliver, R. L. (2014). Satisfaction: A behavioral perspective on the consumer: A behavioral perspective on the consumer. Routledge. Retrieved from https://api.taylorfrancis.com/content/books/mono/download?identifierName=doi&amp;identifierValue=10.4324/9781315700892&amp;type=googlepdf</w:t>
      </w:r>
    </w:p>
    <w:p w14:paraId="7BC2255E" w14:textId="77777777" w:rsidR="00F77B23" w:rsidRPr="00F176BA" w:rsidRDefault="00F77B23" w:rsidP="004E1E8C">
      <w:pPr>
        <w:pStyle w:val="Body"/>
        <w:ind w:left="720" w:hanging="720"/>
        <w:rPr>
          <w:rFonts w:ascii="Arial" w:hAnsi="Arial" w:cs="Arial"/>
          <w:color w:val="000000" w:themeColor="text1"/>
        </w:rPr>
      </w:pPr>
      <w:r w:rsidRPr="00F176BA">
        <w:rPr>
          <w:rFonts w:ascii="Arial" w:hAnsi="Arial" w:cs="Arial"/>
          <w:color w:val="000000" w:themeColor="text1"/>
        </w:rPr>
        <w:t>Parasuraman, A. B. L. L., Zeithaml, V. A., &amp; Berry, L. (1988). SERVQUAL: A multiple-item scale for measuring consumer perceptions of service quality. 1988, 64(1), 12-40. Retrieved from https://books.google.com/books?hl=en&amp;lr=&amp;id=Rt96wAigg2oC&amp;oi=fnd&amp;pg=PA140&amp;dq=Parasuraman,+A.,+Zeithaml,+V.+A.,+%26+Berry,+L.+L.+(2017).+SERVQUAL:+A+multiple-item+scale+for+measuring+consumer+perceptions+of+service+quality.+Journal+of+Retailing,+64(1),+12%E2%80%9340.+https://doi.org/10.1016/j.jret.2017.03.002++&amp;ots=pUw2dFzCxL&amp;sig=_pwoNPKi2AL5Ogo2pAMeggN_3S4</w:t>
      </w:r>
    </w:p>
    <w:p w14:paraId="62207D9C" w14:textId="77777777" w:rsidR="00F77B23" w:rsidRPr="002E53F2" w:rsidRDefault="00F77B23" w:rsidP="002E53F2">
      <w:pPr>
        <w:pStyle w:val="Body"/>
        <w:ind w:left="720" w:hanging="720"/>
        <w:rPr>
          <w:rFonts w:ascii="Arial" w:hAnsi="Arial" w:cs="Arial"/>
          <w:color w:val="000000" w:themeColor="text1"/>
        </w:rPr>
      </w:pPr>
      <w:r w:rsidRPr="00092FFA">
        <w:rPr>
          <w:rFonts w:ascii="Arial" w:hAnsi="Arial" w:cs="Arial"/>
          <w:color w:val="000000" w:themeColor="text1"/>
        </w:rPr>
        <w:t>Pereira, M. D. S., de Castro, B. S., Cordeiro, B. A., de Castro, B. S., Peixoto, M. G. M., da Silva, E. C. M., &amp; Gonçalves, M. C. (2025). Factors of customer loyalty and retention in the digital environment. Journal of Theoretical and Applied Electronic Commerce Research, 20(2), 71.</w:t>
      </w:r>
      <w:r>
        <w:rPr>
          <w:rFonts w:ascii="Arial" w:hAnsi="Arial" w:cs="Arial"/>
          <w:color w:val="000000" w:themeColor="text1"/>
        </w:rPr>
        <w:t xml:space="preserve"> Retrieved from </w:t>
      </w:r>
      <w:r w:rsidRPr="009C2DEB">
        <w:rPr>
          <w:rFonts w:ascii="Arial" w:hAnsi="Arial" w:cs="Arial"/>
          <w:color w:val="000000" w:themeColor="text1"/>
        </w:rPr>
        <w:t>https://www.mdpi.com/0718-1876/20/2/71?utm</w:t>
      </w:r>
    </w:p>
    <w:p w14:paraId="137FAA42" w14:textId="77777777" w:rsidR="00F77B23" w:rsidRPr="00D54DFA" w:rsidRDefault="00F77B23" w:rsidP="004E1E8C">
      <w:pPr>
        <w:pStyle w:val="Body"/>
        <w:spacing w:after="0"/>
        <w:ind w:left="720" w:hanging="720"/>
        <w:rPr>
          <w:rFonts w:ascii="Arial" w:hAnsi="Arial" w:cs="Arial"/>
          <w:color w:val="000000" w:themeColor="text1"/>
        </w:rPr>
      </w:pPr>
      <w:r w:rsidRPr="00D54DFA">
        <w:rPr>
          <w:rFonts w:ascii="Arial" w:hAnsi="Arial" w:cs="Arial"/>
          <w:color w:val="000000" w:themeColor="text1"/>
        </w:rPr>
        <w:t>Rajput, A. A., Kalhoro, S. H., &amp; Wasif, R. (2012). Impact of product price and quality on consumer buying behavior: Evidence from Pakistan. Interdisciplinary Journal of Contemporary Research in Business, 4(4), 485-496. Retrieved from https://www.scribd.com/doc/124001205/Impact-of-Product-Quality-and-Price-on-Consumer-Buying-Behavior</w:t>
      </w:r>
      <w:r w:rsidRPr="00D54DFA">
        <w:rPr>
          <w:rFonts w:ascii="Arial" w:hAnsi="Arial" w:cs="Arial"/>
          <w:color w:val="000000" w:themeColor="text1"/>
        </w:rPr>
        <w:br/>
      </w:r>
    </w:p>
    <w:p w14:paraId="23B35EA0" w14:textId="77777777" w:rsidR="00F77B23" w:rsidRPr="00470002" w:rsidRDefault="00F77B23" w:rsidP="004E1E8C">
      <w:pPr>
        <w:pStyle w:val="Body"/>
        <w:ind w:left="720" w:hanging="720"/>
        <w:rPr>
          <w:rFonts w:ascii="Arial" w:hAnsi="Arial" w:cs="Arial"/>
          <w:color w:val="000000" w:themeColor="text1"/>
        </w:rPr>
      </w:pPr>
      <w:r w:rsidRPr="00470002">
        <w:rPr>
          <w:rFonts w:ascii="Arial" w:hAnsi="Arial" w:cs="Arial"/>
          <w:color w:val="000000" w:themeColor="text1"/>
        </w:rPr>
        <w:t xml:space="preserve">Schiffman, L. G., &amp; </w:t>
      </w:r>
      <w:proofErr w:type="spellStart"/>
      <w:r w:rsidRPr="00470002">
        <w:rPr>
          <w:rFonts w:ascii="Arial" w:hAnsi="Arial" w:cs="Arial"/>
          <w:color w:val="000000" w:themeColor="text1"/>
        </w:rPr>
        <w:t>Wisenblit</w:t>
      </w:r>
      <w:proofErr w:type="spellEnd"/>
      <w:r w:rsidRPr="00470002">
        <w:rPr>
          <w:rFonts w:ascii="Arial" w:hAnsi="Arial" w:cs="Arial"/>
          <w:color w:val="000000" w:themeColor="text1"/>
        </w:rPr>
        <w:t>, J. (2019). Consumer Behavior Twelfth Edition Global Edition. Retrieved from https://api.pageplace.de/preview/DT0400.9781292269269_A37760957/preview-9781292269269_A37760957.pdf</w:t>
      </w:r>
    </w:p>
    <w:p w14:paraId="3341DFE4" w14:textId="77777777" w:rsidR="00F77B23" w:rsidRPr="0062672E" w:rsidRDefault="00F77B23" w:rsidP="004E1E8C">
      <w:pPr>
        <w:pStyle w:val="Body"/>
        <w:ind w:left="720" w:hanging="720"/>
        <w:rPr>
          <w:rFonts w:ascii="Arial" w:hAnsi="Arial" w:cs="Arial"/>
          <w:color w:val="000000" w:themeColor="text1"/>
        </w:rPr>
      </w:pPr>
      <w:proofErr w:type="spellStart"/>
      <w:r w:rsidRPr="0062672E">
        <w:rPr>
          <w:rFonts w:ascii="Arial" w:hAnsi="Arial" w:cs="Arial"/>
          <w:color w:val="000000" w:themeColor="text1"/>
        </w:rPr>
        <w:t>Utale</w:t>
      </w:r>
      <w:proofErr w:type="spellEnd"/>
      <w:r w:rsidRPr="0062672E">
        <w:rPr>
          <w:rFonts w:ascii="Arial" w:hAnsi="Arial" w:cs="Arial"/>
          <w:color w:val="000000" w:themeColor="text1"/>
        </w:rPr>
        <w:t xml:space="preserve">, M. S., Haile, A., &amp; </w:t>
      </w:r>
      <w:proofErr w:type="spellStart"/>
      <w:r w:rsidRPr="0062672E">
        <w:rPr>
          <w:rFonts w:ascii="Arial" w:hAnsi="Arial" w:cs="Arial"/>
          <w:color w:val="000000" w:themeColor="text1"/>
        </w:rPr>
        <w:t>Semaw</w:t>
      </w:r>
      <w:proofErr w:type="spellEnd"/>
      <w:r w:rsidRPr="0062672E">
        <w:rPr>
          <w:rFonts w:ascii="Arial" w:hAnsi="Arial" w:cs="Arial"/>
          <w:color w:val="000000" w:themeColor="text1"/>
        </w:rPr>
        <w:t xml:space="preserve">, H. (2022). The Effect of Perceived Price Fairness on Customer Satisfaction: The Case of Adama Steel and Nail Factory, East Shoa of Oromia Region, Ethiopia (Doctoral dissertation, </w:t>
      </w:r>
      <w:proofErr w:type="spellStart"/>
      <w:r w:rsidRPr="0062672E">
        <w:rPr>
          <w:rFonts w:ascii="Arial" w:hAnsi="Arial" w:cs="Arial"/>
          <w:color w:val="000000" w:themeColor="text1"/>
        </w:rPr>
        <w:t>Haramaya</w:t>
      </w:r>
      <w:proofErr w:type="spellEnd"/>
      <w:r w:rsidRPr="0062672E">
        <w:rPr>
          <w:rFonts w:ascii="Arial" w:hAnsi="Arial" w:cs="Arial"/>
          <w:color w:val="000000" w:themeColor="text1"/>
        </w:rPr>
        <w:t xml:space="preserve"> University).</w:t>
      </w:r>
      <w:r>
        <w:rPr>
          <w:rFonts w:ascii="Arial" w:hAnsi="Arial" w:cs="Arial"/>
          <w:color w:val="000000" w:themeColor="text1"/>
        </w:rPr>
        <w:t xml:space="preserve"> Retrieved from </w:t>
      </w:r>
      <w:r w:rsidRPr="00D43FCD">
        <w:rPr>
          <w:rFonts w:ascii="Arial" w:hAnsi="Arial" w:cs="Arial"/>
          <w:color w:val="000000" w:themeColor="text1"/>
        </w:rPr>
        <w:t>https://afribary.com/works/the-effect-of-perceived-price-fairness-on-customer-satisfaction-the-case-of-adama-steel-and-nail-factory-east-shoa-of-oromia-region-ethiopia</w:t>
      </w:r>
    </w:p>
    <w:p w14:paraId="0136F769" w14:textId="77777777" w:rsidR="00F77B23" w:rsidRPr="008F1D5B" w:rsidRDefault="00F77B23" w:rsidP="004E1E8C">
      <w:pPr>
        <w:pStyle w:val="Body"/>
        <w:ind w:left="720" w:hanging="720"/>
        <w:rPr>
          <w:rFonts w:ascii="Arial" w:hAnsi="Arial" w:cs="Arial"/>
          <w:color w:val="000000" w:themeColor="text1"/>
        </w:rPr>
      </w:pPr>
      <w:r w:rsidRPr="008F1D5B">
        <w:rPr>
          <w:rFonts w:ascii="Arial" w:hAnsi="Arial" w:cs="Arial"/>
          <w:color w:val="000000" w:themeColor="text1"/>
        </w:rPr>
        <w:t xml:space="preserve">Wilson, A., Zeithaml, V., Bitner, M. J., &amp; Gremler, D. (2020). EBK: Services marketing: Integrating customer service across the firm 4e. McGraw Hill. Retrieved from </w:t>
      </w:r>
      <w:r w:rsidRPr="008F1D5B">
        <w:rPr>
          <w:rFonts w:ascii="Arial" w:hAnsi="Arial" w:cs="Arial"/>
          <w:color w:val="000000" w:themeColor="text1"/>
        </w:rPr>
        <w:lastRenderedPageBreak/>
        <w:t>https://books.google.com/books?hl=en&amp;lr=&amp;id=9skvEAAAQBAJ&amp;oi=fnd&amp;pg=PR1&amp;dq=Services+marketing:+Integrating+customer+focus+across+the+firm+(7th+ed.).+McGraw-Hill+Education.+&amp;ots=zadZ4yecAx&amp;sig=ab0ErqOI8SFPvb5VbExasXuoH7M</w:t>
      </w:r>
    </w:p>
    <w:p w14:paraId="795D611D" w14:textId="77777777" w:rsidR="00441B6F" w:rsidRDefault="00441B6F" w:rsidP="00441B6F">
      <w:pPr>
        <w:pStyle w:val="Body"/>
        <w:spacing w:after="0"/>
        <w:jc w:val="left"/>
        <w:rPr>
          <w:rFonts w:ascii="Arial" w:hAnsi="Arial" w:cs="Arial"/>
        </w:rPr>
      </w:pPr>
    </w:p>
    <w:p w14:paraId="2905D7F1" w14:textId="77777777" w:rsidR="00790ADA" w:rsidRPr="00FB3A86" w:rsidRDefault="00790ADA" w:rsidP="00441B6F">
      <w:pPr>
        <w:pStyle w:val="Body"/>
        <w:spacing w:after="0"/>
        <w:rPr>
          <w:rFonts w:ascii="Arial" w:hAnsi="Arial" w:cs="Arial"/>
        </w:rPr>
      </w:pP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5C55B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5C55B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A7F2F" w14:textId="77777777" w:rsidR="00A77721" w:rsidRDefault="00A77721" w:rsidP="00C37E61">
      <w:r>
        <w:separator/>
      </w:r>
    </w:p>
  </w:endnote>
  <w:endnote w:type="continuationSeparator" w:id="0">
    <w:p w14:paraId="2C1A6B8E" w14:textId="77777777" w:rsidR="00A77721" w:rsidRDefault="00A777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9D3E" w14:textId="77777777" w:rsidR="005C55B2" w:rsidRDefault="005C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173D" w14:textId="77777777" w:rsidR="005C55B2" w:rsidRDefault="005C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9E048A" w:rsidRDefault="009E048A">
    <w:pPr>
      <w:pStyle w:val="Footer"/>
      <w:rPr>
        <w:rFonts w:ascii="Arial" w:hAnsi="Arial" w:cs="Arial"/>
        <w:sz w:val="16"/>
      </w:rPr>
    </w:pPr>
  </w:p>
  <w:p w14:paraId="6EDBC4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1F494A" w14:textId="77777777" w:rsidR="009E048A" w:rsidRDefault="009E048A">
    <w:pPr>
      <w:pStyle w:val="Footer"/>
      <w:rPr>
        <w:rFonts w:ascii="Arial" w:hAnsi="Arial" w:cs="Arial"/>
        <w:sz w:val="16"/>
      </w:rPr>
    </w:pPr>
  </w:p>
  <w:p w14:paraId="4B4B598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94681" w14:textId="77777777" w:rsidR="00A77721" w:rsidRDefault="00A77721" w:rsidP="00C37E61">
      <w:r>
        <w:separator/>
      </w:r>
    </w:p>
  </w:footnote>
  <w:footnote w:type="continuationSeparator" w:id="0">
    <w:p w14:paraId="3BC85C3D" w14:textId="77777777" w:rsidR="00A77721" w:rsidRDefault="00A777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2941" w14:textId="54E15691" w:rsidR="005C55B2" w:rsidRDefault="005C55B2">
    <w:pPr>
      <w:pStyle w:val="Header"/>
    </w:pPr>
    <w:r>
      <w:rPr>
        <w:noProof/>
      </w:rPr>
      <w:pict w14:anchorId="0B1C3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C67B" w14:textId="7164F950" w:rsidR="005C55B2" w:rsidRDefault="005C55B2">
    <w:pPr>
      <w:pStyle w:val="Header"/>
    </w:pPr>
    <w:r>
      <w:rPr>
        <w:noProof/>
      </w:rPr>
      <w:pict w14:anchorId="08C46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764F4BA4" w:rsidR="00296529" w:rsidRPr="00296529" w:rsidRDefault="005C55B2" w:rsidP="00296529">
    <w:pPr>
      <w:ind w:left="2160"/>
      <w:jc w:val="center"/>
      <w:rPr>
        <w:rFonts w:ascii="Times New Roman" w:eastAsia="Calibri" w:hAnsi="Times New Roman"/>
        <w:i/>
        <w:sz w:val="18"/>
        <w:szCs w:val="22"/>
      </w:rPr>
    </w:pPr>
    <w:r>
      <w:rPr>
        <w:noProof/>
      </w:rPr>
      <w:pict w14:anchorId="0FA2D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5A1D" w14:textId="6684508E" w:rsidR="005C55B2" w:rsidRDefault="005C55B2">
    <w:pPr>
      <w:pStyle w:val="Header"/>
    </w:pPr>
    <w:r>
      <w:rPr>
        <w:noProof/>
      </w:rPr>
      <w:pict w14:anchorId="0632D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785" w14:textId="13578B65" w:rsidR="005C55B2" w:rsidRDefault="005C55B2">
    <w:pPr>
      <w:pStyle w:val="Header"/>
    </w:pPr>
    <w:r>
      <w:rPr>
        <w:noProof/>
      </w:rPr>
      <w:pict w14:anchorId="18446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F61FD" w14:textId="064BB903" w:rsidR="005C55B2" w:rsidRDefault="005C55B2">
    <w:pPr>
      <w:pStyle w:val="Header"/>
    </w:pPr>
    <w:r>
      <w:rPr>
        <w:noProof/>
      </w:rPr>
      <w:pict w14:anchorId="01110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47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9EB"/>
    <w:rsid w:val="00003CD1"/>
    <w:rsid w:val="00004264"/>
    <w:rsid w:val="00007895"/>
    <w:rsid w:val="00011632"/>
    <w:rsid w:val="0001698D"/>
    <w:rsid w:val="000172A3"/>
    <w:rsid w:val="00021945"/>
    <w:rsid w:val="00021BBC"/>
    <w:rsid w:val="000228B2"/>
    <w:rsid w:val="00030174"/>
    <w:rsid w:val="0003366F"/>
    <w:rsid w:val="00040262"/>
    <w:rsid w:val="00040A58"/>
    <w:rsid w:val="0004579C"/>
    <w:rsid w:val="000641D7"/>
    <w:rsid w:val="0008463E"/>
    <w:rsid w:val="000850AF"/>
    <w:rsid w:val="00086E0C"/>
    <w:rsid w:val="00092FB8"/>
    <w:rsid w:val="00092FFA"/>
    <w:rsid w:val="000A1030"/>
    <w:rsid w:val="000A47FA"/>
    <w:rsid w:val="000A65D3"/>
    <w:rsid w:val="000B1E33"/>
    <w:rsid w:val="000B53D0"/>
    <w:rsid w:val="000C48C9"/>
    <w:rsid w:val="000C510C"/>
    <w:rsid w:val="000C53F7"/>
    <w:rsid w:val="000D689F"/>
    <w:rsid w:val="000E0811"/>
    <w:rsid w:val="000E26ED"/>
    <w:rsid w:val="000E7138"/>
    <w:rsid w:val="000E7B7B"/>
    <w:rsid w:val="000E7D62"/>
    <w:rsid w:val="000F363C"/>
    <w:rsid w:val="000F419E"/>
    <w:rsid w:val="000F64A6"/>
    <w:rsid w:val="000F6BD9"/>
    <w:rsid w:val="00103357"/>
    <w:rsid w:val="00103862"/>
    <w:rsid w:val="00103B53"/>
    <w:rsid w:val="0010453F"/>
    <w:rsid w:val="00123C9F"/>
    <w:rsid w:val="00126190"/>
    <w:rsid w:val="00130F17"/>
    <w:rsid w:val="001320BF"/>
    <w:rsid w:val="00163BC4"/>
    <w:rsid w:val="00171658"/>
    <w:rsid w:val="00171E3A"/>
    <w:rsid w:val="0017504F"/>
    <w:rsid w:val="001751F4"/>
    <w:rsid w:val="00183EE3"/>
    <w:rsid w:val="00191062"/>
    <w:rsid w:val="00192B72"/>
    <w:rsid w:val="00192C02"/>
    <w:rsid w:val="001A1537"/>
    <w:rsid w:val="001A29D8"/>
    <w:rsid w:val="001A5CAA"/>
    <w:rsid w:val="001B0427"/>
    <w:rsid w:val="001B2A82"/>
    <w:rsid w:val="001B462E"/>
    <w:rsid w:val="001C1CF6"/>
    <w:rsid w:val="001C49E1"/>
    <w:rsid w:val="001C70F4"/>
    <w:rsid w:val="001D1FA5"/>
    <w:rsid w:val="001D3A51"/>
    <w:rsid w:val="001D48CA"/>
    <w:rsid w:val="001E0778"/>
    <w:rsid w:val="001E10D2"/>
    <w:rsid w:val="001E25B4"/>
    <w:rsid w:val="001E3517"/>
    <w:rsid w:val="001E44FE"/>
    <w:rsid w:val="001F5DE3"/>
    <w:rsid w:val="00200595"/>
    <w:rsid w:val="002007C6"/>
    <w:rsid w:val="00202905"/>
    <w:rsid w:val="00204835"/>
    <w:rsid w:val="00204C4A"/>
    <w:rsid w:val="002164B9"/>
    <w:rsid w:val="0022036D"/>
    <w:rsid w:val="0022554F"/>
    <w:rsid w:val="00230E1A"/>
    <w:rsid w:val="00231920"/>
    <w:rsid w:val="0023195C"/>
    <w:rsid w:val="00233230"/>
    <w:rsid w:val="00235D89"/>
    <w:rsid w:val="00235D8C"/>
    <w:rsid w:val="00240E9E"/>
    <w:rsid w:val="0024197F"/>
    <w:rsid w:val="0024282C"/>
    <w:rsid w:val="002460DC"/>
    <w:rsid w:val="00250985"/>
    <w:rsid w:val="00253D62"/>
    <w:rsid w:val="002556F6"/>
    <w:rsid w:val="00262B92"/>
    <w:rsid w:val="002670ED"/>
    <w:rsid w:val="00271202"/>
    <w:rsid w:val="00282DC4"/>
    <w:rsid w:val="00283105"/>
    <w:rsid w:val="00284C4C"/>
    <w:rsid w:val="00287E68"/>
    <w:rsid w:val="0029563F"/>
    <w:rsid w:val="00296529"/>
    <w:rsid w:val="002A1033"/>
    <w:rsid w:val="002A4078"/>
    <w:rsid w:val="002A5535"/>
    <w:rsid w:val="002B27FB"/>
    <w:rsid w:val="002B685A"/>
    <w:rsid w:val="002C2357"/>
    <w:rsid w:val="002C4E4C"/>
    <w:rsid w:val="002C57D2"/>
    <w:rsid w:val="002D46F3"/>
    <w:rsid w:val="002E0D56"/>
    <w:rsid w:val="002E44E3"/>
    <w:rsid w:val="002E53F2"/>
    <w:rsid w:val="002E5B08"/>
    <w:rsid w:val="002F2EF2"/>
    <w:rsid w:val="002F64E3"/>
    <w:rsid w:val="00300767"/>
    <w:rsid w:val="003026A2"/>
    <w:rsid w:val="003071A4"/>
    <w:rsid w:val="003101A5"/>
    <w:rsid w:val="00315186"/>
    <w:rsid w:val="003308E3"/>
    <w:rsid w:val="00331462"/>
    <w:rsid w:val="00331E68"/>
    <w:rsid w:val="0033343E"/>
    <w:rsid w:val="00344803"/>
    <w:rsid w:val="00344B10"/>
    <w:rsid w:val="00347FBF"/>
    <w:rsid w:val="003503E1"/>
    <w:rsid w:val="003512C2"/>
    <w:rsid w:val="00352912"/>
    <w:rsid w:val="00356E77"/>
    <w:rsid w:val="00357687"/>
    <w:rsid w:val="0036557D"/>
    <w:rsid w:val="00365D42"/>
    <w:rsid w:val="00366743"/>
    <w:rsid w:val="00371FB6"/>
    <w:rsid w:val="003745CD"/>
    <w:rsid w:val="003763C1"/>
    <w:rsid w:val="00376BBE"/>
    <w:rsid w:val="00384677"/>
    <w:rsid w:val="0039224F"/>
    <w:rsid w:val="00394CFC"/>
    <w:rsid w:val="003959C7"/>
    <w:rsid w:val="003A43A4"/>
    <w:rsid w:val="003A463F"/>
    <w:rsid w:val="003A4A75"/>
    <w:rsid w:val="003A7E18"/>
    <w:rsid w:val="003B1AE2"/>
    <w:rsid w:val="003C3654"/>
    <w:rsid w:val="003C4C86"/>
    <w:rsid w:val="003C6258"/>
    <w:rsid w:val="003E2904"/>
    <w:rsid w:val="00401927"/>
    <w:rsid w:val="0041027F"/>
    <w:rsid w:val="00412064"/>
    <w:rsid w:val="00412475"/>
    <w:rsid w:val="00417724"/>
    <w:rsid w:val="004208F9"/>
    <w:rsid w:val="00421CC7"/>
    <w:rsid w:val="00423789"/>
    <w:rsid w:val="00426B42"/>
    <w:rsid w:val="00433641"/>
    <w:rsid w:val="00440F43"/>
    <w:rsid w:val="00441B6F"/>
    <w:rsid w:val="00446221"/>
    <w:rsid w:val="00450E62"/>
    <w:rsid w:val="00450EB1"/>
    <w:rsid w:val="00452509"/>
    <w:rsid w:val="004539DB"/>
    <w:rsid w:val="00463A8C"/>
    <w:rsid w:val="00470002"/>
    <w:rsid w:val="00471A80"/>
    <w:rsid w:val="00494B66"/>
    <w:rsid w:val="00494E49"/>
    <w:rsid w:val="004A0129"/>
    <w:rsid w:val="004A1A15"/>
    <w:rsid w:val="004A2262"/>
    <w:rsid w:val="004A2953"/>
    <w:rsid w:val="004B3EC9"/>
    <w:rsid w:val="004C01A7"/>
    <w:rsid w:val="004D27FD"/>
    <w:rsid w:val="004D2947"/>
    <w:rsid w:val="004D305E"/>
    <w:rsid w:val="004D4277"/>
    <w:rsid w:val="004D5A03"/>
    <w:rsid w:val="004E1E8C"/>
    <w:rsid w:val="004F02E5"/>
    <w:rsid w:val="004F241A"/>
    <w:rsid w:val="004F28BA"/>
    <w:rsid w:val="00502516"/>
    <w:rsid w:val="00505F06"/>
    <w:rsid w:val="00506828"/>
    <w:rsid w:val="00510840"/>
    <w:rsid w:val="00512049"/>
    <w:rsid w:val="00514701"/>
    <w:rsid w:val="00522351"/>
    <w:rsid w:val="005237B0"/>
    <w:rsid w:val="0053056E"/>
    <w:rsid w:val="00532E90"/>
    <w:rsid w:val="005369A1"/>
    <w:rsid w:val="0053774D"/>
    <w:rsid w:val="00543EA7"/>
    <w:rsid w:val="00550972"/>
    <w:rsid w:val="00554FDA"/>
    <w:rsid w:val="005555EE"/>
    <w:rsid w:val="00555D8C"/>
    <w:rsid w:val="005575E1"/>
    <w:rsid w:val="00560244"/>
    <w:rsid w:val="00571AB8"/>
    <w:rsid w:val="0057535D"/>
    <w:rsid w:val="00581549"/>
    <w:rsid w:val="00584C1B"/>
    <w:rsid w:val="00595B49"/>
    <w:rsid w:val="005A276B"/>
    <w:rsid w:val="005A7976"/>
    <w:rsid w:val="005B0B28"/>
    <w:rsid w:val="005B1B31"/>
    <w:rsid w:val="005B22D8"/>
    <w:rsid w:val="005B2F8B"/>
    <w:rsid w:val="005C55B2"/>
    <w:rsid w:val="005C784C"/>
    <w:rsid w:val="005D17F6"/>
    <w:rsid w:val="005D4651"/>
    <w:rsid w:val="005E4343"/>
    <w:rsid w:val="005E5539"/>
    <w:rsid w:val="005F15A6"/>
    <w:rsid w:val="005F2CE5"/>
    <w:rsid w:val="005F4F48"/>
    <w:rsid w:val="00602BF5"/>
    <w:rsid w:val="00603E09"/>
    <w:rsid w:val="0060578D"/>
    <w:rsid w:val="00610DB6"/>
    <w:rsid w:val="00614AA8"/>
    <w:rsid w:val="00617FDD"/>
    <w:rsid w:val="0062672E"/>
    <w:rsid w:val="00633614"/>
    <w:rsid w:val="00633F68"/>
    <w:rsid w:val="00636EB2"/>
    <w:rsid w:val="006375B8"/>
    <w:rsid w:val="00644DF2"/>
    <w:rsid w:val="006530C3"/>
    <w:rsid w:val="00655E2E"/>
    <w:rsid w:val="00657F3F"/>
    <w:rsid w:val="0066510A"/>
    <w:rsid w:val="00673F9F"/>
    <w:rsid w:val="00675734"/>
    <w:rsid w:val="00684AD5"/>
    <w:rsid w:val="00686190"/>
    <w:rsid w:val="00686547"/>
    <w:rsid w:val="00686953"/>
    <w:rsid w:val="00686CA1"/>
    <w:rsid w:val="00687DEA"/>
    <w:rsid w:val="00687E67"/>
    <w:rsid w:val="00692CFE"/>
    <w:rsid w:val="006967F7"/>
    <w:rsid w:val="006A250C"/>
    <w:rsid w:val="006A3873"/>
    <w:rsid w:val="006B21D3"/>
    <w:rsid w:val="006B36B2"/>
    <w:rsid w:val="006B51C5"/>
    <w:rsid w:val="006B57D0"/>
    <w:rsid w:val="006C06FF"/>
    <w:rsid w:val="006D30FF"/>
    <w:rsid w:val="006D64C5"/>
    <w:rsid w:val="006D6940"/>
    <w:rsid w:val="006D7AEE"/>
    <w:rsid w:val="006E4EFF"/>
    <w:rsid w:val="006F11EC"/>
    <w:rsid w:val="006F256A"/>
    <w:rsid w:val="0070082C"/>
    <w:rsid w:val="00705779"/>
    <w:rsid w:val="007225B9"/>
    <w:rsid w:val="00723EFD"/>
    <w:rsid w:val="00726798"/>
    <w:rsid w:val="00730C6D"/>
    <w:rsid w:val="007310CE"/>
    <w:rsid w:val="00733F52"/>
    <w:rsid w:val="007369E6"/>
    <w:rsid w:val="00746E59"/>
    <w:rsid w:val="0074722E"/>
    <w:rsid w:val="00754C9A"/>
    <w:rsid w:val="00755212"/>
    <w:rsid w:val="0075599A"/>
    <w:rsid w:val="00761D52"/>
    <w:rsid w:val="007633CD"/>
    <w:rsid w:val="00766DFD"/>
    <w:rsid w:val="00776B16"/>
    <w:rsid w:val="0077749E"/>
    <w:rsid w:val="00790ADA"/>
    <w:rsid w:val="00790B5C"/>
    <w:rsid w:val="007A1059"/>
    <w:rsid w:val="007A6922"/>
    <w:rsid w:val="007B21FC"/>
    <w:rsid w:val="007B535D"/>
    <w:rsid w:val="007C7527"/>
    <w:rsid w:val="007D11F2"/>
    <w:rsid w:val="007D19C3"/>
    <w:rsid w:val="007D2288"/>
    <w:rsid w:val="007D4F52"/>
    <w:rsid w:val="007E088F"/>
    <w:rsid w:val="007E6D8F"/>
    <w:rsid w:val="007F7B32"/>
    <w:rsid w:val="008034BA"/>
    <w:rsid w:val="00804BC2"/>
    <w:rsid w:val="00812951"/>
    <w:rsid w:val="0081431A"/>
    <w:rsid w:val="00816B59"/>
    <w:rsid w:val="00823869"/>
    <w:rsid w:val="0082555E"/>
    <w:rsid w:val="00831C31"/>
    <w:rsid w:val="0083216F"/>
    <w:rsid w:val="008341A3"/>
    <w:rsid w:val="00837924"/>
    <w:rsid w:val="00843B8B"/>
    <w:rsid w:val="00843C44"/>
    <w:rsid w:val="00851412"/>
    <w:rsid w:val="00854971"/>
    <w:rsid w:val="00856264"/>
    <w:rsid w:val="00860000"/>
    <w:rsid w:val="00863BD3"/>
    <w:rsid w:val="008641ED"/>
    <w:rsid w:val="00866D66"/>
    <w:rsid w:val="008671C6"/>
    <w:rsid w:val="00867871"/>
    <w:rsid w:val="00875803"/>
    <w:rsid w:val="00883D3C"/>
    <w:rsid w:val="00895E56"/>
    <w:rsid w:val="008A4AE2"/>
    <w:rsid w:val="008B3608"/>
    <w:rsid w:val="008B459E"/>
    <w:rsid w:val="008B6FC3"/>
    <w:rsid w:val="008C0828"/>
    <w:rsid w:val="008D5B8C"/>
    <w:rsid w:val="008E13AE"/>
    <w:rsid w:val="008E1506"/>
    <w:rsid w:val="008E710C"/>
    <w:rsid w:val="008F1D5B"/>
    <w:rsid w:val="008F69D6"/>
    <w:rsid w:val="00902823"/>
    <w:rsid w:val="00915CA6"/>
    <w:rsid w:val="0092524E"/>
    <w:rsid w:val="00927834"/>
    <w:rsid w:val="00936460"/>
    <w:rsid w:val="00945BCC"/>
    <w:rsid w:val="00946A32"/>
    <w:rsid w:val="00947130"/>
    <w:rsid w:val="009500A6"/>
    <w:rsid w:val="009574C1"/>
    <w:rsid w:val="00957C18"/>
    <w:rsid w:val="009611E7"/>
    <w:rsid w:val="009659BA"/>
    <w:rsid w:val="00971077"/>
    <w:rsid w:val="0097513F"/>
    <w:rsid w:val="009808BA"/>
    <w:rsid w:val="00983040"/>
    <w:rsid w:val="00986217"/>
    <w:rsid w:val="00986856"/>
    <w:rsid w:val="00986F07"/>
    <w:rsid w:val="009913B6"/>
    <w:rsid w:val="009A7A2B"/>
    <w:rsid w:val="009B3FB9"/>
    <w:rsid w:val="009C1614"/>
    <w:rsid w:val="009C2465"/>
    <w:rsid w:val="009C2DEB"/>
    <w:rsid w:val="009D35A0"/>
    <w:rsid w:val="009D4DFF"/>
    <w:rsid w:val="009D7EB7"/>
    <w:rsid w:val="009E048A"/>
    <w:rsid w:val="009E08E9"/>
    <w:rsid w:val="009E3DB9"/>
    <w:rsid w:val="009E6E35"/>
    <w:rsid w:val="009E78FD"/>
    <w:rsid w:val="009F0EDA"/>
    <w:rsid w:val="00A03034"/>
    <w:rsid w:val="00A03B96"/>
    <w:rsid w:val="00A051E5"/>
    <w:rsid w:val="00A0571C"/>
    <w:rsid w:val="00A05B19"/>
    <w:rsid w:val="00A10D07"/>
    <w:rsid w:val="00A1134E"/>
    <w:rsid w:val="00A23C64"/>
    <w:rsid w:val="00A24E7E"/>
    <w:rsid w:val="00A24F22"/>
    <w:rsid w:val="00A258C3"/>
    <w:rsid w:val="00A27DAA"/>
    <w:rsid w:val="00A30060"/>
    <w:rsid w:val="00A347C0"/>
    <w:rsid w:val="00A4029F"/>
    <w:rsid w:val="00A42916"/>
    <w:rsid w:val="00A445EF"/>
    <w:rsid w:val="00A4673A"/>
    <w:rsid w:val="00A4790D"/>
    <w:rsid w:val="00A51431"/>
    <w:rsid w:val="00A51F89"/>
    <w:rsid w:val="00A539AD"/>
    <w:rsid w:val="00A54C6E"/>
    <w:rsid w:val="00A55194"/>
    <w:rsid w:val="00A55EE2"/>
    <w:rsid w:val="00A571DA"/>
    <w:rsid w:val="00A62DA2"/>
    <w:rsid w:val="00A77721"/>
    <w:rsid w:val="00A7782B"/>
    <w:rsid w:val="00A802A4"/>
    <w:rsid w:val="00A86158"/>
    <w:rsid w:val="00A94063"/>
    <w:rsid w:val="00A95730"/>
    <w:rsid w:val="00AA4430"/>
    <w:rsid w:val="00AA6219"/>
    <w:rsid w:val="00AA74E0"/>
    <w:rsid w:val="00AA7DD1"/>
    <w:rsid w:val="00AB00E6"/>
    <w:rsid w:val="00AB3AFB"/>
    <w:rsid w:val="00AB65BC"/>
    <w:rsid w:val="00AB703F"/>
    <w:rsid w:val="00AC1620"/>
    <w:rsid w:val="00AC601D"/>
    <w:rsid w:val="00AC6BB8"/>
    <w:rsid w:val="00AD53E0"/>
    <w:rsid w:val="00AE008F"/>
    <w:rsid w:val="00AE017F"/>
    <w:rsid w:val="00AE1448"/>
    <w:rsid w:val="00AE19D7"/>
    <w:rsid w:val="00AE205F"/>
    <w:rsid w:val="00AE7FEC"/>
    <w:rsid w:val="00B01FCD"/>
    <w:rsid w:val="00B067C3"/>
    <w:rsid w:val="00B07EBE"/>
    <w:rsid w:val="00B1776C"/>
    <w:rsid w:val="00B2088E"/>
    <w:rsid w:val="00B229E5"/>
    <w:rsid w:val="00B2331E"/>
    <w:rsid w:val="00B35299"/>
    <w:rsid w:val="00B41930"/>
    <w:rsid w:val="00B4517E"/>
    <w:rsid w:val="00B47687"/>
    <w:rsid w:val="00B52583"/>
    <w:rsid w:val="00B52896"/>
    <w:rsid w:val="00B53881"/>
    <w:rsid w:val="00B62479"/>
    <w:rsid w:val="00B6322E"/>
    <w:rsid w:val="00B80966"/>
    <w:rsid w:val="00B86115"/>
    <w:rsid w:val="00B877FD"/>
    <w:rsid w:val="00B92E82"/>
    <w:rsid w:val="00B95236"/>
    <w:rsid w:val="00B956AF"/>
    <w:rsid w:val="00B96BD9"/>
    <w:rsid w:val="00B9777C"/>
    <w:rsid w:val="00BA1B01"/>
    <w:rsid w:val="00BA2641"/>
    <w:rsid w:val="00BA27E0"/>
    <w:rsid w:val="00BA396A"/>
    <w:rsid w:val="00BA6A68"/>
    <w:rsid w:val="00BB37AA"/>
    <w:rsid w:val="00BB53E9"/>
    <w:rsid w:val="00BC53A0"/>
    <w:rsid w:val="00BC63A6"/>
    <w:rsid w:val="00BC6931"/>
    <w:rsid w:val="00BC70E3"/>
    <w:rsid w:val="00BE62AD"/>
    <w:rsid w:val="00BF121F"/>
    <w:rsid w:val="00BF1F80"/>
    <w:rsid w:val="00BF5B74"/>
    <w:rsid w:val="00C04AB7"/>
    <w:rsid w:val="00C166EF"/>
    <w:rsid w:val="00C17EB0"/>
    <w:rsid w:val="00C27F5F"/>
    <w:rsid w:val="00C30A0F"/>
    <w:rsid w:val="00C37E61"/>
    <w:rsid w:val="00C45C18"/>
    <w:rsid w:val="00C521A3"/>
    <w:rsid w:val="00C709D2"/>
    <w:rsid w:val="00C70F1B"/>
    <w:rsid w:val="00C71A47"/>
    <w:rsid w:val="00C71BC0"/>
    <w:rsid w:val="00C7464C"/>
    <w:rsid w:val="00C77757"/>
    <w:rsid w:val="00C85588"/>
    <w:rsid w:val="00C85F03"/>
    <w:rsid w:val="00CB0394"/>
    <w:rsid w:val="00CB4199"/>
    <w:rsid w:val="00CB584D"/>
    <w:rsid w:val="00CB65DA"/>
    <w:rsid w:val="00CC2B0D"/>
    <w:rsid w:val="00CD6755"/>
    <w:rsid w:val="00CD6856"/>
    <w:rsid w:val="00CE0089"/>
    <w:rsid w:val="00CE356C"/>
    <w:rsid w:val="00CE3589"/>
    <w:rsid w:val="00CE3BED"/>
    <w:rsid w:val="00CE6144"/>
    <w:rsid w:val="00CE793C"/>
    <w:rsid w:val="00CF193C"/>
    <w:rsid w:val="00D05B95"/>
    <w:rsid w:val="00D0695E"/>
    <w:rsid w:val="00D077DD"/>
    <w:rsid w:val="00D07B05"/>
    <w:rsid w:val="00D10056"/>
    <w:rsid w:val="00D1148A"/>
    <w:rsid w:val="00D173F1"/>
    <w:rsid w:val="00D1765B"/>
    <w:rsid w:val="00D21CE6"/>
    <w:rsid w:val="00D223A2"/>
    <w:rsid w:val="00D25BED"/>
    <w:rsid w:val="00D315C2"/>
    <w:rsid w:val="00D3229C"/>
    <w:rsid w:val="00D43FCD"/>
    <w:rsid w:val="00D54DFA"/>
    <w:rsid w:val="00D56757"/>
    <w:rsid w:val="00D56B0C"/>
    <w:rsid w:val="00D66F9C"/>
    <w:rsid w:val="00D72707"/>
    <w:rsid w:val="00D74CB0"/>
    <w:rsid w:val="00D7585A"/>
    <w:rsid w:val="00D81FE0"/>
    <w:rsid w:val="00D8295D"/>
    <w:rsid w:val="00D90F61"/>
    <w:rsid w:val="00D943BB"/>
    <w:rsid w:val="00DA350C"/>
    <w:rsid w:val="00DA6E47"/>
    <w:rsid w:val="00DB1DA9"/>
    <w:rsid w:val="00DB22AD"/>
    <w:rsid w:val="00DB2999"/>
    <w:rsid w:val="00DC2A65"/>
    <w:rsid w:val="00DC5029"/>
    <w:rsid w:val="00DD1E95"/>
    <w:rsid w:val="00DD2474"/>
    <w:rsid w:val="00DE00A8"/>
    <w:rsid w:val="00DE15F0"/>
    <w:rsid w:val="00DE5663"/>
    <w:rsid w:val="00DE78AA"/>
    <w:rsid w:val="00DF0DF0"/>
    <w:rsid w:val="00E0142C"/>
    <w:rsid w:val="00E04573"/>
    <w:rsid w:val="00E053D0"/>
    <w:rsid w:val="00E0783E"/>
    <w:rsid w:val="00E07C43"/>
    <w:rsid w:val="00E15994"/>
    <w:rsid w:val="00E1630E"/>
    <w:rsid w:val="00E215A6"/>
    <w:rsid w:val="00E253E0"/>
    <w:rsid w:val="00E300EC"/>
    <w:rsid w:val="00E3114E"/>
    <w:rsid w:val="00E3197F"/>
    <w:rsid w:val="00E31A70"/>
    <w:rsid w:val="00E3208B"/>
    <w:rsid w:val="00E35350"/>
    <w:rsid w:val="00E35B02"/>
    <w:rsid w:val="00E4187D"/>
    <w:rsid w:val="00E51472"/>
    <w:rsid w:val="00E537B2"/>
    <w:rsid w:val="00E64291"/>
    <w:rsid w:val="00E66496"/>
    <w:rsid w:val="00E66B35"/>
    <w:rsid w:val="00E66E10"/>
    <w:rsid w:val="00E702D5"/>
    <w:rsid w:val="00E769F6"/>
    <w:rsid w:val="00E83CCF"/>
    <w:rsid w:val="00E8407C"/>
    <w:rsid w:val="00E84F3C"/>
    <w:rsid w:val="00E87B96"/>
    <w:rsid w:val="00EA012C"/>
    <w:rsid w:val="00EA0C0C"/>
    <w:rsid w:val="00EC1B25"/>
    <w:rsid w:val="00EC4D1A"/>
    <w:rsid w:val="00EC6A55"/>
    <w:rsid w:val="00ED0288"/>
    <w:rsid w:val="00ED2973"/>
    <w:rsid w:val="00ED5A8C"/>
    <w:rsid w:val="00EE52CB"/>
    <w:rsid w:val="00EF581D"/>
    <w:rsid w:val="00EF5EFB"/>
    <w:rsid w:val="00EF7FD8"/>
    <w:rsid w:val="00F06B66"/>
    <w:rsid w:val="00F06F59"/>
    <w:rsid w:val="00F10CDE"/>
    <w:rsid w:val="00F1113F"/>
    <w:rsid w:val="00F14E33"/>
    <w:rsid w:val="00F16880"/>
    <w:rsid w:val="00F176BA"/>
    <w:rsid w:val="00F17988"/>
    <w:rsid w:val="00F20867"/>
    <w:rsid w:val="00F3150A"/>
    <w:rsid w:val="00F3157F"/>
    <w:rsid w:val="00F378A2"/>
    <w:rsid w:val="00F4433B"/>
    <w:rsid w:val="00F469F0"/>
    <w:rsid w:val="00F52604"/>
    <w:rsid w:val="00F53190"/>
    <w:rsid w:val="00F53273"/>
    <w:rsid w:val="00F5786E"/>
    <w:rsid w:val="00F66E87"/>
    <w:rsid w:val="00F754F8"/>
    <w:rsid w:val="00F755E4"/>
    <w:rsid w:val="00F77B23"/>
    <w:rsid w:val="00F77D02"/>
    <w:rsid w:val="00F832DC"/>
    <w:rsid w:val="00F83E6A"/>
    <w:rsid w:val="00F90549"/>
    <w:rsid w:val="00FB0E71"/>
    <w:rsid w:val="00FB3A86"/>
    <w:rsid w:val="00FB78C2"/>
    <w:rsid w:val="00FC3B96"/>
    <w:rsid w:val="00FC7B34"/>
    <w:rsid w:val="00FD36C8"/>
    <w:rsid w:val="00FD62E5"/>
    <w:rsid w:val="00FD6C2A"/>
    <w:rsid w:val="00FD732D"/>
    <w:rsid w:val="00FE5D04"/>
    <w:rsid w:val="00FF15BA"/>
    <w:rsid w:val="00FF7521"/>
    <w:rsid w:val="00FF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360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610DB6"/>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APA">
    <w:name w:val="APA"/>
    <w:basedOn w:val="TableNormal"/>
    <w:uiPriority w:val="99"/>
    <w:rsid w:val="00610DB6"/>
    <w:rPr>
      <w:rFonts w:ascii="Arial" w:hAnsi="Arial"/>
    </w:rPr>
    <w:tblPr>
      <w:tblBorders>
        <w:top w:val="single" w:sz="4" w:space="0" w:color="auto"/>
        <w:bottom w:val="single" w:sz="4" w:space="0" w:color="auto"/>
      </w:tblBorders>
    </w:tblPr>
    <w:tblStylePr w:type="firstRow">
      <w:rPr>
        <w:rFonts w:ascii="Arial" w:hAnsi="Arial"/>
        <w:b/>
        <w:sz w:val="20"/>
      </w:rPr>
      <w:tblPr/>
      <w:tcPr>
        <w:tcBorders>
          <w:top w:val="single" w:sz="4" w:space="0" w:color="auto"/>
          <w:bottom w:val="single" w:sz="4" w:space="0" w:color="auto"/>
        </w:tcBorders>
      </w:tcPr>
    </w:tblStylePr>
  </w:style>
  <w:style w:type="table" w:customStyle="1" w:styleId="TableGrid10">
    <w:name w:val="TableGrid1"/>
    <w:qFormat/>
    <w:rsid w:val="00C04AB7"/>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2">
    <w:name w:val="TableGrid2"/>
    <w:qFormat/>
    <w:rsid w:val="00EC4D1A"/>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3">
    <w:name w:val="TableGrid3"/>
    <w:qFormat/>
    <w:rsid w:val="00B86115"/>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4">
    <w:name w:val="TableGrid4"/>
    <w:qFormat/>
    <w:rsid w:val="00B956AF"/>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5">
    <w:name w:val="TableGrid5"/>
    <w:qFormat/>
    <w:rsid w:val="0074722E"/>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6">
    <w:name w:val="TableGrid6"/>
    <w:qFormat/>
    <w:rsid w:val="00BC70E3"/>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7">
    <w:name w:val="TableGrid7"/>
    <w:qFormat/>
    <w:rsid w:val="00776B16"/>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8">
    <w:name w:val="TableGrid8"/>
    <w:qFormat/>
    <w:rsid w:val="00823869"/>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9">
    <w:name w:val="TableGrid9"/>
    <w:qFormat/>
    <w:rsid w:val="00522351"/>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100">
    <w:name w:val="TableGrid10"/>
    <w:qFormat/>
    <w:rsid w:val="00E35350"/>
    <w:rPr>
      <w:rFonts w:ascii="Calibri" w:eastAsia="DengXian" w:hAnsi="Calibri" w:cs="SimSun"/>
      <w:kern w:val="2"/>
      <w:sz w:val="24"/>
      <w:szCs w:val="24"/>
      <w:lang w:val="en-PH"/>
    </w:rPr>
    <w:tblPr>
      <w:tblCellMar>
        <w:top w:w="0" w:type="dxa"/>
        <w:left w:w="0" w:type="dxa"/>
        <w:bottom w:w="0" w:type="dxa"/>
        <w:right w:w="0" w:type="dxa"/>
      </w:tblCellMar>
    </w:tblPr>
  </w:style>
  <w:style w:type="table" w:customStyle="1" w:styleId="TableGrid11">
    <w:name w:val="TableGrid11"/>
    <w:qFormat/>
    <w:rsid w:val="00F16880"/>
    <w:rPr>
      <w:rFonts w:ascii="Calibri" w:eastAsia="DengXian" w:hAnsi="Calibri" w:cs="SimSun"/>
      <w:kern w:val="2"/>
      <w:sz w:val="24"/>
      <w:szCs w:val="24"/>
      <w:lang w:val="en-P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4793-73ED-4B1F-A74C-E87402DE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558</TotalTime>
  <Pages>16</Pages>
  <Words>6493</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388</cp:revision>
  <cp:lastPrinted>1999-07-06T11:00:00Z</cp:lastPrinted>
  <dcterms:created xsi:type="dcterms:W3CDTF">2014-10-25T14:34:00Z</dcterms:created>
  <dcterms:modified xsi:type="dcterms:W3CDTF">2026-04-13T10:37:00Z</dcterms:modified>
</cp:coreProperties>
</file>