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0701D3" w14:textId="379A9E0E" w:rsidR="00BB6EC6" w:rsidRPr="00844B8B" w:rsidRDefault="00BB6EC6" w:rsidP="00BB6EC6">
      <w:pPr>
        <w:rPr>
          <w:rFonts w:ascii="Arial" w:eastAsia="Book Antiqua" w:hAnsi="Arial" w:cs="Arial"/>
          <w:b/>
          <w:bCs/>
          <w:color w:val="0E2841"/>
          <w:sz w:val="36"/>
          <w:szCs w:val="36"/>
          <w:u w:val="single"/>
        </w:rPr>
      </w:pPr>
      <w:r w:rsidRPr="00844B8B">
        <w:rPr>
          <w:rFonts w:ascii="Arial" w:eastAsia="Book Antiqua" w:hAnsi="Arial" w:cs="Arial"/>
          <w:b/>
          <w:bCs/>
          <w:color w:val="0E2841"/>
          <w:sz w:val="36"/>
          <w:szCs w:val="36"/>
          <w:u w:val="single"/>
        </w:rPr>
        <w:t>Opinion Article</w:t>
      </w:r>
    </w:p>
    <w:p w14:paraId="00000002" w14:textId="38127B3C" w:rsidR="00AD4552" w:rsidRPr="00844B8B" w:rsidRDefault="00654C9F" w:rsidP="00654C9F">
      <w:pPr>
        <w:jc w:val="center"/>
        <w:rPr>
          <w:rFonts w:ascii="Arial" w:eastAsia="Book Antiqua" w:hAnsi="Arial" w:cs="Arial"/>
          <w:b/>
          <w:bCs/>
          <w:color w:val="0E2841"/>
          <w:sz w:val="36"/>
          <w:szCs w:val="36"/>
        </w:rPr>
      </w:pPr>
      <w:r w:rsidRPr="00844B8B">
        <w:rPr>
          <w:rFonts w:ascii="Arial" w:eastAsia="Book Antiqua" w:hAnsi="Arial" w:cs="Arial"/>
          <w:b/>
          <w:bCs/>
          <w:color w:val="0E2841"/>
          <w:sz w:val="36"/>
          <w:szCs w:val="36"/>
        </w:rPr>
        <w:t>Mathematics Education in the Fourth Industrial Revolution: Barriers and Opportunities</w:t>
      </w:r>
    </w:p>
    <w:p w14:paraId="07C92D10" w14:textId="77777777" w:rsidR="00654C9F" w:rsidRPr="00844B8B" w:rsidRDefault="00654C9F">
      <w:pPr>
        <w:rPr>
          <w:rFonts w:ascii="Arial" w:eastAsia="Book Antiqua" w:hAnsi="Arial" w:cs="Arial"/>
          <w:b/>
          <w:bCs/>
          <w:color w:val="0E2841"/>
          <w:sz w:val="36"/>
          <w:szCs w:val="36"/>
        </w:rPr>
      </w:pPr>
    </w:p>
    <w:p w14:paraId="63E76D82" w14:textId="77777777" w:rsidR="00654C9F" w:rsidRPr="00844B8B" w:rsidRDefault="00654C9F">
      <w:pPr>
        <w:rPr>
          <w:rFonts w:ascii="Arial" w:eastAsia="Book Antiqua" w:hAnsi="Arial" w:cs="Arial"/>
          <w:b/>
          <w:bCs/>
          <w:sz w:val="18"/>
          <w:szCs w:val="18"/>
        </w:rPr>
      </w:pPr>
    </w:p>
    <w:p w14:paraId="6E0E600B" w14:textId="607A0407" w:rsidR="00BB6EC6" w:rsidRPr="00844B8B" w:rsidRDefault="00BB6EC6">
      <w:pPr>
        <w:jc w:val="center"/>
        <w:rPr>
          <w:rFonts w:ascii="Arial" w:eastAsia="Book Antiqua" w:hAnsi="Arial" w:cs="Arial"/>
          <w:sz w:val="20"/>
          <w:szCs w:val="20"/>
        </w:rPr>
      </w:pPr>
    </w:p>
    <w:p w14:paraId="43F96698" w14:textId="77777777" w:rsidR="00B102B9" w:rsidRPr="00844B8B" w:rsidRDefault="00B102B9">
      <w:pPr>
        <w:jc w:val="center"/>
        <w:rPr>
          <w:rFonts w:ascii="Arial" w:eastAsia="Book Antiqua" w:hAnsi="Arial" w:cs="Arial"/>
          <w:sz w:val="20"/>
          <w:szCs w:val="20"/>
        </w:rPr>
      </w:pPr>
    </w:p>
    <w:p w14:paraId="00000008" w14:textId="77777777" w:rsidR="00AD4552" w:rsidRPr="00844B8B" w:rsidRDefault="00AD4552">
      <w:pPr>
        <w:ind w:right="720"/>
        <w:rPr>
          <w:rFonts w:ascii="Arial" w:eastAsia="Book Antiqua" w:hAnsi="Arial" w:cs="Arial"/>
          <w:b/>
          <w:bCs/>
          <w:sz w:val="18"/>
          <w:szCs w:val="18"/>
        </w:rPr>
      </w:pPr>
    </w:p>
    <w:p w14:paraId="00000009" w14:textId="77777777" w:rsidR="00AD4552" w:rsidRPr="00844B8B" w:rsidRDefault="00DD1D5F">
      <w:pPr>
        <w:ind w:left="720" w:right="720"/>
        <w:jc w:val="both"/>
        <w:rPr>
          <w:rFonts w:ascii="Arial" w:eastAsia="Book Antiqua" w:hAnsi="Arial" w:cs="Arial"/>
          <w:b/>
          <w:bCs/>
          <w:sz w:val="18"/>
          <w:szCs w:val="18"/>
        </w:rPr>
      </w:pPr>
      <w:r w:rsidRPr="00844B8B">
        <w:rPr>
          <w:rFonts w:ascii="Arial" w:eastAsia="Book Antiqua" w:hAnsi="Arial" w:cs="Arial"/>
          <w:b/>
          <w:bCs/>
          <w:sz w:val="18"/>
          <w:szCs w:val="18"/>
        </w:rPr>
        <w:t>Abstract</w:t>
      </w:r>
    </w:p>
    <w:p w14:paraId="3CC90204" w14:textId="6B4BF832" w:rsidR="00844B8B" w:rsidRPr="00844B8B" w:rsidRDefault="00844B8B" w:rsidP="00844B8B">
      <w:pPr>
        <w:ind w:left="720" w:right="720"/>
        <w:jc w:val="both"/>
        <w:rPr>
          <w:rFonts w:ascii="Arial" w:eastAsia="Book Antiqua" w:hAnsi="Arial" w:cs="Arial"/>
          <w:sz w:val="18"/>
          <w:szCs w:val="18"/>
        </w:rPr>
      </w:pPr>
      <w:r w:rsidRPr="00844B8B">
        <w:rPr>
          <w:rFonts w:ascii="Arial" w:hAnsi="Arial" w:cs="Arial"/>
          <w:sz w:val="18"/>
          <w:szCs w:val="18"/>
        </w:rPr>
        <w:t>This narrative review examines the integration of Fourth Industrial Revolution (4IR) learning systems such as artificial intelligence, adaptive learning technologies, and gamified platforms in mathematics education. The review synthesizes studies published selected based on their relevance to mathematics instruction, empirical focus, and inclusion in peer reviewed journals. Studies unrelated to educational applications or lacking methodological rigor were excluded. Findings indicate that these technologies can enhance students’ critical thinking, problem solving skills, and engagement, while supporting personalized learning through adaptive and data driven instructional approaches. However, several barriers to effective implementation are consistently identified, including inadequate technological infrastructure, limited internet access, insufficient teacher training, and unequal access to digital resources. Issues related to curriculum alignment are also evident, as existing instructional frameworks and standards do not always support the integration of advanced technologies. Guided by the Unified Theory of Acceptance and Use of Technology, the review identifies key factors influencing technology adoption, including performance expectancy, effort expectancy, social influence, and facilitating conditions. Although international studies provide substantial insights, there remains a lack of context specific research, particularly within the Philippine setting. This gap highlights the need for localized investigations to support the effective, equitable, and sustainable implementation of 4IR based innovations in mathematics education.</w:t>
      </w:r>
    </w:p>
    <w:p w14:paraId="73FECD7A" w14:textId="77777777" w:rsidR="00844B8B" w:rsidRPr="00844B8B" w:rsidRDefault="00844B8B">
      <w:pPr>
        <w:ind w:left="720" w:right="720"/>
        <w:jc w:val="both"/>
        <w:rPr>
          <w:rFonts w:ascii="Arial" w:eastAsia="Book Antiqua" w:hAnsi="Arial" w:cs="Arial"/>
          <w:sz w:val="18"/>
          <w:szCs w:val="18"/>
        </w:rPr>
      </w:pPr>
    </w:p>
    <w:p w14:paraId="0000000B" w14:textId="77777777" w:rsidR="00AD4552" w:rsidRPr="00844B8B" w:rsidRDefault="00AD4552">
      <w:pPr>
        <w:ind w:left="720" w:right="720"/>
        <w:jc w:val="both"/>
        <w:rPr>
          <w:rFonts w:ascii="Arial" w:hAnsi="Arial" w:cs="Arial"/>
        </w:rPr>
      </w:pPr>
    </w:p>
    <w:p w14:paraId="0000000C" w14:textId="74527AF5" w:rsidR="00AD4552" w:rsidRPr="00844B8B" w:rsidRDefault="00DD1D5F">
      <w:pPr>
        <w:ind w:left="720" w:right="720"/>
        <w:jc w:val="both"/>
        <w:rPr>
          <w:rFonts w:ascii="Arial" w:eastAsia="Book Antiqua" w:hAnsi="Arial" w:cs="Arial"/>
          <w:sz w:val="16"/>
          <w:szCs w:val="16"/>
        </w:rPr>
        <w:sectPr w:rsidR="00AD4552" w:rsidRPr="00844B8B">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08" w:footer="708" w:gutter="0"/>
          <w:pgNumType w:start="1"/>
          <w:cols w:space="720"/>
        </w:sectPr>
      </w:pPr>
      <w:r w:rsidRPr="00844B8B">
        <w:rPr>
          <w:rFonts w:ascii="Arial" w:eastAsia="Book Antiqua" w:hAnsi="Arial" w:cs="Arial"/>
          <w:b/>
          <w:bCs/>
          <w:i/>
          <w:iCs/>
          <w:sz w:val="16"/>
          <w:szCs w:val="16"/>
        </w:rPr>
        <w:t>Keywords</w:t>
      </w:r>
      <w:r w:rsidRPr="00844B8B">
        <w:rPr>
          <w:rFonts w:ascii="Arial" w:eastAsia="Book Antiqua" w:hAnsi="Arial" w:cs="Arial"/>
          <w:sz w:val="16"/>
          <w:szCs w:val="16"/>
        </w:rPr>
        <w:t xml:space="preserve">: </w:t>
      </w:r>
      <w:r w:rsidRPr="00844B8B">
        <w:rPr>
          <w:rFonts w:ascii="Arial" w:eastAsia="Book Antiqua" w:hAnsi="Arial" w:cs="Arial"/>
          <w:i/>
          <w:iCs/>
          <w:sz w:val="16"/>
          <w:szCs w:val="16"/>
        </w:rPr>
        <w:t>Fourth Industrial Revolution (</w:t>
      </w:r>
      <w:r w:rsidR="00844B8B">
        <w:rPr>
          <w:rFonts w:ascii="Arial" w:eastAsia="Book Antiqua" w:hAnsi="Arial" w:cs="Arial"/>
          <w:i/>
          <w:iCs/>
          <w:sz w:val="16"/>
          <w:szCs w:val="16"/>
        </w:rPr>
        <w:t>4IR</w:t>
      </w:r>
      <w:r w:rsidRPr="00844B8B">
        <w:rPr>
          <w:rFonts w:ascii="Arial" w:eastAsia="Book Antiqua" w:hAnsi="Arial" w:cs="Arial"/>
          <w:i/>
          <w:iCs/>
          <w:sz w:val="16"/>
          <w:szCs w:val="16"/>
        </w:rPr>
        <w:t>), mathematics education, innovative learning systems, artificial intelligence, UTAUT, teacher readiness, digital inequality</w:t>
      </w:r>
    </w:p>
    <w:p w14:paraId="0000000D" w14:textId="77777777" w:rsidR="00AD4552" w:rsidRPr="00844B8B" w:rsidRDefault="00AD4552">
      <w:pPr>
        <w:spacing w:after="160" w:line="278" w:lineRule="auto"/>
        <w:jc w:val="both"/>
        <w:rPr>
          <w:rFonts w:ascii="Arial" w:eastAsia="Book Antiqua" w:hAnsi="Arial" w:cs="Arial"/>
          <w:b/>
          <w:bCs/>
          <w:color w:val="0E2841"/>
        </w:rPr>
      </w:pPr>
    </w:p>
    <w:p w14:paraId="0000000E" w14:textId="46458E3A" w:rsidR="00AD4552" w:rsidRPr="00844B8B" w:rsidRDefault="00844B8B" w:rsidP="00844B8B">
      <w:pPr>
        <w:pStyle w:val="ListParagraph"/>
        <w:numPr>
          <w:ilvl w:val="0"/>
          <w:numId w:val="1"/>
        </w:numPr>
        <w:spacing w:line="278" w:lineRule="auto"/>
        <w:ind w:left="284" w:hanging="284"/>
        <w:jc w:val="both"/>
        <w:rPr>
          <w:rFonts w:ascii="Arial" w:eastAsia="Book Antiqua" w:hAnsi="Arial" w:cs="Arial"/>
          <w:b/>
          <w:bCs/>
          <w:color w:val="0E2841"/>
        </w:rPr>
      </w:pPr>
      <w:r w:rsidRPr="00844B8B">
        <w:rPr>
          <w:rFonts w:ascii="Arial" w:eastAsia="Book Antiqua" w:hAnsi="Arial" w:cs="Arial"/>
          <w:b/>
          <w:bCs/>
          <w:color w:val="000000" w:themeColor="text1"/>
        </w:rPr>
        <w:t>INTRODUCTION</w:t>
      </w:r>
    </w:p>
    <w:p w14:paraId="67B68E4F" w14:textId="77777777" w:rsidR="009749E0" w:rsidRDefault="009749E0" w:rsidP="009749E0">
      <w:pPr>
        <w:jc w:val="both"/>
        <w:rPr>
          <w:rFonts w:ascii="Arial" w:hAnsi="Arial" w:cs="Arial"/>
          <w:sz w:val="20"/>
          <w:szCs w:val="20"/>
        </w:rPr>
      </w:pPr>
      <w:r w:rsidRPr="009749E0">
        <w:rPr>
          <w:rFonts w:ascii="Arial" w:hAnsi="Arial" w:cs="Arial"/>
          <w:sz w:val="20"/>
          <w:szCs w:val="20"/>
        </w:rPr>
        <w:t>The Fourth Industrial Revolution (4IR) and the recent global pandemic have significantly influenced mathematics education, prompting increased reliance on technology supported teaching and learning approaches. These developments have emphasized the integration of emerging technologies, including artificial intelligence, to enhance instructional practices and student learning experiences. Education 4.0, which aligns with the principles of 4IR, promotes flexible and technology driven pedagogies that support problem solving, adaptability, and the effective use of digital tools in instruction (Ariza &amp; Hernández, 2026; Peláez-Sánchez et al., 2024). In the context of mathematics education, studies indicate that artificial intelligence and related technologies can facilitate personalized learning, provide real time feedback, and improve student engagement and achievement (</w:t>
      </w:r>
      <w:proofErr w:type="spellStart"/>
      <w:r w:rsidRPr="009749E0">
        <w:rPr>
          <w:rFonts w:ascii="Arial" w:hAnsi="Arial" w:cs="Arial"/>
          <w:sz w:val="20"/>
          <w:szCs w:val="20"/>
        </w:rPr>
        <w:t>Opesemowo</w:t>
      </w:r>
      <w:proofErr w:type="spellEnd"/>
      <w:r w:rsidRPr="009749E0">
        <w:rPr>
          <w:rFonts w:ascii="Arial" w:hAnsi="Arial" w:cs="Arial"/>
          <w:sz w:val="20"/>
          <w:szCs w:val="20"/>
        </w:rPr>
        <w:t xml:space="preserve"> &amp; </w:t>
      </w:r>
      <w:proofErr w:type="spellStart"/>
      <w:r w:rsidRPr="009749E0">
        <w:rPr>
          <w:rFonts w:ascii="Arial" w:hAnsi="Arial" w:cs="Arial"/>
          <w:sz w:val="20"/>
          <w:szCs w:val="20"/>
        </w:rPr>
        <w:t>Adewuyi</w:t>
      </w:r>
      <w:proofErr w:type="spellEnd"/>
      <w:r w:rsidRPr="009749E0">
        <w:rPr>
          <w:rFonts w:ascii="Arial" w:hAnsi="Arial" w:cs="Arial"/>
          <w:sz w:val="20"/>
          <w:szCs w:val="20"/>
        </w:rPr>
        <w:t>, 2024). These findings are further supported by research showing that digital learning environments contribute to improved learning outcomes and more adaptive instructional approaches (Ariza &amp; Hernández, 2026). While Elayyan (2021) highlights the impact of 4IR technologies on learning opportunities and instructional practices, these developments are more accurately understood as part of an ongoing shift toward technology enhanced education rather than a complete transformation of the educational system.</w:t>
      </w:r>
    </w:p>
    <w:p w14:paraId="47C34702" w14:textId="77777777" w:rsidR="009749E0" w:rsidRDefault="009749E0" w:rsidP="009749E0">
      <w:pPr>
        <w:jc w:val="both"/>
        <w:rPr>
          <w:rFonts w:ascii="Arial" w:hAnsi="Arial" w:cs="Arial"/>
          <w:sz w:val="20"/>
          <w:szCs w:val="20"/>
        </w:rPr>
      </w:pPr>
    </w:p>
    <w:p w14:paraId="5189CE0F" w14:textId="12D0DC91" w:rsidR="009749E0" w:rsidRPr="009749E0" w:rsidRDefault="009749E0" w:rsidP="009749E0">
      <w:pPr>
        <w:jc w:val="both"/>
        <w:rPr>
          <w:rFonts w:ascii="Arial" w:hAnsi="Arial" w:cs="Arial"/>
          <w:sz w:val="20"/>
          <w:szCs w:val="20"/>
        </w:rPr>
      </w:pPr>
      <w:r w:rsidRPr="009749E0">
        <w:rPr>
          <w:rFonts w:ascii="Arial" w:hAnsi="Arial" w:cs="Arial"/>
          <w:sz w:val="20"/>
          <w:szCs w:val="20"/>
        </w:rPr>
        <w:t>As nations prepare learners for increasingly complex and technology driven environments, mathematics education must evolve to foster higher order thinking, creativity, and adaptability essential for success in the 4IR economy (World Economic Forum, 2020). The Fourth Industrial Revolution has reshaped educational expectations, emphasizing the need for learners who are not only self-directed but also capable of addressing complex, real world problems across diverse contexts (</w:t>
      </w:r>
      <w:proofErr w:type="spellStart"/>
      <w:r w:rsidRPr="009749E0">
        <w:rPr>
          <w:rFonts w:ascii="Arial" w:hAnsi="Arial" w:cs="Arial"/>
          <w:sz w:val="20"/>
          <w:szCs w:val="20"/>
        </w:rPr>
        <w:t>Fomunyam</w:t>
      </w:r>
      <w:proofErr w:type="spellEnd"/>
      <w:r w:rsidRPr="009749E0">
        <w:rPr>
          <w:rFonts w:ascii="Arial" w:hAnsi="Arial" w:cs="Arial"/>
          <w:sz w:val="20"/>
          <w:szCs w:val="20"/>
        </w:rPr>
        <w:t>, 2020). However, this shift raises important questions about whether current educational systems are adequately equipped to support these demands.</w:t>
      </w:r>
    </w:p>
    <w:p w14:paraId="247B3A10" w14:textId="77777777" w:rsidR="009749E0" w:rsidRPr="009749E0" w:rsidRDefault="009749E0" w:rsidP="009749E0">
      <w:pPr>
        <w:jc w:val="both"/>
        <w:rPr>
          <w:rFonts w:ascii="Arial" w:hAnsi="Arial" w:cs="Arial"/>
          <w:sz w:val="20"/>
          <w:szCs w:val="20"/>
        </w:rPr>
      </w:pPr>
    </w:p>
    <w:p w14:paraId="6F810326" w14:textId="77777777" w:rsidR="00AB4C85" w:rsidRDefault="009749E0">
      <w:pPr>
        <w:jc w:val="both"/>
        <w:rPr>
          <w:rFonts w:ascii="Arial" w:hAnsi="Arial" w:cs="Arial"/>
          <w:sz w:val="20"/>
          <w:szCs w:val="20"/>
        </w:rPr>
      </w:pPr>
      <w:r w:rsidRPr="009749E0">
        <w:rPr>
          <w:rFonts w:ascii="Arial" w:hAnsi="Arial" w:cs="Arial"/>
          <w:sz w:val="20"/>
          <w:szCs w:val="20"/>
        </w:rPr>
        <w:lastRenderedPageBreak/>
        <w:t>Innovative learning systems, including AI driven platforms, adaptive technologies, gamified environments, learning analytics, and immersive tools such as virtual and augmented reality, are often presented as solutions to these challenges due to their capacity to support personalized and interactive learning. Nevertheless, their effectiveness remains uneven and context dependent. While these technologies can enhance engagement and instructional flexibility, their impact is constrained by structural and pedagogical limitations, including unequal access to digital resources, insufficient professional development, resistance to instructional change, and disparities in digital literacy among teachers and learners (Trust &amp; Whalen, 2020; UNESCO, 2021). These issues suggest that technological innovation alone is insufficient, and that meaningful integration requires alignment with curriculum, teacher capacity, and broader educational contexts.</w:t>
      </w:r>
    </w:p>
    <w:p w14:paraId="3B25D8C2" w14:textId="77777777" w:rsidR="00AB4C85" w:rsidRDefault="00AB4C85">
      <w:pPr>
        <w:jc w:val="both"/>
        <w:rPr>
          <w:rFonts w:ascii="Arial" w:hAnsi="Arial" w:cs="Arial"/>
          <w:sz w:val="20"/>
          <w:szCs w:val="20"/>
        </w:rPr>
      </w:pPr>
    </w:p>
    <w:p w14:paraId="00000016" w14:textId="4362AA23" w:rsidR="00AD4552" w:rsidRPr="00AB4C85" w:rsidRDefault="00AB4C85">
      <w:pPr>
        <w:jc w:val="both"/>
        <w:rPr>
          <w:rFonts w:ascii="Arial" w:hAnsi="Arial" w:cs="Arial"/>
          <w:sz w:val="20"/>
          <w:szCs w:val="20"/>
        </w:rPr>
      </w:pPr>
      <w:r w:rsidRPr="00AB4C85">
        <w:rPr>
          <w:rFonts w:ascii="Arial" w:hAnsi="Arial" w:cs="Arial"/>
          <w:sz w:val="20"/>
          <w:szCs w:val="20"/>
        </w:rPr>
        <w:t>In several regions, particularly in parts of Africa, the adoption of Fourth Industrial Revolution (4IR) innovations in mathematics education is shaped by varying contextual challenges. While some countries have made progress in integrating digital technologies, others continue to face structural constraints such as unstable electricity supply, limited access to digital devices, and inadequate internet connectivity. These challenges are further compounded by differences in teacher preparedness and access to sustained professional development, as well as curriculum frameworks that are not consistently aligned with 4IR competencies. In some contexts, gaps in policy coordination and limited financial resources also affect the implementation of technology supported education. Moreover, insufficient teacher familiarity with emerging technologies can hinder the effective delivery of 4IR oriented instruction (</w:t>
      </w:r>
      <w:proofErr w:type="spellStart"/>
      <w:r w:rsidRPr="00AB4C85">
        <w:rPr>
          <w:rFonts w:ascii="Arial" w:hAnsi="Arial" w:cs="Arial"/>
          <w:sz w:val="20"/>
          <w:szCs w:val="20"/>
        </w:rPr>
        <w:t>Ukobizaba</w:t>
      </w:r>
      <w:proofErr w:type="spellEnd"/>
      <w:r w:rsidRPr="00AB4C85">
        <w:rPr>
          <w:rFonts w:ascii="Arial" w:hAnsi="Arial" w:cs="Arial"/>
          <w:sz w:val="20"/>
          <w:szCs w:val="20"/>
        </w:rPr>
        <w:t xml:space="preserve"> et al., 2022).</w:t>
      </w:r>
    </w:p>
    <w:p w14:paraId="702508DF" w14:textId="77777777" w:rsidR="00AB4C85" w:rsidRPr="00844B8B" w:rsidRDefault="00AB4C85">
      <w:pPr>
        <w:jc w:val="both"/>
        <w:rPr>
          <w:rFonts w:ascii="Arial" w:eastAsia="Book Antiqua" w:hAnsi="Arial" w:cs="Arial"/>
          <w:color w:val="000000"/>
          <w:sz w:val="20"/>
          <w:szCs w:val="20"/>
        </w:rPr>
      </w:pPr>
    </w:p>
    <w:p w14:paraId="372C70B1" w14:textId="77777777" w:rsidR="00B93A1E" w:rsidRDefault="00DD1D5F" w:rsidP="00B93A1E">
      <w:pPr>
        <w:jc w:val="both"/>
        <w:rPr>
          <w:rFonts w:ascii="Arial" w:eastAsia="Book Antiqua" w:hAnsi="Arial" w:cs="Arial"/>
          <w:color w:val="000000"/>
          <w:sz w:val="20"/>
          <w:szCs w:val="20"/>
        </w:rPr>
      </w:pPr>
      <w:r w:rsidRPr="00844B8B">
        <w:rPr>
          <w:rFonts w:ascii="Arial" w:eastAsia="Book Antiqua" w:hAnsi="Arial" w:cs="Arial"/>
          <w:color w:val="000000"/>
          <w:sz w:val="20"/>
          <w:szCs w:val="20"/>
        </w:rPr>
        <w:t xml:space="preserve">In the Philippines, challenges are magnified by systemic limitations in infrastructure, </w:t>
      </w:r>
      <w:r w:rsidRPr="00844B8B">
        <w:rPr>
          <w:rFonts w:ascii="Arial" w:eastAsia="Book Antiqua" w:hAnsi="Arial" w:cs="Arial"/>
          <w:sz w:val="20"/>
          <w:szCs w:val="20"/>
        </w:rPr>
        <w:t>varying levels of digital skills among students and teachers, and the complexities of</w:t>
      </w:r>
      <w:r w:rsidRPr="00844B8B">
        <w:rPr>
          <w:rFonts w:ascii="Arial" w:eastAsia="Book Antiqua" w:hAnsi="Arial" w:cs="Arial"/>
          <w:color w:val="000000"/>
          <w:sz w:val="20"/>
          <w:szCs w:val="20"/>
        </w:rPr>
        <w:t xml:space="preserve"> curriculum adaptation and assessment. Insufficient teacher training and professional development often leave educators feeling unprepared or overwhelmed by emerging technologies, resulting in resistance or poor integration. Educators must not only be adept with technology or digitally capable but also carry the dual responsibility of facilitating both teaching and learning. To adapt to the demands of the Fourth Industrial Revolution, students need to cultivate innovative skills, commit to lifelong learning, and have access to digital resources (</w:t>
      </w:r>
      <w:proofErr w:type="spellStart"/>
      <w:r w:rsidRPr="00844B8B">
        <w:rPr>
          <w:rFonts w:ascii="Arial" w:eastAsia="Book Antiqua" w:hAnsi="Arial" w:cs="Arial"/>
          <w:color w:val="000000"/>
          <w:sz w:val="20"/>
          <w:szCs w:val="20"/>
        </w:rPr>
        <w:t>Ayanwale</w:t>
      </w:r>
      <w:proofErr w:type="spellEnd"/>
      <w:r w:rsidRPr="00844B8B">
        <w:rPr>
          <w:rFonts w:ascii="Arial" w:eastAsia="Book Antiqua" w:hAnsi="Arial" w:cs="Arial"/>
          <w:color w:val="000000"/>
          <w:sz w:val="20"/>
          <w:szCs w:val="20"/>
        </w:rPr>
        <w:t xml:space="preserve"> et al., 2022). Additionally, the cultural context, curriculum constraints, and limited funding for sustained technological upgrades and maintenance further complicate the landscape, echoing issues found in other developing contexts (</w:t>
      </w:r>
      <w:r w:rsidRPr="00844B8B">
        <w:rPr>
          <w:rFonts w:ascii="Arial" w:eastAsia="Book Antiqua" w:hAnsi="Arial" w:cs="Arial"/>
          <w:sz w:val="20"/>
          <w:szCs w:val="20"/>
        </w:rPr>
        <w:t>Animashaun et al., 2024</w:t>
      </w:r>
      <w:r w:rsidRPr="00844B8B">
        <w:rPr>
          <w:rFonts w:ascii="Arial" w:eastAsia="Book Antiqua" w:hAnsi="Arial" w:cs="Arial"/>
          <w:color w:val="000000"/>
          <w:sz w:val="20"/>
          <w:szCs w:val="20"/>
        </w:rPr>
        <w:t xml:space="preserve">). </w:t>
      </w:r>
    </w:p>
    <w:p w14:paraId="7FBE578F" w14:textId="77777777" w:rsidR="00B93A1E" w:rsidRDefault="00B93A1E" w:rsidP="00B93A1E">
      <w:pPr>
        <w:jc w:val="both"/>
        <w:rPr>
          <w:rFonts w:ascii="Arial" w:eastAsia="Book Antiqua" w:hAnsi="Arial" w:cs="Arial"/>
          <w:color w:val="000000"/>
          <w:sz w:val="20"/>
          <w:szCs w:val="20"/>
        </w:rPr>
      </w:pPr>
    </w:p>
    <w:p w14:paraId="519EFC5D" w14:textId="7BED0B29" w:rsidR="00B93A1E" w:rsidRPr="00B93A1E" w:rsidRDefault="00B93A1E" w:rsidP="00B93A1E">
      <w:pPr>
        <w:jc w:val="both"/>
        <w:rPr>
          <w:rFonts w:ascii="Arial" w:hAnsi="Arial" w:cs="Arial"/>
          <w:sz w:val="20"/>
          <w:szCs w:val="20"/>
        </w:rPr>
      </w:pPr>
      <w:r w:rsidRPr="00B93A1E">
        <w:rPr>
          <w:rFonts w:ascii="Arial" w:hAnsi="Arial" w:cs="Arial"/>
          <w:sz w:val="20"/>
          <w:szCs w:val="20"/>
        </w:rPr>
        <w:t>Existing literature on technology integration in education generally emphasizes broad system-level perspectives, often overlooking the contextual conditions that shape how innovations are implemented at institutional and classroom levels. Although digital transformation in education continues to expand globally, its effectiveness is strongly influenced by factors such as infrastructure readiness, teacher competence, and institutional capacity (UNESCO, 2023; Trust &amp; Whalen, 2020). This limitation is particularly significant in mathematics education, where effective integration of innovative learning systems requires both technological access and strong alignment with pedagogical strategies and subject-specific demands. Research further highlights that the adoption of Fourth Industrial Revolution (4IR) technologies in education depends on sustained professional development, institutional support, and alignment between curriculum goals and digital tools (Bond et al., 2018; OECD, 2021). However, these enabling conditions are not consistently available, resulting in uneven implementation and varied learning outcomes across educational settings. In addition, the role of artificial intelligence in education is increasingly recognized for its potential to support personalized learning and instructional improvement, although its effectiveness remains dependent on appropriate pedagogical design and teacher readiness (Holmes et al., 2019). In response to these gaps, this literature review examines the key challenges and context-responsive practices in implementing innovative learning systems in mathematics education. It further explores how educators and institutions adapt to digital transformation, what forms of support are most effective, and how these technologies influence teaching strategies and student learning outcomes. By synthesizing existing studies, this review contributes to a more nuanced understanding of technology integration under Fourth Industrial Revolution (4IR) conditions.</w:t>
      </w:r>
    </w:p>
    <w:p w14:paraId="1AF3A3BA" w14:textId="77777777" w:rsidR="00B93A1E" w:rsidRPr="00B93A1E" w:rsidRDefault="00B93A1E" w:rsidP="00B93A1E">
      <w:pPr>
        <w:jc w:val="both"/>
        <w:rPr>
          <w:rFonts w:ascii="Arial" w:eastAsia="Book Antiqua" w:hAnsi="Arial" w:cs="Arial"/>
          <w:color w:val="000000"/>
          <w:sz w:val="20"/>
          <w:szCs w:val="20"/>
        </w:rPr>
      </w:pPr>
    </w:p>
    <w:p w14:paraId="0000001B" w14:textId="16BFE1A8" w:rsidR="00AD4552" w:rsidRDefault="00DD1D5F">
      <w:pPr>
        <w:jc w:val="both"/>
        <w:rPr>
          <w:rFonts w:ascii="Arial" w:eastAsia="Book Antiqua" w:hAnsi="Arial" w:cs="Arial"/>
          <w:color w:val="000000"/>
          <w:sz w:val="20"/>
          <w:szCs w:val="20"/>
        </w:rPr>
      </w:pPr>
      <w:r w:rsidRPr="00844B8B">
        <w:rPr>
          <w:rFonts w:ascii="Arial" w:eastAsia="Book Antiqua" w:hAnsi="Arial" w:cs="Arial"/>
          <w:color w:val="000000"/>
          <w:sz w:val="20"/>
          <w:szCs w:val="20"/>
        </w:rPr>
        <w:t>Consequently, this study aimed to synthesize current knowledge on innovative learning systems in 4IR mathematics education, addressing key challenges and best practices across international, national, and local contexts, including the Philippines, to inform future policy and practice (</w:t>
      </w:r>
      <w:proofErr w:type="spellStart"/>
      <w:r w:rsidRPr="00844B8B">
        <w:rPr>
          <w:rFonts w:ascii="Arial" w:eastAsia="Book Antiqua" w:hAnsi="Arial" w:cs="Arial"/>
          <w:color w:val="000000"/>
          <w:sz w:val="20"/>
          <w:szCs w:val="20"/>
        </w:rPr>
        <w:t>Ukobizaba</w:t>
      </w:r>
      <w:proofErr w:type="spellEnd"/>
      <w:r w:rsidRPr="00844B8B">
        <w:rPr>
          <w:rFonts w:ascii="Arial" w:eastAsia="Book Antiqua" w:hAnsi="Arial" w:cs="Arial"/>
          <w:color w:val="000000"/>
          <w:sz w:val="20"/>
          <w:szCs w:val="20"/>
        </w:rPr>
        <w:t xml:space="preserve"> et al., 2022). The central question guiding this study is: </w:t>
      </w:r>
      <w:r w:rsidRPr="00B93A1E">
        <w:rPr>
          <w:rFonts w:ascii="Arial" w:eastAsia="Book Antiqua" w:hAnsi="Arial" w:cs="Arial"/>
          <w:color w:val="000000"/>
          <w:sz w:val="20"/>
          <w:szCs w:val="20"/>
        </w:rPr>
        <w:t>"</w:t>
      </w:r>
      <w:r w:rsidR="00B93A1E" w:rsidRPr="00B93A1E">
        <w:rPr>
          <w:rFonts w:ascii="Arial" w:hAnsi="Arial" w:cs="Arial"/>
          <w:sz w:val="20"/>
          <w:szCs w:val="20"/>
        </w:rPr>
        <w:t>What instructional and institutional challenges are reported in the literature on implementing innovative learning systems in 4IR mathematics education, and what strategies are most effective in addressing them</w:t>
      </w:r>
      <w:r w:rsidRPr="00B93A1E">
        <w:rPr>
          <w:rFonts w:ascii="Arial" w:eastAsia="Book Antiqua" w:hAnsi="Arial" w:cs="Arial"/>
          <w:color w:val="000000"/>
          <w:sz w:val="20"/>
          <w:szCs w:val="20"/>
        </w:rPr>
        <w:t>?</w:t>
      </w:r>
    </w:p>
    <w:p w14:paraId="7C90EE44" w14:textId="77777777" w:rsidR="00B93A1E" w:rsidRPr="00844B8B" w:rsidRDefault="00B93A1E">
      <w:pPr>
        <w:jc w:val="both"/>
        <w:rPr>
          <w:rFonts w:ascii="Arial" w:eastAsia="Book Antiqua" w:hAnsi="Arial" w:cs="Arial"/>
          <w:color w:val="000000"/>
          <w:sz w:val="20"/>
          <w:szCs w:val="20"/>
        </w:rPr>
      </w:pPr>
    </w:p>
    <w:p w14:paraId="0000001C" w14:textId="77777777" w:rsidR="00AD4552" w:rsidRPr="00844B8B" w:rsidRDefault="00AD4552">
      <w:pPr>
        <w:jc w:val="both"/>
        <w:rPr>
          <w:rFonts w:ascii="Arial" w:eastAsia="Book Antiqua" w:hAnsi="Arial" w:cs="Arial"/>
          <w:b/>
          <w:bCs/>
          <w:color w:val="0E2841"/>
        </w:rPr>
      </w:pPr>
    </w:p>
    <w:p w14:paraId="0DB1FBE6" w14:textId="77777777" w:rsidR="00CF0FA4" w:rsidRDefault="00DD1D5F" w:rsidP="00CF0FA4">
      <w:pPr>
        <w:jc w:val="both"/>
        <w:rPr>
          <w:rFonts w:ascii="Arial" w:eastAsia="Book Antiqua" w:hAnsi="Arial" w:cs="Arial"/>
          <w:b/>
          <w:bCs/>
          <w:color w:val="000000"/>
          <w:sz w:val="20"/>
          <w:szCs w:val="20"/>
        </w:rPr>
      </w:pPr>
      <w:r w:rsidRPr="00844B8B">
        <w:rPr>
          <w:rFonts w:ascii="Arial" w:eastAsia="Book Antiqua" w:hAnsi="Arial" w:cs="Arial"/>
          <w:b/>
          <w:bCs/>
          <w:color w:val="000000"/>
          <w:sz w:val="20"/>
          <w:szCs w:val="20"/>
        </w:rPr>
        <w:lastRenderedPageBreak/>
        <w:t>1.1 Theoretical Framework</w:t>
      </w:r>
    </w:p>
    <w:p w14:paraId="0DC54C53" w14:textId="05811342" w:rsidR="00CF0FA4" w:rsidRPr="00CF0FA4" w:rsidRDefault="00CF0FA4" w:rsidP="00CF0FA4">
      <w:pPr>
        <w:jc w:val="both"/>
        <w:rPr>
          <w:rFonts w:ascii="Arial" w:hAnsi="Arial" w:cs="Arial"/>
          <w:sz w:val="20"/>
          <w:szCs w:val="20"/>
        </w:rPr>
      </w:pPr>
      <w:r w:rsidRPr="00CF0FA4">
        <w:rPr>
          <w:rFonts w:ascii="Arial" w:hAnsi="Arial" w:cs="Arial"/>
          <w:sz w:val="20"/>
          <w:szCs w:val="20"/>
        </w:rPr>
        <w:t>This study is anchored in the Unified Theory of Acceptance and Use of Technology (UTAUT) developed by Venkatesh et al. (2003), a widely validated framework for explaining individual technology acceptance and usage behavior. UTAUT posits that behavioral intention and actual technology use are shaped by four core determinants: performance expectancy, effort expectancy, social influence, and facilitating conditions. These constructs collectively explain how users form perceptions about technology and how such perceptions translate into actual adoption behavior, particularly in organizational and educational contexts (</w:t>
      </w:r>
      <w:r w:rsidR="009A1231">
        <w:rPr>
          <w:rFonts w:ascii="Arial" w:hAnsi="Arial" w:cs="Arial"/>
          <w:sz w:val="20"/>
          <w:szCs w:val="20"/>
        </w:rPr>
        <w:t>Momani, 2020</w:t>
      </w:r>
      <w:r w:rsidRPr="00CF0FA4">
        <w:rPr>
          <w:rFonts w:ascii="Arial" w:hAnsi="Arial" w:cs="Arial"/>
          <w:sz w:val="20"/>
          <w:szCs w:val="20"/>
        </w:rPr>
        <w:t>). The selection of UTAUT for this study is grounded in its strong explanatory power and empirical robustness compared to earlier models such as the Technology Acceptance Model (TAM), Theory of Planned Behavior (TPB), and Diffusion of Innovations theory. Unlike TAM, which primarily focuses on perceived usefulness and ease of use, UTAUT integrates broader social and organizational dimensions, making it more suitable for examining technology integration in complex educational environments where institutional support, peer influence, and infrastructure play critical roles. This comprehensive nature makes UTAUT particularly appropriate for analyzing the multifaceted process of integrating innovative learning systems in mathematics education under Fourth Industrial Revolution (4IR) conditions.</w:t>
      </w:r>
    </w:p>
    <w:p w14:paraId="5C5D8B12" w14:textId="77777777" w:rsidR="00CF0FA4" w:rsidRPr="00CF0FA4" w:rsidRDefault="00CF0FA4" w:rsidP="00CF0FA4">
      <w:pPr>
        <w:jc w:val="both"/>
        <w:rPr>
          <w:rFonts w:ascii="Arial" w:hAnsi="Arial" w:cs="Arial"/>
          <w:sz w:val="20"/>
          <w:szCs w:val="20"/>
        </w:rPr>
      </w:pPr>
    </w:p>
    <w:p w14:paraId="05E3135E" w14:textId="650DC578" w:rsidR="00CF0FA4" w:rsidRPr="00CF0FA4" w:rsidRDefault="00CF0FA4" w:rsidP="00CF0FA4">
      <w:pPr>
        <w:jc w:val="both"/>
        <w:rPr>
          <w:rFonts w:ascii="Arial" w:hAnsi="Arial" w:cs="Arial"/>
          <w:sz w:val="20"/>
          <w:szCs w:val="20"/>
        </w:rPr>
      </w:pPr>
      <w:r w:rsidRPr="00CF0FA4">
        <w:rPr>
          <w:rFonts w:ascii="Arial" w:hAnsi="Arial" w:cs="Arial"/>
          <w:sz w:val="20"/>
          <w:szCs w:val="20"/>
        </w:rPr>
        <w:t>In this study, UTAUT provides a structured lens for examining how teachers and learners adopt and implement innovative learning technologies such as adaptive learning systems, artificial intelligence tools, gamified platforms, and immersive technologies including virtual and augmented reality in mathematics instruction. Adoption is influenced when educators perceive that these tools enhance instructional effectiveness (performance expectancy), are user-friendly (effort expectancy), are supported by peers and institutional leadership (social influence), and are reinforced by adequate infrastructure, training, and technical support (facilitating conditions). Using UTAUT, this research seeks to identify the key determinants that shape successful integration of innovative learning systems in mathematics education. Understanding these factors is essential for designing targeted interventions that promote effective technology adoption, improve instructional practices, and enhance learner outcomes in response to the evolving demands of the 4IR educational landscape.</w:t>
      </w:r>
    </w:p>
    <w:p w14:paraId="00000021" w14:textId="77777777" w:rsidR="00AD4552" w:rsidRPr="00844B8B" w:rsidRDefault="00AD4552">
      <w:pPr>
        <w:jc w:val="both"/>
        <w:rPr>
          <w:rFonts w:ascii="Arial" w:eastAsia="Book Antiqua" w:hAnsi="Arial" w:cs="Arial"/>
          <w:color w:val="000000"/>
          <w:sz w:val="20"/>
          <w:szCs w:val="20"/>
        </w:rPr>
      </w:pPr>
    </w:p>
    <w:p w14:paraId="345C3BA4" w14:textId="77777777" w:rsidR="00CF0FA4" w:rsidRDefault="00DD1D5F" w:rsidP="00CF0FA4">
      <w:pPr>
        <w:jc w:val="both"/>
        <w:rPr>
          <w:rFonts w:ascii="Arial" w:eastAsia="Book Antiqua" w:hAnsi="Arial" w:cs="Arial"/>
          <w:b/>
          <w:bCs/>
          <w:sz w:val="20"/>
          <w:szCs w:val="20"/>
        </w:rPr>
      </w:pPr>
      <w:r w:rsidRPr="00844B8B">
        <w:rPr>
          <w:rFonts w:ascii="Arial" w:eastAsia="Book Antiqua" w:hAnsi="Arial" w:cs="Arial"/>
          <w:b/>
          <w:bCs/>
          <w:sz w:val="20"/>
          <w:szCs w:val="20"/>
        </w:rPr>
        <w:t>1.2 The Fourth Industrial Revolution (</w:t>
      </w:r>
      <w:r w:rsidR="009749E0">
        <w:rPr>
          <w:rFonts w:ascii="Arial" w:eastAsia="Book Antiqua" w:hAnsi="Arial" w:cs="Arial"/>
          <w:b/>
          <w:bCs/>
          <w:sz w:val="20"/>
          <w:szCs w:val="20"/>
        </w:rPr>
        <w:t>4IR</w:t>
      </w:r>
      <w:r w:rsidRPr="00844B8B">
        <w:rPr>
          <w:rFonts w:ascii="Arial" w:eastAsia="Book Antiqua" w:hAnsi="Arial" w:cs="Arial"/>
          <w:b/>
          <w:bCs/>
          <w:sz w:val="20"/>
          <w:szCs w:val="20"/>
        </w:rPr>
        <w:t>)</w:t>
      </w:r>
    </w:p>
    <w:p w14:paraId="18934ABD" w14:textId="77777777" w:rsidR="00CE04D0" w:rsidRDefault="00CF0FA4" w:rsidP="00CE04D0">
      <w:pPr>
        <w:jc w:val="both"/>
        <w:rPr>
          <w:rFonts w:ascii="Arial" w:hAnsi="Arial" w:cs="Arial"/>
          <w:sz w:val="20"/>
          <w:szCs w:val="20"/>
        </w:rPr>
      </w:pPr>
      <w:r w:rsidRPr="00CF0FA4">
        <w:rPr>
          <w:rFonts w:ascii="Arial" w:hAnsi="Arial" w:cs="Arial"/>
          <w:sz w:val="20"/>
          <w:szCs w:val="20"/>
        </w:rPr>
        <w:t>The Fourth Industrial Revolution (4IR) represents a major shift in how digital, physical, and biological systems interact, reshaping key sectors such as education, healthcare, and industry through emerging technologies like artificial intelligence, robotics, and data-driven systems. In education, this transformation is not merely technological but also pedagogical, as it requires rethinking how knowledge is delivered, accessed, and applied in increasingly interconnected environments. Rather than viewing earlier industrial revolutions as strictly linear shifts in education, contemporary scholarship suggests that educational change has been gradual and uneven, influenced by broader social, economic, and technological developments over time. For example, mass schooling expanded alongside industrialization in the 19th and 20th centuries, largely to meet labor and administrative needs, while later developments in digital technology gradually introduced more flexible and individualized forms of learning. However, these transitions are better understood as evolving educational responses rather than fixed stages with uniform global patterns. In the context of 4IR, the increasing convergence of disciplines and technologies has made curriculum design more complex, requiring learners to engage in interdisciplinary thinking and adaptive skills. This shift highlights the need for educational approaches that support continuous learning, including the capacity to learn, unlearn, and relearn in response to rapidly changing knowledge systems (Bucciarelli &amp; Drew, 2015). As such, education systems are increasingly challenged to prepare learners not only with content knowledge but also with the cognitive flexibility needed for lifelong learning in dynamic environments.</w:t>
      </w:r>
    </w:p>
    <w:p w14:paraId="50CAE560" w14:textId="77777777" w:rsidR="00CE04D0" w:rsidRDefault="00CE04D0" w:rsidP="00CE04D0">
      <w:pPr>
        <w:jc w:val="both"/>
        <w:rPr>
          <w:rFonts w:ascii="Arial" w:hAnsi="Arial" w:cs="Arial"/>
          <w:sz w:val="20"/>
          <w:szCs w:val="20"/>
        </w:rPr>
      </w:pPr>
    </w:p>
    <w:p w14:paraId="5BF04218" w14:textId="77777777" w:rsidR="00CE04D0" w:rsidRDefault="00CE04D0" w:rsidP="00CE04D0">
      <w:pPr>
        <w:jc w:val="both"/>
        <w:rPr>
          <w:rFonts w:ascii="Arial" w:hAnsi="Arial" w:cs="Arial"/>
          <w:sz w:val="20"/>
          <w:szCs w:val="20"/>
        </w:rPr>
      </w:pPr>
      <w:r w:rsidRPr="00CE04D0">
        <w:rPr>
          <w:rFonts w:ascii="Arial" w:hAnsi="Arial" w:cs="Arial"/>
          <w:sz w:val="20"/>
          <w:szCs w:val="20"/>
        </w:rPr>
        <w:t xml:space="preserve">Disruptive innovations associated with the Fourth Industrial Revolution (4IR) are reshaping education by transforming how teaching, learning, and assessment are designed and implemented through artificial intelligence (AI), adaptive systems, and data-driven technologies. In mathematics education, AI applications such as intelligent tutoring systems, adaptive learning platforms, and automated feedback mechanisms are increasingly recognized for their capacity to support personalized instruction and improve learner engagement. Systematic reviews and bibliometric analyses confirm that AI has become an important area of research in mathematics education, particularly in enhancing instructional efficiency and supporting individualized learning pathways (Hwang &amp; Tu, 2021; Yi et al., 2024). However, the literature also emphasizes that the effectiveness of AI in education is highly dependent on pedagogical design, teacher involvement, and appropriate integration into learning environments. Large-scale reviews indicate that while AI can enhance learning support and assessment, its impact varies significantly depending on how it is implemented within instructional contexts (Chen et al., 2020; Wang et al., 2024). Similarly, research highlights that AI systems must be carefully aligned with educational objectives to avoid over-automation of learning processes that may limit critical thinking and conceptual development in mathematics (Holmes et al., 2019). Furthermore, studies underscore that AI-driven educational systems raise concerns </w:t>
      </w:r>
      <w:r w:rsidRPr="00CE04D0">
        <w:rPr>
          <w:rFonts w:ascii="Arial" w:hAnsi="Arial" w:cs="Arial"/>
          <w:sz w:val="20"/>
          <w:szCs w:val="20"/>
        </w:rPr>
        <w:lastRenderedPageBreak/>
        <w:t>regarding transparency, interpretability, and ethical use, particularly in data-informed decision-making processes that affect student learning trajectories (Williamson &amp; Eynon, 2020; Zawacki-Richter et al., 2019). These challenges highlight the need for educators to critically engage with AI tools rather than adopt them unreflectively, ensuring that technology supports rather than replaces mathematical reasoning and pedagogy.</w:t>
      </w:r>
    </w:p>
    <w:p w14:paraId="33B549F6" w14:textId="77777777" w:rsidR="00CE04D0" w:rsidRPr="00CE04D0" w:rsidRDefault="00CE04D0" w:rsidP="00CE04D0">
      <w:pPr>
        <w:jc w:val="both"/>
        <w:rPr>
          <w:rFonts w:ascii="Arial" w:hAnsi="Arial" w:cs="Arial"/>
          <w:sz w:val="20"/>
          <w:szCs w:val="20"/>
        </w:rPr>
      </w:pPr>
    </w:p>
    <w:p w14:paraId="659B64B9" w14:textId="77777777" w:rsidR="00CE04D0" w:rsidRPr="00CE04D0" w:rsidRDefault="00CE04D0" w:rsidP="00CE04D0">
      <w:pPr>
        <w:jc w:val="both"/>
        <w:rPr>
          <w:rFonts w:ascii="Arial" w:hAnsi="Arial" w:cs="Arial"/>
          <w:sz w:val="20"/>
          <w:szCs w:val="20"/>
        </w:rPr>
      </w:pPr>
      <w:r w:rsidRPr="00CE04D0">
        <w:rPr>
          <w:rFonts w:ascii="Arial" w:hAnsi="Arial" w:cs="Arial"/>
          <w:sz w:val="20"/>
          <w:szCs w:val="20"/>
        </w:rPr>
        <w:t xml:space="preserve">Furthermore, the Fourth Industrial Revolution (4IR) has accelerated the integration of digital technologies in mathematics education through tools such as intelligent tutoring systems, adaptive learning platforms, and data-driven instructional environments. These technologies are designed to support individualized learning by identifying student difficulties, providing adaptive tasks, and offering immediate feedback during mathematical problem-solving. Evidence from meta-analytic research shows that intelligent tutoring systems can significantly improve students’ mathematics achievement when appropriately integrated into instruction (Kulik &amp; Fletcher, 2015; Steenbergen-Hu &amp; Cooper, 2013). </w:t>
      </w:r>
    </w:p>
    <w:p w14:paraId="1C8D10DA" w14:textId="77777777" w:rsidR="00CE04D0" w:rsidRPr="00CE04D0" w:rsidRDefault="00CE04D0" w:rsidP="00CE04D0">
      <w:pPr>
        <w:jc w:val="both"/>
        <w:rPr>
          <w:rFonts w:ascii="Arial" w:hAnsi="Arial" w:cs="Arial"/>
          <w:sz w:val="20"/>
          <w:szCs w:val="20"/>
        </w:rPr>
      </w:pPr>
    </w:p>
    <w:p w14:paraId="13F368EE" w14:textId="77777777" w:rsidR="00CE04D0" w:rsidRDefault="00CE04D0" w:rsidP="00CE04D0">
      <w:pPr>
        <w:jc w:val="both"/>
        <w:rPr>
          <w:rFonts w:ascii="Arial" w:hAnsi="Arial" w:cs="Arial"/>
          <w:sz w:val="20"/>
          <w:szCs w:val="20"/>
        </w:rPr>
      </w:pPr>
      <w:r w:rsidRPr="00CE04D0">
        <w:rPr>
          <w:rFonts w:ascii="Arial" w:hAnsi="Arial" w:cs="Arial"/>
          <w:sz w:val="20"/>
          <w:szCs w:val="20"/>
        </w:rPr>
        <w:t>However, mathematics learning involves more than procedural fluency, as it also requires the development of conceptual understanding and cognitive skills such as spatial reasoning, which plays a significant role in predicting mathematical performance across different domains (Xu et al., 2025). In this regard, digital technologies alone cannot fully replace the role of guided instruction, as effective mathematics learning still depends on structured explanation, reasoning, and teacher-supported interaction. Research also shows that students’ experiences with digital technologies in mathematics are shaped by contextual factors, which influence how effectively these tools support learning processes (</w:t>
      </w:r>
      <w:proofErr w:type="spellStart"/>
      <w:r w:rsidRPr="00CE04D0">
        <w:rPr>
          <w:rFonts w:ascii="Arial" w:hAnsi="Arial" w:cs="Arial"/>
          <w:sz w:val="20"/>
          <w:szCs w:val="20"/>
        </w:rPr>
        <w:t>Gqoli</w:t>
      </w:r>
      <w:proofErr w:type="spellEnd"/>
      <w:r w:rsidRPr="00CE04D0">
        <w:rPr>
          <w:rFonts w:ascii="Arial" w:hAnsi="Arial" w:cs="Arial"/>
          <w:sz w:val="20"/>
          <w:szCs w:val="20"/>
        </w:rPr>
        <w:t>, 2024).</w:t>
      </w:r>
    </w:p>
    <w:p w14:paraId="20C86A9A" w14:textId="77777777" w:rsidR="00CE04D0" w:rsidRDefault="00CE04D0" w:rsidP="00CE04D0">
      <w:pPr>
        <w:jc w:val="both"/>
        <w:rPr>
          <w:rFonts w:ascii="Arial" w:hAnsi="Arial" w:cs="Arial"/>
          <w:sz w:val="20"/>
          <w:szCs w:val="20"/>
        </w:rPr>
      </w:pPr>
    </w:p>
    <w:p w14:paraId="49EF0B14" w14:textId="7C0D2EC6" w:rsidR="00CE04D0" w:rsidRPr="00CE04D0" w:rsidRDefault="00CE04D0" w:rsidP="00CE04D0">
      <w:pPr>
        <w:jc w:val="both"/>
        <w:rPr>
          <w:rFonts w:ascii="Arial" w:hAnsi="Arial" w:cs="Arial"/>
          <w:sz w:val="20"/>
          <w:szCs w:val="20"/>
        </w:rPr>
      </w:pPr>
      <w:r w:rsidRPr="00CE04D0">
        <w:rPr>
          <w:rFonts w:ascii="Arial" w:hAnsi="Arial" w:cs="Arial"/>
          <w:sz w:val="20"/>
          <w:szCs w:val="20"/>
        </w:rPr>
        <w:t>As such, while digital innovations offer meaningful opportunities to enhance mathematics education under 4IR conditions, their effectiveness depends on how they are implemented within instructional practice. This highlights the need to ensure that technology serves as a support for mathematical reasoning rather than a replacement for it, ensuring that learning remains cognitively rich and pedagogically grounded.</w:t>
      </w:r>
    </w:p>
    <w:p w14:paraId="00000026" w14:textId="77777777" w:rsidR="00AD4552" w:rsidRPr="00844B8B" w:rsidRDefault="00DD1D5F">
      <w:pPr>
        <w:spacing w:before="240"/>
        <w:jc w:val="both"/>
        <w:rPr>
          <w:rFonts w:ascii="Arial" w:eastAsia="Book Antiqua" w:hAnsi="Arial" w:cs="Arial"/>
          <w:b/>
          <w:bCs/>
          <w:sz w:val="20"/>
          <w:szCs w:val="20"/>
        </w:rPr>
      </w:pPr>
      <w:r w:rsidRPr="00844B8B">
        <w:rPr>
          <w:rFonts w:ascii="Arial" w:eastAsia="Book Antiqua" w:hAnsi="Arial" w:cs="Arial"/>
          <w:b/>
          <w:bCs/>
          <w:sz w:val="20"/>
          <w:szCs w:val="20"/>
        </w:rPr>
        <w:t>1.3 The Fourth Industrial Revolution and Implications for Mathematics Education</w:t>
      </w:r>
    </w:p>
    <w:p w14:paraId="2C3498FA" w14:textId="77777777" w:rsidR="002722C9" w:rsidRDefault="00CF72AA" w:rsidP="00CF72AA">
      <w:pPr>
        <w:spacing w:after="240"/>
        <w:jc w:val="both"/>
        <w:rPr>
          <w:rFonts w:ascii="Arial" w:hAnsi="Arial" w:cs="Arial"/>
          <w:sz w:val="20"/>
          <w:szCs w:val="20"/>
        </w:rPr>
      </w:pPr>
      <w:r w:rsidRPr="00CF72AA">
        <w:rPr>
          <w:rFonts w:ascii="Arial" w:hAnsi="Arial" w:cs="Arial"/>
          <w:sz w:val="20"/>
          <w:szCs w:val="20"/>
        </w:rPr>
        <w:t>The Fourth Industrial Revolution (4IR) is widely recognized for reshaping education through the integration of technologies such as artificial intelligence, big data, cloud computing, and the Internet of Things (IoT), which collectively enable more flexible and technology-enhanced learning environments. While studies highlight benefits such as increased accessibility and the expansion of digital learning platforms, the literature also suggests that these outcomes are not automatic but depend on how effectively institutions translate technological capacity into pedagogical practice (Yadav, 2024; Reimers, 2019).</w:t>
      </w:r>
    </w:p>
    <w:p w14:paraId="0413CE3F" w14:textId="36B0803E" w:rsidR="00CF72AA" w:rsidRPr="00CF72AA" w:rsidRDefault="00CF72AA" w:rsidP="00CF72AA">
      <w:pPr>
        <w:spacing w:after="240"/>
        <w:jc w:val="both"/>
        <w:rPr>
          <w:rFonts w:ascii="Arial" w:hAnsi="Arial" w:cs="Arial"/>
          <w:sz w:val="20"/>
          <w:szCs w:val="20"/>
        </w:rPr>
      </w:pPr>
      <w:r w:rsidRPr="00CF72AA">
        <w:rPr>
          <w:rFonts w:ascii="Arial" w:hAnsi="Arial" w:cs="Arial"/>
          <w:sz w:val="20"/>
          <w:szCs w:val="20"/>
        </w:rPr>
        <w:t xml:space="preserve"> Although adaptive learning systems are often promoted for their ability to personalize instruction and provide real-time feedback, their effectiveness is closely tied to the quality of instructional design and the extent to which teachers can meaningfully integrate these systems into classroom practice. Without such alignment, personalization may remain superficial, focusing more on automated content delivery than on deeper conceptual understanding. This indicates that technological innovation alone is insufficient to ensure improved learning outcomes. </w:t>
      </w:r>
    </w:p>
    <w:p w14:paraId="6148E7AB" w14:textId="77777777" w:rsidR="00CF72AA" w:rsidRPr="00CF72AA" w:rsidRDefault="00CF72AA" w:rsidP="00CF72AA">
      <w:pPr>
        <w:spacing w:after="240"/>
        <w:jc w:val="both"/>
        <w:rPr>
          <w:rFonts w:ascii="Arial" w:hAnsi="Arial" w:cs="Arial"/>
          <w:sz w:val="20"/>
          <w:szCs w:val="20"/>
        </w:rPr>
      </w:pPr>
      <w:r w:rsidRPr="00CF72AA">
        <w:rPr>
          <w:rFonts w:ascii="Arial" w:hAnsi="Arial" w:cs="Arial"/>
          <w:sz w:val="20"/>
          <w:szCs w:val="20"/>
        </w:rPr>
        <w:t>Similarly, while 4IR technologies support expanded collaboration through virtual classrooms and online learning networks, the literature shows that such environments do not automatically guarantee meaningful interaction or engagement. Issues such as unequal participation, limited digital literacy, and reduced instructional presence can weaken the intended benefits of collaborative digital learning (Zamiri &amp; Esmaeili, 2024). Therefore, the effectiveness of 4IR in education should be understood as contingent on pedagogical, institutional, and contextual factors rather than purely technological advancement. In general, existing studies converge on the idea that 4IR-driven education is not simply a shift toward digitalization but a complex transformation that requires careful alignment between technology, pedagogy, and learner support systems to ensure meaningful educational improvement.</w:t>
      </w:r>
    </w:p>
    <w:p w14:paraId="41CC8718" w14:textId="464363A0" w:rsidR="002722C9" w:rsidRDefault="00CF72AA" w:rsidP="00CF72AA">
      <w:pPr>
        <w:spacing w:after="240"/>
        <w:jc w:val="both"/>
        <w:rPr>
          <w:rFonts w:ascii="Arial" w:hAnsi="Arial" w:cs="Arial"/>
          <w:sz w:val="20"/>
          <w:szCs w:val="20"/>
        </w:rPr>
      </w:pPr>
      <w:r w:rsidRPr="00CF72AA">
        <w:rPr>
          <w:rFonts w:ascii="Arial" w:hAnsi="Arial" w:cs="Arial"/>
          <w:sz w:val="20"/>
          <w:szCs w:val="20"/>
        </w:rPr>
        <w:t>Furthermore, although the Fourth Industrial Revolution (4IR) is often associated with improvements in critical thinking and problem-solving through data-driven decision-making and AI-supported learning environments, the literature suggests that these outcomes are not guaranteed and depend heavily on how such technologies are integrated into teaching and learning processes. While AI-powered analytics can support the development of computational and analytical skills, their impact on higher-order thinking is mediated by instructional design and the extent to which students are actively engaged in reasoning rather than passive use of automated outputs (</w:t>
      </w:r>
      <w:proofErr w:type="spellStart"/>
      <w:r w:rsidR="009A1231">
        <w:rPr>
          <w:rFonts w:ascii="Arial" w:hAnsi="Arial" w:cs="Arial"/>
          <w:sz w:val="20"/>
          <w:szCs w:val="20"/>
        </w:rPr>
        <w:t>Culduz</w:t>
      </w:r>
      <w:proofErr w:type="spellEnd"/>
      <w:r w:rsidR="009A1231">
        <w:rPr>
          <w:rFonts w:ascii="Arial" w:hAnsi="Arial" w:cs="Arial"/>
          <w:sz w:val="20"/>
          <w:szCs w:val="20"/>
        </w:rPr>
        <w:t>, 2024</w:t>
      </w:r>
      <w:r w:rsidRPr="00CF72AA">
        <w:rPr>
          <w:rFonts w:ascii="Arial" w:hAnsi="Arial" w:cs="Arial"/>
          <w:sz w:val="20"/>
          <w:szCs w:val="20"/>
        </w:rPr>
        <w:t xml:space="preserve">). </w:t>
      </w:r>
    </w:p>
    <w:p w14:paraId="40F2C382" w14:textId="31CDDE0E" w:rsidR="00CF72AA" w:rsidRPr="00CF72AA" w:rsidRDefault="00CF72AA" w:rsidP="00CF72AA">
      <w:pPr>
        <w:spacing w:after="240"/>
        <w:jc w:val="both"/>
        <w:rPr>
          <w:rFonts w:ascii="Arial" w:hAnsi="Arial" w:cs="Arial"/>
          <w:sz w:val="20"/>
          <w:szCs w:val="20"/>
        </w:rPr>
      </w:pPr>
      <w:r w:rsidRPr="00CF72AA">
        <w:rPr>
          <w:rFonts w:ascii="Arial" w:hAnsi="Arial" w:cs="Arial"/>
          <w:sz w:val="20"/>
          <w:szCs w:val="20"/>
        </w:rPr>
        <w:lastRenderedPageBreak/>
        <w:t>In similar vein, although automation of tasks such as grading and assessment is frequently cited as a benefit of 4IR technologies due to its potential to improve instructional efficiency, this shift also introduces challenges related to reduced teacher engagement in formative assessment processes and the risk of over-reliance on algorithmic evaluation systems. Such changes may unintentionally weaken the teacher’s role in providing nuanced feedback that supports deeper conceptual understanding (Yadav, 2024). This highlights that efficiency gains do not automatically translate into improved learning quality.</w:t>
      </w:r>
    </w:p>
    <w:p w14:paraId="18CFCC67" w14:textId="77777777" w:rsidR="00CF72AA" w:rsidRPr="00CF72AA" w:rsidRDefault="00CF72AA" w:rsidP="00CF72AA">
      <w:pPr>
        <w:spacing w:after="240"/>
        <w:jc w:val="both"/>
        <w:rPr>
          <w:rFonts w:ascii="Arial" w:hAnsi="Arial" w:cs="Arial"/>
          <w:sz w:val="20"/>
          <w:szCs w:val="20"/>
        </w:rPr>
      </w:pPr>
      <w:r w:rsidRPr="00CF72AA">
        <w:rPr>
          <w:rFonts w:ascii="Arial" w:hAnsi="Arial" w:cs="Arial"/>
          <w:sz w:val="20"/>
          <w:szCs w:val="20"/>
        </w:rPr>
        <w:t>In addition, while 4IR technologies support lifelong learning through online platforms and AI-driven learning tools, access and effectiveness remain uneven due to differences in digital literacy, motivation, and learner autonomy. These factors suggest that lifelong learning in a 4IR context is not solely a technological opportunity but also a pedagogical and socio-cognitive challenge that requires sustained support structures to ensure meaningful participation. The literature indicates that the advantages of 4IR in education are closely intertwined with significant implementation challenges, reinforcing the need to critically evaluate not only what these technologies enable but also how they reshape teaching roles, learning processes, and educational equity.</w:t>
      </w:r>
    </w:p>
    <w:p w14:paraId="40BC25FA" w14:textId="77777777" w:rsidR="002722C9" w:rsidRDefault="00CF72AA" w:rsidP="00CF72AA">
      <w:pPr>
        <w:spacing w:after="240"/>
        <w:jc w:val="both"/>
        <w:rPr>
          <w:rFonts w:ascii="Arial" w:hAnsi="Arial" w:cs="Arial"/>
          <w:sz w:val="20"/>
          <w:szCs w:val="20"/>
        </w:rPr>
      </w:pPr>
      <w:r w:rsidRPr="00CF72AA">
        <w:rPr>
          <w:rFonts w:ascii="Arial" w:hAnsi="Arial" w:cs="Arial"/>
          <w:sz w:val="20"/>
          <w:szCs w:val="20"/>
        </w:rPr>
        <w:t>Despite the potential advantages of Fourth Industrial Revolution (4IR) technologies in education, research consistently shows that their implementation is constrained by a set of interrelated and unevenly distributed challenges. One of the most critical is the persistent gap in digital literacy among both teachers and students, which limits meaningful engagement with AI-driven and data-intensive learning systems. This challenge is compounded by infrastructure inequalities, particularly unequal access to stable internet connectivity, devices, and technical support, which directly affects the feasibility of implementing digital learning environments (UNESCO, 2023; Yadav, 2024). B</w:t>
      </w:r>
    </w:p>
    <w:p w14:paraId="6642403D" w14:textId="3B7BC22E" w:rsidR="00CF72AA" w:rsidRPr="00CF72AA" w:rsidRDefault="002722C9" w:rsidP="00CF72AA">
      <w:pPr>
        <w:spacing w:after="240"/>
        <w:jc w:val="both"/>
        <w:rPr>
          <w:rFonts w:ascii="Arial" w:eastAsia="Book Antiqua" w:hAnsi="Arial" w:cs="Arial"/>
          <w:sz w:val="20"/>
          <w:szCs w:val="20"/>
        </w:rPr>
      </w:pPr>
      <w:r>
        <w:rPr>
          <w:rFonts w:ascii="Arial" w:hAnsi="Arial" w:cs="Arial"/>
          <w:sz w:val="20"/>
          <w:szCs w:val="20"/>
        </w:rPr>
        <w:t>B</w:t>
      </w:r>
      <w:r w:rsidR="00CF72AA" w:rsidRPr="00CF72AA">
        <w:rPr>
          <w:rFonts w:ascii="Arial" w:hAnsi="Arial" w:cs="Arial"/>
          <w:sz w:val="20"/>
          <w:szCs w:val="20"/>
        </w:rPr>
        <w:t>eyond access-related barriers, more complex challenges emerge in relation to the ethical and pedagogical use of artificial intelligence in education. Studies highlight concerns regarding transparency in algorithmic decision-making, potential bias in automated assessment systems, and the risk of reducing teacher agency in instructional processes when AI tools are over-relied upon (Williamson &amp; Eynon, 2020; Chen et al., 2020). These issues suggest that 4IR integration is not only a technological transition but also a pedagogical and governance challenge requiring critical oversight and contextual adaptation. The literature indicates that these challenges are hierarchical in nature, with foundational issues such as infrastructure and digital literacy shaping the extent to which more advanced concerns like AI ethics and instructional redesign can be addressed effectively. Without strategic policy intervention, sustained teacher training, and equitable resource distribution, the benefits of 4IR innovations are likely to remain uneven across educational contexts (OECD, 2021; UNESCO, 2023).</w:t>
      </w:r>
    </w:p>
    <w:p w14:paraId="0000002A" w14:textId="68C3A924" w:rsidR="00AD4552" w:rsidRPr="00844B8B" w:rsidRDefault="00DD1D5F">
      <w:pPr>
        <w:jc w:val="both"/>
        <w:rPr>
          <w:rFonts w:ascii="Arial" w:eastAsia="Book Antiqua" w:hAnsi="Arial" w:cs="Arial"/>
          <w:b/>
          <w:bCs/>
          <w:color w:val="000000"/>
          <w:sz w:val="20"/>
          <w:szCs w:val="20"/>
        </w:rPr>
      </w:pPr>
      <w:r w:rsidRPr="00844B8B">
        <w:rPr>
          <w:rFonts w:ascii="Arial" w:eastAsia="Book Antiqua" w:hAnsi="Arial" w:cs="Arial"/>
          <w:b/>
          <w:bCs/>
          <w:color w:val="000000"/>
          <w:sz w:val="20"/>
          <w:szCs w:val="20"/>
        </w:rPr>
        <w:t xml:space="preserve">1.4 The Key Challenges In Implementing And Scaling Innovative </w:t>
      </w:r>
      <w:r w:rsidR="009749E0">
        <w:rPr>
          <w:rFonts w:ascii="Arial" w:eastAsia="Book Antiqua" w:hAnsi="Arial" w:cs="Arial"/>
          <w:b/>
          <w:bCs/>
          <w:color w:val="000000"/>
          <w:sz w:val="20"/>
          <w:szCs w:val="20"/>
        </w:rPr>
        <w:t>4IR</w:t>
      </w:r>
      <w:r w:rsidRPr="00844B8B">
        <w:rPr>
          <w:rFonts w:ascii="Arial" w:eastAsia="Book Antiqua" w:hAnsi="Arial" w:cs="Arial"/>
          <w:b/>
          <w:bCs/>
          <w:color w:val="000000"/>
          <w:sz w:val="20"/>
          <w:szCs w:val="20"/>
        </w:rPr>
        <w:t>-Based Learning Systems In Mathematics Classrooms</w:t>
      </w:r>
    </w:p>
    <w:p w14:paraId="4C7C495D" w14:textId="77777777" w:rsidR="002722C9" w:rsidRDefault="002722C9" w:rsidP="002722C9">
      <w:pPr>
        <w:pBdr>
          <w:top w:val="nil"/>
          <w:left w:val="nil"/>
          <w:bottom w:val="nil"/>
          <w:right w:val="nil"/>
          <w:between w:val="nil"/>
        </w:pBdr>
        <w:jc w:val="both"/>
        <w:rPr>
          <w:rFonts w:ascii="Arial" w:hAnsi="Arial" w:cs="Arial"/>
          <w:sz w:val="20"/>
          <w:szCs w:val="20"/>
        </w:rPr>
      </w:pPr>
      <w:r w:rsidRPr="002722C9">
        <w:rPr>
          <w:rFonts w:ascii="Arial" w:hAnsi="Arial" w:cs="Arial"/>
          <w:sz w:val="20"/>
          <w:szCs w:val="20"/>
        </w:rPr>
        <w:t xml:space="preserve">Implementing and scaling Fourth Industrial Revolution (4IR)-based learning systems in mathematics education is shaped by a combination of pedagogical, institutional, and resource-related challenges. A key issue identified in the literature is educator resistance, which is often linked to entrenched teaching practices, concerns about workload, and uncertainty regarding the effectiveness of technology-enhanced instruction. Teachers’ attitudes and beliefs toward technology play a central role in whether ICT and digital tools are meaningfully integrated into mathematics classrooms, suggesting that adoption is not purely technical but deeply pedagogical in nature (Zimmerman, 2006; Trujillo-Torres et al., 2020). </w:t>
      </w:r>
    </w:p>
    <w:p w14:paraId="36E4E2A1" w14:textId="77777777" w:rsidR="002722C9" w:rsidRDefault="002722C9" w:rsidP="002722C9">
      <w:pPr>
        <w:pBdr>
          <w:top w:val="nil"/>
          <w:left w:val="nil"/>
          <w:bottom w:val="nil"/>
          <w:right w:val="nil"/>
          <w:between w:val="nil"/>
        </w:pBdr>
        <w:jc w:val="both"/>
        <w:rPr>
          <w:rFonts w:ascii="Arial" w:hAnsi="Arial" w:cs="Arial"/>
          <w:sz w:val="20"/>
          <w:szCs w:val="20"/>
        </w:rPr>
      </w:pPr>
    </w:p>
    <w:p w14:paraId="29E4F0D8" w14:textId="571760AE" w:rsidR="002722C9" w:rsidRPr="002722C9" w:rsidRDefault="002722C9" w:rsidP="002722C9">
      <w:pPr>
        <w:pBdr>
          <w:top w:val="nil"/>
          <w:left w:val="nil"/>
          <w:bottom w:val="nil"/>
          <w:right w:val="nil"/>
          <w:between w:val="nil"/>
        </w:pBdr>
        <w:jc w:val="both"/>
        <w:rPr>
          <w:rFonts w:ascii="Arial" w:hAnsi="Arial" w:cs="Arial"/>
          <w:sz w:val="20"/>
          <w:szCs w:val="20"/>
        </w:rPr>
      </w:pPr>
      <w:r w:rsidRPr="002722C9">
        <w:rPr>
          <w:rFonts w:ascii="Arial" w:hAnsi="Arial" w:cs="Arial"/>
          <w:sz w:val="20"/>
          <w:szCs w:val="20"/>
        </w:rPr>
        <w:t>To address these barriers, research emphasizes that professional development is a critical enabler of successful technology integration. Rather than one-time training, effective programs are those that provide continuous, practice-based support that strengthens both content knowledge and pedagogical decision-making. For example, structured professional learning approaches that include feedback mechanisms and reflective practice have been shown to improve instructional quality and student outcomes in mathematics education (</w:t>
      </w:r>
      <w:proofErr w:type="spellStart"/>
      <w:r w:rsidRPr="002722C9">
        <w:rPr>
          <w:rFonts w:ascii="Arial" w:hAnsi="Arial" w:cs="Arial"/>
          <w:sz w:val="20"/>
          <w:szCs w:val="20"/>
        </w:rPr>
        <w:t>Copur-Gencturk</w:t>
      </w:r>
      <w:proofErr w:type="spellEnd"/>
      <w:r w:rsidRPr="002722C9">
        <w:rPr>
          <w:rFonts w:ascii="Arial" w:hAnsi="Arial" w:cs="Arial"/>
          <w:sz w:val="20"/>
          <w:szCs w:val="20"/>
        </w:rPr>
        <w:t xml:space="preserve"> et al., 2023; Phillips et al., 2016). In addition, collaborative structures such as Professional Learning Communities (PLCs) further support teacher development by fostering shared learning, peer support, and sustained engagement with digital instructional practices (Ramli &amp; Mohamad </w:t>
      </w:r>
      <w:proofErr w:type="spellStart"/>
      <w:r w:rsidRPr="002722C9">
        <w:rPr>
          <w:rFonts w:ascii="Arial" w:hAnsi="Arial" w:cs="Arial"/>
          <w:sz w:val="20"/>
          <w:szCs w:val="20"/>
        </w:rPr>
        <w:t>Arsad</w:t>
      </w:r>
      <w:proofErr w:type="spellEnd"/>
      <w:r w:rsidRPr="002722C9">
        <w:rPr>
          <w:rFonts w:ascii="Arial" w:hAnsi="Arial" w:cs="Arial"/>
          <w:sz w:val="20"/>
          <w:szCs w:val="20"/>
        </w:rPr>
        <w:t>, 2024).</w:t>
      </w:r>
    </w:p>
    <w:p w14:paraId="29E63A76" w14:textId="77777777" w:rsidR="002722C9" w:rsidRPr="002722C9" w:rsidRDefault="002722C9" w:rsidP="002722C9">
      <w:pPr>
        <w:pBdr>
          <w:top w:val="nil"/>
          <w:left w:val="nil"/>
          <w:bottom w:val="nil"/>
          <w:right w:val="nil"/>
          <w:between w:val="nil"/>
        </w:pBdr>
        <w:jc w:val="both"/>
        <w:rPr>
          <w:rFonts w:ascii="Arial" w:hAnsi="Arial" w:cs="Arial"/>
          <w:sz w:val="20"/>
          <w:szCs w:val="20"/>
        </w:rPr>
      </w:pPr>
    </w:p>
    <w:p w14:paraId="7C689F3F" w14:textId="77777777" w:rsidR="002722C9" w:rsidRDefault="002722C9" w:rsidP="002722C9">
      <w:pPr>
        <w:pBdr>
          <w:top w:val="nil"/>
          <w:left w:val="nil"/>
          <w:bottom w:val="nil"/>
          <w:right w:val="nil"/>
          <w:between w:val="nil"/>
        </w:pBdr>
        <w:jc w:val="both"/>
        <w:rPr>
          <w:rFonts w:ascii="Arial" w:hAnsi="Arial" w:cs="Arial"/>
          <w:sz w:val="20"/>
          <w:szCs w:val="20"/>
        </w:rPr>
      </w:pPr>
      <w:r w:rsidRPr="002722C9">
        <w:rPr>
          <w:rFonts w:ascii="Arial" w:hAnsi="Arial" w:cs="Arial"/>
          <w:sz w:val="20"/>
          <w:szCs w:val="20"/>
        </w:rPr>
        <w:t xml:space="preserve">Beyond teacher-related factors, institutional and resource constraints also significantly affect implementation. Limited access to digital infrastructure, insufficient training support, and time constraints restrict teachers’ ability to effectively integrate technology into mathematics instruction. These barriers highlight that successful digital transformation requires more than individual teacher readiness; it depends on systemic support, including adequate resources, infrastructure investment, and institutional planning (Thurm et al., 2020; Barquero et al., </w:t>
      </w:r>
      <w:r w:rsidRPr="002722C9">
        <w:rPr>
          <w:rFonts w:ascii="Arial" w:hAnsi="Arial" w:cs="Arial"/>
          <w:sz w:val="20"/>
          <w:szCs w:val="20"/>
        </w:rPr>
        <w:lastRenderedPageBreak/>
        <w:t xml:space="preserve">2018). </w:t>
      </w:r>
      <w:r>
        <w:rPr>
          <w:rFonts w:ascii="Arial" w:hAnsi="Arial" w:cs="Arial"/>
          <w:sz w:val="20"/>
          <w:szCs w:val="20"/>
        </w:rPr>
        <w:t>The</w:t>
      </w:r>
      <w:r w:rsidRPr="002722C9">
        <w:rPr>
          <w:rFonts w:ascii="Arial" w:hAnsi="Arial" w:cs="Arial"/>
          <w:sz w:val="20"/>
          <w:szCs w:val="20"/>
        </w:rPr>
        <w:t xml:space="preserve"> literature suggests that challenges in implementing 4IR-based mathematics education are interconnected rather than isolated. Addressing them requires a coordinated approach that combines teacher development, institutional support, and sustained resource allocation to ensure meaningful and scalable integration of digital learning systems.</w:t>
      </w:r>
    </w:p>
    <w:p w14:paraId="1351CAA6" w14:textId="77777777" w:rsidR="002722C9" w:rsidRDefault="002722C9" w:rsidP="002722C9">
      <w:pPr>
        <w:pBdr>
          <w:top w:val="nil"/>
          <w:left w:val="nil"/>
          <w:bottom w:val="nil"/>
          <w:right w:val="nil"/>
          <w:between w:val="nil"/>
        </w:pBdr>
        <w:jc w:val="both"/>
        <w:rPr>
          <w:rFonts w:ascii="Arial" w:hAnsi="Arial" w:cs="Arial"/>
          <w:sz w:val="20"/>
          <w:szCs w:val="20"/>
        </w:rPr>
      </w:pPr>
    </w:p>
    <w:p w14:paraId="4DFA16F8" w14:textId="77777777" w:rsidR="002722C9" w:rsidRDefault="002722C9" w:rsidP="002722C9">
      <w:pPr>
        <w:pBdr>
          <w:top w:val="nil"/>
          <w:left w:val="nil"/>
          <w:bottom w:val="nil"/>
          <w:right w:val="nil"/>
          <w:between w:val="nil"/>
        </w:pBdr>
        <w:jc w:val="both"/>
        <w:rPr>
          <w:rFonts w:ascii="Arial" w:hAnsi="Arial" w:cs="Arial"/>
          <w:sz w:val="20"/>
          <w:szCs w:val="20"/>
        </w:rPr>
      </w:pPr>
      <w:r w:rsidRPr="002722C9">
        <w:rPr>
          <w:rFonts w:ascii="Arial" w:hAnsi="Arial" w:cs="Arial"/>
          <w:sz w:val="20"/>
          <w:szCs w:val="20"/>
        </w:rPr>
        <w:t>Furthermore, recent literature highlights that effective integration of Fourth Industrial Revolution (4IR)-based learning systems in mathematics education depends not only on the use of specific technologies but on how these innovations are pedagogically and systemically implemented. Rather than focusing on individual tools in isolation, studies emphasize the broader instructional shift toward learner-centered and technology-supported environments that promote engagement and deeper conceptual understanding (</w:t>
      </w:r>
      <w:proofErr w:type="spellStart"/>
      <w:r w:rsidRPr="002722C9">
        <w:rPr>
          <w:rFonts w:ascii="Arial" w:hAnsi="Arial" w:cs="Arial"/>
          <w:sz w:val="20"/>
          <w:szCs w:val="20"/>
        </w:rPr>
        <w:t>Xayrullayevna</w:t>
      </w:r>
      <w:proofErr w:type="spellEnd"/>
      <w:r w:rsidRPr="002722C9">
        <w:rPr>
          <w:rFonts w:ascii="Arial" w:hAnsi="Arial" w:cs="Arial"/>
          <w:sz w:val="20"/>
          <w:szCs w:val="20"/>
        </w:rPr>
        <w:t xml:space="preserve"> et al., 2025). </w:t>
      </w:r>
    </w:p>
    <w:p w14:paraId="2C6D1642" w14:textId="77777777" w:rsidR="002722C9" w:rsidRDefault="002722C9" w:rsidP="002722C9">
      <w:pPr>
        <w:pBdr>
          <w:top w:val="nil"/>
          <w:left w:val="nil"/>
          <w:bottom w:val="nil"/>
          <w:right w:val="nil"/>
          <w:between w:val="nil"/>
        </w:pBdr>
        <w:jc w:val="both"/>
        <w:rPr>
          <w:rFonts w:ascii="Arial" w:hAnsi="Arial" w:cs="Arial"/>
          <w:sz w:val="20"/>
          <w:szCs w:val="20"/>
        </w:rPr>
      </w:pPr>
    </w:p>
    <w:p w14:paraId="26C5D995" w14:textId="77777777" w:rsidR="002722C9" w:rsidRDefault="002722C9" w:rsidP="002722C9">
      <w:pPr>
        <w:pBdr>
          <w:top w:val="nil"/>
          <w:left w:val="nil"/>
          <w:bottom w:val="nil"/>
          <w:right w:val="nil"/>
          <w:between w:val="nil"/>
        </w:pBdr>
        <w:jc w:val="both"/>
        <w:rPr>
          <w:rFonts w:ascii="Arial" w:hAnsi="Arial" w:cs="Arial"/>
          <w:sz w:val="20"/>
          <w:szCs w:val="20"/>
        </w:rPr>
      </w:pPr>
      <w:r w:rsidRPr="002722C9">
        <w:rPr>
          <w:rFonts w:ascii="Arial" w:hAnsi="Arial" w:cs="Arial"/>
          <w:sz w:val="20"/>
          <w:szCs w:val="20"/>
        </w:rPr>
        <w:t xml:space="preserve">In this context, adaptive and technology-enhanced learning environments are often discussed as mechanisms for addressing learner diversity and improving assessment practices. However, their effectiveness is strongly influenced by instructional design and teacher mediation, suggesting that personalization is not automatic but must be carefully structured within teaching practice (Nwachukwu et al., 2025). This indicates that technology functions more as a support system rather than a standalone solution for improving mathematics learning outcomes. </w:t>
      </w:r>
    </w:p>
    <w:p w14:paraId="17FD43BC" w14:textId="77777777" w:rsidR="002722C9" w:rsidRDefault="002722C9" w:rsidP="002722C9">
      <w:pPr>
        <w:pBdr>
          <w:top w:val="nil"/>
          <w:left w:val="nil"/>
          <w:bottom w:val="nil"/>
          <w:right w:val="nil"/>
          <w:between w:val="nil"/>
        </w:pBdr>
        <w:jc w:val="both"/>
        <w:rPr>
          <w:rFonts w:ascii="Arial" w:hAnsi="Arial" w:cs="Arial"/>
          <w:sz w:val="20"/>
          <w:szCs w:val="20"/>
        </w:rPr>
      </w:pPr>
    </w:p>
    <w:p w14:paraId="54568748" w14:textId="0F38FAE1" w:rsidR="002722C9" w:rsidRPr="002722C9" w:rsidRDefault="002722C9" w:rsidP="002722C9">
      <w:pPr>
        <w:pBdr>
          <w:top w:val="nil"/>
          <w:left w:val="nil"/>
          <w:bottom w:val="nil"/>
          <w:right w:val="nil"/>
          <w:between w:val="nil"/>
        </w:pBdr>
        <w:jc w:val="both"/>
        <w:rPr>
          <w:rFonts w:ascii="Arial" w:hAnsi="Arial" w:cs="Arial"/>
          <w:sz w:val="20"/>
          <w:szCs w:val="20"/>
        </w:rPr>
      </w:pPr>
      <w:r w:rsidRPr="002722C9">
        <w:rPr>
          <w:rFonts w:ascii="Arial" w:hAnsi="Arial" w:cs="Arial"/>
          <w:sz w:val="20"/>
          <w:szCs w:val="20"/>
        </w:rPr>
        <w:t>At the system level, research further identifies that successful implementation of these innovations depends on teacher involvement in curriculum development, sustained professional collaboration, and institutional support structures that enable meaningful integration of digital tools into classroom practice (Yurtseven Avci et al., 2020). Without these enabling conditions, even well-designed technologies may fail to produce significant improvements in teaching and learning. The literature converges on the idea that 4IR-based mathematics education requires an integrated approach that combines pedagogical transformation, teacher readiness, and institutional alignment to ensure sustainable and effective implementation.</w:t>
      </w:r>
    </w:p>
    <w:p w14:paraId="00000032" w14:textId="77777777" w:rsidR="00AD4552" w:rsidRPr="00844B8B" w:rsidRDefault="00AD4552">
      <w:pPr>
        <w:jc w:val="both"/>
        <w:rPr>
          <w:rFonts w:ascii="Arial" w:hAnsi="Arial" w:cs="Arial"/>
          <w:b/>
          <w:bCs/>
          <w:color w:val="2F5496"/>
        </w:rPr>
      </w:pPr>
    </w:p>
    <w:p w14:paraId="00000033" w14:textId="6028C81E" w:rsidR="00AD4552" w:rsidRPr="002722C9" w:rsidRDefault="002722C9" w:rsidP="002722C9">
      <w:pPr>
        <w:pStyle w:val="ListParagraph"/>
        <w:numPr>
          <w:ilvl w:val="0"/>
          <w:numId w:val="1"/>
        </w:numPr>
        <w:ind w:left="284" w:hanging="284"/>
        <w:jc w:val="both"/>
        <w:rPr>
          <w:rFonts w:ascii="Arial" w:eastAsia="Book Antiqua" w:hAnsi="Arial" w:cs="Arial"/>
          <w:b/>
          <w:bCs/>
          <w:color w:val="0E2841"/>
        </w:rPr>
      </w:pPr>
      <w:r w:rsidRPr="002722C9">
        <w:rPr>
          <w:rFonts w:ascii="Arial" w:eastAsia="Book Antiqua" w:hAnsi="Arial" w:cs="Arial"/>
          <w:b/>
          <w:bCs/>
          <w:color w:val="000000" w:themeColor="text1"/>
        </w:rPr>
        <w:t>CONCLUSION</w:t>
      </w:r>
    </w:p>
    <w:p w14:paraId="00000034" w14:textId="666A54A6" w:rsidR="00AD4552" w:rsidRPr="00844B8B" w:rsidRDefault="00DD1D5F">
      <w:pPr>
        <w:jc w:val="both"/>
        <w:rPr>
          <w:rFonts w:ascii="Arial" w:eastAsia="Book Antiqua" w:hAnsi="Arial" w:cs="Arial"/>
          <w:b/>
          <w:bCs/>
          <w:color w:val="0E2841"/>
          <w:sz w:val="20"/>
          <w:szCs w:val="20"/>
        </w:rPr>
      </w:pPr>
      <w:r w:rsidRPr="00844B8B">
        <w:rPr>
          <w:rFonts w:ascii="Arial" w:eastAsia="Book Antiqua" w:hAnsi="Arial" w:cs="Arial"/>
          <w:sz w:val="20"/>
          <w:szCs w:val="20"/>
        </w:rPr>
        <w:t xml:space="preserve">The advent of new learning systems in math education in the Fourth Industrial Revolution (4IR) context poses revolutionary opportunities and unparalleled challenges. As evidenced in this research, the synergy between artificial intelligence, game-based learning environments, adaptive technologies, and digital interactive tools holds significant potential for advancing mathematical comprehension, enhancing critical thinking, and preparing learners for the </w:t>
      </w:r>
      <w:r w:rsidR="002722C9" w:rsidRPr="002722C9">
        <w:rPr>
          <w:rFonts w:ascii="Arial" w:hAnsi="Arial" w:cs="Arial"/>
          <w:color w:val="000000" w:themeColor="text1"/>
          <w:sz w:val="20"/>
          <w:szCs w:val="20"/>
          <w:lang w:val="en-US"/>
        </w:rPr>
        <w:t>demands of a digitally driven global economy</w:t>
      </w:r>
      <w:r w:rsidRPr="00844B8B">
        <w:rPr>
          <w:rFonts w:ascii="Arial" w:eastAsia="Book Antiqua" w:hAnsi="Arial" w:cs="Arial"/>
          <w:sz w:val="20"/>
          <w:szCs w:val="20"/>
        </w:rPr>
        <w:t>. These technologies have the potential to enable personalized learning, increase student engagement, and cultivate critical thinking skills essential for lifelong learning and innovation.</w:t>
      </w:r>
    </w:p>
    <w:p w14:paraId="00000035" w14:textId="6D90EA6F" w:rsidR="00AD4552" w:rsidRPr="00844B8B" w:rsidRDefault="00DD1D5F">
      <w:pPr>
        <w:spacing w:before="240" w:after="240"/>
        <w:jc w:val="both"/>
        <w:rPr>
          <w:rFonts w:ascii="Arial" w:eastAsia="Book Antiqua" w:hAnsi="Arial" w:cs="Arial"/>
          <w:sz w:val="20"/>
          <w:szCs w:val="20"/>
        </w:rPr>
      </w:pPr>
      <w:r w:rsidRPr="00844B8B">
        <w:rPr>
          <w:rFonts w:ascii="Arial" w:eastAsia="Book Antiqua" w:hAnsi="Arial" w:cs="Arial"/>
          <w:sz w:val="20"/>
          <w:szCs w:val="20"/>
        </w:rPr>
        <w:t>Despite</w:t>
      </w:r>
      <w:r w:rsidR="002722C9">
        <w:rPr>
          <w:rFonts w:ascii="Arial" w:eastAsia="Book Antiqua" w:hAnsi="Arial" w:cs="Arial"/>
          <w:sz w:val="20"/>
          <w:szCs w:val="20"/>
        </w:rPr>
        <w:t xml:space="preserve"> this</w:t>
      </w:r>
      <w:r w:rsidRPr="00844B8B">
        <w:rPr>
          <w:rFonts w:ascii="Arial" w:eastAsia="Book Antiqua" w:hAnsi="Arial" w:cs="Arial"/>
          <w:sz w:val="20"/>
          <w:szCs w:val="20"/>
        </w:rPr>
        <w:t>, the road to successful application is fraught with challenges depending on global, national, and local contexts. Some of the key challenges are limited infrastructure, weak professional development, curriculum mismatch, digital inequality, and resistance to pedagogy shift. These issues are further exacerbated in the Philippines by structural disparities in education, unequal digital literacy among learners and educators, and scarce institutional funding. These challenges not only affect the integration of emerging technologies but could further broaden the existing education chasm if not accompanied by equalizing and inclusive policies.</w:t>
      </w:r>
    </w:p>
    <w:p w14:paraId="00000036" w14:textId="77777777" w:rsidR="00AD4552" w:rsidRPr="00844B8B" w:rsidRDefault="00DD1D5F">
      <w:pPr>
        <w:spacing w:before="240" w:after="240"/>
        <w:jc w:val="both"/>
        <w:rPr>
          <w:rFonts w:ascii="Arial" w:eastAsia="Book Antiqua" w:hAnsi="Arial" w:cs="Arial"/>
          <w:sz w:val="20"/>
          <w:szCs w:val="20"/>
        </w:rPr>
      </w:pPr>
      <w:r w:rsidRPr="00844B8B">
        <w:rPr>
          <w:rFonts w:ascii="Arial" w:eastAsia="Book Antiqua" w:hAnsi="Arial" w:cs="Arial"/>
          <w:sz w:val="20"/>
          <w:szCs w:val="20"/>
        </w:rPr>
        <w:t>Despite these challenges, best practices have emerged as a model for effective, long-lasting integration. These include situated and continuous professional development, PLCs, strategic leadership, investment in technological infrastructure, and policy frameworks promoting alignment of innovation with curriculum and assessment standards. Pedagogies such as flipped classrooms, gamification, and adaptive learning systems are also highly promising for facilitating learner agency, deeper understanding, and inclusive education practices.</w:t>
      </w:r>
    </w:p>
    <w:p w14:paraId="628063F5" w14:textId="77777777" w:rsidR="002722C9" w:rsidRDefault="00DD1D5F" w:rsidP="002722C9">
      <w:pPr>
        <w:spacing w:before="240" w:after="240"/>
        <w:jc w:val="both"/>
        <w:rPr>
          <w:rFonts w:ascii="Arial" w:eastAsia="Book Antiqua" w:hAnsi="Arial" w:cs="Arial"/>
          <w:sz w:val="20"/>
          <w:szCs w:val="20"/>
        </w:rPr>
      </w:pPr>
      <w:r w:rsidRPr="00844B8B">
        <w:rPr>
          <w:rFonts w:ascii="Arial" w:eastAsia="Book Antiqua" w:hAnsi="Arial" w:cs="Arial"/>
          <w:sz w:val="20"/>
          <w:szCs w:val="20"/>
        </w:rPr>
        <w:t>Based on the Unified Theory of Acceptance and Use of Technology (UTAUT), this study reaffirms that performance expectancy, effort expectancy, social influence, and facilitating conditions have significant effects on teachers' willingness to adopt and use technology. Understanding these factors is crucial for formulating approaches that enhance teacher readiness, spur digital innovation, and enhance student performance.</w:t>
      </w:r>
    </w:p>
    <w:p w14:paraId="2F1C1CD3" w14:textId="77777777" w:rsidR="0038748D" w:rsidRDefault="002722C9" w:rsidP="0038748D">
      <w:pPr>
        <w:spacing w:before="240" w:after="240"/>
        <w:jc w:val="both"/>
        <w:rPr>
          <w:rFonts w:ascii="Arial" w:eastAsia="Book Antiqua" w:hAnsi="Arial" w:cs="Arial"/>
          <w:sz w:val="20"/>
          <w:szCs w:val="20"/>
        </w:rPr>
      </w:pPr>
      <w:r w:rsidRPr="002722C9">
        <w:rPr>
          <w:rFonts w:ascii="Arial" w:hAnsi="Arial" w:cs="Arial"/>
          <w:sz w:val="20"/>
          <w:szCs w:val="20"/>
        </w:rPr>
        <w:t xml:space="preserve">As education continues to adapt to the demands of the Fourth Industrial Revolution (4IR), collaboration among institutions, teachers, and policymakers should move beyond general alignment toward targeted actions that strengthen implementation capacity. This includes prioritizing sustained teacher professional development focused on digital pedagogy in mathematics, improving school-level infrastructure such as reliable internet access and learning technologies, and embedding technology integration standards within curriculum design and </w:t>
      </w:r>
      <w:r w:rsidRPr="002722C9">
        <w:rPr>
          <w:rFonts w:ascii="Arial" w:hAnsi="Arial" w:cs="Arial"/>
          <w:sz w:val="20"/>
          <w:szCs w:val="20"/>
        </w:rPr>
        <w:lastRenderedPageBreak/>
        <w:t>assessment frameworks. Policymakers should also focus on reducing digital inequities by ensuring equitable access to devices and connectivity, particularly in underserved learning environments. Future research should further examine context-specific barriers to implementation, particularly how teachers translate digital tools into mathematics instruction in real classroom settings, and identify scalable models of effective practice that can be adapted across different educational contexts. Investigating how institutional support systems, instructional design, and teacher competencies interact will also be essential in understanding what makes technology integration sustainable. Ultimately, the effective use of innovative learning systems in mathematics education under 4IR conditions requires coordinated, evidence-based strategies that connect policy, pedagogy, and infrastructure to ensure that digital transformation leads to meaningful and equitable learning outcomes.</w:t>
      </w:r>
    </w:p>
    <w:p w14:paraId="74369456" w14:textId="65CB26A6" w:rsidR="0038748D" w:rsidRDefault="00C73353" w:rsidP="0038748D">
      <w:pPr>
        <w:spacing w:before="240" w:after="240"/>
        <w:contextualSpacing/>
        <w:jc w:val="both"/>
        <w:rPr>
          <w:rFonts w:ascii="Arial" w:eastAsia="Book Antiqua" w:hAnsi="Arial" w:cs="Arial"/>
          <w:sz w:val="20"/>
          <w:szCs w:val="20"/>
        </w:rPr>
      </w:pPr>
      <w:r w:rsidRPr="00844B8B">
        <w:rPr>
          <w:rFonts w:ascii="Arial" w:hAnsi="Arial" w:cs="Arial"/>
          <w:b/>
          <w:bCs/>
          <w:sz w:val="22"/>
          <w:szCs w:val="22"/>
          <w:lang w:val="en-GB" w:eastAsia="en-GB"/>
        </w:rPr>
        <w:t>COMPETING INTERESTS:</w:t>
      </w:r>
    </w:p>
    <w:p w14:paraId="2AE45DDC" w14:textId="77777777" w:rsidR="0038748D" w:rsidRDefault="00C73353" w:rsidP="0038748D">
      <w:pPr>
        <w:spacing w:before="240" w:after="240"/>
        <w:jc w:val="both"/>
        <w:rPr>
          <w:rFonts w:ascii="Arial" w:eastAsia="Book Antiqua" w:hAnsi="Arial" w:cs="Arial"/>
          <w:sz w:val="20"/>
          <w:szCs w:val="20"/>
        </w:rPr>
      </w:pPr>
      <w:r w:rsidRPr="00844B8B">
        <w:rPr>
          <w:rFonts w:ascii="Arial" w:hAnsi="Arial" w:cs="Arial"/>
          <w:sz w:val="22"/>
          <w:szCs w:val="22"/>
          <w:lang w:val="en-GB" w:eastAsia="en-GB"/>
        </w:rPr>
        <w:t>Authors have declared that they have no known competing financial interests OR non-financial interests OR personal relationships that could have appeared to influence the work reported in this paper.</w:t>
      </w:r>
    </w:p>
    <w:p w14:paraId="3AFE910B" w14:textId="77777777" w:rsidR="0038748D" w:rsidRDefault="0038748D" w:rsidP="0038748D">
      <w:pPr>
        <w:spacing w:before="240" w:after="240"/>
        <w:contextualSpacing/>
        <w:jc w:val="both"/>
        <w:rPr>
          <w:rFonts w:ascii="Arial" w:eastAsia="Book Antiqua" w:hAnsi="Arial" w:cs="Arial"/>
          <w:sz w:val="20"/>
          <w:szCs w:val="20"/>
        </w:rPr>
      </w:pPr>
      <w:r w:rsidRPr="0038748D">
        <w:rPr>
          <w:rFonts w:ascii="Arial" w:hAnsi="Arial" w:cs="Arial"/>
          <w:b/>
          <w:bCs/>
          <w:sz w:val="22"/>
          <w:szCs w:val="22"/>
          <w:lang w:val="en-GB" w:eastAsia="en-GB"/>
        </w:rPr>
        <w:t xml:space="preserve">DISCLAIMER </w:t>
      </w:r>
    </w:p>
    <w:p w14:paraId="4E0C5542" w14:textId="184F7314" w:rsidR="0038748D" w:rsidRPr="0038748D" w:rsidRDefault="0038748D" w:rsidP="0038748D">
      <w:pPr>
        <w:spacing w:before="240" w:after="240"/>
        <w:jc w:val="both"/>
        <w:rPr>
          <w:rFonts w:ascii="Arial" w:eastAsia="Book Antiqua" w:hAnsi="Arial" w:cs="Arial"/>
          <w:sz w:val="20"/>
          <w:szCs w:val="20"/>
        </w:rPr>
      </w:pPr>
      <w:r>
        <w:rPr>
          <w:rFonts w:ascii="Arial" w:eastAsia="Book Antiqua" w:hAnsi="Arial" w:cs="Arial"/>
          <w:sz w:val="20"/>
          <w:szCs w:val="20"/>
        </w:rPr>
        <w:t>T</w:t>
      </w:r>
      <w:r w:rsidRPr="0038748D">
        <w:rPr>
          <w:rFonts w:ascii="Arial" w:eastAsia="Book Antiqua" w:hAnsi="Arial" w:cs="Arial"/>
          <w:sz w:val="20"/>
          <w:szCs w:val="20"/>
        </w:rPr>
        <w:t xml:space="preserve">he researchers acknowledge the use of artificial intelligence (AI) tools during the preparation of this manuscript, including </w:t>
      </w:r>
      <w:proofErr w:type="spellStart"/>
      <w:r w:rsidRPr="0038748D">
        <w:rPr>
          <w:rFonts w:ascii="Arial" w:eastAsia="Book Antiqua" w:hAnsi="Arial" w:cs="Arial"/>
          <w:sz w:val="20"/>
          <w:szCs w:val="20"/>
        </w:rPr>
        <w:t>ChatGPT</w:t>
      </w:r>
      <w:proofErr w:type="spellEnd"/>
      <w:r w:rsidRPr="0038748D">
        <w:rPr>
          <w:rFonts w:ascii="Arial" w:eastAsia="Book Antiqua" w:hAnsi="Arial" w:cs="Arial"/>
          <w:sz w:val="20"/>
          <w:szCs w:val="20"/>
        </w:rPr>
        <w:t xml:space="preserve">, Grammarly, and </w:t>
      </w:r>
      <w:proofErr w:type="spellStart"/>
      <w:r w:rsidRPr="0038748D">
        <w:rPr>
          <w:rFonts w:ascii="Arial" w:eastAsia="Book Antiqua" w:hAnsi="Arial" w:cs="Arial"/>
          <w:sz w:val="20"/>
          <w:szCs w:val="20"/>
        </w:rPr>
        <w:t>QuillBot</w:t>
      </w:r>
      <w:proofErr w:type="spellEnd"/>
      <w:r w:rsidRPr="0038748D">
        <w:rPr>
          <w:rFonts w:ascii="Arial" w:eastAsia="Book Antiqua" w:hAnsi="Arial" w:cs="Arial"/>
          <w:sz w:val="20"/>
          <w:szCs w:val="20"/>
        </w:rPr>
        <w:t xml:space="preserve">. ChatGPT was utilized to help organize ideas, improve sentence structure, and provide suggestions for expressing complex concepts more clearly. Grammarly was used to check grammar, spelling, punctuation, and general writing mechanics, while </w:t>
      </w:r>
      <w:proofErr w:type="spellStart"/>
      <w:r w:rsidRPr="0038748D">
        <w:rPr>
          <w:rFonts w:ascii="Arial" w:eastAsia="Book Antiqua" w:hAnsi="Arial" w:cs="Arial"/>
          <w:sz w:val="20"/>
          <w:szCs w:val="20"/>
        </w:rPr>
        <w:t>QuillBot</w:t>
      </w:r>
      <w:proofErr w:type="spellEnd"/>
      <w:r w:rsidRPr="0038748D">
        <w:rPr>
          <w:rFonts w:ascii="Arial" w:eastAsia="Book Antiqua" w:hAnsi="Arial" w:cs="Arial"/>
          <w:sz w:val="20"/>
          <w:szCs w:val="20"/>
        </w:rPr>
        <w:t xml:space="preserve"> was used to paraphrase certain sections to enhance clarity and reduce repetition. All suggestions and outputs generated by these tools were carefully reviewed and evaluated by the researchers. Revisions were made as needed to ensure the content remained accurate, coherent, and aligned with the study's objectives and academic standards. The researchers retained full responsibility for the interpretation, analysis, and final presentation of the manuscript.</w:t>
      </w:r>
    </w:p>
    <w:p w14:paraId="00000044" w14:textId="77777777" w:rsidR="00AD4552" w:rsidRPr="00844B8B" w:rsidRDefault="00AD4552">
      <w:pPr>
        <w:jc w:val="both"/>
        <w:rPr>
          <w:rFonts w:ascii="Arial" w:eastAsia="Book Antiqua" w:hAnsi="Arial" w:cs="Arial"/>
          <w:b/>
          <w:bCs/>
          <w:color w:val="0E2841"/>
        </w:rPr>
      </w:pPr>
    </w:p>
    <w:p w14:paraId="00000045" w14:textId="3ACF820F" w:rsidR="00AD4552" w:rsidRPr="0038748D" w:rsidRDefault="0038748D">
      <w:pPr>
        <w:jc w:val="both"/>
        <w:rPr>
          <w:rFonts w:ascii="Arial" w:eastAsia="Book Antiqua" w:hAnsi="Arial" w:cs="Arial"/>
          <w:b/>
          <w:bCs/>
          <w:color w:val="000000" w:themeColor="text1"/>
        </w:rPr>
      </w:pPr>
      <w:r>
        <w:rPr>
          <w:rFonts w:ascii="Arial" w:eastAsia="Book Antiqua" w:hAnsi="Arial" w:cs="Arial"/>
          <w:b/>
          <w:bCs/>
          <w:color w:val="000000" w:themeColor="text1"/>
        </w:rPr>
        <w:t>REFERENCES</w:t>
      </w:r>
    </w:p>
    <w:p w14:paraId="4FAF3557" w14:textId="77777777" w:rsidR="00533532" w:rsidRPr="00533532" w:rsidRDefault="00533532" w:rsidP="007C6CC4">
      <w:pPr>
        <w:pStyle w:val="NormalWeb"/>
        <w:numPr>
          <w:ilvl w:val="0"/>
          <w:numId w:val="1"/>
        </w:numPr>
        <w:spacing w:before="0" w:beforeAutospacing="0" w:after="240" w:afterAutospacing="0"/>
        <w:jc w:val="both"/>
        <w:rPr>
          <w:rStyle w:val="url"/>
          <w:rFonts w:ascii="Arial" w:eastAsiaTheme="majorEastAsia" w:hAnsi="Arial" w:cs="Arial"/>
          <w:color w:val="000000" w:themeColor="text1"/>
          <w:sz w:val="20"/>
          <w:szCs w:val="20"/>
        </w:rPr>
      </w:pPr>
      <w:bookmarkStart w:id="0" w:name="_GoBack"/>
      <w:r w:rsidRPr="00533532">
        <w:rPr>
          <w:rFonts w:ascii="Arial" w:hAnsi="Arial" w:cs="Arial"/>
          <w:color w:val="000000" w:themeColor="text1"/>
          <w:sz w:val="20"/>
          <w:szCs w:val="20"/>
        </w:rPr>
        <w:t xml:space="preserve">Animashaun, E. S., </w:t>
      </w:r>
      <w:proofErr w:type="spellStart"/>
      <w:r w:rsidRPr="00533532">
        <w:rPr>
          <w:rFonts w:ascii="Arial" w:hAnsi="Arial" w:cs="Arial"/>
          <w:color w:val="000000" w:themeColor="text1"/>
          <w:sz w:val="20"/>
          <w:szCs w:val="20"/>
        </w:rPr>
        <w:t>Familoni</w:t>
      </w:r>
      <w:proofErr w:type="spellEnd"/>
      <w:r w:rsidRPr="00533532">
        <w:rPr>
          <w:rFonts w:ascii="Arial" w:hAnsi="Arial" w:cs="Arial"/>
          <w:color w:val="000000" w:themeColor="text1"/>
          <w:sz w:val="20"/>
          <w:szCs w:val="20"/>
        </w:rPr>
        <w:t xml:space="preserve">, B. T., &amp; Onyebuchi, N. C. (2024). Implementing educational technology solutions for sustainable development in emerging markets. </w:t>
      </w:r>
      <w:r w:rsidRPr="00533532">
        <w:rPr>
          <w:rFonts w:ascii="Arial" w:hAnsi="Arial" w:cs="Arial"/>
          <w:i/>
          <w:iCs/>
          <w:color w:val="000000" w:themeColor="text1"/>
          <w:sz w:val="20"/>
          <w:szCs w:val="20"/>
        </w:rPr>
        <w:t>International Journal of Science and Research Archive</w:t>
      </w:r>
      <w:r w:rsidRPr="00533532">
        <w:rPr>
          <w:rFonts w:ascii="Arial" w:hAnsi="Arial" w:cs="Arial"/>
          <w:color w:val="000000" w:themeColor="text1"/>
          <w:sz w:val="20"/>
          <w:szCs w:val="20"/>
        </w:rPr>
        <w:t xml:space="preserve">, </w:t>
      </w:r>
      <w:r w:rsidRPr="00533532">
        <w:rPr>
          <w:rFonts w:ascii="Arial" w:hAnsi="Arial" w:cs="Arial"/>
          <w:i/>
          <w:iCs/>
          <w:color w:val="000000" w:themeColor="text1"/>
          <w:sz w:val="20"/>
          <w:szCs w:val="20"/>
        </w:rPr>
        <w:t>12</w:t>
      </w:r>
      <w:r w:rsidRPr="00533532">
        <w:rPr>
          <w:rFonts w:ascii="Arial" w:hAnsi="Arial" w:cs="Arial"/>
          <w:color w:val="000000" w:themeColor="text1"/>
          <w:sz w:val="20"/>
          <w:szCs w:val="20"/>
        </w:rPr>
        <w:t xml:space="preserve">(1), 2428–2434. </w:t>
      </w:r>
      <w:hyperlink r:id="rId14" w:history="1">
        <w:r w:rsidRPr="00533532">
          <w:rPr>
            <w:rStyle w:val="Hyperlink"/>
            <w:rFonts w:ascii="Arial" w:eastAsiaTheme="majorEastAsia" w:hAnsi="Arial" w:cs="Arial"/>
            <w:color w:val="000000" w:themeColor="text1"/>
            <w:sz w:val="20"/>
            <w:szCs w:val="20"/>
            <w:u w:val="none"/>
          </w:rPr>
          <w:t>https://doi.org/10.30574/ijsra.2024.12.1.1045</w:t>
        </w:r>
      </w:hyperlink>
    </w:p>
    <w:p w14:paraId="0F9E38AE" w14:textId="77777777" w:rsidR="00533532" w:rsidRPr="007C6CC4" w:rsidRDefault="00533532" w:rsidP="007C6CC4">
      <w:pPr>
        <w:pStyle w:val="ListParagraph"/>
        <w:numPr>
          <w:ilvl w:val="0"/>
          <w:numId w:val="1"/>
        </w:numPr>
        <w:pBdr>
          <w:top w:val="nil"/>
          <w:left w:val="nil"/>
          <w:bottom w:val="nil"/>
          <w:right w:val="nil"/>
          <w:between w:val="nil"/>
        </w:pBdr>
        <w:spacing w:after="240"/>
        <w:jc w:val="both"/>
        <w:rPr>
          <w:rStyle w:val="url"/>
          <w:rFonts w:ascii="Arial" w:eastAsiaTheme="majorEastAsia" w:hAnsi="Arial" w:cs="Arial"/>
          <w:color w:val="000000" w:themeColor="text1"/>
          <w:sz w:val="20"/>
          <w:szCs w:val="20"/>
        </w:rPr>
      </w:pPr>
      <w:r w:rsidRPr="007C6CC4">
        <w:rPr>
          <w:rFonts w:ascii="Arial" w:hAnsi="Arial" w:cs="Arial"/>
          <w:color w:val="000000" w:themeColor="text1"/>
          <w:sz w:val="20"/>
          <w:szCs w:val="20"/>
        </w:rPr>
        <w:t xml:space="preserve">Ariza, J. Á., &amp; Hernández, C. H. (2026). Investigating the impact of education 4.0 and digital learning on students’ learning outcomes in Engineering: a Four-Year Multiple-Case study. </w:t>
      </w:r>
      <w:r w:rsidRPr="007C6CC4">
        <w:rPr>
          <w:rFonts w:ascii="Arial" w:hAnsi="Arial" w:cs="Arial"/>
          <w:i/>
          <w:iCs/>
          <w:color w:val="000000" w:themeColor="text1"/>
          <w:sz w:val="20"/>
          <w:szCs w:val="20"/>
        </w:rPr>
        <w:t>Informatics</w:t>
      </w:r>
      <w:r w:rsidRPr="007C6CC4">
        <w:rPr>
          <w:rFonts w:ascii="Arial" w:hAnsi="Arial" w:cs="Arial"/>
          <w:color w:val="000000" w:themeColor="text1"/>
          <w:sz w:val="20"/>
          <w:szCs w:val="20"/>
        </w:rPr>
        <w:t xml:space="preserve">, </w:t>
      </w:r>
      <w:r w:rsidRPr="007C6CC4">
        <w:rPr>
          <w:rFonts w:ascii="Arial" w:hAnsi="Arial" w:cs="Arial"/>
          <w:i/>
          <w:iCs/>
          <w:color w:val="000000" w:themeColor="text1"/>
          <w:sz w:val="20"/>
          <w:szCs w:val="20"/>
        </w:rPr>
        <w:t>13</w:t>
      </w:r>
      <w:r w:rsidRPr="007C6CC4">
        <w:rPr>
          <w:rFonts w:ascii="Arial" w:hAnsi="Arial" w:cs="Arial"/>
          <w:color w:val="000000" w:themeColor="text1"/>
          <w:sz w:val="20"/>
          <w:szCs w:val="20"/>
        </w:rPr>
        <w:t xml:space="preserve">(2), 18. </w:t>
      </w:r>
      <w:hyperlink r:id="rId15" w:history="1">
        <w:r w:rsidRPr="007C6CC4">
          <w:rPr>
            <w:rStyle w:val="Hyperlink"/>
            <w:rFonts w:ascii="Arial" w:eastAsiaTheme="majorEastAsia" w:hAnsi="Arial" w:cs="Arial"/>
            <w:color w:val="000000" w:themeColor="text1"/>
            <w:sz w:val="20"/>
            <w:szCs w:val="20"/>
            <w:u w:val="none"/>
          </w:rPr>
          <w:t>https://doi.org/10.3390/informatics13020018</w:t>
        </w:r>
      </w:hyperlink>
    </w:p>
    <w:p w14:paraId="43F12F2C" w14:textId="77777777" w:rsidR="00533532" w:rsidRPr="00533532" w:rsidRDefault="00533532" w:rsidP="007C6CC4">
      <w:pPr>
        <w:pStyle w:val="NormalWeb"/>
        <w:numPr>
          <w:ilvl w:val="0"/>
          <w:numId w:val="1"/>
        </w:numPr>
        <w:spacing w:before="0" w:beforeAutospacing="0" w:after="240" w:afterAutospacing="0"/>
        <w:jc w:val="both"/>
        <w:rPr>
          <w:rFonts w:ascii="Arial" w:eastAsiaTheme="majorEastAsia" w:hAnsi="Arial" w:cs="Arial"/>
          <w:color w:val="000000" w:themeColor="text1"/>
          <w:sz w:val="20"/>
          <w:szCs w:val="20"/>
        </w:rPr>
      </w:pPr>
      <w:proofErr w:type="spellStart"/>
      <w:r w:rsidRPr="00533532">
        <w:rPr>
          <w:rFonts w:ascii="Arial" w:hAnsi="Arial" w:cs="Arial"/>
          <w:color w:val="000000" w:themeColor="text1"/>
          <w:sz w:val="20"/>
          <w:szCs w:val="20"/>
        </w:rPr>
        <w:t>Ayanwale</w:t>
      </w:r>
      <w:proofErr w:type="spellEnd"/>
      <w:r w:rsidRPr="00533532">
        <w:rPr>
          <w:rFonts w:ascii="Arial" w:hAnsi="Arial" w:cs="Arial"/>
          <w:color w:val="000000" w:themeColor="text1"/>
          <w:sz w:val="20"/>
          <w:szCs w:val="20"/>
        </w:rPr>
        <w:t xml:space="preserve">, M. A., Ndlovu, M., &amp; Oladele, J. I. (2022). Mathematics education and the fourth industrial revolution: Are the high school mathematics teachers ready? In </w:t>
      </w:r>
      <w:r w:rsidRPr="00533532">
        <w:rPr>
          <w:rFonts w:ascii="Arial" w:hAnsi="Arial" w:cs="Arial"/>
          <w:i/>
          <w:iCs/>
          <w:color w:val="000000" w:themeColor="text1"/>
          <w:sz w:val="20"/>
          <w:szCs w:val="20"/>
        </w:rPr>
        <w:t>In Mathematics Education in Africa: The Fourth Industrial Revolution</w:t>
      </w:r>
      <w:r w:rsidRPr="00533532">
        <w:rPr>
          <w:rFonts w:ascii="Arial" w:hAnsi="Arial" w:cs="Arial"/>
          <w:color w:val="000000" w:themeColor="text1"/>
          <w:sz w:val="20"/>
          <w:szCs w:val="20"/>
        </w:rPr>
        <w:t xml:space="preserve"> (pp. 77–96). </w:t>
      </w:r>
      <w:r w:rsidRPr="00533532">
        <w:rPr>
          <w:rStyle w:val="url"/>
          <w:rFonts w:ascii="Arial" w:eastAsiaTheme="majorEastAsia" w:hAnsi="Arial" w:cs="Arial"/>
          <w:color w:val="000000" w:themeColor="text1"/>
          <w:sz w:val="20"/>
          <w:szCs w:val="20"/>
        </w:rPr>
        <w:t>https://doi.org/10.1007/978-3-031-13927-7_5</w:t>
      </w:r>
    </w:p>
    <w:p w14:paraId="16AB7B29" w14:textId="77777777" w:rsidR="00533532" w:rsidRPr="007C6CC4" w:rsidRDefault="00533532" w:rsidP="007C6CC4">
      <w:pPr>
        <w:pStyle w:val="ListParagraph"/>
        <w:numPr>
          <w:ilvl w:val="0"/>
          <w:numId w:val="1"/>
        </w:numPr>
        <w:pBdr>
          <w:top w:val="nil"/>
          <w:left w:val="nil"/>
          <w:bottom w:val="nil"/>
          <w:right w:val="nil"/>
          <w:between w:val="nil"/>
        </w:pBdr>
        <w:spacing w:after="240"/>
        <w:jc w:val="both"/>
        <w:rPr>
          <w:rFonts w:ascii="Arial" w:eastAsia="Book Antiqua" w:hAnsi="Arial" w:cs="Arial"/>
          <w:color w:val="000000" w:themeColor="text1"/>
          <w:sz w:val="20"/>
          <w:szCs w:val="20"/>
        </w:rPr>
      </w:pPr>
      <w:r w:rsidRPr="007C6CC4">
        <w:rPr>
          <w:rFonts w:ascii="Arial" w:hAnsi="Arial" w:cs="Arial"/>
          <w:color w:val="000000" w:themeColor="text1"/>
          <w:sz w:val="20"/>
          <w:szCs w:val="20"/>
          <w:shd w:val="clear" w:color="auto" w:fill="FFFFFF"/>
        </w:rPr>
        <w:t>Barlow, M. L. (1967). History of industrial education in the United States. </w:t>
      </w:r>
      <w:r w:rsidRPr="007C6CC4">
        <w:rPr>
          <w:rFonts w:ascii="Arial" w:hAnsi="Arial" w:cs="Arial"/>
          <w:i/>
          <w:iCs/>
          <w:color w:val="000000" w:themeColor="text1"/>
          <w:sz w:val="20"/>
          <w:szCs w:val="20"/>
          <w:shd w:val="clear" w:color="auto" w:fill="FFFFFF"/>
        </w:rPr>
        <w:t>(No Title)</w:t>
      </w:r>
      <w:r w:rsidRPr="007C6CC4">
        <w:rPr>
          <w:rFonts w:ascii="Arial" w:eastAsia="Book Antiqua" w:hAnsi="Arial" w:cs="Arial"/>
          <w:color w:val="000000" w:themeColor="text1"/>
          <w:sz w:val="20"/>
          <w:szCs w:val="20"/>
        </w:rPr>
        <w:t xml:space="preserve">. Peoria, Illinois: Chas. A. Bennett Co., Inc. </w:t>
      </w:r>
      <w:hyperlink r:id="rId16" w:history="1">
        <w:r w:rsidRPr="007C6CC4">
          <w:rPr>
            <w:rStyle w:val="Hyperlink"/>
            <w:rFonts w:ascii="Arial" w:eastAsia="Book Antiqua" w:hAnsi="Arial" w:cs="Arial"/>
            <w:color w:val="000000" w:themeColor="text1"/>
            <w:sz w:val="20"/>
            <w:szCs w:val="20"/>
            <w:u w:val="none"/>
          </w:rPr>
          <w:t>https://search.worldcat.org/title/550272</w:t>
        </w:r>
      </w:hyperlink>
    </w:p>
    <w:p w14:paraId="4BA09502" w14:textId="77777777" w:rsidR="00533532" w:rsidRPr="007C6CC4" w:rsidRDefault="00533532" w:rsidP="007C6CC4">
      <w:pPr>
        <w:pStyle w:val="ListParagraph"/>
        <w:numPr>
          <w:ilvl w:val="0"/>
          <w:numId w:val="1"/>
        </w:numPr>
        <w:pBdr>
          <w:top w:val="nil"/>
          <w:left w:val="nil"/>
          <w:bottom w:val="nil"/>
          <w:right w:val="nil"/>
          <w:between w:val="nil"/>
        </w:pBdr>
        <w:spacing w:after="240"/>
        <w:jc w:val="both"/>
        <w:rPr>
          <w:rFonts w:ascii="Arial" w:eastAsia="Book Antiqua" w:hAnsi="Arial" w:cs="Arial"/>
          <w:color w:val="000000" w:themeColor="text1"/>
          <w:sz w:val="20"/>
          <w:szCs w:val="20"/>
        </w:rPr>
      </w:pPr>
      <w:r w:rsidRPr="007C6CC4">
        <w:rPr>
          <w:rFonts w:ascii="Arial" w:eastAsia="Book Antiqua" w:hAnsi="Arial" w:cs="Arial"/>
          <w:color w:val="000000" w:themeColor="text1"/>
          <w:sz w:val="20"/>
          <w:szCs w:val="20"/>
        </w:rPr>
        <w:t>Barquero, B., Bosch, M., &amp; Gascón, J. (2018). The institutional constraints to the implementation of mathematical modeling in the classroom: A study based on teachers' practices. </w:t>
      </w:r>
      <w:r w:rsidRPr="007C6CC4">
        <w:rPr>
          <w:rFonts w:ascii="Arial" w:eastAsia="Book Antiqua" w:hAnsi="Arial" w:cs="Arial"/>
          <w:i/>
          <w:iCs/>
          <w:color w:val="000000" w:themeColor="text1"/>
          <w:sz w:val="20"/>
          <w:szCs w:val="20"/>
        </w:rPr>
        <w:t>ZDM – Mathematics Education, 50</w:t>
      </w:r>
      <w:r w:rsidRPr="007C6CC4">
        <w:rPr>
          <w:rFonts w:ascii="Arial" w:eastAsia="Book Antiqua" w:hAnsi="Arial" w:cs="Arial"/>
          <w:color w:val="000000" w:themeColor="text1"/>
          <w:sz w:val="20"/>
          <w:szCs w:val="20"/>
        </w:rPr>
        <w:t xml:space="preserve">(1), 31–42. </w:t>
      </w:r>
      <w:hyperlink r:id="rId17" w:history="1">
        <w:r w:rsidRPr="007C6CC4">
          <w:rPr>
            <w:rStyle w:val="Hyperlink"/>
            <w:rFonts w:ascii="Arial" w:eastAsia="Book Antiqua" w:hAnsi="Arial" w:cs="Arial"/>
            <w:color w:val="000000" w:themeColor="text1"/>
            <w:sz w:val="20"/>
            <w:szCs w:val="20"/>
            <w:u w:val="none"/>
          </w:rPr>
          <w:t>https://doi.org/10.1007/s11858-017-0880-4</w:t>
        </w:r>
      </w:hyperlink>
    </w:p>
    <w:p w14:paraId="6A8141A5" w14:textId="77777777" w:rsidR="00533532" w:rsidRPr="007C6CC4" w:rsidRDefault="00533532" w:rsidP="007C6CC4">
      <w:pPr>
        <w:pStyle w:val="ListParagraph"/>
        <w:numPr>
          <w:ilvl w:val="0"/>
          <w:numId w:val="1"/>
        </w:numPr>
        <w:pBdr>
          <w:top w:val="nil"/>
          <w:left w:val="nil"/>
          <w:bottom w:val="nil"/>
          <w:right w:val="nil"/>
          <w:between w:val="nil"/>
        </w:pBdr>
        <w:spacing w:after="240"/>
        <w:jc w:val="both"/>
        <w:rPr>
          <w:rFonts w:ascii="Arial" w:eastAsia="Book Antiqua" w:hAnsi="Arial" w:cs="Arial"/>
          <w:color w:val="000000" w:themeColor="text1"/>
          <w:sz w:val="20"/>
          <w:szCs w:val="20"/>
        </w:rPr>
      </w:pPr>
      <w:r w:rsidRPr="007C6CC4">
        <w:rPr>
          <w:rFonts w:ascii="Arial" w:eastAsia="Book Antiqua" w:hAnsi="Arial" w:cs="Arial"/>
          <w:color w:val="000000" w:themeColor="text1"/>
          <w:sz w:val="20"/>
          <w:szCs w:val="20"/>
        </w:rPr>
        <w:t>Bucciarelli, L., &amp; Drew, D. (2015). Liberal studies in engineering—a design plan. </w:t>
      </w:r>
      <w:r w:rsidRPr="007C6CC4">
        <w:rPr>
          <w:rFonts w:ascii="Arial" w:eastAsia="Book Antiqua" w:hAnsi="Arial" w:cs="Arial"/>
          <w:i/>
          <w:iCs/>
          <w:color w:val="000000" w:themeColor="text1"/>
          <w:sz w:val="20"/>
          <w:szCs w:val="20"/>
        </w:rPr>
        <w:t>Engineering Studies, 7</w:t>
      </w:r>
      <w:r w:rsidRPr="007C6CC4">
        <w:rPr>
          <w:rFonts w:ascii="Arial" w:eastAsia="Book Antiqua" w:hAnsi="Arial" w:cs="Arial"/>
          <w:color w:val="000000" w:themeColor="text1"/>
          <w:sz w:val="20"/>
          <w:szCs w:val="20"/>
        </w:rPr>
        <w:t>(2), 103-122.https://doi.org/10.1080/19378629.2015.1055543</w:t>
      </w:r>
    </w:p>
    <w:p w14:paraId="7BC04190" w14:textId="77777777" w:rsidR="00533532" w:rsidRPr="007C6CC4" w:rsidRDefault="00533532" w:rsidP="007C6CC4">
      <w:pPr>
        <w:pStyle w:val="ListParagraph"/>
        <w:numPr>
          <w:ilvl w:val="0"/>
          <w:numId w:val="1"/>
        </w:numPr>
        <w:pBdr>
          <w:top w:val="nil"/>
          <w:left w:val="nil"/>
          <w:bottom w:val="nil"/>
          <w:right w:val="nil"/>
          <w:between w:val="nil"/>
        </w:pBdr>
        <w:spacing w:after="240"/>
        <w:jc w:val="both"/>
        <w:rPr>
          <w:rStyle w:val="url"/>
          <w:rFonts w:ascii="Arial" w:eastAsiaTheme="majorEastAsia" w:hAnsi="Arial" w:cs="Arial"/>
          <w:color w:val="000000" w:themeColor="text1"/>
          <w:sz w:val="20"/>
          <w:szCs w:val="20"/>
        </w:rPr>
      </w:pPr>
      <w:r w:rsidRPr="007C6CC4">
        <w:rPr>
          <w:rFonts w:ascii="Arial" w:hAnsi="Arial" w:cs="Arial"/>
          <w:color w:val="000000" w:themeColor="text1"/>
          <w:sz w:val="20"/>
          <w:szCs w:val="20"/>
        </w:rPr>
        <w:t xml:space="preserve">Chen, L., Chen, P., &amp; Lin, Z. (2020). Artificial Intelligence in Education: a review. </w:t>
      </w:r>
      <w:r w:rsidRPr="007C6CC4">
        <w:rPr>
          <w:rFonts w:ascii="Arial" w:hAnsi="Arial" w:cs="Arial"/>
          <w:i/>
          <w:iCs/>
          <w:color w:val="000000" w:themeColor="text1"/>
          <w:sz w:val="20"/>
          <w:szCs w:val="20"/>
        </w:rPr>
        <w:t>IEEE Access</w:t>
      </w:r>
      <w:r w:rsidRPr="007C6CC4">
        <w:rPr>
          <w:rFonts w:ascii="Arial" w:hAnsi="Arial" w:cs="Arial"/>
          <w:color w:val="000000" w:themeColor="text1"/>
          <w:sz w:val="20"/>
          <w:szCs w:val="20"/>
        </w:rPr>
        <w:t xml:space="preserve">, </w:t>
      </w:r>
      <w:r w:rsidRPr="007C6CC4">
        <w:rPr>
          <w:rFonts w:ascii="Arial" w:hAnsi="Arial" w:cs="Arial"/>
          <w:i/>
          <w:iCs/>
          <w:color w:val="000000" w:themeColor="text1"/>
          <w:sz w:val="20"/>
          <w:szCs w:val="20"/>
        </w:rPr>
        <w:t>8</w:t>
      </w:r>
      <w:r w:rsidRPr="007C6CC4">
        <w:rPr>
          <w:rFonts w:ascii="Arial" w:hAnsi="Arial" w:cs="Arial"/>
          <w:color w:val="000000" w:themeColor="text1"/>
          <w:sz w:val="20"/>
          <w:szCs w:val="20"/>
        </w:rPr>
        <w:t xml:space="preserve">, 75264–75278. </w:t>
      </w:r>
      <w:hyperlink r:id="rId18" w:history="1">
        <w:r w:rsidRPr="007C6CC4">
          <w:rPr>
            <w:rStyle w:val="Hyperlink"/>
            <w:rFonts w:ascii="Arial" w:eastAsiaTheme="majorEastAsia" w:hAnsi="Arial" w:cs="Arial"/>
            <w:color w:val="000000" w:themeColor="text1"/>
            <w:sz w:val="20"/>
            <w:szCs w:val="20"/>
            <w:u w:val="none"/>
          </w:rPr>
          <w:t>https://doi.org/10.1109/access.2020.2988510</w:t>
        </w:r>
      </w:hyperlink>
    </w:p>
    <w:p w14:paraId="19A01D5D" w14:textId="77777777" w:rsidR="00533532" w:rsidRPr="007C6CC4" w:rsidRDefault="00533532" w:rsidP="007C6CC4">
      <w:pPr>
        <w:pStyle w:val="ListParagraph"/>
        <w:numPr>
          <w:ilvl w:val="0"/>
          <w:numId w:val="1"/>
        </w:numPr>
        <w:pBdr>
          <w:top w:val="nil"/>
          <w:left w:val="nil"/>
          <w:bottom w:val="nil"/>
          <w:right w:val="nil"/>
          <w:between w:val="nil"/>
        </w:pBdr>
        <w:spacing w:after="240"/>
        <w:jc w:val="both"/>
        <w:rPr>
          <w:rFonts w:ascii="Arial" w:hAnsi="Arial" w:cs="Arial"/>
          <w:color w:val="000000" w:themeColor="text1"/>
          <w:sz w:val="20"/>
          <w:szCs w:val="20"/>
        </w:rPr>
      </w:pPr>
      <w:proofErr w:type="spellStart"/>
      <w:r w:rsidRPr="007C6CC4">
        <w:rPr>
          <w:rFonts w:ascii="Arial" w:eastAsia="Book Antiqua" w:hAnsi="Arial" w:cs="Arial"/>
          <w:color w:val="000000" w:themeColor="text1"/>
          <w:sz w:val="20"/>
          <w:szCs w:val="20"/>
        </w:rPr>
        <w:t>Copur-Gencturk</w:t>
      </w:r>
      <w:proofErr w:type="spellEnd"/>
      <w:r w:rsidRPr="007C6CC4">
        <w:rPr>
          <w:rFonts w:ascii="Arial" w:eastAsia="Book Antiqua" w:hAnsi="Arial" w:cs="Arial"/>
          <w:color w:val="000000" w:themeColor="text1"/>
          <w:sz w:val="20"/>
          <w:szCs w:val="20"/>
        </w:rPr>
        <w:t xml:space="preserve">, Y., &amp; Orrill, C. H. (2025). A promising approach to scaling up professional development: Intelligent, interactive, virtual professional development with just-in-time feedback. </w:t>
      </w:r>
      <w:r w:rsidRPr="007C6CC4">
        <w:rPr>
          <w:rFonts w:ascii="Arial" w:eastAsia="Book Antiqua" w:hAnsi="Arial" w:cs="Arial"/>
          <w:i/>
          <w:iCs/>
          <w:color w:val="000000" w:themeColor="text1"/>
          <w:sz w:val="20"/>
          <w:szCs w:val="20"/>
        </w:rPr>
        <w:t>Journal of Mathematics Teacher Education, 28</w:t>
      </w:r>
      <w:r w:rsidRPr="007C6CC4">
        <w:rPr>
          <w:rFonts w:ascii="Arial" w:eastAsia="Book Antiqua" w:hAnsi="Arial" w:cs="Arial"/>
          <w:color w:val="000000" w:themeColor="text1"/>
          <w:sz w:val="20"/>
          <w:szCs w:val="20"/>
        </w:rPr>
        <w:t>(6), 1287-1311. </w:t>
      </w:r>
      <w:hyperlink r:id="rId19">
        <w:r w:rsidRPr="007C6CC4">
          <w:rPr>
            <w:rFonts w:ascii="Arial" w:eastAsia="Book Antiqua" w:hAnsi="Arial" w:cs="Arial"/>
            <w:color w:val="000000" w:themeColor="text1"/>
            <w:sz w:val="20"/>
            <w:szCs w:val="20"/>
          </w:rPr>
          <w:t>https://doi.org/10.1007/s10857-023-09615-1</w:t>
        </w:r>
      </w:hyperlink>
    </w:p>
    <w:p w14:paraId="2E93296A" w14:textId="77777777" w:rsidR="00533532" w:rsidRPr="007C6CC4" w:rsidRDefault="00533532" w:rsidP="007C6CC4">
      <w:pPr>
        <w:pStyle w:val="ListParagraph"/>
        <w:numPr>
          <w:ilvl w:val="0"/>
          <w:numId w:val="1"/>
        </w:numPr>
        <w:pBdr>
          <w:top w:val="nil"/>
          <w:left w:val="nil"/>
          <w:bottom w:val="nil"/>
          <w:right w:val="nil"/>
          <w:between w:val="nil"/>
        </w:pBdr>
        <w:spacing w:after="240"/>
        <w:jc w:val="both"/>
        <w:rPr>
          <w:rFonts w:ascii="Arial" w:eastAsia="Book Antiqua" w:hAnsi="Arial" w:cs="Arial"/>
          <w:color w:val="000000" w:themeColor="text1"/>
          <w:sz w:val="20"/>
          <w:szCs w:val="20"/>
        </w:rPr>
      </w:pPr>
      <w:proofErr w:type="spellStart"/>
      <w:r w:rsidRPr="007C6CC4">
        <w:rPr>
          <w:rFonts w:ascii="Arial" w:hAnsi="Arial" w:cs="Arial"/>
          <w:color w:val="000000" w:themeColor="text1"/>
          <w:sz w:val="20"/>
          <w:szCs w:val="20"/>
        </w:rPr>
        <w:t>Culduz</w:t>
      </w:r>
      <w:proofErr w:type="spellEnd"/>
      <w:r w:rsidRPr="007C6CC4">
        <w:rPr>
          <w:rFonts w:ascii="Arial" w:hAnsi="Arial" w:cs="Arial"/>
          <w:color w:val="000000" w:themeColor="text1"/>
          <w:sz w:val="20"/>
          <w:szCs w:val="20"/>
        </w:rPr>
        <w:t xml:space="preserve">, M. (2024). The 4th Industrial Revolution and its impact on entrepreneurial education. In </w:t>
      </w:r>
      <w:r w:rsidRPr="007C6CC4">
        <w:rPr>
          <w:rFonts w:ascii="Arial" w:hAnsi="Arial" w:cs="Arial"/>
          <w:i/>
          <w:iCs/>
          <w:color w:val="000000" w:themeColor="text1"/>
          <w:sz w:val="20"/>
          <w:szCs w:val="20"/>
        </w:rPr>
        <w:t>Advances in higher education and professional development book series</w:t>
      </w:r>
      <w:r w:rsidRPr="007C6CC4">
        <w:rPr>
          <w:rFonts w:ascii="Arial" w:hAnsi="Arial" w:cs="Arial"/>
          <w:color w:val="000000" w:themeColor="text1"/>
          <w:sz w:val="20"/>
          <w:szCs w:val="20"/>
        </w:rPr>
        <w:t xml:space="preserve"> (pp. 166–188). </w:t>
      </w:r>
      <w:r w:rsidRPr="007C6CC4">
        <w:rPr>
          <w:rStyle w:val="url"/>
          <w:rFonts w:ascii="Arial" w:eastAsiaTheme="majorEastAsia" w:hAnsi="Arial" w:cs="Arial"/>
          <w:color w:val="000000" w:themeColor="text1"/>
          <w:sz w:val="20"/>
          <w:szCs w:val="20"/>
        </w:rPr>
        <w:t>https://doi.org/10.4018/979-8-3693-0409-9.ch009</w:t>
      </w:r>
    </w:p>
    <w:p w14:paraId="5EA89CED" w14:textId="77777777" w:rsidR="00533532" w:rsidRPr="007C6CC4" w:rsidRDefault="00533532" w:rsidP="007C6CC4">
      <w:pPr>
        <w:pStyle w:val="ListParagraph"/>
        <w:numPr>
          <w:ilvl w:val="0"/>
          <w:numId w:val="1"/>
        </w:numPr>
        <w:pBdr>
          <w:top w:val="nil"/>
          <w:left w:val="nil"/>
          <w:bottom w:val="nil"/>
          <w:right w:val="nil"/>
          <w:between w:val="nil"/>
        </w:pBdr>
        <w:spacing w:after="240"/>
        <w:jc w:val="both"/>
        <w:rPr>
          <w:rFonts w:ascii="Arial" w:eastAsia="Book Antiqua" w:hAnsi="Arial" w:cs="Arial"/>
          <w:color w:val="000000" w:themeColor="text1"/>
          <w:sz w:val="20"/>
          <w:szCs w:val="20"/>
        </w:rPr>
      </w:pPr>
      <w:r w:rsidRPr="007C6CC4">
        <w:rPr>
          <w:rFonts w:ascii="Arial" w:eastAsia="Book Antiqua" w:hAnsi="Arial" w:cs="Arial"/>
          <w:color w:val="000000" w:themeColor="text1"/>
          <w:sz w:val="20"/>
          <w:szCs w:val="20"/>
        </w:rPr>
        <w:t xml:space="preserve">Elayyan, S. (2021). The future of education according to the fourth industrial revolution. </w:t>
      </w:r>
      <w:r w:rsidRPr="007C6CC4">
        <w:rPr>
          <w:rFonts w:ascii="Arial" w:eastAsia="Book Antiqua" w:hAnsi="Arial" w:cs="Arial"/>
          <w:i/>
          <w:iCs/>
          <w:color w:val="000000" w:themeColor="text1"/>
          <w:sz w:val="20"/>
          <w:szCs w:val="20"/>
        </w:rPr>
        <w:t>Journal of Educational Technology &amp; Online Learning, 4</w:t>
      </w:r>
      <w:r w:rsidRPr="007C6CC4">
        <w:rPr>
          <w:rFonts w:ascii="Arial" w:eastAsia="Book Antiqua" w:hAnsi="Arial" w:cs="Arial"/>
          <w:color w:val="000000" w:themeColor="text1"/>
          <w:sz w:val="20"/>
          <w:szCs w:val="20"/>
        </w:rPr>
        <w:t xml:space="preserve">(1), 23-30. </w:t>
      </w:r>
      <w:hyperlink r:id="rId20">
        <w:r w:rsidRPr="007C6CC4">
          <w:rPr>
            <w:rFonts w:ascii="Arial" w:eastAsia="Book Antiqua" w:hAnsi="Arial" w:cs="Arial"/>
            <w:color w:val="000000" w:themeColor="text1"/>
            <w:sz w:val="20"/>
            <w:szCs w:val="20"/>
          </w:rPr>
          <w:t>https://doi.org/10.31681/jetol.737193</w:t>
        </w:r>
      </w:hyperlink>
    </w:p>
    <w:p w14:paraId="05990CA3" w14:textId="77777777" w:rsidR="00533532" w:rsidRPr="007C6CC4" w:rsidRDefault="00533532" w:rsidP="007C6CC4">
      <w:pPr>
        <w:pStyle w:val="ListParagraph"/>
        <w:numPr>
          <w:ilvl w:val="0"/>
          <w:numId w:val="1"/>
        </w:numPr>
        <w:pBdr>
          <w:top w:val="nil"/>
          <w:left w:val="nil"/>
          <w:bottom w:val="nil"/>
          <w:right w:val="nil"/>
          <w:between w:val="nil"/>
        </w:pBdr>
        <w:spacing w:after="240"/>
        <w:jc w:val="both"/>
        <w:rPr>
          <w:rStyle w:val="url"/>
          <w:rFonts w:ascii="Arial" w:eastAsiaTheme="majorEastAsia" w:hAnsi="Arial" w:cs="Arial"/>
          <w:color w:val="000000" w:themeColor="text1"/>
          <w:sz w:val="20"/>
          <w:szCs w:val="20"/>
        </w:rPr>
      </w:pPr>
      <w:r w:rsidRPr="007C6CC4">
        <w:rPr>
          <w:rFonts w:ascii="Arial" w:hAnsi="Arial" w:cs="Arial"/>
          <w:color w:val="000000" w:themeColor="text1"/>
          <w:sz w:val="20"/>
          <w:szCs w:val="20"/>
        </w:rPr>
        <w:t xml:space="preserve">Elayyan, S. (2021). The future of education according to the fourth industrial revolution. </w:t>
      </w:r>
      <w:r w:rsidRPr="007C6CC4">
        <w:rPr>
          <w:rFonts w:ascii="Arial" w:hAnsi="Arial" w:cs="Arial"/>
          <w:i/>
          <w:iCs/>
          <w:color w:val="000000" w:themeColor="text1"/>
          <w:sz w:val="20"/>
          <w:szCs w:val="20"/>
        </w:rPr>
        <w:t>Journal of Educational Technology and Online Learning</w:t>
      </w:r>
      <w:r w:rsidRPr="007C6CC4">
        <w:rPr>
          <w:rFonts w:ascii="Arial" w:hAnsi="Arial" w:cs="Arial"/>
          <w:color w:val="000000" w:themeColor="text1"/>
          <w:sz w:val="20"/>
          <w:szCs w:val="20"/>
        </w:rPr>
        <w:t xml:space="preserve">, </w:t>
      </w:r>
      <w:r w:rsidRPr="007C6CC4">
        <w:rPr>
          <w:rFonts w:ascii="Arial" w:hAnsi="Arial" w:cs="Arial"/>
          <w:i/>
          <w:iCs/>
          <w:color w:val="000000" w:themeColor="text1"/>
          <w:sz w:val="20"/>
          <w:szCs w:val="20"/>
        </w:rPr>
        <w:t>4</w:t>
      </w:r>
      <w:r w:rsidRPr="007C6CC4">
        <w:rPr>
          <w:rFonts w:ascii="Arial" w:hAnsi="Arial" w:cs="Arial"/>
          <w:color w:val="000000" w:themeColor="text1"/>
          <w:sz w:val="20"/>
          <w:szCs w:val="20"/>
        </w:rPr>
        <w:t xml:space="preserve">(1), 23–30. </w:t>
      </w:r>
      <w:hyperlink r:id="rId21" w:history="1">
        <w:r w:rsidRPr="007C6CC4">
          <w:rPr>
            <w:rStyle w:val="Hyperlink"/>
            <w:rFonts w:ascii="Arial" w:eastAsiaTheme="majorEastAsia" w:hAnsi="Arial" w:cs="Arial"/>
            <w:color w:val="000000" w:themeColor="text1"/>
            <w:sz w:val="20"/>
            <w:szCs w:val="20"/>
            <w:u w:val="none"/>
          </w:rPr>
          <w:t>https://doi.org/10.31681/jetol.737193</w:t>
        </w:r>
      </w:hyperlink>
    </w:p>
    <w:p w14:paraId="5B868934" w14:textId="77777777" w:rsidR="00533532" w:rsidRPr="007C6CC4" w:rsidRDefault="00533532" w:rsidP="007C6CC4">
      <w:pPr>
        <w:pStyle w:val="ListParagraph"/>
        <w:numPr>
          <w:ilvl w:val="0"/>
          <w:numId w:val="1"/>
        </w:numPr>
        <w:pBdr>
          <w:top w:val="nil"/>
          <w:left w:val="nil"/>
          <w:bottom w:val="nil"/>
          <w:right w:val="nil"/>
          <w:between w:val="nil"/>
        </w:pBdr>
        <w:spacing w:after="240"/>
        <w:jc w:val="both"/>
        <w:rPr>
          <w:rFonts w:ascii="Arial" w:eastAsia="Book Antiqua" w:hAnsi="Arial" w:cs="Arial"/>
          <w:color w:val="000000" w:themeColor="text1"/>
          <w:sz w:val="20"/>
          <w:szCs w:val="20"/>
        </w:rPr>
      </w:pPr>
      <w:r w:rsidRPr="007C6CC4">
        <w:rPr>
          <w:rFonts w:ascii="Arial" w:eastAsia="Book Antiqua" w:hAnsi="Arial" w:cs="Arial"/>
          <w:color w:val="000000" w:themeColor="text1"/>
          <w:sz w:val="20"/>
          <w:szCs w:val="20"/>
        </w:rPr>
        <w:lastRenderedPageBreak/>
        <w:t xml:space="preserve">Eliot, C. (1869). The New Education. Harvard University Press. </w:t>
      </w:r>
      <w:hyperlink r:id="rId22">
        <w:r w:rsidRPr="007C6CC4">
          <w:rPr>
            <w:rFonts w:ascii="Arial" w:eastAsia="Book Antiqua" w:hAnsi="Arial" w:cs="Arial"/>
            <w:color w:val="000000" w:themeColor="text1"/>
            <w:sz w:val="20"/>
            <w:szCs w:val="20"/>
          </w:rPr>
          <w:t>https://www.theatlantic.com/magazine/archive/1869/02/the-new-education/309049/</w:t>
        </w:r>
      </w:hyperlink>
    </w:p>
    <w:p w14:paraId="534A6E60" w14:textId="77777777" w:rsidR="00533532" w:rsidRPr="007C6CC4" w:rsidRDefault="00533532" w:rsidP="007C6CC4">
      <w:pPr>
        <w:pStyle w:val="ListParagraph"/>
        <w:numPr>
          <w:ilvl w:val="0"/>
          <w:numId w:val="1"/>
        </w:numPr>
        <w:pBdr>
          <w:top w:val="nil"/>
          <w:left w:val="nil"/>
          <w:bottom w:val="nil"/>
          <w:right w:val="nil"/>
          <w:between w:val="nil"/>
        </w:pBdr>
        <w:spacing w:after="240"/>
        <w:jc w:val="both"/>
        <w:rPr>
          <w:rFonts w:ascii="Arial" w:eastAsia="Book Antiqua" w:hAnsi="Arial" w:cs="Arial"/>
          <w:color w:val="000000" w:themeColor="text1"/>
          <w:sz w:val="20"/>
          <w:szCs w:val="20"/>
        </w:rPr>
      </w:pPr>
      <w:proofErr w:type="spellStart"/>
      <w:r w:rsidRPr="007C6CC4">
        <w:rPr>
          <w:rFonts w:ascii="Arial" w:eastAsia="Book Antiqua" w:hAnsi="Arial" w:cs="Arial"/>
          <w:color w:val="000000" w:themeColor="text1"/>
          <w:sz w:val="20"/>
          <w:szCs w:val="20"/>
        </w:rPr>
        <w:t>Fomunyam</w:t>
      </w:r>
      <w:proofErr w:type="spellEnd"/>
      <w:r w:rsidRPr="007C6CC4">
        <w:rPr>
          <w:rFonts w:ascii="Arial" w:eastAsia="Book Antiqua" w:hAnsi="Arial" w:cs="Arial"/>
          <w:color w:val="000000" w:themeColor="text1"/>
          <w:sz w:val="20"/>
          <w:szCs w:val="20"/>
        </w:rPr>
        <w:t xml:space="preserve">, K. G. (2020). </w:t>
      </w:r>
      <w:proofErr w:type="spellStart"/>
      <w:r w:rsidRPr="007C6CC4">
        <w:rPr>
          <w:rFonts w:ascii="Arial" w:eastAsia="Book Antiqua" w:hAnsi="Arial" w:cs="Arial"/>
          <w:color w:val="000000" w:themeColor="text1"/>
          <w:sz w:val="20"/>
          <w:szCs w:val="20"/>
        </w:rPr>
        <w:t>Deterritorialising</w:t>
      </w:r>
      <w:proofErr w:type="spellEnd"/>
      <w:r w:rsidRPr="007C6CC4">
        <w:rPr>
          <w:rFonts w:ascii="Arial" w:eastAsia="Book Antiqua" w:hAnsi="Arial" w:cs="Arial"/>
          <w:color w:val="000000" w:themeColor="text1"/>
          <w:sz w:val="20"/>
          <w:szCs w:val="20"/>
        </w:rPr>
        <w:t xml:space="preserve"> to </w:t>
      </w:r>
      <w:proofErr w:type="spellStart"/>
      <w:r w:rsidRPr="007C6CC4">
        <w:rPr>
          <w:rFonts w:ascii="Arial" w:eastAsia="Book Antiqua" w:hAnsi="Arial" w:cs="Arial"/>
          <w:color w:val="000000" w:themeColor="text1"/>
          <w:sz w:val="20"/>
          <w:szCs w:val="20"/>
        </w:rPr>
        <w:t>reterritorialising</w:t>
      </w:r>
      <w:proofErr w:type="spellEnd"/>
      <w:r w:rsidRPr="007C6CC4">
        <w:rPr>
          <w:rFonts w:ascii="Arial" w:eastAsia="Book Antiqua" w:hAnsi="Arial" w:cs="Arial"/>
          <w:color w:val="000000" w:themeColor="text1"/>
          <w:sz w:val="20"/>
          <w:szCs w:val="20"/>
        </w:rPr>
        <w:t xml:space="preserve"> the curriculum discourse in African higher education in the Era of the fourth industrial revolution. </w:t>
      </w:r>
      <w:r w:rsidRPr="007C6CC4">
        <w:rPr>
          <w:rFonts w:ascii="Arial" w:eastAsia="Book Antiqua" w:hAnsi="Arial" w:cs="Arial"/>
          <w:i/>
          <w:iCs/>
          <w:color w:val="000000" w:themeColor="text1"/>
          <w:sz w:val="20"/>
          <w:szCs w:val="20"/>
        </w:rPr>
        <w:t>International Journal of Higher Education, 9</w:t>
      </w:r>
      <w:r w:rsidRPr="007C6CC4">
        <w:rPr>
          <w:rFonts w:ascii="Arial" w:eastAsia="Book Antiqua" w:hAnsi="Arial" w:cs="Arial"/>
          <w:color w:val="000000" w:themeColor="text1"/>
          <w:sz w:val="20"/>
          <w:szCs w:val="20"/>
        </w:rPr>
        <w:t xml:space="preserve">(4), 27–34. </w:t>
      </w:r>
      <w:hyperlink r:id="rId23">
        <w:r w:rsidRPr="007C6CC4">
          <w:rPr>
            <w:rFonts w:ascii="Arial" w:eastAsia="Book Antiqua" w:hAnsi="Arial" w:cs="Arial"/>
            <w:color w:val="000000" w:themeColor="text1"/>
            <w:sz w:val="20"/>
            <w:szCs w:val="20"/>
          </w:rPr>
          <w:t>https://doi.org/10.5430/ijhe.v9n4p27</w:t>
        </w:r>
      </w:hyperlink>
    </w:p>
    <w:p w14:paraId="69793496" w14:textId="77777777" w:rsidR="00533532" w:rsidRPr="007C6CC4" w:rsidRDefault="00533532" w:rsidP="007C6CC4">
      <w:pPr>
        <w:pStyle w:val="ListParagraph"/>
        <w:numPr>
          <w:ilvl w:val="0"/>
          <w:numId w:val="1"/>
        </w:numPr>
        <w:pBdr>
          <w:top w:val="nil"/>
          <w:left w:val="nil"/>
          <w:bottom w:val="nil"/>
          <w:right w:val="nil"/>
          <w:between w:val="nil"/>
        </w:pBdr>
        <w:spacing w:after="240"/>
        <w:jc w:val="both"/>
        <w:rPr>
          <w:rStyle w:val="url"/>
          <w:rFonts w:ascii="Arial" w:eastAsiaTheme="majorEastAsia" w:hAnsi="Arial" w:cs="Arial"/>
          <w:color w:val="000000" w:themeColor="text1"/>
          <w:sz w:val="20"/>
          <w:szCs w:val="20"/>
        </w:rPr>
      </w:pPr>
      <w:proofErr w:type="spellStart"/>
      <w:r w:rsidRPr="007C6CC4">
        <w:rPr>
          <w:rFonts w:ascii="Arial" w:hAnsi="Arial" w:cs="Arial"/>
          <w:color w:val="000000" w:themeColor="text1"/>
          <w:sz w:val="20"/>
          <w:szCs w:val="20"/>
        </w:rPr>
        <w:t>Gqoli</w:t>
      </w:r>
      <w:proofErr w:type="spellEnd"/>
      <w:r w:rsidRPr="007C6CC4">
        <w:rPr>
          <w:rFonts w:ascii="Arial" w:hAnsi="Arial" w:cs="Arial"/>
          <w:color w:val="000000" w:themeColor="text1"/>
          <w:sz w:val="20"/>
          <w:szCs w:val="20"/>
        </w:rPr>
        <w:t xml:space="preserve">, N. (2024). Digital Technologies for Mathematics Learning in Rural Higher Education: Students’ Perspectives. </w:t>
      </w:r>
      <w:r w:rsidRPr="007C6CC4">
        <w:rPr>
          <w:rFonts w:ascii="Arial" w:hAnsi="Arial" w:cs="Arial"/>
          <w:i/>
          <w:iCs/>
          <w:color w:val="000000" w:themeColor="text1"/>
          <w:sz w:val="20"/>
          <w:szCs w:val="20"/>
        </w:rPr>
        <w:t>Research in Social Sciences and Technology</w:t>
      </w:r>
      <w:r w:rsidRPr="007C6CC4">
        <w:rPr>
          <w:rFonts w:ascii="Arial" w:hAnsi="Arial" w:cs="Arial"/>
          <w:color w:val="000000" w:themeColor="text1"/>
          <w:sz w:val="20"/>
          <w:szCs w:val="20"/>
        </w:rPr>
        <w:t xml:space="preserve">, </w:t>
      </w:r>
      <w:r w:rsidRPr="007C6CC4">
        <w:rPr>
          <w:rFonts w:ascii="Arial" w:hAnsi="Arial" w:cs="Arial"/>
          <w:i/>
          <w:iCs/>
          <w:color w:val="000000" w:themeColor="text1"/>
          <w:sz w:val="20"/>
          <w:szCs w:val="20"/>
        </w:rPr>
        <w:t>9</w:t>
      </w:r>
      <w:r w:rsidRPr="007C6CC4">
        <w:rPr>
          <w:rFonts w:ascii="Arial" w:hAnsi="Arial" w:cs="Arial"/>
          <w:color w:val="000000" w:themeColor="text1"/>
          <w:sz w:val="20"/>
          <w:szCs w:val="20"/>
        </w:rPr>
        <w:t xml:space="preserve">(1), 265–278. </w:t>
      </w:r>
      <w:hyperlink r:id="rId24" w:history="1">
        <w:r w:rsidRPr="007C6CC4">
          <w:rPr>
            <w:rStyle w:val="Hyperlink"/>
            <w:rFonts w:ascii="Arial" w:eastAsiaTheme="majorEastAsia" w:hAnsi="Arial" w:cs="Arial"/>
            <w:color w:val="000000" w:themeColor="text1"/>
            <w:sz w:val="20"/>
            <w:szCs w:val="20"/>
            <w:u w:val="none"/>
          </w:rPr>
          <w:t>https://doi.org/10.46303/ressat.2024.15</w:t>
        </w:r>
      </w:hyperlink>
    </w:p>
    <w:p w14:paraId="69E344EB" w14:textId="77777777" w:rsidR="00533532" w:rsidRPr="007C6CC4" w:rsidRDefault="00533532" w:rsidP="007C6CC4">
      <w:pPr>
        <w:pStyle w:val="ListParagraph"/>
        <w:numPr>
          <w:ilvl w:val="0"/>
          <w:numId w:val="1"/>
        </w:numPr>
        <w:pBdr>
          <w:top w:val="nil"/>
          <w:left w:val="nil"/>
          <w:bottom w:val="nil"/>
          <w:right w:val="nil"/>
          <w:between w:val="nil"/>
        </w:pBdr>
        <w:spacing w:after="240"/>
        <w:jc w:val="both"/>
        <w:rPr>
          <w:rFonts w:ascii="Arial" w:hAnsi="Arial" w:cs="Arial"/>
          <w:color w:val="000000" w:themeColor="text1"/>
          <w:sz w:val="20"/>
          <w:szCs w:val="20"/>
        </w:rPr>
      </w:pPr>
      <w:r w:rsidRPr="007C6CC4">
        <w:rPr>
          <w:rFonts w:ascii="Arial" w:hAnsi="Arial" w:cs="Arial"/>
          <w:color w:val="000000" w:themeColor="text1"/>
          <w:sz w:val="20"/>
          <w:szCs w:val="20"/>
        </w:rPr>
        <w:t xml:space="preserve">Holmes, W., Bialik, M., &amp; Fadel, C. (2019). Artificial intelligence in Education: Promises and implications for teaching and learning. In </w:t>
      </w:r>
      <w:r w:rsidRPr="007C6CC4">
        <w:rPr>
          <w:rFonts w:ascii="Arial" w:hAnsi="Arial" w:cs="Arial"/>
          <w:i/>
          <w:iCs/>
          <w:color w:val="000000" w:themeColor="text1"/>
          <w:sz w:val="20"/>
          <w:szCs w:val="20"/>
        </w:rPr>
        <w:t>Open Research Online (The Open University)</w:t>
      </w:r>
      <w:r w:rsidRPr="007C6CC4">
        <w:rPr>
          <w:rFonts w:ascii="Arial" w:hAnsi="Arial" w:cs="Arial"/>
          <w:color w:val="000000" w:themeColor="text1"/>
          <w:sz w:val="20"/>
          <w:szCs w:val="20"/>
        </w:rPr>
        <w:t>.</w:t>
      </w:r>
    </w:p>
    <w:p w14:paraId="4ED7D0D3" w14:textId="77777777" w:rsidR="00533532" w:rsidRPr="007C6CC4" w:rsidRDefault="00533532" w:rsidP="007C6CC4">
      <w:pPr>
        <w:pStyle w:val="ListParagraph"/>
        <w:numPr>
          <w:ilvl w:val="0"/>
          <w:numId w:val="1"/>
        </w:numPr>
        <w:pBdr>
          <w:top w:val="nil"/>
          <w:left w:val="nil"/>
          <w:bottom w:val="nil"/>
          <w:right w:val="nil"/>
          <w:between w:val="nil"/>
        </w:pBdr>
        <w:spacing w:after="240"/>
        <w:jc w:val="both"/>
        <w:rPr>
          <w:rStyle w:val="url"/>
          <w:rFonts w:ascii="Arial" w:eastAsiaTheme="majorEastAsia" w:hAnsi="Arial" w:cs="Arial"/>
          <w:color w:val="000000" w:themeColor="text1"/>
          <w:sz w:val="20"/>
          <w:szCs w:val="20"/>
        </w:rPr>
      </w:pPr>
      <w:r w:rsidRPr="007C6CC4">
        <w:rPr>
          <w:rFonts w:ascii="Arial" w:hAnsi="Arial" w:cs="Arial"/>
          <w:color w:val="000000" w:themeColor="text1"/>
          <w:sz w:val="20"/>
          <w:szCs w:val="20"/>
        </w:rPr>
        <w:t xml:space="preserve">Hwang, G., &amp; Tu, Y. (2021). Roles and Research Trends of Artificial Intelligence in Mathematics Education: A Bibliometric mapping analysis and Systematic review. </w:t>
      </w:r>
      <w:r w:rsidRPr="007C6CC4">
        <w:rPr>
          <w:rFonts w:ascii="Arial" w:hAnsi="Arial" w:cs="Arial"/>
          <w:i/>
          <w:iCs/>
          <w:color w:val="000000" w:themeColor="text1"/>
          <w:sz w:val="20"/>
          <w:szCs w:val="20"/>
        </w:rPr>
        <w:t>Mathematics</w:t>
      </w:r>
      <w:r w:rsidRPr="007C6CC4">
        <w:rPr>
          <w:rFonts w:ascii="Arial" w:hAnsi="Arial" w:cs="Arial"/>
          <w:color w:val="000000" w:themeColor="text1"/>
          <w:sz w:val="20"/>
          <w:szCs w:val="20"/>
        </w:rPr>
        <w:t xml:space="preserve">, </w:t>
      </w:r>
      <w:r w:rsidRPr="007C6CC4">
        <w:rPr>
          <w:rFonts w:ascii="Arial" w:hAnsi="Arial" w:cs="Arial"/>
          <w:i/>
          <w:iCs/>
          <w:color w:val="000000" w:themeColor="text1"/>
          <w:sz w:val="20"/>
          <w:szCs w:val="20"/>
        </w:rPr>
        <w:t>9</w:t>
      </w:r>
      <w:r w:rsidRPr="007C6CC4">
        <w:rPr>
          <w:rFonts w:ascii="Arial" w:hAnsi="Arial" w:cs="Arial"/>
          <w:color w:val="000000" w:themeColor="text1"/>
          <w:sz w:val="20"/>
          <w:szCs w:val="20"/>
        </w:rPr>
        <w:t xml:space="preserve">(6), 584. </w:t>
      </w:r>
      <w:hyperlink r:id="rId25" w:history="1">
        <w:r w:rsidRPr="007C6CC4">
          <w:rPr>
            <w:rStyle w:val="Hyperlink"/>
            <w:rFonts w:ascii="Arial" w:eastAsiaTheme="majorEastAsia" w:hAnsi="Arial" w:cs="Arial"/>
            <w:color w:val="000000" w:themeColor="text1"/>
            <w:sz w:val="20"/>
            <w:szCs w:val="20"/>
            <w:u w:val="none"/>
          </w:rPr>
          <w:t>https://doi.org/10.3390/math9060584</w:t>
        </w:r>
      </w:hyperlink>
    </w:p>
    <w:p w14:paraId="7FC35F52" w14:textId="77777777" w:rsidR="00533532" w:rsidRPr="007C6CC4" w:rsidRDefault="00533532" w:rsidP="007C6CC4">
      <w:pPr>
        <w:pStyle w:val="ListParagraph"/>
        <w:numPr>
          <w:ilvl w:val="0"/>
          <w:numId w:val="1"/>
        </w:numPr>
        <w:pBdr>
          <w:top w:val="nil"/>
          <w:left w:val="nil"/>
          <w:bottom w:val="nil"/>
          <w:right w:val="nil"/>
          <w:between w:val="nil"/>
        </w:pBdr>
        <w:spacing w:after="240"/>
        <w:jc w:val="both"/>
        <w:rPr>
          <w:rStyle w:val="url"/>
          <w:rFonts w:ascii="Arial" w:eastAsiaTheme="majorEastAsia" w:hAnsi="Arial" w:cs="Arial"/>
          <w:color w:val="000000" w:themeColor="text1"/>
          <w:sz w:val="20"/>
          <w:szCs w:val="20"/>
        </w:rPr>
      </w:pPr>
      <w:r w:rsidRPr="007C6CC4">
        <w:rPr>
          <w:rFonts w:ascii="Arial" w:hAnsi="Arial" w:cs="Arial"/>
          <w:color w:val="000000" w:themeColor="text1"/>
          <w:sz w:val="20"/>
          <w:szCs w:val="20"/>
        </w:rPr>
        <w:t xml:space="preserve">Kulik, J. A., &amp; Fletcher, J. D. (2015). Effectiveness of intelligent tutoring systems. </w:t>
      </w:r>
      <w:r w:rsidRPr="007C6CC4">
        <w:rPr>
          <w:rFonts w:ascii="Arial" w:hAnsi="Arial" w:cs="Arial"/>
          <w:i/>
          <w:iCs/>
          <w:color w:val="000000" w:themeColor="text1"/>
          <w:sz w:val="20"/>
          <w:szCs w:val="20"/>
        </w:rPr>
        <w:t>Review of Educational Research</w:t>
      </w:r>
      <w:r w:rsidRPr="007C6CC4">
        <w:rPr>
          <w:rFonts w:ascii="Arial" w:hAnsi="Arial" w:cs="Arial"/>
          <w:color w:val="000000" w:themeColor="text1"/>
          <w:sz w:val="20"/>
          <w:szCs w:val="20"/>
        </w:rPr>
        <w:t xml:space="preserve">, </w:t>
      </w:r>
      <w:r w:rsidRPr="007C6CC4">
        <w:rPr>
          <w:rFonts w:ascii="Arial" w:hAnsi="Arial" w:cs="Arial"/>
          <w:i/>
          <w:iCs/>
          <w:color w:val="000000" w:themeColor="text1"/>
          <w:sz w:val="20"/>
          <w:szCs w:val="20"/>
        </w:rPr>
        <w:t>86</w:t>
      </w:r>
      <w:r w:rsidRPr="007C6CC4">
        <w:rPr>
          <w:rFonts w:ascii="Arial" w:hAnsi="Arial" w:cs="Arial"/>
          <w:color w:val="000000" w:themeColor="text1"/>
          <w:sz w:val="20"/>
          <w:szCs w:val="20"/>
        </w:rPr>
        <w:t xml:space="preserve">(1), 42–78. </w:t>
      </w:r>
      <w:hyperlink r:id="rId26" w:history="1">
        <w:r w:rsidRPr="007C6CC4">
          <w:rPr>
            <w:rStyle w:val="Hyperlink"/>
            <w:rFonts w:ascii="Arial" w:eastAsiaTheme="majorEastAsia" w:hAnsi="Arial" w:cs="Arial"/>
            <w:color w:val="000000" w:themeColor="text1"/>
            <w:sz w:val="20"/>
            <w:szCs w:val="20"/>
            <w:u w:val="none"/>
          </w:rPr>
          <w:t>https://doi.org/10.3102/0034654315581420</w:t>
        </w:r>
      </w:hyperlink>
    </w:p>
    <w:p w14:paraId="052CD516" w14:textId="77777777" w:rsidR="00533532" w:rsidRPr="007C6CC4" w:rsidRDefault="00533532" w:rsidP="007C6CC4">
      <w:pPr>
        <w:pStyle w:val="ListParagraph"/>
        <w:numPr>
          <w:ilvl w:val="0"/>
          <w:numId w:val="1"/>
        </w:numPr>
        <w:pBdr>
          <w:top w:val="nil"/>
          <w:left w:val="nil"/>
          <w:bottom w:val="nil"/>
          <w:right w:val="nil"/>
          <w:between w:val="nil"/>
        </w:pBdr>
        <w:spacing w:after="240"/>
        <w:jc w:val="both"/>
        <w:rPr>
          <w:rFonts w:ascii="Arial" w:eastAsia="Book Antiqua" w:hAnsi="Arial" w:cs="Arial"/>
          <w:color w:val="000000" w:themeColor="text1"/>
          <w:sz w:val="20"/>
          <w:szCs w:val="20"/>
        </w:rPr>
      </w:pPr>
      <w:r w:rsidRPr="007C6CC4">
        <w:rPr>
          <w:rFonts w:ascii="Arial" w:eastAsia="Book Antiqua" w:hAnsi="Arial" w:cs="Arial"/>
          <w:color w:val="000000" w:themeColor="text1"/>
          <w:sz w:val="20"/>
          <w:szCs w:val="20"/>
        </w:rPr>
        <w:t xml:space="preserve">Marchant, G. E., &amp; Wallach, W. (2020). Governing the governance of emerging technologies. </w:t>
      </w:r>
      <w:r w:rsidRPr="007C6CC4">
        <w:rPr>
          <w:rFonts w:ascii="Arial" w:eastAsia="Book Antiqua" w:hAnsi="Arial" w:cs="Arial"/>
          <w:i/>
          <w:iCs/>
          <w:color w:val="000000" w:themeColor="text1"/>
          <w:sz w:val="20"/>
          <w:szCs w:val="20"/>
        </w:rPr>
        <w:t>In Emerging Technologies</w:t>
      </w:r>
      <w:r w:rsidRPr="007C6CC4">
        <w:rPr>
          <w:rFonts w:ascii="Arial" w:eastAsia="Book Antiqua" w:hAnsi="Arial" w:cs="Arial"/>
          <w:color w:val="000000" w:themeColor="text1"/>
          <w:sz w:val="20"/>
          <w:szCs w:val="20"/>
        </w:rPr>
        <w:t xml:space="preserve"> (pp. 487-503). Routledge. </w:t>
      </w:r>
    </w:p>
    <w:p w14:paraId="36BC95C6" w14:textId="77777777" w:rsidR="00D9192A" w:rsidRPr="007C6CC4" w:rsidRDefault="00533532" w:rsidP="007C6CC4">
      <w:pPr>
        <w:pStyle w:val="ListParagraph"/>
        <w:numPr>
          <w:ilvl w:val="0"/>
          <w:numId w:val="1"/>
        </w:numPr>
        <w:pBdr>
          <w:top w:val="nil"/>
          <w:left w:val="nil"/>
          <w:bottom w:val="nil"/>
          <w:right w:val="nil"/>
          <w:between w:val="nil"/>
        </w:pBdr>
        <w:spacing w:after="240"/>
        <w:jc w:val="both"/>
        <w:rPr>
          <w:rFonts w:ascii="Arial" w:eastAsia="Book Antiqua" w:hAnsi="Arial" w:cs="Arial"/>
          <w:color w:val="000000" w:themeColor="text1"/>
          <w:sz w:val="20"/>
          <w:szCs w:val="20"/>
        </w:rPr>
      </w:pPr>
      <w:r w:rsidRPr="007C6CC4">
        <w:rPr>
          <w:rFonts w:ascii="Arial" w:hAnsi="Arial" w:cs="Arial"/>
          <w:color w:val="000000" w:themeColor="text1"/>
          <w:sz w:val="20"/>
          <w:szCs w:val="20"/>
        </w:rPr>
        <w:t xml:space="preserve">Momani, A. M. (2020). The unified theory of acceptance and use of technology. </w:t>
      </w:r>
      <w:r w:rsidRPr="007C6CC4">
        <w:rPr>
          <w:rFonts w:ascii="Arial" w:hAnsi="Arial" w:cs="Arial"/>
          <w:i/>
          <w:iCs/>
          <w:color w:val="000000" w:themeColor="text1"/>
          <w:sz w:val="20"/>
          <w:szCs w:val="20"/>
        </w:rPr>
        <w:t xml:space="preserve">International Journal of </w:t>
      </w:r>
      <w:proofErr w:type="spellStart"/>
      <w:r w:rsidRPr="007C6CC4">
        <w:rPr>
          <w:rFonts w:ascii="Arial" w:hAnsi="Arial" w:cs="Arial"/>
          <w:i/>
          <w:iCs/>
          <w:color w:val="000000" w:themeColor="text1"/>
          <w:sz w:val="20"/>
          <w:szCs w:val="20"/>
        </w:rPr>
        <w:t>Sociotechnology</w:t>
      </w:r>
      <w:proofErr w:type="spellEnd"/>
      <w:r w:rsidRPr="007C6CC4">
        <w:rPr>
          <w:rFonts w:ascii="Arial" w:hAnsi="Arial" w:cs="Arial"/>
          <w:i/>
          <w:iCs/>
          <w:color w:val="000000" w:themeColor="text1"/>
          <w:sz w:val="20"/>
          <w:szCs w:val="20"/>
        </w:rPr>
        <w:t xml:space="preserve"> and Knowledge Development</w:t>
      </w:r>
      <w:r w:rsidRPr="007C6CC4">
        <w:rPr>
          <w:rFonts w:ascii="Arial" w:hAnsi="Arial" w:cs="Arial"/>
          <w:color w:val="000000" w:themeColor="text1"/>
          <w:sz w:val="20"/>
          <w:szCs w:val="20"/>
        </w:rPr>
        <w:t xml:space="preserve">, </w:t>
      </w:r>
      <w:r w:rsidRPr="007C6CC4">
        <w:rPr>
          <w:rFonts w:ascii="Arial" w:hAnsi="Arial" w:cs="Arial"/>
          <w:i/>
          <w:iCs/>
          <w:color w:val="000000" w:themeColor="text1"/>
          <w:sz w:val="20"/>
          <w:szCs w:val="20"/>
        </w:rPr>
        <w:t>12</w:t>
      </w:r>
      <w:r w:rsidRPr="007C6CC4">
        <w:rPr>
          <w:rFonts w:ascii="Arial" w:hAnsi="Arial" w:cs="Arial"/>
          <w:color w:val="000000" w:themeColor="text1"/>
          <w:sz w:val="20"/>
          <w:szCs w:val="20"/>
        </w:rPr>
        <w:t xml:space="preserve">(3), 79–98. </w:t>
      </w:r>
      <w:hyperlink r:id="rId27" w:history="1">
        <w:r w:rsidRPr="007C6CC4">
          <w:rPr>
            <w:rStyle w:val="Hyperlink"/>
            <w:rFonts w:ascii="Arial" w:eastAsiaTheme="majorEastAsia" w:hAnsi="Arial" w:cs="Arial"/>
            <w:color w:val="000000" w:themeColor="text1"/>
            <w:sz w:val="20"/>
            <w:szCs w:val="20"/>
            <w:u w:val="none"/>
          </w:rPr>
          <w:t>https://doi.org/10.4018/ijskd.2020070105</w:t>
        </w:r>
      </w:hyperlink>
    </w:p>
    <w:p w14:paraId="6692925D" w14:textId="2BAD69B2" w:rsidR="00533532" w:rsidRPr="007C6CC4" w:rsidRDefault="00533532" w:rsidP="007C6CC4">
      <w:pPr>
        <w:pStyle w:val="ListParagraph"/>
        <w:numPr>
          <w:ilvl w:val="0"/>
          <w:numId w:val="1"/>
        </w:numPr>
        <w:pBdr>
          <w:top w:val="nil"/>
          <w:left w:val="nil"/>
          <w:bottom w:val="nil"/>
          <w:right w:val="nil"/>
          <w:between w:val="nil"/>
        </w:pBdr>
        <w:spacing w:after="240"/>
        <w:jc w:val="both"/>
        <w:rPr>
          <w:rFonts w:ascii="Arial" w:eastAsia="Book Antiqua" w:hAnsi="Arial" w:cs="Arial"/>
          <w:color w:val="000000" w:themeColor="text1"/>
          <w:sz w:val="20"/>
          <w:szCs w:val="20"/>
        </w:rPr>
      </w:pPr>
      <w:r w:rsidRPr="007C6CC4">
        <w:rPr>
          <w:rFonts w:ascii="Arial" w:eastAsia="Book Antiqua" w:hAnsi="Arial" w:cs="Arial"/>
          <w:color w:val="000000" w:themeColor="text1"/>
          <w:sz w:val="20"/>
          <w:szCs w:val="20"/>
        </w:rPr>
        <w:t xml:space="preserve">Nwachukwu, E. L., </w:t>
      </w:r>
      <w:proofErr w:type="spellStart"/>
      <w:r w:rsidRPr="007C6CC4">
        <w:rPr>
          <w:rFonts w:ascii="Arial" w:eastAsia="Book Antiqua" w:hAnsi="Arial" w:cs="Arial"/>
          <w:color w:val="000000" w:themeColor="text1"/>
          <w:sz w:val="20"/>
          <w:szCs w:val="20"/>
        </w:rPr>
        <w:t>Egbue</w:t>
      </w:r>
      <w:proofErr w:type="spellEnd"/>
      <w:r w:rsidRPr="007C6CC4">
        <w:rPr>
          <w:rFonts w:ascii="Arial" w:eastAsia="Book Antiqua" w:hAnsi="Arial" w:cs="Arial"/>
          <w:color w:val="000000" w:themeColor="text1"/>
          <w:sz w:val="20"/>
          <w:szCs w:val="20"/>
        </w:rPr>
        <w:t>, N. G., &amp; Victor-</w:t>
      </w:r>
      <w:proofErr w:type="spellStart"/>
      <w:r w:rsidRPr="007C6CC4">
        <w:rPr>
          <w:rFonts w:ascii="Arial" w:eastAsia="Book Antiqua" w:hAnsi="Arial" w:cs="Arial"/>
          <w:color w:val="000000" w:themeColor="text1"/>
          <w:sz w:val="20"/>
          <w:szCs w:val="20"/>
        </w:rPr>
        <w:t>Nwakaku</w:t>
      </w:r>
      <w:proofErr w:type="spellEnd"/>
      <w:r w:rsidRPr="007C6CC4">
        <w:rPr>
          <w:rFonts w:ascii="Arial" w:eastAsia="Book Antiqua" w:hAnsi="Arial" w:cs="Arial"/>
          <w:color w:val="000000" w:themeColor="text1"/>
          <w:sz w:val="20"/>
          <w:szCs w:val="20"/>
        </w:rPr>
        <w:t xml:space="preserve">, I. (2025). Adaptive Learning Systems: Bridging </w:t>
      </w:r>
      <w:r w:rsidR="00D9192A" w:rsidRPr="007C6CC4">
        <w:rPr>
          <w:rFonts w:ascii="Arial" w:eastAsia="Book Antiqua" w:hAnsi="Arial" w:cs="Arial"/>
          <w:color w:val="000000" w:themeColor="text1"/>
          <w:sz w:val="20"/>
          <w:szCs w:val="20"/>
        </w:rPr>
        <w:t xml:space="preserve">Instructional Technology and Personalized Pedagogy through Design Thinking. </w:t>
      </w:r>
      <w:r w:rsidR="00D9192A" w:rsidRPr="007C6CC4">
        <w:rPr>
          <w:rFonts w:ascii="Arial" w:eastAsia="Book Antiqua" w:hAnsi="Arial" w:cs="Arial"/>
          <w:i/>
          <w:iCs/>
          <w:color w:val="000000" w:themeColor="text1"/>
          <w:sz w:val="20"/>
          <w:szCs w:val="20"/>
        </w:rPr>
        <w:t>Journal of Digital Learning and Distance Education, 4</w:t>
      </w:r>
      <w:r w:rsidR="00D9192A" w:rsidRPr="007C6CC4">
        <w:rPr>
          <w:rFonts w:ascii="Arial" w:eastAsia="Book Antiqua" w:hAnsi="Arial" w:cs="Arial"/>
          <w:color w:val="000000" w:themeColor="text1"/>
          <w:sz w:val="20"/>
          <w:szCs w:val="20"/>
        </w:rPr>
        <w:t>(5), 1689-1703.</w:t>
      </w:r>
      <w:hyperlink r:id="rId28">
        <w:r w:rsidR="00D9192A" w:rsidRPr="007C6CC4">
          <w:rPr>
            <w:rFonts w:ascii="Arial" w:eastAsia="Book Antiqua" w:hAnsi="Arial" w:cs="Arial"/>
            <w:color w:val="000000" w:themeColor="text1"/>
            <w:sz w:val="20"/>
            <w:szCs w:val="20"/>
          </w:rPr>
          <w:t xml:space="preserve"> https://doi.org/10.56778/jdlde.v4i5.588</w:t>
        </w:r>
      </w:hyperlink>
    </w:p>
    <w:p w14:paraId="2005EC5A" w14:textId="77777777" w:rsidR="00533532" w:rsidRPr="007C6CC4" w:rsidRDefault="00533532" w:rsidP="007C6CC4">
      <w:pPr>
        <w:pStyle w:val="ListParagraph"/>
        <w:numPr>
          <w:ilvl w:val="0"/>
          <w:numId w:val="1"/>
        </w:numPr>
        <w:pBdr>
          <w:top w:val="nil"/>
          <w:left w:val="nil"/>
          <w:bottom w:val="nil"/>
          <w:right w:val="nil"/>
          <w:between w:val="nil"/>
        </w:pBdr>
        <w:spacing w:after="240"/>
        <w:jc w:val="both"/>
        <w:rPr>
          <w:rStyle w:val="url"/>
          <w:rFonts w:ascii="Arial" w:eastAsiaTheme="majorEastAsia" w:hAnsi="Arial" w:cs="Arial"/>
          <w:color w:val="000000" w:themeColor="text1"/>
          <w:sz w:val="20"/>
          <w:szCs w:val="20"/>
        </w:rPr>
      </w:pPr>
      <w:proofErr w:type="spellStart"/>
      <w:r w:rsidRPr="007C6CC4">
        <w:rPr>
          <w:rFonts w:ascii="Arial" w:hAnsi="Arial" w:cs="Arial"/>
          <w:color w:val="000000" w:themeColor="text1"/>
          <w:sz w:val="20"/>
          <w:szCs w:val="20"/>
        </w:rPr>
        <w:t>Opesemowo</w:t>
      </w:r>
      <w:proofErr w:type="spellEnd"/>
      <w:r w:rsidRPr="007C6CC4">
        <w:rPr>
          <w:rFonts w:ascii="Arial" w:hAnsi="Arial" w:cs="Arial"/>
          <w:color w:val="000000" w:themeColor="text1"/>
          <w:sz w:val="20"/>
          <w:szCs w:val="20"/>
        </w:rPr>
        <w:t xml:space="preserve">, O. a. G., &amp; Adewuyi, H. O. (2024). A systematic review of artificial intelligence in mathematics education: The emergence of 4IR. </w:t>
      </w:r>
      <w:r w:rsidRPr="007C6CC4">
        <w:rPr>
          <w:rFonts w:ascii="Arial" w:hAnsi="Arial" w:cs="Arial"/>
          <w:i/>
          <w:iCs/>
          <w:color w:val="000000" w:themeColor="text1"/>
          <w:sz w:val="20"/>
          <w:szCs w:val="20"/>
        </w:rPr>
        <w:t>Eurasia Journal of Mathematics Science and Technology Education</w:t>
      </w:r>
      <w:r w:rsidRPr="007C6CC4">
        <w:rPr>
          <w:rFonts w:ascii="Arial" w:hAnsi="Arial" w:cs="Arial"/>
          <w:color w:val="000000" w:themeColor="text1"/>
          <w:sz w:val="20"/>
          <w:szCs w:val="20"/>
        </w:rPr>
        <w:t xml:space="preserve">, </w:t>
      </w:r>
      <w:r w:rsidRPr="007C6CC4">
        <w:rPr>
          <w:rFonts w:ascii="Arial" w:hAnsi="Arial" w:cs="Arial"/>
          <w:i/>
          <w:iCs/>
          <w:color w:val="000000" w:themeColor="text1"/>
          <w:sz w:val="20"/>
          <w:szCs w:val="20"/>
        </w:rPr>
        <w:t>20</w:t>
      </w:r>
      <w:r w:rsidRPr="007C6CC4">
        <w:rPr>
          <w:rFonts w:ascii="Arial" w:hAnsi="Arial" w:cs="Arial"/>
          <w:color w:val="000000" w:themeColor="text1"/>
          <w:sz w:val="20"/>
          <w:szCs w:val="20"/>
        </w:rPr>
        <w:t xml:space="preserve">(7), em2478. </w:t>
      </w:r>
      <w:hyperlink r:id="rId29" w:history="1">
        <w:r w:rsidRPr="007C6CC4">
          <w:rPr>
            <w:rStyle w:val="Hyperlink"/>
            <w:rFonts w:ascii="Arial" w:eastAsiaTheme="majorEastAsia" w:hAnsi="Arial" w:cs="Arial"/>
            <w:color w:val="000000" w:themeColor="text1"/>
            <w:sz w:val="20"/>
            <w:szCs w:val="20"/>
            <w:u w:val="none"/>
          </w:rPr>
          <w:t>https://doi.org/10.29333/ejmste/14762</w:t>
        </w:r>
      </w:hyperlink>
    </w:p>
    <w:p w14:paraId="1E49081F" w14:textId="77777777" w:rsidR="00533532" w:rsidRPr="007C6CC4" w:rsidRDefault="00533532" w:rsidP="007C6CC4">
      <w:pPr>
        <w:pStyle w:val="ListParagraph"/>
        <w:numPr>
          <w:ilvl w:val="0"/>
          <w:numId w:val="1"/>
        </w:numPr>
        <w:pBdr>
          <w:top w:val="nil"/>
          <w:left w:val="nil"/>
          <w:bottom w:val="nil"/>
          <w:right w:val="nil"/>
          <w:between w:val="nil"/>
        </w:pBdr>
        <w:spacing w:after="240"/>
        <w:jc w:val="both"/>
        <w:rPr>
          <w:rStyle w:val="url"/>
          <w:rFonts w:ascii="Arial" w:eastAsiaTheme="majorEastAsia" w:hAnsi="Arial" w:cs="Arial"/>
          <w:color w:val="000000" w:themeColor="text1"/>
          <w:sz w:val="20"/>
          <w:szCs w:val="20"/>
        </w:rPr>
      </w:pPr>
      <w:r w:rsidRPr="007C6CC4">
        <w:rPr>
          <w:rFonts w:ascii="Arial" w:hAnsi="Arial" w:cs="Arial"/>
          <w:color w:val="000000" w:themeColor="text1"/>
          <w:sz w:val="20"/>
          <w:szCs w:val="20"/>
        </w:rPr>
        <w:t>Peláez-Sánchez, I. C., Velarde-</w:t>
      </w:r>
      <w:proofErr w:type="spellStart"/>
      <w:r w:rsidRPr="007C6CC4">
        <w:rPr>
          <w:rFonts w:ascii="Arial" w:hAnsi="Arial" w:cs="Arial"/>
          <w:color w:val="000000" w:themeColor="text1"/>
          <w:sz w:val="20"/>
          <w:szCs w:val="20"/>
        </w:rPr>
        <w:t>Camaqui</w:t>
      </w:r>
      <w:proofErr w:type="spellEnd"/>
      <w:r w:rsidRPr="007C6CC4">
        <w:rPr>
          <w:rFonts w:ascii="Arial" w:hAnsi="Arial" w:cs="Arial"/>
          <w:color w:val="000000" w:themeColor="text1"/>
          <w:sz w:val="20"/>
          <w:szCs w:val="20"/>
        </w:rPr>
        <w:t xml:space="preserve">, D., &amp; </w:t>
      </w:r>
      <w:proofErr w:type="spellStart"/>
      <w:r w:rsidRPr="007C6CC4">
        <w:rPr>
          <w:rFonts w:ascii="Arial" w:hAnsi="Arial" w:cs="Arial"/>
          <w:color w:val="000000" w:themeColor="text1"/>
          <w:sz w:val="20"/>
          <w:szCs w:val="20"/>
        </w:rPr>
        <w:t>Glasserman</w:t>
      </w:r>
      <w:proofErr w:type="spellEnd"/>
      <w:r w:rsidRPr="007C6CC4">
        <w:rPr>
          <w:rFonts w:ascii="Arial" w:hAnsi="Arial" w:cs="Arial"/>
          <w:color w:val="000000" w:themeColor="text1"/>
          <w:sz w:val="20"/>
          <w:szCs w:val="20"/>
        </w:rPr>
        <w:t xml:space="preserve">-Morales, L. D. (2024). The impact of large language models on higher education: exploring the connection between AI and Education 4.0. </w:t>
      </w:r>
      <w:r w:rsidRPr="007C6CC4">
        <w:rPr>
          <w:rFonts w:ascii="Arial" w:hAnsi="Arial" w:cs="Arial"/>
          <w:i/>
          <w:iCs/>
          <w:color w:val="000000" w:themeColor="text1"/>
          <w:sz w:val="20"/>
          <w:szCs w:val="20"/>
        </w:rPr>
        <w:t>Frontiers in Education</w:t>
      </w:r>
      <w:r w:rsidRPr="007C6CC4">
        <w:rPr>
          <w:rFonts w:ascii="Arial" w:hAnsi="Arial" w:cs="Arial"/>
          <w:color w:val="000000" w:themeColor="text1"/>
          <w:sz w:val="20"/>
          <w:szCs w:val="20"/>
        </w:rPr>
        <w:t xml:space="preserve">, </w:t>
      </w:r>
      <w:r w:rsidRPr="007C6CC4">
        <w:rPr>
          <w:rFonts w:ascii="Arial" w:hAnsi="Arial" w:cs="Arial"/>
          <w:i/>
          <w:iCs/>
          <w:color w:val="000000" w:themeColor="text1"/>
          <w:sz w:val="20"/>
          <w:szCs w:val="20"/>
        </w:rPr>
        <w:t>9</w:t>
      </w:r>
      <w:r w:rsidRPr="007C6CC4">
        <w:rPr>
          <w:rFonts w:ascii="Arial" w:hAnsi="Arial" w:cs="Arial"/>
          <w:color w:val="000000" w:themeColor="text1"/>
          <w:sz w:val="20"/>
          <w:szCs w:val="20"/>
        </w:rPr>
        <w:t xml:space="preserve">. </w:t>
      </w:r>
      <w:hyperlink r:id="rId30" w:history="1">
        <w:r w:rsidRPr="007C6CC4">
          <w:rPr>
            <w:rStyle w:val="Hyperlink"/>
            <w:rFonts w:ascii="Arial" w:eastAsiaTheme="majorEastAsia" w:hAnsi="Arial" w:cs="Arial"/>
            <w:color w:val="000000" w:themeColor="text1"/>
            <w:sz w:val="20"/>
            <w:szCs w:val="20"/>
            <w:u w:val="none"/>
          </w:rPr>
          <w:t>https://doi.org/10.3389/feduc.2024.1392091</w:t>
        </w:r>
      </w:hyperlink>
    </w:p>
    <w:p w14:paraId="72C9556A" w14:textId="77777777" w:rsidR="00533532" w:rsidRPr="007C6CC4" w:rsidRDefault="00533532" w:rsidP="007C6CC4">
      <w:pPr>
        <w:pStyle w:val="ListParagraph"/>
        <w:numPr>
          <w:ilvl w:val="0"/>
          <w:numId w:val="1"/>
        </w:numPr>
        <w:pBdr>
          <w:top w:val="nil"/>
          <w:left w:val="nil"/>
          <w:bottom w:val="nil"/>
          <w:right w:val="nil"/>
          <w:between w:val="nil"/>
        </w:pBdr>
        <w:spacing w:after="240"/>
        <w:jc w:val="both"/>
        <w:rPr>
          <w:rFonts w:ascii="Arial" w:eastAsia="Book Antiqua" w:hAnsi="Arial" w:cs="Arial"/>
          <w:color w:val="000000" w:themeColor="text1"/>
          <w:sz w:val="20"/>
          <w:szCs w:val="20"/>
        </w:rPr>
      </w:pPr>
      <w:r w:rsidRPr="007C6CC4">
        <w:rPr>
          <w:rFonts w:ascii="Arial" w:eastAsia="Book Antiqua" w:hAnsi="Arial" w:cs="Arial"/>
          <w:color w:val="000000" w:themeColor="text1"/>
          <w:sz w:val="20"/>
          <w:szCs w:val="20"/>
        </w:rPr>
        <w:t>Phillips, J. A., McElwain, M. C., &amp; Clemmer, K. W. (2016). Metacognitive training in professional development can improve and sustain student achievement. </w:t>
      </w:r>
      <w:proofErr w:type="spellStart"/>
      <w:r w:rsidRPr="007C6CC4">
        <w:rPr>
          <w:rFonts w:ascii="Arial" w:eastAsia="Book Antiqua" w:hAnsi="Arial" w:cs="Arial"/>
          <w:i/>
          <w:iCs/>
          <w:color w:val="000000" w:themeColor="text1"/>
          <w:sz w:val="20"/>
          <w:szCs w:val="20"/>
        </w:rPr>
        <w:t>arXiv</w:t>
      </w:r>
      <w:proofErr w:type="spellEnd"/>
      <w:r w:rsidRPr="007C6CC4">
        <w:rPr>
          <w:rFonts w:ascii="Arial" w:eastAsia="Book Antiqua" w:hAnsi="Arial" w:cs="Arial"/>
          <w:i/>
          <w:iCs/>
          <w:color w:val="000000" w:themeColor="text1"/>
          <w:sz w:val="20"/>
          <w:szCs w:val="20"/>
        </w:rPr>
        <w:t xml:space="preserve"> preprint arXiv:1607.07856.</w:t>
      </w:r>
      <w:r w:rsidRPr="007C6CC4">
        <w:rPr>
          <w:rFonts w:ascii="Arial" w:eastAsia="Book Antiqua" w:hAnsi="Arial" w:cs="Arial"/>
          <w:color w:val="000000" w:themeColor="text1"/>
          <w:sz w:val="20"/>
          <w:szCs w:val="20"/>
        </w:rPr>
        <w:t> </w:t>
      </w:r>
      <w:hyperlink r:id="rId31">
        <w:r w:rsidRPr="007C6CC4">
          <w:rPr>
            <w:rFonts w:ascii="Arial" w:eastAsia="Book Antiqua" w:hAnsi="Arial" w:cs="Arial"/>
            <w:color w:val="000000" w:themeColor="text1"/>
            <w:sz w:val="20"/>
            <w:szCs w:val="20"/>
          </w:rPr>
          <w:t>https://arxiv.org/abs/1607.07856</w:t>
        </w:r>
      </w:hyperlink>
    </w:p>
    <w:p w14:paraId="30DEC0A4" w14:textId="77777777" w:rsidR="00533532" w:rsidRPr="007C6CC4" w:rsidRDefault="00533532" w:rsidP="007C6CC4">
      <w:pPr>
        <w:pStyle w:val="ListParagraph"/>
        <w:numPr>
          <w:ilvl w:val="0"/>
          <w:numId w:val="1"/>
        </w:numPr>
        <w:pBdr>
          <w:top w:val="nil"/>
          <w:left w:val="nil"/>
          <w:bottom w:val="nil"/>
          <w:right w:val="nil"/>
          <w:between w:val="nil"/>
        </w:pBdr>
        <w:spacing w:after="240"/>
        <w:jc w:val="both"/>
        <w:rPr>
          <w:rFonts w:ascii="Arial" w:eastAsia="Book Antiqua" w:hAnsi="Arial" w:cs="Arial"/>
          <w:color w:val="000000" w:themeColor="text1"/>
          <w:sz w:val="20"/>
          <w:szCs w:val="20"/>
        </w:rPr>
      </w:pPr>
      <w:r w:rsidRPr="007C6CC4">
        <w:rPr>
          <w:rFonts w:ascii="Arial" w:eastAsia="Book Antiqua" w:hAnsi="Arial" w:cs="Arial"/>
          <w:color w:val="000000" w:themeColor="text1"/>
          <w:sz w:val="20"/>
          <w:szCs w:val="20"/>
        </w:rPr>
        <w:t xml:space="preserve">Ramli, M. A., &amp; Mohamad </w:t>
      </w:r>
      <w:proofErr w:type="spellStart"/>
      <w:r w:rsidRPr="007C6CC4">
        <w:rPr>
          <w:rFonts w:ascii="Arial" w:eastAsia="Book Antiqua" w:hAnsi="Arial" w:cs="Arial"/>
          <w:color w:val="000000" w:themeColor="text1"/>
          <w:sz w:val="20"/>
          <w:szCs w:val="20"/>
        </w:rPr>
        <w:t>Arsad</w:t>
      </w:r>
      <w:proofErr w:type="spellEnd"/>
      <w:r w:rsidRPr="007C6CC4">
        <w:rPr>
          <w:rFonts w:ascii="Arial" w:eastAsia="Book Antiqua" w:hAnsi="Arial" w:cs="Arial"/>
          <w:color w:val="000000" w:themeColor="text1"/>
          <w:sz w:val="20"/>
          <w:szCs w:val="20"/>
        </w:rPr>
        <w:t>, N. (2024). Leveraging professional learning communities in linking digital professional development and instructional integration: Evidence from 16,072 STEM teachers. </w:t>
      </w:r>
      <w:r w:rsidRPr="007C6CC4">
        <w:rPr>
          <w:rFonts w:ascii="Arial" w:eastAsia="Book Antiqua" w:hAnsi="Arial" w:cs="Arial"/>
          <w:i/>
          <w:iCs/>
          <w:color w:val="000000" w:themeColor="text1"/>
          <w:sz w:val="20"/>
          <w:szCs w:val="20"/>
        </w:rPr>
        <w:t>International Journal of STEM Education, 11, Article 13.</w:t>
      </w:r>
      <w:r w:rsidRPr="007C6CC4">
        <w:rPr>
          <w:rFonts w:ascii="Arial" w:eastAsia="Book Antiqua" w:hAnsi="Arial" w:cs="Arial"/>
          <w:color w:val="000000" w:themeColor="text1"/>
          <w:sz w:val="20"/>
          <w:szCs w:val="20"/>
        </w:rPr>
        <w:t> </w:t>
      </w:r>
      <w:hyperlink r:id="rId32">
        <w:r w:rsidRPr="007C6CC4">
          <w:rPr>
            <w:rFonts w:ascii="Arial" w:eastAsia="Book Antiqua" w:hAnsi="Arial" w:cs="Arial"/>
            <w:color w:val="000000" w:themeColor="text1"/>
            <w:sz w:val="20"/>
            <w:szCs w:val="20"/>
          </w:rPr>
          <w:t>https://doi.org/10.1186/s40594-024-00513-3</w:t>
        </w:r>
      </w:hyperlink>
    </w:p>
    <w:p w14:paraId="6C911417" w14:textId="77777777" w:rsidR="00533532" w:rsidRPr="007C6CC4" w:rsidRDefault="00533532" w:rsidP="007C6CC4">
      <w:pPr>
        <w:pStyle w:val="ListParagraph"/>
        <w:numPr>
          <w:ilvl w:val="0"/>
          <w:numId w:val="1"/>
        </w:numPr>
        <w:pBdr>
          <w:top w:val="nil"/>
          <w:left w:val="nil"/>
          <w:bottom w:val="nil"/>
          <w:right w:val="nil"/>
          <w:between w:val="nil"/>
        </w:pBdr>
        <w:spacing w:after="240"/>
        <w:jc w:val="both"/>
        <w:rPr>
          <w:rFonts w:ascii="Arial" w:eastAsia="Book Antiqua" w:hAnsi="Arial" w:cs="Arial"/>
          <w:color w:val="000000" w:themeColor="text1"/>
          <w:sz w:val="20"/>
          <w:szCs w:val="20"/>
        </w:rPr>
      </w:pPr>
      <w:r w:rsidRPr="007C6CC4">
        <w:rPr>
          <w:rFonts w:ascii="Arial" w:hAnsi="Arial" w:cs="Arial"/>
          <w:color w:val="000000" w:themeColor="text1"/>
          <w:sz w:val="20"/>
          <w:szCs w:val="20"/>
          <w:shd w:val="clear" w:color="auto" w:fill="FFFFFF"/>
        </w:rPr>
        <w:t>Reimers, F. (2019). Educating for the Fourth Industrial Revolution. </w:t>
      </w:r>
      <w:r w:rsidRPr="007C6CC4">
        <w:rPr>
          <w:rFonts w:ascii="Arial" w:hAnsi="Arial" w:cs="Arial"/>
          <w:i/>
          <w:iCs/>
          <w:color w:val="000000" w:themeColor="text1"/>
          <w:sz w:val="20"/>
          <w:szCs w:val="20"/>
          <w:shd w:val="clear" w:color="auto" w:fill="FFFFFF"/>
        </w:rPr>
        <w:t>Global Citizenship Review</w:t>
      </w:r>
      <w:r w:rsidRPr="007C6CC4">
        <w:rPr>
          <w:rFonts w:ascii="Arial" w:hAnsi="Arial" w:cs="Arial"/>
          <w:color w:val="000000" w:themeColor="text1"/>
          <w:sz w:val="20"/>
          <w:szCs w:val="20"/>
          <w:shd w:val="clear" w:color="auto" w:fill="FFFFFF"/>
        </w:rPr>
        <w:t>, 38-41.</w:t>
      </w:r>
      <w:r w:rsidRPr="007C6CC4">
        <w:rPr>
          <w:rFonts w:ascii="Arial" w:eastAsia="Book Antiqua" w:hAnsi="Arial" w:cs="Arial"/>
          <w:color w:val="000000" w:themeColor="text1"/>
          <w:sz w:val="20"/>
          <w:szCs w:val="20"/>
        </w:rPr>
        <w:t xml:space="preserve"> </w:t>
      </w:r>
    </w:p>
    <w:p w14:paraId="14BC9F42" w14:textId="77777777" w:rsidR="00533532" w:rsidRPr="007C6CC4" w:rsidRDefault="00533532" w:rsidP="007C6CC4">
      <w:pPr>
        <w:pStyle w:val="ListParagraph"/>
        <w:numPr>
          <w:ilvl w:val="0"/>
          <w:numId w:val="1"/>
        </w:numPr>
        <w:pBdr>
          <w:top w:val="nil"/>
          <w:left w:val="nil"/>
          <w:bottom w:val="nil"/>
          <w:right w:val="nil"/>
          <w:between w:val="nil"/>
        </w:pBdr>
        <w:spacing w:after="240"/>
        <w:jc w:val="both"/>
        <w:rPr>
          <w:rStyle w:val="url"/>
          <w:rFonts w:ascii="Arial" w:eastAsiaTheme="majorEastAsia" w:hAnsi="Arial" w:cs="Arial"/>
          <w:color w:val="000000" w:themeColor="text1"/>
          <w:sz w:val="20"/>
          <w:szCs w:val="20"/>
        </w:rPr>
      </w:pPr>
      <w:r w:rsidRPr="007C6CC4">
        <w:rPr>
          <w:rFonts w:ascii="Arial" w:hAnsi="Arial" w:cs="Arial"/>
          <w:color w:val="000000" w:themeColor="text1"/>
          <w:sz w:val="20"/>
          <w:szCs w:val="20"/>
        </w:rPr>
        <w:t xml:space="preserve">Steenbergen-Hu, S., &amp; Cooper, H. (2013). A meta-analysis of the effectiveness of intelligent tutoring systems on K–12 students’ mathematical learning. </w:t>
      </w:r>
      <w:r w:rsidRPr="007C6CC4">
        <w:rPr>
          <w:rFonts w:ascii="Arial" w:hAnsi="Arial" w:cs="Arial"/>
          <w:i/>
          <w:iCs/>
          <w:color w:val="000000" w:themeColor="text1"/>
          <w:sz w:val="20"/>
          <w:szCs w:val="20"/>
        </w:rPr>
        <w:t>Journal of Educational Psychology</w:t>
      </w:r>
      <w:r w:rsidRPr="007C6CC4">
        <w:rPr>
          <w:rFonts w:ascii="Arial" w:hAnsi="Arial" w:cs="Arial"/>
          <w:color w:val="000000" w:themeColor="text1"/>
          <w:sz w:val="20"/>
          <w:szCs w:val="20"/>
        </w:rPr>
        <w:t xml:space="preserve">, </w:t>
      </w:r>
      <w:r w:rsidRPr="007C6CC4">
        <w:rPr>
          <w:rFonts w:ascii="Arial" w:hAnsi="Arial" w:cs="Arial"/>
          <w:i/>
          <w:iCs/>
          <w:color w:val="000000" w:themeColor="text1"/>
          <w:sz w:val="20"/>
          <w:szCs w:val="20"/>
        </w:rPr>
        <w:t>105</w:t>
      </w:r>
      <w:r w:rsidRPr="007C6CC4">
        <w:rPr>
          <w:rFonts w:ascii="Arial" w:hAnsi="Arial" w:cs="Arial"/>
          <w:color w:val="000000" w:themeColor="text1"/>
          <w:sz w:val="20"/>
          <w:szCs w:val="20"/>
        </w:rPr>
        <w:t xml:space="preserve">(4), 970–987. </w:t>
      </w:r>
      <w:hyperlink r:id="rId33" w:history="1">
        <w:r w:rsidRPr="007C6CC4">
          <w:rPr>
            <w:rStyle w:val="Hyperlink"/>
            <w:rFonts w:ascii="Arial" w:eastAsiaTheme="majorEastAsia" w:hAnsi="Arial" w:cs="Arial"/>
            <w:color w:val="000000" w:themeColor="text1"/>
            <w:sz w:val="20"/>
            <w:szCs w:val="20"/>
            <w:u w:val="none"/>
          </w:rPr>
          <w:t>https://doi.org/10.1037/a0032447</w:t>
        </w:r>
      </w:hyperlink>
    </w:p>
    <w:p w14:paraId="233665D8" w14:textId="77777777" w:rsidR="00533532" w:rsidRPr="007C6CC4" w:rsidRDefault="00533532" w:rsidP="007C6CC4">
      <w:pPr>
        <w:pStyle w:val="ListParagraph"/>
        <w:numPr>
          <w:ilvl w:val="0"/>
          <w:numId w:val="1"/>
        </w:numPr>
        <w:pBdr>
          <w:top w:val="nil"/>
          <w:left w:val="nil"/>
          <w:bottom w:val="nil"/>
          <w:right w:val="nil"/>
          <w:between w:val="nil"/>
        </w:pBdr>
        <w:spacing w:after="240"/>
        <w:jc w:val="both"/>
        <w:rPr>
          <w:rFonts w:ascii="Arial" w:eastAsia="Book Antiqua" w:hAnsi="Arial" w:cs="Arial"/>
          <w:color w:val="000000" w:themeColor="text1"/>
          <w:sz w:val="20"/>
          <w:szCs w:val="20"/>
        </w:rPr>
      </w:pPr>
      <w:r w:rsidRPr="007C6CC4">
        <w:rPr>
          <w:rFonts w:ascii="Arial" w:eastAsia="Book Antiqua" w:hAnsi="Arial" w:cs="Arial"/>
          <w:color w:val="000000" w:themeColor="text1"/>
          <w:sz w:val="20"/>
          <w:szCs w:val="20"/>
        </w:rPr>
        <w:t xml:space="preserve">Thurm, D., </w:t>
      </w:r>
      <w:proofErr w:type="spellStart"/>
      <w:r w:rsidRPr="007C6CC4">
        <w:rPr>
          <w:rFonts w:ascii="Arial" w:eastAsia="Book Antiqua" w:hAnsi="Arial" w:cs="Arial"/>
          <w:color w:val="000000" w:themeColor="text1"/>
          <w:sz w:val="20"/>
          <w:szCs w:val="20"/>
        </w:rPr>
        <w:t>Barzel</w:t>
      </w:r>
      <w:proofErr w:type="spellEnd"/>
      <w:r w:rsidRPr="007C6CC4">
        <w:rPr>
          <w:rFonts w:ascii="Arial" w:eastAsia="Book Antiqua" w:hAnsi="Arial" w:cs="Arial"/>
          <w:color w:val="000000" w:themeColor="text1"/>
          <w:sz w:val="20"/>
          <w:szCs w:val="20"/>
        </w:rPr>
        <w:t xml:space="preserve">, B., &amp; </w:t>
      </w:r>
      <w:proofErr w:type="spellStart"/>
      <w:r w:rsidRPr="007C6CC4">
        <w:rPr>
          <w:rFonts w:ascii="Arial" w:eastAsia="Book Antiqua" w:hAnsi="Arial" w:cs="Arial"/>
          <w:color w:val="000000" w:themeColor="text1"/>
          <w:sz w:val="20"/>
          <w:szCs w:val="20"/>
        </w:rPr>
        <w:t>Drijvers</w:t>
      </w:r>
      <w:proofErr w:type="spellEnd"/>
      <w:r w:rsidRPr="007C6CC4">
        <w:rPr>
          <w:rFonts w:ascii="Arial" w:eastAsia="Book Antiqua" w:hAnsi="Arial" w:cs="Arial"/>
          <w:color w:val="000000" w:themeColor="text1"/>
          <w:sz w:val="20"/>
          <w:szCs w:val="20"/>
        </w:rPr>
        <w:t>, P. (2020). Effects of a professional development program for teaching  mathematics with technology on teachers’ beliefs, self-efficacy, and practices. </w:t>
      </w:r>
      <w:r w:rsidRPr="007C6CC4">
        <w:rPr>
          <w:rFonts w:ascii="Arial" w:eastAsia="Book Antiqua" w:hAnsi="Arial" w:cs="Arial"/>
          <w:i/>
          <w:iCs/>
          <w:color w:val="000000" w:themeColor="text1"/>
          <w:sz w:val="20"/>
          <w:szCs w:val="20"/>
        </w:rPr>
        <w:t>ZDM – Mathematics Education, 52(7), 1413–1426.</w:t>
      </w:r>
      <w:r w:rsidRPr="007C6CC4">
        <w:rPr>
          <w:rFonts w:ascii="Arial" w:eastAsia="Book Antiqua" w:hAnsi="Arial" w:cs="Arial"/>
          <w:color w:val="000000" w:themeColor="text1"/>
          <w:sz w:val="20"/>
          <w:szCs w:val="20"/>
        </w:rPr>
        <w:t>https://doi.org/10.1007/s11858-020-01158-6</w:t>
      </w:r>
    </w:p>
    <w:p w14:paraId="78EDD227" w14:textId="77777777" w:rsidR="00533532" w:rsidRPr="007C6CC4" w:rsidRDefault="00533532" w:rsidP="007C6CC4">
      <w:pPr>
        <w:pStyle w:val="ListParagraph"/>
        <w:numPr>
          <w:ilvl w:val="0"/>
          <w:numId w:val="1"/>
        </w:numPr>
        <w:pBdr>
          <w:top w:val="nil"/>
          <w:left w:val="nil"/>
          <w:bottom w:val="nil"/>
          <w:right w:val="nil"/>
          <w:between w:val="nil"/>
        </w:pBdr>
        <w:spacing w:after="240"/>
        <w:jc w:val="both"/>
        <w:rPr>
          <w:rFonts w:ascii="Arial" w:eastAsia="Book Antiqua" w:hAnsi="Arial" w:cs="Arial"/>
          <w:color w:val="000000" w:themeColor="text1"/>
          <w:sz w:val="20"/>
          <w:szCs w:val="20"/>
        </w:rPr>
      </w:pPr>
      <w:r w:rsidRPr="007C6CC4">
        <w:rPr>
          <w:rFonts w:ascii="Arial" w:eastAsia="Book Antiqua" w:hAnsi="Arial" w:cs="Arial"/>
          <w:color w:val="000000" w:themeColor="text1"/>
          <w:sz w:val="20"/>
          <w:szCs w:val="20"/>
        </w:rPr>
        <w:t>Trujillo-Torres, J.-M., Hossein-Mohand, H., Gómez-García, M., Hossein-Mohand, H., &amp; Cáceres-Reche, M.-P. (2020). Mathematics teachers’ perceptions of the introduction of ICT: The relationship between motivation and use in the teaching function. </w:t>
      </w:r>
      <w:r w:rsidRPr="007C6CC4">
        <w:rPr>
          <w:rFonts w:ascii="Arial" w:eastAsia="Book Antiqua" w:hAnsi="Arial" w:cs="Arial"/>
          <w:i/>
          <w:iCs/>
          <w:color w:val="000000" w:themeColor="text1"/>
          <w:sz w:val="20"/>
          <w:szCs w:val="20"/>
        </w:rPr>
        <w:t>Mathematics, 8(12), 2158.</w:t>
      </w:r>
      <w:r w:rsidRPr="007C6CC4">
        <w:rPr>
          <w:rFonts w:ascii="Arial" w:eastAsia="Book Antiqua" w:hAnsi="Arial" w:cs="Arial"/>
          <w:color w:val="000000" w:themeColor="text1"/>
          <w:sz w:val="20"/>
          <w:szCs w:val="20"/>
        </w:rPr>
        <w:t> </w:t>
      </w:r>
      <w:hyperlink r:id="rId34">
        <w:r w:rsidRPr="007C6CC4">
          <w:rPr>
            <w:rFonts w:ascii="Arial" w:eastAsia="Book Antiqua" w:hAnsi="Arial" w:cs="Arial"/>
            <w:color w:val="000000" w:themeColor="text1"/>
            <w:sz w:val="20"/>
            <w:szCs w:val="20"/>
          </w:rPr>
          <w:t>https://doi.org/10.3390/math8122158</w:t>
        </w:r>
      </w:hyperlink>
    </w:p>
    <w:p w14:paraId="56A41555" w14:textId="77777777" w:rsidR="00533532" w:rsidRPr="007C6CC4" w:rsidRDefault="00533532" w:rsidP="007C6CC4">
      <w:pPr>
        <w:pStyle w:val="ListParagraph"/>
        <w:numPr>
          <w:ilvl w:val="0"/>
          <w:numId w:val="1"/>
        </w:numPr>
        <w:pBdr>
          <w:top w:val="nil"/>
          <w:left w:val="nil"/>
          <w:bottom w:val="nil"/>
          <w:right w:val="nil"/>
          <w:between w:val="nil"/>
        </w:pBdr>
        <w:spacing w:after="240"/>
        <w:jc w:val="both"/>
        <w:rPr>
          <w:rFonts w:ascii="Arial" w:eastAsia="Book Antiqua" w:hAnsi="Arial" w:cs="Arial"/>
          <w:color w:val="000000" w:themeColor="text1"/>
          <w:sz w:val="20"/>
          <w:szCs w:val="20"/>
        </w:rPr>
      </w:pPr>
      <w:r w:rsidRPr="007C6CC4">
        <w:rPr>
          <w:rFonts w:ascii="Arial" w:eastAsia="Book Antiqua" w:hAnsi="Arial" w:cs="Arial"/>
          <w:color w:val="000000" w:themeColor="text1"/>
          <w:sz w:val="20"/>
          <w:szCs w:val="20"/>
        </w:rPr>
        <w:t xml:space="preserve">Trust, T., &amp; Whalen, J. (2020). Should teachers be trained in emergency remote teaching? Lessons learned from the COVID-19 pandemic. </w:t>
      </w:r>
      <w:r w:rsidRPr="007C6CC4">
        <w:rPr>
          <w:rFonts w:ascii="Arial" w:eastAsia="Book Antiqua" w:hAnsi="Arial" w:cs="Arial"/>
          <w:i/>
          <w:iCs/>
          <w:color w:val="000000" w:themeColor="text1"/>
          <w:sz w:val="20"/>
          <w:szCs w:val="20"/>
        </w:rPr>
        <w:t>Journal of Technology and Teacher Education, 28</w:t>
      </w:r>
      <w:r w:rsidRPr="007C6CC4">
        <w:rPr>
          <w:rFonts w:ascii="Arial" w:eastAsia="Book Antiqua" w:hAnsi="Arial" w:cs="Arial"/>
          <w:color w:val="000000" w:themeColor="text1"/>
          <w:sz w:val="20"/>
          <w:szCs w:val="20"/>
        </w:rPr>
        <w:t xml:space="preserve">(2), 189–199. </w:t>
      </w:r>
      <w:hyperlink r:id="rId35">
        <w:r w:rsidRPr="007C6CC4">
          <w:rPr>
            <w:rFonts w:ascii="Arial" w:eastAsia="Book Antiqua" w:hAnsi="Arial" w:cs="Arial"/>
            <w:color w:val="000000" w:themeColor="text1"/>
            <w:sz w:val="20"/>
            <w:szCs w:val="20"/>
          </w:rPr>
          <w:t>https://doi.org/10.70725/307718pkpjuu</w:t>
        </w:r>
      </w:hyperlink>
    </w:p>
    <w:p w14:paraId="6FD33EC2" w14:textId="77777777" w:rsidR="00533532" w:rsidRPr="007C6CC4" w:rsidRDefault="00533532" w:rsidP="007C6CC4">
      <w:pPr>
        <w:pStyle w:val="ListParagraph"/>
        <w:numPr>
          <w:ilvl w:val="0"/>
          <w:numId w:val="1"/>
        </w:numPr>
        <w:pBdr>
          <w:top w:val="nil"/>
          <w:left w:val="nil"/>
          <w:bottom w:val="nil"/>
          <w:right w:val="nil"/>
          <w:between w:val="nil"/>
        </w:pBdr>
        <w:spacing w:after="240"/>
        <w:jc w:val="both"/>
        <w:rPr>
          <w:rFonts w:ascii="Arial" w:eastAsia="Book Antiqua" w:hAnsi="Arial" w:cs="Arial"/>
          <w:color w:val="000000" w:themeColor="text1"/>
          <w:sz w:val="20"/>
          <w:szCs w:val="20"/>
        </w:rPr>
      </w:pPr>
      <w:proofErr w:type="spellStart"/>
      <w:r w:rsidRPr="007C6CC4">
        <w:rPr>
          <w:rFonts w:ascii="Arial" w:eastAsia="Book Antiqua" w:hAnsi="Arial" w:cs="Arial"/>
          <w:color w:val="000000" w:themeColor="text1"/>
          <w:sz w:val="20"/>
          <w:szCs w:val="20"/>
        </w:rPr>
        <w:t>Ukobizaba</w:t>
      </w:r>
      <w:proofErr w:type="spellEnd"/>
      <w:r w:rsidRPr="007C6CC4">
        <w:rPr>
          <w:rFonts w:ascii="Arial" w:eastAsia="Book Antiqua" w:hAnsi="Arial" w:cs="Arial"/>
          <w:color w:val="000000" w:themeColor="text1"/>
          <w:sz w:val="20"/>
          <w:szCs w:val="20"/>
        </w:rPr>
        <w:t xml:space="preserve">, F., Nsabayezu, E., &amp; </w:t>
      </w:r>
      <w:proofErr w:type="spellStart"/>
      <w:r w:rsidRPr="007C6CC4">
        <w:rPr>
          <w:rFonts w:ascii="Arial" w:eastAsia="Book Antiqua" w:hAnsi="Arial" w:cs="Arial"/>
          <w:color w:val="000000" w:themeColor="text1"/>
          <w:sz w:val="20"/>
          <w:szCs w:val="20"/>
        </w:rPr>
        <w:t>Uworwabayeho</w:t>
      </w:r>
      <w:proofErr w:type="spellEnd"/>
      <w:r w:rsidRPr="007C6CC4">
        <w:rPr>
          <w:rFonts w:ascii="Arial" w:eastAsia="Book Antiqua" w:hAnsi="Arial" w:cs="Arial"/>
          <w:color w:val="000000" w:themeColor="text1"/>
          <w:sz w:val="20"/>
          <w:szCs w:val="20"/>
        </w:rPr>
        <w:t xml:space="preserve">, A. (2022). Is Africa ready for the Fourth Industrial Revolution? In B. Chirinda, K. Luneta, &amp; A. </w:t>
      </w:r>
      <w:proofErr w:type="spellStart"/>
      <w:r w:rsidRPr="007C6CC4">
        <w:rPr>
          <w:rFonts w:ascii="Arial" w:eastAsia="Book Antiqua" w:hAnsi="Arial" w:cs="Arial"/>
          <w:color w:val="000000" w:themeColor="text1"/>
          <w:sz w:val="20"/>
          <w:szCs w:val="20"/>
        </w:rPr>
        <w:t>Uworwabayeho</w:t>
      </w:r>
      <w:proofErr w:type="spellEnd"/>
      <w:r w:rsidRPr="007C6CC4">
        <w:rPr>
          <w:rFonts w:ascii="Arial" w:eastAsia="Book Antiqua" w:hAnsi="Arial" w:cs="Arial"/>
          <w:color w:val="000000" w:themeColor="text1"/>
          <w:sz w:val="20"/>
          <w:szCs w:val="20"/>
        </w:rPr>
        <w:t xml:space="preserve"> (Eds.), </w:t>
      </w:r>
      <w:r w:rsidRPr="007C6CC4">
        <w:rPr>
          <w:rFonts w:ascii="Arial" w:eastAsia="Book Antiqua" w:hAnsi="Arial" w:cs="Arial"/>
          <w:i/>
          <w:iCs/>
          <w:color w:val="000000" w:themeColor="text1"/>
          <w:sz w:val="20"/>
          <w:szCs w:val="20"/>
        </w:rPr>
        <w:t>Mathematics Education in Africa: The Fourth Industrial Revolution</w:t>
      </w:r>
      <w:r w:rsidRPr="007C6CC4">
        <w:rPr>
          <w:rFonts w:ascii="Arial" w:eastAsia="Book Antiqua" w:hAnsi="Arial" w:cs="Arial"/>
          <w:color w:val="000000" w:themeColor="text1"/>
          <w:sz w:val="20"/>
          <w:szCs w:val="20"/>
        </w:rPr>
        <w:t xml:space="preserve"> (pp. 1–16). </w:t>
      </w:r>
      <w:proofErr w:type="spellStart"/>
      <w:r w:rsidRPr="007C6CC4">
        <w:rPr>
          <w:rFonts w:ascii="Arial" w:eastAsia="Book Antiqua" w:hAnsi="Arial" w:cs="Arial"/>
          <w:color w:val="000000" w:themeColor="text1"/>
          <w:sz w:val="20"/>
          <w:szCs w:val="20"/>
        </w:rPr>
        <w:t>Springer.</w:t>
      </w:r>
      <w:hyperlink r:id="rId36">
        <w:r w:rsidRPr="007C6CC4">
          <w:rPr>
            <w:rFonts w:ascii="Arial" w:eastAsia="Book Antiqua" w:hAnsi="Arial" w:cs="Arial"/>
            <w:color w:val="000000" w:themeColor="text1"/>
            <w:sz w:val="20"/>
            <w:szCs w:val="20"/>
          </w:rPr>
          <w:t>https</w:t>
        </w:r>
        <w:proofErr w:type="spellEnd"/>
        <w:r w:rsidRPr="007C6CC4">
          <w:rPr>
            <w:rFonts w:ascii="Arial" w:eastAsia="Book Antiqua" w:hAnsi="Arial" w:cs="Arial"/>
            <w:color w:val="000000" w:themeColor="text1"/>
            <w:sz w:val="20"/>
            <w:szCs w:val="20"/>
          </w:rPr>
          <w:t>:/</w:t>
        </w:r>
      </w:hyperlink>
      <w:r w:rsidRPr="007C6CC4">
        <w:rPr>
          <w:rFonts w:ascii="Arial" w:eastAsia="Book Antiqua" w:hAnsi="Arial" w:cs="Arial"/>
          <w:color w:val="000000" w:themeColor="text1"/>
          <w:sz w:val="20"/>
          <w:szCs w:val="20"/>
        </w:rPr>
        <w:t>/doi.org/10.1007/978-3-031-13927-7</w:t>
      </w:r>
    </w:p>
    <w:p w14:paraId="161B935D" w14:textId="77777777" w:rsidR="00533532" w:rsidRPr="007C6CC4" w:rsidRDefault="00533532" w:rsidP="007C6CC4">
      <w:pPr>
        <w:pStyle w:val="ListParagraph"/>
        <w:numPr>
          <w:ilvl w:val="0"/>
          <w:numId w:val="1"/>
        </w:numPr>
        <w:pBdr>
          <w:top w:val="nil"/>
          <w:left w:val="nil"/>
          <w:bottom w:val="nil"/>
          <w:right w:val="nil"/>
          <w:between w:val="nil"/>
        </w:pBdr>
        <w:spacing w:after="240"/>
        <w:jc w:val="both"/>
        <w:rPr>
          <w:rFonts w:ascii="Arial" w:eastAsia="Book Antiqua" w:hAnsi="Arial" w:cs="Arial"/>
          <w:color w:val="000000" w:themeColor="text1"/>
          <w:sz w:val="20"/>
          <w:szCs w:val="20"/>
        </w:rPr>
      </w:pPr>
      <w:r w:rsidRPr="007C6CC4">
        <w:rPr>
          <w:rFonts w:ascii="Arial" w:eastAsia="Book Antiqua" w:hAnsi="Arial" w:cs="Arial"/>
          <w:color w:val="000000" w:themeColor="text1"/>
          <w:sz w:val="20"/>
          <w:szCs w:val="20"/>
        </w:rPr>
        <w:t xml:space="preserve">UNESCO. (2021). </w:t>
      </w:r>
      <w:r w:rsidRPr="007C6CC4">
        <w:rPr>
          <w:rFonts w:ascii="Arial" w:eastAsia="Book Antiqua" w:hAnsi="Arial" w:cs="Arial"/>
          <w:i/>
          <w:iCs/>
          <w:color w:val="000000" w:themeColor="text1"/>
          <w:sz w:val="20"/>
          <w:szCs w:val="20"/>
        </w:rPr>
        <w:t>Reimagining our futures together: A new social contract for education</w:t>
      </w:r>
      <w:r w:rsidRPr="007C6CC4">
        <w:rPr>
          <w:rFonts w:ascii="Arial" w:eastAsia="Book Antiqua" w:hAnsi="Arial" w:cs="Arial"/>
          <w:color w:val="000000" w:themeColor="text1"/>
          <w:sz w:val="20"/>
          <w:szCs w:val="20"/>
        </w:rPr>
        <w:t xml:space="preserve">. </w:t>
      </w:r>
      <w:hyperlink r:id="rId37">
        <w:r w:rsidRPr="007C6CC4">
          <w:rPr>
            <w:rFonts w:ascii="Arial" w:eastAsia="Book Antiqua" w:hAnsi="Arial" w:cs="Arial"/>
            <w:color w:val="000000" w:themeColor="text1"/>
            <w:sz w:val="20"/>
            <w:szCs w:val="20"/>
          </w:rPr>
          <w:t>https://unesdoc.unesco.org/ark:/48223/pf0000379707</w:t>
        </w:r>
      </w:hyperlink>
    </w:p>
    <w:p w14:paraId="3AF10611" w14:textId="77777777" w:rsidR="00533532" w:rsidRPr="007C6CC4" w:rsidRDefault="00533532" w:rsidP="007C6CC4">
      <w:pPr>
        <w:pStyle w:val="ListParagraph"/>
        <w:numPr>
          <w:ilvl w:val="0"/>
          <w:numId w:val="1"/>
        </w:numPr>
        <w:pBdr>
          <w:top w:val="nil"/>
          <w:left w:val="nil"/>
          <w:bottom w:val="nil"/>
          <w:right w:val="nil"/>
          <w:between w:val="nil"/>
        </w:pBdr>
        <w:spacing w:after="240"/>
        <w:jc w:val="both"/>
        <w:rPr>
          <w:rFonts w:ascii="Arial" w:eastAsia="Book Antiqua" w:hAnsi="Arial" w:cs="Arial"/>
          <w:color w:val="000000" w:themeColor="text1"/>
          <w:sz w:val="20"/>
          <w:szCs w:val="20"/>
        </w:rPr>
      </w:pPr>
      <w:r w:rsidRPr="007C6CC4">
        <w:rPr>
          <w:rFonts w:ascii="Arial" w:eastAsia="Book Antiqua" w:hAnsi="Arial" w:cs="Arial"/>
          <w:color w:val="000000" w:themeColor="text1"/>
          <w:sz w:val="20"/>
          <w:szCs w:val="20"/>
        </w:rPr>
        <w:t xml:space="preserve">Venkatesh, V., Morris, M. G., Davis, G. B., &amp; Davis, F. D. (2003). User acceptance of information technology: Toward a unified view. </w:t>
      </w:r>
      <w:r w:rsidRPr="007C6CC4">
        <w:rPr>
          <w:rFonts w:ascii="Arial" w:eastAsia="Book Antiqua" w:hAnsi="Arial" w:cs="Arial"/>
          <w:i/>
          <w:iCs/>
          <w:color w:val="000000" w:themeColor="text1"/>
          <w:sz w:val="20"/>
          <w:szCs w:val="20"/>
        </w:rPr>
        <w:t>MIS Quarterly, 27</w:t>
      </w:r>
      <w:r w:rsidRPr="007C6CC4">
        <w:rPr>
          <w:rFonts w:ascii="Arial" w:eastAsia="Book Antiqua" w:hAnsi="Arial" w:cs="Arial"/>
          <w:color w:val="000000" w:themeColor="text1"/>
          <w:sz w:val="20"/>
          <w:szCs w:val="20"/>
        </w:rPr>
        <w:t xml:space="preserve">(3), 425–478. </w:t>
      </w:r>
      <w:hyperlink r:id="rId38">
        <w:r w:rsidRPr="007C6CC4">
          <w:rPr>
            <w:rFonts w:ascii="Arial" w:eastAsia="Book Antiqua" w:hAnsi="Arial" w:cs="Arial"/>
            <w:color w:val="000000" w:themeColor="text1"/>
            <w:sz w:val="20"/>
            <w:szCs w:val="20"/>
          </w:rPr>
          <w:t>https://doi.org/10.2307/30036540</w:t>
        </w:r>
      </w:hyperlink>
    </w:p>
    <w:p w14:paraId="4B828541" w14:textId="77777777" w:rsidR="00533532" w:rsidRPr="007C6CC4" w:rsidRDefault="00533532" w:rsidP="007C6CC4">
      <w:pPr>
        <w:pStyle w:val="ListParagraph"/>
        <w:numPr>
          <w:ilvl w:val="0"/>
          <w:numId w:val="1"/>
        </w:numPr>
        <w:pBdr>
          <w:top w:val="nil"/>
          <w:left w:val="nil"/>
          <w:bottom w:val="nil"/>
          <w:right w:val="nil"/>
          <w:between w:val="nil"/>
        </w:pBdr>
        <w:spacing w:after="240"/>
        <w:jc w:val="both"/>
        <w:rPr>
          <w:rStyle w:val="url"/>
          <w:rFonts w:ascii="Arial" w:eastAsiaTheme="majorEastAsia" w:hAnsi="Arial" w:cs="Arial"/>
          <w:color w:val="000000" w:themeColor="text1"/>
          <w:sz w:val="20"/>
          <w:szCs w:val="20"/>
        </w:rPr>
      </w:pPr>
      <w:r w:rsidRPr="007C6CC4">
        <w:rPr>
          <w:rFonts w:ascii="Arial" w:hAnsi="Arial" w:cs="Arial"/>
          <w:color w:val="000000" w:themeColor="text1"/>
          <w:sz w:val="20"/>
          <w:szCs w:val="20"/>
        </w:rPr>
        <w:lastRenderedPageBreak/>
        <w:t xml:space="preserve">Wang, S., Wang, F., Zhu, Z., Wang, J., Tran, T., &amp; Du, Z. (2024). Artificial intelligence in education: A systematic literature review. </w:t>
      </w:r>
      <w:r w:rsidRPr="007C6CC4">
        <w:rPr>
          <w:rFonts w:ascii="Arial" w:hAnsi="Arial" w:cs="Arial"/>
          <w:i/>
          <w:iCs/>
          <w:color w:val="000000" w:themeColor="text1"/>
          <w:sz w:val="20"/>
          <w:szCs w:val="20"/>
        </w:rPr>
        <w:t>Expert Systems With Applications</w:t>
      </w:r>
      <w:r w:rsidRPr="007C6CC4">
        <w:rPr>
          <w:rFonts w:ascii="Arial" w:hAnsi="Arial" w:cs="Arial"/>
          <w:color w:val="000000" w:themeColor="text1"/>
          <w:sz w:val="20"/>
          <w:szCs w:val="20"/>
        </w:rPr>
        <w:t xml:space="preserve">, </w:t>
      </w:r>
      <w:r w:rsidRPr="007C6CC4">
        <w:rPr>
          <w:rFonts w:ascii="Arial" w:hAnsi="Arial" w:cs="Arial"/>
          <w:i/>
          <w:iCs/>
          <w:color w:val="000000" w:themeColor="text1"/>
          <w:sz w:val="20"/>
          <w:szCs w:val="20"/>
        </w:rPr>
        <w:t>252</w:t>
      </w:r>
      <w:r w:rsidRPr="007C6CC4">
        <w:rPr>
          <w:rFonts w:ascii="Arial" w:hAnsi="Arial" w:cs="Arial"/>
          <w:color w:val="000000" w:themeColor="text1"/>
          <w:sz w:val="20"/>
          <w:szCs w:val="20"/>
        </w:rPr>
        <w:t xml:space="preserve">, 124167. </w:t>
      </w:r>
      <w:hyperlink r:id="rId39" w:history="1">
        <w:r w:rsidRPr="007C6CC4">
          <w:rPr>
            <w:rStyle w:val="Hyperlink"/>
            <w:rFonts w:ascii="Arial" w:eastAsiaTheme="majorEastAsia" w:hAnsi="Arial" w:cs="Arial"/>
            <w:color w:val="000000" w:themeColor="text1"/>
            <w:sz w:val="20"/>
            <w:szCs w:val="20"/>
            <w:u w:val="none"/>
          </w:rPr>
          <w:t>https://doi.org/10.1016/j.eswa.2024.124167</w:t>
        </w:r>
      </w:hyperlink>
    </w:p>
    <w:p w14:paraId="693EE89A" w14:textId="77777777" w:rsidR="00533532" w:rsidRPr="007C6CC4" w:rsidRDefault="00533532" w:rsidP="007C6CC4">
      <w:pPr>
        <w:pStyle w:val="ListParagraph"/>
        <w:numPr>
          <w:ilvl w:val="0"/>
          <w:numId w:val="1"/>
        </w:numPr>
        <w:pBdr>
          <w:top w:val="nil"/>
          <w:left w:val="nil"/>
          <w:bottom w:val="nil"/>
          <w:right w:val="nil"/>
          <w:between w:val="nil"/>
        </w:pBdr>
        <w:spacing w:after="240"/>
        <w:jc w:val="both"/>
        <w:rPr>
          <w:rStyle w:val="url"/>
          <w:rFonts w:ascii="Arial" w:eastAsiaTheme="majorEastAsia" w:hAnsi="Arial" w:cs="Arial"/>
          <w:color w:val="000000" w:themeColor="text1"/>
          <w:sz w:val="20"/>
          <w:szCs w:val="20"/>
        </w:rPr>
      </w:pPr>
      <w:r w:rsidRPr="007C6CC4">
        <w:rPr>
          <w:rFonts w:ascii="Arial" w:hAnsi="Arial" w:cs="Arial"/>
          <w:color w:val="000000" w:themeColor="text1"/>
          <w:sz w:val="20"/>
          <w:szCs w:val="20"/>
        </w:rPr>
        <w:t xml:space="preserve">Williamson, B., &amp; Eynon, R. (2020). Historical threads, missing links, and future directions in AI in education. </w:t>
      </w:r>
      <w:r w:rsidRPr="007C6CC4">
        <w:rPr>
          <w:rFonts w:ascii="Arial" w:hAnsi="Arial" w:cs="Arial"/>
          <w:i/>
          <w:iCs/>
          <w:color w:val="000000" w:themeColor="text1"/>
          <w:sz w:val="20"/>
          <w:szCs w:val="20"/>
        </w:rPr>
        <w:t>Learning Media and Technology</w:t>
      </w:r>
      <w:r w:rsidRPr="007C6CC4">
        <w:rPr>
          <w:rFonts w:ascii="Arial" w:hAnsi="Arial" w:cs="Arial"/>
          <w:color w:val="000000" w:themeColor="text1"/>
          <w:sz w:val="20"/>
          <w:szCs w:val="20"/>
        </w:rPr>
        <w:t xml:space="preserve">, </w:t>
      </w:r>
      <w:r w:rsidRPr="007C6CC4">
        <w:rPr>
          <w:rFonts w:ascii="Arial" w:hAnsi="Arial" w:cs="Arial"/>
          <w:i/>
          <w:iCs/>
          <w:color w:val="000000" w:themeColor="text1"/>
          <w:sz w:val="20"/>
          <w:szCs w:val="20"/>
        </w:rPr>
        <w:t>45</w:t>
      </w:r>
      <w:r w:rsidRPr="007C6CC4">
        <w:rPr>
          <w:rFonts w:ascii="Arial" w:hAnsi="Arial" w:cs="Arial"/>
          <w:color w:val="000000" w:themeColor="text1"/>
          <w:sz w:val="20"/>
          <w:szCs w:val="20"/>
        </w:rPr>
        <w:t xml:space="preserve">(3), 223–235. </w:t>
      </w:r>
      <w:hyperlink r:id="rId40" w:history="1">
        <w:r w:rsidRPr="007C6CC4">
          <w:rPr>
            <w:rStyle w:val="Hyperlink"/>
            <w:rFonts w:ascii="Arial" w:eastAsiaTheme="majorEastAsia" w:hAnsi="Arial" w:cs="Arial"/>
            <w:color w:val="000000" w:themeColor="text1"/>
            <w:sz w:val="20"/>
            <w:szCs w:val="20"/>
            <w:u w:val="none"/>
          </w:rPr>
          <w:t>https://doi.org/10.1080/17439884.2020.1798995</w:t>
        </w:r>
      </w:hyperlink>
    </w:p>
    <w:p w14:paraId="2D6E3B8E" w14:textId="77777777" w:rsidR="00533532" w:rsidRPr="007C6CC4" w:rsidRDefault="00533532" w:rsidP="007C6CC4">
      <w:pPr>
        <w:pStyle w:val="ListParagraph"/>
        <w:numPr>
          <w:ilvl w:val="0"/>
          <w:numId w:val="1"/>
        </w:numPr>
        <w:pBdr>
          <w:top w:val="nil"/>
          <w:left w:val="nil"/>
          <w:bottom w:val="nil"/>
          <w:right w:val="nil"/>
          <w:between w:val="nil"/>
        </w:pBdr>
        <w:spacing w:after="240"/>
        <w:jc w:val="both"/>
        <w:rPr>
          <w:rFonts w:ascii="Arial" w:eastAsia="Book Antiqua" w:hAnsi="Arial" w:cs="Arial"/>
          <w:color w:val="000000" w:themeColor="text1"/>
          <w:sz w:val="20"/>
          <w:szCs w:val="20"/>
        </w:rPr>
      </w:pPr>
      <w:r w:rsidRPr="007C6CC4">
        <w:rPr>
          <w:rFonts w:ascii="Arial" w:eastAsia="Book Antiqua" w:hAnsi="Arial" w:cs="Arial"/>
          <w:color w:val="000000" w:themeColor="text1"/>
          <w:sz w:val="20"/>
          <w:szCs w:val="20"/>
        </w:rPr>
        <w:t xml:space="preserve">World Economic Forum. (2020). </w:t>
      </w:r>
      <w:r w:rsidRPr="007C6CC4">
        <w:rPr>
          <w:rFonts w:ascii="Arial" w:eastAsia="Book Antiqua" w:hAnsi="Arial" w:cs="Arial"/>
          <w:i/>
          <w:iCs/>
          <w:color w:val="000000" w:themeColor="text1"/>
          <w:sz w:val="20"/>
          <w:szCs w:val="20"/>
        </w:rPr>
        <w:t>The future of jobs report 2020</w:t>
      </w:r>
      <w:r w:rsidRPr="007C6CC4">
        <w:rPr>
          <w:rFonts w:ascii="Arial" w:eastAsia="Book Antiqua" w:hAnsi="Arial" w:cs="Arial"/>
          <w:color w:val="000000" w:themeColor="text1"/>
          <w:sz w:val="20"/>
          <w:szCs w:val="20"/>
        </w:rPr>
        <w:t xml:space="preserve">. </w:t>
      </w:r>
      <w:hyperlink r:id="rId41">
        <w:r w:rsidRPr="007C6CC4">
          <w:rPr>
            <w:rFonts w:ascii="Arial" w:eastAsia="Book Antiqua" w:hAnsi="Arial" w:cs="Arial"/>
            <w:color w:val="000000" w:themeColor="text1"/>
            <w:sz w:val="20"/>
            <w:szCs w:val="20"/>
          </w:rPr>
          <w:t>https://www.weforum.org/reports/the-future-of-jobs-report-2020</w:t>
        </w:r>
      </w:hyperlink>
    </w:p>
    <w:p w14:paraId="78EF87BB" w14:textId="77777777" w:rsidR="00533532" w:rsidRPr="007C6CC4" w:rsidRDefault="00533532" w:rsidP="007C6CC4">
      <w:pPr>
        <w:pStyle w:val="ListParagraph"/>
        <w:numPr>
          <w:ilvl w:val="0"/>
          <w:numId w:val="1"/>
        </w:numPr>
        <w:pBdr>
          <w:top w:val="nil"/>
          <w:left w:val="nil"/>
          <w:bottom w:val="nil"/>
          <w:right w:val="nil"/>
          <w:between w:val="nil"/>
        </w:pBdr>
        <w:spacing w:after="240"/>
        <w:jc w:val="both"/>
        <w:rPr>
          <w:rFonts w:ascii="Arial" w:eastAsia="Book Antiqua" w:hAnsi="Arial" w:cs="Arial"/>
          <w:color w:val="000000" w:themeColor="text1"/>
          <w:sz w:val="20"/>
          <w:szCs w:val="20"/>
        </w:rPr>
      </w:pPr>
      <w:proofErr w:type="spellStart"/>
      <w:r w:rsidRPr="007C6CC4">
        <w:rPr>
          <w:rFonts w:ascii="Arial" w:eastAsia="Book Antiqua" w:hAnsi="Arial" w:cs="Arial"/>
          <w:color w:val="000000" w:themeColor="text1"/>
          <w:sz w:val="20"/>
          <w:szCs w:val="20"/>
        </w:rPr>
        <w:t>Xayrullayevna</w:t>
      </w:r>
      <w:proofErr w:type="spellEnd"/>
      <w:r w:rsidRPr="007C6CC4">
        <w:rPr>
          <w:rFonts w:ascii="Arial" w:eastAsia="Book Antiqua" w:hAnsi="Arial" w:cs="Arial"/>
          <w:color w:val="000000" w:themeColor="text1"/>
          <w:sz w:val="20"/>
          <w:szCs w:val="20"/>
        </w:rPr>
        <w:t xml:space="preserve">, X. I., </w:t>
      </w:r>
      <w:proofErr w:type="spellStart"/>
      <w:r w:rsidRPr="007C6CC4">
        <w:rPr>
          <w:rFonts w:ascii="Arial" w:eastAsia="Book Antiqua" w:hAnsi="Arial" w:cs="Arial"/>
          <w:color w:val="000000" w:themeColor="text1"/>
          <w:sz w:val="20"/>
          <w:szCs w:val="20"/>
        </w:rPr>
        <w:t>Furkat</w:t>
      </w:r>
      <w:proofErr w:type="spellEnd"/>
      <w:r w:rsidRPr="007C6CC4">
        <w:rPr>
          <w:rFonts w:ascii="Arial" w:eastAsia="Book Antiqua" w:hAnsi="Arial" w:cs="Arial"/>
          <w:color w:val="000000" w:themeColor="text1"/>
          <w:sz w:val="20"/>
          <w:szCs w:val="20"/>
        </w:rPr>
        <w:t xml:space="preserve">, A. F., </w:t>
      </w:r>
      <w:proofErr w:type="spellStart"/>
      <w:r w:rsidRPr="007C6CC4">
        <w:rPr>
          <w:rFonts w:ascii="Arial" w:eastAsia="Book Antiqua" w:hAnsi="Arial" w:cs="Arial"/>
          <w:color w:val="000000" w:themeColor="text1"/>
          <w:sz w:val="20"/>
          <w:szCs w:val="20"/>
        </w:rPr>
        <w:t>Norimon</w:t>
      </w:r>
      <w:proofErr w:type="spellEnd"/>
      <w:r w:rsidRPr="007C6CC4">
        <w:rPr>
          <w:rFonts w:ascii="Arial" w:eastAsia="Book Antiqua" w:hAnsi="Arial" w:cs="Arial"/>
          <w:color w:val="000000" w:themeColor="text1"/>
          <w:sz w:val="20"/>
          <w:szCs w:val="20"/>
        </w:rPr>
        <w:t xml:space="preserve">, S. N., &amp; Dilshod, R. S. D. (2025). Impact of innovative pedagogical  approaches on student engagement and performance: A comparative study of flipped classrooms,  gamification, and technology-enhanced learning. </w:t>
      </w:r>
      <w:r w:rsidRPr="007C6CC4">
        <w:rPr>
          <w:rFonts w:ascii="Arial" w:eastAsia="Book Antiqua" w:hAnsi="Arial" w:cs="Arial"/>
          <w:i/>
          <w:iCs/>
          <w:color w:val="000000" w:themeColor="text1"/>
          <w:sz w:val="20"/>
          <w:szCs w:val="20"/>
        </w:rPr>
        <w:t xml:space="preserve">Indonesian Journal of </w:t>
      </w:r>
      <w:proofErr w:type="spellStart"/>
      <w:r w:rsidRPr="007C6CC4">
        <w:rPr>
          <w:rFonts w:ascii="Arial" w:eastAsia="Book Antiqua" w:hAnsi="Arial" w:cs="Arial"/>
          <w:i/>
          <w:iCs/>
          <w:color w:val="000000" w:themeColor="text1"/>
          <w:sz w:val="20"/>
          <w:szCs w:val="20"/>
        </w:rPr>
        <w:t>Multidiciplinary</w:t>
      </w:r>
      <w:proofErr w:type="spellEnd"/>
      <w:r w:rsidRPr="007C6CC4">
        <w:rPr>
          <w:rFonts w:ascii="Arial" w:eastAsia="Book Antiqua" w:hAnsi="Arial" w:cs="Arial"/>
          <w:i/>
          <w:iCs/>
          <w:color w:val="000000" w:themeColor="text1"/>
          <w:sz w:val="20"/>
          <w:szCs w:val="20"/>
        </w:rPr>
        <w:t xml:space="preserve"> Research, 5</w:t>
      </w:r>
      <w:r w:rsidRPr="007C6CC4">
        <w:rPr>
          <w:rFonts w:ascii="Arial" w:eastAsia="Book Antiqua" w:hAnsi="Arial" w:cs="Arial"/>
          <w:color w:val="000000" w:themeColor="text1"/>
          <w:sz w:val="20"/>
          <w:szCs w:val="20"/>
        </w:rPr>
        <w:t>(2),  247-254.</w:t>
      </w:r>
      <w:hyperlink r:id="rId42">
        <w:r w:rsidRPr="007C6CC4">
          <w:rPr>
            <w:rFonts w:ascii="Arial" w:eastAsia="Book Antiqua" w:hAnsi="Arial" w:cs="Arial"/>
            <w:color w:val="000000" w:themeColor="text1"/>
            <w:sz w:val="20"/>
            <w:szCs w:val="20"/>
          </w:rPr>
          <w:t xml:space="preserve"> https://doi.org/10.17509/ijomr.v5i2.82942</w:t>
        </w:r>
      </w:hyperlink>
      <w:r w:rsidRPr="007C6CC4">
        <w:rPr>
          <w:rFonts w:ascii="Arial" w:eastAsia="Book Antiqua" w:hAnsi="Arial" w:cs="Arial"/>
          <w:color w:val="000000" w:themeColor="text1"/>
          <w:sz w:val="20"/>
          <w:szCs w:val="20"/>
        </w:rPr>
        <w:t xml:space="preserve"> </w:t>
      </w:r>
    </w:p>
    <w:p w14:paraId="18370646" w14:textId="77777777" w:rsidR="00533532" w:rsidRPr="007C6CC4" w:rsidRDefault="00533532" w:rsidP="007C6CC4">
      <w:pPr>
        <w:pStyle w:val="ListParagraph"/>
        <w:numPr>
          <w:ilvl w:val="0"/>
          <w:numId w:val="1"/>
        </w:numPr>
        <w:pBdr>
          <w:top w:val="nil"/>
          <w:left w:val="nil"/>
          <w:bottom w:val="nil"/>
          <w:right w:val="nil"/>
          <w:between w:val="nil"/>
        </w:pBdr>
        <w:spacing w:after="240"/>
        <w:jc w:val="both"/>
        <w:rPr>
          <w:rFonts w:ascii="Arial" w:eastAsia="Book Antiqua" w:hAnsi="Arial" w:cs="Arial"/>
          <w:color w:val="000000" w:themeColor="text1"/>
          <w:sz w:val="20"/>
          <w:szCs w:val="20"/>
        </w:rPr>
      </w:pPr>
      <w:r w:rsidRPr="007C6CC4">
        <w:rPr>
          <w:rFonts w:ascii="Arial" w:hAnsi="Arial" w:cs="Arial"/>
          <w:color w:val="000000" w:themeColor="text1"/>
          <w:sz w:val="20"/>
          <w:szCs w:val="20"/>
        </w:rPr>
        <w:t xml:space="preserve">Xu, T., Sun, S., &amp; Kong, Q. (2025). Spatial Reasoning and Its Contribution to Mathematical Performance Across Different Content Domains: Evidence from Chinese Students. </w:t>
      </w:r>
      <w:r w:rsidRPr="007C6CC4">
        <w:rPr>
          <w:rFonts w:ascii="Arial" w:hAnsi="Arial" w:cs="Arial"/>
          <w:i/>
          <w:iCs/>
          <w:color w:val="000000" w:themeColor="text1"/>
          <w:sz w:val="20"/>
          <w:szCs w:val="20"/>
        </w:rPr>
        <w:t>Journal of Intelligence</w:t>
      </w:r>
      <w:r w:rsidRPr="007C6CC4">
        <w:rPr>
          <w:rFonts w:ascii="Arial" w:hAnsi="Arial" w:cs="Arial"/>
          <w:color w:val="000000" w:themeColor="text1"/>
          <w:sz w:val="20"/>
          <w:szCs w:val="20"/>
        </w:rPr>
        <w:t xml:space="preserve">, </w:t>
      </w:r>
      <w:r w:rsidRPr="007C6CC4">
        <w:rPr>
          <w:rFonts w:ascii="Arial" w:hAnsi="Arial" w:cs="Arial"/>
          <w:i/>
          <w:iCs/>
          <w:color w:val="000000" w:themeColor="text1"/>
          <w:sz w:val="20"/>
          <w:szCs w:val="20"/>
        </w:rPr>
        <w:t>13</w:t>
      </w:r>
      <w:r w:rsidRPr="007C6CC4">
        <w:rPr>
          <w:rFonts w:ascii="Arial" w:hAnsi="Arial" w:cs="Arial"/>
          <w:color w:val="000000" w:themeColor="text1"/>
          <w:sz w:val="20"/>
          <w:szCs w:val="20"/>
        </w:rPr>
        <w:t xml:space="preserve">(4), 41. </w:t>
      </w:r>
      <w:r w:rsidRPr="007C6CC4">
        <w:rPr>
          <w:rStyle w:val="url"/>
          <w:rFonts w:ascii="Arial" w:eastAsiaTheme="majorEastAsia" w:hAnsi="Arial" w:cs="Arial"/>
          <w:color w:val="000000" w:themeColor="text1"/>
          <w:sz w:val="20"/>
          <w:szCs w:val="20"/>
        </w:rPr>
        <w:t>https://doi.org/10.3390/jintelligence13040041</w:t>
      </w:r>
    </w:p>
    <w:p w14:paraId="11F87024" w14:textId="77777777" w:rsidR="00533532" w:rsidRPr="007C6CC4" w:rsidRDefault="00533532" w:rsidP="007C6CC4">
      <w:pPr>
        <w:pStyle w:val="ListParagraph"/>
        <w:numPr>
          <w:ilvl w:val="0"/>
          <w:numId w:val="1"/>
        </w:numPr>
        <w:pBdr>
          <w:top w:val="nil"/>
          <w:left w:val="nil"/>
          <w:bottom w:val="nil"/>
          <w:right w:val="nil"/>
          <w:between w:val="nil"/>
        </w:pBdr>
        <w:spacing w:after="240"/>
        <w:jc w:val="both"/>
        <w:rPr>
          <w:rFonts w:ascii="Arial" w:eastAsia="Book Antiqua" w:hAnsi="Arial" w:cs="Arial"/>
          <w:color w:val="000000" w:themeColor="text1"/>
          <w:sz w:val="20"/>
          <w:szCs w:val="20"/>
        </w:rPr>
      </w:pPr>
      <w:r w:rsidRPr="007C6CC4">
        <w:rPr>
          <w:rFonts w:ascii="Arial" w:eastAsia="Book Antiqua" w:hAnsi="Arial" w:cs="Arial"/>
          <w:color w:val="000000" w:themeColor="text1"/>
          <w:sz w:val="20"/>
          <w:szCs w:val="20"/>
        </w:rPr>
        <w:t xml:space="preserve">Yadav, N. (2024). The impact of digital learning on education. </w:t>
      </w:r>
      <w:r w:rsidRPr="007C6CC4">
        <w:rPr>
          <w:rFonts w:ascii="Arial" w:eastAsia="Book Antiqua" w:hAnsi="Arial" w:cs="Arial"/>
          <w:i/>
          <w:iCs/>
          <w:color w:val="000000" w:themeColor="text1"/>
          <w:sz w:val="20"/>
          <w:szCs w:val="20"/>
        </w:rPr>
        <w:t xml:space="preserve">International Journal of Multidisciplinary Research </w:t>
      </w:r>
      <w:r w:rsidRPr="007C6CC4">
        <w:rPr>
          <w:rFonts w:ascii="Arial" w:eastAsia="Book Antiqua" w:hAnsi="Arial" w:cs="Arial"/>
          <w:color w:val="000000" w:themeColor="text1"/>
          <w:sz w:val="20"/>
          <w:szCs w:val="20"/>
        </w:rPr>
        <w:t xml:space="preserve"> </w:t>
      </w:r>
      <w:r w:rsidRPr="007C6CC4">
        <w:rPr>
          <w:rFonts w:ascii="Arial" w:eastAsia="Book Antiqua" w:hAnsi="Arial" w:cs="Arial"/>
          <w:i/>
          <w:iCs/>
          <w:color w:val="000000" w:themeColor="text1"/>
          <w:sz w:val="20"/>
          <w:szCs w:val="20"/>
        </w:rPr>
        <w:t>in Arts, Science and Technology, 2</w:t>
      </w:r>
      <w:r w:rsidRPr="007C6CC4">
        <w:rPr>
          <w:rFonts w:ascii="Arial" w:eastAsia="Book Antiqua" w:hAnsi="Arial" w:cs="Arial"/>
          <w:color w:val="000000" w:themeColor="text1"/>
          <w:sz w:val="20"/>
          <w:szCs w:val="20"/>
        </w:rPr>
        <w:t>(1), 24-34.</w:t>
      </w:r>
      <w:hyperlink r:id="rId43">
        <w:r w:rsidRPr="007C6CC4">
          <w:rPr>
            <w:rFonts w:ascii="Arial" w:eastAsia="Book Antiqua" w:hAnsi="Arial" w:cs="Arial"/>
            <w:color w:val="000000" w:themeColor="text1"/>
            <w:sz w:val="20"/>
            <w:szCs w:val="20"/>
          </w:rPr>
          <w:t xml:space="preserve"> https://doi.org/10.61778/ijmrast.v2i1.34</w:t>
        </w:r>
      </w:hyperlink>
    </w:p>
    <w:p w14:paraId="02F2DE36" w14:textId="77777777" w:rsidR="00533532" w:rsidRPr="007C6CC4" w:rsidRDefault="00533532" w:rsidP="007C6CC4">
      <w:pPr>
        <w:pStyle w:val="ListParagraph"/>
        <w:numPr>
          <w:ilvl w:val="0"/>
          <w:numId w:val="1"/>
        </w:numPr>
        <w:pBdr>
          <w:top w:val="nil"/>
          <w:left w:val="nil"/>
          <w:bottom w:val="nil"/>
          <w:right w:val="nil"/>
          <w:between w:val="nil"/>
        </w:pBdr>
        <w:spacing w:after="240"/>
        <w:jc w:val="both"/>
        <w:rPr>
          <w:rStyle w:val="url"/>
          <w:rFonts w:ascii="Arial" w:eastAsiaTheme="majorEastAsia" w:hAnsi="Arial" w:cs="Arial"/>
          <w:color w:val="000000" w:themeColor="text1"/>
          <w:sz w:val="20"/>
          <w:szCs w:val="20"/>
        </w:rPr>
      </w:pPr>
      <w:r w:rsidRPr="007C6CC4">
        <w:rPr>
          <w:rFonts w:ascii="Arial" w:hAnsi="Arial" w:cs="Arial"/>
          <w:color w:val="000000" w:themeColor="text1"/>
          <w:sz w:val="20"/>
          <w:szCs w:val="20"/>
        </w:rPr>
        <w:t xml:space="preserve">Yi, L., Liu, D., Jiang, T., &amp; Xian, Y. (2024). The Effectiveness of AI on K-12 Students’ Mathematics Learning: A Systematic Review and Meta-Analysis. </w:t>
      </w:r>
      <w:r w:rsidRPr="007C6CC4">
        <w:rPr>
          <w:rFonts w:ascii="Arial" w:hAnsi="Arial" w:cs="Arial"/>
          <w:i/>
          <w:iCs/>
          <w:color w:val="000000" w:themeColor="text1"/>
          <w:sz w:val="20"/>
          <w:szCs w:val="20"/>
        </w:rPr>
        <w:t>International Journal of Science and Mathematics Education</w:t>
      </w:r>
      <w:r w:rsidRPr="007C6CC4">
        <w:rPr>
          <w:rFonts w:ascii="Arial" w:hAnsi="Arial" w:cs="Arial"/>
          <w:color w:val="000000" w:themeColor="text1"/>
          <w:sz w:val="20"/>
          <w:szCs w:val="20"/>
        </w:rPr>
        <w:t xml:space="preserve">, </w:t>
      </w:r>
      <w:r w:rsidRPr="007C6CC4">
        <w:rPr>
          <w:rFonts w:ascii="Arial" w:hAnsi="Arial" w:cs="Arial"/>
          <w:i/>
          <w:iCs/>
          <w:color w:val="000000" w:themeColor="text1"/>
          <w:sz w:val="20"/>
          <w:szCs w:val="20"/>
        </w:rPr>
        <w:t>23</w:t>
      </w:r>
      <w:r w:rsidRPr="007C6CC4">
        <w:rPr>
          <w:rFonts w:ascii="Arial" w:hAnsi="Arial" w:cs="Arial"/>
          <w:color w:val="000000" w:themeColor="text1"/>
          <w:sz w:val="20"/>
          <w:szCs w:val="20"/>
        </w:rPr>
        <w:t xml:space="preserve">(4), 1105–1126. </w:t>
      </w:r>
      <w:hyperlink r:id="rId44" w:history="1">
        <w:r w:rsidRPr="007C6CC4">
          <w:rPr>
            <w:rStyle w:val="Hyperlink"/>
            <w:rFonts w:ascii="Arial" w:eastAsiaTheme="majorEastAsia" w:hAnsi="Arial" w:cs="Arial"/>
            <w:color w:val="000000" w:themeColor="text1"/>
            <w:sz w:val="20"/>
            <w:szCs w:val="20"/>
            <w:u w:val="none"/>
          </w:rPr>
          <w:t>https://doi.org/10.1007/s10763-024-10499-7</w:t>
        </w:r>
      </w:hyperlink>
    </w:p>
    <w:p w14:paraId="3A437BE2" w14:textId="77777777" w:rsidR="00533532" w:rsidRPr="007C6CC4" w:rsidRDefault="00533532" w:rsidP="007C6CC4">
      <w:pPr>
        <w:pStyle w:val="ListParagraph"/>
        <w:numPr>
          <w:ilvl w:val="0"/>
          <w:numId w:val="1"/>
        </w:numPr>
        <w:pBdr>
          <w:top w:val="nil"/>
          <w:left w:val="nil"/>
          <w:bottom w:val="nil"/>
          <w:right w:val="nil"/>
          <w:between w:val="nil"/>
        </w:pBdr>
        <w:spacing w:after="240"/>
        <w:jc w:val="both"/>
        <w:rPr>
          <w:rFonts w:ascii="Arial" w:eastAsia="Book Antiqua" w:hAnsi="Arial" w:cs="Arial"/>
          <w:color w:val="000000" w:themeColor="text1"/>
          <w:sz w:val="20"/>
          <w:szCs w:val="20"/>
        </w:rPr>
      </w:pPr>
      <w:r w:rsidRPr="007C6CC4">
        <w:rPr>
          <w:rFonts w:ascii="Arial" w:eastAsia="Book Antiqua" w:hAnsi="Arial" w:cs="Arial"/>
          <w:color w:val="000000" w:themeColor="text1"/>
          <w:sz w:val="20"/>
          <w:szCs w:val="20"/>
        </w:rPr>
        <w:t xml:space="preserve">Yurtseven Avci, Z., O'Dwyer, L. M., &amp; Lawson, J. (2020). Designing effective professional development for technology integration in schools. </w:t>
      </w:r>
      <w:r w:rsidRPr="007C6CC4">
        <w:rPr>
          <w:rFonts w:ascii="Arial" w:eastAsia="Book Antiqua" w:hAnsi="Arial" w:cs="Arial"/>
          <w:i/>
          <w:iCs/>
          <w:color w:val="000000" w:themeColor="text1"/>
          <w:sz w:val="20"/>
          <w:szCs w:val="20"/>
        </w:rPr>
        <w:t>Journal of Computer Assisted Learning, 36</w:t>
      </w:r>
      <w:r w:rsidRPr="007C6CC4">
        <w:rPr>
          <w:rFonts w:ascii="Arial" w:eastAsia="Book Antiqua" w:hAnsi="Arial" w:cs="Arial"/>
          <w:color w:val="000000" w:themeColor="text1"/>
          <w:sz w:val="20"/>
          <w:szCs w:val="20"/>
        </w:rPr>
        <w:t xml:space="preserve">(2), 160-177. </w:t>
      </w:r>
      <w:hyperlink r:id="rId45">
        <w:r w:rsidRPr="007C6CC4">
          <w:rPr>
            <w:rFonts w:ascii="Arial" w:eastAsia="Book Antiqua" w:hAnsi="Arial" w:cs="Arial"/>
            <w:color w:val="000000" w:themeColor="text1"/>
            <w:sz w:val="20"/>
            <w:szCs w:val="20"/>
          </w:rPr>
          <w:t>https://doi.org/10.1111/jcal.12394</w:t>
        </w:r>
      </w:hyperlink>
    </w:p>
    <w:p w14:paraId="49F464C5" w14:textId="77777777" w:rsidR="00533532" w:rsidRPr="007C6CC4" w:rsidRDefault="00533532" w:rsidP="007C6CC4">
      <w:pPr>
        <w:pStyle w:val="ListParagraph"/>
        <w:numPr>
          <w:ilvl w:val="0"/>
          <w:numId w:val="1"/>
        </w:numPr>
        <w:pBdr>
          <w:top w:val="nil"/>
          <w:left w:val="nil"/>
          <w:bottom w:val="nil"/>
          <w:right w:val="nil"/>
          <w:between w:val="nil"/>
        </w:pBdr>
        <w:spacing w:after="240"/>
        <w:jc w:val="both"/>
        <w:rPr>
          <w:rFonts w:ascii="Arial" w:eastAsia="Book Antiqua" w:hAnsi="Arial" w:cs="Arial"/>
          <w:color w:val="000000" w:themeColor="text1"/>
          <w:sz w:val="20"/>
          <w:szCs w:val="20"/>
        </w:rPr>
      </w:pPr>
      <w:proofErr w:type="spellStart"/>
      <w:r w:rsidRPr="007C6CC4">
        <w:rPr>
          <w:rFonts w:ascii="Arial" w:eastAsia="Book Antiqua" w:hAnsi="Arial" w:cs="Arial"/>
          <w:color w:val="000000" w:themeColor="text1"/>
          <w:sz w:val="20"/>
          <w:szCs w:val="20"/>
        </w:rPr>
        <w:t>Zamiri</w:t>
      </w:r>
      <w:proofErr w:type="spellEnd"/>
      <w:r w:rsidRPr="007C6CC4">
        <w:rPr>
          <w:rFonts w:ascii="Arial" w:eastAsia="Book Antiqua" w:hAnsi="Arial" w:cs="Arial"/>
          <w:color w:val="000000" w:themeColor="text1"/>
          <w:sz w:val="20"/>
          <w:szCs w:val="20"/>
        </w:rPr>
        <w:t xml:space="preserve">, M., &amp; Esmaeili, A. (2024). Methods and technologies for supporting knowledge sharing within learning communities: A systematic literature review. </w:t>
      </w:r>
      <w:r w:rsidRPr="007C6CC4">
        <w:rPr>
          <w:rFonts w:ascii="Arial" w:eastAsia="Book Antiqua" w:hAnsi="Arial" w:cs="Arial"/>
          <w:i/>
          <w:iCs/>
          <w:color w:val="000000" w:themeColor="text1"/>
          <w:sz w:val="20"/>
          <w:szCs w:val="20"/>
        </w:rPr>
        <w:t>Administrative Sciences, 14</w:t>
      </w:r>
      <w:r w:rsidRPr="007C6CC4">
        <w:rPr>
          <w:rFonts w:ascii="Arial" w:eastAsia="Book Antiqua" w:hAnsi="Arial" w:cs="Arial"/>
          <w:color w:val="000000" w:themeColor="text1"/>
          <w:sz w:val="20"/>
          <w:szCs w:val="20"/>
        </w:rPr>
        <w:t xml:space="preserve">(1), 17. </w:t>
      </w:r>
      <w:hyperlink r:id="rId46" w:history="1">
        <w:r w:rsidRPr="007C6CC4">
          <w:rPr>
            <w:rStyle w:val="Hyperlink"/>
            <w:rFonts w:ascii="Arial" w:eastAsia="Book Antiqua" w:hAnsi="Arial" w:cs="Arial"/>
            <w:color w:val="000000" w:themeColor="text1"/>
            <w:sz w:val="20"/>
            <w:szCs w:val="20"/>
            <w:u w:val="none"/>
          </w:rPr>
          <w:t>https://doi.org/10.3390/admsci14010017</w:t>
        </w:r>
      </w:hyperlink>
    </w:p>
    <w:p w14:paraId="3FCAB7FA" w14:textId="77777777" w:rsidR="00533532" w:rsidRPr="007C6CC4" w:rsidRDefault="00533532" w:rsidP="007C6CC4">
      <w:pPr>
        <w:pStyle w:val="ListParagraph"/>
        <w:numPr>
          <w:ilvl w:val="0"/>
          <w:numId w:val="1"/>
        </w:numPr>
        <w:pBdr>
          <w:top w:val="nil"/>
          <w:left w:val="nil"/>
          <w:bottom w:val="nil"/>
          <w:right w:val="nil"/>
          <w:between w:val="nil"/>
        </w:pBdr>
        <w:spacing w:after="240"/>
        <w:jc w:val="both"/>
        <w:rPr>
          <w:rStyle w:val="url"/>
          <w:rFonts w:ascii="Arial" w:eastAsiaTheme="majorEastAsia" w:hAnsi="Arial" w:cs="Arial"/>
          <w:color w:val="000000" w:themeColor="text1"/>
          <w:sz w:val="20"/>
          <w:szCs w:val="20"/>
        </w:rPr>
      </w:pPr>
      <w:r w:rsidRPr="007C6CC4">
        <w:rPr>
          <w:rFonts w:ascii="Arial" w:hAnsi="Arial" w:cs="Arial"/>
          <w:color w:val="000000" w:themeColor="text1"/>
          <w:sz w:val="20"/>
          <w:szCs w:val="20"/>
        </w:rPr>
        <w:t xml:space="preserve">Zawacki-Richter, O., Marín, V. I., Bond, M., &amp; Gouverneur, F. (2019). Systematic review of research on artificial intelligence applications in higher education – where are the educators? </w:t>
      </w:r>
      <w:r w:rsidRPr="007C6CC4">
        <w:rPr>
          <w:rFonts w:ascii="Arial" w:hAnsi="Arial" w:cs="Arial"/>
          <w:i/>
          <w:iCs/>
          <w:color w:val="000000" w:themeColor="text1"/>
          <w:sz w:val="20"/>
          <w:szCs w:val="20"/>
        </w:rPr>
        <w:t>International Journal of Educational Technology in Higher Education</w:t>
      </w:r>
      <w:r w:rsidRPr="007C6CC4">
        <w:rPr>
          <w:rFonts w:ascii="Arial" w:hAnsi="Arial" w:cs="Arial"/>
          <w:color w:val="000000" w:themeColor="text1"/>
          <w:sz w:val="20"/>
          <w:szCs w:val="20"/>
        </w:rPr>
        <w:t xml:space="preserve">, </w:t>
      </w:r>
      <w:r w:rsidRPr="007C6CC4">
        <w:rPr>
          <w:rFonts w:ascii="Arial" w:hAnsi="Arial" w:cs="Arial"/>
          <w:i/>
          <w:iCs/>
          <w:color w:val="000000" w:themeColor="text1"/>
          <w:sz w:val="20"/>
          <w:szCs w:val="20"/>
        </w:rPr>
        <w:t>16</w:t>
      </w:r>
      <w:r w:rsidRPr="007C6CC4">
        <w:rPr>
          <w:rFonts w:ascii="Arial" w:hAnsi="Arial" w:cs="Arial"/>
          <w:color w:val="000000" w:themeColor="text1"/>
          <w:sz w:val="20"/>
          <w:szCs w:val="20"/>
        </w:rPr>
        <w:t xml:space="preserve">(1). </w:t>
      </w:r>
      <w:hyperlink r:id="rId47" w:history="1">
        <w:r w:rsidRPr="007C6CC4">
          <w:rPr>
            <w:rStyle w:val="Hyperlink"/>
            <w:rFonts w:ascii="Arial" w:eastAsiaTheme="majorEastAsia" w:hAnsi="Arial" w:cs="Arial"/>
            <w:color w:val="000000" w:themeColor="text1"/>
            <w:sz w:val="20"/>
            <w:szCs w:val="20"/>
            <w:u w:val="none"/>
          </w:rPr>
          <w:t>https://doi.org/10.1186/s41239-019-0171-0</w:t>
        </w:r>
      </w:hyperlink>
    </w:p>
    <w:p w14:paraId="5F00C690" w14:textId="77777777" w:rsidR="00533532" w:rsidRPr="007C6CC4" w:rsidRDefault="00533532" w:rsidP="007C6CC4">
      <w:pPr>
        <w:pStyle w:val="ListParagraph"/>
        <w:numPr>
          <w:ilvl w:val="0"/>
          <w:numId w:val="1"/>
        </w:numPr>
        <w:pBdr>
          <w:top w:val="nil"/>
          <w:left w:val="nil"/>
          <w:bottom w:val="nil"/>
          <w:right w:val="nil"/>
          <w:between w:val="nil"/>
        </w:pBdr>
        <w:spacing w:after="240"/>
        <w:jc w:val="both"/>
        <w:rPr>
          <w:rFonts w:ascii="Arial" w:eastAsia="Book Antiqua" w:hAnsi="Arial" w:cs="Arial"/>
          <w:color w:val="000000" w:themeColor="text1"/>
          <w:sz w:val="20"/>
          <w:szCs w:val="20"/>
        </w:rPr>
      </w:pPr>
      <w:r w:rsidRPr="007C6CC4">
        <w:rPr>
          <w:rFonts w:ascii="Arial" w:eastAsia="Book Antiqua" w:hAnsi="Arial" w:cs="Arial"/>
          <w:color w:val="000000" w:themeColor="text1"/>
          <w:sz w:val="20"/>
          <w:szCs w:val="20"/>
        </w:rPr>
        <w:t>Zimmerman, J. (2006). Why some teachers resist change and what principals can do about it. </w:t>
      </w:r>
      <w:r w:rsidRPr="007C6CC4">
        <w:rPr>
          <w:rFonts w:ascii="Arial" w:eastAsia="Book Antiqua" w:hAnsi="Arial" w:cs="Arial"/>
          <w:i/>
          <w:iCs/>
          <w:color w:val="000000" w:themeColor="text1"/>
          <w:sz w:val="20"/>
          <w:szCs w:val="20"/>
        </w:rPr>
        <w:t>NASSP Bulletin, 90(3), 238–249.</w:t>
      </w:r>
      <w:r w:rsidRPr="007C6CC4">
        <w:rPr>
          <w:rFonts w:ascii="Arial" w:eastAsia="Book Antiqua" w:hAnsi="Arial" w:cs="Arial"/>
          <w:color w:val="000000" w:themeColor="text1"/>
          <w:sz w:val="20"/>
          <w:szCs w:val="20"/>
        </w:rPr>
        <w:t> </w:t>
      </w:r>
      <w:hyperlink r:id="rId48" w:history="1">
        <w:r w:rsidRPr="007C6CC4">
          <w:rPr>
            <w:rStyle w:val="Hyperlink"/>
            <w:rFonts w:ascii="Arial" w:eastAsia="Book Antiqua" w:hAnsi="Arial" w:cs="Arial"/>
            <w:color w:val="000000" w:themeColor="text1"/>
            <w:sz w:val="20"/>
            <w:szCs w:val="20"/>
            <w:u w:val="none"/>
          </w:rPr>
          <w:t>https://doi.org/10.1177/0192636506291521</w:t>
        </w:r>
      </w:hyperlink>
    </w:p>
    <w:bookmarkEnd w:id="0"/>
    <w:p w14:paraId="00000081" w14:textId="77777777" w:rsidR="00AD4552" w:rsidRPr="00844B8B" w:rsidRDefault="00AD4552">
      <w:pPr>
        <w:rPr>
          <w:rFonts w:ascii="Arial" w:hAnsi="Arial" w:cs="Arial"/>
        </w:rPr>
      </w:pPr>
    </w:p>
    <w:sectPr w:rsidR="00AD4552" w:rsidRPr="00844B8B">
      <w:headerReference w:type="even" r:id="rId49"/>
      <w:headerReference w:type="default" r:id="rId50"/>
      <w:footerReference w:type="default" r:id="rId51"/>
      <w:headerReference w:type="first" r:id="rId52"/>
      <w:footerReference w:type="first" r:id="rId53"/>
      <w:type w:val="continuous"/>
      <w:pgSz w:w="12240" w:h="15840"/>
      <w:pgMar w:top="418" w:right="1134" w:bottom="1134" w:left="1134" w:header="850" w:footer="850" w:gutter="0"/>
      <w:pgNumType w:start="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8F79C7" w14:textId="77777777" w:rsidR="00A8300A" w:rsidRDefault="00A8300A">
      <w:r>
        <w:separator/>
      </w:r>
    </w:p>
  </w:endnote>
  <w:endnote w:type="continuationSeparator" w:id="0">
    <w:p w14:paraId="0F02A403" w14:textId="77777777" w:rsidR="00A8300A" w:rsidRDefault="00A830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Play">
    <w:charset w:val="00"/>
    <w:family w:val="auto"/>
    <w:pitch w:val="default"/>
    <w:embedRegular r:id="rId1" w:fontKey="{A8051D47-06CA-4504-A978-9B8F5BDC2BBB}"/>
  </w:font>
  <w:font w:name="Aptos Display">
    <w:charset w:val="00"/>
    <w:family w:val="swiss"/>
    <w:pitch w:val="variable"/>
    <w:sig w:usb0="20000287" w:usb1="00000003" w:usb2="00000000" w:usb3="00000000" w:csb0="0000019F" w:csb1="00000000"/>
    <w:embedRegular r:id="rId2" w:fontKey="{FD25FA69-EC3D-426D-8EF4-3C9C19066B65}"/>
  </w:font>
  <w:font w:name="Arial MT">
    <w:altName w:val="Arial"/>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embedRegular r:id="rId3" w:fontKey="{E1D02AC5-6B2C-4C14-A091-62862CEF4399}"/>
    <w:embedBold r:id="rId4" w:fontKey="{13FC6645-C19E-4C92-B24C-84867FE17FC4}"/>
    <w:embedItalic r:id="rId5" w:fontKey="{9962BA6F-C44F-4DEB-B5B6-5E084AE3DEFC}"/>
    <w:embedBoldItalic r:id="rId6" w:fontKey="{62F9F71D-188A-4811-AC4D-FD127420DE6E}"/>
  </w:font>
  <w:font w:name="Aptos">
    <w:charset w:val="00"/>
    <w:family w:val="swiss"/>
    <w:pitch w:val="variable"/>
    <w:sig w:usb0="20000287" w:usb1="00000003" w:usb2="00000000" w:usb3="00000000" w:csb0="0000019F" w:csb1="00000000"/>
    <w:embedRegular r:id="rId7" w:fontKey="{43EAD57C-8671-4E5C-8957-DD3B0DC3F5DF}"/>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BCD4FE" w14:textId="77777777" w:rsidR="00B102B9" w:rsidRDefault="00B102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579D1A" w14:textId="77777777" w:rsidR="00B102B9" w:rsidRDefault="00B102B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68F79B" w14:textId="77777777" w:rsidR="00B102B9" w:rsidRDefault="00B102B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85" w14:textId="6066866B" w:rsidR="00AD4552" w:rsidRDefault="00DD1D5F">
    <w:pPr>
      <w:widowControl w:val="0"/>
      <w:pBdr>
        <w:top w:val="nil"/>
        <w:left w:val="nil"/>
        <w:bottom w:val="nil"/>
        <w:right w:val="nil"/>
        <w:between w:val="nil"/>
      </w:pBdr>
      <w:tabs>
        <w:tab w:val="center" w:pos="4680"/>
        <w:tab w:val="right" w:pos="9360"/>
      </w:tabs>
      <w:jc w:val="cente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fldChar w:fldCharType="begin"/>
    </w:r>
    <w:r>
      <w:rPr>
        <w:rFonts w:ascii="Book Antiqua" w:eastAsia="Book Antiqua" w:hAnsi="Book Antiqua" w:cs="Book Antiqua"/>
        <w:color w:val="000000"/>
        <w:sz w:val="20"/>
        <w:szCs w:val="20"/>
      </w:rPr>
      <w:instrText>PAGE</w:instrText>
    </w:r>
    <w:r>
      <w:rPr>
        <w:rFonts w:ascii="Book Antiqua" w:eastAsia="Book Antiqua" w:hAnsi="Book Antiqua" w:cs="Book Antiqua"/>
        <w:color w:val="000000"/>
        <w:sz w:val="20"/>
        <w:szCs w:val="20"/>
      </w:rPr>
      <w:fldChar w:fldCharType="separate"/>
    </w:r>
    <w:r w:rsidR="00BB6EC6">
      <w:rPr>
        <w:rFonts w:ascii="Book Antiqua" w:eastAsia="Book Antiqua" w:hAnsi="Book Antiqua" w:cs="Book Antiqua"/>
        <w:noProof/>
        <w:color w:val="000000"/>
        <w:sz w:val="20"/>
        <w:szCs w:val="20"/>
      </w:rPr>
      <w:t>7</w:t>
    </w:r>
    <w:r>
      <w:rPr>
        <w:rFonts w:ascii="Book Antiqua" w:eastAsia="Book Antiqua" w:hAnsi="Book Antiqua" w:cs="Book Antiqua"/>
        <w:color w:val="000000"/>
        <w:sz w:val="20"/>
        <w:szCs w:val="20"/>
      </w:rPr>
      <w:fldChar w:fldCharType="end"/>
    </w:r>
  </w:p>
  <w:p w14:paraId="00000086" w14:textId="77777777" w:rsidR="00AD4552" w:rsidRDefault="00AD4552">
    <w:pPr>
      <w:widowControl w:val="0"/>
      <w:pBdr>
        <w:top w:val="nil"/>
        <w:left w:val="nil"/>
        <w:bottom w:val="nil"/>
        <w:right w:val="nil"/>
        <w:between w:val="nil"/>
      </w:pBdr>
      <w:tabs>
        <w:tab w:val="center" w:pos="4680"/>
        <w:tab w:val="right" w:pos="9360"/>
      </w:tabs>
      <w:rPr>
        <w:rFonts w:ascii="Arial" w:eastAsia="Arial" w:hAnsi="Arial" w:cs="Arial"/>
        <w:color w:val="000000"/>
        <w:sz w:val="22"/>
        <w:szCs w:val="2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87" w14:textId="77777777" w:rsidR="00AD4552" w:rsidRDefault="00AD4552">
    <w:pPr>
      <w:widowControl w:val="0"/>
      <w:pBdr>
        <w:top w:val="nil"/>
        <w:left w:val="nil"/>
        <w:bottom w:val="nil"/>
        <w:right w:val="nil"/>
        <w:between w:val="nil"/>
      </w:pBdr>
      <w:tabs>
        <w:tab w:val="center" w:pos="4680"/>
        <w:tab w:val="right" w:pos="9360"/>
      </w:tabs>
      <w:spacing w:after="159"/>
      <w:rPr>
        <w:rFonts w:ascii="Book Antiqua" w:eastAsia="Book Antiqua" w:hAnsi="Book Antiqua" w:cs="Book Antiqua"/>
        <w:color w:val="000000"/>
        <w:sz w:val="16"/>
        <w:szCs w:val="16"/>
      </w:rPr>
    </w:pPr>
  </w:p>
  <w:p w14:paraId="00000088" w14:textId="77777777" w:rsidR="00AD4552" w:rsidRDefault="00AD4552">
    <w:pPr>
      <w:widowControl w:val="0"/>
      <w:pBdr>
        <w:top w:val="nil"/>
        <w:left w:val="nil"/>
        <w:bottom w:val="nil"/>
        <w:right w:val="nil"/>
        <w:between w:val="nil"/>
      </w:pBdr>
      <w:tabs>
        <w:tab w:val="center" w:pos="4680"/>
        <w:tab w:val="right" w:pos="9360"/>
      </w:tabs>
      <w:spacing w:after="159"/>
      <w:rPr>
        <w:rFonts w:ascii="Book Antiqua" w:eastAsia="Book Antiqua" w:hAnsi="Book Antiqua" w:cs="Book Antiqua"/>
        <w:color w:val="0000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221D26" w14:textId="77777777" w:rsidR="00A8300A" w:rsidRDefault="00A8300A">
      <w:r>
        <w:separator/>
      </w:r>
    </w:p>
  </w:footnote>
  <w:footnote w:type="continuationSeparator" w:id="0">
    <w:p w14:paraId="4DE144B1" w14:textId="77777777" w:rsidR="00A8300A" w:rsidRDefault="00A830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4A49FF" w14:textId="1DC03913" w:rsidR="00B102B9" w:rsidRDefault="00A8300A">
    <w:pPr>
      <w:pStyle w:val="Header"/>
    </w:pPr>
    <w:r>
      <w:rPr>
        <w:noProof/>
      </w:rPr>
      <w:pict w14:anchorId="4C7E20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1641751" o:spid="_x0000_s2054" type="#_x0000_t136" alt="" style="position:absolute;margin-left:0;margin-top:0;width:631.7pt;height:71.2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EDA7DA" w14:textId="42E2D931" w:rsidR="00B102B9" w:rsidRDefault="00A8300A">
    <w:pPr>
      <w:pStyle w:val="Header"/>
    </w:pPr>
    <w:r>
      <w:rPr>
        <w:noProof/>
      </w:rPr>
      <w:pict w14:anchorId="70C14E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1641752" o:spid="_x0000_s2053" type="#_x0000_t136" alt="" style="position:absolute;margin-left:0;margin-top:0;width:631.7pt;height:71.2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960F09" w14:textId="3BC5758E" w:rsidR="00B102B9" w:rsidRDefault="00A8300A">
    <w:pPr>
      <w:pStyle w:val="Header"/>
    </w:pPr>
    <w:r>
      <w:rPr>
        <w:noProof/>
      </w:rPr>
      <w:pict w14:anchorId="077202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1641750" o:spid="_x0000_s2052" type="#_x0000_t136" alt="" style="position:absolute;margin-left:0;margin-top:0;width:631.7pt;height:71.2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C49859" w14:textId="44C8C9CE" w:rsidR="00B102B9" w:rsidRDefault="00A8300A">
    <w:pPr>
      <w:pStyle w:val="Header"/>
    </w:pPr>
    <w:r>
      <w:rPr>
        <w:noProof/>
      </w:rPr>
      <w:pict w14:anchorId="0BBF4B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1641754" o:spid="_x0000_s2051" type="#_x0000_t136" alt="" style="position:absolute;margin-left:0;margin-top:0;width:631.7pt;height:71.25pt;rotation:315;z-index:-25164902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46D453" w14:textId="25729716" w:rsidR="00B102B9" w:rsidRDefault="00A8300A">
    <w:pPr>
      <w:pStyle w:val="Header"/>
    </w:pPr>
    <w:r>
      <w:rPr>
        <w:noProof/>
      </w:rPr>
      <w:pict w14:anchorId="53F628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1641755" o:spid="_x0000_s2050" type="#_x0000_t136" alt="" style="position:absolute;margin-left:0;margin-top:0;width:631.7pt;height:71.25pt;rotation:315;z-index:-25164697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82" w14:textId="071F59C9" w:rsidR="00AD4552" w:rsidRDefault="00A8300A">
    <w:pPr>
      <w:pStyle w:val="Heading1"/>
      <w:rPr>
        <w:rFonts w:ascii="Book Antiqua" w:eastAsia="Book Antiqua" w:hAnsi="Book Antiqua" w:cs="Book Antiqua"/>
        <w:b/>
        <w:bCs/>
        <w:i/>
        <w:iCs/>
        <w:sz w:val="18"/>
        <w:szCs w:val="18"/>
      </w:rPr>
    </w:pPr>
    <w:r>
      <w:rPr>
        <w:noProof/>
      </w:rPr>
      <w:pict w14:anchorId="6C25F4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1641753" o:spid="_x0000_s2049" type="#_x0000_t136" alt="" style="position:absolute;margin-left:0;margin-top:0;width:631.7pt;height:71.25pt;rotation:315;z-index:-25165107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p w14:paraId="00000083" w14:textId="77777777" w:rsidR="00AD4552" w:rsidRDefault="00DD1D5F">
    <w:pPr>
      <w:widowControl w:val="0"/>
      <w:pBdr>
        <w:top w:val="nil"/>
        <w:left w:val="nil"/>
        <w:bottom w:val="nil"/>
        <w:right w:val="nil"/>
        <w:between w:val="nil"/>
      </w:pBdr>
      <w:tabs>
        <w:tab w:val="center" w:pos="4680"/>
        <w:tab w:val="right" w:pos="9360"/>
        <w:tab w:val="left" w:pos="8433"/>
      </w:tabs>
      <w:rPr>
        <w:rFonts w:ascii="Arial" w:eastAsia="Arial" w:hAnsi="Arial" w:cs="Arial"/>
        <w:color w:val="000000"/>
        <w:sz w:val="22"/>
        <w:szCs w:val="22"/>
      </w:rPr>
    </w:pPr>
    <w:r>
      <w:rPr>
        <w:rFonts w:ascii="Arial" w:eastAsia="Arial" w:hAnsi="Arial" w:cs="Arial"/>
        <w:color w:val="000000"/>
        <w:sz w:val="22"/>
        <w:szCs w:val="22"/>
      </w:rPr>
      <w:tab/>
    </w:r>
  </w:p>
  <w:p w14:paraId="00000084" w14:textId="77777777" w:rsidR="00AD4552" w:rsidRDefault="00AD4552">
    <w:pPr>
      <w:widowControl w:val="0"/>
      <w:pBdr>
        <w:top w:val="nil"/>
        <w:left w:val="nil"/>
        <w:bottom w:val="nil"/>
        <w:right w:val="nil"/>
        <w:between w:val="nil"/>
      </w:pBdr>
      <w:tabs>
        <w:tab w:val="center" w:pos="4680"/>
        <w:tab w:val="right" w:pos="9360"/>
      </w:tabs>
      <w:rPr>
        <w:rFonts w:ascii="Arial" w:eastAsia="Arial" w:hAnsi="Arial" w:cs="Arial"/>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56D1F49"/>
    <w:multiLevelType w:val="hybridMultilevel"/>
    <w:tmpl w:val="CC0ED2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embedTrueTypeFonts/>
  <w:proofState w:spelling="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4552"/>
    <w:rsid w:val="002722C9"/>
    <w:rsid w:val="002D46F3"/>
    <w:rsid w:val="0038748D"/>
    <w:rsid w:val="004D732E"/>
    <w:rsid w:val="00533532"/>
    <w:rsid w:val="005F5F87"/>
    <w:rsid w:val="00654C9F"/>
    <w:rsid w:val="007C6CC4"/>
    <w:rsid w:val="00844B8B"/>
    <w:rsid w:val="008C01D9"/>
    <w:rsid w:val="009749E0"/>
    <w:rsid w:val="009A1231"/>
    <w:rsid w:val="00A8300A"/>
    <w:rsid w:val="00AB4C85"/>
    <w:rsid w:val="00AD4552"/>
    <w:rsid w:val="00B102B9"/>
    <w:rsid w:val="00B30392"/>
    <w:rsid w:val="00B93A1E"/>
    <w:rsid w:val="00BB6EC6"/>
    <w:rsid w:val="00C73353"/>
    <w:rsid w:val="00C95B62"/>
    <w:rsid w:val="00CE04D0"/>
    <w:rsid w:val="00CF0FA4"/>
    <w:rsid w:val="00CF72AA"/>
    <w:rsid w:val="00D41BCB"/>
    <w:rsid w:val="00D9192A"/>
    <w:rsid w:val="00DD1D5F"/>
    <w:rsid w:val="00E35F64"/>
    <w:rsid w:val="00FA770D"/>
    <w:rsid w:val="00FC5C2F"/>
    <w:rsid w:val="00FF4F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1C5148C1"/>
  <w15:docId w15:val="{D522741F-FE43-4AA0-82E4-A2BBEB245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PH"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Play" w:eastAsia="Play" w:hAnsi="Play" w:cs="Play"/>
      <w:color w:val="0F4761"/>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Play" w:eastAsia="Play" w:hAnsi="Play" w:cs="Play"/>
      <w:color w:val="0F4761"/>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color w:val="0F4761"/>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i/>
      <w:iCs/>
      <w:color w:val="0F4761"/>
    </w:rPr>
  </w:style>
  <w:style w:type="paragraph" w:styleId="Heading5">
    <w:name w:val="heading 5"/>
    <w:basedOn w:val="Normal"/>
    <w:next w:val="Normal"/>
    <w:link w:val="Heading5Char"/>
    <w:uiPriority w:val="9"/>
    <w:semiHidden/>
    <w:unhideWhenUsed/>
    <w:qFormat/>
    <w:pPr>
      <w:keepNext/>
      <w:keepLines/>
      <w:spacing w:before="80" w:after="40"/>
      <w:outlineLvl w:val="4"/>
    </w:pPr>
    <w:rPr>
      <w:color w:val="0F4761"/>
    </w:rPr>
  </w:style>
  <w:style w:type="paragraph" w:styleId="Heading6">
    <w:name w:val="heading 6"/>
    <w:basedOn w:val="Normal"/>
    <w:next w:val="Normal"/>
    <w:link w:val="Heading6Char"/>
    <w:uiPriority w:val="9"/>
    <w:semiHidden/>
    <w:unhideWhenUsed/>
    <w:qFormat/>
    <w:pPr>
      <w:keepNext/>
      <w:keepLines/>
      <w:spacing w:before="40"/>
      <w:outlineLvl w:val="5"/>
    </w:pPr>
    <w:rPr>
      <w:i/>
      <w:iCs/>
      <w:color w:val="595959"/>
    </w:rPr>
  </w:style>
  <w:style w:type="paragraph" w:styleId="Heading7">
    <w:name w:val="heading 7"/>
    <w:basedOn w:val="Normal"/>
    <w:next w:val="Normal"/>
    <w:link w:val="Heading7Char"/>
    <w:uiPriority w:val="9"/>
    <w:semiHidden/>
    <w:unhideWhenUsed/>
    <w:qFormat/>
    <w:rsid w:val="00DD6B8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6B8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6B8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link w:val="TitleChar"/>
    <w:uiPriority w:val="10"/>
    <w:qFormat/>
    <w:pPr>
      <w:spacing w:after="80"/>
    </w:pPr>
    <w:rPr>
      <w:rFonts w:ascii="Play" w:eastAsia="Play" w:hAnsi="Play" w:cs="Play"/>
      <w:sz w:val="56"/>
      <w:szCs w:val="56"/>
    </w:rPr>
  </w:style>
  <w:style w:type="character" w:customStyle="1" w:styleId="Heading1Char">
    <w:name w:val="Heading 1 Char"/>
    <w:basedOn w:val="DefaultParagraphFont"/>
    <w:link w:val="Heading1"/>
    <w:uiPriority w:val="9"/>
    <w:rsid w:val="00DD6B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D6B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D6B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D6B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D6B8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D6B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6B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6B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6B87"/>
    <w:rPr>
      <w:rFonts w:eastAsiaTheme="majorEastAsia" w:cstheme="majorBidi"/>
      <w:color w:val="272727" w:themeColor="text1" w:themeTint="D8"/>
    </w:rPr>
  </w:style>
  <w:style w:type="character" w:customStyle="1" w:styleId="TitleChar">
    <w:name w:val="Title Char"/>
    <w:basedOn w:val="DefaultParagraphFont"/>
    <w:link w:val="Title"/>
    <w:uiPriority w:val="10"/>
    <w:rsid w:val="00DD6B87"/>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sid w:val="00DD6B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6B87"/>
    <w:pPr>
      <w:spacing w:before="160"/>
      <w:jc w:val="center"/>
    </w:pPr>
    <w:rPr>
      <w:i/>
      <w:iCs/>
      <w:color w:val="404040" w:themeColor="text1" w:themeTint="BF"/>
    </w:rPr>
  </w:style>
  <w:style w:type="character" w:customStyle="1" w:styleId="QuoteChar">
    <w:name w:val="Quote Char"/>
    <w:basedOn w:val="DefaultParagraphFont"/>
    <w:link w:val="Quote"/>
    <w:uiPriority w:val="29"/>
    <w:rsid w:val="00DD6B87"/>
    <w:rPr>
      <w:i/>
      <w:iCs/>
      <w:color w:val="404040" w:themeColor="text1" w:themeTint="BF"/>
    </w:rPr>
  </w:style>
  <w:style w:type="paragraph" w:styleId="ListParagraph">
    <w:name w:val="List Paragraph"/>
    <w:basedOn w:val="Normal"/>
    <w:uiPriority w:val="34"/>
    <w:qFormat/>
    <w:rsid w:val="00DD6B87"/>
    <w:pPr>
      <w:ind w:left="720"/>
      <w:contextualSpacing/>
    </w:pPr>
  </w:style>
  <w:style w:type="character" w:styleId="IntenseEmphasis">
    <w:name w:val="Intense Emphasis"/>
    <w:basedOn w:val="DefaultParagraphFont"/>
    <w:uiPriority w:val="21"/>
    <w:qFormat/>
    <w:rsid w:val="00DD6B87"/>
    <w:rPr>
      <w:i/>
      <w:iCs/>
      <w:color w:val="0F4761" w:themeColor="accent1" w:themeShade="BF"/>
    </w:rPr>
  </w:style>
  <w:style w:type="paragraph" w:styleId="IntenseQuote">
    <w:name w:val="Intense Quote"/>
    <w:basedOn w:val="Normal"/>
    <w:next w:val="Normal"/>
    <w:link w:val="IntenseQuoteChar"/>
    <w:uiPriority w:val="30"/>
    <w:qFormat/>
    <w:rsid w:val="00DD6B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D6B87"/>
    <w:rPr>
      <w:i/>
      <w:iCs/>
      <w:color w:val="0F4761" w:themeColor="accent1" w:themeShade="BF"/>
    </w:rPr>
  </w:style>
  <w:style w:type="character" w:styleId="IntenseReference">
    <w:name w:val="Intense Reference"/>
    <w:basedOn w:val="DefaultParagraphFont"/>
    <w:uiPriority w:val="32"/>
    <w:qFormat/>
    <w:rsid w:val="00DD6B87"/>
    <w:rPr>
      <w:b/>
      <w:bCs/>
      <w:smallCaps/>
      <w:color w:val="0F4761" w:themeColor="accent1" w:themeShade="BF"/>
      <w:spacing w:val="5"/>
    </w:rPr>
  </w:style>
  <w:style w:type="table" w:styleId="TableGrid">
    <w:name w:val="Table Grid"/>
    <w:basedOn w:val="TableNormal"/>
    <w:uiPriority w:val="39"/>
    <w:qFormat/>
    <w:rsid w:val="00DD6B87"/>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sid w:val="00DD6B87"/>
    <w:rPr>
      <w:color w:val="467886" w:themeColor="hyperlink"/>
      <w:u w:val="single"/>
    </w:rPr>
  </w:style>
  <w:style w:type="paragraph" w:styleId="Header">
    <w:name w:val="header"/>
    <w:basedOn w:val="Normal"/>
    <w:link w:val="HeaderChar"/>
    <w:uiPriority w:val="99"/>
    <w:unhideWhenUsed/>
    <w:qFormat/>
    <w:rsid w:val="00DD6B87"/>
    <w:pPr>
      <w:widowControl w:val="0"/>
      <w:tabs>
        <w:tab w:val="center" w:pos="4680"/>
        <w:tab w:val="right" w:pos="9360"/>
      </w:tabs>
      <w:autoSpaceDE w:val="0"/>
      <w:autoSpaceDN w:val="0"/>
    </w:pPr>
    <w:rPr>
      <w:rFonts w:ascii="Arial MT" w:eastAsia="Arial MT" w:hAnsi="Arial MT" w:cs="Arial MT"/>
      <w:sz w:val="22"/>
      <w:szCs w:val="22"/>
      <w:lang w:val="en-US"/>
    </w:rPr>
  </w:style>
  <w:style w:type="character" w:customStyle="1" w:styleId="HeaderChar">
    <w:name w:val="Header Char"/>
    <w:basedOn w:val="DefaultParagraphFont"/>
    <w:link w:val="Header"/>
    <w:uiPriority w:val="99"/>
    <w:qFormat/>
    <w:rsid w:val="00DD6B87"/>
    <w:rPr>
      <w:rFonts w:ascii="Arial MT" w:eastAsia="Arial MT" w:hAnsi="Arial MT" w:cs="Arial MT"/>
      <w:kern w:val="0"/>
      <w:sz w:val="22"/>
      <w:szCs w:val="22"/>
      <w:lang w:val="en-US"/>
    </w:rPr>
  </w:style>
  <w:style w:type="paragraph" w:styleId="Footer">
    <w:name w:val="footer"/>
    <w:basedOn w:val="Normal"/>
    <w:link w:val="FooterChar"/>
    <w:uiPriority w:val="99"/>
    <w:unhideWhenUsed/>
    <w:qFormat/>
    <w:rsid w:val="00DD6B87"/>
    <w:pPr>
      <w:widowControl w:val="0"/>
      <w:tabs>
        <w:tab w:val="center" w:pos="4680"/>
        <w:tab w:val="right" w:pos="9360"/>
      </w:tabs>
      <w:autoSpaceDE w:val="0"/>
      <w:autoSpaceDN w:val="0"/>
    </w:pPr>
    <w:rPr>
      <w:rFonts w:ascii="Arial MT" w:eastAsia="Arial MT" w:hAnsi="Arial MT" w:cs="Arial MT"/>
      <w:sz w:val="22"/>
      <w:szCs w:val="22"/>
      <w:lang w:val="en-US"/>
    </w:rPr>
  </w:style>
  <w:style w:type="character" w:customStyle="1" w:styleId="FooterChar">
    <w:name w:val="Footer Char"/>
    <w:basedOn w:val="DefaultParagraphFont"/>
    <w:link w:val="Footer"/>
    <w:uiPriority w:val="99"/>
    <w:qFormat/>
    <w:rsid w:val="00DD6B87"/>
    <w:rPr>
      <w:rFonts w:ascii="Arial MT" w:eastAsia="Arial MT" w:hAnsi="Arial MT" w:cs="Arial MT"/>
      <w:kern w:val="0"/>
      <w:sz w:val="22"/>
      <w:szCs w:val="22"/>
      <w:lang w:val="en-US"/>
    </w:rPr>
  </w:style>
  <w:style w:type="character" w:styleId="PageNumber">
    <w:name w:val="page number"/>
    <w:basedOn w:val="DefaultParagraphFont"/>
    <w:unhideWhenUsed/>
    <w:rsid w:val="00DD6B87"/>
  </w:style>
  <w:style w:type="paragraph" w:styleId="NormalWeb">
    <w:name w:val="Normal (Web)"/>
    <w:basedOn w:val="Normal"/>
    <w:uiPriority w:val="99"/>
    <w:unhideWhenUsed/>
    <w:qFormat/>
    <w:rsid w:val="00DD6B87"/>
    <w:pPr>
      <w:spacing w:before="100" w:beforeAutospacing="1" w:after="100" w:afterAutospacing="1"/>
    </w:pPr>
    <w:rPr>
      <w:lang w:val="en-US"/>
    </w:rPr>
  </w:style>
  <w:style w:type="character" w:styleId="Emphasis">
    <w:name w:val="Emphasis"/>
    <w:basedOn w:val="DefaultParagraphFont"/>
    <w:uiPriority w:val="20"/>
    <w:qFormat/>
    <w:rsid w:val="00DD6B87"/>
    <w:rPr>
      <w:i/>
      <w:iCs/>
    </w:rPr>
  </w:style>
  <w:style w:type="character" w:customStyle="1" w:styleId="url">
    <w:name w:val="url"/>
    <w:basedOn w:val="DefaultParagraphFont"/>
    <w:rsid w:val="00DD6B87"/>
  </w:style>
  <w:style w:type="paragraph" w:styleId="NoSpacing">
    <w:name w:val="No Spacing"/>
    <w:aliases w:val="Cover Page Text,for thesis,Flor"/>
    <w:link w:val="NoSpacingChar"/>
    <w:uiPriority w:val="1"/>
    <w:qFormat/>
    <w:rsid w:val="00DD6B87"/>
    <w:pPr>
      <w:suppressAutoHyphens/>
      <w:jc w:val="center"/>
    </w:pPr>
    <w:rPr>
      <w:rFonts w:eastAsia="SimSun"/>
      <w:sz w:val="20"/>
      <w:szCs w:val="20"/>
      <w:lang w:val="en-US" w:eastAsia="zh-CN"/>
    </w:rPr>
  </w:style>
  <w:style w:type="character" w:customStyle="1" w:styleId="NoSpacingChar">
    <w:name w:val="No Spacing Char"/>
    <w:aliases w:val="Cover Page Text Char,for thesis Char,Flor Char"/>
    <w:link w:val="NoSpacing"/>
    <w:uiPriority w:val="1"/>
    <w:qFormat/>
    <w:locked/>
    <w:rsid w:val="00DD6B87"/>
    <w:rPr>
      <w:rFonts w:ascii="Times New Roman" w:eastAsia="SimSun" w:hAnsi="Times New Roman" w:cs="Times New Roman"/>
      <w:kern w:val="0"/>
      <w:sz w:val="20"/>
      <w:szCs w:val="20"/>
      <w:lang w:val="en-US" w:eastAsia="zh-CN"/>
    </w:rPr>
  </w:style>
  <w:style w:type="character" w:customStyle="1" w:styleId="apple-converted-space">
    <w:name w:val="apple-converted-space"/>
    <w:basedOn w:val="DefaultParagraphFont"/>
    <w:rsid w:val="00E6045F"/>
  </w:style>
  <w:style w:type="character" w:styleId="Strong">
    <w:name w:val="Strong"/>
    <w:basedOn w:val="DefaultParagraphFont"/>
    <w:uiPriority w:val="22"/>
    <w:qFormat/>
    <w:rsid w:val="00E6045F"/>
    <w:rPr>
      <w:b/>
      <w:bCs/>
    </w:rPr>
  </w:style>
  <w:style w:type="character" w:styleId="UnresolvedMention">
    <w:name w:val="Unresolved Mention"/>
    <w:basedOn w:val="DefaultParagraphFont"/>
    <w:uiPriority w:val="99"/>
    <w:semiHidden/>
    <w:unhideWhenUsed/>
    <w:rsid w:val="00F802E3"/>
    <w:rPr>
      <w:color w:val="605E5C"/>
      <w:shd w:val="clear" w:color="auto" w:fill="E1DFDD"/>
    </w:rPr>
  </w:style>
  <w:style w:type="character" w:styleId="FollowedHyperlink">
    <w:name w:val="FollowedHyperlink"/>
    <w:basedOn w:val="DefaultParagraphFont"/>
    <w:uiPriority w:val="99"/>
    <w:semiHidden/>
    <w:unhideWhenUsed/>
    <w:rsid w:val="00396B6B"/>
    <w:rPr>
      <w:color w:val="96607D" w:themeColor="followedHyperlink"/>
      <w:u w:val="single"/>
    </w:rPr>
  </w:style>
  <w:style w:type="paragraph" w:styleId="Subtitle">
    <w:name w:val="Subtitle"/>
    <w:basedOn w:val="Normal"/>
    <w:next w:val="Normal"/>
    <w:link w:val="SubtitleChar"/>
    <w:uiPriority w:val="11"/>
    <w:qFormat/>
    <w:rPr>
      <w:color w:val="595959"/>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913651">
      <w:bodyDiv w:val="1"/>
      <w:marLeft w:val="0"/>
      <w:marRight w:val="0"/>
      <w:marTop w:val="0"/>
      <w:marBottom w:val="0"/>
      <w:divBdr>
        <w:top w:val="none" w:sz="0" w:space="0" w:color="auto"/>
        <w:left w:val="none" w:sz="0" w:space="0" w:color="auto"/>
        <w:bottom w:val="none" w:sz="0" w:space="0" w:color="auto"/>
        <w:right w:val="none" w:sz="0" w:space="0" w:color="auto"/>
      </w:divBdr>
    </w:div>
    <w:div w:id="179322234">
      <w:bodyDiv w:val="1"/>
      <w:marLeft w:val="0"/>
      <w:marRight w:val="0"/>
      <w:marTop w:val="0"/>
      <w:marBottom w:val="0"/>
      <w:divBdr>
        <w:top w:val="none" w:sz="0" w:space="0" w:color="auto"/>
        <w:left w:val="none" w:sz="0" w:space="0" w:color="auto"/>
        <w:bottom w:val="none" w:sz="0" w:space="0" w:color="auto"/>
        <w:right w:val="none" w:sz="0" w:space="0" w:color="auto"/>
      </w:divBdr>
    </w:div>
    <w:div w:id="350381549">
      <w:bodyDiv w:val="1"/>
      <w:marLeft w:val="0"/>
      <w:marRight w:val="0"/>
      <w:marTop w:val="0"/>
      <w:marBottom w:val="0"/>
      <w:divBdr>
        <w:top w:val="none" w:sz="0" w:space="0" w:color="auto"/>
        <w:left w:val="none" w:sz="0" w:space="0" w:color="auto"/>
        <w:bottom w:val="none" w:sz="0" w:space="0" w:color="auto"/>
        <w:right w:val="none" w:sz="0" w:space="0" w:color="auto"/>
      </w:divBdr>
    </w:div>
    <w:div w:id="374505307">
      <w:bodyDiv w:val="1"/>
      <w:marLeft w:val="0"/>
      <w:marRight w:val="0"/>
      <w:marTop w:val="0"/>
      <w:marBottom w:val="0"/>
      <w:divBdr>
        <w:top w:val="none" w:sz="0" w:space="0" w:color="auto"/>
        <w:left w:val="none" w:sz="0" w:space="0" w:color="auto"/>
        <w:bottom w:val="none" w:sz="0" w:space="0" w:color="auto"/>
        <w:right w:val="none" w:sz="0" w:space="0" w:color="auto"/>
      </w:divBdr>
    </w:div>
    <w:div w:id="409162004">
      <w:bodyDiv w:val="1"/>
      <w:marLeft w:val="0"/>
      <w:marRight w:val="0"/>
      <w:marTop w:val="0"/>
      <w:marBottom w:val="0"/>
      <w:divBdr>
        <w:top w:val="none" w:sz="0" w:space="0" w:color="auto"/>
        <w:left w:val="none" w:sz="0" w:space="0" w:color="auto"/>
        <w:bottom w:val="none" w:sz="0" w:space="0" w:color="auto"/>
        <w:right w:val="none" w:sz="0" w:space="0" w:color="auto"/>
      </w:divBdr>
    </w:div>
    <w:div w:id="417792426">
      <w:bodyDiv w:val="1"/>
      <w:marLeft w:val="0"/>
      <w:marRight w:val="0"/>
      <w:marTop w:val="0"/>
      <w:marBottom w:val="0"/>
      <w:divBdr>
        <w:top w:val="none" w:sz="0" w:space="0" w:color="auto"/>
        <w:left w:val="none" w:sz="0" w:space="0" w:color="auto"/>
        <w:bottom w:val="none" w:sz="0" w:space="0" w:color="auto"/>
        <w:right w:val="none" w:sz="0" w:space="0" w:color="auto"/>
      </w:divBdr>
      <w:divsChild>
        <w:div w:id="1546677349">
          <w:marLeft w:val="-720"/>
          <w:marRight w:val="0"/>
          <w:marTop w:val="0"/>
          <w:marBottom w:val="0"/>
          <w:divBdr>
            <w:top w:val="none" w:sz="0" w:space="0" w:color="auto"/>
            <w:left w:val="none" w:sz="0" w:space="0" w:color="auto"/>
            <w:bottom w:val="none" w:sz="0" w:space="0" w:color="auto"/>
            <w:right w:val="none" w:sz="0" w:space="0" w:color="auto"/>
          </w:divBdr>
        </w:div>
      </w:divsChild>
    </w:div>
    <w:div w:id="494608193">
      <w:bodyDiv w:val="1"/>
      <w:marLeft w:val="0"/>
      <w:marRight w:val="0"/>
      <w:marTop w:val="0"/>
      <w:marBottom w:val="0"/>
      <w:divBdr>
        <w:top w:val="none" w:sz="0" w:space="0" w:color="auto"/>
        <w:left w:val="none" w:sz="0" w:space="0" w:color="auto"/>
        <w:bottom w:val="none" w:sz="0" w:space="0" w:color="auto"/>
        <w:right w:val="none" w:sz="0" w:space="0" w:color="auto"/>
      </w:divBdr>
    </w:div>
    <w:div w:id="665019396">
      <w:bodyDiv w:val="1"/>
      <w:marLeft w:val="0"/>
      <w:marRight w:val="0"/>
      <w:marTop w:val="0"/>
      <w:marBottom w:val="0"/>
      <w:divBdr>
        <w:top w:val="none" w:sz="0" w:space="0" w:color="auto"/>
        <w:left w:val="none" w:sz="0" w:space="0" w:color="auto"/>
        <w:bottom w:val="none" w:sz="0" w:space="0" w:color="auto"/>
        <w:right w:val="none" w:sz="0" w:space="0" w:color="auto"/>
      </w:divBdr>
    </w:div>
    <w:div w:id="694235999">
      <w:bodyDiv w:val="1"/>
      <w:marLeft w:val="0"/>
      <w:marRight w:val="0"/>
      <w:marTop w:val="0"/>
      <w:marBottom w:val="0"/>
      <w:divBdr>
        <w:top w:val="none" w:sz="0" w:space="0" w:color="auto"/>
        <w:left w:val="none" w:sz="0" w:space="0" w:color="auto"/>
        <w:bottom w:val="none" w:sz="0" w:space="0" w:color="auto"/>
        <w:right w:val="none" w:sz="0" w:space="0" w:color="auto"/>
      </w:divBdr>
    </w:div>
    <w:div w:id="709188631">
      <w:bodyDiv w:val="1"/>
      <w:marLeft w:val="0"/>
      <w:marRight w:val="0"/>
      <w:marTop w:val="0"/>
      <w:marBottom w:val="0"/>
      <w:divBdr>
        <w:top w:val="none" w:sz="0" w:space="0" w:color="auto"/>
        <w:left w:val="none" w:sz="0" w:space="0" w:color="auto"/>
        <w:bottom w:val="none" w:sz="0" w:space="0" w:color="auto"/>
        <w:right w:val="none" w:sz="0" w:space="0" w:color="auto"/>
      </w:divBdr>
    </w:div>
    <w:div w:id="771778481">
      <w:bodyDiv w:val="1"/>
      <w:marLeft w:val="0"/>
      <w:marRight w:val="0"/>
      <w:marTop w:val="0"/>
      <w:marBottom w:val="0"/>
      <w:divBdr>
        <w:top w:val="none" w:sz="0" w:space="0" w:color="auto"/>
        <w:left w:val="none" w:sz="0" w:space="0" w:color="auto"/>
        <w:bottom w:val="none" w:sz="0" w:space="0" w:color="auto"/>
        <w:right w:val="none" w:sz="0" w:space="0" w:color="auto"/>
      </w:divBdr>
      <w:divsChild>
        <w:div w:id="1694376563">
          <w:marLeft w:val="-720"/>
          <w:marRight w:val="0"/>
          <w:marTop w:val="0"/>
          <w:marBottom w:val="0"/>
          <w:divBdr>
            <w:top w:val="none" w:sz="0" w:space="0" w:color="auto"/>
            <w:left w:val="none" w:sz="0" w:space="0" w:color="auto"/>
            <w:bottom w:val="none" w:sz="0" w:space="0" w:color="auto"/>
            <w:right w:val="none" w:sz="0" w:space="0" w:color="auto"/>
          </w:divBdr>
        </w:div>
      </w:divsChild>
    </w:div>
    <w:div w:id="824124712">
      <w:bodyDiv w:val="1"/>
      <w:marLeft w:val="0"/>
      <w:marRight w:val="0"/>
      <w:marTop w:val="0"/>
      <w:marBottom w:val="0"/>
      <w:divBdr>
        <w:top w:val="none" w:sz="0" w:space="0" w:color="auto"/>
        <w:left w:val="none" w:sz="0" w:space="0" w:color="auto"/>
        <w:bottom w:val="none" w:sz="0" w:space="0" w:color="auto"/>
        <w:right w:val="none" w:sz="0" w:space="0" w:color="auto"/>
      </w:divBdr>
    </w:div>
    <w:div w:id="1067000657">
      <w:bodyDiv w:val="1"/>
      <w:marLeft w:val="0"/>
      <w:marRight w:val="0"/>
      <w:marTop w:val="0"/>
      <w:marBottom w:val="0"/>
      <w:divBdr>
        <w:top w:val="none" w:sz="0" w:space="0" w:color="auto"/>
        <w:left w:val="none" w:sz="0" w:space="0" w:color="auto"/>
        <w:bottom w:val="none" w:sz="0" w:space="0" w:color="auto"/>
        <w:right w:val="none" w:sz="0" w:space="0" w:color="auto"/>
      </w:divBdr>
      <w:divsChild>
        <w:div w:id="1219777383">
          <w:marLeft w:val="-720"/>
          <w:marRight w:val="0"/>
          <w:marTop w:val="0"/>
          <w:marBottom w:val="0"/>
          <w:divBdr>
            <w:top w:val="none" w:sz="0" w:space="0" w:color="auto"/>
            <w:left w:val="none" w:sz="0" w:space="0" w:color="auto"/>
            <w:bottom w:val="none" w:sz="0" w:space="0" w:color="auto"/>
            <w:right w:val="none" w:sz="0" w:space="0" w:color="auto"/>
          </w:divBdr>
        </w:div>
      </w:divsChild>
    </w:div>
    <w:div w:id="1077363868">
      <w:bodyDiv w:val="1"/>
      <w:marLeft w:val="0"/>
      <w:marRight w:val="0"/>
      <w:marTop w:val="0"/>
      <w:marBottom w:val="0"/>
      <w:divBdr>
        <w:top w:val="none" w:sz="0" w:space="0" w:color="auto"/>
        <w:left w:val="none" w:sz="0" w:space="0" w:color="auto"/>
        <w:bottom w:val="none" w:sz="0" w:space="0" w:color="auto"/>
        <w:right w:val="none" w:sz="0" w:space="0" w:color="auto"/>
      </w:divBdr>
    </w:div>
    <w:div w:id="1163929316">
      <w:bodyDiv w:val="1"/>
      <w:marLeft w:val="0"/>
      <w:marRight w:val="0"/>
      <w:marTop w:val="0"/>
      <w:marBottom w:val="0"/>
      <w:divBdr>
        <w:top w:val="none" w:sz="0" w:space="0" w:color="auto"/>
        <w:left w:val="none" w:sz="0" w:space="0" w:color="auto"/>
        <w:bottom w:val="none" w:sz="0" w:space="0" w:color="auto"/>
        <w:right w:val="none" w:sz="0" w:space="0" w:color="auto"/>
      </w:divBdr>
    </w:div>
    <w:div w:id="1222862904">
      <w:bodyDiv w:val="1"/>
      <w:marLeft w:val="0"/>
      <w:marRight w:val="0"/>
      <w:marTop w:val="0"/>
      <w:marBottom w:val="0"/>
      <w:divBdr>
        <w:top w:val="none" w:sz="0" w:space="0" w:color="auto"/>
        <w:left w:val="none" w:sz="0" w:space="0" w:color="auto"/>
        <w:bottom w:val="none" w:sz="0" w:space="0" w:color="auto"/>
        <w:right w:val="none" w:sz="0" w:space="0" w:color="auto"/>
      </w:divBdr>
    </w:div>
    <w:div w:id="1262032004">
      <w:bodyDiv w:val="1"/>
      <w:marLeft w:val="0"/>
      <w:marRight w:val="0"/>
      <w:marTop w:val="0"/>
      <w:marBottom w:val="0"/>
      <w:divBdr>
        <w:top w:val="none" w:sz="0" w:space="0" w:color="auto"/>
        <w:left w:val="none" w:sz="0" w:space="0" w:color="auto"/>
        <w:bottom w:val="none" w:sz="0" w:space="0" w:color="auto"/>
        <w:right w:val="none" w:sz="0" w:space="0" w:color="auto"/>
      </w:divBdr>
    </w:div>
    <w:div w:id="1293754398">
      <w:bodyDiv w:val="1"/>
      <w:marLeft w:val="0"/>
      <w:marRight w:val="0"/>
      <w:marTop w:val="0"/>
      <w:marBottom w:val="0"/>
      <w:divBdr>
        <w:top w:val="none" w:sz="0" w:space="0" w:color="auto"/>
        <w:left w:val="none" w:sz="0" w:space="0" w:color="auto"/>
        <w:bottom w:val="none" w:sz="0" w:space="0" w:color="auto"/>
        <w:right w:val="none" w:sz="0" w:space="0" w:color="auto"/>
      </w:divBdr>
      <w:divsChild>
        <w:div w:id="1082335610">
          <w:marLeft w:val="-720"/>
          <w:marRight w:val="0"/>
          <w:marTop w:val="0"/>
          <w:marBottom w:val="0"/>
          <w:divBdr>
            <w:top w:val="none" w:sz="0" w:space="0" w:color="auto"/>
            <w:left w:val="none" w:sz="0" w:space="0" w:color="auto"/>
            <w:bottom w:val="none" w:sz="0" w:space="0" w:color="auto"/>
            <w:right w:val="none" w:sz="0" w:space="0" w:color="auto"/>
          </w:divBdr>
        </w:div>
      </w:divsChild>
    </w:div>
    <w:div w:id="1326393724">
      <w:bodyDiv w:val="1"/>
      <w:marLeft w:val="0"/>
      <w:marRight w:val="0"/>
      <w:marTop w:val="0"/>
      <w:marBottom w:val="0"/>
      <w:divBdr>
        <w:top w:val="none" w:sz="0" w:space="0" w:color="auto"/>
        <w:left w:val="none" w:sz="0" w:space="0" w:color="auto"/>
        <w:bottom w:val="none" w:sz="0" w:space="0" w:color="auto"/>
        <w:right w:val="none" w:sz="0" w:space="0" w:color="auto"/>
      </w:divBdr>
    </w:div>
    <w:div w:id="1439374853">
      <w:bodyDiv w:val="1"/>
      <w:marLeft w:val="0"/>
      <w:marRight w:val="0"/>
      <w:marTop w:val="0"/>
      <w:marBottom w:val="0"/>
      <w:divBdr>
        <w:top w:val="none" w:sz="0" w:space="0" w:color="auto"/>
        <w:left w:val="none" w:sz="0" w:space="0" w:color="auto"/>
        <w:bottom w:val="none" w:sz="0" w:space="0" w:color="auto"/>
        <w:right w:val="none" w:sz="0" w:space="0" w:color="auto"/>
      </w:divBdr>
    </w:div>
    <w:div w:id="1459421447">
      <w:bodyDiv w:val="1"/>
      <w:marLeft w:val="0"/>
      <w:marRight w:val="0"/>
      <w:marTop w:val="0"/>
      <w:marBottom w:val="0"/>
      <w:divBdr>
        <w:top w:val="none" w:sz="0" w:space="0" w:color="auto"/>
        <w:left w:val="none" w:sz="0" w:space="0" w:color="auto"/>
        <w:bottom w:val="none" w:sz="0" w:space="0" w:color="auto"/>
        <w:right w:val="none" w:sz="0" w:space="0" w:color="auto"/>
      </w:divBdr>
      <w:divsChild>
        <w:div w:id="1495217625">
          <w:marLeft w:val="-720"/>
          <w:marRight w:val="0"/>
          <w:marTop w:val="0"/>
          <w:marBottom w:val="0"/>
          <w:divBdr>
            <w:top w:val="none" w:sz="0" w:space="0" w:color="auto"/>
            <w:left w:val="none" w:sz="0" w:space="0" w:color="auto"/>
            <w:bottom w:val="none" w:sz="0" w:space="0" w:color="auto"/>
            <w:right w:val="none" w:sz="0" w:space="0" w:color="auto"/>
          </w:divBdr>
        </w:div>
      </w:divsChild>
    </w:div>
    <w:div w:id="1504970578">
      <w:bodyDiv w:val="1"/>
      <w:marLeft w:val="0"/>
      <w:marRight w:val="0"/>
      <w:marTop w:val="0"/>
      <w:marBottom w:val="0"/>
      <w:divBdr>
        <w:top w:val="none" w:sz="0" w:space="0" w:color="auto"/>
        <w:left w:val="none" w:sz="0" w:space="0" w:color="auto"/>
        <w:bottom w:val="none" w:sz="0" w:space="0" w:color="auto"/>
        <w:right w:val="none" w:sz="0" w:space="0" w:color="auto"/>
      </w:divBdr>
    </w:div>
    <w:div w:id="1928538477">
      <w:bodyDiv w:val="1"/>
      <w:marLeft w:val="0"/>
      <w:marRight w:val="0"/>
      <w:marTop w:val="0"/>
      <w:marBottom w:val="0"/>
      <w:divBdr>
        <w:top w:val="none" w:sz="0" w:space="0" w:color="auto"/>
        <w:left w:val="none" w:sz="0" w:space="0" w:color="auto"/>
        <w:bottom w:val="none" w:sz="0" w:space="0" w:color="auto"/>
        <w:right w:val="none" w:sz="0" w:space="0" w:color="auto"/>
      </w:divBdr>
      <w:divsChild>
        <w:div w:id="1777821443">
          <w:marLeft w:val="-720"/>
          <w:marRight w:val="0"/>
          <w:marTop w:val="0"/>
          <w:marBottom w:val="0"/>
          <w:divBdr>
            <w:top w:val="none" w:sz="0" w:space="0" w:color="auto"/>
            <w:left w:val="none" w:sz="0" w:space="0" w:color="auto"/>
            <w:bottom w:val="none" w:sz="0" w:space="0" w:color="auto"/>
            <w:right w:val="none" w:sz="0" w:space="0" w:color="auto"/>
          </w:divBdr>
        </w:div>
      </w:divsChild>
    </w:div>
    <w:div w:id="2116704058">
      <w:bodyDiv w:val="1"/>
      <w:marLeft w:val="0"/>
      <w:marRight w:val="0"/>
      <w:marTop w:val="0"/>
      <w:marBottom w:val="0"/>
      <w:divBdr>
        <w:top w:val="none" w:sz="0" w:space="0" w:color="auto"/>
        <w:left w:val="none" w:sz="0" w:space="0" w:color="auto"/>
        <w:bottom w:val="none" w:sz="0" w:space="0" w:color="auto"/>
        <w:right w:val="none" w:sz="0" w:space="0" w:color="auto"/>
      </w:divBdr>
      <w:divsChild>
        <w:div w:id="1469056687">
          <w:marLeft w:val="-72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1109/access.2020.2988510" TargetMode="External"/><Relationship Id="rId26" Type="http://schemas.openxmlformats.org/officeDocument/2006/relationships/hyperlink" Target="https://doi.org/10.3102/0034654315581420" TargetMode="External"/><Relationship Id="rId39" Type="http://schemas.openxmlformats.org/officeDocument/2006/relationships/hyperlink" Target="https://doi.org/10.1016/j.eswa.2024.124167" TargetMode="External"/><Relationship Id="rId21" Type="http://schemas.openxmlformats.org/officeDocument/2006/relationships/hyperlink" Target="https://doi.org/10.31681/jetol.737193" TargetMode="External"/><Relationship Id="rId34" Type="http://schemas.openxmlformats.org/officeDocument/2006/relationships/hyperlink" Target="https://doi.org/10.3390/math8122158" TargetMode="External"/><Relationship Id="rId42" Type="http://schemas.openxmlformats.org/officeDocument/2006/relationships/hyperlink" Target="https://doi.org/10.17509/ijomr.v5i2.82942" TargetMode="External"/><Relationship Id="rId47" Type="http://schemas.openxmlformats.org/officeDocument/2006/relationships/hyperlink" Target="https://doi.org/10.1186/s41239-019-0171-0" TargetMode="External"/><Relationship Id="rId50" Type="http://schemas.openxmlformats.org/officeDocument/2006/relationships/header" Target="header5.xml"/><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search.worldcat.org/title/550272" TargetMode="External"/><Relationship Id="rId29" Type="http://schemas.openxmlformats.org/officeDocument/2006/relationships/hyperlink" Target="https://doi.org/10.29333/ejmste/14762" TargetMode="External"/><Relationship Id="rId11" Type="http://schemas.openxmlformats.org/officeDocument/2006/relationships/footer" Target="footer2.xml"/><Relationship Id="rId24" Type="http://schemas.openxmlformats.org/officeDocument/2006/relationships/hyperlink" Target="https://doi.org/10.46303/ressat.2024.15" TargetMode="External"/><Relationship Id="rId32" Type="http://schemas.openxmlformats.org/officeDocument/2006/relationships/hyperlink" Target="https://doi.org/10.1186/s40594-024-00513-3" TargetMode="External"/><Relationship Id="rId37" Type="http://schemas.openxmlformats.org/officeDocument/2006/relationships/hyperlink" Target="https://unesdoc.unesco.org/ark:/48223/pf0000379707" TargetMode="External"/><Relationship Id="rId40" Type="http://schemas.openxmlformats.org/officeDocument/2006/relationships/hyperlink" Target="https://doi.org/10.1080/17439884.2020.1798995" TargetMode="External"/><Relationship Id="rId45" Type="http://schemas.openxmlformats.org/officeDocument/2006/relationships/hyperlink" Target="https://doi.org/10.1111/jcal.12394" TargetMode="External"/><Relationship Id="rId53" Type="http://schemas.openxmlformats.org/officeDocument/2006/relationships/footer" Target="footer5.xml"/><Relationship Id="rId5" Type="http://schemas.openxmlformats.org/officeDocument/2006/relationships/webSettings" Target="webSettings.xml"/><Relationship Id="rId10" Type="http://schemas.openxmlformats.org/officeDocument/2006/relationships/footer" Target="footer1.xml"/><Relationship Id="rId19" Type="http://schemas.openxmlformats.org/officeDocument/2006/relationships/hyperlink" Target="https://doi.org/10.1007/s10857-023-09615-1" TargetMode="External"/><Relationship Id="rId31" Type="http://schemas.openxmlformats.org/officeDocument/2006/relationships/hyperlink" Target="https://arxiv.org/abs/1607.07856" TargetMode="External"/><Relationship Id="rId44" Type="http://schemas.openxmlformats.org/officeDocument/2006/relationships/hyperlink" Target="https://doi.org/10.1007/s10763-024-10499-7" TargetMode="External"/><Relationship Id="rId52"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30574/ijsra.2024.12.1.1045" TargetMode="External"/><Relationship Id="rId22" Type="http://schemas.openxmlformats.org/officeDocument/2006/relationships/hyperlink" Target="https://www.theatlantic.com/magazine/archive/1869/02/the-new-education/309049/" TargetMode="External"/><Relationship Id="rId27" Type="http://schemas.openxmlformats.org/officeDocument/2006/relationships/hyperlink" Target="https://doi.org/10.4018/ijskd.2020070105" TargetMode="External"/><Relationship Id="rId30" Type="http://schemas.openxmlformats.org/officeDocument/2006/relationships/hyperlink" Target="https://doi.org/10.3389/feduc.2024.1392091" TargetMode="External"/><Relationship Id="rId35" Type="http://schemas.openxmlformats.org/officeDocument/2006/relationships/hyperlink" Target="https://doi.org/10.70725/307718pkpjuu" TargetMode="External"/><Relationship Id="rId43" Type="http://schemas.openxmlformats.org/officeDocument/2006/relationships/hyperlink" Target="https://doi.org/10.61778/ijmrast.v2i1.34" TargetMode="External"/><Relationship Id="rId48" Type="http://schemas.openxmlformats.org/officeDocument/2006/relationships/hyperlink" Target="https://doi.org/10.1177/0192636506291521" TargetMode="External"/><Relationship Id="rId8" Type="http://schemas.openxmlformats.org/officeDocument/2006/relationships/header" Target="header1.xml"/><Relationship Id="rId51" Type="http://schemas.openxmlformats.org/officeDocument/2006/relationships/footer" Target="footer4.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doi.org/10.1007/s11858-017-0880-4" TargetMode="External"/><Relationship Id="rId25" Type="http://schemas.openxmlformats.org/officeDocument/2006/relationships/hyperlink" Target="https://doi.org/10.3390/math9060584" TargetMode="External"/><Relationship Id="rId33" Type="http://schemas.openxmlformats.org/officeDocument/2006/relationships/hyperlink" Target="https://doi.org/10.1037/a0032447" TargetMode="External"/><Relationship Id="rId38" Type="http://schemas.openxmlformats.org/officeDocument/2006/relationships/hyperlink" Target="https://doi.org/10.2307/30036540" TargetMode="External"/><Relationship Id="rId46" Type="http://schemas.openxmlformats.org/officeDocument/2006/relationships/hyperlink" Target="https://doi.org/10.3390/admsci14010017" TargetMode="External"/><Relationship Id="rId20" Type="http://schemas.openxmlformats.org/officeDocument/2006/relationships/hyperlink" Target="https://doi.org/10.31681/jetol.737193" TargetMode="External"/><Relationship Id="rId41" Type="http://schemas.openxmlformats.org/officeDocument/2006/relationships/hyperlink" Target="https://www.weforum.org/reports/the-future-of-jobs-report-2020"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3390/informatics13020018" TargetMode="External"/><Relationship Id="rId23" Type="http://schemas.openxmlformats.org/officeDocument/2006/relationships/hyperlink" Target="https://doi.org/10.5430/ijhe.v9n4p27" TargetMode="External"/><Relationship Id="rId28" Type="http://schemas.openxmlformats.org/officeDocument/2006/relationships/hyperlink" Target="https://doi.org/10.56778/jdlde.v4i5.588" TargetMode="External"/><Relationship Id="rId36" Type="http://schemas.openxmlformats.org/officeDocument/2006/relationships/hyperlink" Target="https://doi.org/10.70725/307718pkpjuu" TargetMode="External"/><Relationship Id="rId49" Type="http://schemas.openxmlformats.org/officeDocument/2006/relationships/header" Target="header4.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rQ/vPoQPtM269cFj5yfzqUfsXQ==">CgMxLjAyDmguNXY1ajJjZmVjOHNtOABqMwoUc3VnZ2VzdC5wbnR6ZnE5ZGxua3ESG1JpemVsbGUgQW5uZSBNYXJpc3NlIEFuZGF5YWozChRzdWdnZXN0LmdwOGE3cmU0a2NvbRIbUml6ZWxsZSBBbm5lIE1hcmlzc2UgQW5kYXlhajMKFHN1Z2dlc3QuOXJxanl6cG5jaDNsEhtSaXplbGxlIEFubmUgTWFyaXNzZSBBbmRheWFqMwoUc3VnZ2VzdC5odmRvMGM5NGhpb2QSG1JpemVsbGUgQW5uZSBNYXJpc3NlIEFuZGF5YXIhMTZSeEpGT0J2VXU0VFlvN0ZoWHBQWm55Q2lmX3dxaFd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9</Pages>
  <Words>6691</Words>
  <Characters>38142</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office4608</dc:creator>
  <cp:lastModifiedBy>SDI 1022</cp:lastModifiedBy>
  <cp:revision>20</cp:revision>
  <dcterms:created xsi:type="dcterms:W3CDTF">2026-03-10T01:00:00Z</dcterms:created>
  <dcterms:modified xsi:type="dcterms:W3CDTF">2026-04-16T08:33:00Z</dcterms:modified>
</cp:coreProperties>
</file>