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A7D96" w14:textId="1BE9112F" w:rsidR="001D3BA0" w:rsidRDefault="001B602B" w:rsidP="001D3BA0">
      <w:pPr>
        <w:spacing w:after="0"/>
        <w:jc w:val="center"/>
        <w:rPr>
          <w:rFonts w:ascii="Cambria" w:hAnsi="Cambria"/>
          <w:b/>
          <w:bCs/>
          <w:sz w:val="24"/>
          <w:szCs w:val="24"/>
        </w:rPr>
      </w:pPr>
      <w:r>
        <w:rPr>
          <w:rFonts w:ascii="Cambria" w:hAnsi="Cambria"/>
          <w:b/>
          <w:bCs/>
          <w:sz w:val="24"/>
          <w:szCs w:val="24"/>
        </w:rPr>
        <w:t xml:space="preserve">INFLUENCE OF PRINCIPAL NEGLECT AND TEACHER PROFESSIONAL DEVELOPMENT ON THE CLASSROOM MANAGEMENT </w:t>
      </w:r>
    </w:p>
    <w:p w14:paraId="78B0D3CE" w14:textId="72FBB622" w:rsidR="001D3BA0" w:rsidRDefault="001B602B" w:rsidP="001D3BA0">
      <w:pPr>
        <w:spacing w:after="0"/>
        <w:jc w:val="center"/>
        <w:rPr>
          <w:rFonts w:ascii="Cambria" w:hAnsi="Cambria"/>
          <w:b/>
          <w:bCs/>
          <w:sz w:val="24"/>
          <w:szCs w:val="24"/>
        </w:rPr>
      </w:pPr>
      <w:r>
        <w:rPr>
          <w:rFonts w:ascii="Cambria" w:hAnsi="Cambria"/>
          <w:b/>
          <w:bCs/>
          <w:sz w:val="24"/>
          <w:szCs w:val="24"/>
        </w:rPr>
        <w:t>IN EARLY CHILDHOOD EDUCATION</w:t>
      </w:r>
    </w:p>
    <w:p w14:paraId="32BA90C1" w14:textId="77777777" w:rsidR="001D3BA0" w:rsidRDefault="001D3BA0" w:rsidP="001D3BA0">
      <w:pPr>
        <w:jc w:val="both"/>
        <w:rPr>
          <w:rFonts w:ascii="Cambria" w:hAnsi="Cambria"/>
          <w:sz w:val="24"/>
          <w:szCs w:val="24"/>
        </w:rPr>
      </w:pPr>
      <w:bookmarkStart w:id="0" w:name="_GoBack"/>
      <w:bookmarkEnd w:id="0"/>
    </w:p>
    <w:p w14:paraId="71A6729E" w14:textId="77777777" w:rsidR="001D3BA0" w:rsidRDefault="001D3BA0" w:rsidP="001D3BA0">
      <w:pPr>
        <w:jc w:val="both"/>
        <w:rPr>
          <w:rFonts w:ascii="Cambria" w:hAnsi="Cambria"/>
          <w:sz w:val="24"/>
          <w:szCs w:val="24"/>
        </w:rPr>
      </w:pPr>
    </w:p>
    <w:p w14:paraId="19881B20" w14:textId="77777777" w:rsidR="001D3BA0" w:rsidRDefault="001D3BA0" w:rsidP="001D3BA0">
      <w:pPr>
        <w:jc w:val="both"/>
        <w:rPr>
          <w:rFonts w:ascii="Cambria" w:hAnsi="Cambria"/>
          <w:sz w:val="24"/>
          <w:szCs w:val="24"/>
        </w:rPr>
      </w:pPr>
    </w:p>
    <w:p w14:paraId="663E4018" w14:textId="168D211F" w:rsidR="009F6D76" w:rsidRPr="00486CE7" w:rsidRDefault="001D3BA0" w:rsidP="00486CE7">
      <w:pPr>
        <w:jc w:val="center"/>
        <w:rPr>
          <w:rFonts w:ascii="Cambria" w:hAnsi="Cambria"/>
          <w:b/>
          <w:bCs/>
          <w:sz w:val="24"/>
          <w:szCs w:val="24"/>
        </w:rPr>
      </w:pPr>
      <w:r>
        <w:rPr>
          <w:rFonts w:ascii="Cambria" w:hAnsi="Cambria"/>
          <w:b/>
          <w:bCs/>
          <w:sz w:val="24"/>
          <w:szCs w:val="24"/>
        </w:rPr>
        <w:t>ABSTRACT</w:t>
      </w:r>
    </w:p>
    <w:p w14:paraId="287A0D8E" w14:textId="77777777" w:rsidR="00486CE7" w:rsidRPr="001C77FF" w:rsidRDefault="00486CE7" w:rsidP="00486CE7">
      <w:pPr>
        <w:jc w:val="both"/>
        <w:rPr>
          <w:rFonts w:ascii="Cambria" w:hAnsi="Cambria" w:cs="Times New Roman"/>
          <w:sz w:val="24"/>
          <w:szCs w:val="24"/>
        </w:rPr>
      </w:pPr>
      <w:r w:rsidRPr="001C77FF">
        <w:rPr>
          <w:rFonts w:ascii="Cambria" w:hAnsi="Cambria" w:cs="Times New Roman"/>
          <w:sz w:val="24"/>
          <w:szCs w:val="24"/>
        </w:rPr>
        <w:t>Ineffective early childhood classroom management remains a concern in public schools in Tagum City, Davao del Norte, Philippines, during the 2025–2026 school year. This study examined the influence of principal neglect and teacher professional development on classroom management using a diagnostic research design. A total population of 198 teachers was identified, of which 180 participated, resulting in a 91% response rate. Data were collected through a survey questionnaire and analyzed using multiple linear regression, with classroom management as the dependent variable. Results revealed that while principal neglect and teacher professional development jointly influence classroom management, only teacher professional development significantly predicts classroom management outcomes. The model explains 44% of the variance in classroom management (R² = 0.44), indicating that other factors may also contribute to the outcome. These findings partially support Herzberg’s Two-Factor Theory in the educational context. It is recommended that future research explore additional variables and consider qualitative approaches, while schools are encouraged to strengthen teacher professional development through training, resources, and scholarship opportunities.</w:t>
      </w:r>
    </w:p>
    <w:p w14:paraId="47C96F70" w14:textId="77777777" w:rsidR="00E66881" w:rsidRPr="00E66881" w:rsidRDefault="00E66881" w:rsidP="001D3BA0">
      <w:pPr>
        <w:ind w:firstLine="720"/>
        <w:jc w:val="both"/>
        <w:rPr>
          <w:rFonts w:ascii="Cambria" w:hAnsi="Cambria"/>
          <w:i/>
          <w:iCs/>
          <w:sz w:val="24"/>
          <w:szCs w:val="24"/>
        </w:rPr>
      </w:pPr>
    </w:p>
    <w:p w14:paraId="4BC38EEB" w14:textId="30267412" w:rsidR="001D3BA0" w:rsidRDefault="001D3BA0" w:rsidP="001D3BA0">
      <w:pPr>
        <w:jc w:val="both"/>
        <w:rPr>
          <w:rFonts w:ascii="Cambria" w:hAnsi="Cambria"/>
          <w:sz w:val="24"/>
          <w:szCs w:val="24"/>
        </w:rPr>
      </w:pPr>
      <w:r w:rsidRPr="001C77FF">
        <w:rPr>
          <w:rFonts w:ascii="Cambria" w:hAnsi="Cambria"/>
          <w:b/>
          <w:bCs/>
          <w:i/>
          <w:iCs/>
          <w:sz w:val="24"/>
          <w:szCs w:val="24"/>
        </w:rPr>
        <w:t>Keywords</w:t>
      </w:r>
      <w:r w:rsidRPr="001C77FF">
        <w:rPr>
          <w:rFonts w:ascii="Cambria" w:hAnsi="Cambria"/>
          <w:b/>
          <w:bCs/>
          <w:sz w:val="24"/>
          <w:szCs w:val="24"/>
        </w:rPr>
        <w:t>:</w:t>
      </w:r>
      <w:r>
        <w:rPr>
          <w:rFonts w:ascii="Cambria" w:hAnsi="Cambria"/>
          <w:sz w:val="24"/>
          <w:szCs w:val="24"/>
        </w:rPr>
        <w:t xml:space="preserve"> </w:t>
      </w:r>
      <w:r w:rsidRPr="001C77FF">
        <w:rPr>
          <w:rFonts w:ascii="Cambria" w:hAnsi="Cambria"/>
          <w:sz w:val="24"/>
          <w:szCs w:val="24"/>
        </w:rPr>
        <w:t xml:space="preserve">principal neglect, teacher professional development, classroom management, </w:t>
      </w:r>
      <w:r w:rsidR="001C77FF" w:rsidRPr="001C77FF">
        <w:rPr>
          <w:rFonts w:ascii="Cambria" w:eastAsia="Calibri" w:hAnsi="Cambria"/>
          <w:sz w:val="24"/>
          <w:szCs w:val="24"/>
        </w:rPr>
        <w:t>early childhood education teachers, Herzberg's Two-Factor Theory</w:t>
      </w:r>
    </w:p>
    <w:p w14:paraId="284EB42D" w14:textId="77777777" w:rsidR="001D3BA0" w:rsidRDefault="001D3BA0" w:rsidP="001D3BA0">
      <w:pPr>
        <w:jc w:val="both"/>
        <w:rPr>
          <w:rFonts w:ascii="Cambria" w:hAnsi="Cambria"/>
          <w:sz w:val="24"/>
          <w:szCs w:val="24"/>
        </w:rPr>
      </w:pPr>
    </w:p>
    <w:p w14:paraId="6E62DDEA" w14:textId="77777777" w:rsidR="001D3BA0" w:rsidRDefault="001D3BA0" w:rsidP="001D3BA0">
      <w:pPr>
        <w:jc w:val="both"/>
        <w:rPr>
          <w:rFonts w:ascii="Cambria" w:hAnsi="Cambria"/>
          <w:sz w:val="24"/>
          <w:szCs w:val="24"/>
        </w:rPr>
      </w:pPr>
    </w:p>
    <w:p w14:paraId="61E8435B" w14:textId="77777777" w:rsidR="001D3BA0" w:rsidRDefault="001D3BA0" w:rsidP="001D3BA0">
      <w:pPr>
        <w:jc w:val="both"/>
        <w:rPr>
          <w:rFonts w:ascii="Cambria" w:hAnsi="Cambria"/>
          <w:sz w:val="24"/>
          <w:szCs w:val="24"/>
        </w:rPr>
      </w:pPr>
    </w:p>
    <w:p w14:paraId="266CE2E3" w14:textId="77777777" w:rsidR="001D3BA0" w:rsidRDefault="001D3BA0" w:rsidP="001D3BA0">
      <w:pPr>
        <w:jc w:val="both"/>
        <w:rPr>
          <w:rFonts w:ascii="Cambria" w:hAnsi="Cambria"/>
          <w:sz w:val="24"/>
          <w:szCs w:val="24"/>
        </w:rPr>
      </w:pPr>
    </w:p>
    <w:p w14:paraId="3A48D65D" w14:textId="77777777" w:rsidR="001D3BA0" w:rsidRDefault="001D3BA0" w:rsidP="001D3BA0">
      <w:pPr>
        <w:jc w:val="both"/>
        <w:rPr>
          <w:rFonts w:ascii="Cambria" w:hAnsi="Cambria"/>
          <w:sz w:val="24"/>
          <w:szCs w:val="24"/>
        </w:rPr>
      </w:pPr>
    </w:p>
    <w:p w14:paraId="17547498" w14:textId="77777777" w:rsidR="001D3BA0" w:rsidRDefault="001D3BA0" w:rsidP="001D3BA0">
      <w:pPr>
        <w:jc w:val="both"/>
        <w:rPr>
          <w:rFonts w:ascii="Cambria" w:hAnsi="Cambria"/>
          <w:sz w:val="24"/>
          <w:szCs w:val="24"/>
        </w:rPr>
      </w:pPr>
    </w:p>
    <w:p w14:paraId="1E09B7A6" w14:textId="30D90897" w:rsidR="001D3BA0" w:rsidRDefault="001D3BA0" w:rsidP="001D3BA0">
      <w:pPr>
        <w:jc w:val="both"/>
        <w:rPr>
          <w:rFonts w:ascii="Cambria" w:hAnsi="Cambria"/>
          <w:sz w:val="24"/>
          <w:szCs w:val="24"/>
        </w:rPr>
      </w:pPr>
    </w:p>
    <w:p w14:paraId="112B66E5" w14:textId="49171118" w:rsidR="00C865B6" w:rsidRDefault="00C865B6" w:rsidP="001D3BA0">
      <w:pPr>
        <w:jc w:val="both"/>
        <w:rPr>
          <w:rFonts w:ascii="Cambria" w:hAnsi="Cambria"/>
          <w:sz w:val="24"/>
          <w:szCs w:val="24"/>
        </w:rPr>
      </w:pPr>
    </w:p>
    <w:p w14:paraId="5F52B8BF" w14:textId="7410CEC9" w:rsidR="001D3BA0" w:rsidRDefault="001D3BA0" w:rsidP="001D3BA0">
      <w:pPr>
        <w:jc w:val="both"/>
        <w:rPr>
          <w:rFonts w:ascii="Cambria" w:hAnsi="Cambria"/>
          <w:sz w:val="24"/>
          <w:szCs w:val="24"/>
        </w:rPr>
      </w:pPr>
    </w:p>
    <w:p w14:paraId="43D9F586" w14:textId="1BACDCF0" w:rsidR="0040384D" w:rsidRDefault="0040384D" w:rsidP="001D3BA0">
      <w:pPr>
        <w:jc w:val="both"/>
        <w:rPr>
          <w:rFonts w:ascii="Cambria" w:hAnsi="Cambria"/>
          <w:sz w:val="24"/>
          <w:szCs w:val="24"/>
        </w:rPr>
      </w:pPr>
    </w:p>
    <w:p w14:paraId="51A4B30F" w14:textId="77777777" w:rsidR="0040384D" w:rsidRDefault="0040384D" w:rsidP="001D3BA0">
      <w:pPr>
        <w:jc w:val="both"/>
        <w:rPr>
          <w:rFonts w:ascii="Cambria" w:hAnsi="Cambria"/>
          <w:sz w:val="24"/>
          <w:szCs w:val="24"/>
        </w:rPr>
      </w:pPr>
    </w:p>
    <w:p w14:paraId="038661A4" w14:textId="77777777" w:rsidR="001D3BA0" w:rsidRDefault="001D3BA0" w:rsidP="001D3BA0">
      <w:pPr>
        <w:jc w:val="both"/>
        <w:rPr>
          <w:rFonts w:ascii="Cambria" w:hAnsi="Cambria"/>
          <w:sz w:val="24"/>
          <w:szCs w:val="24"/>
        </w:rPr>
      </w:pPr>
    </w:p>
    <w:p w14:paraId="555C736B" w14:textId="77777777" w:rsidR="001D3BA0" w:rsidRDefault="001D3BA0" w:rsidP="001D3BA0">
      <w:pPr>
        <w:jc w:val="center"/>
        <w:rPr>
          <w:rFonts w:ascii="Cambria" w:hAnsi="Cambria"/>
          <w:b/>
          <w:bCs/>
          <w:sz w:val="32"/>
          <w:szCs w:val="32"/>
        </w:rPr>
      </w:pPr>
      <w:r>
        <w:rPr>
          <w:rFonts w:ascii="Cambria" w:hAnsi="Cambria"/>
          <w:b/>
          <w:bCs/>
          <w:sz w:val="32"/>
          <w:szCs w:val="32"/>
        </w:rPr>
        <w:t>INTRODUCTION</w:t>
      </w:r>
    </w:p>
    <w:p w14:paraId="5458BE23" w14:textId="77777777" w:rsidR="001D3BA0" w:rsidRDefault="001D3BA0" w:rsidP="001D3BA0">
      <w:pPr>
        <w:ind w:firstLine="720"/>
        <w:jc w:val="both"/>
        <w:rPr>
          <w:rFonts w:ascii="Cambria" w:hAnsi="Cambria"/>
          <w:sz w:val="24"/>
          <w:szCs w:val="24"/>
        </w:rPr>
      </w:pPr>
      <w:r>
        <w:rPr>
          <w:rFonts w:ascii="Cambria" w:hAnsi="Cambria"/>
          <w:sz w:val="24"/>
          <w:szCs w:val="24"/>
        </w:rPr>
        <w:t xml:space="preserve"> Ineffective classroom management remains a significant issue in early childhood education settings (Winters, 2022). According to Ibrahim et al. (2025), many teachers face persistent challenges in classroom management. Moreover, Adams et al. (2024) highlighted that classroom management remains an ongoing and challenging issue in the teaching profession.</w:t>
      </w:r>
    </w:p>
    <w:p w14:paraId="6B8332DB" w14:textId="77777777" w:rsidR="001D3BA0" w:rsidRDefault="001D3BA0" w:rsidP="001D3BA0">
      <w:pPr>
        <w:ind w:firstLine="720"/>
        <w:jc w:val="both"/>
        <w:rPr>
          <w:rFonts w:ascii="Cambria" w:hAnsi="Cambria"/>
          <w:sz w:val="24"/>
          <w:szCs w:val="24"/>
        </w:rPr>
      </w:pPr>
      <w:r>
        <w:rPr>
          <w:rFonts w:ascii="Cambria" w:hAnsi="Cambria"/>
          <w:sz w:val="24"/>
          <w:szCs w:val="24"/>
        </w:rPr>
        <w:t xml:space="preserve"> Poor classroom management is a problem in many countries. Woodcock and </w:t>
      </w:r>
      <w:proofErr w:type="spellStart"/>
      <w:r>
        <w:rPr>
          <w:rFonts w:ascii="Cambria" w:hAnsi="Cambria"/>
          <w:sz w:val="24"/>
          <w:szCs w:val="24"/>
        </w:rPr>
        <w:t>Reupert</w:t>
      </w:r>
      <w:proofErr w:type="spellEnd"/>
      <w:r>
        <w:rPr>
          <w:rFonts w:ascii="Cambria" w:hAnsi="Cambria"/>
          <w:sz w:val="24"/>
          <w:szCs w:val="24"/>
        </w:rPr>
        <w:t xml:space="preserve"> (2024) noted that beginning teachers in Australia often encounter difficulties managing their classrooms during their first year. Similarly, </w:t>
      </w:r>
      <w:proofErr w:type="spellStart"/>
      <w:r>
        <w:rPr>
          <w:rFonts w:ascii="Cambria" w:hAnsi="Cambria"/>
          <w:sz w:val="24"/>
          <w:szCs w:val="24"/>
        </w:rPr>
        <w:t>Obee</w:t>
      </w:r>
      <w:proofErr w:type="spellEnd"/>
      <w:r>
        <w:rPr>
          <w:rFonts w:ascii="Cambria" w:hAnsi="Cambria"/>
          <w:sz w:val="24"/>
          <w:szCs w:val="24"/>
        </w:rPr>
        <w:t xml:space="preserve"> et al. (2022) reported that early childhood educators struggle to maintain a structured, well-managed classroom. Moreover, </w:t>
      </w:r>
      <w:proofErr w:type="spellStart"/>
      <w:r>
        <w:rPr>
          <w:rFonts w:ascii="Cambria" w:hAnsi="Cambria"/>
          <w:sz w:val="24"/>
          <w:szCs w:val="24"/>
        </w:rPr>
        <w:t>Balasundaram</w:t>
      </w:r>
      <w:proofErr w:type="spellEnd"/>
      <w:r>
        <w:rPr>
          <w:rFonts w:ascii="Cambria" w:hAnsi="Cambria"/>
          <w:sz w:val="24"/>
          <w:szCs w:val="24"/>
        </w:rPr>
        <w:t xml:space="preserve"> (2024) reported that preschool teachers in the Batticaloa District in Sri Lanka also face ongoing classroom management issues.</w:t>
      </w:r>
    </w:p>
    <w:p w14:paraId="2342FC36" w14:textId="77777777" w:rsidR="001D3BA0" w:rsidRDefault="001D3BA0" w:rsidP="001D3BA0">
      <w:pPr>
        <w:ind w:firstLine="720"/>
        <w:jc w:val="both"/>
        <w:rPr>
          <w:rFonts w:ascii="Cambria" w:hAnsi="Cambria"/>
          <w:sz w:val="24"/>
          <w:szCs w:val="24"/>
        </w:rPr>
      </w:pPr>
      <w:r>
        <w:rPr>
          <w:rFonts w:ascii="Cambria" w:hAnsi="Cambria"/>
          <w:sz w:val="24"/>
          <w:szCs w:val="24"/>
        </w:rPr>
        <w:t xml:space="preserve">In the Philippines, </w:t>
      </w:r>
      <w:proofErr w:type="spellStart"/>
      <w:r>
        <w:rPr>
          <w:rFonts w:ascii="Cambria" w:hAnsi="Cambria"/>
          <w:sz w:val="24"/>
          <w:szCs w:val="24"/>
        </w:rPr>
        <w:t>Barredo</w:t>
      </w:r>
      <w:proofErr w:type="spellEnd"/>
      <w:r>
        <w:rPr>
          <w:rFonts w:ascii="Cambria" w:hAnsi="Cambria"/>
          <w:sz w:val="24"/>
          <w:szCs w:val="24"/>
        </w:rPr>
        <w:t xml:space="preserve"> (2025) reported that many teachers struggle with classroom management and adapting to real classroom dynamics. Moreover, Marquez and </w:t>
      </w:r>
      <w:proofErr w:type="spellStart"/>
      <w:r>
        <w:rPr>
          <w:rFonts w:ascii="Cambria" w:hAnsi="Cambria"/>
          <w:sz w:val="24"/>
          <w:szCs w:val="24"/>
        </w:rPr>
        <w:t>Oropa</w:t>
      </w:r>
      <w:proofErr w:type="spellEnd"/>
      <w:r>
        <w:rPr>
          <w:rFonts w:ascii="Cambria" w:hAnsi="Cambria"/>
          <w:sz w:val="24"/>
          <w:szCs w:val="24"/>
        </w:rPr>
        <w:t xml:space="preserve"> (2025) revealed that managing the classroom is among the most challenging aspects of teaching in the San Francisco District of </w:t>
      </w:r>
      <w:proofErr w:type="spellStart"/>
      <w:r>
        <w:rPr>
          <w:rFonts w:ascii="Cambria" w:hAnsi="Cambria"/>
          <w:sz w:val="24"/>
          <w:szCs w:val="24"/>
        </w:rPr>
        <w:t>Agusan</w:t>
      </w:r>
      <w:proofErr w:type="spellEnd"/>
      <w:r>
        <w:rPr>
          <w:rFonts w:ascii="Cambria" w:hAnsi="Cambria"/>
          <w:sz w:val="24"/>
          <w:szCs w:val="24"/>
        </w:rPr>
        <w:t xml:space="preserve"> del Sur. Additionally, Eakins et al. (2022, as cited in Cambay and </w:t>
      </w:r>
      <w:proofErr w:type="spellStart"/>
      <w:r>
        <w:rPr>
          <w:rFonts w:ascii="Cambria" w:hAnsi="Cambria"/>
          <w:sz w:val="24"/>
          <w:szCs w:val="24"/>
        </w:rPr>
        <w:t>Paglinawan</w:t>
      </w:r>
      <w:proofErr w:type="spellEnd"/>
      <w:r>
        <w:rPr>
          <w:rFonts w:ascii="Cambria" w:hAnsi="Cambria"/>
          <w:sz w:val="24"/>
          <w:szCs w:val="24"/>
        </w:rPr>
        <w:t xml:space="preserve">, 2024) also reported comparable issues in Central Mindanao, where teachers struggle to maintain classroom management. In addition, </w:t>
      </w:r>
      <w:proofErr w:type="spellStart"/>
      <w:r>
        <w:rPr>
          <w:rFonts w:ascii="Cambria" w:hAnsi="Cambria"/>
          <w:sz w:val="24"/>
          <w:szCs w:val="24"/>
        </w:rPr>
        <w:t>Felisilda</w:t>
      </w:r>
      <w:proofErr w:type="spellEnd"/>
      <w:r>
        <w:rPr>
          <w:rFonts w:ascii="Cambria" w:hAnsi="Cambria"/>
          <w:sz w:val="24"/>
          <w:szCs w:val="24"/>
        </w:rPr>
        <w:t xml:space="preserve"> et al. (2024) found that novice teachers in Cagayan de Oro City encounter similar classroom management difficulties. These studies indicate that classroom management remains a persistent challenge across various regions in the country.</w:t>
      </w:r>
    </w:p>
    <w:p w14:paraId="5BD278CF" w14:textId="3E7F537D" w:rsidR="001D3BA0" w:rsidRDefault="001D3BA0" w:rsidP="001D3BA0">
      <w:pPr>
        <w:ind w:firstLine="720"/>
        <w:jc w:val="both"/>
        <w:rPr>
          <w:rFonts w:ascii="Cambria" w:hAnsi="Cambria"/>
          <w:sz w:val="24"/>
          <w:szCs w:val="24"/>
        </w:rPr>
      </w:pPr>
      <w:r>
        <w:rPr>
          <w:rFonts w:ascii="Cambria" w:hAnsi="Cambria"/>
          <w:sz w:val="24"/>
          <w:szCs w:val="24"/>
        </w:rPr>
        <w:t>Consequently, ineffective classroom management decreases learners' attention, engagement, and study habits, negatively affecting academic achievement and contributing to teacher burnout (</w:t>
      </w:r>
      <w:proofErr w:type="spellStart"/>
      <w:r>
        <w:rPr>
          <w:rFonts w:ascii="Cambria" w:hAnsi="Cambria"/>
          <w:sz w:val="24"/>
          <w:szCs w:val="24"/>
        </w:rPr>
        <w:t>Bature</w:t>
      </w:r>
      <w:proofErr w:type="spellEnd"/>
      <w:r>
        <w:rPr>
          <w:rFonts w:ascii="Cambria" w:hAnsi="Cambria"/>
          <w:sz w:val="24"/>
          <w:szCs w:val="24"/>
        </w:rPr>
        <w:t xml:space="preserve">, 2020, as cited in </w:t>
      </w:r>
      <w:proofErr w:type="spellStart"/>
      <w:r>
        <w:rPr>
          <w:rFonts w:ascii="Cambria" w:hAnsi="Cambria"/>
          <w:sz w:val="24"/>
          <w:szCs w:val="24"/>
        </w:rPr>
        <w:t>Paynandos</w:t>
      </w:r>
      <w:proofErr w:type="spellEnd"/>
      <w:r>
        <w:rPr>
          <w:rFonts w:ascii="Cambria" w:hAnsi="Cambria"/>
          <w:sz w:val="24"/>
          <w:szCs w:val="24"/>
        </w:rPr>
        <w:t xml:space="preserve"> &amp; </w:t>
      </w:r>
      <w:proofErr w:type="spellStart"/>
      <w:r>
        <w:rPr>
          <w:rFonts w:ascii="Cambria" w:hAnsi="Cambria"/>
          <w:sz w:val="24"/>
          <w:szCs w:val="24"/>
        </w:rPr>
        <w:t>Doronio</w:t>
      </w:r>
      <w:proofErr w:type="spellEnd"/>
      <w:r>
        <w:rPr>
          <w:rFonts w:ascii="Cambria" w:hAnsi="Cambria"/>
          <w:sz w:val="24"/>
          <w:szCs w:val="24"/>
        </w:rPr>
        <w:t xml:space="preserve">, 2025). Ahmed and du Plessis (2024) noted that most existing research relies on qualitative approaches </w:t>
      </w:r>
      <w:r w:rsidR="005062BF">
        <w:rPr>
          <w:rFonts w:ascii="Cambria" w:hAnsi="Cambria"/>
          <w:sz w:val="24"/>
          <w:szCs w:val="24"/>
        </w:rPr>
        <w:t>emphasizing</w:t>
      </w:r>
      <w:r>
        <w:rPr>
          <w:rFonts w:ascii="Cambria" w:hAnsi="Cambria"/>
          <w:sz w:val="24"/>
          <w:szCs w:val="24"/>
        </w:rPr>
        <w:t xml:space="preserve"> physical and social factors, which limit the generalizability of findings and prevent broader conclusions from being drawn with confidence. Thus, quantitative studies are needed to generate empirical evidence on how principal neglect and teacher professional development improve effective classroom management. This urgency prompted the study.</w:t>
      </w:r>
    </w:p>
    <w:p w14:paraId="26F2279C" w14:textId="348BBE33" w:rsidR="00A14BD6" w:rsidRPr="00A14BD6" w:rsidRDefault="001D3BA0" w:rsidP="00A14BD6">
      <w:pPr>
        <w:jc w:val="both"/>
        <w:rPr>
          <w:rFonts w:ascii="Cambria" w:hAnsi="Cambria"/>
          <w:b/>
          <w:bCs/>
          <w:sz w:val="24"/>
          <w:szCs w:val="24"/>
        </w:rPr>
      </w:pPr>
      <w:r>
        <w:rPr>
          <w:rFonts w:ascii="Cambria" w:hAnsi="Cambria"/>
          <w:b/>
          <w:bCs/>
          <w:sz w:val="24"/>
          <w:szCs w:val="24"/>
        </w:rPr>
        <w:t>Significance of the Study</w:t>
      </w:r>
    </w:p>
    <w:p w14:paraId="4950211A" w14:textId="771539E0" w:rsidR="00A14BD6" w:rsidRPr="00A14BD6" w:rsidRDefault="00A14BD6" w:rsidP="001D3BA0">
      <w:pPr>
        <w:ind w:firstLine="720"/>
        <w:jc w:val="both"/>
        <w:rPr>
          <w:rFonts w:ascii="Cambria" w:hAnsi="Cambria"/>
          <w:sz w:val="28"/>
          <w:szCs w:val="28"/>
        </w:rPr>
      </w:pPr>
      <w:r w:rsidRPr="00A14BD6">
        <w:rPr>
          <w:rFonts w:ascii="Cambria" w:hAnsi="Cambria"/>
          <w:sz w:val="24"/>
          <w:szCs w:val="24"/>
        </w:rPr>
        <w:t>This study is globally significant as it addresses the persistent issue of ineffective classroom management in early childhood education, which can negatively affect learner engagement, academic performance, and teacher well-being. By examining the roles of principal</w:t>
      </w:r>
      <w:r>
        <w:rPr>
          <w:rFonts w:ascii="Cambria" w:hAnsi="Cambria"/>
          <w:sz w:val="24"/>
          <w:szCs w:val="24"/>
        </w:rPr>
        <w:t xml:space="preserve">s </w:t>
      </w:r>
      <w:r w:rsidRPr="00A14BD6">
        <w:rPr>
          <w:rFonts w:ascii="Cambria" w:hAnsi="Cambria"/>
          <w:sz w:val="24"/>
          <w:szCs w:val="24"/>
        </w:rPr>
        <w:t xml:space="preserve">and teacher professional development, the study provides evidence that may inform policies and interventions aimed at improving teaching quality and school leadership practices. The findings also support Sustainable Development Goal 4 (Quality Education) by contributing insights on factors that enhance classroom effectiveness and learning outcomes. In the Philippine context, the results may guide DepEd policymakers </w:t>
      </w:r>
      <w:r w:rsidRPr="00A14BD6">
        <w:rPr>
          <w:rFonts w:ascii="Cambria" w:hAnsi="Cambria"/>
          <w:sz w:val="24"/>
          <w:szCs w:val="24"/>
        </w:rPr>
        <w:lastRenderedPageBreak/>
        <w:t>and school administrators in strengthening teacher professional development programs and improving instructional support systems to promote better classroom management.</w:t>
      </w:r>
    </w:p>
    <w:p w14:paraId="2A40AA51" w14:textId="77777777" w:rsidR="001D3BA0" w:rsidRDefault="001D3BA0" w:rsidP="001D3BA0">
      <w:pPr>
        <w:jc w:val="both"/>
        <w:rPr>
          <w:rFonts w:ascii="Cambria" w:hAnsi="Cambria"/>
          <w:b/>
          <w:bCs/>
          <w:sz w:val="24"/>
          <w:szCs w:val="24"/>
        </w:rPr>
      </w:pPr>
      <w:r>
        <w:rPr>
          <w:rFonts w:ascii="Cambria" w:hAnsi="Cambria"/>
          <w:b/>
          <w:bCs/>
          <w:sz w:val="24"/>
          <w:szCs w:val="24"/>
        </w:rPr>
        <w:t>Statement of the Problem</w:t>
      </w:r>
    </w:p>
    <w:p w14:paraId="0DD2A558" w14:textId="77777777" w:rsidR="001D3BA0" w:rsidRDefault="001D3BA0" w:rsidP="001D3BA0">
      <w:pPr>
        <w:jc w:val="both"/>
        <w:rPr>
          <w:rFonts w:ascii="Cambria" w:hAnsi="Cambria"/>
          <w:sz w:val="24"/>
          <w:szCs w:val="24"/>
        </w:rPr>
      </w:pPr>
      <w:r>
        <w:rPr>
          <w:rFonts w:ascii="Cambria" w:hAnsi="Cambria"/>
          <w:sz w:val="24"/>
          <w:szCs w:val="24"/>
        </w:rPr>
        <w:t xml:space="preserve"> </w:t>
      </w:r>
      <w:r>
        <w:rPr>
          <w:rFonts w:ascii="Cambria" w:hAnsi="Cambria"/>
          <w:sz w:val="24"/>
          <w:szCs w:val="24"/>
        </w:rPr>
        <w:tab/>
        <w:t>The study aimed to determine the significance of principal neglect and teacher professional development as determinants of classroom management among teachers in Early Childhood Education. Specifically, this study aimed to achieve the following objectives:</w:t>
      </w:r>
    </w:p>
    <w:p w14:paraId="651DE91F" w14:textId="3BFB35C9" w:rsidR="001D3BA0" w:rsidRDefault="001D3BA0" w:rsidP="001D3BA0">
      <w:pPr>
        <w:ind w:left="720"/>
        <w:jc w:val="both"/>
        <w:rPr>
          <w:rFonts w:ascii="Cambria" w:hAnsi="Cambria"/>
          <w:sz w:val="24"/>
          <w:szCs w:val="24"/>
        </w:rPr>
      </w:pPr>
      <w:r>
        <w:rPr>
          <w:rFonts w:ascii="Cambria" w:hAnsi="Cambria"/>
          <w:sz w:val="24"/>
          <w:szCs w:val="24"/>
        </w:rPr>
        <w:t>1.</w:t>
      </w:r>
      <w:r>
        <w:rPr>
          <w:rFonts w:ascii="Cambria" w:hAnsi="Cambria"/>
          <w:sz w:val="24"/>
          <w:szCs w:val="24"/>
        </w:rPr>
        <w:tab/>
        <w:t>To describe the levels of principal neglect in terms of emotional support, professional support, instrumental support, and appraisal support; teacher professional development in terms of active learning in classroom, active learning beyond classroom, teachers' content knowledge, teachers' needs and circumstances, collective participation, and duration; and classroom management in terms of setting arrangement, student teacher relationship, time management, use of writing board, classroom norms, conducive environment, and appropriate instructional techniques, and feedback</w:t>
      </w:r>
      <w:r w:rsidR="00C47C65">
        <w:rPr>
          <w:rFonts w:ascii="Cambria" w:hAnsi="Cambria"/>
          <w:sz w:val="24"/>
          <w:szCs w:val="24"/>
        </w:rPr>
        <w:t xml:space="preserve"> using mean and standard deviation. </w:t>
      </w:r>
    </w:p>
    <w:p w14:paraId="47854764" w14:textId="77777777" w:rsidR="001D3BA0" w:rsidRDefault="001D3BA0" w:rsidP="001D3BA0">
      <w:pPr>
        <w:ind w:left="720"/>
        <w:jc w:val="both"/>
        <w:rPr>
          <w:rFonts w:ascii="Cambria" w:hAnsi="Cambria"/>
          <w:sz w:val="24"/>
          <w:szCs w:val="24"/>
        </w:rPr>
      </w:pPr>
      <w:r>
        <w:rPr>
          <w:rFonts w:ascii="Cambria" w:hAnsi="Cambria"/>
          <w:sz w:val="24"/>
          <w:szCs w:val="24"/>
        </w:rPr>
        <w:t>2.</w:t>
      </w:r>
      <w:r>
        <w:rPr>
          <w:rFonts w:ascii="Cambria" w:hAnsi="Cambria"/>
          <w:sz w:val="24"/>
          <w:szCs w:val="24"/>
        </w:rPr>
        <w:tab/>
        <w:t>To determine the significance of the relationship between principal neglect, teacher professional development, and classroom management, and</w:t>
      </w:r>
    </w:p>
    <w:p w14:paraId="5F10AE34" w14:textId="77777777" w:rsidR="001D3BA0" w:rsidRDefault="001D3BA0" w:rsidP="001D3BA0">
      <w:pPr>
        <w:ind w:left="720"/>
        <w:jc w:val="both"/>
        <w:rPr>
          <w:rFonts w:ascii="Cambria" w:hAnsi="Cambria"/>
          <w:sz w:val="24"/>
          <w:szCs w:val="24"/>
        </w:rPr>
      </w:pPr>
      <w:r>
        <w:rPr>
          <w:rFonts w:ascii="Cambria" w:hAnsi="Cambria"/>
          <w:sz w:val="24"/>
          <w:szCs w:val="24"/>
        </w:rPr>
        <w:t>3.</w:t>
      </w:r>
      <w:r>
        <w:rPr>
          <w:rFonts w:ascii="Cambria" w:hAnsi="Cambria"/>
          <w:sz w:val="24"/>
          <w:szCs w:val="24"/>
        </w:rPr>
        <w:tab/>
        <w:t>To determine the significance of the individual and combined influence of principal neglect and teacher professional development on classroom management of teachers in Early Childhood Education.</w:t>
      </w:r>
    </w:p>
    <w:p w14:paraId="1DF7E9CB" w14:textId="77777777" w:rsidR="001D3BA0" w:rsidRDefault="001D3BA0" w:rsidP="001D3BA0">
      <w:pPr>
        <w:jc w:val="both"/>
        <w:rPr>
          <w:rFonts w:ascii="Cambria" w:hAnsi="Cambria"/>
          <w:b/>
          <w:bCs/>
          <w:sz w:val="24"/>
          <w:szCs w:val="24"/>
        </w:rPr>
      </w:pPr>
      <w:r>
        <w:rPr>
          <w:rFonts w:ascii="Cambria" w:hAnsi="Cambria"/>
          <w:b/>
          <w:bCs/>
          <w:sz w:val="24"/>
          <w:szCs w:val="24"/>
        </w:rPr>
        <w:t>Hypotheses:</w:t>
      </w:r>
    </w:p>
    <w:p w14:paraId="4AD0CF9C" w14:textId="77777777" w:rsidR="001D3BA0" w:rsidRDefault="001D3BA0" w:rsidP="008B0161">
      <w:pPr>
        <w:ind w:left="720"/>
        <w:jc w:val="both"/>
        <w:rPr>
          <w:rFonts w:ascii="Cambria" w:hAnsi="Cambria"/>
          <w:sz w:val="24"/>
          <w:szCs w:val="24"/>
        </w:rPr>
      </w:pPr>
      <w:r>
        <w:rPr>
          <w:rFonts w:ascii="Cambria" w:hAnsi="Cambria"/>
          <w:sz w:val="24"/>
          <w:szCs w:val="24"/>
        </w:rPr>
        <w:t xml:space="preserve">Ho1. Principal neglect does not significantly correlate with classroom management. </w:t>
      </w:r>
    </w:p>
    <w:p w14:paraId="47B97CB9" w14:textId="77777777" w:rsidR="001D3BA0" w:rsidRDefault="001D3BA0" w:rsidP="008B0161">
      <w:pPr>
        <w:ind w:left="720"/>
        <w:jc w:val="both"/>
        <w:rPr>
          <w:rFonts w:ascii="Cambria" w:hAnsi="Cambria"/>
          <w:sz w:val="24"/>
          <w:szCs w:val="24"/>
        </w:rPr>
      </w:pPr>
      <w:r>
        <w:rPr>
          <w:rFonts w:ascii="Cambria" w:hAnsi="Cambria"/>
          <w:sz w:val="24"/>
          <w:szCs w:val="24"/>
        </w:rPr>
        <w:t xml:space="preserve">Ho2. Teacher professional development does not significantly correlate with classroom management. </w:t>
      </w:r>
    </w:p>
    <w:p w14:paraId="31F29202" w14:textId="77777777" w:rsidR="001D3BA0" w:rsidRDefault="001D3BA0" w:rsidP="008B0161">
      <w:pPr>
        <w:ind w:left="720"/>
        <w:jc w:val="both"/>
        <w:rPr>
          <w:rFonts w:ascii="Cambria" w:hAnsi="Cambria"/>
          <w:sz w:val="24"/>
          <w:szCs w:val="24"/>
        </w:rPr>
      </w:pPr>
      <w:r>
        <w:rPr>
          <w:rFonts w:ascii="Cambria" w:hAnsi="Cambria"/>
          <w:sz w:val="24"/>
          <w:szCs w:val="24"/>
        </w:rPr>
        <w:t xml:space="preserve">Ho3. Principal neglect does not significantly influence classroom management. </w:t>
      </w:r>
    </w:p>
    <w:p w14:paraId="41D83789" w14:textId="77777777" w:rsidR="001D3BA0" w:rsidRDefault="001D3BA0" w:rsidP="008B0161">
      <w:pPr>
        <w:ind w:left="720"/>
        <w:jc w:val="both"/>
        <w:rPr>
          <w:rFonts w:ascii="Cambria" w:hAnsi="Cambria"/>
          <w:sz w:val="24"/>
          <w:szCs w:val="24"/>
        </w:rPr>
      </w:pPr>
      <w:r>
        <w:rPr>
          <w:rFonts w:ascii="Cambria" w:hAnsi="Cambria"/>
          <w:sz w:val="24"/>
          <w:szCs w:val="24"/>
        </w:rPr>
        <w:t xml:space="preserve">Ho4. Teacher professional development does not significantly influence classroom management. </w:t>
      </w:r>
    </w:p>
    <w:p w14:paraId="1ED75053" w14:textId="77777777" w:rsidR="001D3BA0" w:rsidRDefault="001D3BA0" w:rsidP="008B0161">
      <w:pPr>
        <w:ind w:left="720"/>
        <w:jc w:val="both"/>
        <w:rPr>
          <w:rFonts w:ascii="Cambria" w:hAnsi="Cambria"/>
          <w:sz w:val="24"/>
          <w:szCs w:val="24"/>
        </w:rPr>
      </w:pPr>
      <w:r>
        <w:rPr>
          <w:rFonts w:ascii="Cambria" w:hAnsi="Cambria"/>
          <w:sz w:val="24"/>
          <w:szCs w:val="24"/>
        </w:rPr>
        <w:t>Ho5. Principal neglect and Teacher professional development, when combined, do not significantly influence classroom management.</w:t>
      </w:r>
    </w:p>
    <w:p w14:paraId="4531338E" w14:textId="77777777" w:rsidR="001D3BA0" w:rsidRDefault="001D3BA0" w:rsidP="001D3BA0">
      <w:pPr>
        <w:jc w:val="both"/>
        <w:rPr>
          <w:rFonts w:ascii="Cambria" w:hAnsi="Cambria"/>
          <w:b/>
          <w:bCs/>
          <w:sz w:val="24"/>
          <w:szCs w:val="24"/>
        </w:rPr>
      </w:pPr>
      <w:r>
        <w:rPr>
          <w:rFonts w:ascii="Cambria" w:hAnsi="Cambria"/>
          <w:b/>
          <w:bCs/>
          <w:sz w:val="24"/>
          <w:szCs w:val="24"/>
        </w:rPr>
        <w:t>Theoretical and Conceptual Framework</w:t>
      </w:r>
    </w:p>
    <w:p w14:paraId="0B93994B" w14:textId="77777777" w:rsidR="001D3BA0" w:rsidRDefault="001D3BA0" w:rsidP="001D3BA0">
      <w:pPr>
        <w:ind w:firstLine="720"/>
        <w:jc w:val="both"/>
        <w:rPr>
          <w:rFonts w:ascii="Cambria" w:hAnsi="Cambria"/>
          <w:sz w:val="24"/>
          <w:szCs w:val="24"/>
        </w:rPr>
      </w:pPr>
      <w:r>
        <w:rPr>
          <w:rFonts w:ascii="Cambria" w:hAnsi="Cambria"/>
          <w:sz w:val="24"/>
          <w:szCs w:val="24"/>
        </w:rPr>
        <w:t>This study draws on Herzberg's Two-Factor Theory (1959), which explains how two distinct factors influence job satisfaction and dissatisfaction. Motivators, such as achievement, recognition, and growth, enhance satisfaction, while hygiene factors, including salary, supervision, and working conditions, prevent dissatisfaction but do not create satisfaction. Effective motivation requires addressing hygiene factors to avoid dissatisfaction and providing motivators to increase satisfaction.</w:t>
      </w:r>
    </w:p>
    <w:p w14:paraId="5076F53F" w14:textId="680CDAC6" w:rsidR="007B1B24" w:rsidRPr="007F58FF" w:rsidRDefault="001D3BA0" w:rsidP="007F58FF">
      <w:pPr>
        <w:ind w:firstLine="720"/>
        <w:jc w:val="both"/>
        <w:rPr>
          <w:rFonts w:ascii="Cambria" w:hAnsi="Cambria"/>
          <w:sz w:val="24"/>
          <w:szCs w:val="24"/>
        </w:rPr>
      </w:pPr>
      <w:r>
        <w:rPr>
          <w:rFonts w:ascii="Cambria" w:hAnsi="Cambria"/>
          <w:sz w:val="24"/>
          <w:szCs w:val="24"/>
        </w:rPr>
        <w:t xml:space="preserve">In this study, the principal neglect variable—measured through emotional, professional, instrumental, and appraisal support—aligns with the hygiene factor </w:t>
      </w:r>
      <w:r>
        <w:rPr>
          <w:rFonts w:ascii="Cambria" w:hAnsi="Cambria"/>
          <w:sz w:val="24"/>
          <w:szCs w:val="24"/>
        </w:rPr>
        <w:lastRenderedPageBreak/>
        <w:t>component of Herzberg's Two-Factor Theory. The teacher professional development variable, indicated by active learning in the classroom, active learning beyond the classroom, teachers' content knowledge, teachers' needs and circumstances, collective participation, and duration, is associated with the motivation factor, as the theory suggests. Lastly, classroom management variables include setting arrangement, student-teacher relationship, time management, use of the writing board, classroom norms, a conducive environment, appropriate instructional techniques, and feedback, all of which are identified with job satisfaction as outlined in the theory.</w:t>
      </w:r>
    </w:p>
    <w:p w14:paraId="7EAB41D5" w14:textId="77777777" w:rsidR="007B1B24" w:rsidRDefault="007B1B24" w:rsidP="007B1B24">
      <w:pPr>
        <w:jc w:val="both"/>
        <w:rPr>
          <w:rFonts w:cs="Times New Roman"/>
          <w:sz w:val="24"/>
          <w:szCs w:val="24"/>
        </w:rPr>
      </w:pPr>
    </w:p>
    <w:p w14:paraId="0B098151" w14:textId="77777777" w:rsidR="007B1B24" w:rsidRPr="00211C9D" w:rsidRDefault="007B1B24" w:rsidP="007B1B24">
      <w:pPr>
        <w:ind w:firstLine="720"/>
        <w:jc w:val="both"/>
        <w:rPr>
          <w:rFonts w:cs="Times New Roman"/>
          <w:sz w:val="24"/>
          <w:szCs w:val="24"/>
        </w:rPr>
      </w:pPr>
      <w:r w:rsidRPr="00211C9D">
        <w:rPr>
          <w:rFonts w:cs="Arial"/>
          <w:bCs/>
          <w:noProof/>
          <w:color w:val="000000" w:themeColor="text1"/>
          <w:sz w:val="24"/>
          <w:szCs w:val="24"/>
        </w:rPr>
        <mc:AlternateContent>
          <mc:Choice Requires="wps">
            <w:drawing>
              <wp:anchor distT="0" distB="0" distL="114300" distR="114300" simplePos="0" relativeHeight="251663360" behindDoc="0" locked="0" layoutInCell="1" allowOverlap="1" wp14:anchorId="0872C7E8" wp14:editId="713BB05B">
                <wp:simplePos x="0" y="0"/>
                <wp:positionH relativeFrom="column">
                  <wp:posOffset>319895</wp:posOffset>
                </wp:positionH>
                <wp:positionV relativeFrom="paragraph">
                  <wp:posOffset>163270</wp:posOffset>
                </wp:positionV>
                <wp:extent cx="1689903" cy="404037"/>
                <wp:effectExtent l="0" t="0" r="0" b="0"/>
                <wp:wrapNone/>
                <wp:docPr id="4" name="Text Box 4"/>
                <wp:cNvGraphicFramePr/>
                <a:graphic xmlns:a="http://schemas.openxmlformats.org/drawingml/2006/main">
                  <a:graphicData uri="http://schemas.microsoft.com/office/word/2010/wordprocessingShape">
                    <wps:wsp>
                      <wps:cNvSpPr txBox="1"/>
                      <wps:spPr>
                        <a:xfrm>
                          <a:off x="0" y="0"/>
                          <a:ext cx="1689903" cy="404037"/>
                        </a:xfrm>
                        <a:prstGeom prst="rect">
                          <a:avLst/>
                        </a:prstGeom>
                        <a:noFill/>
                        <a:ln w="6350">
                          <a:noFill/>
                        </a:ln>
                      </wps:spPr>
                      <wps:txbx>
                        <w:txbxContent>
                          <w:p w14:paraId="5088B3BC" w14:textId="77777777" w:rsidR="007B1B24" w:rsidRPr="005062BF" w:rsidRDefault="007B1B24" w:rsidP="007B1B24">
                            <w:pPr>
                              <w:rPr>
                                <w:rFonts w:ascii="Cambria" w:hAnsi="Cambria" w:cs="Times New Roman"/>
                                <w:b/>
                                <w:bCs/>
                                <w:sz w:val="24"/>
                                <w:szCs w:val="24"/>
                              </w:rPr>
                            </w:pPr>
                            <w:r w:rsidRPr="005062BF">
                              <w:rPr>
                                <w:rFonts w:ascii="Cambria" w:hAnsi="Cambria" w:cs="Times New Roman"/>
                                <w:b/>
                                <w:bCs/>
                                <w:sz w:val="24"/>
                                <w:szCs w:val="24"/>
                              </w:rPr>
                              <w:t>Predictive Variables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0872C7E8" id="_x0000_t202" coordsize="21600,21600" o:spt="202" path="m,l,21600r21600,l21600,xe">
                <v:stroke joinstyle="miter"/>
                <v:path gradientshapeok="t" o:connecttype="rect"/>
              </v:shapetype>
              <v:shape id="Text Box 4" o:spid="_x0000_s1026" type="#_x0000_t202" style="position:absolute;left:0;text-align:left;margin-left:25.2pt;margin-top:12.85pt;width:133.0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" filled="f" stroked="f" strokeweight=".5pt">
                <v:textbox>
                  <w:txbxContent>
                    <w:p w14:paraId="5088B3BC" w14:textId="77777777" w:rsidR="007B1B24" w:rsidRPr="005062BF" w:rsidRDefault="007B1B24" w:rsidP="007B1B24">
                      <w:pPr>
                        <w:rPr>
                          <w:rFonts w:ascii="Cambria" w:hAnsi="Cambria" w:cs="Times New Roman"/>
                          <w:b/>
                          <w:bCs/>
                          <w:sz w:val="24"/>
                          <w:szCs w:val="24"/>
                        </w:rPr>
                      </w:pPr>
                      <w:r w:rsidRPr="005062BF">
                        <w:rPr>
                          <w:rFonts w:ascii="Cambria" w:hAnsi="Cambria" w:cs="Times New Roman"/>
                          <w:b/>
                          <w:bCs/>
                          <w:sz w:val="24"/>
                          <w:szCs w:val="24"/>
                        </w:rPr>
                        <w:t>Predictive Variables</w:t>
                      </w:r>
                    </w:p>
                  </w:txbxContent>
                </v:textbox>
              </v:shape>
            </w:pict>
          </mc:Fallback>
        </mc:AlternateContent>
      </w:r>
    </w:p>
    <w:p w14:paraId="06B2BA80" w14:textId="42042B45" w:rsidR="007B1B24" w:rsidRPr="00211C9D" w:rsidRDefault="005062BF" w:rsidP="007B1B24">
      <w:pPr>
        <w:spacing w:before="240" w:line="480" w:lineRule="auto"/>
        <w:jc w:val="both"/>
        <w:rPr>
          <w:rFonts w:cs="Times New Roman"/>
          <w:sz w:val="24"/>
          <w:szCs w:val="24"/>
        </w:rPr>
      </w:pPr>
      <w:r w:rsidRPr="00211C9D">
        <w:rPr>
          <w:rFonts w:cs="Arial"/>
          <w:b/>
          <w:i/>
          <w:noProof/>
          <w:sz w:val="24"/>
          <w:szCs w:val="24"/>
        </w:rPr>
        <mc:AlternateContent>
          <mc:Choice Requires="wps">
            <w:drawing>
              <wp:anchor distT="0" distB="0" distL="114300" distR="114300" simplePos="0" relativeHeight="251659264" behindDoc="0" locked="0" layoutInCell="1" allowOverlap="1" wp14:anchorId="21A0EF54" wp14:editId="546612BD">
                <wp:simplePos x="0" y="0"/>
                <wp:positionH relativeFrom="margin">
                  <wp:posOffset>82711</wp:posOffset>
                </wp:positionH>
                <wp:positionV relativeFrom="paragraph">
                  <wp:posOffset>246090</wp:posOffset>
                </wp:positionV>
                <wp:extent cx="2220595" cy="1323613"/>
                <wp:effectExtent l="19050" t="19050" r="27305" b="10160"/>
                <wp:wrapNone/>
                <wp:docPr id="6" name="Rectangle 6"/>
                <wp:cNvGraphicFramePr/>
                <a:graphic xmlns:a="http://schemas.openxmlformats.org/drawingml/2006/main">
                  <a:graphicData uri="http://schemas.microsoft.com/office/word/2010/wordprocessingShape">
                    <wps:wsp>
                      <wps:cNvSpPr/>
                      <wps:spPr>
                        <a:xfrm>
                          <a:off x="0" y="0"/>
                          <a:ext cx="2220595" cy="1323613"/>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26C7DBC6" w14:textId="77777777" w:rsidR="007B1B24" w:rsidRPr="005062BF" w:rsidRDefault="007B1B24" w:rsidP="007B1B24">
                            <w:pPr>
                              <w:jc w:val="center"/>
                              <w:rPr>
                                <w:rFonts w:ascii="Cambria" w:hAnsi="Cambria" w:cs="Times New Roman"/>
                                <w:b/>
                                <w:bCs/>
                                <w:sz w:val="24"/>
                                <w:szCs w:val="24"/>
                              </w:rPr>
                            </w:pPr>
                            <w:r w:rsidRPr="005062BF">
                              <w:rPr>
                                <w:rFonts w:ascii="Cambria" w:hAnsi="Cambria" w:cs="Times New Roman"/>
                                <w:b/>
                                <w:bCs/>
                                <w:sz w:val="24"/>
                                <w:szCs w:val="24"/>
                              </w:rPr>
                              <w:t>Principal Neglect</w:t>
                            </w:r>
                          </w:p>
                          <w:p w14:paraId="5C470914" w14:textId="77777777" w:rsidR="007B1B24" w:rsidRPr="005062BF" w:rsidRDefault="007B1B24" w:rsidP="007B1B24">
                            <w:pPr>
                              <w:pStyle w:val="ListParagraph"/>
                              <w:numPr>
                                <w:ilvl w:val="0"/>
                                <w:numId w:val="2"/>
                              </w:numPr>
                              <w:spacing w:after="0"/>
                              <w:rPr>
                                <w:rFonts w:ascii="Cambria" w:hAnsi="Cambria" w:cs="Times New Roman"/>
                                <w:sz w:val="24"/>
                                <w:szCs w:val="24"/>
                              </w:rPr>
                            </w:pPr>
                            <w:r w:rsidRPr="005062BF">
                              <w:rPr>
                                <w:rFonts w:ascii="Cambria" w:hAnsi="Cambria" w:cs="Times New Roman"/>
                                <w:sz w:val="24"/>
                                <w:szCs w:val="24"/>
                              </w:rPr>
                              <w:t>Emotional Support</w:t>
                            </w:r>
                          </w:p>
                          <w:p w14:paraId="2C342F6A" w14:textId="77777777" w:rsidR="007B1B24" w:rsidRPr="005062BF" w:rsidRDefault="007B1B24" w:rsidP="007B1B24">
                            <w:pPr>
                              <w:pStyle w:val="ListParagraph"/>
                              <w:numPr>
                                <w:ilvl w:val="0"/>
                                <w:numId w:val="2"/>
                              </w:numPr>
                              <w:spacing w:after="0"/>
                              <w:rPr>
                                <w:rFonts w:ascii="Cambria" w:hAnsi="Cambria" w:cs="Times New Roman"/>
                                <w:sz w:val="24"/>
                                <w:szCs w:val="24"/>
                              </w:rPr>
                            </w:pPr>
                            <w:r w:rsidRPr="005062BF">
                              <w:rPr>
                                <w:rFonts w:ascii="Cambria" w:hAnsi="Cambria" w:cs="Times New Roman"/>
                                <w:sz w:val="24"/>
                                <w:szCs w:val="24"/>
                              </w:rPr>
                              <w:t>Professional Support</w:t>
                            </w:r>
                          </w:p>
                          <w:p w14:paraId="690BC59B" w14:textId="77777777" w:rsidR="007B1B24" w:rsidRPr="005062BF" w:rsidRDefault="007B1B24" w:rsidP="007B1B24">
                            <w:pPr>
                              <w:pStyle w:val="ListParagraph"/>
                              <w:numPr>
                                <w:ilvl w:val="0"/>
                                <w:numId w:val="2"/>
                              </w:numPr>
                              <w:spacing w:after="0"/>
                              <w:rPr>
                                <w:rFonts w:ascii="Cambria" w:hAnsi="Cambria" w:cs="Times New Roman"/>
                                <w:sz w:val="24"/>
                                <w:szCs w:val="24"/>
                              </w:rPr>
                            </w:pPr>
                            <w:r w:rsidRPr="005062BF">
                              <w:rPr>
                                <w:rFonts w:ascii="Cambria" w:hAnsi="Cambria" w:cs="Times New Roman"/>
                                <w:sz w:val="24"/>
                                <w:szCs w:val="24"/>
                              </w:rPr>
                              <w:t>Instrumental Support</w:t>
                            </w:r>
                          </w:p>
                          <w:p w14:paraId="03A8ABD2" w14:textId="77777777" w:rsidR="007B1B24" w:rsidRPr="005062BF" w:rsidRDefault="007B1B24" w:rsidP="007B1B24">
                            <w:pPr>
                              <w:pStyle w:val="ListParagraph"/>
                              <w:numPr>
                                <w:ilvl w:val="0"/>
                                <w:numId w:val="2"/>
                              </w:numPr>
                              <w:spacing w:after="0"/>
                              <w:rPr>
                                <w:rFonts w:ascii="Cambria" w:hAnsi="Cambria" w:cs="Times New Roman"/>
                                <w:sz w:val="24"/>
                                <w:szCs w:val="24"/>
                              </w:rPr>
                            </w:pPr>
                            <w:r w:rsidRPr="005062BF">
                              <w:rPr>
                                <w:rFonts w:ascii="Cambria" w:hAnsi="Cambria" w:cs="Times New Roman"/>
                                <w:sz w:val="24"/>
                                <w:szCs w:val="24"/>
                              </w:rPr>
                              <w:t>Appraisal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1A0EF54" id="Rectangle 6" o:spid="_x0000_s1027" style="position:absolute;left:0;text-align:left;margin-left:6.5pt;margin-top:19.4pt;width:174.85pt;height:10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" fillcolor="white [3201]" strokecolor="black [3200]" strokeweight="2.25pt">
                <v:textbox>
                  <w:txbxContent>
                    <w:p w14:paraId="26C7DBC6" w14:textId="77777777" w:rsidR="007B1B24" w:rsidRPr="005062BF" w:rsidRDefault="007B1B24" w:rsidP="007B1B24">
                      <w:pPr>
                        <w:jc w:val="center"/>
                        <w:rPr>
                          <w:rFonts w:ascii="Cambria" w:hAnsi="Cambria" w:cs="Times New Roman"/>
                          <w:b/>
                          <w:bCs/>
                          <w:sz w:val="24"/>
                          <w:szCs w:val="24"/>
                        </w:rPr>
                      </w:pPr>
                      <w:r w:rsidRPr="005062BF">
                        <w:rPr>
                          <w:rFonts w:ascii="Cambria" w:hAnsi="Cambria" w:cs="Times New Roman"/>
                          <w:b/>
                          <w:bCs/>
                          <w:sz w:val="24"/>
                          <w:szCs w:val="24"/>
                        </w:rPr>
                        <w:t>Principal Neglect</w:t>
                      </w:r>
                    </w:p>
                    <w:p w14:paraId="5C470914" w14:textId="77777777" w:rsidR="007B1B24" w:rsidRPr="005062BF" w:rsidRDefault="007B1B24" w:rsidP="007B1B24">
                      <w:pPr>
                        <w:pStyle w:val="ListParagraph"/>
                        <w:numPr>
                          <w:ilvl w:val="0"/>
                          <w:numId w:val="2"/>
                        </w:numPr>
                        <w:spacing w:after="0"/>
                        <w:rPr>
                          <w:rFonts w:ascii="Cambria" w:hAnsi="Cambria" w:cs="Times New Roman"/>
                          <w:sz w:val="24"/>
                          <w:szCs w:val="24"/>
                        </w:rPr>
                      </w:pPr>
                      <w:r w:rsidRPr="005062BF">
                        <w:rPr>
                          <w:rFonts w:ascii="Cambria" w:hAnsi="Cambria" w:cs="Times New Roman"/>
                          <w:sz w:val="24"/>
                          <w:szCs w:val="24"/>
                        </w:rPr>
                        <w:t>Emotional Support</w:t>
                      </w:r>
                    </w:p>
                    <w:p w14:paraId="2C342F6A" w14:textId="77777777" w:rsidR="007B1B24" w:rsidRPr="005062BF" w:rsidRDefault="007B1B24" w:rsidP="007B1B24">
                      <w:pPr>
                        <w:pStyle w:val="ListParagraph"/>
                        <w:numPr>
                          <w:ilvl w:val="0"/>
                          <w:numId w:val="2"/>
                        </w:numPr>
                        <w:spacing w:after="0"/>
                        <w:rPr>
                          <w:rFonts w:ascii="Cambria" w:hAnsi="Cambria" w:cs="Times New Roman"/>
                          <w:sz w:val="24"/>
                          <w:szCs w:val="24"/>
                        </w:rPr>
                      </w:pPr>
                      <w:r w:rsidRPr="005062BF">
                        <w:rPr>
                          <w:rFonts w:ascii="Cambria" w:hAnsi="Cambria" w:cs="Times New Roman"/>
                          <w:sz w:val="24"/>
                          <w:szCs w:val="24"/>
                        </w:rPr>
                        <w:t>Professional Support</w:t>
                      </w:r>
                    </w:p>
                    <w:p w14:paraId="690BC59B" w14:textId="77777777" w:rsidR="007B1B24" w:rsidRPr="005062BF" w:rsidRDefault="007B1B24" w:rsidP="007B1B24">
                      <w:pPr>
                        <w:pStyle w:val="ListParagraph"/>
                        <w:numPr>
                          <w:ilvl w:val="0"/>
                          <w:numId w:val="2"/>
                        </w:numPr>
                        <w:spacing w:after="0"/>
                        <w:rPr>
                          <w:rFonts w:ascii="Cambria" w:hAnsi="Cambria" w:cs="Times New Roman"/>
                          <w:sz w:val="24"/>
                          <w:szCs w:val="24"/>
                        </w:rPr>
                      </w:pPr>
                      <w:r w:rsidRPr="005062BF">
                        <w:rPr>
                          <w:rFonts w:ascii="Cambria" w:hAnsi="Cambria" w:cs="Times New Roman"/>
                          <w:sz w:val="24"/>
                          <w:szCs w:val="24"/>
                        </w:rPr>
                        <w:t>Instrumental Support</w:t>
                      </w:r>
                    </w:p>
                    <w:p w14:paraId="03A8ABD2" w14:textId="77777777" w:rsidR="007B1B24" w:rsidRPr="005062BF" w:rsidRDefault="007B1B24" w:rsidP="007B1B24">
                      <w:pPr>
                        <w:pStyle w:val="ListParagraph"/>
                        <w:numPr>
                          <w:ilvl w:val="0"/>
                          <w:numId w:val="2"/>
                        </w:numPr>
                        <w:spacing w:after="0"/>
                        <w:rPr>
                          <w:rFonts w:ascii="Cambria" w:hAnsi="Cambria" w:cs="Times New Roman"/>
                          <w:sz w:val="24"/>
                          <w:szCs w:val="24"/>
                        </w:rPr>
                      </w:pPr>
                      <w:r w:rsidRPr="005062BF">
                        <w:rPr>
                          <w:rFonts w:ascii="Cambria" w:hAnsi="Cambria" w:cs="Times New Roman"/>
                          <w:sz w:val="24"/>
                          <w:szCs w:val="24"/>
                        </w:rPr>
                        <w:t>Appraisal Support</w:t>
                      </w:r>
                    </w:p>
                  </w:txbxContent>
                </v:textbox>
                <w10:wrap anchorx="margin"/>
              </v:rect>
            </w:pict>
          </mc:Fallback>
        </mc:AlternateContent>
      </w:r>
    </w:p>
    <w:p w14:paraId="11A96B36" w14:textId="34FCD54D" w:rsidR="007B1B24" w:rsidRPr="00211C9D" w:rsidRDefault="00DA300B" w:rsidP="007B1B24">
      <w:pPr>
        <w:spacing w:line="480" w:lineRule="auto"/>
        <w:jc w:val="both"/>
        <w:rPr>
          <w:rFonts w:cs="Times New Roman"/>
          <w:b/>
          <w:i/>
          <w:sz w:val="24"/>
          <w:szCs w:val="24"/>
        </w:rPr>
      </w:pPr>
      <w:r w:rsidRPr="00211C9D">
        <w:rPr>
          <w:rFonts w:cs="Times New Roman"/>
          <w:bCs/>
          <w:noProof/>
          <w:color w:val="000000" w:themeColor="text1"/>
          <w:sz w:val="24"/>
          <w:szCs w:val="24"/>
        </w:rPr>
        <mc:AlternateContent>
          <mc:Choice Requires="wps">
            <w:drawing>
              <wp:anchor distT="0" distB="0" distL="114300" distR="114300" simplePos="0" relativeHeight="251664384" behindDoc="0" locked="0" layoutInCell="1" allowOverlap="1" wp14:anchorId="6217FBBF" wp14:editId="546C78A2">
                <wp:simplePos x="0" y="0"/>
                <wp:positionH relativeFrom="margin">
                  <wp:posOffset>4005398</wp:posOffset>
                </wp:positionH>
                <wp:positionV relativeFrom="paragraph">
                  <wp:posOffset>190946</wp:posOffset>
                </wp:positionV>
                <wp:extent cx="1487347" cy="404037"/>
                <wp:effectExtent l="0" t="0" r="0" b="0"/>
                <wp:wrapNone/>
                <wp:docPr id="5" name="Text Box 5"/>
                <wp:cNvGraphicFramePr/>
                <a:graphic xmlns:a="http://schemas.openxmlformats.org/drawingml/2006/main">
                  <a:graphicData uri="http://schemas.microsoft.com/office/word/2010/wordprocessingShape">
                    <wps:wsp>
                      <wps:cNvSpPr txBox="1"/>
                      <wps:spPr>
                        <a:xfrm>
                          <a:off x="0" y="0"/>
                          <a:ext cx="1487347" cy="404037"/>
                        </a:xfrm>
                        <a:prstGeom prst="rect">
                          <a:avLst/>
                        </a:prstGeom>
                        <a:noFill/>
                        <a:ln w="6350">
                          <a:noFill/>
                        </a:ln>
                      </wps:spPr>
                      <wps:txbx>
                        <w:txbxContent>
                          <w:p w14:paraId="44B4C540" w14:textId="77777777" w:rsidR="007B1B24" w:rsidRPr="005062BF" w:rsidRDefault="007B1B24" w:rsidP="007B1B24">
                            <w:pPr>
                              <w:rPr>
                                <w:rFonts w:ascii="Cambria" w:hAnsi="Cambria" w:cs="Times New Roman"/>
                                <w:b/>
                                <w:bCs/>
                                <w:sz w:val="24"/>
                                <w:szCs w:val="24"/>
                              </w:rPr>
                            </w:pPr>
                            <w:r w:rsidRPr="005062BF">
                              <w:rPr>
                                <w:rFonts w:ascii="Cambria" w:hAnsi="Cambria" w:cs="Times New Roman"/>
                                <w:b/>
                                <w:bCs/>
                                <w:sz w:val="24"/>
                                <w:szCs w:val="24"/>
                              </w:rPr>
                              <w:t>Criterion 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217FBBF" id="Text Box 5" o:spid="_x0000_s1028" type="#_x0000_t202" style="position:absolute;left:0;text-align:left;margin-left:315.4pt;margin-top:15.05pt;width:117.1pt;height:3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" filled="f" stroked="f" strokeweight=".5pt">
                <v:textbox>
                  <w:txbxContent>
                    <w:p w14:paraId="44B4C540" w14:textId="77777777" w:rsidR="007B1B24" w:rsidRPr="005062BF" w:rsidRDefault="007B1B24" w:rsidP="007B1B24">
                      <w:pPr>
                        <w:rPr>
                          <w:rFonts w:ascii="Cambria" w:hAnsi="Cambria" w:cs="Times New Roman"/>
                          <w:b/>
                          <w:bCs/>
                          <w:sz w:val="24"/>
                          <w:szCs w:val="24"/>
                        </w:rPr>
                      </w:pPr>
                      <w:r w:rsidRPr="005062BF">
                        <w:rPr>
                          <w:rFonts w:ascii="Cambria" w:hAnsi="Cambria" w:cs="Times New Roman"/>
                          <w:b/>
                          <w:bCs/>
                          <w:sz w:val="24"/>
                          <w:szCs w:val="24"/>
                        </w:rPr>
                        <w:t>Criterion Variable</w:t>
                      </w:r>
                    </w:p>
                  </w:txbxContent>
                </v:textbox>
                <w10:wrap anchorx="margin"/>
              </v:shape>
            </w:pict>
          </mc:Fallback>
        </mc:AlternateContent>
      </w:r>
    </w:p>
    <w:p w14:paraId="2B82BEA0" w14:textId="2506A447" w:rsidR="007B1B24" w:rsidRPr="00211C9D" w:rsidRDefault="00DA300B" w:rsidP="007B1B24">
      <w:pPr>
        <w:jc w:val="both"/>
        <w:rPr>
          <w:rFonts w:cs="Times New Roman"/>
          <w:sz w:val="24"/>
          <w:szCs w:val="24"/>
        </w:rPr>
      </w:pPr>
      <w:r w:rsidRPr="00211C9D">
        <w:rPr>
          <w:rFonts w:cs="Times New Roman"/>
          <w:b/>
          <w:i/>
          <w:noProof/>
          <w:sz w:val="24"/>
          <w:szCs w:val="24"/>
        </w:rPr>
        <mc:AlternateContent>
          <mc:Choice Requires="wps">
            <w:drawing>
              <wp:anchor distT="0" distB="0" distL="114300" distR="114300" simplePos="0" relativeHeight="251661312" behindDoc="0" locked="0" layoutInCell="1" allowOverlap="1" wp14:anchorId="3E433FB8" wp14:editId="54A18769">
                <wp:simplePos x="0" y="0"/>
                <wp:positionH relativeFrom="margin">
                  <wp:posOffset>3620770</wp:posOffset>
                </wp:positionH>
                <wp:positionV relativeFrom="paragraph">
                  <wp:posOffset>55245</wp:posOffset>
                </wp:positionV>
                <wp:extent cx="2150745" cy="3070860"/>
                <wp:effectExtent l="19050" t="19050" r="20955" b="15240"/>
                <wp:wrapNone/>
                <wp:docPr id="12" name="Rectangle 12"/>
                <wp:cNvGraphicFramePr/>
                <a:graphic xmlns:a="http://schemas.openxmlformats.org/drawingml/2006/main">
                  <a:graphicData uri="http://schemas.microsoft.com/office/word/2010/wordprocessingShape">
                    <wps:wsp>
                      <wps:cNvSpPr/>
                      <wps:spPr>
                        <a:xfrm>
                          <a:off x="0" y="0"/>
                          <a:ext cx="2150745" cy="307086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30015FC" w14:textId="77777777" w:rsidR="007B1B24" w:rsidRPr="005062BF" w:rsidRDefault="007B1B24" w:rsidP="007B1B24">
                            <w:pPr>
                              <w:jc w:val="center"/>
                              <w:rPr>
                                <w:rFonts w:ascii="Cambria" w:hAnsi="Cambria" w:cs="Times New Roman"/>
                                <w:b/>
                                <w:bCs/>
                                <w:sz w:val="24"/>
                                <w:szCs w:val="24"/>
                              </w:rPr>
                            </w:pPr>
                            <w:r w:rsidRPr="005062BF">
                              <w:rPr>
                                <w:rFonts w:ascii="Cambria" w:hAnsi="Cambria" w:cs="Times New Roman"/>
                                <w:b/>
                                <w:bCs/>
                                <w:sz w:val="24"/>
                                <w:szCs w:val="24"/>
                              </w:rPr>
                              <w:t>Classroom Management</w:t>
                            </w:r>
                          </w:p>
                          <w:p w14:paraId="3558078A"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Setting Arrangement</w:t>
                            </w:r>
                          </w:p>
                          <w:p w14:paraId="0D260C4F"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Student Teacher Relationship</w:t>
                            </w:r>
                          </w:p>
                          <w:p w14:paraId="07B2EEA5"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Time Management</w:t>
                            </w:r>
                          </w:p>
                          <w:p w14:paraId="7679EF67"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Use of Writing Board</w:t>
                            </w:r>
                          </w:p>
                          <w:p w14:paraId="3EE23CDA"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Classroom Norms</w:t>
                            </w:r>
                          </w:p>
                          <w:p w14:paraId="0845498C"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Conducive Environment</w:t>
                            </w:r>
                          </w:p>
                          <w:p w14:paraId="652324DF"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Appropriate Instructional Techniques</w:t>
                            </w:r>
                          </w:p>
                          <w:p w14:paraId="104A74E1"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Feedback</w:t>
                            </w:r>
                          </w:p>
                          <w:p w14:paraId="13728481" w14:textId="77777777" w:rsidR="007B1B24" w:rsidRPr="00F85372" w:rsidRDefault="007B1B24" w:rsidP="007B1B24">
                            <w:pPr>
                              <w:jc w:val="center"/>
                            </w:pPr>
                          </w:p>
                          <w:p w14:paraId="2B51F526" w14:textId="77777777" w:rsidR="007B1B24" w:rsidRPr="00F85372" w:rsidRDefault="007B1B24" w:rsidP="007B1B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E433FB8" id="Rectangle 12" o:spid="_x0000_s1029" style="position:absolute;left:0;text-align:left;margin-left:285.1pt;margin-top:4.35pt;width:169.35pt;height:24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" fillcolor="white [3201]" strokecolor="black [3200]" strokeweight="2.25pt">
                <v:textbox>
                  <w:txbxContent>
                    <w:p w14:paraId="030015FC" w14:textId="77777777" w:rsidR="007B1B24" w:rsidRPr="005062BF" w:rsidRDefault="007B1B24" w:rsidP="007B1B24">
                      <w:pPr>
                        <w:jc w:val="center"/>
                        <w:rPr>
                          <w:rFonts w:ascii="Cambria" w:hAnsi="Cambria" w:cs="Times New Roman"/>
                          <w:b/>
                          <w:bCs/>
                          <w:sz w:val="24"/>
                          <w:szCs w:val="24"/>
                        </w:rPr>
                      </w:pPr>
                      <w:r w:rsidRPr="005062BF">
                        <w:rPr>
                          <w:rFonts w:ascii="Cambria" w:hAnsi="Cambria" w:cs="Times New Roman"/>
                          <w:b/>
                          <w:bCs/>
                          <w:sz w:val="24"/>
                          <w:szCs w:val="24"/>
                        </w:rPr>
                        <w:t>Classroom Management</w:t>
                      </w:r>
                    </w:p>
                    <w:p w14:paraId="3558078A"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Setting Arrangement</w:t>
                      </w:r>
                    </w:p>
                    <w:p w14:paraId="0D260C4F"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Student Teacher Relationship</w:t>
                      </w:r>
                    </w:p>
                    <w:p w14:paraId="07B2EEA5"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Time Management</w:t>
                      </w:r>
                    </w:p>
                    <w:p w14:paraId="7679EF67"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Use of Writing Board</w:t>
                      </w:r>
                    </w:p>
                    <w:p w14:paraId="3EE23CDA"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Classroom Norms</w:t>
                      </w:r>
                    </w:p>
                    <w:p w14:paraId="0845498C"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Conducive Environment</w:t>
                      </w:r>
                    </w:p>
                    <w:p w14:paraId="652324DF"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Appropriate Instructional Techniques</w:t>
                      </w:r>
                    </w:p>
                    <w:p w14:paraId="104A74E1" w14:textId="77777777" w:rsidR="007B1B24" w:rsidRPr="00F85372" w:rsidRDefault="007B1B24" w:rsidP="007B1B24">
                      <w:pPr>
                        <w:pStyle w:val="ListParagraph"/>
                        <w:widowControl w:val="0"/>
                        <w:numPr>
                          <w:ilvl w:val="0"/>
                          <w:numId w:val="4"/>
                        </w:numPr>
                        <w:spacing w:after="0" w:line="240" w:lineRule="auto"/>
                        <w:rPr>
                          <w:rFonts w:ascii="Cambria" w:hAnsi="Cambria" w:cs="Times New Roman"/>
                          <w:sz w:val="24"/>
                          <w:szCs w:val="24"/>
                        </w:rPr>
                      </w:pPr>
                      <w:r w:rsidRPr="00F85372">
                        <w:rPr>
                          <w:rFonts w:ascii="Cambria" w:hAnsi="Cambria" w:cs="Times New Roman"/>
                          <w:sz w:val="24"/>
                          <w:szCs w:val="24"/>
                        </w:rPr>
                        <w:t>Feedback</w:t>
                      </w:r>
                    </w:p>
                    <w:p w14:paraId="13728481" w14:textId="77777777" w:rsidR="007B1B24" w:rsidRPr="00F85372" w:rsidRDefault="007B1B24" w:rsidP="007B1B24">
                      <w:pPr>
                        <w:jc w:val="center"/>
                      </w:pPr>
                    </w:p>
                    <w:p w14:paraId="2B51F526" w14:textId="77777777" w:rsidR="007B1B24" w:rsidRPr="00F85372" w:rsidRDefault="007B1B24" w:rsidP="007B1B24">
                      <w:pPr>
                        <w:jc w:val="center"/>
                      </w:pPr>
                    </w:p>
                  </w:txbxContent>
                </v:textbox>
                <w10:wrap anchorx="margin"/>
              </v:rect>
            </w:pict>
          </mc:Fallback>
        </mc:AlternateContent>
      </w:r>
    </w:p>
    <w:p w14:paraId="51D7C8F4" w14:textId="55437206" w:rsidR="007B1B24" w:rsidRPr="00211C9D" w:rsidRDefault="00DA300B" w:rsidP="007B1B24">
      <w:pPr>
        <w:spacing w:line="480" w:lineRule="auto"/>
        <w:ind w:firstLine="720"/>
        <w:jc w:val="both"/>
        <w:rPr>
          <w:rFonts w:cs="Times New Roman"/>
          <w:sz w:val="24"/>
          <w:szCs w:val="24"/>
        </w:rPr>
      </w:pPr>
      <w:r w:rsidRPr="00211C9D">
        <w:rPr>
          <w:rFonts w:cs="Times New Roman"/>
          <w:b/>
          <w:i/>
          <w:noProof/>
          <w:sz w:val="24"/>
          <w:szCs w:val="24"/>
        </w:rPr>
        <mc:AlternateContent>
          <mc:Choice Requires="wpg">
            <w:drawing>
              <wp:anchor distT="0" distB="0" distL="114300" distR="114300" simplePos="0" relativeHeight="251662336" behindDoc="0" locked="0" layoutInCell="1" allowOverlap="1" wp14:anchorId="032AB2DF" wp14:editId="7DB1D92E">
                <wp:simplePos x="0" y="0"/>
                <wp:positionH relativeFrom="column">
                  <wp:posOffset>2320843</wp:posOffset>
                </wp:positionH>
                <wp:positionV relativeFrom="paragraph">
                  <wp:posOffset>9318</wp:posOffset>
                </wp:positionV>
                <wp:extent cx="1336876" cy="2039129"/>
                <wp:effectExtent l="0" t="0" r="34925" b="18415"/>
                <wp:wrapNone/>
                <wp:docPr id="9" name="Group 9"/>
                <wp:cNvGraphicFramePr/>
                <a:graphic xmlns:a="http://schemas.openxmlformats.org/drawingml/2006/main">
                  <a:graphicData uri="http://schemas.microsoft.com/office/word/2010/wordprocessingGroup">
                    <wpg:wgp>
                      <wpg:cNvGrpSpPr/>
                      <wpg:grpSpPr>
                        <a:xfrm>
                          <a:off x="0" y="0"/>
                          <a:ext cx="1336876" cy="2039129"/>
                          <a:chOff x="0" y="0"/>
                          <a:chExt cx="1113361" cy="2975764"/>
                        </a:xfrm>
                      </wpg:grpSpPr>
                      <wps:wsp>
                        <wps:cNvPr id="3" name="Right Bracket 3"/>
                        <wps:cNvSpPr/>
                        <wps:spPr>
                          <a:xfrm>
                            <a:off x="0" y="0"/>
                            <a:ext cx="515703" cy="2975764"/>
                          </a:xfrm>
                          <a:prstGeom prst="rightBracket">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520995" y="1384004"/>
                            <a:ext cx="592366"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93CFB6A" id="Group 9" o:spid="_x0000_s1026" style="position:absolute;margin-left:182.75pt;margin-top:.75pt;width:105.25pt;height:160.55pt;z-index:251662336;mso-width-relative:margin;mso-height-relative:margin" coordsize="11133,29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7" type="#_x0000_t86" style="position:absolute;width:5157;height:29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" adj="312" strokecolor="black [3200]" strokeweight="1.5pt">
                  <v:stroke joinstyle="miter"/>
                </v:shape>
                <v:shapetype id="_x0000_t32" coordsize="21600,21600" o:spt="32" o:oned="t" path="m,l21600,21600e" filled="f">
                  <v:path arrowok="t" fillok="f" o:connecttype="none"/>
                  <o:lock v:ext="edit" shapetype="t"/>
                </v:shapetype>
                <v:shape id="Straight Arrow Connector 8" o:spid="_x0000_s1028" type="#_x0000_t32" style="position:absolute;left:5209;top:13840;width:59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" strokecolor="black [3200]" strokeweight="1.5pt">
                  <v:stroke endarrow="block" joinstyle="miter"/>
                </v:shape>
              </v:group>
            </w:pict>
          </mc:Fallback>
        </mc:AlternateContent>
      </w:r>
    </w:p>
    <w:p w14:paraId="5E4527C2" w14:textId="77777777" w:rsidR="007B1B24" w:rsidRPr="00211C9D" w:rsidRDefault="007B1B24" w:rsidP="007B1B24">
      <w:pPr>
        <w:spacing w:line="480" w:lineRule="auto"/>
        <w:jc w:val="both"/>
        <w:rPr>
          <w:rFonts w:cs="Times New Roman"/>
          <w:sz w:val="24"/>
          <w:szCs w:val="24"/>
        </w:rPr>
      </w:pPr>
    </w:p>
    <w:p w14:paraId="1E1325A1" w14:textId="77777777" w:rsidR="007B1B24" w:rsidRPr="00211C9D" w:rsidRDefault="007B1B24" w:rsidP="007B1B24">
      <w:pPr>
        <w:spacing w:line="480" w:lineRule="auto"/>
        <w:rPr>
          <w:rFonts w:cs="Times New Roman"/>
          <w:sz w:val="24"/>
          <w:szCs w:val="24"/>
        </w:rPr>
      </w:pPr>
      <w:r w:rsidRPr="00211C9D">
        <w:rPr>
          <w:rFonts w:cs="Times New Roman"/>
          <w:b/>
          <w:i/>
          <w:noProof/>
          <w:sz w:val="24"/>
          <w:szCs w:val="24"/>
        </w:rPr>
        <mc:AlternateContent>
          <mc:Choice Requires="wps">
            <w:drawing>
              <wp:anchor distT="0" distB="0" distL="114300" distR="114300" simplePos="0" relativeHeight="251660288" behindDoc="0" locked="0" layoutInCell="1" allowOverlap="1" wp14:anchorId="209813DE" wp14:editId="28529100">
                <wp:simplePos x="0" y="0"/>
                <wp:positionH relativeFrom="margin">
                  <wp:posOffset>69850</wp:posOffset>
                </wp:positionH>
                <wp:positionV relativeFrom="paragraph">
                  <wp:posOffset>22225</wp:posOffset>
                </wp:positionV>
                <wp:extent cx="2249588" cy="2736850"/>
                <wp:effectExtent l="19050" t="19050" r="17780" b="25400"/>
                <wp:wrapNone/>
                <wp:docPr id="7" name="Rectangle 7"/>
                <wp:cNvGraphicFramePr/>
                <a:graphic xmlns:a="http://schemas.openxmlformats.org/drawingml/2006/main">
                  <a:graphicData uri="http://schemas.microsoft.com/office/word/2010/wordprocessingShape">
                    <wps:wsp>
                      <wps:cNvSpPr/>
                      <wps:spPr>
                        <a:xfrm>
                          <a:off x="0" y="0"/>
                          <a:ext cx="2249588" cy="27368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7E0132AD" w14:textId="77777777" w:rsidR="007B1B24" w:rsidRPr="005062BF" w:rsidRDefault="007B1B24" w:rsidP="007B1B24">
                            <w:pPr>
                              <w:jc w:val="center"/>
                              <w:rPr>
                                <w:rFonts w:ascii="Cambria" w:hAnsi="Cambria" w:cs="Times New Roman"/>
                                <w:b/>
                                <w:bCs/>
                                <w:sz w:val="24"/>
                                <w:szCs w:val="24"/>
                              </w:rPr>
                            </w:pPr>
                            <w:r w:rsidRPr="005062BF">
                              <w:rPr>
                                <w:rFonts w:ascii="Cambria" w:hAnsi="Cambria" w:cs="Times New Roman"/>
                                <w:b/>
                                <w:bCs/>
                                <w:sz w:val="24"/>
                                <w:szCs w:val="24"/>
                              </w:rPr>
                              <w:t>Teacher Professional Development</w:t>
                            </w:r>
                          </w:p>
                          <w:p w14:paraId="0F020DD7"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Active Learning in Classroom</w:t>
                            </w:r>
                          </w:p>
                          <w:p w14:paraId="5CD9A661"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Active Learning Beyond Classroom</w:t>
                            </w:r>
                          </w:p>
                          <w:p w14:paraId="24D0B6B3"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Teachers’ Content Knowledge</w:t>
                            </w:r>
                          </w:p>
                          <w:p w14:paraId="75FDB43C"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 xml:space="preserve">Teachers’ Needs and Circumstances </w:t>
                            </w:r>
                          </w:p>
                          <w:p w14:paraId="20F85F61"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Collective Participation</w:t>
                            </w:r>
                          </w:p>
                          <w:p w14:paraId="736FD032"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Duration</w:t>
                            </w:r>
                          </w:p>
                          <w:p w14:paraId="239304B4" w14:textId="77777777" w:rsidR="007B1B24" w:rsidRDefault="007B1B24" w:rsidP="007B1B24">
                            <w:pPr>
                              <w:pStyle w:val="ListParagraph"/>
                              <w:rPr>
                                <w:rFonts w:ascii="Arial" w:hAnsi="Arial" w:cs="Arial"/>
                                <w:sz w:val="24"/>
                                <w:szCs w:val="24"/>
                              </w:rPr>
                            </w:pPr>
                          </w:p>
                          <w:p w14:paraId="5A282EA7" w14:textId="77777777" w:rsidR="007B1B24" w:rsidRPr="002863C0" w:rsidRDefault="007B1B24" w:rsidP="007B1B24">
                            <w:pPr>
                              <w:rPr>
                                <w:rFonts w:ascii="Arial" w:hAnsi="Arial" w:cs="Arial"/>
                                <w:sz w:val="24"/>
                                <w:szCs w:val="24"/>
                              </w:rPr>
                            </w:pPr>
                          </w:p>
                          <w:p w14:paraId="52929E86" w14:textId="77777777" w:rsidR="007B1B24" w:rsidRPr="00816C3B" w:rsidRDefault="007B1B24" w:rsidP="007B1B24">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09813DE" id="Rectangle 7" o:spid="_x0000_s1030" style="position:absolute;margin-left:5.5pt;margin-top:1.75pt;width:177.15pt;height:21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" fillcolor="white [3201]" strokecolor="black [3200]" strokeweight="2.25pt">
                <v:textbox>
                  <w:txbxContent>
                    <w:p w14:paraId="7E0132AD" w14:textId="77777777" w:rsidR="007B1B24" w:rsidRPr="005062BF" w:rsidRDefault="007B1B24" w:rsidP="007B1B24">
                      <w:pPr>
                        <w:jc w:val="center"/>
                        <w:rPr>
                          <w:rFonts w:ascii="Cambria" w:hAnsi="Cambria" w:cs="Times New Roman"/>
                          <w:b/>
                          <w:bCs/>
                          <w:sz w:val="24"/>
                          <w:szCs w:val="24"/>
                        </w:rPr>
                      </w:pPr>
                      <w:r w:rsidRPr="005062BF">
                        <w:rPr>
                          <w:rFonts w:ascii="Cambria" w:hAnsi="Cambria" w:cs="Times New Roman"/>
                          <w:b/>
                          <w:bCs/>
                          <w:sz w:val="24"/>
                          <w:szCs w:val="24"/>
                        </w:rPr>
                        <w:t>Teacher Professional Development</w:t>
                      </w:r>
                    </w:p>
                    <w:p w14:paraId="0F020DD7"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Active Learning in Classroom</w:t>
                      </w:r>
                    </w:p>
                    <w:p w14:paraId="5CD9A661"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Active Learning Beyond Classroom</w:t>
                      </w:r>
                    </w:p>
                    <w:p w14:paraId="24D0B6B3"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Teachers’ Content Knowledge</w:t>
                      </w:r>
                    </w:p>
                    <w:p w14:paraId="75FDB43C"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 xml:space="preserve">Teachers’ Needs and Circumstances </w:t>
                      </w:r>
                    </w:p>
                    <w:p w14:paraId="20F85F61"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Collective Participation</w:t>
                      </w:r>
                    </w:p>
                    <w:p w14:paraId="736FD032" w14:textId="77777777" w:rsidR="007B1B24" w:rsidRPr="001D531B" w:rsidRDefault="007B1B24" w:rsidP="007B1B24">
                      <w:pPr>
                        <w:pStyle w:val="ListParagraph"/>
                        <w:numPr>
                          <w:ilvl w:val="0"/>
                          <w:numId w:val="3"/>
                        </w:numPr>
                        <w:rPr>
                          <w:rFonts w:ascii="Cambria" w:hAnsi="Cambria" w:cs="Times New Roman"/>
                          <w:sz w:val="24"/>
                          <w:szCs w:val="24"/>
                        </w:rPr>
                      </w:pPr>
                      <w:r w:rsidRPr="001D531B">
                        <w:rPr>
                          <w:rFonts w:ascii="Cambria" w:hAnsi="Cambria" w:cs="Times New Roman"/>
                          <w:sz w:val="24"/>
                          <w:szCs w:val="24"/>
                        </w:rPr>
                        <w:t>Duration</w:t>
                      </w:r>
                    </w:p>
                    <w:p w14:paraId="239304B4" w14:textId="77777777" w:rsidR="007B1B24" w:rsidRDefault="007B1B24" w:rsidP="007B1B24">
                      <w:pPr>
                        <w:pStyle w:val="ListParagraph"/>
                        <w:rPr>
                          <w:rFonts w:ascii="Arial" w:hAnsi="Arial" w:cs="Arial"/>
                          <w:sz w:val="24"/>
                          <w:szCs w:val="24"/>
                        </w:rPr>
                      </w:pPr>
                    </w:p>
                    <w:p w14:paraId="5A282EA7" w14:textId="77777777" w:rsidR="007B1B24" w:rsidRPr="002863C0" w:rsidRDefault="007B1B24" w:rsidP="007B1B24">
                      <w:pPr>
                        <w:rPr>
                          <w:rFonts w:ascii="Arial" w:hAnsi="Arial" w:cs="Arial"/>
                          <w:sz w:val="24"/>
                          <w:szCs w:val="24"/>
                        </w:rPr>
                      </w:pPr>
                    </w:p>
                    <w:p w14:paraId="52929E86" w14:textId="77777777" w:rsidR="007B1B24" w:rsidRPr="00816C3B" w:rsidRDefault="007B1B24" w:rsidP="007B1B24">
                      <w:pPr>
                        <w:jc w:val="center"/>
                        <w:rPr>
                          <w:rFonts w:ascii="Arial" w:hAnsi="Arial" w:cs="Arial"/>
                          <w:sz w:val="24"/>
                          <w:szCs w:val="24"/>
                        </w:rPr>
                      </w:pPr>
                    </w:p>
                  </w:txbxContent>
                </v:textbox>
                <w10:wrap anchorx="margin"/>
              </v:rect>
            </w:pict>
          </mc:Fallback>
        </mc:AlternateContent>
      </w:r>
    </w:p>
    <w:p w14:paraId="5F975765" w14:textId="77777777" w:rsidR="007B1B24" w:rsidRPr="00211C9D" w:rsidRDefault="007B1B24" w:rsidP="007B1B24">
      <w:pPr>
        <w:tabs>
          <w:tab w:val="left" w:pos="3116"/>
        </w:tabs>
        <w:jc w:val="both"/>
        <w:rPr>
          <w:rFonts w:cs="Times New Roman"/>
          <w:color w:val="000000" w:themeColor="text1"/>
          <w:sz w:val="24"/>
          <w:szCs w:val="24"/>
        </w:rPr>
      </w:pPr>
    </w:p>
    <w:p w14:paraId="4C00A996" w14:textId="77777777" w:rsidR="007B1B24" w:rsidRPr="00211C9D" w:rsidRDefault="007B1B24" w:rsidP="007B1B24">
      <w:pPr>
        <w:tabs>
          <w:tab w:val="left" w:pos="3116"/>
        </w:tabs>
        <w:jc w:val="both"/>
        <w:rPr>
          <w:rFonts w:cs="Times New Roman"/>
          <w:color w:val="000000" w:themeColor="text1"/>
          <w:sz w:val="24"/>
          <w:szCs w:val="24"/>
        </w:rPr>
      </w:pPr>
    </w:p>
    <w:p w14:paraId="5076CEE9" w14:textId="77777777" w:rsidR="007B1B24" w:rsidRDefault="007B1B24" w:rsidP="007B1B24">
      <w:pPr>
        <w:pStyle w:val="Heading1"/>
        <w:spacing w:before="91"/>
        <w:ind w:left="0" w:right="3"/>
        <w:jc w:val="left"/>
        <w:rPr>
          <w:spacing w:val="-2"/>
        </w:rPr>
      </w:pPr>
    </w:p>
    <w:p w14:paraId="78EC9E4D" w14:textId="77777777" w:rsidR="007B1B24" w:rsidRDefault="007B1B24" w:rsidP="007B1B24">
      <w:pPr>
        <w:pStyle w:val="Heading1"/>
        <w:spacing w:before="91"/>
        <w:ind w:left="0" w:right="3"/>
        <w:jc w:val="left"/>
        <w:rPr>
          <w:spacing w:val="-2"/>
        </w:rPr>
      </w:pPr>
    </w:p>
    <w:p w14:paraId="2881F220" w14:textId="77777777" w:rsidR="007B1B24" w:rsidRPr="00211C9D" w:rsidRDefault="007B1B24" w:rsidP="007B1B24">
      <w:pPr>
        <w:pStyle w:val="Heading1"/>
        <w:spacing w:before="91"/>
        <w:ind w:left="0" w:right="3"/>
        <w:jc w:val="left"/>
        <w:rPr>
          <w:spacing w:val="-2"/>
        </w:rPr>
      </w:pPr>
    </w:p>
    <w:p w14:paraId="1C327CBC" w14:textId="77777777" w:rsidR="007B1B24" w:rsidRDefault="007B1B24" w:rsidP="007B1B24">
      <w:pPr>
        <w:pStyle w:val="Heading1"/>
        <w:spacing w:before="91"/>
        <w:ind w:right="3"/>
        <w:rPr>
          <w:spacing w:val="-2"/>
        </w:rPr>
      </w:pPr>
    </w:p>
    <w:p w14:paraId="57E7FA3C" w14:textId="77777777" w:rsidR="007B1B24" w:rsidRDefault="007B1B24" w:rsidP="007B1B24">
      <w:pPr>
        <w:pStyle w:val="Heading1"/>
        <w:spacing w:before="91"/>
        <w:ind w:right="3"/>
        <w:rPr>
          <w:spacing w:val="-2"/>
        </w:rPr>
      </w:pPr>
    </w:p>
    <w:p w14:paraId="7977A3A3" w14:textId="77777777" w:rsidR="007B1B24" w:rsidRDefault="007B1B24" w:rsidP="007B1B24">
      <w:pPr>
        <w:pStyle w:val="Heading1"/>
        <w:spacing w:before="91"/>
        <w:ind w:right="3"/>
        <w:rPr>
          <w:spacing w:val="-2"/>
        </w:rPr>
      </w:pPr>
    </w:p>
    <w:p w14:paraId="6BA3117F" w14:textId="77777777" w:rsidR="007B1B24" w:rsidRPr="004A5FD4" w:rsidRDefault="007B1B24" w:rsidP="007F58FF">
      <w:pPr>
        <w:rPr>
          <w:rFonts w:ascii="Cambria" w:hAnsi="Cambria"/>
          <w:b/>
          <w:bCs/>
          <w:sz w:val="32"/>
          <w:szCs w:val="32"/>
        </w:rPr>
      </w:pPr>
    </w:p>
    <w:p w14:paraId="3277A2F0" w14:textId="4C7D0536" w:rsidR="00706D27" w:rsidRDefault="004A5FD4" w:rsidP="00964F3C">
      <w:pPr>
        <w:jc w:val="center"/>
        <w:rPr>
          <w:rFonts w:ascii="Cambria" w:hAnsi="Cambria"/>
          <w:b/>
          <w:bCs/>
          <w:sz w:val="32"/>
          <w:szCs w:val="32"/>
        </w:rPr>
      </w:pPr>
      <w:r w:rsidRPr="004A5FD4">
        <w:rPr>
          <w:rFonts w:ascii="Cambria" w:hAnsi="Cambria" w:cs="Times New Roman"/>
          <w:color w:val="000000"/>
          <w:sz w:val="24"/>
          <w:szCs w:val="24"/>
        </w:rPr>
        <w:t>Figure 1. Conceptual Framework</w:t>
      </w:r>
    </w:p>
    <w:p w14:paraId="733DCFA4" w14:textId="77777777" w:rsidR="00964F3C" w:rsidRDefault="00964F3C" w:rsidP="00964F3C">
      <w:pPr>
        <w:jc w:val="center"/>
        <w:rPr>
          <w:rFonts w:ascii="Cambria" w:hAnsi="Cambria"/>
          <w:b/>
          <w:bCs/>
          <w:sz w:val="32"/>
          <w:szCs w:val="32"/>
        </w:rPr>
      </w:pPr>
    </w:p>
    <w:p w14:paraId="5E8B4574" w14:textId="4FB3740B" w:rsidR="001D3BA0" w:rsidRPr="001B006E" w:rsidRDefault="001D3BA0" w:rsidP="001D3BA0">
      <w:pPr>
        <w:jc w:val="center"/>
        <w:rPr>
          <w:rFonts w:ascii="Cambria" w:hAnsi="Cambria"/>
          <w:b/>
          <w:bCs/>
          <w:sz w:val="32"/>
          <w:szCs w:val="32"/>
        </w:rPr>
      </w:pPr>
      <w:r w:rsidRPr="001B006E">
        <w:rPr>
          <w:rFonts w:ascii="Cambria" w:hAnsi="Cambria"/>
          <w:b/>
          <w:bCs/>
          <w:sz w:val="32"/>
          <w:szCs w:val="32"/>
        </w:rPr>
        <w:t>METHODOLOGY</w:t>
      </w:r>
    </w:p>
    <w:p w14:paraId="1FF45CDE" w14:textId="77777777" w:rsidR="001D3BA0" w:rsidRPr="001207F5" w:rsidRDefault="001D3BA0" w:rsidP="001D3BA0">
      <w:pPr>
        <w:ind w:firstLine="720"/>
        <w:jc w:val="both"/>
        <w:rPr>
          <w:rFonts w:ascii="Cambria" w:hAnsi="Cambria"/>
          <w:sz w:val="24"/>
          <w:szCs w:val="24"/>
        </w:rPr>
      </w:pPr>
      <w:r w:rsidRPr="001207F5">
        <w:rPr>
          <w:rFonts w:ascii="Cambria" w:hAnsi="Cambria"/>
          <w:sz w:val="24"/>
          <w:szCs w:val="24"/>
        </w:rPr>
        <w:lastRenderedPageBreak/>
        <w:t>This section presents the research design, study locale, sample, and sampling technique, data-gathering procedure, data analysis technique, and ethical considerations.</w:t>
      </w:r>
    </w:p>
    <w:p w14:paraId="7C9B6F6F" w14:textId="77777777" w:rsidR="001D3BA0" w:rsidRPr="001207F5" w:rsidRDefault="001D3BA0" w:rsidP="001D3BA0">
      <w:pPr>
        <w:jc w:val="both"/>
        <w:rPr>
          <w:rFonts w:ascii="Cambria" w:hAnsi="Cambria"/>
          <w:b/>
          <w:bCs/>
          <w:sz w:val="24"/>
          <w:szCs w:val="24"/>
        </w:rPr>
      </w:pPr>
      <w:r w:rsidRPr="001207F5">
        <w:rPr>
          <w:rFonts w:ascii="Cambria" w:hAnsi="Cambria"/>
          <w:b/>
          <w:bCs/>
          <w:sz w:val="24"/>
          <w:szCs w:val="24"/>
        </w:rPr>
        <w:t>Research Design</w:t>
      </w:r>
    </w:p>
    <w:p w14:paraId="720EFDC4" w14:textId="70022FA9" w:rsidR="001D3BA0" w:rsidRPr="00F72D51" w:rsidRDefault="00F72D51" w:rsidP="001D3BA0">
      <w:pPr>
        <w:ind w:firstLine="720"/>
        <w:jc w:val="both"/>
        <w:rPr>
          <w:rFonts w:ascii="Cambria" w:hAnsi="Cambria"/>
          <w:sz w:val="28"/>
          <w:szCs w:val="28"/>
        </w:rPr>
      </w:pPr>
      <w:r w:rsidRPr="00F72D51">
        <w:rPr>
          <w:rFonts w:ascii="Cambria" w:hAnsi="Cambria"/>
          <w:sz w:val="28"/>
          <w:szCs w:val="28"/>
        </w:rPr>
        <w:t xml:space="preserve"> </w:t>
      </w:r>
      <w:r w:rsidRPr="00F72D51">
        <w:rPr>
          <w:rFonts w:ascii="Cambria" w:hAnsi="Cambria"/>
          <w:sz w:val="24"/>
          <w:szCs w:val="24"/>
        </w:rPr>
        <w:t xml:space="preserve">The study used a diagnostic research design. According to </w:t>
      </w:r>
      <w:proofErr w:type="spellStart"/>
      <w:r w:rsidRPr="00F72D51">
        <w:rPr>
          <w:rFonts w:ascii="Cambria" w:hAnsi="Cambria"/>
          <w:sz w:val="24"/>
          <w:szCs w:val="24"/>
        </w:rPr>
        <w:t>Satpathy</w:t>
      </w:r>
      <w:proofErr w:type="spellEnd"/>
      <w:r w:rsidRPr="00F72D51">
        <w:rPr>
          <w:rFonts w:ascii="Cambria" w:hAnsi="Cambria"/>
          <w:sz w:val="24"/>
          <w:szCs w:val="24"/>
        </w:rPr>
        <w:t xml:space="preserve"> et al. (2023), this design assesses the occurrence of a phenomenon and examines its relationships with other variables in order to identify possible underlying causes of a problem. This design is appropriate for the study since it aims to determine how principal neglect and teacher professional development are associated with classroom management and to diagnose which factors significantly influence it.</w:t>
      </w:r>
    </w:p>
    <w:p w14:paraId="442A3F90" w14:textId="77777777" w:rsidR="001D3BA0" w:rsidRPr="001207F5" w:rsidRDefault="001D3BA0" w:rsidP="001D3BA0">
      <w:pPr>
        <w:jc w:val="both"/>
        <w:rPr>
          <w:rFonts w:ascii="Cambria" w:hAnsi="Cambria"/>
          <w:b/>
          <w:bCs/>
          <w:sz w:val="24"/>
          <w:szCs w:val="24"/>
        </w:rPr>
      </w:pPr>
      <w:r w:rsidRPr="001207F5">
        <w:rPr>
          <w:rFonts w:ascii="Cambria" w:hAnsi="Cambria"/>
          <w:b/>
          <w:bCs/>
          <w:sz w:val="24"/>
          <w:szCs w:val="24"/>
        </w:rPr>
        <w:t>Locale of the Study</w:t>
      </w:r>
    </w:p>
    <w:p w14:paraId="23D55ECA" w14:textId="1DF1C46D" w:rsidR="001D3BA0" w:rsidRPr="001207F5" w:rsidRDefault="001D3BA0" w:rsidP="001D3BA0">
      <w:pPr>
        <w:ind w:firstLine="720"/>
        <w:jc w:val="both"/>
        <w:rPr>
          <w:rFonts w:ascii="Cambria" w:hAnsi="Cambria"/>
          <w:sz w:val="24"/>
          <w:szCs w:val="24"/>
        </w:rPr>
      </w:pPr>
      <w:r w:rsidRPr="001207F5">
        <w:rPr>
          <w:rFonts w:ascii="Cambria" w:hAnsi="Cambria"/>
          <w:sz w:val="24"/>
          <w:szCs w:val="24"/>
        </w:rPr>
        <w:t xml:space="preserve">The </w:t>
      </w:r>
      <w:r>
        <w:rPr>
          <w:rFonts w:ascii="Cambria" w:hAnsi="Cambria"/>
          <w:sz w:val="24"/>
          <w:szCs w:val="24"/>
        </w:rPr>
        <w:t xml:space="preserve">researcher </w:t>
      </w:r>
      <w:r w:rsidRPr="001207F5">
        <w:rPr>
          <w:rFonts w:ascii="Cambria" w:hAnsi="Cambria"/>
          <w:sz w:val="24"/>
          <w:szCs w:val="24"/>
        </w:rPr>
        <w:t>conducted</w:t>
      </w:r>
      <w:r>
        <w:rPr>
          <w:rFonts w:ascii="Cambria" w:hAnsi="Cambria"/>
          <w:sz w:val="24"/>
          <w:szCs w:val="24"/>
        </w:rPr>
        <w:t xml:space="preserve"> the study</w:t>
      </w:r>
      <w:r w:rsidRPr="001207F5">
        <w:rPr>
          <w:rFonts w:ascii="Cambria" w:hAnsi="Cambria"/>
          <w:sz w:val="24"/>
          <w:szCs w:val="24"/>
        </w:rPr>
        <w:t xml:space="preserve"> in the Central District of the Department of Education (DepEd) Division of Tagum City, situated in the urban </w:t>
      </w:r>
      <w:r w:rsidR="00497C58" w:rsidRPr="001207F5">
        <w:rPr>
          <w:rFonts w:ascii="Cambria" w:hAnsi="Cambria"/>
          <w:sz w:val="24"/>
          <w:szCs w:val="24"/>
        </w:rPr>
        <w:t>center</w:t>
      </w:r>
      <w:r w:rsidRPr="001207F5">
        <w:rPr>
          <w:rFonts w:ascii="Cambria" w:hAnsi="Cambria"/>
          <w:sz w:val="24"/>
          <w:szCs w:val="24"/>
        </w:rPr>
        <w:t xml:space="preserve"> of Tagum City. The district consists of several public elementary schools that serve learners from diverse socioeconomic backgrounds and implement early childhood education programs from kindergarten to Grade 3. The researcher selected five (5) public elementary schools as research sites, where teachers are permanently employed and actively engaged in classroom instruction and professional development.</w:t>
      </w:r>
    </w:p>
    <w:p w14:paraId="4BA23F4D" w14:textId="55D58020" w:rsidR="001D3BA0" w:rsidRDefault="001D3BA0" w:rsidP="001D3BA0">
      <w:pPr>
        <w:jc w:val="both"/>
        <w:rPr>
          <w:rFonts w:ascii="Cambria" w:hAnsi="Cambria"/>
          <w:b/>
          <w:bCs/>
          <w:sz w:val="24"/>
          <w:szCs w:val="24"/>
        </w:rPr>
      </w:pPr>
      <w:r w:rsidRPr="001207F5">
        <w:rPr>
          <w:rFonts w:ascii="Cambria" w:hAnsi="Cambria"/>
          <w:b/>
          <w:bCs/>
          <w:sz w:val="24"/>
          <w:szCs w:val="24"/>
        </w:rPr>
        <w:t xml:space="preserve">Sample and Sampling </w:t>
      </w:r>
      <w:r w:rsidRPr="001207F5">
        <w:rPr>
          <w:rFonts w:ascii="Cambria" w:hAnsi="Cambria"/>
          <w:b/>
          <w:bCs/>
          <w:sz w:val="24"/>
          <w:szCs w:val="24"/>
        </w:rPr>
        <w:tab/>
      </w:r>
    </w:p>
    <w:p w14:paraId="7AA135DF" w14:textId="05D24D15" w:rsidR="00E14453" w:rsidRPr="002065C5" w:rsidRDefault="00E14453" w:rsidP="002065C5">
      <w:pPr>
        <w:pStyle w:val="NormalWeb"/>
        <w:ind w:firstLine="720"/>
        <w:jc w:val="both"/>
      </w:pPr>
      <w:r>
        <w:t>The study initially involved 198 Kindergarten to Grade 3 public elementary teachers handling early childhood education for School Year 2025–2026. However, only 180 teachers participated and completed the survey, resulting in a 91% response rate. These respondents held permanent positions and were included through total enumeration sampling. According to the Australian Bureau of Statistics (2023), total enumeration involves collecting data from all members of a population, although actual responses may vary due to participation rates, as reflected in this study.</w:t>
      </w:r>
    </w:p>
    <w:p w14:paraId="40244E44" w14:textId="77777777" w:rsidR="001D3BA0" w:rsidRPr="001207F5" w:rsidRDefault="001D3BA0" w:rsidP="001D3BA0">
      <w:pPr>
        <w:jc w:val="both"/>
        <w:rPr>
          <w:rFonts w:ascii="Cambria" w:hAnsi="Cambria"/>
          <w:b/>
          <w:bCs/>
          <w:sz w:val="24"/>
          <w:szCs w:val="24"/>
        </w:rPr>
      </w:pPr>
      <w:r w:rsidRPr="001207F5">
        <w:rPr>
          <w:rFonts w:ascii="Cambria" w:hAnsi="Cambria"/>
          <w:b/>
          <w:bCs/>
          <w:sz w:val="24"/>
          <w:szCs w:val="24"/>
        </w:rPr>
        <w:t>Data Gathering Technique</w:t>
      </w:r>
    </w:p>
    <w:p w14:paraId="4BDB5DB2" w14:textId="021F6091" w:rsidR="001D3BA0" w:rsidRPr="001207F5" w:rsidRDefault="001D3BA0" w:rsidP="001D3BA0">
      <w:pPr>
        <w:ind w:firstLine="720"/>
        <w:jc w:val="both"/>
        <w:rPr>
          <w:rFonts w:ascii="Cambria" w:hAnsi="Cambria"/>
          <w:b/>
          <w:bCs/>
          <w:sz w:val="24"/>
          <w:szCs w:val="24"/>
        </w:rPr>
      </w:pPr>
      <w:r w:rsidRPr="001207F5">
        <w:rPr>
          <w:rFonts w:ascii="Cambria" w:hAnsi="Cambria"/>
          <w:sz w:val="24"/>
          <w:szCs w:val="24"/>
        </w:rPr>
        <w:t xml:space="preserve">In this study, the researcher employed surveys as the primary data collection method. </w:t>
      </w:r>
      <w:r w:rsidRPr="00A37300">
        <w:rPr>
          <w:rFonts w:ascii="Cambria" w:hAnsi="Cambria"/>
          <w:sz w:val="24"/>
          <w:szCs w:val="24"/>
        </w:rPr>
        <w:t>According to Goodfellow (2023), surveys collect data from participants using structured questionnaires or interviews.</w:t>
      </w:r>
      <w:r w:rsidRPr="001207F5">
        <w:rPr>
          <w:rFonts w:ascii="Cambria" w:hAnsi="Cambria"/>
          <w:sz w:val="24"/>
          <w:szCs w:val="24"/>
        </w:rPr>
        <w:t xml:space="preserve"> Researchers can administer surveys to either a sample or the entire population and </w:t>
      </w:r>
      <w:r w:rsidR="00497C58" w:rsidRPr="001207F5">
        <w:rPr>
          <w:rFonts w:ascii="Cambria" w:hAnsi="Cambria"/>
          <w:sz w:val="24"/>
          <w:szCs w:val="24"/>
        </w:rPr>
        <w:t>analyze</w:t>
      </w:r>
      <w:r w:rsidRPr="001207F5">
        <w:rPr>
          <w:rFonts w:ascii="Cambria" w:hAnsi="Cambria"/>
          <w:sz w:val="24"/>
          <w:szCs w:val="24"/>
        </w:rPr>
        <w:t xml:space="preserve"> the data statistically to identify trends, relationships, and differences within the group</w:t>
      </w:r>
      <w:r>
        <w:rPr>
          <w:rFonts w:ascii="Cambria" w:hAnsi="Cambria"/>
          <w:sz w:val="24"/>
          <w:szCs w:val="24"/>
        </w:rPr>
        <w:t>.</w:t>
      </w:r>
    </w:p>
    <w:p w14:paraId="08C79E32" w14:textId="3F18A73F" w:rsidR="007B1B24" w:rsidRPr="00706D27" w:rsidRDefault="001D3BA0" w:rsidP="00706D27">
      <w:pPr>
        <w:ind w:firstLine="720"/>
        <w:jc w:val="both"/>
        <w:rPr>
          <w:rFonts w:ascii="Cambria" w:hAnsi="Cambria"/>
          <w:sz w:val="24"/>
          <w:szCs w:val="24"/>
        </w:rPr>
      </w:pPr>
      <w:r w:rsidRPr="001207F5">
        <w:rPr>
          <w:rFonts w:ascii="Cambria" w:hAnsi="Cambria"/>
          <w:sz w:val="24"/>
          <w:szCs w:val="24"/>
        </w:rPr>
        <w:t xml:space="preserve">The study employed three adopted and modified questionnaires: the Principal Neglect Questionnaire, the Teacher Professional Development Questionnaire, and the Classroom Management Questionnaire. Erdogan and Clement (2023) developed the first instrument, which contains sixteen (16) items and demonstrated excellent reliability with a Cronbach's alpha of .904. The second questionnaire, derived from </w:t>
      </w:r>
      <w:proofErr w:type="spellStart"/>
      <w:r w:rsidRPr="001207F5">
        <w:rPr>
          <w:rFonts w:ascii="Cambria" w:hAnsi="Cambria"/>
          <w:sz w:val="24"/>
          <w:szCs w:val="24"/>
        </w:rPr>
        <w:t>Soine</w:t>
      </w:r>
      <w:proofErr w:type="spellEnd"/>
      <w:r w:rsidRPr="001207F5">
        <w:rPr>
          <w:rFonts w:ascii="Cambria" w:hAnsi="Cambria"/>
          <w:sz w:val="24"/>
          <w:szCs w:val="24"/>
        </w:rPr>
        <w:t xml:space="preserve"> and </w:t>
      </w:r>
      <w:proofErr w:type="spellStart"/>
      <w:r w:rsidRPr="001207F5">
        <w:rPr>
          <w:rFonts w:ascii="Cambria" w:hAnsi="Cambria"/>
          <w:sz w:val="24"/>
          <w:szCs w:val="24"/>
        </w:rPr>
        <w:t>Lumpe</w:t>
      </w:r>
      <w:proofErr w:type="spellEnd"/>
      <w:r w:rsidRPr="001207F5">
        <w:rPr>
          <w:rFonts w:ascii="Cambria" w:hAnsi="Cambria"/>
          <w:sz w:val="24"/>
          <w:szCs w:val="24"/>
        </w:rPr>
        <w:t xml:space="preserve"> (2014), includes fifty-four (54) items and achieved a Cronbach's alpha of .902. The third instrument, obtained from Asif and </w:t>
      </w:r>
      <w:proofErr w:type="spellStart"/>
      <w:r w:rsidRPr="001207F5">
        <w:rPr>
          <w:rFonts w:ascii="Cambria" w:hAnsi="Cambria"/>
          <w:sz w:val="24"/>
          <w:szCs w:val="24"/>
        </w:rPr>
        <w:t>Abdulsattar</w:t>
      </w:r>
      <w:proofErr w:type="spellEnd"/>
      <w:r w:rsidRPr="001207F5">
        <w:rPr>
          <w:rFonts w:ascii="Cambria" w:hAnsi="Cambria"/>
          <w:sz w:val="24"/>
          <w:szCs w:val="24"/>
        </w:rPr>
        <w:t xml:space="preserve"> (2023), has twenty-five (25) items and a Cronbach's alpha of .904. All three instruments show excellent internal consistency, with Cronbach's alpha values exceeding 0.90.</w:t>
      </w:r>
    </w:p>
    <w:p w14:paraId="4E1FCE9C" w14:textId="77777777" w:rsidR="001D3BA0" w:rsidRPr="001207F5" w:rsidRDefault="001D3BA0" w:rsidP="001D3BA0">
      <w:pPr>
        <w:jc w:val="both"/>
        <w:rPr>
          <w:rFonts w:ascii="Cambria" w:hAnsi="Cambria"/>
          <w:b/>
          <w:bCs/>
          <w:sz w:val="24"/>
          <w:szCs w:val="24"/>
        </w:rPr>
      </w:pPr>
      <w:r w:rsidRPr="001207F5">
        <w:rPr>
          <w:rFonts w:ascii="Cambria" w:hAnsi="Cambria"/>
          <w:b/>
          <w:bCs/>
          <w:sz w:val="24"/>
          <w:szCs w:val="24"/>
        </w:rPr>
        <w:t>Data Analysis Technique</w:t>
      </w:r>
    </w:p>
    <w:p w14:paraId="35461528" w14:textId="0DD7FB28" w:rsidR="001D3BA0" w:rsidRPr="004A0CFC" w:rsidRDefault="001D3BA0" w:rsidP="001D3BA0">
      <w:pPr>
        <w:ind w:firstLine="720"/>
        <w:jc w:val="both"/>
        <w:rPr>
          <w:rFonts w:ascii="Cambria" w:hAnsi="Cambria"/>
          <w:sz w:val="24"/>
          <w:szCs w:val="24"/>
        </w:rPr>
      </w:pPr>
      <w:r w:rsidRPr="001207F5">
        <w:rPr>
          <w:rFonts w:ascii="Cambria" w:hAnsi="Cambria"/>
          <w:sz w:val="24"/>
          <w:szCs w:val="24"/>
        </w:rPr>
        <w:lastRenderedPageBreak/>
        <w:t xml:space="preserve">In this study, the researcher employed descriptive, correlation, and regression analyses to examine the data. </w:t>
      </w:r>
      <w:r w:rsidRPr="00C21805">
        <w:rPr>
          <w:rFonts w:ascii="Cambria" w:hAnsi="Cambria"/>
          <w:sz w:val="24"/>
          <w:szCs w:val="24"/>
        </w:rPr>
        <w:t xml:space="preserve">Burns and Grove (2020) explain that descriptive analysis </w:t>
      </w:r>
      <w:r w:rsidR="00497C58" w:rsidRPr="00C21805">
        <w:rPr>
          <w:rFonts w:ascii="Cambria" w:hAnsi="Cambria"/>
          <w:sz w:val="24"/>
          <w:szCs w:val="24"/>
        </w:rPr>
        <w:t>summari</w:t>
      </w:r>
      <w:r w:rsidR="00497C58">
        <w:rPr>
          <w:rFonts w:ascii="Cambria" w:hAnsi="Cambria"/>
          <w:sz w:val="24"/>
          <w:szCs w:val="24"/>
        </w:rPr>
        <w:t>z</w:t>
      </w:r>
      <w:r w:rsidR="00497C58" w:rsidRPr="00C21805">
        <w:rPr>
          <w:rFonts w:ascii="Cambria" w:hAnsi="Cambria"/>
          <w:sz w:val="24"/>
          <w:szCs w:val="24"/>
        </w:rPr>
        <w:t>es</w:t>
      </w:r>
      <w:r w:rsidRPr="00C21805">
        <w:rPr>
          <w:rFonts w:ascii="Cambria" w:hAnsi="Cambria"/>
          <w:sz w:val="24"/>
          <w:szCs w:val="24"/>
        </w:rPr>
        <w:t xml:space="preserve"> data to highlight population characteristics and identify patterns without implying causation. The study used the mean and standard deviation as statistical measures. </w:t>
      </w:r>
      <w:proofErr w:type="spellStart"/>
      <w:r w:rsidRPr="00C91B82">
        <w:rPr>
          <w:rFonts w:ascii="Cambria" w:hAnsi="Cambria"/>
          <w:sz w:val="24"/>
          <w:szCs w:val="24"/>
        </w:rPr>
        <w:t>Gravetter</w:t>
      </w:r>
      <w:proofErr w:type="spellEnd"/>
      <w:r w:rsidRPr="00C91B82">
        <w:rPr>
          <w:rFonts w:ascii="Cambria" w:hAnsi="Cambria"/>
          <w:sz w:val="24"/>
          <w:szCs w:val="24"/>
        </w:rPr>
        <w:t xml:space="preserve"> and </w:t>
      </w:r>
      <w:proofErr w:type="spellStart"/>
      <w:r w:rsidRPr="00C91B82">
        <w:rPr>
          <w:rFonts w:ascii="Cambria" w:hAnsi="Cambria"/>
          <w:sz w:val="24"/>
          <w:szCs w:val="24"/>
        </w:rPr>
        <w:t>Wallnau</w:t>
      </w:r>
      <w:proofErr w:type="spellEnd"/>
      <w:r w:rsidRPr="00C91B82">
        <w:rPr>
          <w:rFonts w:ascii="Cambria" w:hAnsi="Cambria"/>
          <w:sz w:val="24"/>
          <w:szCs w:val="24"/>
        </w:rPr>
        <w:t xml:space="preserve"> (2022) state that correlation analysis evaluates the strength and direction of relationships between variables. </w:t>
      </w:r>
      <w:r w:rsidRPr="003808BA">
        <w:rPr>
          <w:rFonts w:ascii="Cambria" w:hAnsi="Cambria"/>
          <w:sz w:val="24"/>
          <w:szCs w:val="24"/>
        </w:rPr>
        <w:t>This study used Pearson’s product–moment correlation to determine the relationship between the variables.</w:t>
      </w:r>
    </w:p>
    <w:p w14:paraId="79D2DFF2" w14:textId="207D4CFA" w:rsidR="001D3BA0" w:rsidRPr="00F72D51" w:rsidRDefault="00F72D51" w:rsidP="00F72D51">
      <w:pPr>
        <w:ind w:firstLine="720"/>
        <w:jc w:val="both"/>
        <w:rPr>
          <w:rFonts w:ascii="Cambria" w:hAnsi="Cambria"/>
          <w:sz w:val="24"/>
          <w:szCs w:val="24"/>
        </w:rPr>
      </w:pPr>
      <w:r w:rsidRPr="00F72D51">
        <w:rPr>
          <w:rFonts w:ascii="Cambria" w:hAnsi="Cambria"/>
          <w:sz w:val="24"/>
          <w:szCs w:val="24"/>
        </w:rPr>
        <w:t xml:space="preserve">Furthermore, the study used multiple linear regression to examine the predictive relationships among variables. This method is appropriate because it allows the simultaneous analysis of multiple independent variables and determines both their individual and combined effects on the dependent variable. Hair et al. (2022) note that multiple regression analysis assesses how one or more independent variables predict a dependent variable. </w:t>
      </w:r>
      <w:r w:rsidR="001D3BA0" w:rsidRPr="00F72D51">
        <w:rPr>
          <w:rFonts w:ascii="Cambria" w:hAnsi="Cambria"/>
          <w:sz w:val="24"/>
          <w:szCs w:val="24"/>
        </w:rPr>
        <w:t xml:space="preserve">The analysis reported both </w:t>
      </w:r>
      <w:r w:rsidR="00497C58" w:rsidRPr="00F72D51">
        <w:rPr>
          <w:rFonts w:ascii="Cambria" w:hAnsi="Cambria"/>
          <w:sz w:val="24"/>
          <w:szCs w:val="24"/>
        </w:rPr>
        <w:t>unstandardized</w:t>
      </w:r>
      <w:r w:rsidR="001D3BA0" w:rsidRPr="00F72D51">
        <w:rPr>
          <w:rFonts w:ascii="Cambria" w:hAnsi="Cambria"/>
          <w:sz w:val="24"/>
          <w:szCs w:val="24"/>
        </w:rPr>
        <w:t xml:space="preserve"> and </w:t>
      </w:r>
      <w:r w:rsidR="00497C58" w:rsidRPr="00F72D51">
        <w:rPr>
          <w:rFonts w:ascii="Cambria" w:hAnsi="Cambria"/>
          <w:sz w:val="24"/>
          <w:szCs w:val="24"/>
        </w:rPr>
        <w:t>standardized</w:t>
      </w:r>
      <w:r w:rsidR="001D3BA0" w:rsidRPr="00F72D51">
        <w:rPr>
          <w:rFonts w:ascii="Cambria" w:hAnsi="Cambria"/>
          <w:sz w:val="24"/>
          <w:szCs w:val="24"/>
        </w:rPr>
        <w:t xml:space="preserve"> beta coefficients to interpret the predictive contributions of the independent variables.</w:t>
      </w:r>
    </w:p>
    <w:p w14:paraId="29E652BB" w14:textId="77777777" w:rsidR="001D3BA0" w:rsidRDefault="001D3BA0" w:rsidP="001D3BA0">
      <w:pPr>
        <w:ind w:firstLine="720"/>
        <w:jc w:val="both"/>
        <w:rPr>
          <w:rFonts w:ascii="Cambria" w:hAnsi="Cambria"/>
          <w:sz w:val="24"/>
          <w:szCs w:val="24"/>
        </w:rPr>
      </w:pPr>
      <w:r w:rsidRPr="001207F5">
        <w:rPr>
          <w:rFonts w:ascii="Cambria" w:hAnsi="Cambria"/>
          <w:sz w:val="24"/>
          <w:szCs w:val="24"/>
        </w:rPr>
        <w:t>This matrix presents the scale, descriptive level, and interpretation used to assess perceived principal neglect, teacher professional development, and classroom management.</w:t>
      </w:r>
    </w:p>
    <w:p w14:paraId="1CFC394A" w14:textId="53E75CD2" w:rsidR="003E32E2" w:rsidRPr="001207F5" w:rsidRDefault="003E32E2" w:rsidP="001D3BA0">
      <w:pPr>
        <w:ind w:firstLine="720"/>
        <w:jc w:val="both"/>
        <w:rPr>
          <w:rFonts w:ascii="Cambria" w:hAnsi="Cambria"/>
          <w:sz w:val="24"/>
          <w:szCs w:val="24"/>
        </w:rPr>
      </w:pPr>
      <w:r>
        <w:rPr>
          <w:rFonts w:ascii="Cambria" w:hAnsi="Cambria"/>
          <w:sz w:val="24"/>
          <w:szCs w:val="24"/>
        </w:rPr>
        <w:t xml:space="preserve">Chart 1: </w:t>
      </w:r>
      <w:r w:rsidR="006C1260">
        <w:rPr>
          <w:rFonts w:ascii="Cambria" w:hAnsi="Cambria"/>
          <w:sz w:val="24"/>
          <w:szCs w:val="24"/>
        </w:rPr>
        <w:t xml:space="preserve">Interpretation of </w:t>
      </w:r>
      <w:r w:rsidR="006C1260" w:rsidRPr="001207F5">
        <w:rPr>
          <w:rFonts w:ascii="Cambria" w:hAnsi="Cambria"/>
          <w:sz w:val="24"/>
          <w:szCs w:val="24"/>
        </w:rPr>
        <w:t>perceived principal neglect, teacher professional development, and classroom management</w:t>
      </w:r>
    </w:p>
    <w:tbl>
      <w:tblPr>
        <w:tblStyle w:val="TableGrid"/>
        <w:tblW w:w="9776" w:type="dxa"/>
        <w:tblLayout w:type="fixed"/>
        <w:tblLook w:val="04A0" w:firstRow="1" w:lastRow="0" w:firstColumn="1" w:lastColumn="0" w:noHBand="0" w:noVBand="1"/>
      </w:tblPr>
      <w:tblGrid>
        <w:gridCol w:w="1696"/>
        <w:gridCol w:w="1560"/>
        <w:gridCol w:w="2268"/>
        <w:gridCol w:w="2126"/>
        <w:gridCol w:w="2126"/>
      </w:tblGrid>
      <w:tr w:rsidR="001D3BA0" w:rsidRPr="001207F5" w14:paraId="4E0B37EE" w14:textId="77777777" w:rsidTr="00AC6DC6">
        <w:tc>
          <w:tcPr>
            <w:tcW w:w="1696" w:type="dxa"/>
          </w:tcPr>
          <w:p w14:paraId="0400A7AE" w14:textId="77777777" w:rsidR="001D3BA0" w:rsidRPr="001207F5" w:rsidRDefault="001D3BA0" w:rsidP="00AC6DC6">
            <w:pPr>
              <w:pStyle w:val="BodyText"/>
              <w:ind w:left="0" w:right="357"/>
              <w:jc w:val="center"/>
              <w:rPr>
                <w:b/>
                <w:bCs/>
              </w:rPr>
            </w:pPr>
            <w:r w:rsidRPr="001207F5">
              <w:rPr>
                <w:b/>
                <w:bCs/>
              </w:rPr>
              <w:t>Scale</w:t>
            </w:r>
          </w:p>
        </w:tc>
        <w:tc>
          <w:tcPr>
            <w:tcW w:w="1560" w:type="dxa"/>
          </w:tcPr>
          <w:p w14:paraId="282D6639" w14:textId="77777777" w:rsidR="001D3BA0" w:rsidRPr="001207F5" w:rsidRDefault="001D3BA0" w:rsidP="00AC6DC6">
            <w:pPr>
              <w:pStyle w:val="BodyText"/>
              <w:ind w:left="0" w:right="357"/>
              <w:jc w:val="center"/>
              <w:rPr>
                <w:b/>
                <w:bCs/>
              </w:rPr>
            </w:pPr>
            <w:r w:rsidRPr="001207F5">
              <w:rPr>
                <w:b/>
                <w:bCs/>
              </w:rPr>
              <w:t>Level</w:t>
            </w:r>
          </w:p>
        </w:tc>
        <w:tc>
          <w:tcPr>
            <w:tcW w:w="2268" w:type="dxa"/>
          </w:tcPr>
          <w:p w14:paraId="70B77265" w14:textId="77777777" w:rsidR="001D3BA0" w:rsidRPr="001207F5" w:rsidRDefault="001D3BA0" w:rsidP="00AC6DC6">
            <w:pPr>
              <w:pStyle w:val="BodyText"/>
              <w:ind w:left="0" w:right="357"/>
              <w:jc w:val="center"/>
              <w:rPr>
                <w:b/>
                <w:bCs/>
              </w:rPr>
            </w:pPr>
            <w:r w:rsidRPr="001207F5">
              <w:rPr>
                <w:b/>
                <w:bCs/>
              </w:rPr>
              <w:t>Principal Neglect</w:t>
            </w:r>
          </w:p>
        </w:tc>
        <w:tc>
          <w:tcPr>
            <w:tcW w:w="2126" w:type="dxa"/>
          </w:tcPr>
          <w:p w14:paraId="48AC76CA" w14:textId="77777777" w:rsidR="001D3BA0" w:rsidRPr="001207F5" w:rsidRDefault="001D3BA0" w:rsidP="00AC6DC6">
            <w:pPr>
              <w:pStyle w:val="BodyText"/>
              <w:ind w:left="0" w:right="357"/>
              <w:jc w:val="center"/>
              <w:rPr>
                <w:b/>
                <w:bCs/>
              </w:rPr>
            </w:pPr>
            <w:r w:rsidRPr="001207F5">
              <w:rPr>
                <w:b/>
                <w:bCs/>
              </w:rPr>
              <w:t>Teacher Professional Development</w:t>
            </w:r>
          </w:p>
        </w:tc>
        <w:tc>
          <w:tcPr>
            <w:tcW w:w="2126" w:type="dxa"/>
          </w:tcPr>
          <w:p w14:paraId="1B560504" w14:textId="77777777" w:rsidR="001D3BA0" w:rsidRPr="001207F5" w:rsidRDefault="001D3BA0" w:rsidP="00AC6DC6">
            <w:pPr>
              <w:pStyle w:val="BodyText"/>
              <w:ind w:left="0" w:right="357"/>
              <w:jc w:val="center"/>
              <w:rPr>
                <w:b/>
                <w:bCs/>
              </w:rPr>
            </w:pPr>
            <w:r w:rsidRPr="001207F5">
              <w:rPr>
                <w:b/>
                <w:bCs/>
              </w:rPr>
              <w:t>Classroom Management</w:t>
            </w:r>
          </w:p>
        </w:tc>
      </w:tr>
      <w:tr w:rsidR="001D3BA0" w:rsidRPr="001207F5" w14:paraId="5D00CA15" w14:textId="77777777" w:rsidTr="00AC6DC6">
        <w:tc>
          <w:tcPr>
            <w:tcW w:w="1696" w:type="dxa"/>
          </w:tcPr>
          <w:p w14:paraId="1F6D7842" w14:textId="77777777" w:rsidR="001D3BA0" w:rsidRPr="001207F5" w:rsidRDefault="001D3BA0" w:rsidP="00AC6DC6">
            <w:pPr>
              <w:pStyle w:val="BodyText"/>
              <w:ind w:left="0" w:right="357"/>
              <w:jc w:val="both"/>
            </w:pPr>
            <w:r w:rsidRPr="001207F5">
              <w:t>1.00 – 1.74</w:t>
            </w:r>
          </w:p>
        </w:tc>
        <w:tc>
          <w:tcPr>
            <w:tcW w:w="1560" w:type="dxa"/>
          </w:tcPr>
          <w:p w14:paraId="45AB4ACD" w14:textId="77777777" w:rsidR="001D3BA0" w:rsidRPr="001207F5" w:rsidRDefault="001D3BA0" w:rsidP="00AC6DC6">
            <w:pPr>
              <w:jc w:val="center"/>
              <w:rPr>
                <w:rFonts w:ascii="Cambria" w:hAnsi="Cambria"/>
                <w:sz w:val="24"/>
                <w:szCs w:val="24"/>
              </w:rPr>
            </w:pPr>
            <w:r w:rsidRPr="001207F5">
              <w:rPr>
                <w:rFonts w:ascii="Cambria" w:hAnsi="Cambria"/>
                <w:sz w:val="24"/>
                <w:szCs w:val="24"/>
              </w:rPr>
              <w:t>Very low</w:t>
            </w:r>
          </w:p>
        </w:tc>
        <w:tc>
          <w:tcPr>
            <w:tcW w:w="2268" w:type="dxa"/>
          </w:tcPr>
          <w:p w14:paraId="5761779B" w14:textId="77777777" w:rsidR="001D3BA0" w:rsidRPr="001207F5" w:rsidRDefault="001D3BA0" w:rsidP="00AC6DC6">
            <w:pPr>
              <w:jc w:val="center"/>
              <w:rPr>
                <w:rFonts w:ascii="Cambria" w:hAnsi="Cambria"/>
                <w:sz w:val="24"/>
                <w:szCs w:val="24"/>
              </w:rPr>
            </w:pPr>
            <w:r w:rsidRPr="001207F5">
              <w:rPr>
                <w:rFonts w:ascii="Cambria" w:hAnsi="Cambria"/>
                <w:sz w:val="24"/>
                <w:szCs w:val="24"/>
              </w:rPr>
              <w:t>Very Good Support</w:t>
            </w:r>
          </w:p>
        </w:tc>
        <w:tc>
          <w:tcPr>
            <w:tcW w:w="2126" w:type="dxa"/>
          </w:tcPr>
          <w:p w14:paraId="51366D0B" w14:textId="77777777" w:rsidR="001D3BA0" w:rsidRPr="001207F5" w:rsidRDefault="001D3BA0" w:rsidP="00AC6DC6">
            <w:pPr>
              <w:jc w:val="center"/>
              <w:rPr>
                <w:rFonts w:ascii="Cambria" w:hAnsi="Cambria"/>
                <w:sz w:val="24"/>
                <w:szCs w:val="24"/>
              </w:rPr>
            </w:pPr>
            <w:r w:rsidRPr="001207F5">
              <w:rPr>
                <w:rFonts w:ascii="Cambria" w:hAnsi="Cambria"/>
                <w:sz w:val="24"/>
                <w:szCs w:val="24"/>
              </w:rPr>
              <w:t>Very Poor</w:t>
            </w:r>
          </w:p>
        </w:tc>
        <w:tc>
          <w:tcPr>
            <w:tcW w:w="2126" w:type="dxa"/>
          </w:tcPr>
          <w:p w14:paraId="300222E0" w14:textId="77777777" w:rsidR="001D3BA0" w:rsidRPr="001207F5" w:rsidRDefault="001D3BA0" w:rsidP="00AC6DC6">
            <w:pPr>
              <w:pStyle w:val="BodyText"/>
              <w:ind w:left="0" w:right="357"/>
              <w:jc w:val="center"/>
            </w:pPr>
            <w:r w:rsidRPr="001207F5">
              <w:t>Very Poor</w:t>
            </w:r>
          </w:p>
        </w:tc>
      </w:tr>
      <w:tr w:rsidR="001D3BA0" w:rsidRPr="001207F5" w14:paraId="296BC13E" w14:textId="77777777" w:rsidTr="00AC6DC6">
        <w:tc>
          <w:tcPr>
            <w:tcW w:w="1696" w:type="dxa"/>
          </w:tcPr>
          <w:p w14:paraId="02557840" w14:textId="77777777" w:rsidR="001D3BA0" w:rsidRPr="001207F5" w:rsidRDefault="001D3BA0" w:rsidP="00AC6DC6">
            <w:pPr>
              <w:pStyle w:val="BodyText"/>
              <w:ind w:left="0" w:right="357"/>
              <w:jc w:val="both"/>
            </w:pPr>
            <w:r w:rsidRPr="001207F5">
              <w:t>1.75 – 2.49</w:t>
            </w:r>
          </w:p>
        </w:tc>
        <w:tc>
          <w:tcPr>
            <w:tcW w:w="1560" w:type="dxa"/>
          </w:tcPr>
          <w:p w14:paraId="23F2E2F4" w14:textId="77777777" w:rsidR="001D3BA0" w:rsidRPr="001207F5" w:rsidRDefault="001D3BA0" w:rsidP="00AC6DC6">
            <w:pPr>
              <w:jc w:val="center"/>
              <w:rPr>
                <w:rFonts w:ascii="Cambria" w:hAnsi="Cambria"/>
                <w:sz w:val="24"/>
                <w:szCs w:val="24"/>
              </w:rPr>
            </w:pPr>
            <w:r w:rsidRPr="001207F5">
              <w:rPr>
                <w:rFonts w:ascii="Cambria" w:hAnsi="Cambria"/>
                <w:sz w:val="24"/>
                <w:szCs w:val="24"/>
              </w:rPr>
              <w:t>Low</w:t>
            </w:r>
          </w:p>
        </w:tc>
        <w:tc>
          <w:tcPr>
            <w:tcW w:w="2268" w:type="dxa"/>
          </w:tcPr>
          <w:p w14:paraId="37F96ADB" w14:textId="77777777" w:rsidR="001D3BA0" w:rsidRPr="001207F5" w:rsidRDefault="001D3BA0" w:rsidP="00AC6DC6">
            <w:pPr>
              <w:jc w:val="center"/>
              <w:rPr>
                <w:rFonts w:ascii="Cambria" w:hAnsi="Cambria"/>
                <w:sz w:val="24"/>
                <w:szCs w:val="24"/>
              </w:rPr>
            </w:pPr>
            <w:r w:rsidRPr="001207F5">
              <w:rPr>
                <w:rFonts w:ascii="Cambria" w:hAnsi="Cambria"/>
                <w:sz w:val="24"/>
                <w:szCs w:val="24"/>
              </w:rPr>
              <w:t>Good Support</w:t>
            </w:r>
          </w:p>
        </w:tc>
        <w:tc>
          <w:tcPr>
            <w:tcW w:w="2126" w:type="dxa"/>
          </w:tcPr>
          <w:p w14:paraId="76853796" w14:textId="77777777" w:rsidR="001D3BA0" w:rsidRPr="001207F5" w:rsidRDefault="001D3BA0" w:rsidP="00AC6DC6">
            <w:pPr>
              <w:jc w:val="center"/>
              <w:rPr>
                <w:rFonts w:ascii="Cambria" w:hAnsi="Cambria"/>
                <w:sz w:val="24"/>
                <w:szCs w:val="24"/>
              </w:rPr>
            </w:pPr>
            <w:r w:rsidRPr="001207F5">
              <w:rPr>
                <w:rFonts w:ascii="Cambria" w:hAnsi="Cambria"/>
                <w:sz w:val="24"/>
                <w:szCs w:val="24"/>
              </w:rPr>
              <w:t>Poor</w:t>
            </w:r>
          </w:p>
        </w:tc>
        <w:tc>
          <w:tcPr>
            <w:tcW w:w="2126" w:type="dxa"/>
          </w:tcPr>
          <w:p w14:paraId="6FB26223" w14:textId="77777777" w:rsidR="001D3BA0" w:rsidRPr="001207F5" w:rsidRDefault="001D3BA0" w:rsidP="00AC6DC6">
            <w:pPr>
              <w:pStyle w:val="BodyText"/>
              <w:ind w:left="0" w:right="357"/>
              <w:jc w:val="center"/>
            </w:pPr>
            <w:r w:rsidRPr="001207F5">
              <w:t>Poor</w:t>
            </w:r>
          </w:p>
        </w:tc>
      </w:tr>
      <w:tr w:rsidR="001D3BA0" w:rsidRPr="001207F5" w14:paraId="287A394B" w14:textId="77777777" w:rsidTr="00AC6DC6">
        <w:tc>
          <w:tcPr>
            <w:tcW w:w="1696" w:type="dxa"/>
          </w:tcPr>
          <w:p w14:paraId="25E129FD" w14:textId="77777777" w:rsidR="001D3BA0" w:rsidRPr="001207F5" w:rsidRDefault="001D3BA0" w:rsidP="00AC6DC6">
            <w:pPr>
              <w:pStyle w:val="BodyText"/>
              <w:ind w:left="0" w:right="357"/>
              <w:jc w:val="both"/>
            </w:pPr>
            <w:r w:rsidRPr="001207F5">
              <w:t>2.50 – 3.24</w:t>
            </w:r>
          </w:p>
        </w:tc>
        <w:tc>
          <w:tcPr>
            <w:tcW w:w="1560" w:type="dxa"/>
          </w:tcPr>
          <w:p w14:paraId="4A1486CE" w14:textId="77777777" w:rsidR="001D3BA0" w:rsidRPr="001207F5" w:rsidRDefault="001D3BA0" w:rsidP="00AC6DC6">
            <w:pPr>
              <w:jc w:val="center"/>
              <w:rPr>
                <w:rFonts w:ascii="Cambria" w:hAnsi="Cambria"/>
                <w:sz w:val="24"/>
                <w:szCs w:val="24"/>
              </w:rPr>
            </w:pPr>
            <w:r w:rsidRPr="001207F5">
              <w:rPr>
                <w:rFonts w:ascii="Cambria" w:hAnsi="Cambria"/>
                <w:sz w:val="24"/>
                <w:szCs w:val="24"/>
              </w:rPr>
              <w:t>High</w:t>
            </w:r>
          </w:p>
        </w:tc>
        <w:tc>
          <w:tcPr>
            <w:tcW w:w="2268" w:type="dxa"/>
          </w:tcPr>
          <w:p w14:paraId="10847A02" w14:textId="77777777" w:rsidR="001D3BA0" w:rsidRPr="001207F5" w:rsidRDefault="001D3BA0" w:rsidP="00AC6DC6">
            <w:pPr>
              <w:jc w:val="center"/>
              <w:rPr>
                <w:rFonts w:ascii="Cambria" w:hAnsi="Cambria"/>
                <w:sz w:val="24"/>
                <w:szCs w:val="24"/>
              </w:rPr>
            </w:pPr>
            <w:r w:rsidRPr="001207F5">
              <w:rPr>
                <w:rFonts w:ascii="Cambria" w:hAnsi="Cambria"/>
                <w:sz w:val="24"/>
                <w:szCs w:val="24"/>
              </w:rPr>
              <w:t>Poor Support</w:t>
            </w:r>
          </w:p>
        </w:tc>
        <w:tc>
          <w:tcPr>
            <w:tcW w:w="2126" w:type="dxa"/>
          </w:tcPr>
          <w:p w14:paraId="45496B27" w14:textId="77777777" w:rsidR="001D3BA0" w:rsidRPr="001207F5" w:rsidRDefault="001D3BA0" w:rsidP="00AC6DC6">
            <w:pPr>
              <w:jc w:val="center"/>
              <w:rPr>
                <w:rFonts w:ascii="Cambria" w:hAnsi="Cambria"/>
                <w:sz w:val="24"/>
                <w:szCs w:val="24"/>
              </w:rPr>
            </w:pPr>
            <w:r w:rsidRPr="001207F5">
              <w:rPr>
                <w:rFonts w:ascii="Cambria" w:hAnsi="Cambria"/>
                <w:sz w:val="24"/>
                <w:szCs w:val="24"/>
              </w:rPr>
              <w:t>Good</w:t>
            </w:r>
          </w:p>
        </w:tc>
        <w:tc>
          <w:tcPr>
            <w:tcW w:w="2126" w:type="dxa"/>
          </w:tcPr>
          <w:p w14:paraId="2CA09B80" w14:textId="77777777" w:rsidR="001D3BA0" w:rsidRPr="001207F5" w:rsidRDefault="001D3BA0" w:rsidP="00AC6DC6">
            <w:pPr>
              <w:pStyle w:val="BodyText"/>
              <w:ind w:left="0" w:right="357"/>
              <w:jc w:val="center"/>
            </w:pPr>
            <w:r w:rsidRPr="001207F5">
              <w:t>Good</w:t>
            </w:r>
          </w:p>
        </w:tc>
      </w:tr>
      <w:tr w:rsidR="001D3BA0" w:rsidRPr="001207F5" w14:paraId="6F6E41CD" w14:textId="77777777" w:rsidTr="00AC6DC6">
        <w:tc>
          <w:tcPr>
            <w:tcW w:w="1696" w:type="dxa"/>
          </w:tcPr>
          <w:p w14:paraId="73F4CA22" w14:textId="77777777" w:rsidR="001D3BA0" w:rsidRPr="001207F5" w:rsidRDefault="001D3BA0" w:rsidP="00AC6DC6">
            <w:pPr>
              <w:pStyle w:val="BodyText"/>
              <w:ind w:left="0" w:right="357"/>
              <w:jc w:val="both"/>
            </w:pPr>
            <w:r w:rsidRPr="001207F5">
              <w:t>3.25 – 4.00</w:t>
            </w:r>
          </w:p>
        </w:tc>
        <w:tc>
          <w:tcPr>
            <w:tcW w:w="1560" w:type="dxa"/>
          </w:tcPr>
          <w:p w14:paraId="10FB7D08" w14:textId="77777777" w:rsidR="001D3BA0" w:rsidRPr="001207F5" w:rsidRDefault="001D3BA0" w:rsidP="00AC6DC6">
            <w:pPr>
              <w:jc w:val="center"/>
              <w:rPr>
                <w:rFonts w:ascii="Cambria" w:hAnsi="Cambria"/>
                <w:sz w:val="24"/>
                <w:szCs w:val="24"/>
              </w:rPr>
            </w:pPr>
            <w:r w:rsidRPr="001207F5">
              <w:rPr>
                <w:rFonts w:ascii="Cambria" w:hAnsi="Cambria"/>
                <w:sz w:val="24"/>
                <w:szCs w:val="24"/>
              </w:rPr>
              <w:t>Very high</w:t>
            </w:r>
          </w:p>
        </w:tc>
        <w:tc>
          <w:tcPr>
            <w:tcW w:w="2268" w:type="dxa"/>
          </w:tcPr>
          <w:p w14:paraId="1AF846FE" w14:textId="77777777" w:rsidR="001D3BA0" w:rsidRPr="001207F5" w:rsidRDefault="001D3BA0" w:rsidP="00AC6DC6">
            <w:pPr>
              <w:jc w:val="center"/>
              <w:rPr>
                <w:rFonts w:ascii="Cambria" w:hAnsi="Cambria"/>
                <w:sz w:val="24"/>
                <w:szCs w:val="24"/>
              </w:rPr>
            </w:pPr>
            <w:r w:rsidRPr="001207F5">
              <w:rPr>
                <w:rFonts w:ascii="Cambria" w:hAnsi="Cambria"/>
                <w:sz w:val="24"/>
                <w:szCs w:val="24"/>
              </w:rPr>
              <w:t>Very Poor Support</w:t>
            </w:r>
          </w:p>
        </w:tc>
        <w:tc>
          <w:tcPr>
            <w:tcW w:w="2126" w:type="dxa"/>
          </w:tcPr>
          <w:p w14:paraId="41C842C2" w14:textId="77777777" w:rsidR="001D3BA0" w:rsidRPr="001207F5" w:rsidRDefault="001D3BA0" w:rsidP="00AC6DC6">
            <w:pPr>
              <w:jc w:val="center"/>
              <w:rPr>
                <w:rFonts w:ascii="Cambria" w:hAnsi="Cambria"/>
                <w:sz w:val="24"/>
                <w:szCs w:val="24"/>
              </w:rPr>
            </w:pPr>
            <w:r w:rsidRPr="001207F5">
              <w:rPr>
                <w:rFonts w:ascii="Cambria" w:hAnsi="Cambria"/>
                <w:sz w:val="24"/>
                <w:szCs w:val="24"/>
              </w:rPr>
              <w:t>Very Good</w:t>
            </w:r>
          </w:p>
        </w:tc>
        <w:tc>
          <w:tcPr>
            <w:tcW w:w="2126" w:type="dxa"/>
          </w:tcPr>
          <w:p w14:paraId="3AB5E711" w14:textId="77777777" w:rsidR="001D3BA0" w:rsidRPr="001207F5" w:rsidRDefault="001D3BA0" w:rsidP="00AC6DC6">
            <w:pPr>
              <w:pStyle w:val="BodyText"/>
              <w:ind w:left="0" w:right="357"/>
              <w:jc w:val="center"/>
            </w:pPr>
            <w:r w:rsidRPr="001207F5">
              <w:t>Very Good</w:t>
            </w:r>
          </w:p>
        </w:tc>
      </w:tr>
    </w:tbl>
    <w:p w14:paraId="15938CE3" w14:textId="77777777" w:rsidR="00706D27" w:rsidRDefault="00706D27" w:rsidP="001D3BA0">
      <w:pPr>
        <w:jc w:val="both"/>
        <w:rPr>
          <w:rFonts w:ascii="Cambria" w:hAnsi="Cambria"/>
          <w:sz w:val="24"/>
          <w:szCs w:val="24"/>
        </w:rPr>
      </w:pPr>
    </w:p>
    <w:p w14:paraId="73DF5260" w14:textId="2FD4E64B" w:rsidR="001D3BA0" w:rsidRPr="001207F5" w:rsidRDefault="003E32E2" w:rsidP="001D3BA0">
      <w:pPr>
        <w:jc w:val="both"/>
        <w:rPr>
          <w:rFonts w:ascii="Cambria" w:hAnsi="Cambria"/>
          <w:sz w:val="24"/>
          <w:szCs w:val="24"/>
        </w:rPr>
      </w:pPr>
      <w:r>
        <w:rPr>
          <w:rFonts w:ascii="Cambria" w:hAnsi="Cambria"/>
          <w:sz w:val="24"/>
          <w:szCs w:val="24"/>
        </w:rPr>
        <w:t xml:space="preserve">Chart 2: </w:t>
      </w:r>
      <w:r w:rsidR="001D3BA0" w:rsidRPr="001207F5">
        <w:rPr>
          <w:rFonts w:ascii="Cambria" w:hAnsi="Cambria"/>
          <w:sz w:val="24"/>
          <w:szCs w:val="24"/>
        </w:rPr>
        <w:t>Standard Deviation Value Ranges and Interpretation</w:t>
      </w:r>
    </w:p>
    <w:tbl>
      <w:tblPr>
        <w:tblpPr w:leftFromText="180" w:rightFromText="180" w:vertAnchor="text" w:horzAnchor="margin" w:tblpXSpec="center" w:tblpY="-49"/>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650"/>
        <w:gridCol w:w="5718"/>
      </w:tblGrid>
      <w:tr w:rsidR="001D3BA0" w:rsidRPr="001207F5" w14:paraId="2B3B90D2" w14:textId="77777777" w:rsidTr="00AC6DC6">
        <w:trPr>
          <w:tblHeader/>
          <w:tblCellSpacing w:w="15" w:type="dxa"/>
        </w:trPr>
        <w:tc>
          <w:tcPr>
            <w:tcW w:w="0" w:type="auto"/>
            <w:tcBorders>
              <w:top w:val="single" w:sz="4" w:space="0" w:color="auto"/>
            </w:tcBorders>
            <w:vAlign w:val="center"/>
            <w:hideMark/>
          </w:tcPr>
          <w:p w14:paraId="59682549" w14:textId="77777777" w:rsidR="001D3BA0" w:rsidRPr="001207F5" w:rsidRDefault="001D3BA0" w:rsidP="00AC6DC6">
            <w:pPr>
              <w:contextualSpacing/>
              <w:jc w:val="center"/>
              <w:rPr>
                <w:rFonts w:ascii="Cambria" w:hAnsi="Cambria" w:cs="Times New Roman"/>
                <w:i/>
                <w:iCs/>
                <w:sz w:val="24"/>
                <w:szCs w:val="24"/>
                <w:lang w:eastAsia="en-PH"/>
              </w:rPr>
            </w:pPr>
            <w:r w:rsidRPr="001207F5">
              <w:rPr>
                <w:rFonts w:ascii="Cambria" w:hAnsi="Cambria" w:cs="Times New Roman"/>
                <w:i/>
                <w:iCs/>
                <w:sz w:val="24"/>
                <w:szCs w:val="24"/>
                <w:lang w:eastAsia="en-PH"/>
              </w:rPr>
              <w:t>SD Value Range</w:t>
            </w:r>
          </w:p>
        </w:tc>
        <w:tc>
          <w:tcPr>
            <w:tcW w:w="0" w:type="auto"/>
            <w:tcBorders>
              <w:top w:val="single" w:sz="4" w:space="0" w:color="auto"/>
            </w:tcBorders>
            <w:vAlign w:val="center"/>
            <w:hideMark/>
          </w:tcPr>
          <w:p w14:paraId="0B6B3777" w14:textId="77777777" w:rsidR="001D3BA0" w:rsidRPr="001207F5" w:rsidRDefault="001D3BA0" w:rsidP="00AC6DC6">
            <w:pPr>
              <w:contextualSpacing/>
              <w:jc w:val="center"/>
              <w:rPr>
                <w:rFonts w:ascii="Cambria" w:hAnsi="Cambria" w:cs="Times New Roman"/>
                <w:i/>
                <w:iCs/>
                <w:sz w:val="24"/>
                <w:szCs w:val="24"/>
                <w:lang w:eastAsia="en-PH"/>
              </w:rPr>
            </w:pPr>
            <w:r w:rsidRPr="001207F5">
              <w:rPr>
                <w:rFonts w:ascii="Cambria" w:hAnsi="Cambria" w:cs="Times New Roman"/>
                <w:i/>
                <w:iCs/>
                <w:sz w:val="24"/>
                <w:szCs w:val="24"/>
                <w:lang w:eastAsia="en-PH"/>
              </w:rPr>
              <w:t>Interpretation</w:t>
            </w:r>
          </w:p>
        </w:tc>
      </w:tr>
      <w:tr w:rsidR="001D3BA0" w:rsidRPr="001207F5" w14:paraId="7896099E" w14:textId="77777777" w:rsidTr="00AC6DC6">
        <w:trPr>
          <w:tblCellSpacing w:w="15" w:type="dxa"/>
        </w:trPr>
        <w:tc>
          <w:tcPr>
            <w:tcW w:w="0" w:type="auto"/>
            <w:tcBorders>
              <w:top w:val="single" w:sz="4" w:space="0" w:color="auto"/>
            </w:tcBorders>
            <w:vAlign w:val="center"/>
            <w:hideMark/>
          </w:tcPr>
          <w:p w14:paraId="272F91CC"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0.00 – 0.50</w:t>
            </w:r>
          </w:p>
        </w:tc>
        <w:tc>
          <w:tcPr>
            <w:tcW w:w="0" w:type="auto"/>
            <w:tcBorders>
              <w:top w:val="single" w:sz="4" w:space="0" w:color="auto"/>
            </w:tcBorders>
            <w:vAlign w:val="center"/>
            <w:hideMark/>
          </w:tcPr>
          <w:p w14:paraId="66F8F9DA"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Very low variability/responses are very consistent</w:t>
            </w:r>
          </w:p>
        </w:tc>
      </w:tr>
      <w:tr w:rsidR="001D3BA0" w:rsidRPr="001207F5" w14:paraId="0BE40FB2" w14:textId="77777777" w:rsidTr="00AC6DC6">
        <w:trPr>
          <w:tblCellSpacing w:w="15" w:type="dxa"/>
        </w:trPr>
        <w:tc>
          <w:tcPr>
            <w:tcW w:w="0" w:type="auto"/>
            <w:vAlign w:val="center"/>
            <w:hideMark/>
          </w:tcPr>
          <w:p w14:paraId="2EFBE20B"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0.51 – 1.00</w:t>
            </w:r>
          </w:p>
        </w:tc>
        <w:tc>
          <w:tcPr>
            <w:tcW w:w="0" w:type="auto"/>
            <w:vAlign w:val="center"/>
            <w:hideMark/>
          </w:tcPr>
          <w:p w14:paraId="101B8C5A"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Low variability/responses are relatively consistent</w:t>
            </w:r>
          </w:p>
        </w:tc>
      </w:tr>
      <w:tr w:rsidR="001D3BA0" w:rsidRPr="001207F5" w14:paraId="6E6A91FD" w14:textId="77777777" w:rsidTr="00AC6DC6">
        <w:trPr>
          <w:tblCellSpacing w:w="15" w:type="dxa"/>
        </w:trPr>
        <w:tc>
          <w:tcPr>
            <w:tcW w:w="0" w:type="auto"/>
            <w:vAlign w:val="center"/>
            <w:hideMark/>
          </w:tcPr>
          <w:p w14:paraId="473ADF94"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1.01 – 1.50</w:t>
            </w:r>
          </w:p>
        </w:tc>
        <w:tc>
          <w:tcPr>
            <w:tcW w:w="0" w:type="auto"/>
            <w:vAlign w:val="center"/>
            <w:hideMark/>
          </w:tcPr>
          <w:p w14:paraId="38A00848"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Moderate variability/responses show some differences</w:t>
            </w:r>
          </w:p>
        </w:tc>
      </w:tr>
      <w:tr w:rsidR="001D3BA0" w:rsidRPr="001207F5" w14:paraId="1AACFF8C" w14:textId="77777777" w:rsidTr="00AC6DC6">
        <w:trPr>
          <w:tblCellSpacing w:w="15" w:type="dxa"/>
        </w:trPr>
        <w:tc>
          <w:tcPr>
            <w:tcW w:w="0" w:type="auto"/>
            <w:vAlign w:val="center"/>
            <w:hideMark/>
          </w:tcPr>
          <w:p w14:paraId="096F7CF7"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1.51 – 2.00</w:t>
            </w:r>
          </w:p>
        </w:tc>
        <w:tc>
          <w:tcPr>
            <w:tcW w:w="0" w:type="auto"/>
            <w:vAlign w:val="center"/>
            <w:hideMark/>
          </w:tcPr>
          <w:p w14:paraId="1519D27F"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High variability/responses vary significantly</w:t>
            </w:r>
          </w:p>
        </w:tc>
      </w:tr>
      <w:tr w:rsidR="001D3BA0" w:rsidRPr="001207F5" w14:paraId="79329F3D" w14:textId="77777777" w:rsidTr="00AC6DC6">
        <w:trPr>
          <w:tblCellSpacing w:w="15" w:type="dxa"/>
        </w:trPr>
        <w:tc>
          <w:tcPr>
            <w:tcW w:w="0" w:type="auto"/>
            <w:tcBorders>
              <w:bottom w:val="single" w:sz="4" w:space="0" w:color="auto"/>
            </w:tcBorders>
            <w:vAlign w:val="center"/>
            <w:hideMark/>
          </w:tcPr>
          <w:p w14:paraId="79D4542E"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Above 2.00</w:t>
            </w:r>
          </w:p>
        </w:tc>
        <w:tc>
          <w:tcPr>
            <w:tcW w:w="0" w:type="auto"/>
            <w:tcBorders>
              <w:bottom w:val="single" w:sz="4" w:space="0" w:color="auto"/>
            </w:tcBorders>
            <w:vAlign w:val="center"/>
            <w:hideMark/>
          </w:tcPr>
          <w:p w14:paraId="61AE5CFF" w14:textId="77777777" w:rsidR="001D3BA0" w:rsidRPr="001207F5" w:rsidRDefault="001D3BA0" w:rsidP="00AC6DC6">
            <w:pPr>
              <w:contextualSpacing/>
              <w:jc w:val="center"/>
              <w:rPr>
                <w:rFonts w:ascii="Cambria" w:hAnsi="Cambria" w:cs="Times New Roman"/>
                <w:sz w:val="24"/>
                <w:szCs w:val="24"/>
                <w:lang w:eastAsia="en-PH"/>
              </w:rPr>
            </w:pPr>
            <w:r w:rsidRPr="001207F5">
              <w:rPr>
                <w:rFonts w:ascii="Cambria" w:hAnsi="Cambria" w:cs="Times New Roman"/>
                <w:sz w:val="24"/>
                <w:szCs w:val="24"/>
                <w:lang w:eastAsia="en-PH"/>
              </w:rPr>
              <w:t>Very high variability/responses show high dispersion</w:t>
            </w:r>
          </w:p>
        </w:tc>
      </w:tr>
    </w:tbl>
    <w:p w14:paraId="2613E9FD" w14:textId="77777777" w:rsidR="001D3BA0" w:rsidRPr="001207F5" w:rsidRDefault="001D3BA0" w:rsidP="001D3BA0">
      <w:pPr>
        <w:jc w:val="both"/>
        <w:rPr>
          <w:rFonts w:ascii="Cambria" w:hAnsi="Cambria"/>
          <w:sz w:val="24"/>
          <w:szCs w:val="24"/>
        </w:rPr>
      </w:pPr>
    </w:p>
    <w:p w14:paraId="65044814" w14:textId="77777777" w:rsidR="001D3BA0" w:rsidRPr="001207F5" w:rsidRDefault="001D3BA0" w:rsidP="001D3BA0">
      <w:pPr>
        <w:jc w:val="both"/>
        <w:rPr>
          <w:rFonts w:ascii="Cambria" w:hAnsi="Cambria"/>
          <w:sz w:val="24"/>
          <w:szCs w:val="24"/>
        </w:rPr>
      </w:pPr>
    </w:p>
    <w:p w14:paraId="704E17CE" w14:textId="77777777" w:rsidR="001D3BA0" w:rsidRPr="001207F5" w:rsidRDefault="001D3BA0" w:rsidP="001D3BA0">
      <w:pPr>
        <w:jc w:val="both"/>
        <w:rPr>
          <w:rFonts w:ascii="Cambria" w:hAnsi="Cambria"/>
          <w:sz w:val="24"/>
          <w:szCs w:val="24"/>
        </w:rPr>
      </w:pPr>
    </w:p>
    <w:p w14:paraId="7EF4334B" w14:textId="77777777" w:rsidR="001D3BA0" w:rsidRPr="001207F5" w:rsidRDefault="001D3BA0" w:rsidP="001D3BA0">
      <w:pPr>
        <w:jc w:val="both"/>
        <w:rPr>
          <w:rFonts w:ascii="Cambria" w:hAnsi="Cambria"/>
          <w:sz w:val="24"/>
          <w:szCs w:val="24"/>
        </w:rPr>
      </w:pPr>
    </w:p>
    <w:p w14:paraId="7960AF04" w14:textId="68245448" w:rsidR="001D3BA0" w:rsidRPr="001207F5" w:rsidRDefault="00DE5E8F" w:rsidP="001D3BA0">
      <w:pPr>
        <w:jc w:val="both"/>
        <w:rPr>
          <w:rFonts w:ascii="Cambria" w:hAnsi="Cambria"/>
          <w:sz w:val="24"/>
          <w:szCs w:val="24"/>
        </w:rPr>
      </w:pPr>
      <w:r>
        <w:rPr>
          <w:rFonts w:ascii="Cambria" w:hAnsi="Cambria"/>
          <w:sz w:val="24"/>
          <w:szCs w:val="24"/>
        </w:rPr>
        <w:tab/>
      </w:r>
    </w:p>
    <w:p w14:paraId="0FEF3F48" w14:textId="77777777" w:rsidR="002065C5" w:rsidRDefault="002065C5" w:rsidP="00DE5E8F">
      <w:pPr>
        <w:ind w:firstLine="720"/>
        <w:jc w:val="both"/>
        <w:rPr>
          <w:rFonts w:ascii="Cambria" w:hAnsi="Cambria"/>
          <w:sz w:val="24"/>
          <w:szCs w:val="24"/>
        </w:rPr>
      </w:pPr>
    </w:p>
    <w:p w14:paraId="3E34CE77" w14:textId="685B5757" w:rsidR="00706D27" w:rsidRDefault="001D3BA0" w:rsidP="002065C5">
      <w:pPr>
        <w:ind w:firstLine="720"/>
        <w:jc w:val="both"/>
        <w:rPr>
          <w:rFonts w:ascii="Cambria" w:hAnsi="Cambria"/>
          <w:sz w:val="24"/>
          <w:szCs w:val="24"/>
        </w:rPr>
      </w:pPr>
      <w:r w:rsidRPr="001207F5">
        <w:rPr>
          <w:rFonts w:ascii="Cambria" w:hAnsi="Cambria"/>
          <w:sz w:val="24"/>
          <w:szCs w:val="24"/>
        </w:rPr>
        <w:t xml:space="preserve">In this study, the researcher tested the significance of the correlation at a 0.05 confidence level. The study used the following standard interpretation scale for the </w:t>
      </w:r>
      <w:proofErr w:type="spellStart"/>
      <w:r w:rsidRPr="001207F5">
        <w:rPr>
          <w:rFonts w:ascii="Cambria" w:hAnsi="Cambria"/>
          <w:sz w:val="24"/>
          <w:szCs w:val="24"/>
        </w:rPr>
        <w:t>r-value</w:t>
      </w:r>
      <w:proofErr w:type="spellEnd"/>
      <w:r w:rsidRPr="001207F5">
        <w:rPr>
          <w:rFonts w:ascii="Cambria" w:hAnsi="Cambria"/>
          <w:sz w:val="24"/>
          <w:szCs w:val="24"/>
        </w:rPr>
        <w:t>.</w:t>
      </w:r>
    </w:p>
    <w:p w14:paraId="061A337A" w14:textId="77777777" w:rsidR="00706D27" w:rsidRPr="001207F5" w:rsidRDefault="00706D27" w:rsidP="00DE5E8F">
      <w:pPr>
        <w:ind w:firstLine="720"/>
        <w:jc w:val="both"/>
        <w:rPr>
          <w:rFonts w:ascii="Cambria" w:hAnsi="Cambria"/>
          <w:sz w:val="24"/>
          <w:szCs w:val="24"/>
        </w:rPr>
      </w:pPr>
    </w:p>
    <w:p w14:paraId="31FD4562" w14:textId="77777777" w:rsidR="001D3BA0" w:rsidRPr="001207F5" w:rsidRDefault="001D3BA0" w:rsidP="001D3BA0">
      <w:pPr>
        <w:spacing w:after="0"/>
        <w:jc w:val="center"/>
        <w:rPr>
          <w:rFonts w:ascii="Cambria" w:hAnsi="Cambria"/>
          <w:sz w:val="24"/>
          <w:szCs w:val="24"/>
        </w:rPr>
      </w:pPr>
      <w:r w:rsidRPr="001207F5">
        <w:rPr>
          <w:rFonts w:ascii="Cambria" w:hAnsi="Cambria"/>
          <w:sz w:val="24"/>
          <w:szCs w:val="24"/>
        </w:rPr>
        <w:t>Computed r</w:t>
      </w:r>
      <w:r w:rsidRPr="001207F5">
        <w:rPr>
          <w:rFonts w:ascii="Cambria" w:hAnsi="Cambria"/>
          <w:sz w:val="24"/>
          <w:szCs w:val="24"/>
        </w:rPr>
        <w:tab/>
      </w:r>
      <w:r w:rsidRPr="001207F5">
        <w:rPr>
          <w:rFonts w:ascii="Cambria" w:hAnsi="Cambria"/>
          <w:sz w:val="24"/>
          <w:szCs w:val="24"/>
        </w:rPr>
        <w:tab/>
        <w:t xml:space="preserve">     Descriptive Interpretation</w:t>
      </w:r>
    </w:p>
    <w:p w14:paraId="5C5B999D" w14:textId="434D99BD" w:rsidR="001D3BA0" w:rsidRPr="001207F5" w:rsidRDefault="001D3BA0" w:rsidP="00497C58">
      <w:pPr>
        <w:spacing w:after="0"/>
        <w:ind w:left="1440"/>
        <w:rPr>
          <w:rFonts w:ascii="Cambria" w:hAnsi="Cambria"/>
          <w:sz w:val="24"/>
          <w:szCs w:val="24"/>
        </w:rPr>
      </w:pPr>
      <w:r w:rsidRPr="001207F5">
        <w:rPr>
          <w:rFonts w:ascii="Cambria" w:hAnsi="Cambria"/>
          <w:sz w:val="24"/>
          <w:szCs w:val="24"/>
        </w:rPr>
        <w:lastRenderedPageBreak/>
        <w:t xml:space="preserve">+/- 1.00 </w:t>
      </w:r>
      <w:r w:rsidRPr="001207F5">
        <w:rPr>
          <w:rFonts w:ascii="Cambria" w:hAnsi="Cambria"/>
          <w:sz w:val="24"/>
          <w:szCs w:val="24"/>
        </w:rPr>
        <w:tab/>
      </w:r>
      <w:r w:rsidRPr="001207F5">
        <w:rPr>
          <w:rFonts w:ascii="Cambria" w:hAnsi="Cambria"/>
          <w:sz w:val="24"/>
          <w:szCs w:val="24"/>
        </w:rPr>
        <w:tab/>
      </w:r>
      <w:r w:rsidRPr="001207F5">
        <w:rPr>
          <w:rFonts w:ascii="Cambria" w:hAnsi="Cambria"/>
          <w:sz w:val="24"/>
          <w:szCs w:val="24"/>
        </w:rPr>
        <w:tab/>
      </w:r>
      <w:r w:rsidR="00497C58">
        <w:rPr>
          <w:rFonts w:ascii="Cambria" w:hAnsi="Cambria"/>
          <w:sz w:val="24"/>
          <w:szCs w:val="24"/>
        </w:rPr>
        <w:t xml:space="preserve">             </w:t>
      </w:r>
      <w:r w:rsidRPr="001207F5">
        <w:rPr>
          <w:rFonts w:ascii="Cambria" w:hAnsi="Cambria"/>
          <w:sz w:val="24"/>
          <w:szCs w:val="24"/>
        </w:rPr>
        <w:t>Perfect correlation</w:t>
      </w:r>
    </w:p>
    <w:p w14:paraId="41211425" w14:textId="77777777" w:rsidR="001D3BA0" w:rsidRPr="001207F5" w:rsidRDefault="001D3BA0" w:rsidP="00497C58">
      <w:pPr>
        <w:spacing w:after="0"/>
        <w:ind w:left="1440"/>
        <w:rPr>
          <w:rFonts w:ascii="Cambria" w:hAnsi="Cambria"/>
          <w:sz w:val="24"/>
          <w:szCs w:val="24"/>
        </w:rPr>
      </w:pPr>
      <w:r w:rsidRPr="001207F5">
        <w:rPr>
          <w:rFonts w:ascii="Cambria" w:hAnsi="Cambria"/>
          <w:sz w:val="24"/>
          <w:szCs w:val="24"/>
        </w:rPr>
        <w:t xml:space="preserve">Between +/- 0.75 </w:t>
      </w:r>
      <w:proofErr w:type="gramStart"/>
      <w:r w:rsidRPr="001207F5">
        <w:rPr>
          <w:rFonts w:ascii="Cambria" w:hAnsi="Cambria"/>
          <w:sz w:val="24"/>
          <w:szCs w:val="24"/>
        </w:rPr>
        <w:t>–  +</w:t>
      </w:r>
      <w:proofErr w:type="gramEnd"/>
      <w:r w:rsidRPr="001207F5">
        <w:rPr>
          <w:rFonts w:ascii="Cambria" w:hAnsi="Cambria"/>
          <w:sz w:val="24"/>
          <w:szCs w:val="24"/>
        </w:rPr>
        <w:t>/- 0.99</w:t>
      </w:r>
      <w:r w:rsidRPr="001207F5">
        <w:rPr>
          <w:rFonts w:ascii="Cambria" w:hAnsi="Cambria"/>
          <w:sz w:val="24"/>
          <w:szCs w:val="24"/>
        </w:rPr>
        <w:tab/>
        <w:t>High correlation</w:t>
      </w:r>
    </w:p>
    <w:p w14:paraId="2D0EAFCD" w14:textId="77777777" w:rsidR="001D3BA0" w:rsidRPr="001207F5" w:rsidRDefault="001D3BA0" w:rsidP="00497C58">
      <w:pPr>
        <w:spacing w:after="0"/>
        <w:ind w:left="1440"/>
        <w:rPr>
          <w:rFonts w:ascii="Cambria" w:hAnsi="Cambria"/>
          <w:sz w:val="24"/>
          <w:szCs w:val="24"/>
        </w:rPr>
      </w:pPr>
      <w:r w:rsidRPr="001207F5">
        <w:rPr>
          <w:rFonts w:ascii="Cambria" w:hAnsi="Cambria"/>
          <w:sz w:val="24"/>
          <w:szCs w:val="24"/>
        </w:rPr>
        <w:t xml:space="preserve">Between +/- 0.51 </w:t>
      </w:r>
      <w:proofErr w:type="gramStart"/>
      <w:r w:rsidRPr="001207F5">
        <w:rPr>
          <w:rFonts w:ascii="Cambria" w:hAnsi="Cambria"/>
          <w:sz w:val="24"/>
          <w:szCs w:val="24"/>
        </w:rPr>
        <w:t>–  +</w:t>
      </w:r>
      <w:proofErr w:type="gramEnd"/>
      <w:r w:rsidRPr="001207F5">
        <w:rPr>
          <w:rFonts w:ascii="Cambria" w:hAnsi="Cambria"/>
          <w:sz w:val="24"/>
          <w:szCs w:val="24"/>
        </w:rPr>
        <w:t>/- 0.74</w:t>
      </w:r>
      <w:r w:rsidRPr="001207F5">
        <w:rPr>
          <w:rFonts w:ascii="Cambria" w:hAnsi="Cambria"/>
          <w:sz w:val="24"/>
          <w:szCs w:val="24"/>
        </w:rPr>
        <w:tab/>
        <w:t>Moderately high correlation</w:t>
      </w:r>
    </w:p>
    <w:p w14:paraId="277B1594" w14:textId="77777777" w:rsidR="001D3BA0" w:rsidRPr="001207F5" w:rsidRDefault="001D3BA0" w:rsidP="00497C58">
      <w:pPr>
        <w:spacing w:after="0"/>
        <w:ind w:left="1440"/>
        <w:rPr>
          <w:rFonts w:ascii="Cambria" w:hAnsi="Cambria"/>
          <w:sz w:val="24"/>
          <w:szCs w:val="24"/>
        </w:rPr>
      </w:pPr>
      <w:r w:rsidRPr="001207F5">
        <w:rPr>
          <w:rFonts w:ascii="Cambria" w:hAnsi="Cambria"/>
          <w:sz w:val="24"/>
          <w:szCs w:val="24"/>
        </w:rPr>
        <w:t xml:space="preserve">Between +/- 0.31 </w:t>
      </w:r>
      <w:proofErr w:type="gramStart"/>
      <w:r w:rsidRPr="001207F5">
        <w:rPr>
          <w:rFonts w:ascii="Cambria" w:hAnsi="Cambria"/>
          <w:sz w:val="24"/>
          <w:szCs w:val="24"/>
        </w:rPr>
        <w:t>–  +</w:t>
      </w:r>
      <w:proofErr w:type="gramEnd"/>
      <w:r w:rsidRPr="001207F5">
        <w:rPr>
          <w:rFonts w:ascii="Cambria" w:hAnsi="Cambria"/>
          <w:sz w:val="24"/>
          <w:szCs w:val="24"/>
        </w:rPr>
        <w:t>/- 0.50</w:t>
      </w:r>
      <w:r w:rsidRPr="001207F5">
        <w:rPr>
          <w:rFonts w:ascii="Cambria" w:hAnsi="Cambria"/>
          <w:sz w:val="24"/>
          <w:szCs w:val="24"/>
        </w:rPr>
        <w:tab/>
        <w:t>Moderately low correlation</w:t>
      </w:r>
    </w:p>
    <w:p w14:paraId="37F79AE5" w14:textId="77777777" w:rsidR="001D3BA0" w:rsidRPr="001207F5" w:rsidRDefault="001D3BA0" w:rsidP="00497C58">
      <w:pPr>
        <w:spacing w:after="0"/>
        <w:ind w:left="1440"/>
        <w:rPr>
          <w:rFonts w:ascii="Cambria" w:hAnsi="Cambria"/>
          <w:sz w:val="24"/>
          <w:szCs w:val="24"/>
        </w:rPr>
      </w:pPr>
      <w:r w:rsidRPr="001207F5">
        <w:rPr>
          <w:rFonts w:ascii="Cambria" w:hAnsi="Cambria"/>
          <w:sz w:val="24"/>
          <w:szCs w:val="24"/>
        </w:rPr>
        <w:t xml:space="preserve">Between +/- 0.01 </w:t>
      </w:r>
      <w:proofErr w:type="gramStart"/>
      <w:r w:rsidRPr="001207F5">
        <w:rPr>
          <w:rFonts w:ascii="Cambria" w:hAnsi="Cambria"/>
          <w:sz w:val="24"/>
          <w:szCs w:val="24"/>
        </w:rPr>
        <w:t>–  +</w:t>
      </w:r>
      <w:proofErr w:type="gramEnd"/>
      <w:r w:rsidRPr="001207F5">
        <w:rPr>
          <w:rFonts w:ascii="Cambria" w:hAnsi="Cambria"/>
          <w:sz w:val="24"/>
          <w:szCs w:val="24"/>
        </w:rPr>
        <w:t>/- 0.30</w:t>
      </w:r>
      <w:r w:rsidRPr="001207F5">
        <w:rPr>
          <w:rFonts w:ascii="Cambria" w:hAnsi="Cambria"/>
          <w:sz w:val="24"/>
          <w:szCs w:val="24"/>
        </w:rPr>
        <w:tab/>
        <w:t>Low correlation</w:t>
      </w:r>
    </w:p>
    <w:p w14:paraId="30FE0BA6" w14:textId="228B8047" w:rsidR="001D3BA0" w:rsidRDefault="001D3BA0" w:rsidP="00497C58">
      <w:pPr>
        <w:spacing w:after="0"/>
        <w:ind w:left="1440"/>
        <w:rPr>
          <w:rFonts w:ascii="Cambria" w:hAnsi="Cambria"/>
          <w:sz w:val="24"/>
          <w:szCs w:val="24"/>
        </w:rPr>
      </w:pPr>
      <w:r w:rsidRPr="001207F5">
        <w:rPr>
          <w:rFonts w:ascii="Cambria" w:hAnsi="Cambria"/>
          <w:sz w:val="24"/>
          <w:szCs w:val="24"/>
        </w:rPr>
        <w:t xml:space="preserve">0.00 </w:t>
      </w:r>
      <w:r w:rsidRPr="001207F5">
        <w:rPr>
          <w:rFonts w:ascii="Cambria" w:hAnsi="Cambria"/>
          <w:sz w:val="24"/>
          <w:szCs w:val="24"/>
        </w:rPr>
        <w:tab/>
      </w:r>
      <w:r w:rsidRPr="001207F5">
        <w:rPr>
          <w:rFonts w:ascii="Cambria" w:hAnsi="Cambria"/>
          <w:sz w:val="24"/>
          <w:szCs w:val="24"/>
        </w:rPr>
        <w:tab/>
      </w:r>
      <w:r w:rsidRPr="001207F5">
        <w:rPr>
          <w:rFonts w:ascii="Cambria" w:hAnsi="Cambria"/>
          <w:sz w:val="24"/>
          <w:szCs w:val="24"/>
        </w:rPr>
        <w:tab/>
      </w:r>
      <w:r w:rsidR="00497C58">
        <w:rPr>
          <w:rFonts w:ascii="Cambria" w:hAnsi="Cambria"/>
          <w:sz w:val="24"/>
          <w:szCs w:val="24"/>
        </w:rPr>
        <w:t xml:space="preserve">                           </w:t>
      </w:r>
      <w:r w:rsidRPr="001207F5">
        <w:rPr>
          <w:rFonts w:ascii="Cambria" w:hAnsi="Cambria"/>
          <w:sz w:val="24"/>
          <w:szCs w:val="24"/>
        </w:rPr>
        <w:t>No correlation</w:t>
      </w:r>
    </w:p>
    <w:p w14:paraId="5CC4D997" w14:textId="77777777" w:rsidR="008B0161" w:rsidRPr="001207F5" w:rsidRDefault="008B0161" w:rsidP="00497C58">
      <w:pPr>
        <w:spacing w:after="0"/>
        <w:ind w:left="1440"/>
        <w:rPr>
          <w:rFonts w:ascii="Cambria" w:hAnsi="Cambria"/>
          <w:sz w:val="24"/>
          <w:szCs w:val="24"/>
        </w:rPr>
      </w:pPr>
    </w:p>
    <w:p w14:paraId="1D11AB96" w14:textId="060E778B" w:rsidR="001D3BA0" w:rsidRPr="00E705F7" w:rsidRDefault="00E705F7" w:rsidP="00DE5E8F">
      <w:pPr>
        <w:ind w:firstLine="720"/>
        <w:jc w:val="both"/>
        <w:rPr>
          <w:rFonts w:ascii="Cambria" w:hAnsi="Cambria"/>
          <w:sz w:val="28"/>
          <w:szCs w:val="28"/>
        </w:rPr>
      </w:pPr>
      <w:r w:rsidRPr="00E705F7">
        <w:rPr>
          <w:rFonts w:ascii="Cambria" w:hAnsi="Cambria"/>
          <w:sz w:val="24"/>
          <w:szCs w:val="24"/>
        </w:rPr>
        <w:t xml:space="preserve">The interpretation of Pearson’s </w:t>
      </w:r>
      <w:proofErr w:type="spellStart"/>
      <w:r w:rsidRPr="00E705F7">
        <w:rPr>
          <w:rFonts w:ascii="Cambria" w:hAnsi="Cambria"/>
          <w:sz w:val="24"/>
          <w:szCs w:val="24"/>
        </w:rPr>
        <w:t>r-values</w:t>
      </w:r>
      <w:proofErr w:type="spellEnd"/>
      <w:r w:rsidRPr="00E705F7">
        <w:rPr>
          <w:rFonts w:ascii="Cambria" w:hAnsi="Cambria"/>
          <w:sz w:val="24"/>
          <w:szCs w:val="24"/>
        </w:rPr>
        <w:t xml:space="preserve"> and standardized Beta (β) coefficients in this study is based on the guidelines of Cohen (1988) for determining the strength of relationships, while Hair et al. (2019) is used to support the interpretation of regression coefficients in multivariate analysis. This combination ensures consistency and methodological rigor in interpreting both correlation and regression results.</w:t>
      </w:r>
    </w:p>
    <w:tbl>
      <w:tblPr>
        <w:tblW w:w="0" w:type="auto"/>
        <w:tblInd w:w="1875" w:type="dxa"/>
        <w:tblBorders>
          <w:top w:val="nil"/>
          <w:left w:val="nil"/>
          <w:bottom w:val="nil"/>
          <w:right w:val="nil"/>
        </w:tblBorders>
        <w:tblLayout w:type="fixed"/>
        <w:tblLook w:val="0000" w:firstRow="0" w:lastRow="0" w:firstColumn="0" w:lastColumn="0" w:noHBand="0" w:noVBand="0"/>
      </w:tblPr>
      <w:tblGrid>
        <w:gridCol w:w="2505"/>
        <w:gridCol w:w="3115"/>
      </w:tblGrid>
      <w:tr w:rsidR="001D3BA0" w:rsidRPr="001207F5" w14:paraId="40B50C9F" w14:textId="77777777" w:rsidTr="00AC6DC6">
        <w:trPr>
          <w:trHeight w:val="110"/>
        </w:trPr>
        <w:tc>
          <w:tcPr>
            <w:tcW w:w="2505" w:type="dxa"/>
          </w:tcPr>
          <w:p w14:paraId="49F04985"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b/>
                <w:bCs/>
                <w:i/>
                <w:iCs/>
                <w:color w:val="000000"/>
                <w:sz w:val="24"/>
                <w:szCs w:val="24"/>
              </w:rPr>
              <w:t>β Value Range</w:t>
            </w:r>
          </w:p>
        </w:tc>
        <w:tc>
          <w:tcPr>
            <w:tcW w:w="3115" w:type="dxa"/>
          </w:tcPr>
          <w:p w14:paraId="22415DB7"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b/>
                <w:bCs/>
                <w:i/>
                <w:iCs/>
                <w:color w:val="000000"/>
                <w:sz w:val="24"/>
                <w:szCs w:val="24"/>
              </w:rPr>
              <w:t>Strength of Relationship</w:t>
            </w:r>
          </w:p>
        </w:tc>
      </w:tr>
      <w:tr w:rsidR="001D3BA0" w:rsidRPr="001207F5" w14:paraId="0F8950FB" w14:textId="77777777" w:rsidTr="00AC6DC6">
        <w:trPr>
          <w:trHeight w:val="110"/>
        </w:trPr>
        <w:tc>
          <w:tcPr>
            <w:tcW w:w="2505" w:type="dxa"/>
          </w:tcPr>
          <w:p w14:paraId="7CB2131D"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±0.00 – ±0.09</w:t>
            </w:r>
          </w:p>
        </w:tc>
        <w:tc>
          <w:tcPr>
            <w:tcW w:w="3115" w:type="dxa"/>
          </w:tcPr>
          <w:p w14:paraId="56943A31"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Very Weak</w:t>
            </w:r>
          </w:p>
        </w:tc>
      </w:tr>
      <w:tr w:rsidR="001D3BA0" w:rsidRPr="001207F5" w14:paraId="1BEF71E6" w14:textId="77777777" w:rsidTr="00AC6DC6">
        <w:trPr>
          <w:trHeight w:val="110"/>
        </w:trPr>
        <w:tc>
          <w:tcPr>
            <w:tcW w:w="2505" w:type="dxa"/>
          </w:tcPr>
          <w:p w14:paraId="21F4653B"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±0.10 – ±0.29</w:t>
            </w:r>
          </w:p>
        </w:tc>
        <w:tc>
          <w:tcPr>
            <w:tcW w:w="3115" w:type="dxa"/>
          </w:tcPr>
          <w:p w14:paraId="37DC5D2E"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Weak</w:t>
            </w:r>
          </w:p>
        </w:tc>
      </w:tr>
      <w:tr w:rsidR="001D3BA0" w:rsidRPr="001207F5" w14:paraId="1FD17EC2" w14:textId="77777777" w:rsidTr="00AC6DC6">
        <w:trPr>
          <w:trHeight w:val="110"/>
        </w:trPr>
        <w:tc>
          <w:tcPr>
            <w:tcW w:w="2505" w:type="dxa"/>
          </w:tcPr>
          <w:p w14:paraId="4BF14345"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±0.30 – ±0.49</w:t>
            </w:r>
          </w:p>
        </w:tc>
        <w:tc>
          <w:tcPr>
            <w:tcW w:w="3115" w:type="dxa"/>
          </w:tcPr>
          <w:p w14:paraId="01AE892F"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Moderate</w:t>
            </w:r>
          </w:p>
        </w:tc>
      </w:tr>
      <w:tr w:rsidR="001D3BA0" w:rsidRPr="001207F5" w14:paraId="5DA060AC" w14:textId="77777777" w:rsidTr="00AC6DC6">
        <w:trPr>
          <w:trHeight w:val="110"/>
        </w:trPr>
        <w:tc>
          <w:tcPr>
            <w:tcW w:w="2505" w:type="dxa"/>
          </w:tcPr>
          <w:p w14:paraId="42F8922D"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±0.50 – ±0.69</w:t>
            </w:r>
          </w:p>
        </w:tc>
        <w:tc>
          <w:tcPr>
            <w:tcW w:w="3115" w:type="dxa"/>
          </w:tcPr>
          <w:p w14:paraId="550C8D95"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Strong</w:t>
            </w:r>
          </w:p>
        </w:tc>
      </w:tr>
      <w:tr w:rsidR="001D3BA0" w:rsidRPr="001207F5" w14:paraId="641EAD7C" w14:textId="77777777" w:rsidTr="00AC6DC6">
        <w:trPr>
          <w:trHeight w:val="110"/>
        </w:trPr>
        <w:tc>
          <w:tcPr>
            <w:tcW w:w="2505" w:type="dxa"/>
          </w:tcPr>
          <w:p w14:paraId="6CA994A0"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±0.70 and above</w:t>
            </w:r>
          </w:p>
        </w:tc>
        <w:tc>
          <w:tcPr>
            <w:tcW w:w="3115" w:type="dxa"/>
          </w:tcPr>
          <w:p w14:paraId="40B7BEC7" w14:textId="77777777" w:rsidR="001D3BA0" w:rsidRPr="001207F5" w:rsidRDefault="001D3BA0" w:rsidP="00AC6DC6">
            <w:pPr>
              <w:adjustRightInd w:val="0"/>
              <w:spacing w:after="0"/>
              <w:jc w:val="center"/>
              <w:rPr>
                <w:rFonts w:ascii="Cambria" w:hAnsi="Cambria"/>
                <w:color w:val="000000"/>
                <w:sz w:val="24"/>
                <w:szCs w:val="24"/>
              </w:rPr>
            </w:pPr>
            <w:r w:rsidRPr="001207F5">
              <w:rPr>
                <w:rFonts w:ascii="Cambria" w:hAnsi="Cambria"/>
                <w:color w:val="000000"/>
                <w:sz w:val="24"/>
                <w:szCs w:val="24"/>
              </w:rPr>
              <w:t>Very Strong</w:t>
            </w:r>
          </w:p>
        </w:tc>
      </w:tr>
    </w:tbl>
    <w:p w14:paraId="215B41BB" w14:textId="77777777" w:rsidR="001D3BA0" w:rsidRPr="001207F5" w:rsidRDefault="001D3BA0" w:rsidP="001D3BA0">
      <w:pPr>
        <w:jc w:val="both"/>
        <w:rPr>
          <w:rFonts w:ascii="Cambria" w:hAnsi="Cambria"/>
          <w:sz w:val="24"/>
          <w:szCs w:val="24"/>
        </w:rPr>
      </w:pPr>
    </w:p>
    <w:p w14:paraId="1C604153" w14:textId="6D5CF9EA" w:rsidR="001D3BA0" w:rsidRPr="00A94CF6" w:rsidRDefault="001D3BA0" w:rsidP="00461484">
      <w:pPr>
        <w:jc w:val="center"/>
        <w:rPr>
          <w:rFonts w:ascii="Cambria" w:hAnsi="Cambria"/>
          <w:b/>
          <w:bCs/>
          <w:sz w:val="32"/>
          <w:szCs w:val="32"/>
        </w:rPr>
      </w:pPr>
      <w:r w:rsidRPr="00A94CF6">
        <w:rPr>
          <w:rFonts w:ascii="Cambria" w:hAnsi="Cambria"/>
          <w:b/>
          <w:bCs/>
          <w:sz w:val="32"/>
          <w:szCs w:val="32"/>
        </w:rPr>
        <w:t>RESULTS</w:t>
      </w:r>
      <w:r w:rsidR="00461484">
        <w:rPr>
          <w:rFonts w:ascii="Cambria" w:hAnsi="Cambria"/>
          <w:b/>
          <w:bCs/>
          <w:sz w:val="32"/>
          <w:szCs w:val="32"/>
        </w:rPr>
        <w:t xml:space="preserve"> AND </w:t>
      </w:r>
      <w:r w:rsidR="00461484" w:rsidRPr="00A0020A">
        <w:rPr>
          <w:rFonts w:ascii="Cambria" w:hAnsi="Cambria"/>
          <w:b/>
          <w:bCs/>
          <w:sz w:val="32"/>
          <w:szCs w:val="32"/>
        </w:rPr>
        <w:t>DISCUSSIONS</w:t>
      </w:r>
    </w:p>
    <w:p w14:paraId="33B6C786" w14:textId="77777777" w:rsidR="001D3BA0" w:rsidRPr="00A56D62" w:rsidRDefault="001D3BA0" w:rsidP="001D3BA0">
      <w:pPr>
        <w:ind w:firstLine="720"/>
        <w:jc w:val="both"/>
        <w:rPr>
          <w:rFonts w:ascii="Cambria" w:hAnsi="Cambria"/>
          <w:sz w:val="24"/>
          <w:szCs w:val="24"/>
        </w:rPr>
      </w:pPr>
      <w:r w:rsidRPr="00A56D62">
        <w:rPr>
          <w:rFonts w:ascii="Cambria" w:hAnsi="Cambria"/>
          <w:sz w:val="24"/>
          <w:szCs w:val="24"/>
        </w:rPr>
        <w:t>Included in this discussion are the descriptive, correlation, and regression tabular presentations, the corresponding analyses, and the interpretation of the statistical results. This section ends with a summary of findings.</w:t>
      </w:r>
    </w:p>
    <w:p w14:paraId="06112644" w14:textId="77777777" w:rsidR="001D3BA0" w:rsidRPr="00A56D62" w:rsidRDefault="001D3BA0" w:rsidP="001D3BA0">
      <w:pPr>
        <w:rPr>
          <w:rFonts w:ascii="Cambria" w:hAnsi="Cambria"/>
          <w:b/>
          <w:bCs/>
          <w:sz w:val="24"/>
          <w:szCs w:val="24"/>
        </w:rPr>
      </w:pPr>
      <w:r w:rsidRPr="00A56D62">
        <w:rPr>
          <w:rFonts w:ascii="Cambria" w:hAnsi="Cambria"/>
          <w:b/>
          <w:bCs/>
          <w:sz w:val="24"/>
          <w:szCs w:val="24"/>
        </w:rPr>
        <w:t>Descriptive Results</w:t>
      </w:r>
    </w:p>
    <w:p w14:paraId="5AF5B639" w14:textId="6E24D98F" w:rsidR="001D3BA0" w:rsidRPr="00A56D62" w:rsidRDefault="001D3BA0" w:rsidP="008B0161">
      <w:pPr>
        <w:ind w:firstLine="720"/>
        <w:jc w:val="both"/>
        <w:rPr>
          <w:rFonts w:ascii="Cambria" w:hAnsi="Cambria"/>
          <w:sz w:val="24"/>
          <w:szCs w:val="24"/>
        </w:rPr>
      </w:pPr>
      <w:r w:rsidRPr="00A56D62">
        <w:rPr>
          <w:rFonts w:ascii="Cambria" w:hAnsi="Cambria"/>
          <w:sz w:val="24"/>
          <w:szCs w:val="24"/>
        </w:rPr>
        <w:t>Table 1 presents the descriptive statistics of the study. It includes the variables examined, namely, principal neglect, teacher professional development, and classroom management, along with their respective indicators. The table also displays the number of samples, the standard deviation, the mean, and the descriptive levels for each variable.</w:t>
      </w:r>
    </w:p>
    <w:p w14:paraId="1F5C9967" w14:textId="77777777" w:rsidR="001D3BA0" w:rsidRPr="00FA0786" w:rsidRDefault="001D3BA0" w:rsidP="001D3BA0">
      <w:pPr>
        <w:spacing w:before="281" w:after="21"/>
        <w:rPr>
          <w:rFonts w:ascii="Cambria" w:hAnsi="Cambria"/>
          <w:b/>
          <w:bCs/>
          <w:i/>
          <w:spacing w:val="-4"/>
          <w:sz w:val="24"/>
          <w:szCs w:val="24"/>
        </w:rPr>
      </w:pPr>
      <w:r w:rsidRPr="00FA0786">
        <w:rPr>
          <w:rFonts w:ascii="Cambria" w:hAnsi="Cambria"/>
          <w:b/>
          <w:bCs/>
          <w:i/>
          <w:sz w:val="24"/>
          <w:szCs w:val="24"/>
        </w:rPr>
        <w:t>Table</w:t>
      </w:r>
      <w:r w:rsidRPr="00FA0786">
        <w:rPr>
          <w:rFonts w:ascii="Cambria" w:hAnsi="Cambria"/>
          <w:b/>
          <w:bCs/>
          <w:i/>
          <w:spacing w:val="-4"/>
          <w:sz w:val="24"/>
          <w:szCs w:val="24"/>
        </w:rPr>
        <w:t xml:space="preserve"> </w:t>
      </w:r>
      <w:r w:rsidRPr="00FA0786">
        <w:rPr>
          <w:rFonts w:ascii="Cambria" w:hAnsi="Cambria"/>
          <w:b/>
          <w:bCs/>
          <w:i/>
          <w:sz w:val="24"/>
          <w:szCs w:val="24"/>
        </w:rPr>
        <w:t>1:</w:t>
      </w:r>
      <w:r w:rsidRPr="00FA0786">
        <w:rPr>
          <w:rFonts w:ascii="Cambria" w:hAnsi="Cambria"/>
          <w:b/>
          <w:bCs/>
          <w:i/>
          <w:spacing w:val="-3"/>
          <w:sz w:val="24"/>
          <w:szCs w:val="24"/>
        </w:rPr>
        <w:t xml:space="preserve"> </w:t>
      </w:r>
      <w:r w:rsidRPr="00FA0786">
        <w:rPr>
          <w:rFonts w:ascii="Cambria" w:hAnsi="Cambria"/>
          <w:b/>
          <w:bCs/>
          <w:i/>
          <w:sz w:val="24"/>
          <w:szCs w:val="24"/>
        </w:rPr>
        <w:t>Descriptive</w:t>
      </w:r>
      <w:r w:rsidRPr="00FA0786">
        <w:rPr>
          <w:rFonts w:ascii="Cambria" w:hAnsi="Cambria"/>
          <w:b/>
          <w:bCs/>
          <w:i/>
          <w:spacing w:val="-3"/>
          <w:sz w:val="24"/>
          <w:szCs w:val="24"/>
        </w:rPr>
        <w:t xml:space="preserve"> </w:t>
      </w:r>
      <w:r w:rsidRPr="00FA0786">
        <w:rPr>
          <w:rFonts w:ascii="Cambria" w:hAnsi="Cambria"/>
          <w:b/>
          <w:bCs/>
          <w:i/>
          <w:sz w:val="24"/>
          <w:szCs w:val="24"/>
        </w:rPr>
        <w:t>Statistics</w:t>
      </w:r>
      <w:r w:rsidRPr="00FA0786">
        <w:rPr>
          <w:rFonts w:ascii="Cambria" w:hAnsi="Cambria"/>
          <w:b/>
          <w:bCs/>
          <w:i/>
          <w:spacing w:val="-4"/>
          <w:sz w:val="24"/>
          <w:szCs w:val="24"/>
        </w:rPr>
        <w:t xml:space="preserve"> </w:t>
      </w:r>
      <w:r w:rsidRPr="00FA0786">
        <w:rPr>
          <w:rFonts w:ascii="Cambria" w:hAnsi="Cambria"/>
          <w:b/>
          <w:bCs/>
          <w:i/>
          <w:sz w:val="24"/>
          <w:szCs w:val="24"/>
        </w:rPr>
        <w:t>(N</w:t>
      </w:r>
      <w:r w:rsidRPr="00FA0786">
        <w:rPr>
          <w:rFonts w:ascii="Cambria" w:hAnsi="Cambria"/>
          <w:b/>
          <w:bCs/>
          <w:i/>
          <w:spacing w:val="-2"/>
          <w:sz w:val="24"/>
          <w:szCs w:val="24"/>
        </w:rPr>
        <w:t xml:space="preserve"> </w:t>
      </w:r>
      <w:r w:rsidRPr="00FA0786">
        <w:rPr>
          <w:rFonts w:ascii="Cambria" w:hAnsi="Cambria"/>
          <w:b/>
          <w:bCs/>
          <w:i/>
          <w:sz w:val="24"/>
          <w:szCs w:val="24"/>
        </w:rPr>
        <w:t>=</w:t>
      </w:r>
      <w:r w:rsidRPr="00FA0786">
        <w:rPr>
          <w:rFonts w:ascii="Cambria" w:hAnsi="Cambria"/>
          <w:b/>
          <w:bCs/>
          <w:i/>
          <w:spacing w:val="-5"/>
          <w:sz w:val="24"/>
          <w:szCs w:val="24"/>
        </w:rPr>
        <w:t xml:space="preserve"> </w:t>
      </w:r>
      <w:r w:rsidRPr="00FA0786">
        <w:rPr>
          <w:rFonts w:ascii="Cambria" w:hAnsi="Cambria"/>
          <w:b/>
          <w:bCs/>
          <w:i/>
          <w:spacing w:val="-4"/>
          <w:sz w:val="24"/>
          <w:szCs w:val="24"/>
        </w:rPr>
        <w:t>180)</w:t>
      </w:r>
    </w:p>
    <w:tbl>
      <w:tblPr>
        <w:tblStyle w:val="TableGrid"/>
        <w:tblW w:w="9376" w:type="dxa"/>
        <w:tblLayout w:type="fixed"/>
        <w:tblLook w:val="0000" w:firstRow="0" w:lastRow="0" w:firstColumn="0" w:lastColumn="0" w:noHBand="0" w:noVBand="0"/>
      </w:tblPr>
      <w:tblGrid>
        <w:gridCol w:w="3848"/>
        <w:gridCol w:w="850"/>
        <w:gridCol w:w="1707"/>
        <w:gridCol w:w="1553"/>
        <w:gridCol w:w="1418"/>
      </w:tblGrid>
      <w:tr w:rsidR="001D3BA0" w:rsidRPr="00A56D62" w14:paraId="6C627706" w14:textId="77777777" w:rsidTr="00FA0786">
        <w:tc>
          <w:tcPr>
            <w:tcW w:w="3848" w:type="dxa"/>
          </w:tcPr>
          <w:p w14:paraId="3E75BF16" w14:textId="77777777" w:rsidR="001D3BA0" w:rsidRPr="00A56D62" w:rsidRDefault="001D3BA0" w:rsidP="00AC6DC6">
            <w:pPr>
              <w:adjustRightInd w:val="0"/>
              <w:spacing w:line="320" w:lineRule="atLeast"/>
              <w:ind w:left="60" w:right="60"/>
              <w:rPr>
                <w:rFonts w:ascii="Cambria" w:hAnsi="Cambria" w:cs="Arial"/>
                <w:color w:val="000000"/>
                <w:sz w:val="24"/>
                <w:szCs w:val="24"/>
              </w:rPr>
            </w:pPr>
          </w:p>
        </w:tc>
        <w:tc>
          <w:tcPr>
            <w:tcW w:w="850" w:type="dxa"/>
          </w:tcPr>
          <w:p w14:paraId="46309173" w14:textId="77777777" w:rsidR="001D3BA0" w:rsidRPr="00A56D62" w:rsidRDefault="001D3BA0" w:rsidP="00AC6DC6">
            <w:pPr>
              <w:adjustRightInd w:val="0"/>
              <w:spacing w:line="320" w:lineRule="atLeast"/>
              <w:ind w:left="60" w:right="60"/>
              <w:jc w:val="center"/>
              <w:rPr>
                <w:rFonts w:ascii="Cambria" w:hAnsi="Cambria" w:cs="Arial"/>
                <w:b/>
                <w:bCs/>
                <w:color w:val="000000"/>
                <w:sz w:val="24"/>
                <w:szCs w:val="24"/>
              </w:rPr>
            </w:pPr>
            <w:r w:rsidRPr="00A56D62">
              <w:rPr>
                <w:rFonts w:ascii="Cambria" w:hAnsi="Cambria" w:cs="Arial"/>
                <w:b/>
                <w:bCs/>
                <w:color w:val="000000"/>
                <w:sz w:val="24"/>
                <w:szCs w:val="24"/>
              </w:rPr>
              <w:t>N</w:t>
            </w:r>
          </w:p>
        </w:tc>
        <w:tc>
          <w:tcPr>
            <w:tcW w:w="1707" w:type="dxa"/>
          </w:tcPr>
          <w:p w14:paraId="5048B62D" w14:textId="77777777" w:rsidR="001D3BA0" w:rsidRPr="00A56D62" w:rsidRDefault="001D3BA0" w:rsidP="00AC6DC6">
            <w:pPr>
              <w:adjustRightInd w:val="0"/>
              <w:spacing w:line="320" w:lineRule="atLeast"/>
              <w:ind w:left="60" w:right="60"/>
              <w:jc w:val="center"/>
              <w:rPr>
                <w:rFonts w:ascii="Cambria" w:hAnsi="Cambria" w:cs="Arial"/>
                <w:b/>
                <w:bCs/>
                <w:color w:val="000000"/>
                <w:sz w:val="24"/>
                <w:szCs w:val="24"/>
              </w:rPr>
            </w:pPr>
            <w:r w:rsidRPr="00A56D62">
              <w:rPr>
                <w:rFonts w:ascii="Cambria" w:hAnsi="Cambria" w:cs="Arial"/>
                <w:b/>
                <w:bCs/>
                <w:color w:val="000000"/>
                <w:sz w:val="24"/>
                <w:szCs w:val="24"/>
              </w:rPr>
              <w:t>Standard Deviation</w:t>
            </w:r>
          </w:p>
        </w:tc>
        <w:tc>
          <w:tcPr>
            <w:tcW w:w="1553" w:type="dxa"/>
          </w:tcPr>
          <w:p w14:paraId="1081CE8B" w14:textId="77777777" w:rsidR="001D3BA0" w:rsidRPr="00A56D62" w:rsidRDefault="001D3BA0" w:rsidP="00AC6DC6">
            <w:pPr>
              <w:adjustRightInd w:val="0"/>
              <w:spacing w:line="320" w:lineRule="atLeast"/>
              <w:ind w:left="60" w:right="60"/>
              <w:jc w:val="center"/>
              <w:rPr>
                <w:rFonts w:ascii="Cambria" w:hAnsi="Cambria" w:cs="Arial"/>
                <w:b/>
                <w:bCs/>
                <w:color w:val="000000"/>
                <w:sz w:val="24"/>
                <w:szCs w:val="24"/>
              </w:rPr>
            </w:pPr>
            <w:r w:rsidRPr="00A56D62">
              <w:rPr>
                <w:rFonts w:ascii="Cambria" w:hAnsi="Cambria" w:cs="Arial"/>
                <w:b/>
                <w:bCs/>
                <w:color w:val="000000"/>
                <w:sz w:val="24"/>
                <w:szCs w:val="24"/>
              </w:rPr>
              <w:t>Mean</w:t>
            </w:r>
          </w:p>
        </w:tc>
        <w:tc>
          <w:tcPr>
            <w:tcW w:w="1418" w:type="dxa"/>
          </w:tcPr>
          <w:p w14:paraId="5EDD5714" w14:textId="77777777" w:rsidR="001D3BA0" w:rsidRPr="00A56D62" w:rsidRDefault="001D3BA0" w:rsidP="00AC6DC6">
            <w:pPr>
              <w:adjustRightInd w:val="0"/>
              <w:spacing w:line="320" w:lineRule="atLeast"/>
              <w:ind w:left="60" w:right="60"/>
              <w:jc w:val="center"/>
              <w:rPr>
                <w:rFonts w:ascii="Cambria" w:hAnsi="Cambria" w:cs="Arial"/>
                <w:b/>
                <w:bCs/>
                <w:color w:val="000000"/>
                <w:sz w:val="24"/>
                <w:szCs w:val="24"/>
              </w:rPr>
            </w:pPr>
            <w:r w:rsidRPr="00A56D62">
              <w:rPr>
                <w:rFonts w:ascii="Cambria" w:hAnsi="Cambria" w:cs="Arial"/>
                <w:b/>
                <w:bCs/>
                <w:color w:val="000000"/>
                <w:sz w:val="24"/>
                <w:szCs w:val="24"/>
              </w:rPr>
              <w:t>Descriptive Level</w:t>
            </w:r>
          </w:p>
        </w:tc>
      </w:tr>
      <w:tr w:rsidR="001D3BA0" w:rsidRPr="00A56D62" w14:paraId="5C976C46" w14:textId="77777777" w:rsidTr="00FA0786">
        <w:tc>
          <w:tcPr>
            <w:tcW w:w="3848" w:type="dxa"/>
          </w:tcPr>
          <w:p w14:paraId="187D1C71" w14:textId="77777777" w:rsidR="001D3BA0" w:rsidRPr="00A56D62" w:rsidRDefault="001D3BA0" w:rsidP="00AC6DC6">
            <w:pPr>
              <w:adjustRightInd w:val="0"/>
              <w:spacing w:line="320" w:lineRule="atLeast"/>
              <w:ind w:left="60" w:right="60"/>
              <w:rPr>
                <w:rFonts w:ascii="Cambria" w:hAnsi="Cambria" w:cs="Arial"/>
                <w:b/>
                <w:color w:val="000000"/>
                <w:sz w:val="24"/>
                <w:szCs w:val="24"/>
              </w:rPr>
            </w:pPr>
            <w:r w:rsidRPr="00A56D62">
              <w:rPr>
                <w:rFonts w:ascii="Cambria" w:hAnsi="Cambria" w:cs="Arial"/>
                <w:b/>
                <w:color w:val="000000"/>
                <w:sz w:val="24"/>
                <w:szCs w:val="24"/>
              </w:rPr>
              <w:t>Principal Neglect</w:t>
            </w:r>
          </w:p>
        </w:tc>
        <w:tc>
          <w:tcPr>
            <w:tcW w:w="850" w:type="dxa"/>
          </w:tcPr>
          <w:p w14:paraId="12B8C6E3" w14:textId="77777777" w:rsidR="001D3BA0" w:rsidRPr="00A56D62" w:rsidRDefault="001D3BA0" w:rsidP="00AC6DC6">
            <w:pPr>
              <w:adjustRightInd w:val="0"/>
              <w:spacing w:line="320" w:lineRule="atLeast"/>
              <w:ind w:left="60" w:right="60"/>
              <w:jc w:val="center"/>
              <w:rPr>
                <w:rFonts w:ascii="Cambria" w:hAnsi="Cambria" w:cs="Arial"/>
                <w:b/>
                <w:i/>
                <w:iCs/>
                <w:color w:val="000000"/>
                <w:sz w:val="24"/>
                <w:szCs w:val="24"/>
              </w:rPr>
            </w:pPr>
            <w:r w:rsidRPr="00A56D62">
              <w:rPr>
                <w:rFonts w:ascii="Cambria" w:hAnsi="Cambria" w:cs="Arial"/>
                <w:b/>
                <w:i/>
                <w:iCs/>
                <w:color w:val="000000"/>
                <w:sz w:val="24"/>
                <w:szCs w:val="24"/>
              </w:rPr>
              <w:t>180</w:t>
            </w:r>
          </w:p>
        </w:tc>
        <w:tc>
          <w:tcPr>
            <w:tcW w:w="1707" w:type="dxa"/>
          </w:tcPr>
          <w:p w14:paraId="55B2AFE8" w14:textId="77777777" w:rsidR="001D3BA0" w:rsidRPr="00A56D62" w:rsidRDefault="001D3BA0" w:rsidP="00AC6DC6">
            <w:pPr>
              <w:adjustRightInd w:val="0"/>
              <w:spacing w:line="320" w:lineRule="atLeast"/>
              <w:ind w:left="60" w:right="60"/>
              <w:jc w:val="center"/>
              <w:rPr>
                <w:rFonts w:ascii="Cambria" w:hAnsi="Cambria" w:cs="Arial"/>
                <w:b/>
                <w:i/>
                <w:iCs/>
                <w:color w:val="000000"/>
                <w:sz w:val="24"/>
                <w:szCs w:val="24"/>
              </w:rPr>
            </w:pPr>
            <w:r w:rsidRPr="00A56D62">
              <w:rPr>
                <w:rFonts w:ascii="Cambria" w:hAnsi="Cambria" w:cs="Arial"/>
                <w:b/>
                <w:i/>
                <w:iCs/>
                <w:color w:val="000000"/>
                <w:sz w:val="24"/>
                <w:szCs w:val="24"/>
              </w:rPr>
              <w:t>.38</w:t>
            </w:r>
          </w:p>
        </w:tc>
        <w:tc>
          <w:tcPr>
            <w:tcW w:w="1553" w:type="dxa"/>
          </w:tcPr>
          <w:p w14:paraId="43132F06" w14:textId="77777777" w:rsidR="001D3BA0" w:rsidRPr="00A56D62" w:rsidRDefault="001D3BA0" w:rsidP="00AC6DC6">
            <w:pPr>
              <w:adjustRightInd w:val="0"/>
              <w:spacing w:line="320" w:lineRule="atLeast"/>
              <w:ind w:left="60" w:right="60"/>
              <w:jc w:val="center"/>
              <w:rPr>
                <w:rFonts w:ascii="Cambria" w:hAnsi="Cambria" w:cs="Arial"/>
                <w:b/>
                <w:i/>
                <w:iCs/>
                <w:color w:val="000000"/>
                <w:sz w:val="24"/>
                <w:szCs w:val="24"/>
              </w:rPr>
            </w:pPr>
            <w:r w:rsidRPr="00A56D62">
              <w:rPr>
                <w:rFonts w:ascii="Cambria" w:hAnsi="Cambria" w:cs="Arial"/>
                <w:b/>
                <w:i/>
                <w:iCs/>
                <w:color w:val="000000"/>
                <w:sz w:val="24"/>
                <w:szCs w:val="24"/>
              </w:rPr>
              <w:t>1.39</w:t>
            </w:r>
          </w:p>
        </w:tc>
        <w:tc>
          <w:tcPr>
            <w:tcW w:w="1418" w:type="dxa"/>
          </w:tcPr>
          <w:p w14:paraId="51FFC78E" w14:textId="77777777" w:rsidR="001D3BA0" w:rsidRPr="00A56D62" w:rsidRDefault="001D3BA0" w:rsidP="00AC6DC6">
            <w:pPr>
              <w:adjustRightInd w:val="0"/>
              <w:spacing w:line="320" w:lineRule="atLeast"/>
              <w:ind w:left="60" w:right="60"/>
              <w:jc w:val="center"/>
              <w:rPr>
                <w:rFonts w:ascii="Cambria" w:hAnsi="Cambria" w:cs="Arial"/>
                <w:b/>
                <w:bCs/>
                <w:i/>
                <w:iCs/>
                <w:color w:val="000000"/>
                <w:sz w:val="24"/>
                <w:szCs w:val="24"/>
              </w:rPr>
            </w:pPr>
            <w:r w:rsidRPr="00A56D62">
              <w:rPr>
                <w:rFonts w:ascii="Cambria" w:hAnsi="Cambria" w:cs="Arial"/>
                <w:b/>
                <w:bCs/>
                <w:i/>
                <w:iCs/>
                <w:color w:val="000000"/>
                <w:sz w:val="24"/>
                <w:szCs w:val="24"/>
              </w:rPr>
              <w:t>Very Low</w:t>
            </w:r>
          </w:p>
        </w:tc>
      </w:tr>
      <w:tr w:rsidR="001D3BA0" w:rsidRPr="00A56D62" w14:paraId="55B9825D" w14:textId="77777777" w:rsidTr="00FA0786">
        <w:tc>
          <w:tcPr>
            <w:tcW w:w="3848" w:type="dxa"/>
          </w:tcPr>
          <w:p w14:paraId="3821A387" w14:textId="77777777" w:rsidR="001D3BA0" w:rsidRPr="00A56D62" w:rsidRDefault="001D3BA0" w:rsidP="00AC6DC6">
            <w:pPr>
              <w:adjustRightInd w:val="0"/>
              <w:spacing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Emotional Support</w:t>
            </w:r>
          </w:p>
        </w:tc>
        <w:tc>
          <w:tcPr>
            <w:tcW w:w="850" w:type="dxa"/>
          </w:tcPr>
          <w:p w14:paraId="7D8B53AC"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6515E152"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.45</w:t>
            </w:r>
          </w:p>
        </w:tc>
        <w:tc>
          <w:tcPr>
            <w:tcW w:w="1553" w:type="dxa"/>
          </w:tcPr>
          <w:p w14:paraId="1372001A"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1.41</w:t>
            </w:r>
          </w:p>
        </w:tc>
        <w:tc>
          <w:tcPr>
            <w:tcW w:w="1418" w:type="dxa"/>
          </w:tcPr>
          <w:p w14:paraId="177A9BD9"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Low</w:t>
            </w:r>
          </w:p>
        </w:tc>
      </w:tr>
      <w:tr w:rsidR="001D3BA0" w:rsidRPr="00A56D62" w14:paraId="4D92E4C4" w14:textId="77777777" w:rsidTr="00FA0786">
        <w:tc>
          <w:tcPr>
            <w:tcW w:w="3848" w:type="dxa"/>
          </w:tcPr>
          <w:p w14:paraId="48CAFBE8" w14:textId="77777777" w:rsidR="001D3BA0" w:rsidRPr="00A56D62" w:rsidRDefault="001D3BA0" w:rsidP="00AC6DC6">
            <w:pPr>
              <w:adjustRightInd w:val="0"/>
              <w:spacing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Professional Support</w:t>
            </w:r>
          </w:p>
        </w:tc>
        <w:tc>
          <w:tcPr>
            <w:tcW w:w="850" w:type="dxa"/>
          </w:tcPr>
          <w:p w14:paraId="2E2ED01E"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54F2EAC2"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.43</w:t>
            </w:r>
          </w:p>
        </w:tc>
        <w:tc>
          <w:tcPr>
            <w:tcW w:w="1553" w:type="dxa"/>
          </w:tcPr>
          <w:p w14:paraId="062508D8"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1.35</w:t>
            </w:r>
          </w:p>
        </w:tc>
        <w:tc>
          <w:tcPr>
            <w:tcW w:w="1418" w:type="dxa"/>
          </w:tcPr>
          <w:p w14:paraId="55D0FD51"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Low</w:t>
            </w:r>
          </w:p>
        </w:tc>
      </w:tr>
      <w:tr w:rsidR="001D3BA0" w:rsidRPr="00A56D62" w14:paraId="4DF7C1CC" w14:textId="77777777" w:rsidTr="00FA0786">
        <w:tc>
          <w:tcPr>
            <w:tcW w:w="3848" w:type="dxa"/>
          </w:tcPr>
          <w:p w14:paraId="175F12F7" w14:textId="77777777" w:rsidR="001D3BA0" w:rsidRPr="00A56D62" w:rsidRDefault="001D3BA0" w:rsidP="00AC6DC6">
            <w:pPr>
              <w:adjustRightInd w:val="0"/>
              <w:spacing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Instrumental Support</w:t>
            </w:r>
          </w:p>
        </w:tc>
        <w:tc>
          <w:tcPr>
            <w:tcW w:w="850" w:type="dxa"/>
          </w:tcPr>
          <w:p w14:paraId="35674674"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560696DF"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.47</w:t>
            </w:r>
          </w:p>
        </w:tc>
        <w:tc>
          <w:tcPr>
            <w:tcW w:w="1553" w:type="dxa"/>
          </w:tcPr>
          <w:p w14:paraId="55D6D4D5"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1.43</w:t>
            </w:r>
          </w:p>
        </w:tc>
        <w:tc>
          <w:tcPr>
            <w:tcW w:w="1418" w:type="dxa"/>
          </w:tcPr>
          <w:p w14:paraId="2DAFD7D5"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Low</w:t>
            </w:r>
          </w:p>
        </w:tc>
      </w:tr>
      <w:tr w:rsidR="001D3BA0" w:rsidRPr="00A56D62" w14:paraId="1964AF02" w14:textId="77777777" w:rsidTr="00FA0786">
        <w:tc>
          <w:tcPr>
            <w:tcW w:w="3848" w:type="dxa"/>
          </w:tcPr>
          <w:p w14:paraId="34D28A86" w14:textId="77777777" w:rsidR="001D3BA0" w:rsidRPr="00A56D62" w:rsidRDefault="001D3BA0" w:rsidP="00AC6DC6">
            <w:pPr>
              <w:adjustRightInd w:val="0"/>
              <w:spacing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Appraisal Support</w:t>
            </w:r>
          </w:p>
        </w:tc>
        <w:tc>
          <w:tcPr>
            <w:tcW w:w="850" w:type="dxa"/>
          </w:tcPr>
          <w:p w14:paraId="0C19013D"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36512A5F"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.46</w:t>
            </w:r>
          </w:p>
        </w:tc>
        <w:tc>
          <w:tcPr>
            <w:tcW w:w="1553" w:type="dxa"/>
          </w:tcPr>
          <w:p w14:paraId="62D3549A"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1.39</w:t>
            </w:r>
          </w:p>
        </w:tc>
        <w:tc>
          <w:tcPr>
            <w:tcW w:w="1418" w:type="dxa"/>
          </w:tcPr>
          <w:p w14:paraId="60618CD5"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Low</w:t>
            </w:r>
          </w:p>
        </w:tc>
      </w:tr>
      <w:tr w:rsidR="001D3BA0" w:rsidRPr="00A56D62" w14:paraId="42A66322" w14:textId="77777777" w:rsidTr="00FA0786">
        <w:tc>
          <w:tcPr>
            <w:tcW w:w="3848" w:type="dxa"/>
          </w:tcPr>
          <w:p w14:paraId="469A9B38" w14:textId="77777777" w:rsidR="001D3BA0" w:rsidRPr="00A56D62" w:rsidRDefault="001D3BA0" w:rsidP="00AC6DC6">
            <w:pPr>
              <w:adjustRightInd w:val="0"/>
              <w:spacing w:line="320" w:lineRule="atLeast"/>
              <w:ind w:left="60" w:right="60"/>
              <w:rPr>
                <w:rFonts w:ascii="Cambria" w:hAnsi="Cambria" w:cs="Arial"/>
                <w:b/>
                <w:color w:val="000000"/>
                <w:sz w:val="24"/>
                <w:szCs w:val="24"/>
              </w:rPr>
            </w:pPr>
            <w:r w:rsidRPr="00A56D62">
              <w:rPr>
                <w:rFonts w:ascii="Cambria" w:hAnsi="Cambria" w:cs="Arial"/>
                <w:b/>
                <w:color w:val="000000"/>
                <w:sz w:val="24"/>
                <w:szCs w:val="24"/>
              </w:rPr>
              <w:t>Teacher Professional Development</w:t>
            </w:r>
          </w:p>
        </w:tc>
        <w:tc>
          <w:tcPr>
            <w:tcW w:w="850" w:type="dxa"/>
          </w:tcPr>
          <w:p w14:paraId="344195BA" w14:textId="77777777" w:rsidR="001D3BA0" w:rsidRPr="00A56D62" w:rsidRDefault="001D3BA0" w:rsidP="00AC6DC6">
            <w:pPr>
              <w:adjustRightInd w:val="0"/>
              <w:spacing w:line="320" w:lineRule="atLeast"/>
              <w:ind w:left="60" w:right="60"/>
              <w:jc w:val="center"/>
              <w:rPr>
                <w:rFonts w:ascii="Cambria" w:hAnsi="Cambria" w:cs="Arial"/>
                <w:b/>
                <w:i/>
                <w:iCs/>
                <w:color w:val="000000"/>
                <w:sz w:val="24"/>
                <w:szCs w:val="24"/>
              </w:rPr>
            </w:pPr>
            <w:r w:rsidRPr="00A56D62">
              <w:rPr>
                <w:rFonts w:ascii="Cambria" w:hAnsi="Cambria" w:cs="Arial"/>
                <w:b/>
                <w:i/>
                <w:iCs/>
                <w:color w:val="000000"/>
                <w:sz w:val="24"/>
                <w:szCs w:val="24"/>
              </w:rPr>
              <w:t>180</w:t>
            </w:r>
          </w:p>
        </w:tc>
        <w:tc>
          <w:tcPr>
            <w:tcW w:w="1707" w:type="dxa"/>
          </w:tcPr>
          <w:p w14:paraId="5319C701" w14:textId="77777777" w:rsidR="001D3BA0" w:rsidRPr="00A56D62" w:rsidRDefault="001D3BA0" w:rsidP="00AC6DC6">
            <w:pPr>
              <w:adjustRightInd w:val="0"/>
              <w:spacing w:line="320" w:lineRule="atLeast"/>
              <w:ind w:left="60" w:right="60"/>
              <w:jc w:val="center"/>
              <w:rPr>
                <w:rFonts w:ascii="Cambria" w:hAnsi="Cambria" w:cs="Arial"/>
                <w:b/>
                <w:i/>
                <w:iCs/>
                <w:color w:val="000000"/>
                <w:sz w:val="24"/>
                <w:szCs w:val="24"/>
              </w:rPr>
            </w:pPr>
            <w:r w:rsidRPr="00A56D62">
              <w:rPr>
                <w:rFonts w:ascii="Cambria" w:hAnsi="Cambria" w:cs="Arial"/>
                <w:b/>
                <w:i/>
                <w:iCs/>
                <w:color w:val="000000"/>
                <w:sz w:val="24"/>
                <w:szCs w:val="24"/>
              </w:rPr>
              <w:t>.30</w:t>
            </w:r>
          </w:p>
        </w:tc>
        <w:tc>
          <w:tcPr>
            <w:tcW w:w="1553" w:type="dxa"/>
          </w:tcPr>
          <w:p w14:paraId="1EF44150" w14:textId="77777777" w:rsidR="001D3BA0" w:rsidRPr="00A56D62" w:rsidRDefault="001D3BA0" w:rsidP="00AC6DC6">
            <w:pPr>
              <w:adjustRightInd w:val="0"/>
              <w:spacing w:line="320" w:lineRule="atLeast"/>
              <w:ind w:left="60" w:right="60"/>
              <w:jc w:val="center"/>
              <w:rPr>
                <w:rFonts w:ascii="Cambria" w:hAnsi="Cambria" w:cs="Arial"/>
                <w:b/>
                <w:i/>
                <w:iCs/>
                <w:color w:val="000000"/>
                <w:sz w:val="24"/>
                <w:szCs w:val="24"/>
              </w:rPr>
            </w:pPr>
            <w:r w:rsidRPr="00A56D62">
              <w:rPr>
                <w:rFonts w:ascii="Cambria" w:hAnsi="Cambria" w:cs="Arial"/>
                <w:b/>
                <w:i/>
                <w:iCs/>
                <w:color w:val="000000"/>
                <w:sz w:val="24"/>
                <w:szCs w:val="24"/>
              </w:rPr>
              <w:t>3.61</w:t>
            </w:r>
          </w:p>
        </w:tc>
        <w:tc>
          <w:tcPr>
            <w:tcW w:w="1418" w:type="dxa"/>
          </w:tcPr>
          <w:p w14:paraId="1B7A6CA3" w14:textId="77777777" w:rsidR="001D3BA0" w:rsidRPr="00A56D62" w:rsidRDefault="001D3BA0" w:rsidP="00AC6DC6">
            <w:pPr>
              <w:adjustRightInd w:val="0"/>
              <w:spacing w:line="320" w:lineRule="atLeast"/>
              <w:ind w:left="60" w:right="60"/>
              <w:jc w:val="center"/>
              <w:rPr>
                <w:rFonts w:ascii="Cambria" w:hAnsi="Cambria" w:cs="Arial"/>
                <w:b/>
                <w:bCs/>
                <w:i/>
                <w:iCs/>
                <w:color w:val="000000"/>
                <w:sz w:val="24"/>
                <w:szCs w:val="24"/>
              </w:rPr>
            </w:pPr>
            <w:r w:rsidRPr="00A56D62">
              <w:rPr>
                <w:rFonts w:ascii="Cambria" w:hAnsi="Cambria" w:cs="Arial"/>
                <w:b/>
                <w:bCs/>
                <w:i/>
                <w:iCs/>
                <w:color w:val="000000"/>
                <w:sz w:val="24"/>
                <w:szCs w:val="24"/>
              </w:rPr>
              <w:t>Very High</w:t>
            </w:r>
          </w:p>
        </w:tc>
      </w:tr>
      <w:tr w:rsidR="001D3BA0" w:rsidRPr="00A56D62" w14:paraId="664F72D0" w14:textId="77777777" w:rsidTr="00FA0786">
        <w:tc>
          <w:tcPr>
            <w:tcW w:w="3848" w:type="dxa"/>
          </w:tcPr>
          <w:p w14:paraId="0435F8DB" w14:textId="77777777" w:rsidR="001D3BA0" w:rsidRPr="00A56D62" w:rsidRDefault="001D3BA0" w:rsidP="00AC6DC6">
            <w:pPr>
              <w:adjustRightInd w:val="0"/>
              <w:spacing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Active Learning in the Classroom</w:t>
            </w:r>
          </w:p>
        </w:tc>
        <w:tc>
          <w:tcPr>
            <w:tcW w:w="850" w:type="dxa"/>
          </w:tcPr>
          <w:p w14:paraId="25989372"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695D447E"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.38</w:t>
            </w:r>
          </w:p>
        </w:tc>
        <w:tc>
          <w:tcPr>
            <w:tcW w:w="1553" w:type="dxa"/>
          </w:tcPr>
          <w:p w14:paraId="3A198BF0"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3.71</w:t>
            </w:r>
          </w:p>
        </w:tc>
        <w:tc>
          <w:tcPr>
            <w:tcW w:w="1418" w:type="dxa"/>
          </w:tcPr>
          <w:p w14:paraId="011A3AD3"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2E177533" w14:textId="77777777" w:rsidTr="00FA0786">
        <w:tc>
          <w:tcPr>
            <w:tcW w:w="3848" w:type="dxa"/>
          </w:tcPr>
          <w:p w14:paraId="10F47E51" w14:textId="77777777" w:rsidR="001D3BA0" w:rsidRPr="00A56D62" w:rsidRDefault="001D3BA0" w:rsidP="00AC6DC6">
            <w:pPr>
              <w:adjustRightInd w:val="0"/>
              <w:spacing w:line="240" w:lineRule="auto"/>
              <w:ind w:right="60"/>
              <w:rPr>
                <w:rFonts w:ascii="Cambria" w:hAnsi="Cambria" w:cs="Arial"/>
                <w:i/>
                <w:color w:val="000000"/>
                <w:sz w:val="24"/>
                <w:szCs w:val="24"/>
              </w:rPr>
            </w:pPr>
            <w:r w:rsidRPr="00A56D62">
              <w:rPr>
                <w:rFonts w:ascii="Cambria" w:hAnsi="Cambria" w:cs="Arial"/>
                <w:i/>
                <w:color w:val="000000"/>
                <w:sz w:val="24"/>
                <w:szCs w:val="24"/>
              </w:rPr>
              <w:t xml:space="preserve">    Active Learning Beyond the Classroom</w:t>
            </w:r>
          </w:p>
        </w:tc>
        <w:tc>
          <w:tcPr>
            <w:tcW w:w="850" w:type="dxa"/>
          </w:tcPr>
          <w:p w14:paraId="0E9EA5D2"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774C2C32"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.42</w:t>
            </w:r>
          </w:p>
        </w:tc>
        <w:tc>
          <w:tcPr>
            <w:tcW w:w="1553" w:type="dxa"/>
          </w:tcPr>
          <w:p w14:paraId="4048823C"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3.52</w:t>
            </w:r>
          </w:p>
        </w:tc>
        <w:tc>
          <w:tcPr>
            <w:tcW w:w="1418" w:type="dxa"/>
          </w:tcPr>
          <w:p w14:paraId="38B90C3E"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6DA74A50" w14:textId="77777777" w:rsidTr="00FA0786">
        <w:tc>
          <w:tcPr>
            <w:tcW w:w="3848" w:type="dxa"/>
          </w:tcPr>
          <w:p w14:paraId="54F7F4BA" w14:textId="77777777" w:rsidR="001D3BA0" w:rsidRPr="00A56D62" w:rsidRDefault="001D3BA0" w:rsidP="00AC6DC6">
            <w:pPr>
              <w:adjustRightInd w:val="0"/>
              <w:spacing w:line="320" w:lineRule="atLeast"/>
              <w:ind w:right="60"/>
              <w:rPr>
                <w:rFonts w:ascii="Cambria" w:hAnsi="Cambria" w:cs="Arial"/>
                <w:i/>
                <w:color w:val="000000"/>
                <w:sz w:val="24"/>
                <w:szCs w:val="24"/>
              </w:rPr>
            </w:pPr>
            <w:r w:rsidRPr="00A56D62">
              <w:rPr>
                <w:rFonts w:ascii="Cambria" w:hAnsi="Cambria" w:cs="Arial"/>
                <w:i/>
                <w:color w:val="000000"/>
                <w:sz w:val="24"/>
                <w:szCs w:val="24"/>
              </w:rPr>
              <w:lastRenderedPageBreak/>
              <w:t xml:space="preserve">    Teachers' Content Knowledge</w:t>
            </w:r>
          </w:p>
        </w:tc>
        <w:tc>
          <w:tcPr>
            <w:tcW w:w="850" w:type="dxa"/>
          </w:tcPr>
          <w:p w14:paraId="47745D2F"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5627B734"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.37</w:t>
            </w:r>
          </w:p>
        </w:tc>
        <w:tc>
          <w:tcPr>
            <w:tcW w:w="1553" w:type="dxa"/>
          </w:tcPr>
          <w:p w14:paraId="4CAC2BA5"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3.72</w:t>
            </w:r>
          </w:p>
        </w:tc>
        <w:tc>
          <w:tcPr>
            <w:tcW w:w="1418" w:type="dxa"/>
          </w:tcPr>
          <w:p w14:paraId="0413260C"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12F3E60A" w14:textId="77777777" w:rsidTr="00FA0786">
        <w:tc>
          <w:tcPr>
            <w:tcW w:w="3848" w:type="dxa"/>
          </w:tcPr>
          <w:p w14:paraId="45DAC27E" w14:textId="77777777" w:rsidR="001D3BA0" w:rsidRPr="00A56D62" w:rsidRDefault="001D3BA0" w:rsidP="00AC6DC6">
            <w:pPr>
              <w:adjustRightInd w:val="0"/>
              <w:spacing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Teachers' Needs and Circumstances</w:t>
            </w:r>
          </w:p>
        </w:tc>
        <w:tc>
          <w:tcPr>
            <w:tcW w:w="850" w:type="dxa"/>
          </w:tcPr>
          <w:p w14:paraId="7464371C"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43A3171F"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.38</w:t>
            </w:r>
          </w:p>
        </w:tc>
        <w:tc>
          <w:tcPr>
            <w:tcW w:w="1553" w:type="dxa"/>
          </w:tcPr>
          <w:p w14:paraId="62BAD41B"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3.63</w:t>
            </w:r>
          </w:p>
        </w:tc>
        <w:tc>
          <w:tcPr>
            <w:tcW w:w="1418" w:type="dxa"/>
          </w:tcPr>
          <w:p w14:paraId="3467F377"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09960EF4" w14:textId="77777777" w:rsidTr="00FA0786">
        <w:tc>
          <w:tcPr>
            <w:tcW w:w="3848" w:type="dxa"/>
          </w:tcPr>
          <w:p w14:paraId="31CCBDE3" w14:textId="77777777" w:rsidR="001D3BA0" w:rsidRPr="00A56D62" w:rsidRDefault="001D3BA0" w:rsidP="00AC6DC6">
            <w:pPr>
              <w:adjustRightInd w:val="0"/>
              <w:spacing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Collective Participation</w:t>
            </w:r>
          </w:p>
        </w:tc>
        <w:tc>
          <w:tcPr>
            <w:tcW w:w="850" w:type="dxa"/>
          </w:tcPr>
          <w:p w14:paraId="169D8668"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343A0E90"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.36</w:t>
            </w:r>
          </w:p>
        </w:tc>
        <w:tc>
          <w:tcPr>
            <w:tcW w:w="1553" w:type="dxa"/>
          </w:tcPr>
          <w:p w14:paraId="324D686E"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3.65</w:t>
            </w:r>
          </w:p>
        </w:tc>
        <w:tc>
          <w:tcPr>
            <w:tcW w:w="1418" w:type="dxa"/>
          </w:tcPr>
          <w:p w14:paraId="5EAC0DB0"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6C9987A0" w14:textId="77777777" w:rsidTr="00FA0786">
        <w:tc>
          <w:tcPr>
            <w:tcW w:w="3848" w:type="dxa"/>
          </w:tcPr>
          <w:p w14:paraId="5CC85D56" w14:textId="77777777" w:rsidR="001D3BA0" w:rsidRPr="00A56D62" w:rsidRDefault="001D3BA0" w:rsidP="00AC6DC6">
            <w:pPr>
              <w:adjustRightInd w:val="0"/>
              <w:spacing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Duration</w:t>
            </w:r>
          </w:p>
        </w:tc>
        <w:tc>
          <w:tcPr>
            <w:tcW w:w="850" w:type="dxa"/>
          </w:tcPr>
          <w:p w14:paraId="0DB19D03"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71E13DB9"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.52</w:t>
            </w:r>
          </w:p>
        </w:tc>
        <w:tc>
          <w:tcPr>
            <w:tcW w:w="1553" w:type="dxa"/>
          </w:tcPr>
          <w:p w14:paraId="6909E6E7"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3.43</w:t>
            </w:r>
          </w:p>
        </w:tc>
        <w:tc>
          <w:tcPr>
            <w:tcW w:w="1418" w:type="dxa"/>
          </w:tcPr>
          <w:p w14:paraId="3BEC2022"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4942209F" w14:textId="77777777" w:rsidTr="00FA0786">
        <w:tc>
          <w:tcPr>
            <w:tcW w:w="3848" w:type="dxa"/>
          </w:tcPr>
          <w:p w14:paraId="58F4E5B5" w14:textId="77777777" w:rsidR="001D3BA0" w:rsidRPr="00A56D62" w:rsidRDefault="001D3BA0" w:rsidP="00AC6DC6">
            <w:pPr>
              <w:adjustRightInd w:val="0"/>
              <w:spacing w:line="320" w:lineRule="atLeast"/>
              <w:ind w:left="60" w:right="60"/>
              <w:rPr>
                <w:rFonts w:ascii="Cambria" w:hAnsi="Cambria" w:cs="Arial"/>
                <w:b/>
                <w:color w:val="000000"/>
                <w:sz w:val="24"/>
                <w:szCs w:val="24"/>
              </w:rPr>
            </w:pPr>
            <w:r w:rsidRPr="00A56D62">
              <w:rPr>
                <w:rFonts w:ascii="Cambria" w:hAnsi="Cambria" w:cs="Arial"/>
                <w:b/>
                <w:color w:val="000000"/>
                <w:sz w:val="24"/>
                <w:szCs w:val="24"/>
              </w:rPr>
              <w:t>Classroom Management</w:t>
            </w:r>
          </w:p>
        </w:tc>
        <w:tc>
          <w:tcPr>
            <w:tcW w:w="850" w:type="dxa"/>
          </w:tcPr>
          <w:p w14:paraId="461D2FD6" w14:textId="77777777" w:rsidR="001D3BA0" w:rsidRPr="00A56D62" w:rsidRDefault="001D3BA0" w:rsidP="00AC6DC6">
            <w:pPr>
              <w:adjustRightInd w:val="0"/>
              <w:spacing w:line="320" w:lineRule="atLeast"/>
              <w:ind w:left="60" w:right="60"/>
              <w:jc w:val="center"/>
              <w:rPr>
                <w:rFonts w:ascii="Cambria" w:hAnsi="Cambria" w:cs="Arial"/>
                <w:b/>
                <w:color w:val="000000"/>
                <w:sz w:val="24"/>
                <w:szCs w:val="24"/>
              </w:rPr>
            </w:pPr>
            <w:r w:rsidRPr="00A56D62">
              <w:rPr>
                <w:rFonts w:ascii="Cambria" w:hAnsi="Cambria" w:cs="Arial"/>
                <w:b/>
                <w:color w:val="000000"/>
                <w:sz w:val="24"/>
                <w:szCs w:val="24"/>
              </w:rPr>
              <w:t>180</w:t>
            </w:r>
          </w:p>
        </w:tc>
        <w:tc>
          <w:tcPr>
            <w:tcW w:w="1707" w:type="dxa"/>
          </w:tcPr>
          <w:p w14:paraId="68C111D6" w14:textId="77777777" w:rsidR="001D3BA0" w:rsidRPr="00A56D62" w:rsidRDefault="001D3BA0" w:rsidP="00AC6DC6">
            <w:pPr>
              <w:adjustRightInd w:val="0"/>
              <w:spacing w:line="320" w:lineRule="atLeast"/>
              <w:ind w:left="60" w:right="60"/>
              <w:jc w:val="center"/>
              <w:rPr>
                <w:rFonts w:ascii="Cambria" w:hAnsi="Cambria" w:cs="Arial"/>
                <w:b/>
                <w:color w:val="000000"/>
                <w:sz w:val="24"/>
                <w:szCs w:val="24"/>
              </w:rPr>
            </w:pPr>
            <w:r w:rsidRPr="00A56D62">
              <w:rPr>
                <w:rFonts w:ascii="Cambria" w:hAnsi="Cambria" w:cs="Arial"/>
                <w:b/>
                <w:color w:val="000000"/>
                <w:sz w:val="24"/>
                <w:szCs w:val="24"/>
              </w:rPr>
              <w:t>.33</w:t>
            </w:r>
          </w:p>
        </w:tc>
        <w:tc>
          <w:tcPr>
            <w:tcW w:w="1553" w:type="dxa"/>
          </w:tcPr>
          <w:p w14:paraId="51D62A90" w14:textId="77777777" w:rsidR="001D3BA0" w:rsidRPr="00A56D62" w:rsidRDefault="001D3BA0" w:rsidP="00AC6DC6">
            <w:pPr>
              <w:adjustRightInd w:val="0"/>
              <w:spacing w:line="320" w:lineRule="atLeast"/>
              <w:ind w:left="60" w:right="60"/>
              <w:jc w:val="center"/>
              <w:rPr>
                <w:rFonts w:ascii="Cambria" w:hAnsi="Cambria" w:cs="Arial"/>
                <w:b/>
                <w:color w:val="000000"/>
                <w:sz w:val="24"/>
                <w:szCs w:val="24"/>
              </w:rPr>
            </w:pPr>
            <w:r w:rsidRPr="00A56D62">
              <w:rPr>
                <w:rFonts w:ascii="Cambria" w:hAnsi="Cambria" w:cs="Arial"/>
                <w:b/>
                <w:color w:val="000000"/>
                <w:sz w:val="24"/>
                <w:szCs w:val="24"/>
              </w:rPr>
              <w:t>3.66</w:t>
            </w:r>
          </w:p>
        </w:tc>
        <w:tc>
          <w:tcPr>
            <w:tcW w:w="1418" w:type="dxa"/>
          </w:tcPr>
          <w:p w14:paraId="202BBEC4" w14:textId="77777777" w:rsidR="001D3BA0" w:rsidRPr="00A56D62" w:rsidRDefault="001D3BA0" w:rsidP="00AC6DC6">
            <w:pPr>
              <w:adjustRightInd w:val="0"/>
              <w:spacing w:line="320" w:lineRule="atLeast"/>
              <w:ind w:left="60" w:right="60"/>
              <w:jc w:val="center"/>
              <w:rPr>
                <w:rFonts w:ascii="Cambria" w:hAnsi="Cambria" w:cs="Arial"/>
                <w:b/>
                <w:bCs/>
                <w:color w:val="000000"/>
                <w:sz w:val="24"/>
                <w:szCs w:val="24"/>
              </w:rPr>
            </w:pPr>
            <w:r w:rsidRPr="00A56D62">
              <w:rPr>
                <w:rFonts w:ascii="Cambria" w:hAnsi="Cambria" w:cs="Arial"/>
                <w:b/>
                <w:bCs/>
                <w:color w:val="000000"/>
                <w:sz w:val="24"/>
                <w:szCs w:val="24"/>
              </w:rPr>
              <w:t>Very High</w:t>
            </w:r>
          </w:p>
        </w:tc>
      </w:tr>
      <w:tr w:rsidR="001D3BA0" w:rsidRPr="00A56D62" w14:paraId="7852619C" w14:textId="77777777" w:rsidTr="00FA0786">
        <w:tc>
          <w:tcPr>
            <w:tcW w:w="3848" w:type="dxa"/>
          </w:tcPr>
          <w:p w14:paraId="08EA4F2E" w14:textId="77777777" w:rsidR="001D3BA0" w:rsidRPr="00A56D62" w:rsidRDefault="001D3BA0" w:rsidP="00AC6DC6">
            <w:pPr>
              <w:adjustRightInd w:val="0"/>
              <w:spacing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Seating Arrangement</w:t>
            </w:r>
          </w:p>
        </w:tc>
        <w:tc>
          <w:tcPr>
            <w:tcW w:w="850" w:type="dxa"/>
          </w:tcPr>
          <w:p w14:paraId="1FEC3BE7"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44C2DC7E"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.41</w:t>
            </w:r>
          </w:p>
        </w:tc>
        <w:tc>
          <w:tcPr>
            <w:tcW w:w="1553" w:type="dxa"/>
          </w:tcPr>
          <w:p w14:paraId="0291A3DF"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3.62</w:t>
            </w:r>
          </w:p>
        </w:tc>
        <w:tc>
          <w:tcPr>
            <w:tcW w:w="1418" w:type="dxa"/>
          </w:tcPr>
          <w:p w14:paraId="28484A2D"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50C4D7EB" w14:textId="77777777" w:rsidTr="00FA0786">
        <w:tc>
          <w:tcPr>
            <w:tcW w:w="3848" w:type="dxa"/>
          </w:tcPr>
          <w:p w14:paraId="0B779689" w14:textId="77777777" w:rsidR="001D3BA0" w:rsidRPr="00A56D62" w:rsidRDefault="001D3BA0" w:rsidP="00AC6DC6">
            <w:pPr>
              <w:adjustRightInd w:val="0"/>
              <w:spacing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Student Teacher Relationship</w:t>
            </w:r>
          </w:p>
        </w:tc>
        <w:tc>
          <w:tcPr>
            <w:tcW w:w="850" w:type="dxa"/>
          </w:tcPr>
          <w:p w14:paraId="05D6B8CD"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197C3856"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.41</w:t>
            </w:r>
          </w:p>
        </w:tc>
        <w:tc>
          <w:tcPr>
            <w:tcW w:w="1553" w:type="dxa"/>
          </w:tcPr>
          <w:p w14:paraId="4D8A06FF"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3.70</w:t>
            </w:r>
          </w:p>
        </w:tc>
        <w:tc>
          <w:tcPr>
            <w:tcW w:w="1418" w:type="dxa"/>
          </w:tcPr>
          <w:p w14:paraId="433B309D"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2EBFFCA4" w14:textId="77777777" w:rsidTr="00FA0786">
        <w:tc>
          <w:tcPr>
            <w:tcW w:w="3848" w:type="dxa"/>
          </w:tcPr>
          <w:p w14:paraId="2A9C26E4" w14:textId="77777777" w:rsidR="001D3BA0" w:rsidRPr="00A56D62" w:rsidRDefault="001D3BA0" w:rsidP="00AC6DC6">
            <w:pPr>
              <w:adjustRightInd w:val="0"/>
              <w:spacing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Time Management</w:t>
            </w:r>
          </w:p>
        </w:tc>
        <w:tc>
          <w:tcPr>
            <w:tcW w:w="850" w:type="dxa"/>
          </w:tcPr>
          <w:p w14:paraId="438CCE79"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0BD9C30A"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.45</w:t>
            </w:r>
          </w:p>
        </w:tc>
        <w:tc>
          <w:tcPr>
            <w:tcW w:w="1553" w:type="dxa"/>
          </w:tcPr>
          <w:p w14:paraId="3C1C0A42"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3.62</w:t>
            </w:r>
          </w:p>
        </w:tc>
        <w:tc>
          <w:tcPr>
            <w:tcW w:w="1418" w:type="dxa"/>
          </w:tcPr>
          <w:p w14:paraId="1AC26596"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7CAA8BA0" w14:textId="77777777" w:rsidTr="00FA0786">
        <w:tc>
          <w:tcPr>
            <w:tcW w:w="3848" w:type="dxa"/>
          </w:tcPr>
          <w:p w14:paraId="164BEE8E" w14:textId="77777777" w:rsidR="001D3BA0" w:rsidRPr="00A56D62" w:rsidRDefault="001D3BA0" w:rsidP="00AC6DC6">
            <w:pPr>
              <w:adjustRightInd w:val="0"/>
              <w:spacing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Use of the Writing Board</w:t>
            </w:r>
          </w:p>
        </w:tc>
        <w:tc>
          <w:tcPr>
            <w:tcW w:w="850" w:type="dxa"/>
          </w:tcPr>
          <w:p w14:paraId="7A0B824B"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269266BE"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.46</w:t>
            </w:r>
          </w:p>
        </w:tc>
        <w:tc>
          <w:tcPr>
            <w:tcW w:w="1553" w:type="dxa"/>
          </w:tcPr>
          <w:p w14:paraId="597C454A"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3.59</w:t>
            </w:r>
          </w:p>
        </w:tc>
        <w:tc>
          <w:tcPr>
            <w:tcW w:w="1418" w:type="dxa"/>
          </w:tcPr>
          <w:p w14:paraId="0F7AFF8D"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6DD88589" w14:textId="77777777" w:rsidTr="00FA0786">
        <w:tc>
          <w:tcPr>
            <w:tcW w:w="3848" w:type="dxa"/>
          </w:tcPr>
          <w:p w14:paraId="35BB7D4D" w14:textId="77777777" w:rsidR="001D3BA0" w:rsidRPr="00A56D62" w:rsidRDefault="001D3BA0" w:rsidP="00AC6DC6">
            <w:pPr>
              <w:adjustRightInd w:val="0"/>
              <w:spacing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Classroom Norms</w:t>
            </w:r>
          </w:p>
        </w:tc>
        <w:tc>
          <w:tcPr>
            <w:tcW w:w="850" w:type="dxa"/>
          </w:tcPr>
          <w:p w14:paraId="74C2B655"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6CD9C008"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.44</w:t>
            </w:r>
          </w:p>
        </w:tc>
        <w:tc>
          <w:tcPr>
            <w:tcW w:w="1553" w:type="dxa"/>
          </w:tcPr>
          <w:p w14:paraId="78A8D522"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3.63</w:t>
            </w:r>
          </w:p>
        </w:tc>
        <w:tc>
          <w:tcPr>
            <w:tcW w:w="1418" w:type="dxa"/>
          </w:tcPr>
          <w:p w14:paraId="00057EA7"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4C01219D" w14:textId="77777777" w:rsidTr="00FA0786">
        <w:tc>
          <w:tcPr>
            <w:tcW w:w="3848" w:type="dxa"/>
          </w:tcPr>
          <w:p w14:paraId="2687D3CE" w14:textId="77777777" w:rsidR="001D3BA0" w:rsidRPr="00A56D62" w:rsidRDefault="001D3BA0" w:rsidP="00AC6DC6">
            <w:pPr>
              <w:adjustRightInd w:val="0"/>
              <w:spacing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Conducive Environment</w:t>
            </w:r>
          </w:p>
        </w:tc>
        <w:tc>
          <w:tcPr>
            <w:tcW w:w="850" w:type="dxa"/>
          </w:tcPr>
          <w:p w14:paraId="43D550FD"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6990DADD"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.38</w:t>
            </w:r>
          </w:p>
        </w:tc>
        <w:tc>
          <w:tcPr>
            <w:tcW w:w="1553" w:type="dxa"/>
          </w:tcPr>
          <w:p w14:paraId="75295222"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3.72</w:t>
            </w:r>
          </w:p>
        </w:tc>
        <w:tc>
          <w:tcPr>
            <w:tcW w:w="1418" w:type="dxa"/>
          </w:tcPr>
          <w:p w14:paraId="4D40DA3D"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2F609A97" w14:textId="77777777" w:rsidTr="00FA0786">
        <w:trPr>
          <w:trHeight w:val="202"/>
        </w:trPr>
        <w:tc>
          <w:tcPr>
            <w:tcW w:w="3848" w:type="dxa"/>
          </w:tcPr>
          <w:p w14:paraId="62735A80" w14:textId="58F81C8A" w:rsidR="001D3BA0" w:rsidRPr="00A56D62" w:rsidRDefault="001D3BA0" w:rsidP="00FA0786">
            <w:pPr>
              <w:adjustRightInd w:val="0"/>
              <w:spacing w:line="240" w:lineRule="auto"/>
              <w:ind w:right="60"/>
              <w:rPr>
                <w:rFonts w:ascii="Cambria" w:hAnsi="Cambria" w:cs="Arial"/>
                <w:i/>
                <w:color w:val="000000"/>
                <w:sz w:val="24"/>
                <w:szCs w:val="24"/>
              </w:rPr>
            </w:pPr>
            <w:r w:rsidRPr="00A56D62">
              <w:rPr>
                <w:rFonts w:ascii="Cambria" w:hAnsi="Cambria" w:cs="Arial"/>
                <w:i/>
                <w:color w:val="000000"/>
                <w:sz w:val="24"/>
                <w:szCs w:val="24"/>
              </w:rPr>
              <w:t xml:space="preserve">    Appropriate Instructional </w:t>
            </w:r>
            <w:r w:rsidR="00FA0786">
              <w:rPr>
                <w:rFonts w:ascii="Cambria" w:hAnsi="Cambria" w:cs="Arial"/>
                <w:i/>
                <w:color w:val="000000"/>
                <w:sz w:val="24"/>
                <w:szCs w:val="24"/>
              </w:rPr>
              <w:t xml:space="preserve">   </w:t>
            </w:r>
            <w:r w:rsidRPr="00A56D62">
              <w:rPr>
                <w:rFonts w:ascii="Cambria" w:hAnsi="Cambria" w:cs="Arial"/>
                <w:i/>
                <w:color w:val="000000"/>
                <w:sz w:val="24"/>
                <w:szCs w:val="24"/>
              </w:rPr>
              <w:t>Techniques</w:t>
            </w:r>
          </w:p>
        </w:tc>
        <w:tc>
          <w:tcPr>
            <w:tcW w:w="850" w:type="dxa"/>
          </w:tcPr>
          <w:p w14:paraId="7E63D1DD"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567704AB"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.40</w:t>
            </w:r>
          </w:p>
        </w:tc>
        <w:tc>
          <w:tcPr>
            <w:tcW w:w="1553" w:type="dxa"/>
          </w:tcPr>
          <w:p w14:paraId="2EFAF7DA"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3.66</w:t>
            </w:r>
          </w:p>
        </w:tc>
        <w:tc>
          <w:tcPr>
            <w:tcW w:w="1418" w:type="dxa"/>
          </w:tcPr>
          <w:p w14:paraId="6D0336F7"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r w:rsidR="001D3BA0" w:rsidRPr="00A56D62" w14:paraId="0F74BC5C" w14:textId="77777777" w:rsidTr="00FA0786">
        <w:tc>
          <w:tcPr>
            <w:tcW w:w="3848" w:type="dxa"/>
          </w:tcPr>
          <w:p w14:paraId="28176C3F" w14:textId="77777777" w:rsidR="001D3BA0" w:rsidRPr="00A56D62" w:rsidRDefault="001D3BA0" w:rsidP="00AC6DC6">
            <w:pPr>
              <w:adjustRightInd w:val="0"/>
              <w:spacing w:line="320" w:lineRule="atLeast"/>
              <w:ind w:right="60"/>
              <w:rPr>
                <w:rFonts w:ascii="Cambria" w:hAnsi="Cambria" w:cs="Arial"/>
                <w:i/>
                <w:color w:val="000000"/>
                <w:sz w:val="24"/>
                <w:szCs w:val="24"/>
              </w:rPr>
            </w:pPr>
            <w:r w:rsidRPr="00A56D62">
              <w:rPr>
                <w:rFonts w:ascii="Cambria" w:hAnsi="Cambria" w:cs="Arial"/>
                <w:i/>
                <w:color w:val="000000"/>
                <w:sz w:val="24"/>
                <w:szCs w:val="24"/>
              </w:rPr>
              <w:t xml:space="preserve">    Feedback</w:t>
            </w:r>
          </w:p>
        </w:tc>
        <w:tc>
          <w:tcPr>
            <w:tcW w:w="850" w:type="dxa"/>
          </w:tcPr>
          <w:p w14:paraId="25A07B1D"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180</w:t>
            </w:r>
          </w:p>
        </w:tc>
        <w:tc>
          <w:tcPr>
            <w:tcW w:w="1707" w:type="dxa"/>
          </w:tcPr>
          <w:p w14:paraId="189FD34A"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.41</w:t>
            </w:r>
          </w:p>
        </w:tc>
        <w:tc>
          <w:tcPr>
            <w:tcW w:w="1553" w:type="dxa"/>
          </w:tcPr>
          <w:p w14:paraId="467989DC"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3.72</w:t>
            </w:r>
          </w:p>
        </w:tc>
        <w:tc>
          <w:tcPr>
            <w:tcW w:w="1418" w:type="dxa"/>
          </w:tcPr>
          <w:p w14:paraId="3FAA9DCE" w14:textId="77777777" w:rsidR="001D3BA0" w:rsidRPr="00A56D62" w:rsidRDefault="001D3BA0" w:rsidP="00AC6DC6">
            <w:pPr>
              <w:adjustRightInd w:val="0"/>
              <w:spacing w:line="320" w:lineRule="atLeast"/>
              <w:ind w:left="60" w:right="60"/>
              <w:jc w:val="center"/>
              <w:rPr>
                <w:rFonts w:ascii="Cambria" w:hAnsi="Cambria" w:cs="Arial"/>
                <w:i/>
                <w:iCs/>
                <w:color w:val="000000"/>
                <w:sz w:val="24"/>
                <w:szCs w:val="24"/>
              </w:rPr>
            </w:pPr>
            <w:r w:rsidRPr="00A56D62">
              <w:rPr>
                <w:rFonts w:ascii="Cambria" w:hAnsi="Cambria" w:cs="Arial"/>
                <w:i/>
                <w:iCs/>
                <w:color w:val="000000"/>
                <w:sz w:val="24"/>
                <w:szCs w:val="24"/>
              </w:rPr>
              <w:t>Very High</w:t>
            </w:r>
          </w:p>
        </w:tc>
      </w:tr>
    </w:tbl>
    <w:p w14:paraId="7708F877" w14:textId="77777777" w:rsidR="001D3BA0" w:rsidRPr="00A56D62" w:rsidRDefault="001D3BA0" w:rsidP="001D3BA0">
      <w:pPr>
        <w:rPr>
          <w:rFonts w:ascii="Cambria" w:hAnsi="Cambria"/>
          <w:sz w:val="24"/>
          <w:szCs w:val="24"/>
        </w:rPr>
      </w:pPr>
    </w:p>
    <w:p w14:paraId="2E30ED96" w14:textId="77777777" w:rsidR="001D3BA0" w:rsidRPr="00A56D62" w:rsidRDefault="001D3BA0" w:rsidP="001D3BA0">
      <w:pPr>
        <w:ind w:firstLine="720"/>
        <w:jc w:val="both"/>
        <w:rPr>
          <w:rFonts w:ascii="Cambria" w:hAnsi="Cambria"/>
          <w:sz w:val="24"/>
          <w:szCs w:val="24"/>
        </w:rPr>
      </w:pPr>
      <w:r w:rsidRPr="00A56D62">
        <w:rPr>
          <w:rFonts w:ascii="Cambria" w:hAnsi="Cambria"/>
          <w:sz w:val="24"/>
          <w:szCs w:val="24"/>
        </w:rPr>
        <w:t xml:space="preserve">Specifically, Table 1 shows that the principal neglect variable had a mean of 1.39, which is very low. </w:t>
      </w:r>
      <w:r w:rsidRPr="005E0574">
        <w:rPr>
          <w:rFonts w:ascii="Cambria" w:hAnsi="Cambria"/>
          <w:sz w:val="24"/>
          <w:szCs w:val="24"/>
        </w:rPr>
        <w:t>The findings show that the principal provides strong support.</w:t>
      </w:r>
      <w:r w:rsidRPr="005E0574">
        <w:rPr>
          <w:sz w:val="24"/>
          <w:szCs w:val="24"/>
        </w:rPr>
        <w:t xml:space="preserve"> </w:t>
      </w:r>
      <w:r w:rsidRPr="00A56D62">
        <w:rPr>
          <w:rFonts w:ascii="Cambria" w:hAnsi="Cambria"/>
          <w:sz w:val="24"/>
          <w:szCs w:val="24"/>
        </w:rPr>
        <w:t>Each of its indicators also scored very low, reflecting consistent perceptions among respondents. The standard deviation of 0.38 confirms this consistency. The teacher professional development variable had a mean of 3.61, indicating very high levels and suggesting that teacher professional development is excellent. Each indicator scored very high, and the low standard deviation of 0.30 shows that respondents’ answers were highly consistent. Finally, the classroom management variable had a mean of 3.66, also indicating a very high level. It reflects very good classroom management among respondents. The standard deviation of 0.33 further confirms that the responses were consistent.</w:t>
      </w:r>
    </w:p>
    <w:p w14:paraId="26174CD0" w14:textId="77777777" w:rsidR="001D3BA0" w:rsidRPr="00A56D62" w:rsidRDefault="001D3BA0" w:rsidP="001D3BA0">
      <w:pPr>
        <w:ind w:firstLine="720"/>
        <w:jc w:val="both"/>
        <w:rPr>
          <w:rFonts w:ascii="Cambria" w:hAnsi="Cambria"/>
          <w:sz w:val="24"/>
          <w:szCs w:val="24"/>
        </w:rPr>
      </w:pPr>
      <w:r w:rsidRPr="00A56D62">
        <w:rPr>
          <w:rFonts w:ascii="Cambria" w:hAnsi="Cambria"/>
          <w:sz w:val="24"/>
          <w:szCs w:val="24"/>
        </w:rPr>
        <w:t>The findings indicate that principal neglect is minimal, reflecting strong administrative support. At the same time, teacher professional development and classroom management are both highly manifested, suggesting that teachers are well-equipped and effective in their classroom practices. In comparison, the low level of principal neglect aligns with the high levels of professional development and classroom management, implying that supportive leadership may contribute to enhanced teacher competence and effective classroom practices.</w:t>
      </w:r>
    </w:p>
    <w:p w14:paraId="5FC6D362" w14:textId="77777777" w:rsidR="00FA0786" w:rsidRDefault="00FA0786" w:rsidP="001D3BA0">
      <w:pPr>
        <w:rPr>
          <w:rFonts w:ascii="Cambria" w:hAnsi="Cambria"/>
          <w:b/>
          <w:bCs/>
          <w:sz w:val="24"/>
          <w:szCs w:val="24"/>
        </w:rPr>
      </w:pPr>
    </w:p>
    <w:p w14:paraId="77B2AA0D" w14:textId="77777777" w:rsidR="00FA0786" w:rsidRDefault="00FA0786" w:rsidP="001D3BA0">
      <w:pPr>
        <w:rPr>
          <w:rFonts w:ascii="Cambria" w:hAnsi="Cambria"/>
          <w:b/>
          <w:bCs/>
          <w:sz w:val="24"/>
          <w:szCs w:val="24"/>
        </w:rPr>
      </w:pPr>
    </w:p>
    <w:p w14:paraId="66EA9FAD" w14:textId="69A846D8" w:rsidR="001D3BA0" w:rsidRPr="00A56D62" w:rsidRDefault="001D3BA0" w:rsidP="001D3BA0">
      <w:pPr>
        <w:rPr>
          <w:rFonts w:ascii="Cambria" w:hAnsi="Cambria"/>
          <w:b/>
          <w:bCs/>
          <w:sz w:val="24"/>
          <w:szCs w:val="24"/>
        </w:rPr>
      </w:pPr>
      <w:r w:rsidRPr="00A56D62">
        <w:rPr>
          <w:rFonts w:ascii="Cambria" w:hAnsi="Cambria"/>
          <w:b/>
          <w:bCs/>
          <w:sz w:val="24"/>
          <w:szCs w:val="24"/>
        </w:rPr>
        <w:t>Correlation Results</w:t>
      </w:r>
    </w:p>
    <w:p w14:paraId="51FCA110" w14:textId="77777777" w:rsidR="001D3BA0" w:rsidRPr="00A56D62" w:rsidRDefault="001D3BA0" w:rsidP="001D3BA0">
      <w:pPr>
        <w:ind w:firstLine="720"/>
        <w:jc w:val="both"/>
        <w:rPr>
          <w:rFonts w:ascii="Cambria" w:hAnsi="Cambria"/>
          <w:sz w:val="24"/>
          <w:szCs w:val="24"/>
        </w:rPr>
      </w:pPr>
      <w:r w:rsidRPr="00A56D62">
        <w:rPr>
          <w:rFonts w:ascii="Cambria" w:hAnsi="Cambria"/>
          <w:sz w:val="24"/>
          <w:szCs w:val="24"/>
        </w:rPr>
        <w:t>Table 2 presents the correlation results between the determinants and the criterion variable. It also shows the correlation coefficients (</w:t>
      </w:r>
      <w:proofErr w:type="spellStart"/>
      <w:r w:rsidRPr="00A56D62">
        <w:rPr>
          <w:rFonts w:ascii="Cambria" w:hAnsi="Cambria"/>
          <w:sz w:val="24"/>
          <w:szCs w:val="24"/>
        </w:rPr>
        <w:t>r-values</w:t>
      </w:r>
      <w:proofErr w:type="spellEnd"/>
      <w:r w:rsidRPr="00A56D62">
        <w:rPr>
          <w:rFonts w:ascii="Cambria" w:hAnsi="Cambria"/>
          <w:sz w:val="24"/>
          <w:szCs w:val="24"/>
        </w:rPr>
        <w:t>), p-values, decisions regarding the null hypothesis, and their corresponding interpretations.</w:t>
      </w:r>
    </w:p>
    <w:p w14:paraId="63BBCE42" w14:textId="77777777" w:rsidR="001D3BA0" w:rsidRPr="00FA0786" w:rsidRDefault="001D3BA0" w:rsidP="001D3BA0">
      <w:pPr>
        <w:adjustRightInd w:val="0"/>
        <w:jc w:val="both"/>
        <w:rPr>
          <w:rFonts w:ascii="Cambria" w:hAnsi="Cambria"/>
          <w:b/>
          <w:bCs/>
          <w:sz w:val="24"/>
          <w:szCs w:val="24"/>
        </w:rPr>
      </w:pPr>
      <w:r w:rsidRPr="00FA0786">
        <w:rPr>
          <w:rFonts w:ascii="Cambria" w:hAnsi="Cambria"/>
          <w:b/>
          <w:bCs/>
          <w:i/>
          <w:sz w:val="24"/>
          <w:szCs w:val="24"/>
        </w:rPr>
        <w:t>Table</w:t>
      </w:r>
      <w:r w:rsidRPr="00FA0786">
        <w:rPr>
          <w:rFonts w:ascii="Cambria" w:hAnsi="Cambria"/>
          <w:b/>
          <w:bCs/>
          <w:i/>
          <w:spacing w:val="-4"/>
          <w:sz w:val="24"/>
          <w:szCs w:val="24"/>
        </w:rPr>
        <w:t xml:space="preserve"> </w:t>
      </w:r>
      <w:r w:rsidRPr="00FA0786">
        <w:rPr>
          <w:rFonts w:ascii="Cambria" w:hAnsi="Cambria"/>
          <w:b/>
          <w:bCs/>
          <w:i/>
          <w:sz w:val="24"/>
          <w:szCs w:val="24"/>
        </w:rPr>
        <w:t>2:</w:t>
      </w:r>
      <w:r w:rsidRPr="00FA0786">
        <w:rPr>
          <w:rFonts w:ascii="Cambria" w:hAnsi="Cambria"/>
          <w:b/>
          <w:bCs/>
          <w:i/>
          <w:spacing w:val="-3"/>
          <w:sz w:val="24"/>
          <w:szCs w:val="24"/>
        </w:rPr>
        <w:t xml:space="preserve"> </w:t>
      </w:r>
      <w:r w:rsidRPr="00FA0786">
        <w:rPr>
          <w:rFonts w:ascii="Cambria" w:hAnsi="Cambria"/>
          <w:b/>
          <w:bCs/>
          <w:i/>
          <w:sz w:val="24"/>
          <w:szCs w:val="24"/>
        </w:rPr>
        <w:t>Correlation Table</w:t>
      </w:r>
      <w:r w:rsidRPr="00FA0786">
        <w:rPr>
          <w:rFonts w:ascii="Cambria" w:hAnsi="Cambria"/>
          <w:b/>
          <w:bCs/>
          <w:i/>
          <w:spacing w:val="-4"/>
          <w:sz w:val="24"/>
          <w:szCs w:val="24"/>
        </w:rPr>
        <w:t xml:space="preserve"> </w:t>
      </w:r>
      <w:r w:rsidRPr="00FA0786">
        <w:rPr>
          <w:rFonts w:ascii="Cambria" w:hAnsi="Cambria"/>
          <w:b/>
          <w:bCs/>
          <w:i/>
          <w:sz w:val="24"/>
          <w:szCs w:val="24"/>
        </w:rPr>
        <w:t>(N</w:t>
      </w:r>
      <w:r w:rsidRPr="00FA0786">
        <w:rPr>
          <w:rFonts w:ascii="Cambria" w:hAnsi="Cambria"/>
          <w:b/>
          <w:bCs/>
          <w:i/>
          <w:spacing w:val="-2"/>
          <w:sz w:val="24"/>
          <w:szCs w:val="24"/>
        </w:rPr>
        <w:t xml:space="preserve"> </w:t>
      </w:r>
      <w:r w:rsidRPr="00FA0786">
        <w:rPr>
          <w:rFonts w:ascii="Cambria" w:hAnsi="Cambria"/>
          <w:b/>
          <w:bCs/>
          <w:i/>
          <w:sz w:val="24"/>
          <w:szCs w:val="24"/>
        </w:rPr>
        <w:t>=</w:t>
      </w:r>
      <w:r w:rsidRPr="00FA0786">
        <w:rPr>
          <w:rFonts w:ascii="Cambria" w:hAnsi="Cambria"/>
          <w:b/>
          <w:bCs/>
          <w:i/>
          <w:spacing w:val="-5"/>
          <w:sz w:val="24"/>
          <w:szCs w:val="24"/>
        </w:rPr>
        <w:t xml:space="preserve"> </w:t>
      </w:r>
      <w:r w:rsidRPr="00FA0786">
        <w:rPr>
          <w:rFonts w:ascii="Cambria" w:hAnsi="Cambria"/>
          <w:b/>
          <w:bCs/>
          <w:i/>
          <w:spacing w:val="-4"/>
          <w:sz w:val="24"/>
          <w:szCs w:val="24"/>
        </w:rPr>
        <w:t>180)</w:t>
      </w:r>
    </w:p>
    <w:tbl>
      <w:tblPr>
        <w:tblStyle w:val="TableGrid"/>
        <w:tblW w:w="9498" w:type="dxa"/>
        <w:tblLayout w:type="fixed"/>
        <w:tblLook w:val="0000" w:firstRow="0" w:lastRow="0" w:firstColumn="0" w:lastColumn="0" w:noHBand="0" w:noVBand="0"/>
      </w:tblPr>
      <w:tblGrid>
        <w:gridCol w:w="1803"/>
        <w:gridCol w:w="1169"/>
        <w:gridCol w:w="1276"/>
        <w:gridCol w:w="2011"/>
        <w:gridCol w:w="3239"/>
      </w:tblGrid>
      <w:tr w:rsidR="001D3BA0" w:rsidRPr="00A56D62" w14:paraId="4CED0283" w14:textId="77777777" w:rsidTr="00FA0786">
        <w:trPr>
          <w:trHeight w:val="405"/>
        </w:trPr>
        <w:tc>
          <w:tcPr>
            <w:tcW w:w="1803" w:type="dxa"/>
            <w:vMerge w:val="restart"/>
          </w:tcPr>
          <w:p w14:paraId="36E4A5F3" w14:textId="77777777" w:rsidR="001D3BA0" w:rsidRPr="00A56D62" w:rsidRDefault="001D3BA0" w:rsidP="00AC6DC6">
            <w:pPr>
              <w:adjustRightInd w:val="0"/>
              <w:ind w:left="60" w:right="60"/>
              <w:jc w:val="center"/>
              <w:rPr>
                <w:rFonts w:ascii="Cambria" w:hAnsi="Cambria" w:cs="Arial"/>
                <w:b/>
                <w:bCs/>
                <w:color w:val="000000"/>
                <w:sz w:val="24"/>
                <w:szCs w:val="24"/>
              </w:rPr>
            </w:pPr>
            <w:r w:rsidRPr="00A56D62">
              <w:rPr>
                <w:rFonts w:ascii="Cambria" w:hAnsi="Cambria" w:cs="Arial"/>
                <w:b/>
                <w:bCs/>
                <w:color w:val="000000"/>
                <w:sz w:val="24"/>
                <w:szCs w:val="24"/>
              </w:rPr>
              <w:lastRenderedPageBreak/>
              <w:t>Variables</w:t>
            </w:r>
          </w:p>
        </w:tc>
        <w:tc>
          <w:tcPr>
            <w:tcW w:w="7695" w:type="dxa"/>
            <w:gridSpan w:val="4"/>
          </w:tcPr>
          <w:p w14:paraId="7CBF2B4C" w14:textId="77777777" w:rsidR="001D3BA0" w:rsidRPr="00A56D62" w:rsidRDefault="001D3BA0" w:rsidP="00AC6DC6">
            <w:pPr>
              <w:adjustRightInd w:val="0"/>
              <w:ind w:left="60" w:right="60"/>
              <w:jc w:val="center"/>
              <w:rPr>
                <w:rFonts w:ascii="Cambria" w:hAnsi="Cambria" w:cs="Arial"/>
                <w:b/>
                <w:bCs/>
                <w:color w:val="000000"/>
                <w:sz w:val="24"/>
                <w:szCs w:val="24"/>
              </w:rPr>
            </w:pPr>
            <w:r w:rsidRPr="00A56D62">
              <w:rPr>
                <w:rFonts w:ascii="Cambria" w:hAnsi="Cambria" w:cs="Arial"/>
                <w:b/>
                <w:bCs/>
                <w:color w:val="000000"/>
                <w:sz w:val="24"/>
                <w:szCs w:val="24"/>
              </w:rPr>
              <w:t>Classroom Management</w:t>
            </w:r>
          </w:p>
        </w:tc>
      </w:tr>
      <w:tr w:rsidR="001D3BA0" w:rsidRPr="00A56D62" w14:paraId="536490EC" w14:textId="77777777" w:rsidTr="00FA0786">
        <w:trPr>
          <w:trHeight w:val="416"/>
        </w:trPr>
        <w:tc>
          <w:tcPr>
            <w:tcW w:w="1803" w:type="dxa"/>
            <w:vMerge/>
          </w:tcPr>
          <w:p w14:paraId="3B8637D4" w14:textId="77777777" w:rsidR="001D3BA0" w:rsidRPr="00A56D62" w:rsidRDefault="001D3BA0" w:rsidP="00AC6DC6">
            <w:pPr>
              <w:adjustRightInd w:val="0"/>
              <w:ind w:left="60" w:right="60"/>
              <w:rPr>
                <w:rFonts w:ascii="Cambria" w:hAnsi="Cambria" w:cs="Arial"/>
                <w:b/>
                <w:bCs/>
                <w:color w:val="000000"/>
                <w:sz w:val="24"/>
                <w:szCs w:val="24"/>
              </w:rPr>
            </w:pPr>
          </w:p>
        </w:tc>
        <w:tc>
          <w:tcPr>
            <w:tcW w:w="1169" w:type="dxa"/>
          </w:tcPr>
          <w:p w14:paraId="27188A7F" w14:textId="77777777" w:rsidR="001D3BA0" w:rsidRPr="00A56D62" w:rsidRDefault="001D3BA0" w:rsidP="00AC6DC6">
            <w:pPr>
              <w:adjustRightInd w:val="0"/>
              <w:ind w:left="60" w:right="60"/>
              <w:jc w:val="center"/>
              <w:rPr>
                <w:rFonts w:ascii="Cambria" w:hAnsi="Cambria" w:cs="Arial"/>
                <w:b/>
                <w:bCs/>
                <w:color w:val="000000"/>
                <w:sz w:val="24"/>
                <w:szCs w:val="24"/>
              </w:rPr>
            </w:pPr>
            <w:proofErr w:type="spellStart"/>
            <w:r w:rsidRPr="00A56D62">
              <w:rPr>
                <w:rFonts w:ascii="Cambria" w:hAnsi="Cambria" w:cs="Arial"/>
                <w:b/>
                <w:bCs/>
                <w:color w:val="000000"/>
                <w:sz w:val="24"/>
                <w:szCs w:val="24"/>
              </w:rPr>
              <w:t>r-value</w:t>
            </w:r>
            <w:proofErr w:type="spellEnd"/>
          </w:p>
        </w:tc>
        <w:tc>
          <w:tcPr>
            <w:tcW w:w="1276" w:type="dxa"/>
          </w:tcPr>
          <w:p w14:paraId="7385F2BD" w14:textId="77777777" w:rsidR="001D3BA0" w:rsidRPr="00A56D62" w:rsidRDefault="001D3BA0" w:rsidP="00AC6DC6">
            <w:pPr>
              <w:adjustRightInd w:val="0"/>
              <w:ind w:left="60" w:right="60"/>
              <w:jc w:val="center"/>
              <w:rPr>
                <w:rFonts w:ascii="Cambria" w:hAnsi="Cambria" w:cs="Arial"/>
                <w:b/>
                <w:bCs/>
                <w:color w:val="000000"/>
                <w:sz w:val="24"/>
                <w:szCs w:val="24"/>
              </w:rPr>
            </w:pPr>
            <w:r w:rsidRPr="00A56D62">
              <w:rPr>
                <w:rFonts w:ascii="Cambria" w:hAnsi="Cambria" w:cs="Arial"/>
                <w:b/>
                <w:bCs/>
                <w:color w:val="000000"/>
                <w:sz w:val="24"/>
                <w:szCs w:val="24"/>
              </w:rPr>
              <w:t>p-value</w:t>
            </w:r>
          </w:p>
        </w:tc>
        <w:tc>
          <w:tcPr>
            <w:tcW w:w="2011" w:type="dxa"/>
          </w:tcPr>
          <w:p w14:paraId="74BE3D3C" w14:textId="77777777" w:rsidR="001D3BA0" w:rsidRPr="00A56D62" w:rsidRDefault="001D3BA0" w:rsidP="00AC6DC6">
            <w:pPr>
              <w:adjustRightInd w:val="0"/>
              <w:ind w:left="60" w:right="60"/>
              <w:jc w:val="center"/>
              <w:rPr>
                <w:rFonts w:ascii="Cambria" w:hAnsi="Cambria" w:cs="Arial"/>
                <w:b/>
                <w:bCs/>
                <w:color w:val="000000"/>
                <w:sz w:val="24"/>
                <w:szCs w:val="24"/>
              </w:rPr>
            </w:pPr>
            <w:r w:rsidRPr="00A56D62">
              <w:rPr>
                <w:rFonts w:ascii="Cambria" w:hAnsi="Cambria" w:cs="Arial"/>
                <w:b/>
                <w:bCs/>
                <w:color w:val="000000"/>
                <w:sz w:val="24"/>
                <w:szCs w:val="24"/>
              </w:rPr>
              <w:t xml:space="preserve">Decision on </w:t>
            </w:r>
            <w:r w:rsidRPr="00A56D62">
              <w:rPr>
                <w:rFonts w:ascii="Cambria" w:hAnsi="Cambria" w:cs="Arial"/>
                <w:b/>
                <w:bCs/>
                <w:i/>
                <w:color w:val="000000"/>
                <w:sz w:val="24"/>
                <w:szCs w:val="24"/>
              </w:rPr>
              <w:t>Ho</w:t>
            </w:r>
          </w:p>
        </w:tc>
        <w:tc>
          <w:tcPr>
            <w:tcW w:w="3239" w:type="dxa"/>
          </w:tcPr>
          <w:p w14:paraId="41401B50" w14:textId="77777777" w:rsidR="001D3BA0" w:rsidRPr="00A56D62" w:rsidRDefault="001D3BA0" w:rsidP="00AC6DC6">
            <w:pPr>
              <w:adjustRightInd w:val="0"/>
              <w:ind w:left="60" w:right="60"/>
              <w:jc w:val="center"/>
              <w:rPr>
                <w:rFonts w:ascii="Cambria" w:hAnsi="Cambria" w:cs="Arial"/>
                <w:b/>
                <w:bCs/>
                <w:color w:val="000000"/>
                <w:sz w:val="24"/>
                <w:szCs w:val="24"/>
              </w:rPr>
            </w:pPr>
            <w:r w:rsidRPr="00A56D62">
              <w:rPr>
                <w:rFonts w:ascii="Cambria" w:hAnsi="Cambria" w:cs="Arial"/>
                <w:b/>
                <w:bCs/>
                <w:color w:val="000000"/>
                <w:sz w:val="24"/>
                <w:szCs w:val="24"/>
              </w:rPr>
              <w:t>Interpretation</w:t>
            </w:r>
          </w:p>
        </w:tc>
      </w:tr>
      <w:tr w:rsidR="001D3BA0" w:rsidRPr="00A56D62" w14:paraId="3DC3C08E" w14:textId="77777777" w:rsidTr="00FA0786">
        <w:trPr>
          <w:trHeight w:val="405"/>
        </w:trPr>
        <w:tc>
          <w:tcPr>
            <w:tcW w:w="1803" w:type="dxa"/>
          </w:tcPr>
          <w:p w14:paraId="541884CD" w14:textId="77777777" w:rsidR="001D3BA0" w:rsidRPr="00706D27" w:rsidRDefault="001D3BA0" w:rsidP="00AC6DC6">
            <w:pPr>
              <w:adjustRightInd w:val="0"/>
              <w:ind w:left="60" w:right="60"/>
              <w:rPr>
                <w:rFonts w:ascii="Cambria" w:hAnsi="Cambria" w:cs="Arial"/>
                <w:color w:val="000000"/>
                <w:sz w:val="24"/>
                <w:szCs w:val="24"/>
              </w:rPr>
            </w:pPr>
            <w:r w:rsidRPr="00706D27">
              <w:rPr>
                <w:rFonts w:ascii="Cambria" w:hAnsi="Cambria" w:cs="Arial"/>
                <w:color w:val="000000"/>
                <w:sz w:val="24"/>
                <w:szCs w:val="24"/>
              </w:rPr>
              <w:t>Principal Neglect</w:t>
            </w:r>
          </w:p>
        </w:tc>
        <w:tc>
          <w:tcPr>
            <w:tcW w:w="1169" w:type="dxa"/>
          </w:tcPr>
          <w:p w14:paraId="4BAB88DC" w14:textId="77777777" w:rsidR="001D3BA0" w:rsidRPr="00A56D62" w:rsidRDefault="001D3BA0" w:rsidP="00AC6DC6">
            <w:pPr>
              <w:adjustRightInd w:val="0"/>
              <w:ind w:left="60" w:right="60"/>
              <w:jc w:val="center"/>
              <w:rPr>
                <w:rFonts w:ascii="Cambria" w:hAnsi="Cambria" w:cs="Arial"/>
                <w:color w:val="000000"/>
                <w:sz w:val="24"/>
                <w:szCs w:val="24"/>
              </w:rPr>
            </w:pPr>
            <w:r w:rsidRPr="00A56D62">
              <w:rPr>
                <w:rFonts w:ascii="Cambria" w:hAnsi="Cambria" w:cs="Arial"/>
                <w:color w:val="000000"/>
                <w:sz w:val="24"/>
                <w:szCs w:val="24"/>
              </w:rPr>
              <w:t>-.381</w:t>
            </w:r>
            <w:r w:rsidRPr="00A56D62">
              <w:rPr>
                <w:rFonts w:ascii="Cambria" w:hAnsi="Cambria" w:cs="Arial"/>
                <w:color w:val="000000"/>
                <w:sz w:val="24"/>
                <w:szCs w:val="24"/>
                <w:vertAlign w:val="superscript"/>
              </w:rPr>
              <w:t>**</w:t>
            </w:r>
          </w:p>
        </w:tc>
        <w:tc>
          <w:tcPr>
            <w:tcW w:w="1276" w:type="dxa"/>
          </w:tcPr>
          <w:p w14:paraId="0EAE3857" w14:textId="77777777" w:rsidR="001D3BA0" w:rsidRPr="00A56D62" w:rsidRDefault="001D3BA0" w:rsidP="00AC6DC6">
            <w:pPr>
              <w:adjustRightInd w:val="0"/>
              <w:ind w:left="60" w:right="60"/>
              <w:jc w:val="center"/>
              <w:rPr>
                <w:rFonts w:ascii="Cambria" w:hAnsi="Cambria" w:cs="Arial"/>
                <w:color w:val="000000"/>
                <w:sz w:val="24"/>
                <w:szCs w:val="24"/>
              </w:rPr>
            </w:pPr>
            <w:r w:rsidRPr="00A56D62">
              <w:rPr>
                <w:rFonts w:ascii="Cambria" w:hAnsi="Cambria" w:cs="Arial"/>
                <w:color w:val="000000"/>
                <w:sz w:val="24"/>
                <w:szCs w:val="24"/>
              </w:rPr>
              <w:t>.000</w:t>
            </w:r>
          </w:p>
        </w:tc>
        <w:tc>
          <w:tcPr>
            <w:tcW w:w="2011" w:type="dxa"/>
          </w:tcPr>
          <w:p w14:paraId="4CB421F8" w14:textId="77777777" w:rsidR="001D3BA0" w:rsidRPr="00A56D62" w:rsidRDefault="001D3BA0" w:rsidP="00AC6DC6">
            <w:pPr>
              <w:adjustRightInd w:val="0"/>
              <w:ind w:left="60" w:right="60"/>
              <w:jc w:val="center"/>
              <w:rPr>
                <w:rFonts w:ascii="Cambria" w:hAnsi="Cambria" w:cs="Arial"/>
                <w:color w:val="000000"/>
                <w:sz w:val="24"/>
                <w:szCs w:val="24"/>
              </w:rPr>
            </w:pPr>
            <w:r w:rsidRPr="00A56D62">
              <w:rPr>
                <w:rFonts w:ascii="Cambria" w:hAnsi="Cambria" w:cs="Arial"/>
                <w:color w:val="000000"/>
                <w:sz w:val="24"/>
                <w:szCs w:val="24"/>
              </w:rPr>
              <w:t xml:space="preserve">Reject </w:t>
            </w:r>
            <w:r w:rsidRPr="00A56D62">
              <w:rPr>
                <w:rFonts w:ascii="Cambria" w:hAnsi="Cambria" w:cs="Arial"/>
                <w:i/>
                <w:color w:val="000000"/>
                <w:sz w:val="24"/>
                <w:szCs w:val="24"/>
              </w:rPr>
              <w:t>H</w:t>
            </w:r>
            <w:r w:rsidRPr="00A56D62">
              <w:rPr>
                <w:rFonts w:ascii="Cambria" w:hAnsi="Cambria" w:cs="Arial"/>
                <w:b/>
                <w:bCs/>
                <w:i/>
                <w:color w:val="000000"/>
                <w:sz w:val="24"/>
                <w:szCs w:val="24"/>
              </w:rPr>
              <w:t>o</w:t>
            </w:r>
          </w:p>
        </w:tc>
        <w:tc>
          <w:tcPr>
            <w:tcW w:w="3239" w:type="dxa"/>
          </w:tcPr>
          <w:p w14:paraId="3588020F" w14:textId="77777777" w:rsidR="001D3BA0" w:rsidRPr="00A56D62" w:rsidRDefault="001D3BA0" w:rsidP="00AC6DC6">
            <w:pPr>
              <w:adjustRightInd w:val="0"/>
              <w:ind w:left="60" w:right="60"/>
              <w:jc w:val="center"/>
              <w:rPr>
                <w:rFonts w:ascii="Cambria" w:hAnsi="Cambria" w:cs="Arial"/>
                <w:color w:val="000000"/>
                <w:sz w:val="24"/>
                <w:szCs w:val="24"/>
              </w:rPr>
            </w:pPr>
            <w:r w:rsidRPr="00A56D62">
              <w:rPr>
                <w:rFonts w:ascii="Cambria" w:hAnsi="Cambria" w:cs="Arial"/>
                <w:color w:val="000000"/>
                <w:sz w:val="24"/>
                <w:szCs w:val="24"/>
              </w:rPr>
              <w:t>Negative, moderate correlation, significant</w:t>
            </w:r>
          </w:p>
        </w:tc>
      </w:tr>
      <w:tr w:rsidR="001D3BA0" w:rsidRPr="00A56D62" w14:paraId="5AD003BA" w14:textId="77777777" w:rsidTr="00FA0786">
        <w:trPr>
          <w:trHeight w:val="822"/>
        </w:trPr>
        <w:tc>
          <w:tcPr>
            <w:tcW w:w="1803" w:type="dxa"/>
          </w:tcPr>
          <w:p w14:paraId="19BEEFE4" w14:textId="77777777" w:rsidR="001D3BA0" w:rsidRPr="00706D27" w:rsidRDefault="001D3BA0" w:rsidP="00AC6DC6">
            <w:pPr>
              <w:rPr>
                <w:rFonts w:ascii="Cambria" w:hAnsi="Cambria"/>
                <w:sz w:val="24"/>
                <w:szCs w:val="24"/>
              </w:rPr>
            </w:pPr>
            <w:r w:rsidRPr="00706D27">
              <w:rPr>
                <w:rFonts w:ascii="Cambria" w:hAnsi="Cambria"/>
                <w:sz w:val="24"/>
                <w:szCs w:val="24"/>
              </w:rPr>
              <w:t>Teacher Professional Development</w:t>
            </w:r>
          </w:p>
        </w:tc>
        <w:tc>
          <w:tcPr>
            <w:tcW w:w="1169" w:type="dxa"/>
          </w:tcPr>
          <w:p w14:paraId="4D05AB4F" w14:textId="77777777" w:rsidR="001D3BA0" w:rsidRPr="00A56D62" w:rsidRDefault="001D3BA0" w:rsidP="00AC6DC6">
            <w:pPr>
              <w:adjustRightInd w:val="0"/>
              <w:ind w:left="60" w:right="60"/>
              <w:jc w:val="center"/>
              <w:rPr>
                <w:rFonts w:ascii="Cambria" w:hAnsi="Cambria" w:cs="Arial"/>
                <w:color w:val="000000"/>
                <w:sz w:val="24"/>
                <w:szCs w:val="24"/>
              </w:rPr>
            </w:pPr>
            <w:r w:rsidRPr="00A56D62">
              <w:rPr>
                <w:rFonts w:ascii="Cambria" w:hAnsi="Cambria" w:cs="Arial"/>
                <w:color w:val="000000"/>
                <w:sz w:val="24"/>
                <w:szCs w:val="24"/>
              </w:rPr>
              <w:t>.748</w:t>
            </w:r>
            <w:r w:rsidRPr="00A56D62">
              <w:rPr>
                <w:rFonts w:ascii="Cambria" w:hAnsi="Cambria" w:cs="Arial"/>
                <w:color w:val="000000"/>
                <w:sz w:val="24"/>
                <w:szCs w:val="24"/>
                <w:vertAlign w:val="superscript"/>
              </w:rPr>
              <w:t>**</w:t>
            </w:r>
          </w:p>
        </w:tc>
        <w:tc>
          <w:tcPr>
            <w:tcW w:w="1276" w:type="dxa"/>
          </w:tcPr>
          <w:p w14:paraId="6D89D95A" w14:textId="77777777" w:rsidR="001D3BA0" w:rsidRPr="00A56D62" w:rsidRDefault="001D3BA0" w:rsidP="00AC6DC6">
            <w:pPr>
              <w:adjustRightInd w:val="0"/>
              <w:ind w:left="60" w:right="60"/>
              <w:jc w:val="center"/>
              <w:rPr>
                <w:rFonts w:ascii="Cambria" w:hAnsi="Cambria" w:cs="Arial"/>
                <w:color w:val="000000"/>
                <w:sz w:val="24"/>
                <w:szCs w:val="24"/>
              </w:rPr>
            </w:pPr>
            <w:r w:rsidRPr="00A56D62">
              <w:rPr>
                <w:rFonts w:ascii="Cambria" w:hAnsi="Cambria" w:cs="Arial"/>
                <w:color w:val="000000"/>
                <w:sz w:val="24"/>
                <w:szCs w:val="24"/>
              </w:rPr>
              <w:t>.000</w:t>
            </w:r>
          </w:p>
        </w:tc>
        <w:tc>
          <w:tcPr>
            <w:tcW w:w="2011" w:type="dxa"/>
          </w:tcPr>
          <w:p w14:paraId="5C6441DD" w14:textId="77777777" w:rsidR="001D3BA0" w:rsidRPr="00A56D62" w:rsidRDefault="001D3BA0" w:rsidP="00AC6DC6">
            <w:pPr>
              <w:adjustRightInd w:val="0"/>
              <w:ind w:left="60" w:right="60"/>
              <w:jc w:val="center"/>
              <w:rPr>
                <w:rFonts w:ascii="Cambria" w:hAnsi="Cambria" w:cs="Arial"/>
                <w:color w:val="000000"/>
                <w:sz w:val="24"/>
                <w:szCs w:val="24"/>
              </w:rPr>
            </w:pPr>
            <w:r w:rsidRPr="00A56D62">
              <w:rPr>
                <w:rFonts w:ascii="Cambria" w:hAnsi="Cambria" w:cs="Arial"/>
                <w:color w:val="000000"/>
                <w:sz w:val="24"/>
                <w:szCs w:val="24"/>
              </w:rPr>
              <w:t>Reject</w:t>
            </w:r>
            <w:r w:rsidRPr="00A56D62">
              <w:rPr>
                <w:rFonts w:ascii="Cambria" w:hAnsi="Cambria" w:cs="Arial"/>
                <w:i/>
                <w:color w:val="000000"/>
                <w:sz w:val="24"/>
                <w:szCs w:val="24"/>
              </w:rPr>
              <w:t xml:space="preserve"> H</w:t>
            </w:r>
            <w:r w:rsidRPr="00A56D62">
              <w:rPr>
                <w:rFonts w:ascii="Cambria" w:hAnsi="Cambria" w:cs="Arial"/>
                <w:b/>
                <w:bCs/>
                <w:i/>
                <w:color w:val="000000"/>
                <w:sz w:val="24"/>
                <w:szCs w:val="24"/>
              </w:rPr>
              <w:t>o</w:t>
            </w:r>
          </w:p>
        </w:tc>
        <w:tc>
          <w:tcPr>
            <w:tcW w:w="3239" w:type="dxa"/>
          </w:tcPr>
          <w:p w14:paraId="0D3F91FB" w14:textId="77777777" w:rsidR="001D3BA0" w:rsidRPr="00A56D62" w:rsidRDefault="001D3BA0" w:rsidP="00AC6DC6">
            <w:pPr>
              <w:adjustRightInd w:val="0"/>
              <w:ind w:left="60" w:right="60"/>
              <w:jc w:val="center"/>
              <w:rPr>
                <w:rFonts w:ascii="Cambria" w:hAnsi="Cambria" w:cs="Arial"/>
                <w:color w:val="000000"/>
                <w:sz w:val="24"/>
                <w:szCs w:val="24"/>
              </w:rPr>
            </w:pPr>
            <w:r w:rsidRPr="00A56D62">
              <w:rPr>
                <w:rFonts w:ascii="Cambria" w:hAnsi="Cambria" w:cs="Arial"/>
                <w:color w:val="000000"/>
                <w:sz w:val="24"/>
                <w:szCs w:val="24"/>
              </w:rPr>
              <w:t xml:space="preserve">Positive, strong correlation, significant </w:t>
            </w:r>
          </w:p>
        </w:tc>
      </w:tr>
      <w:tr w:rsidR="001D3BA0" w:rsidRPr="00A56D62" w14:paraId="23C6FCB6" w14:textId="77777777" w:rsidTr="00FA0786">
        <w:trPr>
          <w:trHeight w:val="405"/>
        </w:trPr>
        <w:tc>
          <w:tcPr>
            <w:tcW w:w="9498" w:type="dxa"/>
            <w:gridSpan w:val="5"/>
          </w:tcPr>
          <w:p w14:paraId="792BE396" w14:textId="77777777" w:rsidR="001D3BA0" w:rsidRPr="00A56D62" w:rsidRDefault="001D3BA0" w:rsidP="00AC6DC6">
            <w:pPr>
              <w:adjustRightInd w:val="0"/>
              <w:ind w:left="60" w:right="60"/>
              <w:rPr>
                <w:rFonts w:ascii="Cambria" w:hAnsi="Cambria" w:cs="Arial"/>
                <w:color w:val="000000"/>
                <w:sz w:val="24"/>
                <w:szCs w:val="24"/>
              </w:rPr>
            </w:pPr>
            <w:r w:rsidRPr="00A56D62">
              <w:rPr>
                <w:rFonts w:ascii="Cambria" w:hAnsi="Cambria" w:cs="Arial"/>
                <w:color w:val="000000"/>
                <w:sz w:val="24"/>
                <w:szCs w:val="24"/>
              </w:rPr>
              <w:t>**. Correlation is significant at the 0.05 level.</w:t>
            </w:r>
          </w:p>
        </w:tc>
      </w:tr>
    </w:tbl>
    <w:p w14:paraId="23D9987A" w14:textId="77777777" w:rsidR="001D3BA0" w:rsidRPr="00A56D62" w:rsidRDefault="001D3BA0" w:rsidP="001D3BA0">
      <w:pPr>
        <w:jc w:val="both"/>
        <w:rPr>
          <w:rFonts w:ascii="Cambria" w:hAnsi="Cambria"/>
          <w:sz w:val="24"/>
          <w:szCs w:val="24"/>
        </w:rPr>
      </w:pPr>
    </w:p>
    <w:p w14:paraId="6DBB494C" w14:textId="77777777" w:rsidR="001D3BA0" w:rsidRPr="00A56D62" w:rsidRDefault="001D3BA0" w:rsidP="001D3BA0">
      <w:pPr>
        <w:ind w:firstLine="720"/>
        <w:jc w:val="both"/>
        <w:rPr>
          <w:rFonts w:ascii="Cambria" w:hAnsi="Cambria"/>
          <w:sz w:val="24"/>
          <w:szCs w:val="24"/>
        </w:rPr>
      </w:pPr>
      <w:r w:rsidRPr="00A56D62">
        <w:rPr>
          <w:rFonts w:ascii="Cambria" w:hAnsi="Cambria"/>
          <w:sz w:val="24"/>
          <w:szCs w:val="24"/>
        </w:rPr>
        <w:t xml:space="preserve">The correlation analysis between principal neglect and classroom management among the respondents yielded a p-value of .000, which is lower than the 0.05 level of significance. Thus, we rejected the null hypothesis, indicating a significant correlation. Moreover, the </w:t>
      </w:r>
      <w:proofErr w:type="spellStart"/>
      <w:r w:rsidRPr="00A56D62">
        <w:rPr>
          <w:rFonts w:ascii="Cambria" w:hAnsi="Cambria"/>
          <w:sz w:val="24"/>
          <w:szCs w:val="24"/>
        </w:rPr>
        <w:t>r-value</w:t>
      </w:r>
      <w:proofErr w:type="spellEnd"/>
      <w:r w:rsidRPr="00A56D62">
        <w:rPr>
          <w:rFonts w:ascii="Cambria" w:hAnsi="Cambria"/>
          <w:sz w:val="24"/>
          <w:szCs w:val="24"/>
        </w:rPr>
        <w:t xml:space="preserve"> of -0.381 shows a moderately negative correlation. It implies that for every unit increase in principal neglect, there is a corresponding -0.381 unit decrease in classroom management, and vice versa.</w:t>
      </w:r>
    </w:p>
    <w:p w14:paraId="44F7E5AA" w14:textId="77777777" w:rsidR="001D3BA0" w:rsidRPr="00A56D62" w:rsidRDefault="001D3BA0" w:rsidP="001D3BA0">
      <w:pPr>
        <w:ind w:firstLine="720"/>
        <w:jc w:val="both"/>
        <w:rPr>
          <w:rFonts w:ascii="Cambria" w:hAnsi="Cambria"/>
          <w:sz w:val="24"/>
          <w:szCs w:val="24"/>
        </w:rPr>
      </w:pPr>
      <w:r w:rsidRPr="00A56D62">
        <w:rPr>
          <w:rFonts w:ascii="Cambria" w:hAnsi="Cambria"/>
          <w:sz w:val="24"/>
          <w:szCs w:val="24"/>
        </w:rPr>
        <w:t xml:space="preserve">On the other hand, the correlation analysis between teacher professional development and classroom management among early childhood educators yielded a p-value of 0.000, which is lower than the 0.05 level of significance. Results led to the rejection of the null hypothesis. It indicates that the correlation is significant. Further, the </w:t>
      </w:r>
      <w:proofErr w:type="spellStart"/>
      <w:r w:rsidRPr="00A56D62">
        <w:rPr>
          <w:rFonts w:ascii="Cambria" w:hAnsi="Cambria"/>
          <w:sz w:val="24"/>
          <w:szCs w:val="24"/>
        </w:rPr>
        <w:t>r-value</w:t>
      </w:r>
      <w:proofErr w:type="spellEnd"/>
      <w:r w:rsidRPr="00A56D62">
        <w:rPr>
          <w:rFonts w:ascii="Cambria" w:hAnsi="Cambria"/>
          <w:sz w:val="24"/>
          <w:szCs w:val="24"/>
        </w:rPr>
        <w:t xml:space="preserve"> of 0.748 indicates a strong positive correlation. It implies that for every unit change in teacher professional development, there is a corresponding 0.748-unit change in classroom management.</w:t>
      </w:r>
    </w:p>
    <w:p w14:paraId="75328ABD" w14:textId="77777777" w:rsidR="001D3BA0" w:rsidRPr="00A56D62" w:rsidRDefault="001D3BA0" w:rsidP="001D3BA0">
      <w:pPr>
        <w:ind w:firstLine="720"/>
        <w:jc w:val="both"/>
        <w:rPr>
          <w:rFonts w:ascii="Cambria" w:hAnsi="Cambria"/>
          <w:sz w:val="24"/>
          <w:szCs w:val="24"/>
        </w:rPr>
      </w:pPr>
      <w:r w:rsidRPr="00A56D62">
        <w:rPr>
          <w:rFonts w:ascii="Cambria" w:hAnsi="Cambria"/>
          <w:sz w:val="24"/>
          <w:szCs w:val="24"/>
        </w:rPr>
        <w:t>The correlation results reveal that principal neglect has a significant negative relationship with classroom management, indicating that higher neglect is associated with poorer classroom practices. In contrast, teacher professional development shows a significant positive relationship with classroom management, suggesting that more professional development leads to more effective classroom practices.</w:t>
      </w:r>
    </w:p>
    <w:p w14:paraId="14ADBBA1" w14:textId="77777777" w:rsidR="002065C5" w:rsidRDefault="002065C5" w:rsidP="001D3BA0">
      <w:pPr>
        <w:jc w:val="both"/>
        <w:rPr>
          <w:rFonts w:ascii="Cambria" w:hAnsi="Cambria"/>
          <w:b/>
          <w:bCs/>
          <w:sz w:val="24"/>
          <w:szCs w:val="24"/>
        </w:rPr>
      </w:pPr>
    </w:p>
    <w:p w14:paraId="2F0168A7" w14:textId="13328890" w:rsidR="001D3BA0" w:rsidRPr="00A56D62" w:rsidRDefault="001D3BA0" w:rsidP="001D3BA0">
      <w:pPr>
        <w:jc w:val="both"/>
        <w:rPr>
          <w:rFonts w:ascii="Cambria" w:hAnsi="Cambria"/>
          <w:b/>
          <w:bCs/>
          <w:sz w:val="24"/>
          <w:szCs w:val="24"/>
        </w:rPr>
      </w:pPr>
      <w:r w:rsidRPr="00A56D62">
        <w:rPr>
          <w:rFonts w:ascii="Cambria" w:hAnsi="Cambria"/>
          <w:b/>
          <w:bCs/>
          <w:sz w:val="24"/>
          <w:szCs w:val="24"/>
        </w:rPr>
        <w:t>Regression Results</w:t>
      </w:r>
    </w:p>
    <w:p w14:paraId="687DFDAE" w14:textId="4D7342EE" w:rsidR="00FA0786" w:rsidRPr="00A56D62" w:rsidRDefault="001D3BA0" w:rsidP="00497797">
      <w:pPr>
        <w:ind w:firstLine="720"/>
        <w:jc w:val="both"/>
        <w:rPr>
          <w:rFonts w:ascii="Cambria" w:hAnsi="Cambria"/>
          <w:sz w:val="24"/>
          <w:szCs w:val="24"/>
        </w:rPr>
      </w:pPr>
      <w:r w:rsidRPr="00A56D62">
        <w:rPr>
          <w:rFonts w:ascii="Cambria" w:hAnsi="Cambria"/>
          <w:sz w:val="24"/>
          <w:szCs w:val="24"/>
        </w:rPr>
        <w:t xml:space="preserve">Table 3 shows the regression results. The table contains the </w:t>
      </w:r>
      <w:r w:rsidR="006A4B98" w:rsidRPr="00A56D62">
        <w:rPr>
          <w:rFonts w:ascii="Cambria" w:hAnsi="Cambria"/>
          <w:sz w:val="24"/>
          <w:szCs w:val="24"/>
        </w:rPr>
        <w:t>unstandardi</w:t>
      </w:r>
      <w:r w:rsidR="006A4B98">
        <w:rPr>
          <w:rFonts w:ascii="Cambria" w:hAnsi="Cambria"/>
          <w:sz w:val="24"/>
          <w:szCs w:val="24"/>
        </w:rPr>
        <w:t>z</w:t>
      </w:r>
      <w:r w:rsidR="006A4B98" w:rsidRPr="00A56D62">
        <w:rPr>
          <w:rFonts w:ascii="Cambria" w:hAnsi="Cambria"/>
          <w:sz w:val="24"/>
          <w:szCs w:val="24"/>
        </w:rPr>
        <w:t>ed</w:t>
      </w:r>
      <w:r w:rsidRPr="00A56D62">
        <w:rPr>
          <w:rFonts w:ascii="Cambria" w:hAnsi="Cambria"/>
          <w:sz w:val="24"/>
          <w:szCs w:val="24"/>
        </w:rPr>
        <w:t xml:space="preserve"> and </w:t>
      </w:r>
      <w:r w:rsidR="006A4B98" w:rsidRPr="00A56D62">
        <w:rPr>
          <w:rFonts w:ascii="Cambria" w:hAnsi="Cambria"/>
          <w:sz w:val="24"/>
          <w:szCs w:val="24"/>
        </w:rPr>
        <w:t>standardized</w:t>
      </w:r>
      <w:r w:rsidRPr="00A56D62">
        <w:rPr>
          <w:rFonts w:ascii="Cambria" w:hAnsi="Cambria"/>
          <w:sz w:val="24"/>
          <w:szCs w:val="24"/>
        </w:rPr>
        <w:t xml:space="preserve"> beta coefficients, standard errors, t-values, p-values, decisions on the null hypothesis, and corresponding interpretations. </w:t>
      </w:r>
    </w:p>
    <w:p w14:paraId="1C4E0B38" w14:textId="77777777" w:rsidR="001D3BA0" w:rsidRPr="00FA0786" w:rsidRDefault="001D3BA0" w:rsidP="001D3BA0">
      <w:pPr>
        <w:adjustRightInd w:val="0"/>
        <w:jc w:val="both"/>
        <w:rPr>
          <w:rFonts w:ascii="Cambria" w:hAnsi="Cambria"/>
          <w:b/>
          <w:bCs/>
          <w:i/>
          <w:spacing w:val="-4"/>
          <w:sz w:val="24"/>
          <w:szCs w:val="24"/>
        </w:rPr>
      </w:pPr>
      <w:r w:rsidRPr="00FA0786">
        <w:rPr>
          <w:rFonts w:ascii="Cambria" w:hAnsi="Cambria"/>
          <w:b/>
          <w:bCs/>
          <w:i/>
          <w:sz w:val="24"/>
          <w:szCs w:val="24"/>
        </w:rPr>
        <w:t>Table 3:</w:t>
      </w:r>
      <w:r w:rsidRPr="00FA0786">
        <w:rPr>
          <w:rFonts w:ascii="Cambria" w:hAnsi="Cambria"/>
          <w:b/>
          <w:bCs/>
          <w:i/>
          <w:spacing w:val="-3"/>
          <w:sz w:val="24"/>
          <w:szCs w:val="24"/>
        </w:rPr>
        <w:t xml:space="preserve"> </w:t>
      </w:r>
      <w:r w:rsidRPr="00FA0786">
        <w:rPr>
          <w:rFonts w:ascii="Cambria" w:hAnsi="Cambria"/>
          <w:b/>
          <w:bCs/>
          <w:i/>
          <w:sz w:val="24"/>
          <w:szCs w:val="24"/>
        </w:rPr>
        <w:t>Regression Table</w:t>
      </w:r>
      <w:r w:rsidRPr="00FA0786">
        <w:rPr>
          <w:rFonts w:ascii="Cambria" w:hAnsi="Cambria"/>
          <w:b/>
          <w:bCs/>
          <w:i/>
          <w:spacing w:val="-4"/>
          <w:sz w:val="24"/>
          <w:szCs w:val="24"/>
        </w:rPr>
        <w:t xml:space="preserve"> </w:t>
      </w:r>
      <w:r w:rsidRPr="00FA0786">
        <w:rPr>
          <w:rFonts w:ascii="Cambria" w:hAnsi="Cambria"/>
          <w:b/>
          <w:bCs/>
          <w:i/>
          <w:sz w:val="24"/>
          <w:szCs w:val="24"/>
        </w:rPr>
        <w:t>(N</w:t>
      </w:r>
      <w:r w:rsidRPr="00FA0786">
        <w:rPr>
          <w:rFonts w:ascii="Cambria" w:hAnsi="Cambria"/>
          <w:b/>
          <w:bCs/>
          <w:i/>
          <w:spacing w:val="-2"/>
          <w:sz w:val="24"/>
          <w:szCs w:val="24"/>
        </w:rPr>
        <w:t xml:space="preserve"> </w:t>
      </w:r>
      <w:r w:rsidRPr="00FA0786">
        <w:rPr>
          <w:rFonts w:ascii="Cambria" w:hAnsi="Cambria"/>
          <w:b/>
          <w:bCs/>
          <w:i/>
          <w:sz w:val="24"/>
          <w:szCs w:val="24"/>
        </w:rPr>
        <w:t>=</w:t>
      </w:r>
      <w:r w:rsidRPr="00FA0786">
        <w:rPr>
          <w:rFonts w:ascii="Cambria" w:hAnsi="Cambria"/>
          <w:b/>
          <w:bCs/>
          <w:i/>
          <w:spacing w:val="-5"/>
          <w:sz w:val="24"/>
          <w:szCs w:val="24"/>
        </w:rPr>
        <w:t xml:space="preserve"> </w:t>
      </w:r>
      <w:r w:rsidRPr="00FA0786">
        <w:rPr>
          <w:rFonts w:ascii="Cambria" w:hAnsi="Cambria"/>
          <w:b/>
          <w:bCs/>
          <w:i/>
          <w:spacing w:val="-4"/>
          <w:sz w:val="24"/>
          <w:szCs w:val="24"/>
        </w:rPr>
        <w:t>180)</w:t>
      </w:r>
    </w:p>
    <w:tbl>
      <w:tblPr>
        <w:tblStyle w:val="TableGrid"/>
        <w:tblW w:w="10490" w:type="dxa"/>
        <w:tblInd w:w="-714" w:type="dxa"/>
        <w:tblLayout w:type="fixed"/>
        <w:tblLook w:val="0000" w:firstRow="0" w:lastRow="0" w:firstColumn="0" w:lastColumn="0" w:noHBand="0" w:noVBand="0"/>
      </w:tblPr>
      <w:tblGrid>
        <w:gridCol w:w="236"/>
        <w:gridCol w:w="1607"/>
        <w:gridCol w:w="993"/>
        <w:gridCol w:w="1134"/>
        <w:gridCol w:w="1701"/>
        <w:gridCol w:w="992"/>
        <w:gridCol w:w="992"/>
        <w:gridCol w:w="1276"/>
        <w:gridCol w:w="1559"/>
      </w:tblGrid>
      <w:tr w:rsidR="001D3BA0" w:rsidRPr="00FA0786" w14:paraId="204080FB" w14:textId="77777777" w:rsidTr="00FA0786">
        <w:trPr>
          <w:trHeight w:val="185"/>
        </w:trPr>
        <w:tc>
          <w:tcPr>
            <w:tcW w:w="10490" w:type="dxa"/>
            <w:gridSpan w:val="9"/>
          </w:tcPr>
          <w:p w14:paraId="79111ADD" w14:textId="77777777" w:rsidR="001D3BA0" w:rsidRPr="00FA0786" w:rsidRDefault="001D3BA0" w:rsidP="00FA0786">
            <w:pPr>
              <w:spacing w:line="240" w:lineRule="auto"/>
              <w:jc w:val="center"/>
              <w:rPr>
                <w:rFonts w:ascii="Cambria" w:hAnsi="Cambria"/>
                <w:b/>
                <w:bCs/>
                <w:sz w:val="24"/>
                <w:szCs w:val="24"/>
              </w:rPr>
            </w:pPr>
            <w:r w:rsidRPr="00FA0786">
              <w:rPr>
                <w:rFonts w:ascii="Cambria" w:hAnsi="Cambria"/>
                <w:b/>
                <w:bCs/>
                <w:sz w:val="24"/>
                <w:szCs w:val="24"/>
              </w:rPr>
              <w:t>CLASSROOM MANAGEMENT</w:t>
            </w:r>
          </w:p>
        </w:tc>
      </w:tr>
      <w:tr w:rsidR="00FA0786" w:rsidRPr="00FA0786" w14:paraId="5BE64AF6" w14:textId="77777777" w:rsidTr="00D4228F">
        <w:trPr>
          <w:trHeight w:val="768"/>
        </w:trPr>
        <w:tc>
          <w:tcPr>
            <w:tcW w:w="1843" w:type="dxa"/>
            <w:gridSpan w:val="2"/>
            <w:vMerge w:val="restart"/>
          </w:tcPr>
          <w:p w14:paraId="65A0D7DA" w14:textId="77777777" w:rsidR="001D3BA0" w:rsidRPr="00FA0786" w:rsidRDefault="001D3BA0" w:rsidP="00FA0786">
            <w:pPr>
              <w:spacing w:line="240" w:lineRule="auto"/>
              <w:jc w:val="center"/>
              <w:rPr>
                <w:rFonts w:ascii="Cambria" w:hAnsi="Cambria"/>
                <w:b/>
                <w:bCs/>
                <w:sz w:val="24"/>
                <w:szCs w:val="24"/>
              </w:rPr>
            </w:pPr>
            <w:r w:rsidRPr="00FA0786">
              <w:rPr>
                <w:rFonts w:ascii="Cambria" w:hAnsi="Cambria"/>
                <w:b/>
                <w:bCs/>
                <w:sz w:val="24"/>
                <w:szCs w:val="24"/>
              </w:rPr>
              <w:t>Variables</w:t>
            </w:r>
          </w:p>
        </w:tc>
        <w:tc>
          <w:tcPr>
            <w:tcW w:w="2127" w:type="dxa"/>
            <w:gridSpan w:val="2"/>
          </w:tcPr>
          <w:p w14:paraId="6685A8A6" w14:textId="22F19ADE" w:rsidR="001D3BA0" w:rsidRPr="00FA0786" w:rsidRDefault="006A4B98" w:rsidP="00FA0786">
            <w:pPr>
              <w:spacing w:line="240" w:lineRule="auto"/>
              <w:jc w:val="center"/>
              <w:rPr>
                <w:rFonts w:ascii="Cambria" w:hAnsi="Cambria"/>
                <w:b/>
                <w:bCs/>
                <w:sz w:val="24"/>
                <w:szCs w:val="24"/>
              </w:rPr>
            </w:pPr>
            <w:r w:rsidRPr="00FA0786">
              <w:rPr>
                <w:rFonts w:ascii="Cambria" w:hAnsi="Cambria"/>
                <w:b/>
                <w:bCs/>
                <w:sz w:val="24"/>
                <w:szCs w:val="24"/>
              </w:rPr>
              <w:t>Unstandardized</w:t>
            </w:r>
            <w:r w:rsidR="001D3BA0" w:rsidRPr="00FA0786">
              <w:rPr>
                <w:rFonts w:ascii="Cambria" w:hAnsi="Cambria"/>
                <w:b/>
                <w:bCs/>
                <w:sz w:val="24"/>
                <w:szCs w:val="24"/>
              </w:rPr>
              <w:t xml:space="preserve"> Coefficients</w:t>
            </w:r>
          </w:p>
        </w:tc>
        <w:tc>
          <w:tcPr>
            <w:tcW w:w="1701" w:type="dxa"/>
          </w:tcPr>
          <w:p w14:paraId="30A3DC12" w14:textId="437E449B" w:rsidR="001D3BA0" w:rsidRPr="00FA0786" w:rsidRDefault="006A4B98" w:rsidP="00AC6DC6">
            <w:pPr>
              <w:spacing w:line="240" w:lineRule="auto"/>
              <w:jc w:val="center"/>
              <w:rPr>
                <w:rFonts w:ascii="Cambria" w:hAnsi="Cambria"/>
                <w:b/>
                <w:bCs/>
                <w:sz w:val="24"/>
                <w:szCs w:val="24"/>
              </w:rPr>
            </w:pPr>
            <w:r w:rsidRPr="00FA0786">
              <w:rPr>
                <w:rFonts w:ascii="Cambria" w:hAnsi="Cambria"/>
                <w:b/>
                <w:bCs/>
                <w:sz w:val="24"/>
                <w:szCs w:val="24"/>
              </w:rPr>
              <w:t>Standardized</w:t>
            </w:r>
            <w:r w:rsidR="001D3BA0" w:rsidRPr="00FA0786">
              <w:rPr>
                <w:rFonts w:ascii="Cambria" w:hAnsi="Cambria"/>
                <w:b/>
                <w:bCs/>
                <w:sz w:val="24"/>
                <w:szCs w:val="24"/>
              </w:rPr>
              <w:t xml:space="preserve"> Coefficients</w:t>
            </w:r>
          </w:p>
        </w:tc>
        <w:tc>
          <w:tcPr>
            <w:tcW w:w="992" w:type="dxa"/>
          </w:tcPr>
          <w:p w14:paraId="193E6A5F" w14:textId="77777777" w:rsidR="001D3BA0" w:rsidRPr="00FA0786" w:rsidRDefault="001D3BA0" w:rsidP="00AC6DC6">
            <w:pPr>
              <w:spacing w:line="240" w:lineRule="auto"/>
              <w:jc w:val="center"/>
              <w:rPr>
                <w:rFonts w:ascii="Cambria" w:hAnsi="Cambria"/>
                <w:b/>
                <w:bCs/>
                <w:sz w:val="24"/>
                <w:szCs w:val="24"/>
              </w:rPr>
            </w:pPr>
          </w:p>
        </w:tc>
        <w:tc>
          <w:tcPr>
            <w:tcW w:w="992" w:type="dxa"/>
          </w:tcPr>
          <w:p w14:paraId="0A836B19" w14:textId="77777777" w:rsidR="001D3BA0" w:rsidRPr="00FA0786" w:rsidRDefault="001D3BA0" w:rsidP="00AC6DC6">
            <w:pPr>
              <w:spacing w:line="240" w:lineRule="auto"/>
              <w:jc w:val="center"/>
              <w:rPr>
                <w:rFonts w:ascii="Cambria" w:hAnsi="Cambria"/>
                <w:b/>
                <w:bCs/>
                <w:sz w:val="24"/>
                <w:szCs w:val="24"/>
              </w:rPr>
            </w:pPr>
          </w:p>
        </w:tc>
        <w:tc>
          <w:tcPr>
            <w:tcW w:w="1276" w:type="dxa"/>
            <w:vMerge w:val="restart"/>
          </w:tcPr>
          <w:p w14:paraId="6EB0547A" w14:textId="77777777" w:rsidR="001D3BA0" w:rsidRPr="00FA0786" w:rsidRDefault="001D3BA0" w:rsidP="00AC6DC6">
            <w:pPr>
              <w:spacing w:line="240" w:lineRule="auto"/>
              <w:jc w:val="center"/>
              <w:rPr>
                <w:rFonts w:ascii="Cambria" w:hAnsi="Cambria"/>
                <w:b/>
                <w:bCs/>
                <w:sz w:val="24"/>
                <w:szCs w:val="24"/>
              </w:rPr>
            </w:pPr>
            <w:r w:rsidRPr="00FA0786">
              <w:rPr>
                <w:rFonts w:ascii="Cambria" w:hAnsi="Cambria"/>
                <w:b/>
                <w:bCs/>
                <w:sz w:val="24"/>
                <w:szCs w:val="24"/>
              </w:rPr>
              <w:t>Decision on Ho</w:t>
            </w:r>
          </w:p>
        </w:tc>
        <w:tc>
          <w:tcPr>
            <w:tcW w:w="1559" w:type="dxa"/>
            <w:vMerge w:val="restart"/>
          </w:tcPr>
          <w:p w14:paraId="7DA5C793" w14:textId="77777777" w:rsidR="001D3BA0" w:rsidRPr="00FA0786" w:rsidRDefault="001D3BA0" w:rsidP="00AC6DC6">
            <w:pPr>
              <w:spacing w:line="240" w:lineRule="auto"/>
              <w:jc w:val="center"/>
              <w:rPr>
                <w:rFonts w:ascii="Cambria" w:hAnsi="Cambria"/>
                <w:b/>
                <w:bCs/>
                <w:sz w:val="24"/>
                <w:szCs w:val="24"/>
              </w:rPr>
            </w:pPr>
            <w:r w:rsidRPr="00FA0786">
              <w:rPr>
                <w:rFonts w:ascii="Cambria" w:hAnsi="Cambria"/>
                <w:b/>
                <w:bCs/>
                <w:sz w:val="24"/>
                <w:szCs w:val="24"/>
              </w:rPr>
              <w:t>Interpretation</w:t>
            </w:r>
          </w:p>
        </w:tc>
      </w:tr>
      <w:tr w:rsidR="00FA0786" w:rsidRPr="00FA0786" w14:paraId="2155FF8A" w14:textId="77777777" w:rsidTr="00D4228F">
        <w:trPr>
          <w:trHeight w:val="193"/>
        </w:trPr>
        <w:tc>
          <w:tcPr>
            <w:tcW w:w="1843" w:type="dxa"/>
            <w:gridSpan w:val="2"/>
            <w:vMerge/>
          </w:tcPr>
          <w:p w14:paraId="2CD6A340" w14:textId="77777777" w:rsidR="001D3BA0" w:rsidRPr="00FA0786" w:rsidRDefault="001D3BA0" w:rsidP="00FA0786">
            <w:pPr>
              <w:adjustRightInd w:val="0"/>
              <w:spacing w:line="240" w:lineRule="auto"/>
              <w:rPr>
                <w:rFonts w:ascii="Cambria" w:hAnsi="Cambria" w:cs="Arial"/>
                <w:color w:val="000000"/>
                <w:sz w:val="24"/>
                <w:szCs w:val="24"/>
              </w:rPr>
            </w:pPr>
          </w:p>
        </w:tc>
        <w:tc>
          <w:tcPr>
            <w:tcW w:w="993" w:type="dxa"/>
          </w:tcPr>
          <w:p w14:paraId="41418699" w14:textId="77777777" w:rsidR="001D3BA0" w:rsidRPr="00FA0786" w:rsidRDefault="001D3BA0" w:rsidP="00FA078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B</w:t>
            </w:r>
          </w:p>
        </w:tc>
        <w:tc>
          <w:tcPr>
            <w:tcW w:w="1134" w:type="dxa"/>
          </w:tcPr>
          <w:p w14:paraId="09D565D7" w14:textId="77777777" w:rsidR="001D3BA0" w:rsidRPr="00FA0786" w:rsidRDefault="001D3BA0" w:rsidP="00FA078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Std. Error</w:t>
            </w:r>
          </w:p>
        </w:tc>
        <w:tc>
          <w:tcPr>
            <w:tcW w:w="1701" w:type="dxa"/>
          </w:tcPr>
          <w:p w14:paraId="5AB09CCE" w14:textId="77777777" w:rsidR="001D3BA0" w:rsidRPr="00FA0786" w:rsidRDefault="001D3BA0" w:rsidP="00AC6DC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Beta</w:t>
            </w:r>
          </w:p>
        </w:tc>
        <w:tc>
          <w:tcPr>
            <w:tcW w:w="992" w:type="dxa"/>
          </w:tcPr>
          <w:p w14:paraId="447C716A" w14:textId="77777777" w:rsidR="001D3BA0" w:rsidRPr="00FA0786" w:rsidRDefault="001D3BA0" w:rsidP="00AC6DC6">
            <w:pPr>
              <w:spacing w:line="240" w:lineRule="auto"/>
              <w:jc w:val="center"/>
              <w:rPr>
                <w:rFonts w:ascii="Cambria" w:hAnsi="Cambria" w:cs="Arial"/>
                <w:color w:val="000000"/>
                <w:sz w:val="24"/>
                <w:szCs w:val="24"/>
              </w:rPr>
            </w:pPr>
            <w:r w:rsidRPr="00FA0786">
              <w:rPr>
                <w:rFonts w:ascii="Cambria" w:hAnsi="Cambria"/>
                <w:sz w:val="24"/>
                <w:szCs w:val="24"/>
              </w:rPr>
              <w:t>t</w:t>
            </w:r>
          </w:p>
        </w:tc>
        <w:tc>
          <w:tcPr>
            <w:tcW w:w="992" w:type="dxa"/>
          </w:tcPr>
          <w:p w14:paraId="7517BC88" w14:textId="77777777" w:rsidR="001D3BA0" w:rsidRPr="00FA0786" w:rsidRDefault="001D3BA0" w:rsidP="00AC6DC6">
            <w:pPr>
              <w:spacing w:line="240" w:lineRule="auto"/>
              <w:jc w:val="center"/>
              <w:rPr>
                <w:rFonts w:ascii="Cambria" w:hAnsi="Cambria" w:cs="Arial"/>
                <w:color w:val="000000"/>
                <w:sz w:val="24"/>
                <w:szCs w:val="24"/>
              </w:rPr>
            </w:pPr>
            <w:r w:rsidRPr="00FA0786">
              <w:rPr>
                <w:rFonts w:ascii="Cambria" w:hAnsi="Cambria"/>
                <w:sz w:val="24"/>
                <w:szCs w:val="24"/>
              </w:rPr>
              <w:t>Sig.</w:t>
            </w:r>
          </w:p>
        </w:tc>
        <w:tc>
          <w:tcPr>
            <w:tcW w:w="1276" w:type="dxa"/>
            <w:vMerge/>
          </w:tcPr>
          <w:p w14:paraId="2AA8A31F" w14:textId="77777777" w:rsidR="001D3BA0" w:rsidRPr="00FA0786" w:rsidRDefault="001D3BA0" w:rsidP="00AC6DC6">
            <w:pPr>
              <w:adjustRightInd w:val="0"/>
              <w:spacing w:line="240" w:lineRule="auto"/>
              <w:rPr>
                <w:rFonts w:ascii="Cambria" w:hAnsi="Cambria" w:cs="Arial"/>
                <w:color w:val="000000"/>
                <w:sz w:val="24"/>
                <w:szCs w:val="24"/>
              </w:rPr>
            </w:pPr>
          </w:p>
        </w:tc>
        <w:tc>
          <w:tcPr>
            <w:tcW w:w="1559" w:type="dxa"/>
            <w:vMerge/>
          </w:tcPr>
          <w:p w14:paraId="22869D87" w14:textId="77777777" w:rsidR="001D3BA0" w:rsidRPr="00FA0786" w:rsidRDefault="001D3BA0" w:rsidP="00AC6DC6">
            <w:pPr>
              <w:adjustRightInd w:val="0"/>
              <w:spacing w:line="240" w:lineRule="auto"/>
              <w:rPr>
                <w:rFonts w:ascii="Cambria" w:hAnsi="Cambria" w:cs="Arial"/>
                <w:color w:val="000000"/>
                <w:sz w:val="24"/>
                <w:szCs w:val="24"/>
              </w:rPr>
            </w:pPr>
          </w:p>
        </w:tc>
      </w:tr>
      <w:tr w:rsidR="00FA0786" w:rsidRPr="00FA0786" w14:paraId="0F47430C" w14:textId="77777777" w:rsidTr="00D4228F">
        <w:trPr>
          <w:trHeight w:val="188"/>
        </w:trPr>
        <w:tc>
          <w:tcPr>
            <w:tcW w:w="236" w:type="dxa"/>
            <w:vMerge w:val="restart"/>
          </w:tcPr>
          <w:p w14:paraId="7B390D26" w14:textId="77777777" w:rsidR="001D3BA0" w:rsidRPr="00FA0786" w:rsidRDefault="001D3BA0" w:rsidP="00FA0786">
            <w:pPr>
              <w:adjustRightInd w:val="0"/>
              <w:spacing w:line="240" w:lineRule="auto"/>
              <w:ind w:left="60" w:right="60"/>
              <w:rPr>
                <w:rFonts w:ascii="Cambria" w:hAnsi="Cambria" w:cs="Arial"/>
                <w:color w:val="000000"/>
                <w:sz w:val="24"/>
                <w:szCs w:val="24"/>
              </w:rPr>
            </w:pPr>
          </w:p>
        </w:tc>
        <w:tc>
          <w:tcPr>
            <w:tcW w:w="1607" w:type="dxa"/>
          </w:tcPr>
          <w:p w14:paraId="56BA5799" w14:textId="77777777" w:rsidR="001D3BA0" w:rsidRPr="00FA0786" w:rsidRDefault="001D3BA0" w:rsidP="00FA0786">
            <w:pPr>
              <w:spacing w:line="240" w:lineRule="auto"/>
              <w:rPr>
                <w:rFonts w:ascii="Cambria" w:hAnsi="Cambria"/>
                <w:sz w:val="24"/>
                <w:szCs w:val="24"/>
              </w:rPr>
            </w:pPr>
            <w:r w:rsidRPr="00FA0786">
              <w:rPr>
                <w:rFonts w:ascii="Cambria" w:hAnsi="Cambria"/>
                <w:sz w:val="24"/>
                <w:szCs w:val="24"/>
              </w:rPr>
              <w:t>(Constant)</w:t>
            </w:r>
          </w:p>
        </w:tc>
        <w:tc>
          <w:tcPr>
            <w:tcW w:w="993" w:type="dxa"/>
          </w:tcPr>
          <w:p w14:paraId="45BF7EE5" w14:textId="77777777" w:rsidR="001D3BA0" w:rsidRPr="00FA0786" w:rsidRDefault="001D3BA0" w:rsidP="00FA078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.810</w:t>
            </w:r>
          </w:p>
        </w:tc>
        <w:tc>
          <w:tcPr>
            <w:tcW w:w="1134" w:type="dxa"/>
          </w:tcPr>
          <w:p w14:paraId="5E73E9C3" w14:textId="77777777" w:rsidR="001D3BA0" w:rsidRPr="00FA0786" w:rsidRDefault="001D3BA0" w:rsidP="00FA078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.264</w:t>
            </w:r>
          </w:p>
        </w:tc>
        <w:tc>
          <w:tcPr>
            <w:tcW w:w="1701" w:type="dxa"/>
          </w:tcPr>
          <w:p w14:paraId="1FDBBE20" w14:textId="77777777" w:rsidR="001D3BA0" w:rsidRPr="00FA0786" w:rsidRDefault="001D3BA0" w:rsidP="00AC6DC6">
            <w:pPr>
              <w:adjustRightInd w:val="0"/>
              <w:spacing w:line="240" w:lineRule="auto"/>
              <w:jc w:val="center"/>
              <w:rPr>
                <w:rFonts w:ascii="Cambria" w:hAnsi="Cambria" w:cs="Times New Roman"/>
                <w:sz w:val="24"/>
                <w:szCs w:val="24"/>
              </w:rPr>
            </w:pPr>
            <w:r w:rsidRPr="00FA0786">
              <w:rPr>
                <w:rFonts w:ascii="Cambria" w:hAnsi="Cambria" w:cs="Times New Roman"/>
                <w:sz w:val="24"/>
                <w:szCs w:val="24"/>
              </w:rPr>
              <w:t>__</w:t>
            </w:r>
          </w:p>
        </w:tc>
        <w:tc>
          <w:tcPr>
            <w:tcW w:w="992" w:type="dxa"/>
          </w:tcPr>
          <w:p w14:paraId="4C1994C3" w14:textId="77777777" w:rsidR="001D3BA0" w:rsidRPr="00FA0786" w:rsidRDefault="001D3BA0" w:rsidP="00AC6DC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3.067</w:t>
            </w:r>
          </w:p>
        </w:tc>
        <w:tc>
          <w:tcPr>
            <w:tcW w:w="992" w:type="dxa"/>
          </w:tcPr>
          <w:p w14:paraId="0C6CCD17" w14:textId="77777777" w:rsidR="001D3BA0" w:rsidRPr="00FA0786" w:rsidRDefault="001D3BA0" w:rsidP="00AC6DC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.003</w:t>
            </w:r>
          </w:p>
        </w:tc>
        <w:tc>
          <w:tcPr>
            <w:tcW w:w="1276" w:type="dxa"/>
          </w:tcPr>
          <w:p w14:paraId="4504B370" w14:textId="77777777" w:rsidR="001D3BA0" w:rsidRPr="00FA0786" w:rsidRDefault="001D3BA0" w:rsidP="00AC6DC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Reject H</w:t>
            </w:r>
            <w:r w:rsidRPr="00FA0786">
              <w:rPr>
                <w:rFonts w:ascii="Cambria" w:hAnsi="Cambria" w:cs="Arial"/>
                <w:b/>
                <w:bCs/>
                <w:color w:val="000000"/>
                <w:sz w:val="24"/>
                <w:szCs w:val="24"/>
              </w:rPr>
              <w:t>o</w:t>
            </w:r>
          </w:p>
        </w:tc>
        <w:tc>
          <w:tcPr>
            <w:tcW w:w="1559" w:type="dxa"/>
          </w:tcPr>
          <w:p w14:paraId="60649F7C" w14:textId="77777777" w:rsidR="001D3BA0" w:rsidRPr="00FA0786" w:rsidRDefault="001D3BA0" w:rsidP="00AC6DC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Significant</w:t>
            </w:r>
          </w:p>
        </w:tc>
      </w:tr>
      <w:tr w:rsidR="00FA0786" w:rsidRPr="00FA0786" w14:paraId="182E423E" w14:textId="77777777" w:rsidTr="00D4228F">
        <w:trPr>
          <w:trHeight w:val="389"/>
        </w:trPr>
        <w:tc>
          <w:tcPr>
            <w:tcW w:w="236" w:type="dxa"/>
            <w:vMerge/>
          </w:tcPr>
          <w:p w14:paraId="3BE3E586" w14:textId="77777777" w:rsidR="001D3BA0" w:rsidRPr="00FA0786" w:rsidRDefault="001D3BA0" w:rsidP="00FA0786">
            <w:pPr>
              <w:adjustRightInd w:val="0"/>
              <w:spacing w:line="240" w:lineRule="auto"/>
              <w:rPr>
                <w:rFonts w:ascii="Cambria" w:hAnsi="Cambria" w:cs="Arial"/>
                <w:color w:val="000000"/>
                <w:sz w:val="24"/>
                <w:szCs w:val="24"/>
              </w:rPr>
            </w:pPr>
          </w:p>
        </w:tc>
        <w:tc>
          <w:tcPr>
            <w:tcW w:w="1607" w:type="dxa"/>
          </w:tcPr>
          <w:p w14:paraId="30E90811" w14:textId="77777777" w:rsidR="001D3BA0" w:rsidRPr="00FA0786" w:rsidRDefault="001D3BA0" w:rsidP="00FA0786">
            <w:pPr>
              <w:spacing w:line="240" w:lineRule="auto"/>
              <w:rPr>
                <w:rFonts w:ascii="Cambria" w:hAnsi="Cambria"/>
                <w:sz w:val="24"/>
                <w:szCs w:val="24"/>
              </w:rPr>
            </w:pPr>
            <w:r w:rsidRPr="00FA0786">
              <w:rPr>
                <w:rFonts w:ascii="Cambria" w:hAnsi="Cambria"/>
                <w:sz w:val="24"/>
                <w:szCs w:val="24"/>
              </w:rPr>
              <w:t>Principal Neglect</w:t>
            </w:r>
          </w:p>
        </w:tc>
        <w:tc>
          <w:tcPr>
            <w:tcW w:w="993" w:type="dxa"/>
          </w:tcPr>
          <w:p w14:paraId="76E74B77" w14:textId="77777777" w:rsidR="001D3BA0" w:rsidRPr="00FA0786" w:rsidRDefault="001D3BA0" w:rsidP="00FA078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-.014</w:t>
            </w:r>
          </w:p>
        </w:tc>
        <w:tc>
          <w:tcPr>
            <w:tcW w:w="1134" w:type="dxa"/>
          </w:tcPr>
          <w:p w14:paraId="22470586" w14:textId="77777777" w:rsidR="001D3BA0" w:rsidRPr="00FA0786" w:rsidRDefault="001D3BA0" w:rsidP="00FA078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.049</w:t>
            </w:r>
          </w:p>
        </w:tc>
        <w:tc>
          <w:tcPr>
            <w:tcW w:w="1701" w:type="dxa"/>
          </w:tcPr>
          <w:p w14:paraId="19ABB1BC" w14:textId="77777777" w:rsidR="001D3BA0" w:rsidRPr="00FA0786" w:rsidRDefault="001D3BA0" w:rsidP="00AC6DC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-.016</w:t>
            </w:r>
          </w:p>
        </w:tc>
        <w:tc>
          <w:tcPr>
            <w:tcW w:w="992" w:type="dxa"/>
          </w:tcPr>
          <w:p w14:paraId="6ACE3AC8" w14:textId="77777777" w:rsidR="001D3BA0" w:rsidRPr="00FA0786" w:rsidRDefault="001D3BA0" w:rsidP="00AC6DC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-.281</w:t>
            </w:r>
          </w:p>
        </w:tc>
        <w:tc>
          <w:tcPr>
            <w:tcW w:w="992" w:type="dxa"/>
          </w:tcPr>
          <w:p w14:paraId="04B2016C" w14:textId="77777777" w:rsidR="001D3BA0" w:rsidRPr="00FA0786" w:rsidRDefault="001D3BA0" w:rsidP="00AC6DC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.779</w:t>
            </w:r>
          </w:p>
        </w:tc>
        <w:tc>
          <w:tcPr>
            <w:tcW w:w="1276" w:type="dxa"/>
          </w:tcPr>
          <w:p w14:paraId="3BED3BF7" w14:textId="77777777" w:rsidR="001D3BA0" w:rsidRPr="00FA0786" w:rsidRDefault="001D3BA0" w:rsidP="00AC6DC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Accept H</w:t>
            </w:r>
            <w:r w:rsidRPr="00FA0786">
              <w:rPr>
                <w:rFonts w:ascii="Cambria" w:hAnsi="Cambria" w:cs="Arial"/>
                <w:b/>
                <w:bCs/>
                <w:color w:val="000000"/>
                <w:sz w:val="24"/>
                <w:szCs w:val="24"/>
              </w:rPr>
              <w:t>o</w:t>
            </w:r>
          </w:p>
        </w:tc>
        <w:tc>
          <w:tcPr>
            <w:tcW w:w="1559" w:type="dxa"/>
          </w:tcPr>
          <w:p w14:paraId="17224142" w14:textId="77777777" w:rsidR="001D3BA0" w:rsidRPr="00FA0786" w:rsidRDefault="001D3BA0" w:rsidP="00AC6DC6">
            <w:pPr>
              <w:spacing w:line="240" w:lineRule="auto"/>
              <w:jc w:val="center"/>
              <w:rPr>
                <w:rFonts w:ascii="Cambria" w:hAnsi="Cambria"/>
                <w:sz w:val="24"/>
                <w:szCs w:val="24"/>
              </w:rPr>
            </w:pPr>
            <w:r w:rsidRPr="00FA0786">
              <w:rPr>
                <w:rFonts w:ascii="Cambria" w:hAnsi="Cambria"/>
                <w:sz w:val="24"/>
                <w:szCs w:val="24"/>
              </w:rPr>
              <w:t>No Significant Influence</w:t>
            </w:r>
          </w:p>
        </w:tc>
      </w:tr>
      <w:tr w:rsidR="00FA0786" w:rsidRPr="00FA0786" w14:paraId="07C37F1E" w14:textId="77777777" w:rsidTr="00D4228F">
        <w:trPr>
          <w:trHeight w:val="572"/>
        </w:trPr>
        <w:tc>
          <w:tcPr>
            <w:tcW w:w="236" w:type="dxa"/>
            <w:vMerge/>
          </w:tcPr>
          <w:p w14:paraId="41B00004" w14:textId="77777777" w:rsidR="001D3BA0" w:rsidRPr="00FA0786" w:rsidRDefault="001D3BA0" w:rsidP="00FA0786">
            <w:pPr>
              <w:adjustRightInd w:val="0"/>
              <w:spacing w:line="240" w:lineRule="auto"/>
              <w:rPr>
                <w:rFonts w:ascii="Cambria" w:hAnsi="Cambria" w:cs="Arial"/>
                <w:color w:val="000000"/>
                <w:sz w:val="24"/>
                <w:szCs w:val="24"/>
              </w:rPr>
            </w:pPr>
          </w:p>
        </w:tc>
        <w:tc>
          <w:tcPr>
            <w:tcW w:w="1607" w:type="dxa"/>
          </w:tcPr>
          <w:p w14:paraId="17FD7BD6" w14:textId="77777777" w:rsidR="001D3BA0" w:rsidRPr="00FA0786" w:rsidRDefault="001D3BA0" w:rsidP="00FA0786">
            <w:pPr>
              <w:rPr>
                <w:rFonts w:ascii="Cambria" w:hAnsi="Cambria"/>
                <w:sz w:val="24"/>
                <w:szCs w:val="24"/>
              </w:rPr>
            </w:pPr>
          </w:p>
          <w:p w14:paraId="7284872C" w14:textId="77777777" w:rsidR="001D3BA0" w:rsidRPr="00FA0786" w:rsidRDefault="001D3BA0" w:rsidP="00FA0786">
            <w:pPr>
              <w:rPr>
                <w:rFonts w:ascii="Cambria" w:hAnsi="Cambria"/>
                <w:sz w:val="24"/>
                <w:szCs w:val="24"/>
              </w:rPr>
            </w:pPr>
            <w:r w:rsidRPr="00FA0786">
              <w:rPr>
                <w:rFonts w:ascii="Cambria" w:hAnsi="Cambria"/>
                <w:sz w:val="24"/>
                <w:szCs w:val="24"/>
              </w:rPr>
              <w:t>Teacher Professional Development</w:t>
            </w:r>
          </w:p>
          <w:p w14:paraId="6142994B" w14:textId="77777777" w:rsidR="001D3BA0" w:rsidRPr="00FA0786" w:rsidRDefault="001D3BA0" w:rsidP="00FA0786">
            <w:pPr>
              <w:rPr>
                <w:rFonts w:ascii="Cambria" w:hAnsi="Cambria"/>
                <w:sz w:val="24"/>
                <w:szCs w:val="24"/>
              </w:rPr>
            </w:pPr>
          </w:p>
        </w:tc>
        <w:tc>
          <w:tcPr>
            <w:tcW w:w="993" w:type="dxa"/>
          </w:tcPr>
          <w:p w14:paraId="52FFCB41" w14:textId="77777777" w:rsidR="001D3BA0" w:rsidRPr="00FA0786" w:rsidRDefault="001D3BA0" w:rsidP="00FA078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.790</w:t>
            </w:r>
          </w:p>
        </w:tc>
        <w:tc>
          <w:tcPr>
            <w:tcW w:w="1134" w:type="dxa"/>
          </w:tcPr>
          <w:p w14:paraId="3A2563DD" w14:textId="77777777" w:rsidR="001D3BA0" w:rsidRPr="00FA0786" w:rsidRDefault="001D3BA0" w:rsidP="00FA078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.062</w:t>
            </w:r>
          </w:p>
        </w:tc>
        <w:tc>
          <w:tcPr>
            <w:tcW w:w="1701" w:type="dxa"/>
          </w:tcPr>
          <w:p w14:paraId="4774FAAA" w14:textId="77777777" w:rsidR="001D3BA0" w:rsidRPr="00FA0786" w:rsidRDefault="001D3BA0" w:rsidP="00AC6DC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.740</w:t>
            </w:r>
          </w:p>
        </w:tc>
        <w:tc>
          <w:tcPr>
            <w:tcW w:w="992" w:type="dxa"/>
          </w:tcPr>
          <w:p w14:paraId="6DC11C61" w14:textId="77777777" w:rsidR="001D3BA0" w:rsidRPr="00FA0786" w:rsidRDefault="001D3BA0" w:rsidP="00AC6DC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12.892</w:t>
            </w:r>
          </w:p>
        </w:tc>
        <w:tc>
          <w:tcPr>
            <w:tcW w:w="992" w:type="dxa"/>
          </w:tcPr>
          <w:p w14:paraId="246AA02A" w14:textId="77777777" w:rsidR="001D3BA0" w:rsidRPr="00FA0786" w:rsidRDefault="001D3BA0" w:rsidP="00AC6DC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.000</w:t>
            </w:r>
          </w:p>
        </w:tc>
        <w:tc>
          <w:tcPr>
            <w:tcW w:w="1276" w:type="dxa"/>
          </w:tcPr>
          <w:p w14:paraId="298F2687" w14:textId="77777777" w:rsidR="001D3BA0" w:rsidRPr="00FA0786" w:rsidRDefault="001D3BA0" w:rsidP="00AC6DC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Reject H</w:t>
            </w:r>
            <w:r w:rsidRPr="00FA0786">
              <w:rPr>
                <w:rFonts w:ascii="Cambria" w:hAnsi="Cambria" w:cs="Arial"/>
                <w:b/>
                <w:bCs/>
                <w:color w:val="000000"/>
                <w:sz w:val="24"/>
                <w:szCs w:val="24"/>
              </w:rPr>
              <w:t>o</w:t>
            </w:r>
          </w:p>
        </w:tc>
        <w:tc>
          <w:tcPr>
            <w:tcW w:w="1559" w:type="dxa"/>
          </w:tcPr>
          <w:p w14:paraId="73C5D684" w14:textId="77777777" w:rsidR="001D3BA0" w:rsidRPr="00FA0786" w:rsidRDefault="001D3BA0" w:rsidP="00AC6DC6">
            <w:pPr>
              <w:adjustRightInd w:val="0"/>
              <w:spacing w:line="240" w:lineRule="auto"/>
              <w:ind w:left="60" w:right="60"/>
              <w:jc w:val="center"/>
              <w:rPr>
                <w:rFonts w:ascii="Cambria" w:hAnsi="Cambria" w:cs="Arial"/>
                <w:color w:val="000000"/>
                <w:sz w:val="24"/>
                <w:szCs w:val="24"/>
              </w:rPr>
            </w:pPr>
            <w:r w:rsidRPr="00FA0786">
              <w:rPr>
                <w:rFonts w:ascii="Cambria" w:hAnsi="Cambria" w:cs="Arial"/>
                <w:color w:val="000000"/>
                <w:sz w:val="24"/>
                <w:szCs w:val="24"/>
              </w:rPr>
              <w:t>Positive Significant Influence</w:t>
            </w:r>
          </w:p>
        </w:tc>
      </w:tr>
      <w:tr w:rsidR="00FA0786" w:rsidRPr="00FA0786" w14:paraId="1E0F2F96" w14:textId="77777777" w:rsidTr="00FA0786">
        <w:trPr>
          <w:trHeight w:val="1279"/>
        </w:trPr>
        <w:tc>
          <w:tcPr>
            <w:tcW w:w="10490" w:type="dxa"/>
            <w:gridSpan w:val="9"/>
          </w:tcPr>
          <w:p w14:paraId="6F80EE58" w14:textId="77777777" w:rsidR="00FA0786" w:rsidRPr="00FA0786" w:rsidRDefault="00FA0786" w:rsidP="00FA0786">
            <w:pPr>
              <w:rPr>
                <w:rFonts w:ascii="Cambria" w:hAnsi="Cambria"/>
                <w:sz w:val="24"/>
                <w:szCs w:val="24"/>
              </w:rPr>
            </w:pPr>
            <w:r w:rsidRPr="00FA0786">
              <w:rPr>
                <w:rFonts w:ascii="Cambria" w:hAnsi="Cambria"/>
                <w:sz w:val="24"/>
                <w:szCs w:val="24"/>
              </w:rPr>
              <w:t xml:space="preserve">Model Summary: R = .748, R-squared = .560, </w:t>
            </w:r>
            <w:proofErr w:type="gramStart"/>
            <w:r w:rsidRPr="00FA0786">
              <w:rPr>
                <w:rFonts w:ascii="Cambria" w:hAnsi="Cambria"/>
                <w:sz w:val="24"/>
                <w:szCs w:val="24"/>
              </w:rPr>
              <w:t>F(</w:t>
            </w:r>
            <w:proofErr w:type="gramEnd"/>
            <w:r w:rsidRPr="00FA0786">
              <w:rPr>
                <w:rFonts w:ascii="Cambria" w:hAnsi="Cambria"/>
                <w:sz w:val="24"/>
                <w:szCs w:val="24"/>
              </w:rPr>
              <w:t>2,177) = 112.439.</w:t>
            </w:r>
          </w:p>
          <w:p w14:paraId="4044A246" w14:textId="77777777" w:rsidR="00FA0786" w:rsidRPr="00FA0786" w:rsidRDefault="00FA0786" w:rsidP="00FA0786">
            <w:pPr>
              <w:rPr>
                <w:rFonts w:ascii="Cambria" w:hAnsi="Cambria"/>
                <w:sz w:val="24"/>
                <w:szCs w:val="24"/>
              </w:rPr>
            </w:pPr>
            <w:r w:rsidRPr="00FA0786">
              <w:rPr>
                <w:rFonts w:ascii="Cambria" w:hAnsi="Cambria"/>
                <w:sz w:val="24"/>
                <w:szCs w:val="24"/>
              </w:rPr>
              <w:t>p = .000</w:t>
            </w:r>
          </w:p>
          <w:p w14:paraId="24123E75" w14:textId="77777777" w:rsidR="00FA0786" w:rsidRPr="00FA0786" w:rsidRDefault="00FA0786" w:rsidP="00FA0786">
            <w:pPr>
              <w:rPr>
                <w:rFonts w:ascii="Cambria" w:hAnsi="Cambria"/>
                <w:sz w:val="24"/>
                <w:szCs w:val="24"/>
              </w:rPr>
            </w:pPr>
            <w:r w:rsidRPr="00FA0786">
              <w:rPr>
                <w:rFonts w:ascii="Cambria" w:hAnsi="Cambria"/>
                <w:sz w:val="24"/>
                <w:szCs w:val="24"/>
              </w:rPr>
              <w:t>Level of significance: 0.05</w:t>
            </w:r>
          </w:p>
          <w:p w14:paraId="3AB3C812" w14:textId="66187012" w:rsidR="00FA0786" w:rsidRPr="00FA0786" w:rsidRDefault="00FA0786" w:rsidP="00FA0786">
            <w:pPr>
              <w:rPr>
                <w:rFonts w:ascii="Cambria" w:hAnsi="Cambria"/>
                <w:sz w:val="24"/>
                <w:szCs w:val="24"/>
              </w:rPr>
            </w:pPr>
            <w:r w:rsidRPr="00FA0786">
              <w:rPr>
                <w:rFonts w:ascii="Cambria" w:hAnsi="Cambria"/>
                <w:sz w:val="24"/>
                <w:szCs w:val="24"/>
              </w:rPr>
              <w:t>Decision Rule: Reject Ho if p&lt;0.05</w:t>
            </w:r>
          </w:p>
        </w:tc>
      </w:tr>
    </w:tbl>
    <w:p w14:paraId="47A14730" w14:textId="77777777" w:rsidR="001D3BA0" w:rsidRPr="00855D9A" w:rsidRDefault="001D3BA0" w:rsidP="001D3BA0">
      <w:pPr>
        <w:jc w:val="both"/>
        <w:rPr>
          <w:rFonts w:ascii="Cambria" w:hAnsi="Cambria"/>
          <w:sz w:val="28"/>
          <w:szCs w:val="28"/>
        </w:rPr>
      </w:pPr>
    </w:p>
    <w:p w14:paraId="4751EA14" w14:textId="663398F7" w:rsidR="00ED2051" w:rsidRDefault="00ED2051" w:rsidP="004D4408">
      <w:pPr>
        <w:ind w:firstLine="720"/>
        <w:jc w:val="both"/>
        <w:rPr>
          <w:rFonts w:ascii="Cambria" w:hAnsi="Cambria" w:cs="Times New Roman"/>
          <w:sz w:val="24"/>
          <w:szCs w:val="24"/>
        </w:rPr>
      </w:pPr>
      <w:r w:rsidRPr="00855D9A">
        <w:rPr>
          <w:rFonts w:ascii="Cambria" w:hAnsi="Cambria" w:cs="Times New Roman"/>
          <w:sz w:val="24"/>
          <w:szCs w:val="24"/>
        </w:rPr>
        <w:t xml:space="preserve">The table shows that the principal neglect variable obtained a standardized Beta coefficient of -0.016, with a corresponding p-value of 0.779, which is greater than the 0.05 level of significance. This indicates that the effect of principal neglect on classroom management is not statistically significant. It implies that changes in principal neglect do not correspond to meaningful changes in classroom management. On the other hand, teacher professional development obtained a standardized Beta coefficient of 0.740, with a p-value of 0.000 (p &lt; 0.001), indicating a highly significant positive relationship with classroom management. This means that an increase in teacher professional development is associated with an increase in classroom management by 0.740 units. </w:t>
      </w:r>
    </w:p>
    <w:p w14:paraId="3F4DBE34" w14:textId="66C31CC5" w:rsidR="00D464C8" w:rsidRPr="00D464C8" w:rsidRDefault="00D464C8" w:rsidP="004D4408">
      <w:pPr>
        <w:ind w:firstLine="720"/>
        <w:jc w:val="both"/>
        <w:rPr>
          <w:rFonts w:ascii="Cambria" w:hAnsi="Cambria" w:cs="Times New Roman"/>
          <w:sz w:val="28"/>
          <w:szCs w:val="28"/>
        </w:rPr>
      </w:pPr>
      <w:r w:rsidRPr="00D464C8">
        <w:rPr>
          <w:rFonts w:ascii="Cambria" w:hAnsi="Cambria"/>
          <w:sz w:val="24"/>
          <w:szCs w:val="24"/>
        </w:rPr>
        <w:t>The significant correlation between principal neglect and classroom management (r = -0.381) indicates that the two variables are related when examined in isolation. However, in the regression model, principal neglect becomes non-significant (β = -0.016, p = 0.779) when teacher professional development is included. This suggests a possible suppression or shared variance effect, where the influence of principal neglect is accounted for or overshadowed by teacher professional development. As a result, principal neglect does not contribute a unique predictive effect on classroom management when both variables are analyzed simultaneously.</w:t>
      </w:r>
      <w:r>
        <w:rPr>
          <w:rFonts w:ascii="Cambria" w:hAnsi="Cambria"/>
          <w:sz w:val="24"/>
          <w:szCs w:val="24"/>
        </w:rPr>
        <w:t xml:space="preserve"> </w:t>
      </w:r>
      <w:r w:rsidRPr="00855D9A">
        <w:rPr>
          <w:rFonts w:ascii="Cambria" w:hAnsi="Cambria" w:cs="Times New Roman"/>
          <w:sz w:val="24"/>
          <w:szCs w:val="24"/>
        </w:rPr>
        <w:t>Lastly, the model yielded an R-squared value of 0.56, indicating that the two predictors jointly explain 56% of the variance in classroom management. The overall model is statistically significant (p &lt; 0.001), suggesting that the combined influence of principal neglect and teacher professional development significantly predicts classroom management.</w:t>
      </w:r>
    </w:p>
    <w:p w14:paraId="3243FC85" w14:textId="77777777" w:rsidR="001D3BA0" w:rsidRPr="00A56D62" w:rsidRDefault="001D3BA0" w:rsidP="001D3BA0">
      <w:pPr>
        <w:ind w:firstLine="720"/>
        <w:jc w:val="both"/>
        <w:rPr>
          <w:rFonts w:ascii="Cambria" w:hAnsi="Cambria"/>
          <w:sz w:val="24"/>
          <w:szCs w:val="24"/>
        </w:rPr>
      </w:pPr>
      <w:r w:rsidRPr="00A56D62">
        <w:rPr>
          <w:rFonts w:ascii="Cambria" w:hAnsi="Cambria"/>
          <w:sz w:val="24"/>
          <w:szCs w:val="24"/>
        </w:rPr>
        <w:t>The findings indicate that principal neglect is not a significant determinant of classroom management and has minimal influence. In contrast, teacher professional development emerges as a strong and significant predictor, exerting a substantial positive effect. Collectively, the determinants significantly explain a considerable portion of classroom management, with teacher professional development contributing most to this combined effect.</w:t>
      </w:r>
    </w:p>
    <w:p w14:paraId="753B4145" w14:textId="77777777" w:rsidR="001D3BA0" w:rsidRPr="00A56D62" w:rsidRDefault="001D3BA0" w:rsidP="001D3BA0">
      <w:pPr>
        <w:rPr>
          <w:rFonts w:ascii="Cambria" w:hAnsi="Cambria"/>
          <w:b/>
          <w:bCs/>
          <w:sz w:val="24"/>
          <w:szCs w:val="24"/>
        </w:rPr>
      </w:pPr>
      <w:r w:rsidRPr="00A56D62">
        <w:rPr>
          <w:rFonts w:ascii="Cambria" w:hAnsi="Cambria"/>
          <w:b/>
          <w:bCs/>
          <w:sz w:val="24"/>
          <w:szCs w:val="24"/>
        </w:rPr>
        <w:t>Summary of Findings</w:t>
      </w:r>
    </w:p>
    <w:p w14:paraId="7D43F4CA" w14:textId="77777777" w:rsidR="001D3BA0" w:rsidRPr="00A56D62" w:rsidRDefault="001D3BA0" w:rsidP="001D3BA0">
      <w:pPr>
        <w:rPr>
          <w:rFonts w:ascii="Cambria" w:hAnsi="Cambria"/>
          <w:sz w:val="24"/>
          <w:szCs w:val="24"/>
        </w:rPr>
      </w:pPr>
      <w:r w:rsidRPr="00A56D62">
        <w:rPr>
          <w:rFonts w:ascii="Cambria" w:hAnsi="Cambria"/>
          <w:sz w:val="24"/>
          <w:szCs w:val="24"/>
        </w:rPr>
        <w:t>Statistical results specifically show that:</w:t>
      </w:r>
    </w:p>
    <w:p w14:paraId="3312EBFC" w14:textId="77777777" w:rsidR="001D3BA0" w:rsidRPr="00A56D62" w:rsidRDefault="001D3BA0" w:rsidP="001D3BA0">
      <w:pPr>
        <w:spacing w:after="0"/>
        <w:ind w:left="720"/>
        <w:rPr>
          <w:rFonts w:ascii="Cambria" w:hAnsi="Cambria"/>
          <w:sz w:val="24"/>
          <w:szCs w:val="24"/>
        </w:rPr>
      </w:pPr>
      <w:r w:rsidRPr="00A56D62">
        <w:rPr>
          <w:rFonts w:ascii="Cambria" w:hAnsi="Cambria"/>
          <w:sz w:val="24"/>
          <w:szCs w:val="24"/>
        </w:rPr>
        <w:lastRenderedPageBreak/>
        <w:t>Ho1. Principal neglect correlates with classroom management.</w:t>
      </w:r>
    </w:p>
    <w:p w14:paraId="77F3ED19" w14:textId="77777777" w:rsidR="001D3BA0" w:rsidRPr="00A56D62" w:rsidRDefault="001D3BA0" w:rsidP="001D3BA0">
      <w:pPr>
        <w:spacing w:after="0"/>
        <w:ind w:left="720"/>
        <w:rPr>
          <w:rFonts w:ascii="Cambria" w:hAnsi="Cambria"/>
          <w:sz w:val="24"/>
          <w:szCs w:val="24"/>
        </w:rPr>
      </w:pPr>
      <w:r w:rsidRPr="00A56D62">
        <w:rPr>
          <w:rFonts w:ascii="Cambria" w:hAnsi="Cambria"/>
          <w:sz w:val="24"/>
          <w:szCs w:val="24"/>
        </w:rPr>
        <w:t>Ho2. Teacher professional development significantly correlates with classroom management.</w:t>
      </w:r>
    </w:p>
    <w:p w14:paraId="63DBCE04" w14:textId="77777777" w:rsidR="001D3BA0" w:rsidRPr="00A56D62" w:rsidRDefault="001D3BA0" w:rsidP="001D3BA0">
      <w:pPr>
        <w:spacing w:after="0"/>
        <w:ind w:left="720"/>
        <w:rPr>
          <w:rFonts w:ascii="Cambria" w:hAnsi="Cambria"/>
          <w:sz w:val="24"/>
          <w:szCs w:val="24"/>
        </w:rPr>
      </w:pPr>
      <w:r w:rsidRPr="00A56D62">
        <w:rPr>
          <w:rFonts w:ascii="Cambria" w:hAnsi="Cambria"/>
          <w:sz w:val="24"/>
          <w:szCs w:val="24"/>
        </w:rPr>
        <w:t>Ho3. Principal neglect does not significantly influence classroom management.</w:t>
      </w:r>
    </w:p>
    <w:p w14:paraId="027B6C10" w14:textId="77777777" w:rsidR="001D3BA0" w:rsidRPr="00A56D62" w:rsidRDefault="001D3BA0" w:rsidP="001D3BA0">
      <w:pPr>
        <w:spacing w:after="0"/>
        <w:ind w:left="720"/>
        <w:rPr>
          <w:rFonts w:ascii="Cambria" w:hAnsi="Cambria"/>
          <w:sz w:val="24"/>
          <w:szCs w:val="24"/>
        </w:rPr>
      </w:pPr>
      <w:r w:rsidRPr="00A56D62">
        <w:rPr>
          <w:rFonts w:ascii="Cambria" w:hAnsi="Cambria"/>
          <w:sz w:val="24"/>
          <w:szCs w:val="24"/>
        </w:rPr>
        <w:t>Ho4. Teacher professional development significantly influences classroom management.</w:t>
      </w:r>
    </w:p>
    <w:p w14:paraId="53ED57E9" w14:textId="77777777" w:rsidR="001D3BA0" w:rsidRPr="00A56D62" w:rsidRDefault="001D3BA0" w:rsidP="001D3BA0">
      <w:pPr>
        <w:spacing w:after="0"/>
        <w:ind w:left="720"/>
        <w:rPr>
          <w:rFonts w:ascii="Cambria" w:hAnsi="Cambria"/>
          <w:sz w:val="24"/>
          <w:szCs w:val="24"/>
        </w:rPr>
      </w:pPr>
      <w:r w:rsidRPr="00A56D62">
        <w:rPr>
          <w:rFonts w:ascii="Cambria" w:hAnsi="Cambria"/>
          <w:sz w:val="24"/>
          <w:szCs w:val="24"/>
        </w:rPr>
        <w:t>Ho5. Principal neglect and teacher professional development have a significant combined influence (56%) on classroom management.</w:t>
      </w:r>
    </w:p>
    <w:p w14:paraId="53526508" w14:textId="77777777" w:rsidR="001D3BA0" w:rsidRPr="00A56D62" w:rsidRDefault="001D3BA0" w:rsidP="001D3BA0">
      <w:pPr>
        <w:rPr>
          <w:rFonts w:ascii="Cambria" w:hAnsi="Cambria"/>
          <w:b/>
          <w:bCs/>
          <w:sz w:val="24"/>
          <w:szCs w:val="24"/>
        </w:rPr>
      </w:pPr>
    </w:p>
    <w:p w14:paraId="3AA059E3" w14:textId="77777777" w:rsidR="001D3BA0" w:rsidRPr="00C33805" w:rsidRDefault="001D3BA0" w:rsidP="0040384D">
      <w:pPr>
        <w:ind w:firstLine="720"/>
        <w:jc w:val="both"/>
        <w:rPr>
          <w:rFonts w:ascii="Cambria" w:hAnsi="Cambria"/>
          <w:sz w:val="24"/>
          <w:szCs w:val="24"/>
        </w:rPr>
      </w:pPr>
      <w:r w:rsidRPr="00C33805">
        <w:rPr>
          <w:rFonts w:ascii="Cambria" w:hAnsi="Cambria"/>
          <w:sz w:val="24"/>
          <w:szCs w:val="24"/>
        </w:rPr>
        <w:t xml:space="preserve">Discussed in this section are the findings of the study. Presented as well are the conclusions and recommendations. </w:t>
      </w:r>
    </w:p>
    <w:p w14:paraId="34A51B41" w14:textId="77777777" w:rsidR="001D3BA0" w:rsidRPr="00C33805" w:rsidRDefault="001D3BA0" w:rsidP="001D3BA0">
      <w:pPr>
        <w:rPr>
          <w:rFonts w:ascii="Cambria" w:hAnsi="Cambria"/>
          <w:b/>
          <w:bCs/>
          <w:sz w:val="24"/>
          <w:szCs w:val="24"/>
        </w:rPr>
      </w:pPr>
      <w:r w:rsidRPr="00C33805">
        <w:rPr>
          <w:rFonts w:ascii="Cambria" w:hAnsi="Cambria"/>
          <w:b/>
          <w:bCs/>
          <w:sz w:val="24"/>
          <w:szCs w:val="24"/>
        </w:rPr>
        <w:t>Principal Neglect - Classroom Management Correlation</w:t>
      </w:r>
    </w:p>
    <w:p w14:paraId="3D135286" w14:textId="4F01F8D4" w:rsidR="001D3BA0" w:rsidRDefault="001D3BA0" w:rsidP="001D3BA0">
      <w:pPr>
        <w:ind w:firstLine="720"/>
        <w:jc w:val="both"/>
        <w:rPr>
          <w:rFonts w:ascii="Cambria" w:hAnsi="Cambria"/>
          <w:sz w:val="24"/>
          <w:szCs w:val="24"/>
        </w:rPr>
      </w:pPr>
      <w:r w:rsidRPr="00C33805">
        <w:rPr>
          <w:rFonts w:ascii="Cambria" w:hAnsi="Cambria"/>
          <w:sz w:val="24"/>
          <w:szCs w:val="24"/>
        </w:rPr>
        <w:t>The findings of this study indicate that principal neglect affects classroom management, supporting Zhan et al. (2023), who explain that reduced leadership neglect enhances teacher commitment and classroom management</w:t>
      </w:r>
      <w:r w:rsidRPr="00C33805">
        <w:rPr>
          <w:rFonts w:ascii="Cambria" w:hAnsi="Cambria" w:cs="Arial"/>
          <w:sz w:val="24"/>
          <w:szCs w:val="24"/>
        </w:rPr>
        <w:t xml:space="preserve">. </w:t>
      </w:r>
      <w:r w:rsidRPr="005D56B5">
        <w:rPr>
          <w:rFonts w:ascii="Cambria" w:hAnsi="Cambria"/>
          <w:sz w:val="24"/>
          <w:szCs w:val="24"/>
        </w:rPr>
        <w:t xml:space="preserve">This finding is consistent with </w:t>
      </w:r>
      <w:proofErr w:type="spellStart"/>
      <w:r w:rsidRPr="005D56B5">
        <w:rPr>
          <w:rFonts w:ascii="Cambria" w:hAnsi="Cambria"/>
          <w:sz w:val="24"/>
          <w:szCs w:val="24"/>
        </w:rPr>
        <w:t>Impuesto</w:t>
      </w:r>
      <w:proofErr w:type="spellEnd"/>
      <w:r w:rsidRPr="005D56B5">
        <w:rPr>
          <w:rFonts w:ascii="Cambria" w:hAnsi="Cambria"/>
          <w:sz w:val="24"/>
          <w:szCs w:val="24"/>
        </w:rPr>
        <w:t xml:space="preserve"> (2024), who found that lower levels of principal neglect are associated with more effective classroom management practices.</w:t>
      </w:r>
      <w:r>
        <w:rPr>
          <w:rFonts w:ascii="Cambria" w:hAnsi="Cambria" w:cs="Arial"/>
          <w:sz w:val="24"/>
          <w:szCs w:val="24"/>
        </w:rPr>
        <w:t xml:space="preserve"> </w:t>
      </w:r>
      <w:r w:rsidRPr="00C33805">
        <w:rPr>
          <w:rFonts w:ascii="Cambria" w:hAnsi="Cambria"/>
          <w:sz w:val="24"/>
          <w:szCs w:val="24"/>
        </w:rPr>
        <w:t>On the contrary, this current finding contradicts Zhang et al. (2025), who reported no correlation between strong leadership and teacher classroom management, suggesting that, in some contexts, principal neglect does not correlate with classroom management.</w:t>
      </w:r>
    </w:p>
    <w:p w14:paraId="19B3CD69" w14:textId="77777777" w:rsidR="006E44BA" w:rsidRPr="00962550" w:rsidRDefault="006E44BA" w:rsidP="001D3BA0">
      <w:pPr>
        <w:ind w:firstLine="720"/>
        <w:jc w:val="both"/>
        <w:rPr>
          <w:rFonts w:ascii="Cambria" w:hAnsi="Cambria" w:cs="Arial"/>
          <w:sz w:val="24"/>
          <w:szCs w:val="24"/>
        </w:rPr>
      </w:pPr>
    </w:p>
    <w:p w14:paraId="2951A437" w14:textId="77777777" w:rsidR="001D3BA0" w:rsidRPr="00C33805" w:rsidRDefault="001D3BA0" w:rsidP="001D3BA0">
      <w:pPr>
        <w:rPr>
          <w:rFonts w:ascii="Cambria" w:hAnsi="Cambria"/>
          <w:b/>
          <w:bCs/>
          <w:sz w:val="24"/>
          <w:szCs w:val="24"/>
        </w:rPr>
      </w:pPr>
      <w:r w:rsidRPr="00C33805">
        <w:rPr>
          <w:rFonts w:ascii="Cambria" w:hAnsi="Cambria"/>
          <w:b/>
          <w:bCs/>
          <w:sz w:val="24"/>
          <w:szCs w:val="24"/>
        </w:rPr>
        <w:t>Teacher Professional Development - Classroom Management Correlation</w:t>
      </w:r>
    </w:p>
    <w:p w14:paraId="3C159B09" w14:textId="6CD1FF18" w:rsidR="001D3BA0" w:rsidRPr="00C33805" w:rsidRDefault="001D3BA0" w:rsidP="00C42FA4">
      <w:pPr>
        <w:ind w:firstLine="720"/>
        <w:jc w:val="both"/>
        <w:rPr>
          <w:rFonts w:ascii="Cambria" w:hAnsi="Cambria"/>
          <w:sz w:val="24"/>
          <w:szCs w:val="24"/>
        </w:rPr>
      </w:pPr>
      <w:r w:rsidRPr="00C42FA4">
        <w:rPr>
          <w:rFonts w:ascii="Cambria" w:hAnsi="Cambria"/>
          <w:sz w:val="24"/>
          <w:szCs w:val="24"/>
        </w:rPr>
        <w:t xml:space="preserve">This study indicates that teacher professional development influences classroom management, aligning </w:t>
      </w:r>
      <w:r w:rsidR="00C42FA4" w:rsidRPr="00C42FA4">
        <w:rPr>
          <w:rFonts w:ascii="Cambria" w:hAnsi="Cambria"/>
          <w:sz w:val="24"/>
          <w:szCs w:val="24"/>
        </w:rPr>
        <w:t>with Garcia et al. (2024), who found that teacher professional development programs significantly improve teachers’ classroom management skills and behavior control. Their systematic review showed a positive correlation between participation in professional development and enhanced classroom management practices, as well as improvements in student outcomes</w:t>
      </w:r>
      <w:r w:rsidR="00C42FA4" w:rsidRPr="00C42FA4">
        <w:t>.</w:t>
      </w:r>
      <w:r w:rsidR="00C42FA4">
        <w:t xml:space="preserve"> </w:t>
      </w:r>
      <w:r w:rsidRPr="00C33805">
        <w:rPr>
          <w:rFonts w:ascii="Cambria" w:hAnsi="Cambria"/>
          <w:sz w:val="24"/>
          <w:szCs w:val="24"/>
        </w:rPr>
        <w:t xml:space="preserve">Moreover, the current finding corroborates </w:t>
      </w:r>
      <w:proofErr w:type="spellStart"/>
      <w:r w:rsidRPr="00C33805">
        <w:rPr>
          <w:rFonts w:ascii="Cambria" w:hAnsi="Cambria"/>
          <w:sz w:val="24"/>
          <w:szCs w:val="24"/>
        </w:rPr>
        <w:t>Dacholfany</w:t>
      </w:r>
      <w:proofErr w:type="spellEnd"/>
      <w:r w:rsidRPr="00C33805">
        <w:rPr>
          <w:rFonts w:ascii="Cambria" w:hAnsi="Cambria"/>
          <w:sz w:val="24"/>
          <w:szCs w:val="24"/>
        </w:rPr>
        <w:t xml:space="preserve"> et al. (2024), who found that participation in professional development programs is positively correlated with improvements in teachers' classroom management knowledge and </w:t>
      </w:r>
      <w:proofErr w:type="spellStart"/>
      <w:r w:rsidRPr="00C33805">
        <w:rPr>
          <w:rFonts w:ascii="Cambria" w:hAnsi="Cambria"/>
          <w:sz w:val="24"/>
          <w:szCs w:val="24"/>
        </w:rPr>
        <w:t>behaviour</w:t>
      </w:r>
      <w:proofErr w:type="spellEnd"/>
      <w:r w:rsidRPr="00C33805">
        <w:rPr>
          <w:rFonts w:ascii="Cambria" w:hAnsi="Cambria"/>
          <w:sz w:val="24"/>
          <w:szCs w:val="24"/>
        </w:rPr>
        <w:t xml:space="preserve"> control, indicating that such programs can enhance teachers' competencies in these areas. </w:t>
      </w:r>
      <w:r w:rsidR="006E44BA" w:rsidRPr="006E44BA">
        <w:rPr>
          <w:rFonts w:ascii="Cambria" w:hAnsi="Cambria"/>
          <w:sz w:val="24"/>
          <w:szCs w:val="24"/>
        </w:rPr>
        <w:t>This is further supported by Chang and Taxer (2021), who emphasized that teachers’ emotion regulation strategies play a critical role in managing classroom misbehavior. Their study found that teachers who use cognitive reappraisal experience lower negative emotions and are more effective in handling disruptive behaviors, which contributes to improved classroom management outcomes.</w:t>
      </w:r>
      <w:r w:rsidR="006E44BA">
        <w:rPr>
          <w:rFonts w:ascii="Cambria" w:hAnsi="Cambria"/>
          <w:sz w:val="24"/>
          <w:szCs w:val="24"/>
        </w:rPr>
        <w:t xml:space="preserve"> </w:t>
      </w:r>
      <w:r w:rsidRPr="00C33805">
        <w:rPr>
          <w:rFonts w:ascii="Cambria" w:hAnsi="Cambria"/>
          <w:sz w:val="24"/>
          <w:szCs w:val="24"/>
        </w:rPr>
        <w:t>However, this study's findings contradicted McChesney and Cross's (2023) assertion that teachers' participation in professional development does not automatically improve classroom practices, including management, as outcomes depend on contextual factors such as school climate and support.</w:t>
      </w:r>
    </w:p>
    <w:p w14:paraId="23E985EF" w14:textId="77777777" w:rsidR="001D3BA0" w:rsidRPr="00C33805" w:rsidRDefault="001D3BA0" w:rsidP="001D3BA0">
      <w:pPr>
        <w:rPr>
          <w:rFonts w:ascii="Cambria" w:hAnsi="Cambria"/>
          <w:b/>
          <w:bCs/>
          <w:sz w:val="24"/>
          <w:szCs w:val="24"/>
        </w:rPr>
      </w:pPr>
      <w:r w:rsidRPr="00C33805">
        <w:rPr>
          <w:rFonts w:ascii="Cambria" w:hAnsi="Cambria"/>
          <w:b/>
          <w:bCs/>
          <w:sz w:val="24"/>
          <w:szCs w:val="24"/>
        </w:rPr>
        <w:t>Classroom Management as Influenced by Teacher Professional Development</w:t>
      </w:r>
    </w:p>
    <w:p w14:paraId="50C3D73F" w14:textId="77777777" w:rsidR="001D3BA0" w:rsidRPr="00C33805" w:rsidRDefault="001D3BA0" w:rsidP="001D3BA0">
      <w:pPr>
        <w:ind w:firstLine="720"/>
        <w:jc w:val="both"/>
        <w:rPr>
          <w:rFonts w:ascii="Cambria" w:hAnsi="Cambria"/>
          <w:sz w:val="24"/>
          <w:szCs w:val="24"/>
        </w:rPr>
      </w:pPr>
      <w:r w:rsidRPr="00C33805">
        <w:rPr>
          <w:rFonts w:ascii="Cambria" w:hAnsi="Cambria"/>
          <w:sz w:val="24"/>
          <w:szCs w:val="24"/>
        </w:rPr>
        <w:lastRenderedPageBreak/>
        <w:t xml:space="preserve">The teacher professional development influencing classroom management identified in this study aligns with </w:t>
      </w:r>
      <w:proofErr w:type="spellStart"/>
      <w:r w:rsidRPr="00C33805">
        <w:rPr>
          <w:rFonts w:ascii="Cambria" w:hAnsi="Cambria"/>
          <w:sz w:val="24"/>
          <w:szCs w:val="24"/>
        </w:rPr>
        <w:t>Mulalic</w:t>
      </w:r>
      <w:proofErr w:type="spellEnd"/>
      <w:r w:rsidRPr="00C33805">
        <w:rPr>
          <w:rFonts w:ascii="Cambria" w:hAnsi="Cambria"/>
          <w:sz w:val="24"/>
          <w:szCs w:val="24"/>
        </w:rPr>
        <w:t xml:space="preserve"> (2024), who found that teacher professional development has a significant influence on classroom management and is most effective when aligned with instructional needs and supported by continuous coaching. Further, this study aligns with </w:t>
      </w:r>
      <w:proofErr w:type="spellStart"/>
      <w:r w:rsidRPr="00C33805">
        <w:rPr>
          <w:rFonts w:ascii="Cambria" w:hAnsi="Cambria"/>
          <w:sz w:val="24"/>
          <w:szCs w:val="24"/>
        </w:rPr>
        <w:t>Galache</w:t>
      </w:r>
      <w:proofErr w:type="spellEnd"/>
      <w:r w:rsidRPr="00C33805">
        <w:rPr>
          <w:rFonts w:ascii="Cambria" w:hAnsi="Cambria"/>
          <w:sz w:val="24"/>
          <w:szCs w:val="24"/>
        </w:rPr>
        <w:t xml:space="preserve"> (2024), who found that high levels of professional development engagement were associated with more effective classroom management strategies and overall teacher performance, suggesting a positive influence of professional development on classroom practices. In contrast, the current finding disputes Markowitz and </w:t>
      </w:r>
      <w:proofErr w:type="spellStart"/>
      <w:r w:rsidRPr="00C33805">
        <w:rPr>
          <w:rFonts w:ascii="Cambria" w:hAnsi="Cambria"/>
          <w:sz w:val="24"/>
          <w:szCs w:val="24"/>
        </w:rPr>
        <w:t>Seyarto</w:t>
      </w:r>
      <w:proofErr w:type="spellEnd"/>
      <w:r w:rsidRPr="00C33805">
        <w:rPr>
          <w:rFonts w:ascii="Cambria" w:hAnsi="Cambria"/>
          <w:sz w:val="24"/>
          <w:szCs w:val="24"/>
        </w:rPr>
        <w:t xml:space="preserve"> (2023), who asserted that professional development does not uniformly improve classroom practices across all types of early education teachers. These findings suggest that contextual factors—particularly the sector in which teachers work—can limit the impact of professional development on classroom quality.</w:t>
      </w:r>
    </w:p>
    <w:p w14:paraId="19E6087C" w14:textId="36B8C0BE" w:rsidR="00C865B6" w:rsidRPr="00F72D51" w:rsidRDefault="00F72D51" w:rsidP="00F72D51">
      <w:pPr>
        <w:jc w:val="both"/>
        <w:rPr>
          <w:rFonts w:ascii="Cambria" w:hAnsi="Cambria"/>
          <w:b/>
          <w:bCs/>
          <w:sz w:val="28"/>
          <w:szCs w:val="28"/>
        </w:rPr>
      </w:pPr>
      <w:r w:rsidRPr="00F72D51">
        <w:rPr>
          <w:rFonts w:ascii="Cambria" w:hAnsi="Cambria"/>
          <w:b/>
          <w:bCs/>
          <w:sz w:val="24"/>
          <w:szCs w:val="24"/>
        </w:rPr>
        <w:t>Principal Neglect – Teacher Professional Development – Classroom Management Relationship (Correlation vs Regression Findings)</w:t>
      </w:r>
    </w:p>
    <w:p w14:paraId="1F51BB50" w14:textId="346F6020" w:rsidR="0070029E" w:rsidRDefault="00F72D51" w:rsidP="00F72D51">
      <w:pPr>
        <w:ind w:firstLine="720"/>
        <w:jc w:val="both"/>
        <w:rPr>
          <w:rFonts w:ascii="Cambria" w:hAnsi="Cambria"/>
          <w:sz w:val="24"/>
          <w:szCs w:val="24"/>
        </w:rPr>
      </w:pPr>
      <w:r w:rsidRPr="00F72D51">
        <w:rPr>
          <w:rFonts w:ascii="Cambria" w:hAnsi="Cambria"/>
          <w:sz w:val="24"/>
          <w:szCs w:val="24"/>
        </w:rPr>
        <w:t>The finding that principal neglect shows a strong relationship with teacher performance and classroom management in the correlation analysis but becomes non-significant in the regression analysis can be explained by the nature of multivariate testing. In correlation, principal neglect appears significantly related to classroom management because it shares variance with other variables, particularly teacher professional development. However, in multiple linear regression, this shared variance is controlled, allowing the unique effect of each predictor to be isolated. As a result, the influence of principal neglect weakens and becomes non-significant because teacher professional development emerges as the stronger and more direct predictor of classroom management. This suggests that principal neglect may influence classroom management indirectly through its relationship with teacher professional development, where strong professional development can buffer or offset the effects of principal neglect on classroom management outcomes.</w:t>
      </w:r>
    </w:p>
    <w:p w14:paraId="2FC77522" w14:textId="3A5B6C9B" w:rsidR="00CF0061" w:rsidRPr="00CF0061" w:rsidRDefault="00CF0061" w:rsidP="00CF0061">
      <w:pPr>
        <w:jc w:val="both"/>
        <w:rPr>
          <w:rFonts w:ascii="Cambria" w:hAnsi="Cambria"/>
          <w:b/>
          <w:bCs/>
          <w:sz w:val="24"/>
          <w:szCs w:val="24"/>
        </w:rPr>
      </w:pPr>
      <w:r w:rsidRPr="00CF0061">
        <w:rPr>
          <w:rFonts w:ascii="Cambria" w:hAnsi="Cambria"/>
          <w:b/>
          <w:bCs/>
          <w:sz w:val="24"/>
          <w:szCs w:val="24"/>
        </w:rPr>
        <w:t>Study Limitations</w:t>
      </w:r>
    </w:p>
    <w:p w14:paraId="47BB2A3D" w14:textId="6803D59E" w:rsidR="000B71F0" w:rsidRPr="002065C5" w:rsidRDefault="000B71F0" w:rsidP="002065C5">
      <w:pPr>
        <w:ind w:firstLine="720"/>
        <w:jc w:val="both"/>
        <w:rPr>
          <w:rFonts w:ascii="Cambria" w:hAnsi="Cambria"/>
        </w:rPr>
      </w:pPr>
      <w:r w:rsidRPr="000B71F0">
        <w:rPr>
          <w:rFonts w:ascii="Cambria" w:hAnsi="Cambria"/>
        </w:rPr>
        <w:t>This study is limited to public school teachers in Tagum City and employed a cross-sectional diagnostic research design, which captures data at a single point in time and does not establish causality. The findings are based on self-reported survey data, which may reflect respondents’ perceptions rather than actual classroom practices. In addition, only principal neglect and teacher professional development were examined as predictors of classroom management, leaving other relevant factors unexplored. Furthermore, the very low and similar ratings of principal neglect may have reduced variation in responses, which could affect the strength of the statistical results.</w:t>
      </w:r>
    </w:p>
    <w:p w14:paraId="7377E64B" w14:textId="6554DF8C" w:rsidR="00D86290" w:rsidRPr="00D86290" w:rsidRDefault="001D3BA0" w:rsidP="00D86290">
      <w:pPr>
        <w:rPr>
          <w:rFonts w:ascii="Cambria" w:hAnsi="Cambria"/>
          <w:b/>
          <w:bCs/>
          <w:sz w:val="24"/>
          <w:szCs w:val="24"/>
        </w:rPr>
      </w:pPr>
      <w:r w:rsidRPr="00C33805">
        <w:rPr>
          <w:rFonts w:ascii="Cambria" w:hAnsi="Cambria"/>
          <w:b/>
          <w:bCs/>
          <w:sz w:val="24"/>
          <w:szCs w:val="24"/>
        </w:rPr>
        <w:t>Conclusion</w:t>
      </w:r>
    </w:p>
    <w:p w14:paraId="1412373C" w14:textId="76270F32" w:rsidR="000D2D81" w:rsidRPr="002065C5" w:rsidRDefault="000D2D81" w:rsidP="002065C5">
      <w:pPr>
        <w:ind w:firstLine="720"/>
        <w:jc w:val="both"/>
        <w:rPr>
          <w:rFonts w:ascii="Cambria" w:hAnsi="Cambria" w:cs="Times New Roman"/>
          <w:sz w:val="24"/>
          <w:szCs w:val="24"/>
        </w:rPr>
      </w:pPr>
      <w:r w:rsidRPr="000D2D81">
        <w:rPr>
          <w:rFonts w:ascii="Cambria" w:hAnsi="Cambria" w:cs="Times New Roman"/>
          <w:sz w:val="24"/>
          <w:szCs w:val="24"/>
        </w:rPr>
        <w:t xml:space="preserve">The findings indicate that the level of principal neglect is very low across all indicators, namely emotional support, professional support, instrumental support, and appraisal support, suggesting that school principals generally provide adequate support to teachers in their work. The regression results further reveal that teacher professional development is the only significant individual predictor of classroom management, while principal neglect is not statistically significant, although both variables jointly influence classroom management. </w:t>
      </w:r>
      <w:r w:rsidRPr="0068361A">
        <w:rPr>
          <w:rFonts w:ascii="Cambria" w:hAnsi="Cambria"/>
          <w:sz w:val="24"/>
          <w:szCs w:val="24"/>
        </w:rPr>
        <w:t xml:space="preserve">The model accounts for 56% of the variation in classroom </w:t>
      </w:r>
      <w:r w:rsidRPr="0068361A">
        <w:rPr>
          <w:rFonts w:ascii="Cambria" w:hAnsi="Cambria"/>
          <w:sz w:val="24"/>
          <w:szCs w:val="24"/>
        </w:rPr>
        <w:lastRenderedPageBreak/>
        <w:t>management (R² = 0.56), indicating that it explains a considerable portion of the outcome but not all of it. This suggests that while the included variables have a meaningful impact, there are still other factors not covered in the study that may also influence classroom management.</w:t>
      </w:r>
      <w:r w:rsidRPr="0068361A">
        <w:rPr>
          <w:sz w:val="24"/>
          <w:szCs w:val="24"/>
        </w:rPr>
        <w:t xml:space="preserve"> </w:t>
      </w:r>
      <w:r w:rsidRPr="0068361A">
        <w:rPr>
          <w:rFonts w:ascii="Cambria" w:hAnsi="Cambria" w:cs="Times New Roman"/>
          <w:sz w:val="28"/>
          <w:szCs w:val="28"/>
        </w:rPr>
        <w:t xml:space="preserve"> </w:t>
      </w:r>
      <w:r w:rsidRPr="000D2D81">
        <w:rPr>
          <w:rFonts w:ascii="Cambria" w:hAnsi="Cambria" w:cs="Times New Roman"/>
          <w:sz w:val="24"/>
          <w:szCs w:val="24"/>
        </w:rPr>
        <w:t>In line with Herzberg’s Two-Factor Theory, these results highlight that teacher professional development (motivator factor) plays a stronger role in improving performance outcomes compared to principal neglect (hygiene factor), reinforcing the idea that motivation-related factors are more critical in enhancing classroom management effectiveness.</w:t>
      </w:r>
    </w:p>
    <w:p w14:paraId="28DBB361" w14:textId="77777777" w:rsidR="001D3BA0" w:rsidRPr="00C33805" w:rsidRDefault="001D3BA0" w:rsidP="001D3BA0">
      <w:pPr>
        <w:rPr>
          <w:rFonts w:ascii="Cambria" w:hAnsi="Cambria"/>
          <w:b/>
          <w:bCs/>
          <w:sz w:val="24"/>
          <w:szCs w:val="24"/>
        </w:rPr>
      </w:pPr>
      <w:r w:rsidRPr="00C33805">
        <w:rPr>
          <w:rFonts w:ascii="Cambria" w:hAnsi="Cambria"/>
          <w:b/>
          <w:bCs/>
          <w:sz w:val="24"/>
          <w:szCs w:val="24"/>
        </w:rPr>
        <w:t>Recommendations</w:t>
      </w:r>
    </w:p>
    <w:p w14:paraId="0F7D4D29" w14:textId="77777777" w:rsidR="001D3BA0" w:rsidRPr="00C33805" w:rsidRDefault="001D3BA0" w:rsidP="001D3BA0">
      <w:pPr>
        <w:rPr>
          <w:rFonts w:ascii="Cambria" w:hAnsi="Cambria"/>
          <w:sz w:val="24"/>
          <w:szCs w:val="24"/>
        </w:rPr>
      </w:pPr>
      <w:r w:rsidRPr="00C33805">
        <w:rPr>
          <w:rFonts w:ascii="Cambria" w:hAnsi="Cambria"/>
          <w:sz w:val="24"/>
          <w:szCs w:val="24"/>
        </w:rPr>
        <w:t>Based on the conclusion, the study recommends the following:</w:t>
      </w:r>
    </w:p>
    <w:p w14:paraId="5505C4DB" w14:textId="77777777" w:rsidR="001D3BA0" w:rsidRPr="00C33805" w:rsidRDefault="001D3BA0" w:rsidP="001D3BA0">
      <w:pPr>
        <w:pStyle w:val="ListParagraph"/>
        <w:numPr>
          <w:ilvl w:val="0"/>
          <w:numId w:val="1"/>
        </w:numPr>
        <w:jc w:val="both"/>
        <w:rPr>
          <w:rFonts w:ascii="Cambria" w:hAnsi="Cambria"/>
          <w:sz w:val="24"/>
          <w:szCs w:val="24"/>
        </w:rPr>
      </w:pPr>
      <w:r w:rsidRPr="00C33805">
        <w:rPr>
          <w:rFonts w:ascii="Cambria" w:hAnsi="Cambria"/>
          <w:sz w:val="24"/>
          <w:szCs w:val="24"/>
        </w:rPr>
        <w:t>Future research can explore additional variables not covered in this study to identify factors that explain the remaining 44% of the variance in classroom management.</w:t>
      </w:r>
    </w:p>
    <w:p w14:paraId="595DF0C8" w14:textId="77777777" w:rsidR="001D3BA0" w:rsidRPr="00C33805" w:rsidRDefault="001D3BA0" w:rsidP="001D3BA0">
      <w:pPr>
        <w:pStyle w:val="ListParagraph"/>
        <w:numPr>
          <w:ilvl w:val="0"/>
          <w:numId w:val="1"/>
        </w:numPr>
        <w:jc w:val="both"/>
        <w:rPr>
          <w:rFonts w:ascii="Cambria" w:hAnsi="Cambria"/>
          <w:sz w:val="24"/>
          <w:szCs w:val="24"/>
        </w:rPr>
      </w:pPr>
      <w:r w:rsidRPr="00C33805">
        <w:rPr>
          <w:rFonts w:ascii="Cambria" w:hAnsi="Cambria"/>
          <w:sz w:val="24"/>
          <w:szCs w:val="24"/>
        </w:rPr>
        <w:t xml:space="preserve">Qualitative designs may be employed to generate themes that can serve as potential factors in classroom management. </w:t>
      </w:r>
    </w:p>
    <w:p w14:paraId="03EAFFBA" w14:textId="2FECC912" w:rsidR="001D3BA0" w:rsidRDefault="001D3BA0" w:rsidP="001D3BA0">
      <w:pPr>
        <w:pStyle w:val="ListParagraph"/>
        <w:numPr>
          <w:ilvl w:val="0"/>
          <w:numId w:val="1"/>
        </w:numPr>
        <w:jc w:val="both"/>
        <w:rPr>
          <w:rFonts w:ascii="Cambria" w:hAnsi="Cambria"/>
          <w:sz w:val="24"/>
          <w:szCs w:val="24"/>
        </w:rPr>
      </w:pPr>
      <w:r w:rsidRPr="00C33805">
        <w:rPr>
          <w:rFonts w:ascii="Cambria" w:hAnsi="Cambria"/>
          <w:sz w:val="24"/>
          <w:szCs w:val="24"/>
        </w:rPr>
        <w:t>Educational leaders may explore potential teacher scholarships for advanced studies and initiate training programs to enhance teacher professional development. Additionally, educational resources may be redirected toward teacher professional development initiatives to improve classroom management.</w:t>
      </w:r>
    </w:p>
    <w:p w14:paraId="097F75C0" w14:textId="77777777" w:rsidR="00896B5A" w:rsidRDefault="00896B5A" w:rsidP="00896B5A">
      <w:pPr>
        <w:pStyle w:val="ListParagraph"/>
        <w:jc w:val="both"/>
        <w:rPr>
          <w:rFonts w:ascii="Cambria" w:hAnsi="Cambria"/>
          <w:b/>
          <w:bCs/>
          <w:sz w:val="24"/>
          <w:szCs w:val="24"/>
        </w:rPr>
      </w:pPr>
    </w:p>
    <w:p w14:paraId="7BD24641" w14:textId="77777777" w:rsidR="00896B5A" w:rsidRDefault="00896B5A" w:rsidP="00896B5A">
      <w:pPr>
        <w:pStyle w:val="ListParagraph"/>
        <w:jc w:val="both"/>
        <w:rPr>
          <w:rFonts w:ascii="Cambria" w:hAnsi="Cambria"/>
          <w:b/>
          <w:bCs/>
          <w:sz w:val="24"/>
          <w:szCs w:val="24"/>
        </w:rPr>
      </w:pPr>
    </w:p>
    <w:p w14:paraId="7E528484" w14:textId="009714B2" w:rsidR="00896B5A" w:rsidRDefault="00896B5A" w:rsidP="00896B5A">
      <w:pPr>
        <w:pStyle w:val="ListParagraph"/>
        <w:jc w:val="both"/>
        <w:rPr>
          <w:rFonts w:ascii="Cambria" w:hAnsi="Cambria"/>
          <w:b/>
          <w:bCs/>
          <w:sz w:val="24"/>
          <w:szCs w:val="24"/>
        </w:rPr>
      </w:pPr>
      <w:proofErr w:type="gramStart"/>
      <w:r>
        <w:rPr>
          <w:rFonts w:ascii="Cambria" w:hAnsi="Cambria"/>
          <w:b/>
          <w:bCs/>
          <w:sz w:val="24"/>
          <w:szCs w:val="24"/>
        </w:rPr>
        <w:t>Consent :</w:t>
      </w:r>
      <w:proofErr w:type="gramEnd"/>
      <w:r>
        <w:rPr>
          <w:rFonts w:ascii="Cambria" w:hAnsi="Cambria"/>
          <w:b/>
          <w:bCs/>
          <w:sz w:val="24"/>
          <w:szCs w:val="24"/>
        </w:rPr>
        <w:t xml:space="preserve"> </w:t>
      </w:r>
      <w:r w:rsidRPr="00896B5A">
        <w:rPr>
          <w:rFonts w:ascii="Cambria" w:hAnsi="Cambria"/>
          <w:sz w:val="24"/>
          <w:szCs w:val="24"/>
        </w:rPr>
        <w:t>This study adhered to ethical standards by obtaining signed informed consent from the respondents. The researcher maintained confidentiality by not recording the participants’ names.</w:t>
      </w:r>
    </w:p>
    <w:p w14:paraId="6A5C171A" w14:textId="77777777" w:rsidR="00896B5A" w:rsidRDefault="00896B5A" w:rsidP="00896B5A">
      <w:pPr>
        <w:pStyle w:val="ListParagraph"/>
        <w:jc w:val="both"/>
        <w:rPr>
          <w:rFonts w:ascii="Cambria" w:hAnsi="Cambria"/>
          <w:b/>
          <w:bCs/>
          <w:sz w:val="24"/>
          <w:szCs w:val="24"/>
        </w:rPr>
      </w:pPr>
    </w:p>
    <w:p w14:paraId="26955298" w14:textId="7DCF0CF2" w:rsidR="00896B5A" w:rsidRPr="00896B5A" w:rsidRDefault="00896B5A" w:rsidP="00896B5A">
      <w:pPr>
        <w:pStyle w:val="ListParagraph"/>
        <w:jc w:val="both"/>
        <w:rPr>
          <w:rFonts w:ascii="Cambria" w:hAnsi="Cambria"/>
          <w:sz w:val="24"/>
          <w:szCs w:val="24"/>
        </w:rPr>
      </w:pPr>
      <w:r w:rsidRPr="00896B5A">
        <w:rPr>
          <w:rFonts w:ascii="Cambria" w:hAnsi="Cambria"/>
          <w:b/>
          <w:bCs/>
          <w:sz w:val="24"/>
          <w:szCs w:val="24"/>
        </w:rPr>
        <w:t xml:space="preserve">Ethical </w:t>
      </w:r>
      <w:r>
        <w:rPr>
          <w:rFonts w:ascii="Cambria" w:hAnsi="Cambria"/>
          <w:b/>
          <w:bCs/>
          <w:sz w:val="24"/>
          <w:szCs w:val="24"/>
        </w:rPr>
        <w:t xml:space="preserve">Approval </w:t>
      </w:r>
    </w:p>
    <w:p w14:paraId="498E54CE" w14:textId="020A4543" w:rsidR="00896B5A" w:rsidRPr="00896B5A" w:rsidRDefault="00896B5A" w:rsidP="00896B5A">
      <w:pPr>
        <w:pStyle w:val="ListParagraph"/>
        <w:jc w:val="both"/>
        <w:rPr>
          <w:rFonts w:ascii="Cambria" w:hAnsi="Cambria"/>
          <w:sz w:val="24"/>
          <w:szCs w:val="24"/>
        </w:rPr>
      </w:pPr>
      <w:r w:rsidRPr="00896B5A">
        <w:rPr>
          <w:rFonts w:ascii="Cambria" w:hAnsi="Cambria"/>
          <w:sz w:val="24"/>
          <w:szCs w:val="24"/>
        </w:rPr>
        <w:t>The researcher ensured respect for authority by obtaining permission from the Department of Education and approval from the SMILE Ethics Board.</w:t>
      </w:r>
    </w:p>
    <w:p w14:paraId="29EA8B50" w14:textId="77777777" w:rsidR="00896B5A" w:rsidRPr="00896B5A" w:rsidRDefault="00896B5A" w:rsidP="00896B5A">
      <w:pPr>
        <w:jc w:val="both"/>
        <w:rPr>
          <w:rFonts w:ascii="Cambria" w:hAnsi="Cambria"/>
          <w:sz w:val="24"/>
          <w:szCs w:val="24"/>
        </w:rPr>
      </w:pPr>
    </w:p>
    <w:p w14:paraId="69613897" w14:textId="77777777" w:rsidR="001D3BA0" w:rsidRPr="00C33805" w:rsidRDefault="001D3BA0" w:rsidP="001D3BA0">
      <w:pPr>
        <w:ind w:firstLine="720"/>
        <w:jc w:val="both"/>
        <w:rPr>
          <w:rFonts w:ascii="Cambria" w:hAnsi="Cambria"/>
          <w:sz w:val="24"/>
          <w:szCs w:val="24"/>
        </w:rPr>
      </w:pPr>
    </w:p>
    <w:p w14:paraId="51C4F7A2" w14:textId="77777777" w:rsidR="001D3BA0" w:rsidRPr="00C33805" w:rsidRDefault="001D3BA0" w:rsidP="001D3BA0">
      <w:pPr>
        <w:ind w:firstLine="720"/>
        <w:jc w:val="both"/>
        <w:rPr>
          <w:rFonts w:ascii="Cambria" w:hAnsi="Cambria"/>
          <w:sz w:val="24"/>
          <w:szCs w:val="24"/>
        </w:rPr>
      </w:pPr>
    </w:p>
    <w:p w14:paraId="2AD8F7F3" w14:textId="77777777" w:rsidR="00F10664" w:rsidRPr="00F10664" w:rsidRDefault="00F10664" w:rsidP="00F10664">
      <w:pPr>
        <w:spacing w:after="0" w:line="240" w:lineRule="auto"/>
        <w:rPr>
          <w:rFonts w:ascii="Times New Roman" w:eastAsia="Calibri" w:hAnsi="Times New Roman" w:cs="Times New Roman"/>
          <w:kern w:val="2"/>
          <w:highlight w:val="yellow"/>
        </w:rPr>
      </w:pPr>
      <w:bookmarkStart w:id="1" w:name="_Hlk198031404"/>
      <w:bookmarkStart w:id="2" w:name="_Hlk219125673"/>
      <w:r w:rsidRPr="00F10664">
        <w:rPr>
          <w:rFonts w:ascii="Times New Roman" w:eastAsia="Calibri" w:hAnsi="Times New Roman" w:cs="Times New Roman"/>
          <w:kern w:val="2"/>
          <w:highlight w:val="yellow"/>
        </w:rPr>
        <w:t>Disclaimer (Artificial intelligence)</w:t>
      </w:r>
    </w:p>
    <w:p w14:paraId="60ACDC0C" w14:textId="77777777" w:rsidR="00F10664" w:rsidRPr="00F10664" w:rsidRDefault="00F10664" w:rsidP="00F10664">
      <w:pPr>
        <w:spacing w:after="0" w:line="240" w:lineRule="auto"/>
        <w:rPr>
          <w:rFonts w:ascii="Times New Roman" w:eastAsia="Calibri" w:hAnsi="Times New Roman" w:cs="Times New Roman"/>
          <w:kern w:val="2"/>
          <w:highlight w:val="yellow"/>
        </w:rPr>
      </w:pPr>
    </w:p>
    <w:p w14:paraId="6282B018" w14:textId="77777777" w:rsidR="00F10664" w:rsidRPr="00F10664" w:rsidRDefault="00F10664" w:rsidP="00F10664">
      <w:pPr>
        <w:spacing w:after="0" w:line="240" w:lineRule="auto"/>
        <w:rPr>
          <w:rFonts w:ascii="Times New Roman" w:eastAsia="Calibri" w:hAnsi="Times New Roman" w:cs="Times New Roman"/>
          <w:kern w:val="2"/>
          <w:highlight w:val="yellow"/>
        </w:rPr>
      </w:pPr>
      <w:r w:rsidRPr="00F10664">
        <w:rPr>
          <w:rFonts w:ascii="Times New Roman" w:eastAsia="Calibri" w:hAnsi="Times New Roman" w:cs="Times New Roman"/>
          <w:kern w:val="2"/>
          <w:highlight w:val="yellow"/>
        </w:rPr>
        <w:t>Author(s) hereby declare that NO generative AI technologies such as Large Language Models (</w:t>
      </w:r>
      <w:proofErr w:type="spellStart"/>
      <w:r w:rsidRPr="00F10664">
        <w:rPr>
          <w:rFonts w:ascii="Times New Roman" w:eastAsia="Calibri" w:hAnsi="Times New Roman" w:cs="Times New Roman"/>
          <w:kern w:val="2"/>
          <w:highlight w:val="yellow"/>
        </w:rPr>
        <w:t>ChatGPT</w:t>
      </w:r>
      <w:proofErr w:type="spellEnd"/>
      <w:r w:rsidRPr="00F10664">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bookmarkEnd w:id="2"/>
    <w:p w14:paraId="6BA74FB9" w14:textId="537EFA95" w:rsidR="00B44A7C" w:rsidRDefault="00B44A7C">
      <w:pPr>
        <w:rPr>
          <w:rFonts w:ascii="Calibri" w:eastAsia="Calibri" w:hAnsi="Calibri" w:cs="Times New Roman"/>
          <w:sz w:val="28"/>
        </w:rPr>
      </w:pPr>
    </w:p>
    <w:p w14:paraId="49600510" w14:textId="77777777" w:rsidR="002065C5" w:rsidRDefault="002065C5"/>
    <w:p w14:paraId="7F0B40F6" w14:textId="77777777" w:rsidR="00B44A7C" w:rsidRDefault="00B44A7C"/>
    <w:p w14:paraId="56F23166" w14:textId="77777777" w:rsidR="00C865B6" w:rsidRDefault="00C865B6" w:rsidP="00C865B6">
      <w:pPr>
        <w:pStyle w:val="Heading1"/>
        <w:spacing w:before="91"/>
        <w:jc w:val="left"/>
        <w:rPr>
          <w:spacing w:val="-2"/>
        </w:rPr>
      </w:pPr>
      <w:r>
        <w:rPr>
          <w:spacing w:val="-2"/>
        </w:rPr>
        <w:t>REFERENCES</w:t>
      </w:r>
    </w:p>
    <w:p w14:paraId="245DF48B"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lastRenderedPageBreak/>
        <w:t xml:space="preserve">Adams, T., </w:t>
      </w:r>
      <w:proofErr w:type="spellStart"/>
      <w:r>
        <w:rPr>
          <w:rFonts w:eastAsia="Times New Roman" w:cs="Times New Roman"/>
          <w:sz w:val="24"/>
          <w:szCs w:val="24"/>
          <w:lang w:eastAsia="en-PH"/>
        </w:rPr>
        <w:t>Koster</w:t>
      </w:r>
      <w:proofErr w:type="spellEnd"/>
      <w:r>
        <w:rPr>
          <w:rFonts w:eastAsia="Times New Roman" w:cs="Times New Roman"/>
          <w:sz w:val="24"/>
          <w:szCs w:val="24"/>
          <w:lang w:eastAsia="en-PH"/>
        </w:rPr>
        <w:t xml:space="preserve">, B., &amp; den </w:t>
      </w:r>
      <w:proofErr w:type="spellStart"/>
      <w:r>
        <w:rPr>
          <w:rFonts w:eastAsia="Times New Roman" w:cs="Times New Roman"/>
          <w:sz w:val="24"/>
          <w:szCs w:val="24"/>
          <w:lang w:eastAsia="en-PH"/>
        </w:rPr>
        <w:t>Brok</w:t>
      </w:r>
      <w:proofErr w:type="spellEnd"/>
      <w:r>
        <w:rPr>
          <w:rFonts w:eastAsia="Times New Roman" w:cs="Times New Roman"/>
          <w:sz w:val="24"/>
          <w:szCs w:val="24"/>
          <w:lang w:eastAsia="en-PH"/>
        </w:rPr>
        <w:t xml:space="preserve">, P. (2024). Student teachers’ classroom management learning process and outcomes during the internship. </w:t>
      </w:r>
      <w:r>
        <w:rPr>
          <w:rFonts w:eastAsia="Times New Roman" w:cs="Times New Roman"/>
          <w:i/>
          <w:iCs/>
          <w:sz w:val="24"/>
          <w:szCs w:val="24"/>
          <w:lang w:eastAsia="en-PH"/>
        </w:rPr>
        <w:t>European Journal of Teacher Education, 47</w:t>
      </w:r>
      <w:r>
        <w:rPr>
          <w:rFonts w:eastAsia="Times New Roman" w:cs="Times New Roman"/>
          <w:sz w:val="24"/>
          <w:szCs w:val="24"/>
          <w:lang w:eastAsia="en-PH"/>
        </w:rPr>
        <w:t xml:space="preserve">(1), 1–23. </w:t>
      </w:r>
      <w:hyperlink r:id="rId7" w:history="1">
        <w:r>
          <w:rPr>
            <w:rStyle w:val="Hyperlink"/>
            <w:rFonts w:eastAsia="Times New Roman" w:cs="Times New Roman"/>
            <w:color w:val="0000FF"/>
            <w:sz w:val="24"/>
            <w:szCs w:val="24"/>
            <w:lang w:eastAsia="en-PH"/>
          </w:rPr>
          <w:t>https://doi.org/10.1080/02619768.2024.2353178</w:t>
        </w:r>
      </w:hyperlink>
    </w:p>
    <w:p w14:paraId="437B2DD8"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Ahmed, N., &amp; du Plessis, P. (2024). The role of classroom management in enhancing learners’ academic performance: Teachers’ experiences. </w:t>
      </w:r>
      <w:r>
        <w:rPr>
          <w:rFonts w:eastAsia="Times New Roman" w:cs="Times New Roman"/>
          <w:i/>
          <w:iCs/>
          <w:sz w:val="24"/>
          <w:szCs w:val="24"/>
          <w:lang w:eastAsia="en-PH"/>
        </w:rPr>
        <w:t>Studies in Learning and Teaching (</w:t>
      </w:r>
      <w:proofErr w:type="spellStart"/>
      <w:r>
        <w:rPr>
          <w:rFonts w:eastAsia="Times New Roman" w:cs="Times New Roman"/>
          <w:i/>
          <w:iCs/>
          <w:sz w:val="24"/>
          <w:szCs w:val="24"/>
          <w:lang w:eastAsia="en-PH"/>
        </w:rPr>
        <w:t>SiLeT</w:t>
      </w:r>
      <w:proofErr w:type="spellEnd"/>
      <w:r>
        <w:rPr>
          <w:rFonts w:eastAsia="Times New Roman" w:cs="Times New Roman"/>
          <w:i/>
          <w:iCs/>
          <w:sz w:val="24"/>
          <w:szCs w:val="24"/>
          <w:lang w:eastAsia="en-PH"/>
        </w:rPr>
        <w:t>), 5</w:t>
      </w:r>
      <w:r>
        <w:rPr>
          <w:rFonts w:eastAsia="Times New Roman" w:cs="Times New Roman"/>
          <w:sz w:val="24"/>
          <w:szCs w:val="24"/>
          <w:lang w:eastAsia="en-PH"/>
        </w:rPr>
        <w:t xml:space="preserve">(1), 202–218. </w:t>
      </w:r>
      <w:hyperlink r:id="rId8" w:history="1">
        <w:r>
          <w:rPr>
            <w:rStyle w:val="Hyperlink"/>
            <w:rFonts w:eastAsia="Times New Roman" w:cs="Times New Roman"/>
            <w:color w:val="0000FF"/>
            <w:sz w:val="24"/>
            <w:szCs w:val="24"/>
            <w:lang w:eastAsia="en-PH"/>
          </w:rPr>
          <w:t>https://doi.org/10.46627/silet.v5i1.364</w:t>
        </w:r>
      </w:hyperlink>
    </w:p>
    <w:p w14:paraId="679A9DE5"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Asif, M., Khurram, A. F. A., &amp; </w:t>
      </w:r>
      <w:proofErr w:type="spellStart"/>
      <w:r>
        <w:rPr>
          <w:rFonts w:eastAsia="Times New Roman" w:cs="Times New Roman"/>
          <w:sz w:val="24"/>
          <w:szCs w:val="24"/>
          <w:lang w:eastAsia="en-PH"/>
        </w:rPr>
        <w:t>Abdulsattar</w:t>
      </w:r>
      <w:proofErr w:type="spellEnd"/>
      <w:r>
        <w:rPr>
          <w:rFonts w:eastAsia="Times New Roman" w:cs="Times New Roman"/>
          <w:sz w:val="24"/>
          <w:szCs w:val="24"/>
          <w:lang w:eastAsia="en-PH"/>
        </w:rPr>
        <w:t xml:space="preserve">. (2023). Development and validation of Teachers’ Classroom Management Questionnaire (TCMQ). </w:t>
      </w:r>
      <w:r>
        <w:rPr>
          <w:rFonts w:eastAsia="Times New Roman" w:cs="Times New Roman"/>
          <w:i/>
          <w:iCs/>
          <w:sz w:val="24"/>
          <w:szCs w:val="24"/>
          <w:lang w:eastAsia="en-PH"/>
        </w:rPr>
        <w:t>Pakistan Journal of Humanities and Social Sciences, 11</w:t>
      </w:r>
      <w:r>
        <w:rPr>
          <w:rFonts w:eastAsia="Times New Roman" w:cs="Times New Roman"/>
          <w:sz w:val="24"/>
          <w:szCs w:val="24"/>
          <w:lang w:eastAsia="en-PH"/>
        </w:rPr>
        <w:t xml:space="preserve">(3), 3592–3599. </w:t>
      </w:r>
      <w:hyperlink r:id="rId9" w:history="1">
        <w:r>
          <w:rPr>
            <w:rStyle w:val="Hyperlink"/>
            <w:rFonts w:eastAsia="Times New Roman" w:cs="Times New Roman"/>
            <w:color w:val="0000FF"/>
            <w:sz w:val="24"/>
            <w:szCs w:val="24"/>
            <w:lang w:eastAsia="en-PH"/>
          </w:rPr>
          <w:t>https://doi.org/10.52131/pjhss.2023.1103.0640</w:t>
        </w:r>
      </w:hyperlink>
    </w:p>
    <w:p w14:paraId="31A83FA5" w14:textId="7F2E55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Australian Bureau of Statistics. (2023, February 2). Census and sample. </w:t>
      </w:r>
      <w:r w:rsidR="0034620F" w:rsidRPr="0034620F">
        <w:rPr>
          <w:sz w:val="24"/>
          <w:szCs w:val="24"/>
        </w:rPr>
        <w:t>Retrieved from</w:t>
      </w:r>
      <w:r w:rsidR="0034620F" w:rsidRPr="0034620F">
        <w:rPr>
          <w:sz w:val="28"/>
          <w:szCs w:val="28"/>
        </w:rPr>
        <w:t xml:space="preserve"> </w:t>
      </w:r>
      <w:hyperlink r:id="rId10" w:history="1">
        <w:r>
          <w:rPr>
            <w:rStyle w:val="Hyperlink"/>
            <w:rFonts w:eastAsia="Times New Roman" w:cs="Times New Roman"/>
            <w:color w:val="0000FF"/>
            <w:sz w:val="24"/>
            <w:szCs w:val="24"/>
            <w:lang w:eastAsia="en-PH"/>
          </w:rPr>
          <w:t>https://www.abs.gov.au/statistics/understanding-statistics/statistical-terms-and-concepts/census-and-sample</w:t>
        </w:r>
      </w:hyperlink>
    </w:p>
    <w:p w14:paraId="1E9E7489"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proofErr w:type="spellStart"/>
      <w:r>
        <w:rPr>
          <w:rFonts w:eastAsia="Times New Roman" w:cs="Times New Roman"/>
          <w:sz w:val="24"/>
          <w:szCs w:val="24"/>
          <w:lang w:eastAsia="en-PH"/>
        </w:rPr>
        <w:t>Balasundaram</w:t>
      </w:r>
      <w:proofErr w:type="spellEnd"/>
      <w:r>
        <w:rPr>
          <w:rFonts w:eastAsia="Times New Roman" w:cs="Times New Roman"/>
          <w:sz w:val="24"/>
          <w:szCs w:val="24"/>
          <w:lang w:eastAsia="en-PH"/>
        </w:rPr>
        <w:t xml:space="preserve">, S. (2024). The teacher’s perspective on the challenges of implementing quality early childhood education in their classroom in the Batticaloa District, Sri Lanka. </w:t>
      </w:r>
      <w:r>
        <w:rPr>
          <w:rFonts w:eastAsia="Times New Roman" w:cs="Times New Roman"/>
          <w:i/>
          <w:iCs/>
          <w:sz w:val="24"/>
          <w:szCs w:val="24"/>
          <w:lang w:eastAsia="en-PH"/>
        </w:rPr>
        <w:t>International Journal of Research and Innovation in Social Science, 8</w:t>
      </w:r>
      <w:r>
        <w:rPr>
          <w:rFonts w:eastAsia="Times New Roman" w:cs="Times New Roman"/>
          <w:sz w:val="24"/>
          <w:szCs w:val="24"/>
          <w:lang w:eastAsia="en-PH"/>
        </w:rPr>
        <w:t xml:space="preserve">(9), 3080–3087. </w:t>
      </w:r>
      <w:hyperlink r:id="rId11" w:history="1">
        <w:r>
          <w:rPr>
            <w:rStyle w:val="Hyperlink"/>
            <w:rFonts w:eastAsia="Times New Roman" w:cs="Times New Roman"/>
            <w:color w:val="0000FF"/>
            <w:sz w:val="24"/>
            <w:szCs w:val="24"/>
            <w:lang w:eastAsia="en-PH"/>
          </w:rPr>
          <w:t>https://doi.org/10.47772/IJRISS.2024.8090256</w:t>
        </w:r>
      </w:hyperlink>
    </w:p>
    <w:p w14:paraId="3FE96C35"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proofErr w:type="spellStart"/>
      <w:r>
        <w:rPr>
          <w:rFonts w:eastAsia="Times New Roman" w:cs="Times New Roman"/>
          <w:sz w:val="24"/>
          <w:szCs w:val="24"/>
          <w:lang w:eastAsia="en-PH"/>
        </w:rPr>
        <w:t>Barredo</w:t>
      </w:r>
      <w:proofErr w:type="spellEnd"/>
      <w:r>
        <w:rPr>
          <w:rFonts w:eastAsia="Times New Roman" w:cs="Times New Roman"/>
          <w:sz w:val="24"/>
          <w:szCs w:val="24"/>
          <w:lang w:eastAsia="en-PH"/>
        </w:rPr>
        <w:t xml:space="preserve">, B. (2025). Classroom management challenges of elementary education student teachers. </w:t>
      </w:r>
      <w:r>
        <w:rPr>
          <w:rFonts w:eastAsia="Times New Roman" w:cs="Times New Roman"/>
          <w:i/>
          <w:iCs/>
          <w:sz w:val="24"/>
          <w:szCs w:val="24"/>
          <w:lang w:eastAsia="en-PH"/>
        </w:rPr>
        <w:t>The International Journal of Learning in Higher Education, 33</w:t>
      </w:r>
      <w:r>
        <w:rPr>
          <w:rFonts w:eastAsia="Times New Roman" w:cs="Times New Roman"/>
          <w:sz w:val="24"/>
          <w:szCs w:val="24"/>
          <w:lang w:eastAsia="en-PH"/>
        </w:rPr>
        <w:t xml:space="preserve">(2), 25–41. </w:t>
      </w:r>
      <w:hyperlink r:id="rId12" w:history="1">
        <w:r>
          <w:rPr>
            <w:rStyle w:val="Hyperlink"/>
            <w:rFonts w:eastAsia="Times New Roman" w:cs="Times New Roman"/>
            <w:color w:val="0000FF"/>
            <w:sz w:val="24"/>
            <w:szCs w:val="24"/>
            <w:lang w:eastAsia="en-PH"/>
          </w:rPr>
          <w:t>https://doi.org/10.18848/2327-7955/CGP/v33i02/25-41</w:t>
        </w:r>
      </w:hyperlink>
    </w:p>
    <w:p w14:paraId="78E90F2F"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proofErr w:type="spellStart"/>
      <w:r>
        <w:rPr>
          <w:rFonts w:eastAsia="Times New Roman" w:cs="Times New Roman"/>
          <w:sz w:val="24"/>
          <w:szCs w:val="24"/>
          <w:lang w:eastAsia="en-PH"/>
        </w:rPr>
        <w:t>Bature</w:t>
      </w:r>
      <w:proofErr w:type="spellEnd"/>
      <w:r>
        <w:rPr>
          <w:rFonts w:eastAsia="Times New Roman" w:cs="Times New Roman"/>
          <w:sz w:val="24"/>
          <w:szCs w:val="24"/>
          <w:lang w:eastAsia="en-PH"/>
        </w:rPr>
        <w:t xml:space="preserve">, I. J. (2020). Students’ engagement patterns during mathematics classroom practice. </w:t>
      </w:r>
      <w:r>
        <w:rPr>
          <w:rFonts w:eastAsia="Times New Roman" w:cs="Times New Roman"/>
          <w:i/>
          <w:iCs/>
          <w:sz w:val="24"/>
          <w:szCs w:val="24"/>
          <w:lang w:eastAsia="en-PH"/>
        </w:rPr>
        <w:t>Open Access Library Journal, 7</w:t>
      </w:r>
      <w:r>
        <w:rPr>
          <w:rFonts w:eastAsia="Times New Roman" w:cs="Times New Roman"/>
          <w:sz w:val="24"/>
          <w:szCs w:val="24"/>
          <w:lang w:eastAsia="en-PH"/>
        </w:rPr>
        <w:t xml:space="preserve">, e6695. </w:t>
      </w:r>
      <w:hyperlink r:id="rId13" w:history="1">
        <w:r>
          <w:rPr>
            <w:rStyle w:val="Hyperlink"/>
            <w:rFonts w:eastAsia="Times New Roman" w:cs="Times New Roman"/>
            <w:color w:val="0000FF"/>
            <w:sz w:val="24"/>
            <w:szCs w:val="24"/>
            <w:lang w:eastAsia="en-PH"/>
          </w:rPr>
          <w:t>https://doi.org/10.4236/oalib.1106695</w:t>
        </w:r>
      </w:hyperlink>
    </w:p>
    <w:p w14:paraId="1FF8676D"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Burns, N., &amp; Grove, S. K. (2020). </w:t>
      </w:r>
      <w:r>
        <w:rPr>
          <w:rFonts w:eastAsia="Times New Roman" w:cs="Times New Roman"/>
          <w:i/>
          <w:iCs/>
          <w:sz w:val="24"/>
          <w:szCs w:val="24"/>
          <w:lang w:eastAsia="en-PH"/>
        </w:rPr>
        <w:t>Understanding nursing research: Building an evidence-based practice</w:t>
      </w:r>
      <w:r>
        <w:rPr>
          <w:rFonts w:eastAsia="Times New Roman" w:cs="Times New Roman"/>
          <w:sz w:val="24"/>
          <w:szCs w:val="24"/>
          <w:lang w:eastAsia="en-PH"/>
        </w:rPr>
        <w:t xml:space="preserve"> (7th ed.). Elsevier.</w:t>
      </w:r>
    </w:p>
    <w:p w14:paraId="431B6D6C" w14:textId="4E6F6135" w:rsidR="002B6C1E" w:rsidRPr="002B6C1E" w:rsidRDefault="00C865B6" w:rsidP="002B6C1E">
      <w:pPr>
        <w:ind w:left="720" w:hanging="720"/>
        <w:rPr>
          <w:rFonts w:cstheme="minorHAnsi"/>
          <w:color w:val="0563C1" w:themeColor="hyperlink"/>
          <w:sz w:val="24"/>
          <w:szCs w:val="24"/>
          <w:u w:val="single"/>
        </w:rPr>
      </w:pPr>
      <w:r>
        <w:rPr>
          <w:sz w:val="24"/>
          <w:szCs w:val="24"/>
        </w:rPr>
        <w:t xml:space="preserve">Cambay, D. J. D., &amp; </w:t>
      </w:r>
      <w:proofErr w:type="spellStart"/>
      <w:r>
        <w:rPr>
          <w:sz w:val="24"/>
          <w:szCs w:val="24"/>
        </w:rPr>
        <w:t>Paglinawan</w:t>
      </w:r>
      <w:proofErr w:type="spellEnd"/>
      <w:r>
        <w:rPr>
          <w:sz w:val="24"/>
          <w:szCs w:val="24"/>
        </w:rPr>
        <w:t xml:space="preserve">, J. L. (2024). Classroom management strategies and school environment on student engagement. International Journal of Research and Innovation in Social Science, 8(12), 1–13. </w:t>
      </w:r>
      <w:hyperlink r:id="rId14" w:history="1">
        <w:r w:rsidRPr="004D52E7">
          <w:rPr>
            <w:rStyle w:val="Hyperlink"/>
            <w:rFonts w:cstheme="minorHAnsi"/>
            <w:sz w:val="24"/>
            <w:szCs w:val="24"/>
          </w:rPr>
          <w:t>https://doi.org/10.47772/IJRISS.2024.8120001</w:t>
        </w:r>
      </w:hyperlink>
    </w:p>
    <w:p w14:paraId="24614832" w14:textId="27179301" w:rsidR="002B6C1E" w:rsidRPr="002B6C1E" w:rsidRDefault="002B6C1E" w:rsidP="002B6C1E">
      <w:pPr>
        <w:ind w:left="720" w:hanging="720"/>
        <w:jc w:val="both"/>
        <w:rPr>
          <w:rStyle w:val="Hyperlink"/>
          <w:color w:val="auto"/>
          <w:sz w:val="24"/>
          <w:szCs w:val="24"/>
          <w:u w:val="none"/>
          <w:lang w:val="en-GB"/>
        </w:rPr>
      </w:pPr>
      <w:r w:rsidRPr="002B6C1E">
        <w:rPr>
          <w:sz w:val="24"/>
          <w:szCs w:val="24"/>
          <w:lang w:val="en-GB"/>
        </w:rPr>
        <w:t xml:space="preserve">Chang, M. L., &amp; Taxer, J. (2021). Teacher emotion regulation strategies in response to classroom </w:t>
      </w:r>
      <w:proofErr w:type="spellStart"/>
      <w:r w:rsidRPr="002B6C1E">
        <w:rPr>
          <w:sz w:val="24"/>
          <w:szCs w:val="24"/>
          <w:lang w:val="en-GB"/>
        </w:rPr>
        <w:t>misbehavior</w:t>
      </w:r>
      <w:proofErr w:type="spellEnd"/>
      <w:r w:rsidRPr="002B6C1E">
        <w:rPr>
          <w:sz w:val="24"/>
          <w:szCs w:val="24"/>
          <w:lang w:val="en-GB"/>
        </w:rPr>
        <w:t xml:space="preserve">. Teachers and Teaching, 27(5), 353-369. </w:t>
      </w:r>
    </w:p>
    <w:p w14:paraId="3B447B87" w14:textId="77777777" w:rsidR="004D52E7" w:rsidRDefault="004D52E7" w:rsidP="004D52E7">
      <w:pPr>
        <w:spacing w:after="0" w:line="240" w:lineRule="auto"/>
        <w:rPr>
          <w:rFonts w:eastAsia="Times New Roman" w:cstheme="minorHAnsi"/>
          <w:sz w:val="24"/>
          <w:szCs w:val="24"/>
          <w:lang w:val="en-PH" w:eastAsia="en-PH"/>
        </w:rPr>
      </w:pPr>
      <w:r w:rsidRPr="004D52E7">
        <w:rPr>
          <w:rFonts w:eastAsia="Times New Roman" w:cstheme="minorHAnsi"/>
          <w:sz w:val="24"/>
          <w:szCs w:val="24"/>
          <w:lang w:val="en-PH" w:eastAsia="en-PH"/>
        </w:rPr>
        <w:t xml:space="preserve">Cohen, J. (1988). </w:t>
      </w:r>
      <w:r w:rsidRPr="004D52E7">
        <w:rPr>
          <w:rFonts w:eastAsia="Times New Roman" w:cstheme="minorHAnsi"/>
          <w:i/>
          <w:iCs/>
          <w:sz w:val="24"/>
          <w:szCs w:val="24"/>
          <w:lang w:val="en-PH" w:eastAsia="en-PH"/>
        </w:rPr>
        <w:t>Statistical power analysis for the behavioral sciences</w:t>
      </w:r>
      <w:r w:rsidRPr="004D52E7">
        <w:rPr>
          <w:rFonts w:eastAsia="Times New Roman" w:cstheme="minorHAnsi"/>
          <w:sz w:val="24"/>
          <w:szCs w:val="24"/>
          <w:lang w:val="en-PH" w:eastAsia="en-PH"/>
        </w:rPr>
        <w:t xml:space="preserve"> (2nd ed.). Lawrence </w:t>
      </w:r>
      <w:r>
        <w:rPr>
          <w:rFonts w:eastAsia="Times New Roman" w:cstheme="minorHAnsi"/>
          <w:sz w:val="24"/>
          <w:szCs w:val="24"/>
          <w:lang w:val="en-PH" w:eastAsia="en-PH"/>
        </w:rPr>
        <w:t xml:space="preserve"> </w:t>
      </w:r>
    </w:p>
    <w:p w14:paraId="54B3FB5F" w14:textId="17BF4A73" w:rsidR="004D52E7" w:rsidRPr="004D52E7" w:rsidRDefault="004D52E7" w:rsidP="004D52E7">
      <w:pPr>
        <w:spacing w:after="0" w:line="240" w:lineRule="auto"/>
        <w:ind w:firstLine="720"/>
        <w:rPr>
          <w:rFonts w:eastAsia="Times New Roman" w:cstheme="minorHAnsi"/>
          <w:sz w:val="24"/>
          <w:szCs w:val="24"/>
          <w:lang w:val="en-PH" w:eastAsia="en-PH"/>
        </w:rPr>
      </w:pPr>
      <w:r w:rsidRPr="004D52E7">
        <w:rPr>
          <w:rFonts w:eastAsia="Times New Roman" w:cstheme="minorHAnsi"/>
          <w:sz w:val="24"/>
          <w:szCs w:val="24"/>
          <w:lang w:val="en-PH" w:eastAsia="en-PH"/>
        </w:rPr>
        <w:t>Erlbaum Associates.</w:t>
      </w:r>
    </w:p>
    <w:p w14:paraId="1D44B4B6"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proofErr w:type="spellStart"/>
      <w:r>
        <w:rPr>
          <w:rFonts w:eastAsia="Times New Roman" w:cs="Times New Roman"/>
          <w:sz w:val="24"/>
          <w:szCs w:val="24"/>
          <w:lang w:eastAsia="en-PH"/>
        </w:rPr>
        <w:t>Dacholfany</w:t>
      </w:r>
      <w:proofErr w:type="spellEnd"/>
      <w:r>
        <w:rPr>
          <w:rFonts w:eastAsia="Times New Roman" w:cs="Times New Roman"/>
          <w:sz w:val="24"/>
          <w:szCs w:val="24"/>
          <w:lang w:eastAsia="en-PH"/>
        </w:rPr>
        <w:t xml:space="preserve">, M. I., Antoni, R., </w:t>
      </w:r>
      <w:proofErr w:type="spellStart"/>
      <w:r>
        <w:rPr>
          <w:rFonts w:eastAsia="Times New Roman" w:cs="Times New Roman"/>
          <w:sz w:val="24"/>
          <w:szCs w:val="24"/>
          <w:lang w:eastAsia="en-PH"/>
        </w:rPr>
        <w:t>Sulissusiawan</w:t>
      </w:r>
      <w:proofErr w:type="spellEnd"/>
      <w:r>
        <w:rPr>
          <w:rFonts w:eastAsia="Times New Roman" w:cs="Times New Roman"/>
          <w:sz w:val="24"/>
          <w:szCs w:val="24"/>
          <w:lang w:eastAsia="en-PH"/>
        </w:rPr>
        <w:t xml:space="preserve">, A., </w:t>
      </w:r>
      <w:proofErr w:type="spellStart"/>
      <w:r>
        <w:rPr>
          <w:rFonts w:eastAsia="Times New Roman" w:cs="Times New Roman"/>
          <w:sz w:val="24"/>
          <w:szCs w:val="24"/>
          <w:lang w:eastAsia="en-PH"/>
        </w:rPr>
        <w:t>Rijal</w:t>
      </w:r>
      <w:proofErr w:type="spellEnd"/>
      <w:r>
        <w:rPr>
          <w:rFonts w:eastAsia="Times New Roman" w:cs="Times New Roman"/>
          <w:sz w:val="24"/>
          <w:szCs w:val="24"/>
          <w:lang w:eastAsia="en-PH"/>
        </w:rPr>
        <w:t xml:space="preserve">, S., </w:t>
      </w:r>
      <w:proofErr w:type="spellStart"/>
      <w:r>
        <w:rPr>
          <w:rFonts w:eastAsia="Times New Roman" w:cs="Times New Roman"/>
          <w:sz w:val="24"/>
          <w:szCs w:val="24"/>
          <w:lang w:eastAsia="en-PH"/>
        </w:rPr>
        <w:t>Utiarahman</w:t>
      </w:r>
      <w:proofErr w:type="spellEnd"/>
      <w:r>
        <w:rPr>
          <w:rFonts w:eastAsia="Times New Roman" w:cs="Times New Roman"/>
          <w:sz w:val="24"/>
          <w:szCs w:val="24"/>
          <w:lang w:eastAsia="en-PH"/>
        </w:rPr>
        <w:t xml:space="preserve">, A., </w:t>
      </w:r>
      <w:proofErr w:type="spellStart"/>
      <w:r>
        <w:rPr>
          <w:rFonts w:eastAsia="Times New Roman" w:cs="Times New Roman"/>
          <w:sz w:val="24"/>
          <w:szCs w:val="24"/>
          <w:lang w:eastAsia="en-PH"/>
        </w:rPr>
        <w:t>Vanni</w:t>
      </w:r>
      <w:proofErr w:type="spellEnd"/>
      <w:r>
        <w:rPr>
          <w:rFonts w:eastAsia="Times New Roman" w:cs="Times New Roman"/>
          <w:sz w:val="24"/>
          <w:szCs w:val="24"/>
          <w:lang w:eastAsia="en-PH"/>
        </w:rPr>
        <w:t xml:space="preserve"> </w:t>
      </w:r>
      <w:proofErr w:type="spellStart"/>
      <w:r>
        <w:rPr>
          <w:rFonts w:eastAsia="Times New Roman" w:cs="Times New Roman"/>
          <w:sz w:val="24"/>
          <w:szCs w:val="24"/>
          <w:lang w:eastAsia="en-PH"/>
        </w:rPr>
        <w:t>Alam</w:t>
      </w:r>
      <w:proofErr w:type="spellEnd"/>
      <w:r>
        <w:rPr>
          <w:rFonts w:eastAsia="Times New Roman" w:cs="Times New Roman"/>
          <w:sz w:val="24"/>
          <w:szCs w:val="24"/>
          <w:lang w:eastAsia="en-PH"/>
        </w:rPr>
        <w:t xml:space="preserve">, H., &amp; </w:t>
      </w:r>
      <w:proofErr w:type="spellStart"/>
      <w:r>
        <w:rPr>
          <w:rFonts w:eastAsia="Times New Roman" w:cs="Times New Roman"/>
          <w:sz w:val="24"/>
          <w:szCs w:val="24"/>
          <w:lang w:eastAsia="en-PH"/>
        </w:rPr>
        <w:t>Bagea</w:t>
      </w:r>
      <w:proofErr w:type="spellEnd"/>
      <w:r>
        <w:rPr>
          <w:rFonts w:eastAsia="Times New Roman" w:cs="Times New Roman"/>
          <w:sz w:val="24"/>
          <w:szCs w:val="24"/>
          <w:lang w:eastAsia="en-PH"/>
        </w:rPr>
        <w:t xml:space="preserve">, I. (2024). The effectiveness of teacher professional development programs on classroom and </w:t>
      </w:r>
      <w:proofErr w:type="spellStart"/>
      <w:r>
        <w:rPr>
          <w:rFonts w:eastAsia="Times New Roman" w:cs="Times New Roman"/>
          <w:sz w:val="24"/>
          <w:szCs w:val="24"/>
          <w:lang w:eastAsia="en-PH"/>
        </w:rPr>
        <w:t>behaviour</w:t>
      </w:r>
      <w:proofErr w:type="spellEnd"/>
      <w:r>
        <w:rPr>
          <w:rFonts w:eastAsia="Times New Roman" w:cs="Times New Roman"/>
          <w:sz w:val="24"/>
          <w:szCs w:val="24"/>
          <w:lang w:eastAsia="en-PH"/>
        </w:rPr>
        <w:t xml:space="preserve"> management: A systematic review. </w:t>
      </w:r>
      <w:r>
        <w:rPr>
          <w:rFonts w:eastAsia="Times New Roman" w:cs="Times New Roman"/>
          <w:i/>
          <w:iCs/>
          <w:sz w:val="24"/>
          <w:szCs w:val="24"/>
          <w:lang w:eastAsia="en-PH"/>
        </w:rPr>
        <w:t>Journal of Education, Culture and Society, 15</w:t>
      </w:r>
      <w:r>
        <w:rPr>
          <w:rFonts w:eastAsia="Times New Roman" w:cs="Times New Roman"/>
          <w:sz w:val="24"/>
          <w:szCs w:val="24"/>
          <w:lang w:eastAsia="en-PH"/>
        </w:rPr>
        <w:t xml:space="preserve">(2), 451–470. </w:t>
      </w:r>
      <w:hyperlink r:id="rId15" w:history="1">
        <w:r>
          <w:rPr>
            <w:rStyle w:val="Hyperlink"/>
            <w:rFonts w:eastAsia="Times New Roman" w:cs="Times New Roman"/>
            <w:color w:val="0000FF"/>
            <w:sz w:val="24"/>
            <w:szCs w:val="24"/>
            <w:lang w:eastAsia="en-PH"/>
          </w:rPr>
          <w:t>https://doi.org/10.15503/jecs2024.2.451.470</w:t>
        </w:r>
      </w:hyperlink>
    </w:p>
    <w:p w14:paraId="6FD570EC" w14:textId="77777777" w:rsidR="00C865B6" w:rsidRDefault="00C865B6" w:rsidP="006A4B98">
      <w:pPr>
        <w:spacing w:before="100" w:beforeAutospacing="1" w:after="100" w:afterAutospacing="1"/>
        <w:ind w:left="720" w:hanging="720"/>
        <w:rPr>
          <w:rFonts w:cs="Arial"/>
          <w:sz w:val="24"/>
          <w:szCs w:val="24"/>
        </w:rPr>
      </w:pPr>
      <w:r>
        <w:rPr>
          <w:rFonts w:eastAsia="Times New Roman" w:cs="Times New Roman"/>
          <w:sz w:val="24"/>
          <w:szCs w:val="24"/>
          <w:lang w:eastAsia="en-PH"/>
        </w:rPr>
        <w:lastRenderedPageBreak/>
        <w:t xml:space="preserve">Erdogan, U., &amp; Clement, D. (2023). Principal support, organizational citizenship, and student achievement: Implications for school leaders. </w:t>
      </w:r>
      <w:r>
        <w:rPr>
          <w:rFonts w:eastAsia="Times New Roman" w:cs="Times New Roman"/>
          <w:i/>
          <w:iCs/>
          <w:sz w:val="24"/>
          <w:szCs w:val="24"/>
          <w:lang w:eastAsia="en-PH"/>
        </w:rPr>
        <w:t>International Online Journal of Educational Sciences, 15</w:t>
      </w:r>
      <w:r>
        <w:rPr>
          <w:rFonts w:eastAsia="Times New Roman" w:cs="Times New Roman"/>
          <w:sz w:val="24"/>
          <w:szCs w:val="24"/>
          <w:lang w:eastAsia="en-PH"/>
        </w:rPr>
        <w:t xml:space="preserve">(4), 665–681. </w:t>
      </w:r>
      <w:hyperlink r:id="rId16" w:history="1">
        <w:r>
          <w:rPr>
            <w:rStyle w:val="Hyperlink"/>
            <w:rFonts w:cs="Arial"/>
            <w:sz w:val="24"/>
            <w:szCs w:val="24"/>
          </w:rPr>
          <w:t>https://doi.org/10.15345/iojes.2023.04.006</w:t>
        </w:r>
      </w:hyperlink>
    </w:p>
    <w:p w14:paraId="6A5A0086" w14:textId="3535B940" w:rsidR="00C865B6" w:rsidRDefault="00C865B6" w:rsidP="006A4B98">
      <w:pPr>
        <w:spacing w:before="100" w:beforeAutospacing="1" w:after="100" w:afterAutospacing="1"/>
        <w:ind w:left="720" w:hanging="720"/>
        <w:rPr>
          <w:rStyle w:val="Hyperlink"/>
          <w:rFonts w:eastAsia="Times New Roman" w:cs="Times New Roman"/>
          <w:color w:val="0000FF"/>
          <w:sz w:val="24"/>
          <w:szCs w:val="24"/>
          <w:lang w:eastAsia="en-PH"/>
        </w:rPr>
      </w:pPr>
      <w:proofErr w:type="spellStart"/>
      <w:r>
        <w:rPr>
          <w:rFonts w:eastAsia="Times New Roman" w:cs="Times New Roman"/>
          <w:sz w:val="24"/>
          <w:szCs w:val="24"/>
          <w:lang w:eastAsia="en-PH"/>
        </w:rPr>
        <w:t>Galache</w:t>
      </w:r>
      <w:proofErr w:type="spellEnd"/>
      <w:r>
        <w:rPr>
          <w:rFonts w:eastAsia="Times New Roman" w:cs="Times New Roman"/>
          <w:sz w:val="24"/>
          <w:szCs w:val="24"/>
          <w:lang w:eastAsia="en-PH"/>
        </w:rPr>
        <w:t xml:space="preserve">, D. M. (2024). Teachers’ professional development, classroom management strategies, and performance. </w:t>
      </w:r>
      <w:r>
        <w:rPr>
          <w:rFonts w:eastAsia="Times New Roman" w:cs="Times New Roman"/>
          <w:i/>
          <w:iCs/>
          <w:sz w:val="24"/>
          <w:szCs w:val="24"/>
          <w:lang w:eastAsia="en-PH"/>
        </w:rPr>
        <w:t>IOER International Multidisciplinary Research Journal, 6</w:t>
      </w:r>
      <w:r>
        <w:rPr>
          <w:rFonts w:eastAsia="Times New Roman" w:cs="Times New Roman"/>
          <w:sz w:val="24"/>
          <w:szCs w:val="24"/>
          <w:lang w:eastAsia="en-PH"/>
        </w:rPr>
        <w:t xml:space="preserve">(4), 164–170. </w:t>
      </w:r>
      <w:hyperlink r:id="rId17" w:history="1">
        <w:r>
          <w:rPr>
            <w:rStyle w:val="Hyperlink"/>
            <w:rFonts w:eastAsia="Times New Roman" w:cs="Times New Roman"/>
            <w:color w:val="0000FF"/>
            <w:sz w:val="24"/>
            <w:szCs w:val="24"/>
            <w:lang w:eastAsia="en-PH"/>
          </w:rPr>
          <w:t>https://doi.org/10.54476/ioer-imrj/391320</w:t>
        </w:r>
      </w:hyperlink>
    </w:p>
    <w:p w14:paraId="69109F7E" w14:textId="5CC81AB6" w:rsidR="0040778A" w:rsidRPr="0040778A" w:rsidRDefault="0040778A" w:rsidP="0040778A">
      <w:pPr>
        <w:spacing w:before="100" w:beforeAutospacing="1" w:after="100" w:afterAutospacing="1"/>
        <w:ind w:left="720" w:hanging="720"/>
        <w:jc w:val="both"/>
        <w:rPr>
          <w:rFonts w:eastAsia="Times New Roman" w:cs="Times New Roman"/>
          <w:sz w:val="28"/>
          <w:szCs w:val="28"/>
          <w:lang w:eastAsia="en-PH"/>
        </w:rPr>
      </w:pPr>
      <w:r w:rsidRPr="0040778A">
        <w:rPr>
          <w:sz w:val="24"/>
          <w:szCs w:val="24"/>
        </w:rPr>
        <w:t xml:space="preserve">Garcia, M. L., Santos, R. P., &amp; Cruz, J. D. (2024). </w:t>
      </w:r>
      <w:r w:rsidRPr="0040778A">
        <w:rPr>
          <w:rStyle w:val="Emphasis"/>
          <w:sz w:val="24"/>
          <w:szCs w:val="24"/>
        </w:rPr>
        <w:t>The impact of teacher professional development on classroom management and student outcomes: A systematic review</w:t>
      </w:r>
      <w:r w:rsidRPr="0040778A">
        <w:rPr>
          <w:sz w:val="24"/>
          <w:szCs w:val="24"/>
        </w:rPr>
        <w:t xml:space="preserve">. </w:t>
      </w:r>
      <w:r w:rsidRPr="0040778A">
        <w:rPr>
          <w:rStyle w:val="whitespace-normal"/>
          <w:sz w:val="24"/>
          <w:szCs w:val="24"/>
        </w:rPr>
        <w:t>Second Congressional Commission on Education</w:t>
      </w:r>
      <w:r w:rsidRPr="0040778A">
        <w:rPr>
          <w:sz w:val="24"/>
          <w:szCs w:val="24"/>
        </w:rPr>
        <w:t>. Retrieved from https://edcom2.gov.ph/publications/systematic-review-of-professional-development-programs-for-teachers-in-the-philippines/</w:t>
      </w:r>
    </w:p>
    <w:p w14:paraId="19D2F903"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Goodfellow, L. T. (2023). An overview of survey research. </w:t>
      </w:r>
      <w:r>
        <w:rPr>
          <w:rFonts w:eastAsia="Times New Roman" w:cs="Times New Roman"/>
          <w:i/>
          <w:iCs/>
          <w:sz w:val="24"/>
          <w:szCs w:val="24"/>
          <w:lang w:eastAsia="en-PH"/>
        </w:rPr>
        <w:t>Respiratory Care, 68</w:t>
      </w:r>
      <w:r>
        <w:rPr>
          <w:rFonts w:eastAsia="Times New Roman" w:cs="Times New Roman"/>
          <w:sz w:val="24"/>
          <w:szCs w:val="24"/>
          <w:lang w:eastAsia="en-PH"/>
        </w:rPr>
        <w:t xml:space="preserve">(9), 1309–1313. </w:t>
      </w:r>
      <w:hyperlink r:id="rId18" w:history="1">
        <w:r>
          <w:rPr>
            <w:rStyle w:val="Hyperlink"/>
            <w:rFonts w:eastAsia="Times New Roman" w:cs="Times New Roman"/>
            <w:color w:val="0000FF"/>
            <w:sz w:val="24"/>
            <w:szCs w:val="24"/>
            <w:lang w:eastAsia="en-PH"/>
          </w:rPr>
          <w:t>https://doi.org/10.4187/respcare.11041</w:t>
        </w:r>
      </w:hyperlink>
    </w:p>
    <w:p w14:paraId="4DA7A3E2"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proofErr w:type="spellStart"/>
      <w:r>
        <w:rPr>
          <w:rFonts w:eastAsia="Times New Roman" w:cs="Times New Roman"/>
          <w:sz w:val="24"/>
          <w:szCs w:val="24"/>
          <w:lang w:eastAsia="en-PH"/>
        </w:rPr>
        <w:t>Gravetter</w:t>
      </w:r>
      <w:proofErr w:type="spellEnd"/>
      <w:r>
        <w:rPr>
          <w:rFonts w:eastAsia="Times New Roman" w:cs="Times New Roman"/>
          <w:sz w:val="24"/>
          <w:szCs w:val="24"/>
          <w:lang w:eastAsia="en-PH"/>
        </w:rPr>
        <w:t xml:space="preserve">, F. J., &amp; </w:t>
      </w:r>
      <w:proofErr w:type="spellStart"/>
      <w:r>
        <w:rPr>
          <w:rFonts w:eastAsia="Times New Roman" w:cs="Times New Roman"/>
          <w:sz w:val="24"/>
          <w:szCs w:val="24"/>
          <w:lang w:eastAsia="en-PH"/>
        </w:rPr>
        <w:t>Wallnau</w:t>
      </w:r>
      <w:proofErr w:type="spellEnd"/>
      <w:r>
        <w:rPr>
          <w:rFonts w:eastAsia="Times New Roman" w:cs="Times New Roman"/>
          <w:sz w:val="24"/>
          <w:szCs w:val="24"/>
          <w:lang w:eastAsia="en-PH"/>
        </w:rPr>
        <w:t xml:space="preserve">, L. B. (2022). </w:t>
      </w:r>
      <w:r>
        <w:rPr>
          <w:rFonts w:eastAsia="Times New Roman" w:cs="Times New Roman"/>
          <w:i/>
          <w:iCs/>
          <w:sz w:val="24"/>
          <w:szCs w:val="24"/>
          <w:lang w:eastAsia="en-PH"/>
        </w:rPr>
        <w:t>Statistics for the behavioral sciences</w:t>
      </w:r>
      <w:r>
        <w:rPr>
          <w:rFonts w:eastAsia="Times New Roman" w:cs="Times New Roman"/>
          <w:sz w:val="24"/>
          <w:szCs w:val="24"/>
          <w:lang w:eastAsia="en-PH"/>
        </w:rPr>
        <w:t xml:space="preserve"> (11th ed.). Cengage Learning.</w:t>
      </w:r>
    </w:p>
    <w:p w14:paraId="3346ECFE" w14:textId="5A15A604"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Herzberg, F. (1959). </w:t>
      </w:r>
      <w:r>
        <w:rPr>
          <w:rFonts w:eastAsia="Times New Roman" w:cs="Times New Roman"/>
          <w:i/>
          <w:iCs/>
          <w:sz w:val="24"/>
          <w:szCs w:val="24"/>
          <w:lang w:eastAsia="en-PH"/>
        </w:rPr>
        <w:t>The motivation to work</w:t>
      </w:r>
      <w:r>
        <w:rPr>
          <w:rFonts w:eastAsia="Times New Roman" w:cs="Times New Roman"/>
          <w:sz w:val="24"/>
          <w:szCs w:val="24"/>
          <w:lang w:eastAsia="en-PH"/>
        </w:rPr>
        <w:t xml:space="preserve"> (2nd ed.). John Wiley &amp; Sons.</w:t>
      </w:r>
    </w:p>
    <w:p w14:paraId="0B8EC9EA" w14:textId="56651CC6" w:rsidR="00AF5B0F" w:rsidRPr="00AF5B0F" w:rsidRDefault="00AF5B0F" w:rsidP="00AF5B0F">
      <w:pPr>
        <w:spacing w:before="100" w:beforeAutospacing="1" w:after="100" w:afterAutospacing="1"/>
        <w:ind w:left="720" w:hanging="720"/>
        <w:jc w:val="both"/>
        <w:rPr>
          <w:rFonts w:ascii="Calibri" w:eastAsia="Times New Roman" w:hAnsi="Calibri" w:cs="Calibri"/>
          <w:sz w:val="24"/>
          <w:szCs w:val="24"/>
          <w:lang w:eastAsia="en-PH"/>
        </w:rPr>
      </w:pPr>
      <w:r w:rsidRPr="00AF5B0F">
        <w:rPr>
          <w:rFonts w:ascii="Calibri" w:hAnsi="Calibri" w:cs="Calibri"/>
          <w:color w:val="232323"/>
          <w:sz w:val="24"/>
          <w:szCs w:val="24"/>
          <w:shd w:val="clear" w:color="auto" w:fill="FFFFFF"/>
        </w:rPr>
        <w:t xml:space="preserve">Hair, J. F., </w:t>
      </w:r>
      <w:proofErr w:type="spellStart"/>
      <w:r w:rsidRPr="00AF5B0F">
        <w:rPr>
          <w:rFonts w:ascii="Calibri" w:hAnsi="Calibri" w:cs="Calibri"/>
          <w:color w:val="232323"/>
          <w:sz w:val="24"/>
          <w:szCs w:val="24"/>
          <w:shd w:val="clear" w:color="auto" w:fill="FFFFFF"/>
        </w:rPr>
        <w:t>Babin</w:t>
      </w:r>
      <w:proofErr w:type="spellEnd"/>
      <w:r w:rsidRPr="00AF5B0F">
        <w:rPr>
          <w:rFonts w:ascii="Calibri" w:hAnsi="Calibri" w:cs="Calibri"/>
          <w:color w:val="232323"/>
          <w:sz w:val="24"/>
          <w:szCs w:val="24"/>
          <w:shd w:val="clear" w:color="auto" w:fill="FFFFFF"/>
        </w:rPr>
        <w:t xml:space="preserve">, B. J., Anderson, R. E., &amp; Black, W. C. (2019). Multivariate Data Analysis (8th ed.). England: Pearson Prentice. </w:t>
      </w:r>
      <w:r w:rsidRPr="00AF5B0F">
        <w:rPr>
          <w:rFonts w:ascii="Calibri" w:eastAsia="Times New Roman" w:hAnsi="Calibri" w:cs="Calibri"/>
          <w:sz w:val="24"/>
          <w:szCs w:val="24"/>
          <w:lang w:eastAsia="en-PH"/>
        </w:rPr>
        <w:t>Retrieved from https://eli.johogo.com/Class/CCU/SEM/_Multivariate%20Data%20Analysis_Hair.pdf</w:t>
      </w:r>
    </w:p>
    <w:p w14:paraId="42FEA896" w14:textId="06D5B9C1"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Hair, J. F., Black, W. C., </w:t>
      </w:r>
      <w:proofErr w:type="spellStart"/>
      <w:r>
        <w:rPr>
          <w:rFonts w:eastAsia="Times New Roman" w:cs="Times New Roman"/>
          <w:sz w:val="24"/>
          <w:szCs w:val="24"/>
          <w:lang w:eastAsia="en-PH"/>
        </w:rPr>
        <w:t>Babin</w:t>
      </w:r>
      <w:proofErr w:type="spellEnd"/>
      <w:r>
        <w:rPr>
          <w:rFonts w:eastAsia="Times New Roman" w:cs="Times New Roman"/>
          <w:sz w:val="24"/>
          <w:szCs w:val="24"/>
          <w:lang w:eastAsia="en-PH"/>
        </w:rPr>
        <w:t xml:space="preserve">, B. J., &amp; Anderson, R. E. (2022). </w:t>
      </w:r>
      <w:r>
        <w:rPr>
          <w:rFonts w:eastAsia="Times New Roman" w:cs="Times New Roman"/>
          <w:i/>
          <w:iCs/>
          <w:sz w:val="24"/>
          <w:szCs w:val="24"/>
          <w:lang w:eastAsia="en-PH"/>
        </w:rPr>
        <w:t>Multivariate data analysis</w:t>
      </w:r>
      <w:r>
        <w:rPr>
          <w:rFonts w:eastAsia="Times New Roman" w:cs="Times New Roman"/>
          <w:sz w:val="24"/>
          <w:szCs w:val="24"/>
          <w:lang w:eastAsia="en-PH"/>
        </w:rPr>
        <w:t xml:space="preserve"> (9th ed.). Cengage Learning.</w:t>
      </w:r>
    </w:p>
    <w:p w14:paraId="5043C275" w14:textId="0C02D59E" w:rsidR="00AF5B0F" w:rsidRDefault="00AF5B0F" w:rsidP="006A4B98">
      <w:pPr>
        <w:spacing w:before="100" w:beforeAutospacing="1" w:after="100" w:afterAutospacing="1"/>
        <w:ind w:left="720" w:hanging="720"/>
        <w:rPr>
          <w:rFonts w:eastAsia="Times New Roman" w:cs="Times New Roman"/>
          <w:sz w:val="24"/>
          <w:szCs w:val="24"/>
          <w:lang w:eastAsia="en-PH"/>
        </w:rPr>
      </w:pPr>
      <w:r>
        <w:t xml:space="preserve">Hair, J. F., </w:t>
      </w:r>
      <w:proofErr w:type="spellStart"/>
      <w:r>
        <w:t>Babin</w:t>
      </w:r>
      <w:proofErr w:type="spellEnd"/>
      <w:r>
        <w:t xml:space="preserve">, B. J., Anderson, R. E., &amp; Black, W. C. (2019). </w:t>
      </w:r>
      <w:r>
        <w:rPr>
          <w:rStyle w:val="Emphasis"/>
        </w:rPr>
        <w:t>Multivariate data analysis</w:t>
      </w:r>
      <w:r>
        <w:t xml:space="preserve"> (8th ed.). Pearson.</w:t>
      </w:r>
    </w:p>
    <w:p w14:paraId="3E9653F1"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Ibrahim, M. S., Ahmed, N. F., &amp; Mohammad, M. H. (2025). Exploring classroom management challenges and strategies among Kurdish pre-service teachers: A case study at </w:t>
      </w:r>
      <w:proofErr w:type="spellStart"/>
      <w:r>
        <w:rPr>
          <w:rFonts w:eastAsia="Times New Roman" w:cs="Times New Roman"/>
          <w:sz w:val="24"/>
          <w:szCs w:val="24"/>
          <w:lang w:eastAsia="en-PH"/>
        </w:rPr>
        <w:t>Soran</w:t>
      </w:r>
      <w:proofErr w:type="spellEnd"/>
      <w:r>
        <w:rPr>
          <w:rFonts w:eastAsia="Times New Roman" w:cs="Times New Roman"/>
          <w:sz w:val="24"/>
          <w:szCs w:val="24"/>
          <w:lang w:eastAsia="en-PH"/>
        </w:rPr>
        <w:t xml:space="preserve"> University. </w:t>
      </w:r>
      <w:r>
        <w:rPr>
          <w:rFonts w:eastAsia="Times New Roman" w:cs="Times New Roman"/>
          <w:i/>
          <w:iCs/>
          <w:sz w:val="24"/>
          <w:szCs w:val="24"/>
          <w:lang w:eastAsia="en-PH"/>
        </w:rPr>
        <w:t>English Language Teaching Educational Journal, 8</w:t>
      </w:r>
      <w:r>
        <w:rPr>
          <w:rFonts w:eastAsia="Times New Roman" w:cs="Times New Roman"/>
          <w:sz w:val="24"/>
          <w:szCs w:val="24"/>
          <w:lang w:eastAsia="en-PH"/>
        </w:rPr>
        <w:t xml:space="preserve">(1), 1–13. </w:t>
      </w:r>
      <w:hyperlink r:id="rId19" w:history="1">
        <w:r>
          <w:rPr>
            <w:rStyle w:val="Hyperlink"/>
            <w:rFonts w:eastAsia="Times New Roman" w:cs="Times New Roman"/>
            <w:color w:val="0000FF"/>
            <w:sz w:val="24"/>
            <w:szCs w:val="24"/>
            <w:lang w:eastAsia="en-PH"/>
          </w:rPr>
          <w:t>https://doi.org/10.12928/eltej.v8i1.12734</w:t>
        </w:r>
      </w:hyperlink>
    </w:p>
    <w:p w14:paraId="281F0909"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proofErr w:type="spellStart"/>
      <w:r>
        <w:rPr>
          <w:rFonts w:eastAsia="Times New Roman" w:cs="Times New Roman"/>
          <w:sz w:val="24"/>
          <w:szCs w:val="24"/>
          <w:lang w:eastAsia="en-PH"/>
        </w:rPr>
        <w:t>Impuesto</w:t>
      </w:r>
      <w:proofErr w:type="spellEnd"/>
      <w:r>
        <w:rPr>
          <w:rFonts w:eastAsia="Times New Roman" w:cs="Times New Roman"/>
          <w:sz w:val="24"/>
          <w:szCs w:val="24"/>
          <w:lang w:eastAsia="en-PH"/>
        </w:rPr>
        <w:t xml:space="preserve">, R. (2024). Influence of teachers’ work conditions on classroom management practices. </w:t>
      </w:r>
      <w:r>
        <w:rPr>
          <w:rFonts w:eastAsia="Times New Roman" w:cs="Times New Roman"/>
          <w:i/>
          <w:iCs/>
          <w:sz w:val="24"/>
          <w:szCs w:val="24"/>
          <w:lang w:eastAsia="en-PH"/>
        </w:rPr>
        <w:t>Journal of Interdisciplinary Perspectives, 2</w:t>
      </w:r>
      <w:r>
        <w:rPr>
          <w:rFonts w:eastAsia="Times New Roman" w:cs="Times New Roman"/>
          <w:sz w:val="24"/>
          <w:szCs w:val="24"/>
          <w:lang w:eastAsia="en-PH"/>
        </w:rPr>
        <w:t xml:space="preserve">(12), 31–48. </w:t>
      </w:r>
      <w:hyperlink r:id="rId20" w:history="1">
        <w:r>
          <w:rPr>
            <w:rStyle w:val="Hyperlink"/>
            <w:rFonts w:eastAsia="Times New Roman" w:cs="Times New Roman"/>
            <w:color w:val="0000FF"/>
            <w:sz w:val="24"/>
            <w:szCs w:val="24"/>
            <w:lang w:eastAsia="en-PH"/>
          </w:rPr>
          <w:t>https://doi.org/10.69569/jip.2024.0505</w:t>
        </w:r>
      </w:hyperlink>
    </w:p>
    <w:p w14:paraId="49AA78DC"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proofErr w:type="spellStart"/>
      <w:r>
        <w:rPr>
          <w:rFonts w:eastAsia="Times New Roman" w:cs="Times New Roman"/>
          <w:sz w:val="24"/>
          <w:szCs w:val="24"/>
          <w:lang w:eastAsia="en-PH"/>
        </w:rPr>
        <w:t>Felisilda</w:t>
      </w:r>
      <w:proofErr w:type="spellEnd"/>
      <w:r>
        <w:rPr>
          <w:rFonts w:eastAsia="Times New Roman" w:cs="Times New Roman"/>
          <w:sz w:val="24"/>
          <w:szCs w:val="24"/>
          <w:lang w:eastAsia="en-PH"/>
        </w:rPr>
        <w:t xml:space="preserve">, A. U., </w:t>
      </w:r>
      <w:proofErr w:type="spellStart"/>
      <w:r>
        <w:rPr>
          <w:rFonts w:eastAsia="Times New Roman" w:cs="Times New Roman"/>
          <w:sz w:val="24"/>
          <w:szCs w:val="24"/>
          <w:lang w:eastAsia="en-PH"/>
        </w:rPr>
        <w:t>Labitad</w:t>
      </w:r>
      <w:proofErr w:type="spellEnd"/>
      <w:r>
        <w:rPr>
          <w:rFonts w:eastAsia="Times New Roman" w:cs="Times New Roman"/>
          <w:sz w:val="24"/>
          <w:szCs w:val="24"/>
          <w:lang w:eastAsia="en-PH"/>
        </w:rPr>
        <w:t xml:space="preserve">, G. F., &amp; </w:t>
      </w:r>
      <w:proofErr w:type="spellStart"/>
      <w:r>
        <w:rPr>
          <w:rFonts w:eastAsia="Times New Roman" w:cs="Times New Roman"/>
          <w:sz w:val="24"/>
          <w:szCs w:val="24"/>
          <w:lang w:eastAsia="en-PH"/>
        </w:rPr>
        <w:t>Comon</w:t>
      </w:r>
      <w:proofErr w:type="spellEnd"/>
      <w:r>
        <w:rPr>
          <w:rFonts w:eastAsia="Times New Roman" w:cs="Times New Roman"/>
          <w:sz w:val="24"/>
          <w:szCs w:val="24"/>
          <w:lang w:eastAsia="en-PH"/>
        </w:rPr>
        <w:t xml:space="preserve">, J. D. (2024). Challenges and performance of novice teachers: Basis for school management plan. </w:t>
      </w:r>
      <w:r>
        <w:rPr>
          <w:rFonts w:eastAsia="Times New Roman" w:cs="Times New Roman"/>
          <w:i/>
          <w:iCs/>
          <w:sz w:val="24"/>
          <w:szCs w:val="24"/>
          <w:lang w:eastAsia="en-PH"/>
        </w:rPr>
        <w:t>American Journal of Arts and Human Science, 3</w:t>
      </w:r>
      <w:r>
        <w:rPr>
          <w:rFonts w:eastAsia="Times New Roman" w:cs="Times New Roman"/>
          <w:sz w:val="24"/>
          <w:szCs w:val="24"/>
          <w:lang w:eastAsia="en-PH"/>
        </w:rPr>
        <w:t xml:space="preserve">(4), 96–118. </w:t>
      </w:r>
      <w:hyperlink r:id="rId21" w:history="1">
        <w:r>
          <w:rPr>
            <w:rStyle w:val="Hyperlink"/>
            <w:rFonts w:eastAsia="Times New Roman" w:cs="Times New Roman"/>
            <w:color w:val="0000FF"/>
            <w:sz w:val="24"/>
            <w:szCs w:val="24"/>
            <w:lang w:eastAsia="en-PH"/>
          </w:rPr>
          <w:t>https://doi.org/10.54536/ajahs.v3i4.3866</w:t>
        </w:r>
      </w:hyperlink>
    </w:p>
    <w:p w14:paraId="2BEB5A8D"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sidRPr="006C1260">
        <w:rPr>
          <w:rFonts w:eastAsia="Times New Roman" w:cs="Times New Roman"/>
          <w:sz w:val="24"/>
          <w:szCs w:val="24"/>
          <w:lang w:val="es-US" w:eastAsia="en-PH"/>
        </w:rPr>
        <w:lastRenderedPageBreak/>
        <w:t xml:space="preserve">Markowitz, A. J., &amp; </w:t>
      </w:r>
      <w:proofErr w:type="spellStart"/>
      <w:r w:rsidRPr="006C1260">
        <w:rPr>
          <w:rFonts w:eastAsia="Times New Roman" w:cs="Times New Roman"/>
          <w:sz w:val="24"/>
          <w:szCs w:val="24"/>
          <w:lang w:val="es-US" w:eastAsia="en-PH"/>
        </w:rPr>
        <w:t>Seyarto</w:t>
      </w:r>
      <w:proofErr w:type="spellEnd"/>
      <w:r w:rsidRPr="006C1260">
        <w:rPr>
          <w:rFonts w:eastAsia="Times New Roman" w:cs="Times New Roman"/>
          <w:sz w:val="24"/>
          <w:szCs w:val="24"/>
          <w:lang w:val="es-US" w:eastAsia="en-PH"/>
        </w:rPr>
        <w:t xml:space="preserve">, M. (2023). </w:t>
      </w:r>
      <w:r>
        <w:rPr>
          <w:rFonts w:eastAsia="Times New Roman" w:cs="Times New Roman"/>
          <w:sz w:val="24"/>
          <w:szCs w:val="24"/>
          <w:lang w:eastAsia="en-PH"/>
        </w:rPr>
        <w:t xml:space="preserve">Linking professional development to classroom quality: Differences by ECE sector. </w:t>
      </w:r>
      <w:r>
        <w:rPr>
          <w:rFonts w:eastAsia="Times New Roman" w:cs="Times New Roman"/>
          <w:i/>
          <w:iCs/>
          <w:sz w:val="24"/>
          <w:szCs w:val="24"/>
          <w:lang w:eastAsia="en-PH"/>
        </w:rPr>
        <w:t>Early Childhood Research Quarterly, 64</w:t>
      </w:r>
      <w:r>
        <w:rPr>
          <w:rFonts w:eastAsia="Times New Roman" w:cs="Times New Roman"/>
          <w:sz w:val="24"/>
          <w:szCs w:val="24"/>
          <w:lang w:eastAsia="en-PH"/>
        </w:rPr>
        <w:t xml:space="preserve">, 266–277. </w:t>
      </w:r>
      <w:hyperlink r:id="rId22" w:history="1">
        <w:r>
          <w:rPr>
            <w:rStyle w:val="Hyperlink"/>
            <w:rFonts w:eastAsia="Times New Roman" w:cs="Times New Roman"/>
            <w:color w:val="0000FF"/>
            <w:sz w:val="24"/>
            <w:szCs w:val="24"/>
            <w:lang w:eastAsia="en-PH"/>
          </w:rPr>
          <w:t>https://doi.org/10.1016/j.ecresq.2023.03.007</w:t>
        </w:r>
      </w:hyperlink>
    </w:p>
    <w:p w14:paraId="7EFDA9C3"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Marquez, J., &amp; </w:t>
      </w:r>
      <w:proofErr w:type="spellStart"/>
      <w:r>
        <w:rPr>
          <w:rFonts w:eastAsia="Times New Roman" w:cs="Times New Roman"/>
          <w:sz w:val="24"/>
          <w:szCs w:val="24"/>
          <w:lang w:eastAsia="en-PH"/>
        </w:rPr>
        <w:t>Oropa</w:t>
      </w:r>
      <w:proofErr w:type="spellEnd"/>
      <w:r>
        <w:rPr>
          <w:rFonts w:eastAsia="Times New Roman" w:cs="Times New Roman"/>
          <w:sz w:val="24"/>
          <w:szCs w:val="24"/>
          <w:lang w:eastAsia="en-PH"/>
        </w:rPr>
        <w:t xml:space="preserve">, J. (2025). Effective classroom management for the modern learning environment. </w:t>
      </w:r>
      <w:r>
        <w:rPr>
          <w:rFonts w:eastAsia="Times New Roman" w:cs="Times New Roman"/>
          <w:i/>
          <w:iCs/>
          <w:sz w:val="24"/>
          <w:szCs w:val="24"/>
          <w:lang w:eastAsia="en-PH"/>
        </w:rPr>
        <w:t>Journal of Interdisciplinary Perspectives, 3</w:t>
      </w:r>
      <w:r>
        <w:rPr>
          <w:rFonts w:eastAsia="Times New Roman" w:cs="Times New Roman"/>
          <w:sz w:val="24"/>
          <w:szCs w:val="24"/>
          <w:lang w:eastAsia="en-PH"/>
        </w:rPr>
        <w:t xml:space="preserve">(6), 60–70. </w:t>
      </w:r>
      <w:hyperlink r:id="rId23" w:history="1">
        <w:r>
          <w:rPr>
            <w:rStyle w:val="Hyperlink"/>
            <w:rFonts w:eastAsia="Times New Roman" w:cs="Times New Roman"/>
            <w:color w:val="0000FF"/>
            <w:sz w:val="24"/>
            <w:szCs w:val="24"/>
            <w:lang w:eastAsia="en-PH"/>
          </w:rPr>
          <w:t>https://doi.org/10.69569/jip.2025.205</w:t>
        </w:r>
      </w:hyperlink>
    </w:p>
    <w:p w14:paraId="4E9C0B65" w14:textId="6510E03F" w:rsidR="00C865B6" w:rsidRDefault="00C865B6" w:rsidP="00371EBE">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McChesney, K., &amp; Cross, J. (2023). How school culture affects teachers’ classroom implementation of learning from professional development. </w:t>
      </w:r>
      <w:r>
        <w:rPr>
          <w:rFonts w:eastAsia="Times New Roman" w:cs="Times New Roman"/>
          <w:i/>
          <w:iCs/>
          <w:sz w:val="24"/>
          <w:szCs w:val="24"/>
          <w:lang w:eastAsia="en-PH"/>
        </w:rPr>
        <w:t>Learning Environments Research.</w:t>
      </w:r>
      <w:r>
        <w:rPr>
          <w:rFonts w:eastAsia="Times New Roman" w:cs="Times New Roman"/>
          <w:sz w:val="24"/>
          <w:szCs w:val="24"/>
          <w:lang w:eastAsia="en-PH"/>
        </w:rPr>
        <w:t xml:space="preserve"> </w:t>
      </w:r>
      <w:hyperlink r:id="rId24" w:history="1">
        <w:r>
          <w:rPr>
            <w:rStyle w:val="Hyperlink"/>
            <w:rFonts w:eastAsia="Times New Roman" w:cs="Times New Roman"/>
            <w:color w:val="0000FF"/>
            <w:sz w:val="24"/>
            <w:szCs w:val="24"/>
            <w:lang w:eastAsia="en-PH"/>
          </w:rPr>
          <w:t>https://doi.org/10.1007/s10984-023-09454-0</w:t>
        </w:r>
      </w:hyperlink>
    </w:p>
    <w:p w14:paraId="536E13BB"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proofErr w:type="spellStart"/>
      <w:r>
        <w:rPr>
          <w:rFonts w:eastAsia="Times New Roman" w:cs="Times New Roman"/>
          <w:sz w:val="24"/>
          <w:szCs w:val="24"/>
          <w:lang w:eastAsia="en-PH"/>
        </w:rPr>
        <w:t>Mulalic</w:t>
      </w:r>
      <w:proofErr w:type="spellEnd"/>
      <w:r>
        <w:rPr>
          <w:rFonts w:eastAsia="Times New Roman" w:cs="Times New Roman"/>
          <w:sz w:val="24"/>
          <w:szCs w:val="24"/>
          <w:lang w:eastAsia="en-PH"/>
        </w:rPr>
        <w:t xml:space="preserve">, A. (2024). Teacher professional development and its influence on classroom practices: A comparative study across different educational systems. </w:t>
      </w:r>
      <w:r>
        <w:rPr>
          <w:rFonts w:eastAsia="Times New Roman" w:cs="Times New Roman"/>
          <w:i/>
          <w:iCs/>
          <w:sz w:val="24"/>
          <w:szCs w:val="24"/>
          <w:lang w:eastAsia="en-PH"/>
        </w:rPr>
        <w:t>International Journal of Post Axial: Futuristic Teaching and Learning, 2</w:t>
      </w:r>
      <w:r>
        <w:rPr>
          <w:rFonts w:eastAsia="Times New Roman" w:cs="Times New Roman"/>
          <w:sz w:val="24"/>
          <w:szCs w:val="24"/>
          <w:lang w:eastAsia="en-PH"/>
        </w:rPr>
        <w:t xml:space="preserve">(3). </w:t>
      </w:r>
      <w:hyperlink r:id="rId25" w:history="1">
        <w:r>
          <w:rPr>
            <w:rStyle w:val="Hyperlink"/>
            <w:rFonts w:eastAsia="Times New Roman" w:cs="Times New Roman"/>
            <w:color w:val="0000FF"/>
            <w:sz w:val="24"/>
            <w:szCs w:val="24"/>
            <w:lang w:eastAsia="en-PH"/>
          </w:rPr>
          <w:t>https://doi.org/10.59944/postaxial.v2i3.380</w:t>
        </w:r>
      </w:hyperlink>
    </w:p>
    <w:p w14:paraId="40F7D84E"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proofErr w:type="spellStart"/>
      <w:r>
        <w:rPr>
          <w:rFonts w:eastAsia="Times New Roman" w:cs="Times New Roman"/>
          <w:sz w:val="24"/>
          <w:szCs w:val="24"/>
          <w:lang w:eastAsia="en-PH"/>
        </w:rPr>
        <w:t>Obee</w:t>
      </w:r>
      <w:proofErr w:type="spellEnd"/>
      <w:r>
        <w:rPr>
          <w:rFonts w:eastAsia="Times New Roman" w:cs="Times New Roman"/>
          <w:sz w:val="24"/>
          <w:szCs w:val="24"/>
          <w:lang w:eastAsia="en-PH"/>
        </w:rPr>
        <w:t xml:space="preserve">, A. F., Hart, K. C., &amp; Fabiano, G. A. (2023). Professional development targeting classroom management and behavioral support skills in early childhood settings: A systematic review. </w:t>
      </w:r>
      <w:r>
        <w:rPr>
          <w:rFonts w:eastAsia="Times New Roman" w:cs="Times New Roman"/>
          <w:i/>
          <w:iCs/>
          <w:sz w:val="24"/>
          <w:szCs w:val="24"/>
          <w:lang w:eastAsia="en-PH"/>
        </w:rPr>
        <w:t>School Mental Health, 15</w:t>
      </w:r>
      <w:r>
        <w:rPr>
          <w:rFonts w:eastAsia="Times New Roman" w:cs="Times New Roman"/>
          <w:sz w:val="24"/>
          <w:szCs w:val="24"/>
          <w:lang w:eastAsia="en-PH"/>
        </w:rPr>
        <w:t xml:space="preserve">, 339–369. </w:t>
      </w:r>
      <w:hyperlink r:id="rId26" w:history="1">
        <w:r>
          <w:rPr>
            <w:rStyle w:val="Hyperlink"/>
            <w:rFonts w:eastAsia="Times New Roman" w:cs="Times New Roman"/>
            <w:color w:val="0000FF"/>
            <w:sz w:val="24"/>
            <w:szCs w:val="24"/>
            <w:lang w:eastAsia="en-PH"/>
          </w:rPr>
          <w:t>https://doi.org/10.1007/s12310-022-09562-x</w:t>
        </w:r>
      </w:hyperlink>
    </w:p>
    <w:p w14:paraId="7F320D56" w14:textId="77777777" w:rsidR="00C865B6" w:rsidRPr="006C1260" w:rsidRDefault="00C865B6" w:rsidP="006A4B98">
      <w:pPr>
        <w:spacing w:before="100" w:beforeAutospacing="1" w:after="100" w:afterAutospacing="1"/>
        <w:ind w:left="720" w:hanging="720"/>
        <w:rPr>
          <w:rFonts w:eastAsia="Times New Roman" w:cs="Times New Roman"/>
          <w:sz w:val="24"/>
          <w:szCs w:val="24"/>
          <w:lang w:val="es-US" w:eastAsia="en-PH"/>
        </w:rPr>
      </w:pPr>
      <w:proofErr w:type="spellStart"/>
      <w:r>
        <w:rPr>
          <w:rFonts w:eastAsia="Times New Roman" w:cs="Times New Roman"/>
          <w:sz w:val="24"/>
          <w:szCs w:val="24"/>
          <w:lang w:eastAsia="en-PH"/>
        </w:rPr>
        <w:t>Paynandos</w:t>
      </w:r>
      <w:proofErr w:type="spellEnd"/>
      <w:r>
        <w:rPr>
          <w:rFonts w:eastAsia="Times New Roman" w:cs="Times New Roman"/>
          <w:sz w:val="24"/>
          <w:szCs w:val="24"/>
          <w:lang w:eastAsia="en-PH"/>
        </w:rPr>
        <w:t xml:space="preserve">, K. P., &amp; </w:t>
      </w:r>
      <w:proofErr w:type="spellStart"/>
      <w:r>
        <w:rPr>
          <w:rFonts w:eastAsia="Times New Roman" w:cs="Times New Roman"/>
          <w:sz w:val="24"/>
          <w:szCs w:val="24"/>
          <w:lang w:eastAsia="en-PH"/>
        </w:rPr>
        <w:t>Doronio</w:t>
      </w:r>
      <w:proofErr w:type="spellEnd"/>
      <w:r>
        <w:rPr>
          <w:rFonts w:eastAsia="Times New Roman" w:cs="Times New Roman"/>
          <w:sz w:val="24"/>
          <w:szCs w:val="24"/>
          <w:lang w:eastAsia="en-PH"/>
        </w:rPr>
        <w:t xml:space="preserve">, R. G. (2025). Classroom management approaches in relation to students’ engagement and study habits in mathematics. </w:t>
      </w:r>
      <w:r>
        <w:rPr>
          <w:rFonts w:eastAsia="Times New Roman" w:cs="Times New Roman"/>
          <w:i/>
          <w:iCs/>
          <w:sz w:val="24"/>
          <w:szCs w:val="24"/>
          <w:lang w:eastAsia="en-PH"/>
        </w:rPr>
        <w:t>International Journal of Research and Innovation in Social Science (IJRISS).</w:t>
      </w:r>
      <w:r>
        <w:rPr>
          <w:rFonts w:eastAsia="Times New Roman" w:cs="Times New Roman"/>
          <w:sz w:val="24"/>
          <w:szCs w:val="24"/>
          <w:lang w:eastAsia="en-PH"/>
        </w:rPr>
        <w:t xml:space="preserve"> </w:t>
      </w:r>
      <w:hyperlink r:id="rId27" w:history="1">
        <w:r w:rsidRPr="006C1260">
          <w:rPr>
            <w:rStyle w:val="Hyperlink"/>
            <w:rFonts w:eastAsia="Times New Roman" w:cs="Times New Roman"/>
            <w:color w:val="0000FF"/>
            <w:sz w:val="24"/>
            <w:szCs w:val="24"/>
            <w:lang w:val="es-US" w:eastAsia="en-PH"/>
          </w:rPr>
          <w:t>https://doi.org/10.47772/IJRISS.2025.907000168</w:t>
        </w:r>
      </w:hyperlink>
    </w:p>
    <w:p w14:paraId="3E3696C0" w14:textId="2336A2FE" w:rsidR="00C865B6" w:rsidRDefault="00C865B6" w:rsidP="006A4B98">
      <w:pPr>
        <w:spacing w:before="100" w:beforeAutospacing="1" w:after="100" w:afterAutospacing="1"/>
        <w:ind w:left="720" w:hanging="720"/>
        <w:rPr>
          <w:rFonts w:eastAsia="Times New Roman" w:cs="Times New Roman"/>
          <w:sz w:val="24"/>
          <w:szCs w:val="24"/>
          <w:lang w:eastAsia="en-PH"/>
        </w:rPr>
      </w:pPr>
      <w:proofErr w:type="spellStart"/>
      <w:r w:rsidRPr="006C1260">
        <w:rPr>
          <w:rFonts w:eastAsia="Times New Roman" w:cs="Times New Roman"/>
          <w:sz w:val="24"/>
          <w:szCs w:val="24"/>
          <w:lang w:val="es-US" w:eastAsia="en-PH"/>
        </w:rPr>
        <w:t>Satpathy</w:t>
      </w:r>
      <w:proofErr w:type="spellEnd"/>
      <w:r w:rsidRPr="006C1260">
        <w:rPr>
          <w:rFonts w:eastAsia="Times New Roman" w:cs="Times New Roman"/>
          <w:sz w:val="24"/>
          <w:szCs w:val="24"/>
          <w:lang w:val="es-US" w:eastAsia="en-PH"/>
        </w:rPr>
        <w:t xml:space="preserve">, B., Saha, S., Barman, B., &amp; Roy, P. (2023). </w:t>
      </w:r>
      <w:r>
        <w:rPr>
          <w:rFonts w:eastAsia="Times New Roman" w:cs="Times New Roman"/>
          <w:sz w:val="24"/>
          <w:szCs w:val="24"/>
          <w:lang w:eastAsia="en-PH"/>
        </w:rPr>
        <w:t xml:space="preserve">An introduction to research methods and designs in social sciences. In </w:t>
      </w:r>
      <w:r>
        <w:rPr>
          <w:rFonts w:eastAsia="Times New Roman" w:cs="Times New Roman"/>
          <w:i/>
          <w:iCs/>
          <w:sz w:val="24"/>
          <w:szCs w:val="24"/>
          <w:lang w:eastAsia="en-PH"/>
        </w:rPr>
        <w:t>Advances in Agricultural Research Methodology.</w:t>
      </w:r>
      <w:r>
        <w:rPr>
          <w:rFonts w:eastAsia="Times New Roman" w:cs="Times New Roman"/>
          <w:sz w:val="24"/>
          <w:szCs w:val="24"/>
          <w:lang w:eastAsia="en-PH"/>
        </w:rPr>
        <w:t xml:space="preserve"> Springer. </w:t>
      </w:r>
      <w:r w:rsidR="0034620F" w:rsidRPr="0034620F">
        <w:rPr>
          <w:rFonts w:ascii="Calibri" w:hAnsi="Calibri" w:cs="Calibri"/>
        </w:rPr>
        <w:t>Retrieved from</w:t>
      </w:r>
      <w:r w:rsidR="0034620F" w:rsidRPr="0034620F">
        <w:rPr>
          <w:sz w:val="28"/>
          <w:szCs w:val="28"/>
        </w:rPr>
        <w:t xml:space="preserve"> </w:t>
      </w:r>
      <w:r>
        <w:rPr>
          <w:sz w:val="24"/>
          <w:szCs w:val="24"/>
        </w:rPr>
        <w:t>https://www.researchgate.net/publication/373107746_An_Introduction_to_Research_Methods_and_Designs_in_Social_Sciences</w:t>
      </w:r>
    </w:p>
    <w:p w14:paraId="4F421CFD"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proofErr w:type="spellStart"/>
      <w:r w:rsidRPr="00F10664">
        <w:rPr>
          <w:rFonts w:eastAsia="Times New Roman" w:cs="Times New Roman"/>
          <w:sz w:val="24"/>
          <w:szCs w:val="24"/>
          <w:lang w:val="fr-FR" w:eastAsia="en-PH"/>
        </w:rPr>
        <w:t>Soine</w:t>
      </w:r>
      <w:proofErr w:type="spellEnd"/>
      <w:r w:rsidRPr="00F10664">
        <w:rPr>
          <w:rFonts w:eastAsia="Times New Roman" w:cs="Times New Roman"/>
          <w:sz w:val="24"/>
          <w:szCs w:val="24"/>
          <w:lang w:val="fr-FR" w:eastAsia="en-PH"/>
        </w:rPr>
        <w:t xml:space="preserve">, K. M., &amp; </w:t>
      </w:r>
      <w:proofErr w:type="spellStart"/>
      <w:r w:rsidRPr="00F10664">
        <w:rPr>
          <w:rFonts w:eastAsia="Times New Roman" w:cs="Times New Roman"/>
          <w:sz w:val="24"/>
          <w:szCs w:val="24"/>
          <w:lang w:val="fr-FR" w:eastAsia="en-PH"/>
        </w:rPr>
        <w:t>Lumpe</w:t>
      </w:r>
      <w:proofErr w:type="spellEnd"/>
      <w:r w:rsidRPr="00F10664">
        <w:rPr>
          <w:rFonts w:eastAsia="Times New Roman" w:cs="Times New Roman"/>
          <w:sz w:val="24"/>
          <w:szCs w:val="24"/>
          <w:lang w:val="fr-FR" w:eastAsia="en-PH"/>
        </w:rPr>
        <w:t xml:space="preserve">, A. (2014). </w:t>
      </w:r>
      <w:r>
        <w:rPr>
          <w:rFonts w:eastAsia="Times New Roman" w:cs="Times New Roman"/>
          <w:sz w:val="24"/>
          <w:szCs w:val="24"/>
          <w:lang w:eastAsia="en-PH"/>
        </w:rPr>
        <w:t xml:space="preserve">Measuring characteristics of teacher professional development. </w:t>
      </w:r>
      <w:r>
        <w:rPr>
          <w:rFonts w:eastAsia="Times New Roman" w:cs="Times New Roman"/>
          <w:i/>
          <w:iCs/>
          <w:sz w:val="24"/>
          <w:szCs w:val="24"/>
          <w:lang w:eastAsia="en-PH"/>
        </w:rPr>
        <w:t>Teacher Development, 18</w:t>
      </w:r>
      <w:r>
        <w:rPr>
          <w:rFonts w:eastAsia="Times New Roman" w:cs="Times New Roman"/>
          <w:sz w:val="24"/>
          <w:szCs w:val="24"/>
          <w:lang w:eastAsia="en-PH"/>
        </w:rPr>
        <w:t xml:space="preserve">(3), 303–333. </w:t>
      </w:r>
      <w:hyperlink r:id="rId28" w:history="1">
        <w:r>
          <w:rPr>
            <w:rStyle w:val="Hyperlink"/>
            <w:rFonts w:eastAsia="Times New Roman" w:cs="Times New Roman"/>
            <w:color w:val="0000FF"/>
            <w:sz w:val="24"/>
            <w:szCs w:val="24"/>
            <w:lang w:eastAsia="en-PH"/>
          </w:rPr>
          <w:t>https://doi.org/10.1080/13664530.2014.911775</w:t>
        </w:r>
      </w:hyperlink>
    </w:p>
    <w:p w14:paraId="365EFC90" w14:textId="4552973C"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Winters, K. S. (2022). The impact of classroom management on behavior regulation for students in early childhood and elementary school classrooms (Master’s thesis, Bethel University). Spark Repository. </w:t>
      </w:r>
      <w:r w:rsidR="0034620F" w:rsidRPr="0034620F">
        <w:rPr>
          <w:sz w:val="24"/>
          <w:szCs w:val="24"/>
        </w:rPr>
        <w:t>Retrieved from</w:t>
      </w:r>
      <w:r w:rsidR="0034620F" w:rsidRPr="0034620F">
        <w:rPr>
          <w:sz w:val="28"/>
          <w:szCs w:val="28"/>
        </w:rPr>
        <w:t xml:space="preserve">  </w:t>
      </w:r>
      <w:hyperlink r:id="rId29" w:history="1">
        <w:r w:rsidR="0034620F" w:rsidRPr="005A1890">
          <w:rPr>
            <w:rStyle w:val="Hyperlink"/>
            <w:rFonts w:eastAsia="Times New Roman" w:cs="Times New Roman"/>
            <w:sz w:val="24"/>
            <w:szCs w:val="24"/>
            <w:lang w:eastAsia="en-PH"/>
          </w:rPr>
          <w:t>https://spark.bethel.edu/etd/860</w:t>
        </w:r>
      </w:hyperlink>
    </w:p>
    <w:p w14:paraId="750BF44E"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Woodcock, S., &amp; </w:t>
      </w:r>
      <w:proofErr w:type="spellStart"/>
      <w:r>
        <w:rPr>
          <w:rFonts w:eastAsia="Times New Roman" w:cs="Times New Roman"/>
          <w:sz w:val="24"/>
          <w:szCs w:val="24"/>
          <w:lang w:eastAsia="en-PH"/>
        </w:rPr>
        <w:t>Reupert</w:t>
      </w:r>
      <w:proofErr w:type="spellEnd"/>
      <w:r>
        <w:rPr>
          <w:rFonts w:eastAsia="Times New Roman" w:cs="Times New Roman"/>
          <w:sz w:val="24"/>
          <w:szCs w:val="24"/>
          <w:lang w:eastAsia="en-PH"/>
        </w:rPr>
        <w:t xml:space="preserve">, A. (2023). First-year primary teachers’ classroom management strategies: Perceptions of use, confidence, and effectiveness. </w:t>
      </w:r>
      <w:r>
        <w:rPr>
          <w:rFonts w:eastAsia="Times New Roman" w:cs="Times New Roman"/>
          <w:i/>
          <w:iCs/>
          <w:sz w:val="24"/>
          <w:szCs w:val="24"/>
          <w:lang w:eastAsia="en-PH"/>
        </w:rPr>
        <w:t>Journal of Education for Teaching, 50</w:t>
      </w:r>
      <w:r>
        <w:rPr>
          <w:rFonts w:eastAsia="Times New Roman" w:cs="Times New Roman"/>
          <w:sz w:val="24"/>
          <w:szCs w:val="24"/>
          <w:lang w:eastAsia="en-PH"/>
        </w:rPr>
        <w:t xml:space="preserve">(1), 90–106. </w:t>
      </w:r>
      <w:hyperlink r:id="rId30" w:history="1">
        <w:r>
          <w:rPr>
            <w:rStyle w:val="Hyperlink"/>
            <w:rFonts w:eastAsia="Times New Roman" w:cs="Times New Roman"/>
            <w:color w:val="0000FF"/>
            <w:sz w:val="24"/>
            <w:szCs w:val="24"/>
            <w:lang w:eastAsia="en-PH"/>
          </w:rPr>
          <w:t>https://doi.org/10.1080/02607476.2023.2219218</w:t>
        </w:r>
      </w:hyperlink>
    </w:p>
    <w:p w14:paraId="66A845ED"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lastRenderedPageBreak/>
        <w:t xml:space="preserve">Zhan, Q., Wang, X., &amp; Song, H. (2023). The relationship between principals’ instructional leadership and teacher retention in the undeveloped regions of Central and Western China: The chain mediating role of role stress and affective commitment. </w:t>
      </w:r>
      <w:r>
        <w:rPr>
          <w:rFonts w:eastAsia="Times New Roman" w:cs="Times New Roman"/>
          <w:i/>
          <w:iCs/>
          <w:sz w:val="24"/>
          <w:szCs w:val="24"/>
          <w:lang w:eastAsia="en-PH"/>
        </w:rPr>
        <w:t>Behavioral Sciences, 13</w:t>
      </w:r>
      <w:r>
        <w:rPr>
          <w:rFonts w:eastAsia="Times New Roman" w:cs="Times New Roman"/>
          <w:sz w:val="24"/>
          <w:szCs w:val="24"/>
          <w:lang w:eastAsia="en-PH"/>
        </w:rPr>
        <w:t xml:space="preserve">(9), 738. </w:t>
      </w:r>
      <w:hyperlink r:id="rId31" w:history="1">
        <w:r>
          <w:rPr>
            <w:rStyle w:val="Hyperlink"/>
            <w:rFonts w:eastAsia="Times New Roman" w:cs="Times New Roman"/>
            <w:color w:val="0000FF"/>
            <w:sz w:val="24"/>
            <w:szCs w:val="24"/>
            <w:lang w:eastAsia="en-PH"/>
          </w:rPr>
          <w:t>https://doi.org/10.3390/bs13090738</w:t>
        </w:r>
      </w:hyperlink>
    </w:p>
    <w:p w14:paraId="608F7D06" w14:textId="77777777" w:rsidR="00C865B6" w:rsidRDefault="00C865B6" w:rsidP="006A4B98">
      <w:pPr>
        <w:spacing w:before="100" w:beforeAutospacing="1" w:after="100" w:afterAutospacing="1"/>
        <w:ind w:left="720" w:hanging="720"/>
        <w:rPr>
          <w:rFonts w:eastAsia="Times New Roman" w:cs="Times New Roman"/>
          <w:sz w:val="24"/>
          <w:szCs w:val="24"/>
          <w:lang w:eastAsia="en-PH"/>
        </w:rPr>
      </w:pPr>
      <w:r>
        <w:rPr>
          <w:rFonts w:eastAsia="Times New Roman" w:cs="Times New Roman"/>
          <w:sz w:val="24"/>
          <w:szCs w:val="24"/>
          <w:lang w:eastAsia="en-PH"/>
        </w:rPr>
        <w:t xml:space="preserve">Zhang, N. Y., Siaw, Y.-L., &amp; Jiang, N. (2025). The relationship between principal instructional leadership and teacher self-efficacy in student engagement and classroom management: A cross-sectional study in China. </w:t>
      </w:r>
      <w:r>
        <w:rPr>
          <w:rFonts w:eastAsia="Times New Roman" w:cs="Times New Roman"/>
          <w:i/>
          <w:iCs/>
          <w:sz w:val="24"/>
          <w:szCs w:val="24"/>
          <w:lang w:eastAsia="en-PH"/>
        </w:rPr>
        <w:t>Frontiers in Psychology, 16</w:t>
      </w:r>
      <w:r>
        <w:rPr>
          <w:rFonts w:eastAsia="Times New Roman" w:cs="Times New Roman"/>
          <w:sz w:val="24"/>
          <w:szCs w:val="24"/>
          <w:lang w:eastAsia="en-PH"/>
        </w:rPr>
        <w:t xml:space="preserve">, 1589958. </w:t>
      </w:r>
      <w:hyperlink r:id="rId32" w:history="1">
        <w:r>
          <w:rPr>
            <w:rStyle w:val="Hyperlink"/>
            <w:rFonts w:eastAsia="Times New Roman" w:cs="Times New Roman"/>
            <w:color w:val="0000FF"/>
            <w:sz w:val="24"/>
            <w:szCs w:val="24"/>
            <w:lang w:eastAsia="en-PH"/>
          </w:rPr>
          <w:t>https://doi.org/10.3389/fpsyg.2025.1589958</w:t>
        </w:r>
      </w:hyperlink>
    </w:p>
    <w:p w14:paraId="7BBC268B" w14:textId="77777777" w:rsidR="00C865B6" w:rsidRDefault="00C865B6" w:rsidP="006A4B98">
      <w:pPr>
        <w:ind w:left="720" w:hanging="720"/>
        <w:rPr>
          <w:rFonts w:eastAsia="Cambria" w:cs="Cambria"/>
        </w:rPr>
      </w:pPr>
    </w:p>
    <w:p w14:paraId="5F3179F3" w14:textId="77777777" w:rsidR="00C865B6" w:rsidRDefault="00C865B6" w:rsidP="006A4B98">
      <w:pPr>
        <w:pStyle w:val="Heading1"/>
        <w:spacing w:before="91"/>
        <w:ind w:left="720" w:hanging="720"/>
        <w:jc w:val="left"/>
        <w:rPr>
          <w:sz w:val="24"/>
          <w:szCs w:val="24"/>
        </w:rPr>
      </w:pPr>
    </w:p>
    <w:p w14:paraId="722D1257" w14:textId="77777777" w:rsidR="00C865B6" w:rsidRDefault="00C865B6" w:rsidP="006A4B98">
      <w:pPr>
        <w:ind w:left="720" w:hanging="720"/>
      </w:pPr>
    </w:p>
    <w:sectPr w:rsidR="00C865B6" w:rsidSect="001D3BA0">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982BF" w14:textId="77777777" w:rsidR="000E7313" w:rsidRDefault="000E7313" w:rsidP="0068306E">
      <w:pPr>
        <w:spacing w:after="0" w:line="240" w:lineRule="auto"/>
      </w:pPr>
      <w:r>
        <w:separator/>
      </w:r>
    </w:p>
  </w:endnote>
  <w:endnote w:type="continuationSeparator" w:id="0">
    <w:p w14:paraId="4C27221D" w14:textId="77777777" w:rsidR="000E7313" w:rsidRDefault="000E7313" w:rsidP="0068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E4D7D" w14:textId="77777777" w:rsidR="0068306E" w:rsidRDefault="00683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994E" w14:textId="77777777" w:rsidR="0068306E" w:rsidRDefault="00683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C5557" w14:textId="77777777" w:rsidR="0068306E" w:rsidRDefault="00683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C660D" w14:textId="77777777" w:rsidR="000E7313" w:rsidRDefault="000E7313" w:rsidP="0068306E">
      <w:pPr>
        <w:spacing w:after="0" w:line="240" w:lineRule="auto"/>
      </w:pPr>
      <w:r>
        <w:separator/>
      </w:r>
    </w:p>
  </w:footnote>
  <w:footnote w:type="continuationSeparator" w:id="0">
    <w:p w14:paraId="07800B3E" w14:textId="77777777" w:rsidR="000E7313" w:rsidRDefault="000E7313" w:rsidP="0068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C0F27" w14:textId="10027D6E" w:rsidR="0068306E" w:rsidRDefault="000E7313">
    <w:pPr>
      <w:pStyle w:val="Header"/>
    </w:pPr>
    <w:r>
      <w:rPr>
        <w:noProof/>
      </w:rPr>
      <w:pict w14:anchorId="0A7A4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27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B293" w14:textId="10ED3C98" w:rsidR="0068306E" w:rsidRDefault="000E7313">
    <w:pPr>
      <w:pStyle w:val="Header"/>
    </w:pPr>
    <w:r>
      <w:rPr>
        <w:noProof/>
      </w:rPr>
      <w:pict w14:anchorId="21E95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27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D197D" w14:textId="705479FD" w:rsidR="0068306E" w:rsidRDefault="000E7313">
    <w:pPr>
      <w:pStyle w:val="Header"/>
    </w:pPr>
    <w:r>
      <w:rPr>
        <w:noProof/>
      </w:rPr>
      <w:pict w14:anchorId="6AFC6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27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1F6A"/>
    <w:multiLevelType w:val="hybridMultilevel"/>
    <w:tmpl w:val="DE167C4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6B62861"/>
    <w:multiLevelType w:val="hybridMultilevel"/>
    <w:tmpl w:val="B3961C7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420D3074"/>
    <w:multiLevelType w:val="hybridMultilevel"/>
    <w:tmpl w:val="1232887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73D21A07"/>
    <w:multiLevelType w:val="hybridMultilevel"/>
    <w:tmpl w:val="441A2DEE"/>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1MTAwNLcwMLQ0tTBT0lEKTi0uzszPAykwqgUAKv3z+ywAAAA="/>
  </w:docVars>
  <w:rsids>
    <w:rsidRoot w:val="001D3BA0"/>
    <w:rsid w:val="0002027E"/>
    <w:rsid w:val="000B71F0"/>
    <w:rsid w:val="000D2D81"/>
    <w:rsid w:val="000E7313"/>
    <w:rsid w:val="001B602B"/>
    <w:rsid w:val="001C77FF"/>
    <w:rsid w:val="001D3BA0"/>
    <w:rsid w:val="001F2691"/>
    <w:rsid w:val="0020276C"/>
    <w:rsid w:val="002065C5"/>
    <w:rsid w:val="00266416"/>
    <w:rsid w:val="002B6C1E"/>
    <w:rsid w:val="002E2448"/>
    <w:rsid w:val="002F6E49"/>
    <w:rsid w:val="00327BB1"/>
    <w:rsid w:val="0034620F"/>
    <w:rsid w:val="00347D60"/>
    <w:rsid w:val="00371EBE"/>
    <w:rsid w:val="00391CCD"/>
    <w:rsid w:val="003E32E2"/>
    <w:rsid w:val="003F6598"/>
    <w:rsid w:val="0040384D"/>
    <w:rsid w:val="0040778A"/>
    <w:rsid w:val="00461484"/>
    <w:rsid w:val="00486CE7"/>
    <w:rsid w:val="00497797"/>
    <w:rsid w:val="00497C58"/>
    <w:rsid w:val="004A5FD4"/>
    <w:rsid w:val="004D4408"/>
    <w:rsid w:val="004D52E7"/>
    <w:rsid w:val="005062BF"/>
    <w:rsid w:val="0068306E"/>
    <w:rsid w:val="0068361A"/>
    <w:rsid w:val="006A4B98"/>
    <w:rsid w:val="006C1260"/>
    <w:rsid w:val="006E44BA"/>
    <w:rsid w:val="0070029E"/>
    <w:rsid w:val="00706D27"/>
    <w:rsid w:val="00743556"/>
    <w:rsid w:val="007452D1"/>
    <w:rsid w:val="007B1B24"/>
    <w:rsid w:val="007F58FF"/>
    <w:rsid w:val="00802945"/>
    <w:rsid w:val="00855D9A"/>
    <w:rsid w:val="00877A62"/>
    <w:rsid w:val="00896B5A"/>
    <w:rsid w:val="008B0161"/>
    <w:rsid w:val="008B0BF1"/>
    <w:rsid w:val="00964F3C"/>
    <w:rsid w:val="009A6F52"/>
    <w:rsid w:val="009F6D76"/>
    <w:rsid w:val="00A14BD6"/>
    <w:rsid w:val="00AF5B0F"/>
    <w:rsid w:val="00B114B4"/>
    <w:rsid w:val="00B44A7C"/>
    <w:rsid w:val="00C42FA4"/>
    <w:rsid w:val="00C47C65"/>
    <w:rsid w:val="00C6149F"/>
    <w:rsid w:val="00C865B6"/>
    <w:rsid w:val="00CA6C56"/>
    <w:rsid w:val="00CF0061"/>
    <w:rsid w:val="00D4228F"/>
    <w:rsid w:val="00D464C8"/>
    <w:rsid w:val="00D86290"/>
    <w:rsid w:val="00DA04A0"/>
    <w:rsid w:val="00DA300B"/>
    <w:rsid w:val="00DE5E8F"/>
    <w:rsid w:val="00E14453"/>
    <w:rsid w:val="00E66881"/>
    <w:rsid w:val="00E705F7"/>
    <w:rsid w:val="00ED2051"/>
    <w:rsid w:val="00F10664"/>
    <w:rsid w:val="00F56E91"/>
    <w:rsid w:val="00F7114B"/>
    <w:rsid w:val="00F72D51"/>
    <w:rsid w:val="00FA078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53D1E8"/>
  <w15:chartTrackingRefBased/>
  <w15:docId w15:val="{7A748630-0690-4EE1-9F27-C5C9C472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BA0"/>
    <w:pPr>
      <w:spacing w:line="256" w:lineRule="auto"/>
    </w:pPr>
    <w:rPr>
      <w:lang w:val="en-US"/>
    </w:rPr>
  </w:style>
  <w:style w:type="paragraph" w:styleId="Heading1">
    <w:name w:val="heading 1"/>
    <w:basedOn w:val="Normal"/>
    <w:link w:val="Heading1Char"/>
    <w:uiPriority w:val="9"/>
    <w:qFormat/>
    <w:rsid w:val="00C865B6"/>
    <w:pPr>
      <w:widowControl w:val="0"/>
      <w:autoSpaceDE w:val="0"/>
      <w:autoSpaceDN w:val="0"/>
      <w:spacing w:after="0" w:line="240" w:lineRule="auto"/>
      <w:ind w:left="7"/>
      <w:jc w:val="center"/>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D3BA0"/>
    <w:pPr>
      <w:widowControl w:val="0"/>
      <w:autoSpaceDE w:val="0"/>
      <w:autoSpaceDN w:val="0"/>
      <w:spacing w:after="0" w:line="240" w:lineRule="auto"/>
      <w:ind w:left="360"/>
    </w:pPr>
    <w:rPr>
      <w:rFonts w:ascii="Cambria" w:eastAsia="Cambria" w:hAnsi="Cambria" w:cs="Cambria"/>
      <w:sz w:val="24"/>
      <w:szCs w:val="24"/>
    </w:rPr>
  </w:style>
  <w:style w:type="character" w:customStyle="1" w:styleId="BodyTextChar">
    <w:name w:val="Body Text Char"/>
    <w:basedOn w:val="DefaultParagraphFont"/>
    <w:link w:val="BodyText"/>
    <w:uiPriority w:val="1"/>
    <w:rsid w:val="001D3BA0"/>
    <w:rPr>
      <w:rFonts w:ascii="Cambria" w:eastAsia="Cambria" w:hAnsi="Cambria" w:cs="Cambria"/>
      <w:sz w:val="24"/>
      <w:szCs w:val="24"/>
      <w:lang w:val="en-US"/>
    </w:rPr>
  </w:style>
  <w:style w:type="table" w:styleId="TableGrid">
    <w:name w:val="Table Grid"/>
    <w:basedOn w:val="TableNormal"/>
    <w:uiPriority w:val="39"/>
    <w:qFormat/>
    <w:rsid w:val="001D3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BA0"/>
    <w:pPr>
      <w:spacing w:line="259" w:lineRule="auto"/>
      <w:ind w:left="720"/>
      <w:contextualSpacing/>
    </w:pPr>
  </w:style>
  <w:style w:type="character" w:customStyle="1" w:styleId="Heading1Char">
    <w:name w:val="Heading 1 Char"/>
    <w:basedOn w:val="DefaultParagraphFont"/>
    <w:link w:val="Heading1"/>
    <w:uiPriority w:val="9"/>
    <w:rsid w:val="00C865B6"/>
    <w:rPr>
      <w:rFonts w:ascii="Cambria" w:eastAsia="Cambria" w:hAnsi="Cambria" w:cs="Cambria"/>
      <w:b/>
      <w:bCs/>
      <w:sz w:val="32"/>
      <w:szCs w:val="32"/>
      <w:lang w:val="en-US"/>
    </w:rPr>
  </w:style>
  <w:style w:type="character" w:styleId="Hyperlink">
    <w:name w:val="Hyperlink"/>
    <w:basedOn w:val="DefaultParagraphFont"/>
    <w:uiPriority w:val="99"/>
    <w:unhideWhenUsed/>
    <w:qFormat/>
    <w:rsid w:val="00C865B6"/>
    <w:rPr>
      <w:color w:val="0563C1" w:themeColor="hyperlink"/>
      <w:u w:val="single"/>
    </w:rPr>
  </w:style>
  <w:style w:type="character" w:customStyle="1" w:styleId="UnresolvedMention1">
    <w:name w:val="Unresolved Mention1"/>
    <w:basedOn w:val="DefaultParagraphFont"/>
    <w:uiPriority w:val="99"/>
    <w:semiHidden/>
    <w:unhideWhenUsed/>
    <w:rsid w:val="00C6149F"/>
    <w:rPr>
      <w:color w:val="605E5C"/>
      <w:shd w:val="clear" w:color="auto" w:fill="E1DFDD"/>
    </w:rPr>
  </w:style>
  <w:style w:type="paragraph" w:styleId="Header">
    <w:name w:val="header"/>
    <w:basedOn w:val="Normal"/>
    <w:link w:val="HeaderChar"/>
    <w:uiPriority w:val="99"/>
    <w:unhideWhenUsed/>
    <w:rsid w:val="00683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06E"/>
    <w:rPr>
      <w:lang w:val="en-US"/>
    </w:rPr>
  </w:style>
  <w:style w:type="paragraph" w:styleId="Footer">
    <w:name w:val="footer"/>
    <w:basedOn w:val="Normal"/>
    <w:link w:val="FooterChar"/>
    <w:uiPriority w:val="99"/>
    <w:unhideWhenUsed/>
    <w:rsid w:val="00683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06E"/>
    <w:rPr>
      <w:lang w:val="en-US"/>
    </w:rPr>
  </w:style>
  <w:style w:type="paragraph" w:styleId="NormalWeb">
    <w:name w:val="Normal (Web)"/>
    <w:basedOn w:val="Normal"/>
    <w:uiPriority w:val="99"/>
    <w:unhideWhenUsed/>
    <w:rsid w:val="009F6D76"/>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styleId="Emphasis">
    <w:name w:val="Emphasis"/>
    <w:basedOn w:val="DefaultParagraphFont"/>
    <w:uiPriority w:val="20"/>
    <w:qFormat/>
    <w:rsid w:val="0040778A"/>
    <w:rPr>
      <w:i/>
      <w:iCs/>
    </w:rPr>
  </w:style>
  <w:style w:type="character" w:customStyle="1" w:styleId="whitespace-normal">
    <w:name w:val="whitespace-normal"/>
    <w:basedOn w:val="DefaultParagraphFont"/>
    <w:rsid w:val="0040778A"/>
  </w:style>
  <w:style w:type="character" w:styleId="Strong">
    <w:name w:val="Strong"/>
    <w:basedOn w:val="DefaultParagraphFont"/>
    <w:uiPriority w:val="22"/>
    <w:qFormat/>
    <w:rsid w:val="00C42F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043261">
      <w:bodyDiv w:val="1"/>
      <w:marLeft w:val="0"/>
      <w:marRight w:val="0"/>
      <w:marTop w:val="0"/>
      <w:marBottom w:val="0"/>
      <w:divBdr>
        <w:top w:val="none" w:sz="0" w:space="0" w:color="auto"/>
        <w:left w:val="none" w:sz="0" w:space="0" w:color="auto"/>
        <w:bottom w:val="none" w:sz="0" w:space="0" w:color="auto"/>
        <w:right w:val="none" w:sz="0" w:space="0" w:color="auto"/>
      </w:divBdr>
      <w:divsChild>
        <w:div w:id="481045407">
          <w:marLeft w:val="0"/>
          <w:marRight w:val="0"/>
          <w:marTop w:val="0"/>
          <w:marBottom w:val="0"/>
          <w:divBdr>
            <w:top w:val="none" w:sz="0" w:space="0" w:color="auto"/>
            <w:left w:val="none" w:sz="0" w:space="0" w:color="auto"/>
            <w:bottom w:val="none" w:sz="0" w:space="0" w:color="auto"/>
            <w:right w:val="none" w:sz="0" w:space="0" w:color="auto"/>
          </w:divBdr>
          <w:divsChild>
            <w:div w:id="2000377776">
              <w:marLeft w:val="0"/>
              <w:marRight w:val="0"/>
              <w:marTop w:val="0"/>
              <w:marBottom w:val="0"/>
              <w:divBdr>
                <w:top w:val="none" w:sz="0" w:space="0" w:color="auto"/>
                <w:left w:val="none" w:sz="0" w:space="0" w:color="auto"/>
                <w:bottom w:val="none" w:sz="0" w:space="0" w:color="auto"/>
                <w:right w:val="none" w:sz="0" w:space="0" w:color="auto"/>
              </w:divBdr>
              <w:divsChild>
                <w:div w:id="379600830">
                  <w:marLeft w:val="0"/>
                  <w:marRight w:val="0"/>
                  <w:marTop w:val="0"/>
                  <w:marBottom w:val="0"/>
                  <w:divBdr>
                    <w:top w:val="none" w:sz="0" w:space="0" w:color="auto"/>
                    <w:left w:val="none" w:sz="0" w:space="0" w:color="auto"/>
                    <w:bottom w:val="none" w:sz="0" w:space="0" w:color="auto"/>
                    <w:right w:val="none" w:sz="0" w:space="0" w:color="auto"/>
                  </w:divBdr>
                  <w:divsChild>
                    <w:div w:id="1770000449">
                      <w:marLeft w:val="0"/>
                      <w:marRight w:val="0"/>
                      <w:marTop w:val="0"/>
                      <w:marBottom w:val="0"/>
                      <w:divBdr>
                        <w:top w:val="none" w:sz="0" w:space="0" w:color="auto"/>
                        <w:left w:val="none" w:sz="0" w:space="0" w:color="auto"/>
                        <w:bottom w:val="none" w:sz="0" w:space="0" w:color="auto"/>
                        <w:right w:val="none" w:sz="0" w:space="0" w:color="auto"/>
                      </w:divBdr>
                      <w:divsChild>
                        <w:div w:id="1829127916">
                          <w:marLeft w:val="0"/>
                          <w:marRight w:val="0"/>
                          <w:marTop w:val="0"/>
                          <w:marBottom w:val="0"/>
                          <w:divBdr>
                            <w:top w:val="none" w:sz="0" w:space="0" w:color="auto"/>
                            <w:left w:val="none" w:sz="0" w:space="0" w:color="auto"/>
                            <w:bottom w:val="none" w:sz="0" w:space="0" w:color="auto"/>
                            <w:right w:val="none" w:sz="0" w:space="0" w:color="auto"/>
                          </w:divBdr>
                          <w:divsChild>
                            <w:div w:id="1555509301">
                              <w:marLeft w:val="0"/>
                              <w:marRight w:val="0"/>
                              <w:marTop w:val="0"/>
                              <w:marBottom w:val="0"/>
                              <w:divBdr>
                                <w:top w:val="none" w:sz="0" w:space="0" w:color="auto"/>
                                <w:left w:val="none" w:sz="0" w:space="0" w:color="auto"/>
                                <w:bottom w:val="none" w:sz="0" w:space="0" w:color="auto"/>
                                <w:right w:val="none" w:sz="0" w:space="0" w:color="auto"/>
                              </w:divBdr>
                              <w:divsChild>
                                <w:div w:id="17442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418735">
      <w:bodyDiv w:val="1"/>
      <w:marLeft w:val="0"/>
      <w:marRight w:val="0"/>
      <w:marTop w:val="0"/>
      <w:marBottom w:val="0"/>
      <w:divBdr>
        <w:top w:val="none" w:sz="0" w:space="0" w:color="auto"/>
        <w:left w:val="none" w:sz="0" w:space="0" w:color="auto"/>
        <w:bottom w:val="none" w:sz="0" w:space="0" w:color="auto"/>
        <w:right w:val="none" w:sz="0" w:space="0" w:color="auto"/>
      </w:divBdr>
      <w:divsChild>
        <w:div w:id="669673737">
          <w:marLeft w:val="0"/>
          <w:marRight w:val="0"/>
          <w:marTop w:val="0"/>
          <w:marBottom w:val="0"/>
          <w:divBdr>
            <w:top w:val="none" w:sz="0" w:space="0" w:color="auto"/>
            <w:left w:val="none" w:sz="0" w:space="0" w:color="auto"/>
            <w:bottom w:val="none" w:sz="0" w:space="0" w:color="auto"/>
            <w:right w:val="none" w:sz="0" w:space="0" w:color="auto"/>
          </w:divBdr>
          <w:divsChild>
            <w:div w:id="1320234238">
              <w:marLeft w:val="0"/>
              <w:marRight w:val="0"/>
              <w:marTop w:val="0"/>
              <w:marBottom w:val="0"/>
              <w:divBdr>
                <w:top w:val="none" w:sz="0" w:space="0" w:color="auto"/>
                <w:left w:val="none" w:sz="0" w:space="0" w:color="auto"/>
                <w:bottom w:val="none" w:sz="0" w:space="0" w:color="auto"/>
                <w:right w:val="none" w:sz="0" w:space="0" w:color="auto"/>
              </w:divBdr>
              <w:divsChild>
                <w:div w:id="388774731">
                  <w:marLeft w:val="0"/>
                  <w:marRight w:val="0"/>
                  <w:marTop w:val="0"/>
                  <w:marBottom w:val="0"/>
                  <w:divBdr>
                    <w:top w:val="none" w:sz="0" w:space="0" w:color="auto"/>
                    <w:left w:val="none" w:sz="0" w:space="0" w:color="auto"/>
                    <w:bottom w:val="none" w:sz="0" w:space="0" w:color="auto"/>
                    <w:right w:val="none" w:sz="0" w:space="0" w:color="auto"/>
                  </w:divBdr>
                  <w:divsChild>
                    <w:div w:id="1727754635">
                      <w:marLeft w:val="0"/>
                      <w:marRight w:val="0"/>
                      <w:marTop w:val="0"/>
                      <w:marBottom w:val="0"/>
                      <w:divBdr>
                        <w:top w:val="none" w:sz="0" w:space="0" w:color="auto"/>
                        <w:left w:val="none" w:sz="0" w:space="0" w:color="auto"/>
                        <w:bottom w:val="none" w:sz="0" w:space="0" w:color="auto"/>
                        <w:right w:val="none" w:sz="0" w:space="0" w:color="auto"/>
                      </w:divBdr>
                      <w:divsChild>
                        <w:div w:id="1820804320">
                          <w:marLeft w:val="0"/>
                          <w:marRight w:val="0"/>
                          <w:marTop w:val="0"/>
                          <w:marBottom w:val="0"/>
                          <w:divBdr>
                            <w:top w:val="none" w:sz="0" w:space="0" w:color="auto"/>
                            <w:left w:val="none" w:sz="0" w:space="0" w:color="auto"/>
                            <w:bottom w:val="none" w:sz="0" w:space="0" w:color="auto"/>
                            <w:right w:val="none" w:sz="0" w:space="0" w:color="auto"/>
                          </w:divBdr>
                          <w:divsChild>
                            <w:div w:id="1422264520">
                              <w:marLeft w:val="0"/>
                              <w:marRight w:val="0"/>
                              <w:marTop w:val="0"/>
                              <w:marBottom w:val="0"/>
                              <w:divBdr>
                                <w:top w:val="none" w:sz="0" w:space="0" w:color="auto"/>
                                <w:left w:val="none" w:sz="0" w:space="0" w:color="auto"/>
                                <w:bottom w:val="none" w:sz="0" w:space="0" w:color="auto"/>
                                <w:right w:val="none" w:sz="0" w:space="0" w:color="auto"/>
                              </w:divBdr>
                              <w:divsChild>
                                <w:div w:id="3630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836260">
      <w:bodyDiv w:val="1"/>
      <w:marLeft w:val="0"/>
      <w:marRight w:val="0"/>
      <w:marTop w:val="0"/>
      <w:marBottom w:val="0"/>
      <w:divBdr>
        <w:top w:val="none" w:sz="0" w:space="0" w:color="auto"/>
        <w:left w:val="none" w:sz="0" w:space="0" w:color="auto"/>
        <w:bottom w:val="none" w:sz="0" w:space="0" w:color="auto"/>
        <w:right w:val="none" w:sz="0" w:space="0" w:color="auto"/>
      </w:divBdr>
    </w:div>
    <w:div w:id="1374967590">
      <w:bodyDiv w:val="1"/>
      <w:marLeft w:val="0"/>
      <w:marRight w:val="0"/>
      <w:marTop w:val="0"/>
      <w:marBottom w:val="0"/>
      <w:divBdr>
        <w:top w:val="none" w:sz="0" w:space="0" w:color="auto"/>
        <w:left w:val="none" w:sz="0" w:space="0" w:color="auto"/>
        <w:bottom w:val="none" w:sz="0" w:space="0" w:color="auto"/>
        <w:right w:val="none" w:sz="0" w:space="0" w:color="auto"/>
      </w:divBdr>
      <w:divsChild>
        <w:div w:id="1942107302">
          <w:marLeft w:val="0"/>
          <w:marRight w:val="0"/>
          <w:marTop w:val="0"/>
          <w:marBottom w:val="0"/>
          <w:divBdr>
            <w:top w:val="none" w:sz="0" w:space="0" w:color="auto"/>
            <w:left w:val="none" w:sz="0" w:space="0" w:color="auto"/>
            <w:bottom w:val="none" w:sz="0" w:space="0" w:color="auto"/>
            <w:right w:val="none" w:sz="0" w:space="0" w:color="auto"/>
          </w:divBdr>
          <w:divsChild>
            <w:div w:id="2031568677">
              <w:marLeft w:val="0"/>
              <w:marRight w:val="0"/>
              <w:marTop w:val="0"/>
              <w:marBottom w:val="0"/>
              <w:divBdr>
                <w:top w:val="none" w:sz="0" w:space="0" w:color="auto"/>
                <w:left w:val="none" w:sz="0" w:space="0" w:color="auto"/>
                <w:bottom w:val="none" w:sz="0" w:space="0" w:color="auto"/>
                <w:right w:val="none" w:sz="0" w:space="0" w:color="auto"/>
              </w:divBdr>
              <w:divsChild>
                <w:div w:id="109206331">
                  <w:marLeft w:val="0"/>
                  <w:marRight w:val="0"/>
                  <w:marTop w:val="0"/>
                  <w:marBottom w:val="0"/>
                  <w:divBdr>
                    <w:top w:val="none" w:sz="0" w:space="0" w:color="auto"/>
                    <w:left w:val="none" w:sz="0" w:space="0" w:color="auto"/>
                    <w:bottom w:val="none" w:sz="0" w:space="0" w:color="auto"/>
                    <w:right w:val="none" w:sz="0" w:space="0" w:color="auto"/>
                  </w:divBdr>
                  <w:divsChild>
                    <w:div w:id="934745123">
                      <w:marLeft w:val="0"/>
                      <w:marRight w:val="0"/>
                      <w:marTop w:val="0"/>
                      <w:marBottom w:val="0"/>
                      <w:divBdr>
                        <w:top w:val="none" w:sz="0" w:space="0" w:color="auto"/>
                        <w:left w:val="none" w:sz="0" w:space="0" w:color="auto"/>
                        <w:bottom w:val="none" w:sz="0" w:space="0" w:color="auto"/>
                        <w:right w:val="none" w:sz="0" w:space="0" w:color="auto"/>
                      </w:divBdr>
                      <w:divsChild>
                        <w:div w:id="1225526131">
                          <w:marLeft w:val="0"/>
                          <w:marRight w:val="0"/>
                          <w:marTop w:val="0"/>
                          <w:marBottom w:val="0"/>
                          <w:divBdr>
                            <w:top w:val="none" w:sz="0" w:space="0" w:color="auto"/>
                            <w:left w:val="none" w:sz="0" w:space="0" w:color="auto"/>
                            <w:bottom w:val="none" w:sz="0" w:space="0" w:color="auto"/>
                            <w:right w:val="none" w:sz="0" w:space="0" w:color="auto"/>
                          </w:divBdr>
                          <w:divsChild>
                            <w:div w:id="1540052693">
                              <w:marLeft w:val="0"/>
                              <w:marRight w:val="0"/>
                              <w:marTop w:val="0"/>
                              <w:marBottom w:val="0"/>
                              <w:divBdr>
                                <w:top w:val="none" w:sz="0" w:space="0" w:color="auto"/>
                                <w:left w:val="none" w:sz="0" w:space="0" w:color="auto"/>
                                <w:bottom w:val="none" w:sz="0" w:space="0" w:color="auto"/>
                                <w:right w:val="none" w:sz="0" w:space="0" w:color="auto"/>
                              </w:divBdr>
                              <w:divsChild>
                                <w:div w:id="299117633">
                                  <w:marLeft w:val="0"/>
                                  <w:marRight w:val="0"/>
                                  <w:marTop w:val="0"/>
                                  <w:marBottom w:val="0"/>
                                  <w:divBdr>
                                    <w:top w:val="none" w:sz="0" w:space="0" w:color="auto"/>
                                    <w:left w:val="none" w:sz="0" w:space="0" w:color="auto"/>
                                    <w:bottom w:val="none" w:sz="0" w:space="0" w:color="auto"/>
                                    <w:right w:val="none" w:sz="0" w:space="0" w:color="auto"/>
                                  </w:divBdr>
                                  <w:divsChild>
                                    <w:div w:id="76558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351313">
      <w:bodyDiv w:val="1"/>
      <w:marLeft w:val="0"/>
      <w:marRight w:val="0"/>
      <w:marTop w:val="0"/>
      <w:marBottom w:val="0"/>
      <w:divBdr>
        <w:top w:val="none" w:sz="0" w:space="0" w:color="auto"/>
        <w:left w:val="none" w:sz="0" w:space="0" w:color="auto"/>
        <w:bottom w:val="none" w:sz="0" w:space="0" w:color="auto"/>
        <w:right w:val="none" w:sz="0" w:space="0" w:color="auto"/>
      </w:divBdr>
    </w:div>
    <w:div w:id="1562474485">
      <w:bodyDiv w:val="1"/>
      <w:marLeft w:val="0"/>
      <w:marRight w:val="0"/>
      <w:marTop w:val="0"/>
      <w:marBottom w:val="0"/>
      <w:divBdr>
        <w:top w:val="none" w:sz="0" w:space="0" w:color="auto"/>
        <w:left w:val="none" w:sz="0" w:space="0" w:color="auto"/>
        <w:bottom w:val="none" w:sz="0" w:space="0" w:color="auto"/>
        <w:right w:val="none" w:sz="0" w:space="0" w:color="auto"/>
      </w:divBdr>
    </w:div>
    <w:div w:id="1892884298">
      <w:bodyDiv w:val="1"/>
      <w:marLeft w:val="0"/>
      <w:marRight w:val="0"/>
      <w:marTop w:val="0"/>
      <w:marBottom w:val="0"/>
      <w:divBdr>
        <w:top w:val="none" w:sz="0" w:space="0" w:color="auto"/>
        <w:left w:val="none" w:sz="0" w:space="0" w:color="auto"/>
        <w:bottom w:val="none" w:sz="0" w:space="0" w:color="auto"/>
        <w:right w:val="none" w:sz="0" w:space="0" w:color="auto"/>
      </w:divBdr>
    </w:div>
    <w:div w:id="2080322567">
      <w:bodyDiv w:val="1"/>
      <w:marLeft w:val="0"/>
      <w:marRight w:val="0"/>
      <w:marTop w:val="0"/>
      <w:marBottom w:val="0"/>
      <w:divBdr>
        <w:top w:val="none" w:sz="0" w:space="0" w:color="auto"/>
        <w:left w:val="none" w:sz="0" w:space="0" w:color="auto"/>
        <w:bottom w:val="none" w:sz="0" w:space="0" w:color="auto"/>
        <w:right w:val="none" w:sz="0" w:space="0" w:color="auto"/>
      </w:divBdr>
      <w:divsChild>
        <w:div w:id="1876383596">
          <w:marLeft w:val="0"/>
          <w:marRight w:val="0"/>
          <w:marTop w:val="0"/>
          <w:marBottom w:val="0"/>
          <w:divBdr>
            <w:top w:val="none" w:sz="0" w:space="0" w:color="auto"/>
            <w:left w:val="none" w:sz="0" w:space="0" w:color="auto"/>
            <w:bottom w:val="none" w:sz="0" w:space="0" w:color="auto"/>
            <w:right w:val="none" w:sz="0" w:space="0" w:color="auto"/>
          </w:divBdr>
          <w:divsChild>
            <w:div w:id="354381751">
              <w:marLeft w:val="0"/>
              <w:marRight w:val="0"/>
              <w:marTop w:val="0"/>
              <w:marBottom w:val="0"/>
              <w:divBdr>
                <w:top w:val="none" w:sz="0" w:space="0" w:color="auto"/>
                <w:left w:val="none" w:sz="0" w:space="0" w:color="auto"/>
                <w:bottom w:val="none" w:sz="0" w:space="0" w:color="auto"/>
                <w:right w:val="none" w:sz="0" w:space="0" w:color="auto"/>
              </w:divBdr>
              <w:divsChild>
                <w:div w:id="56823256">
                  <w:marLeft w:val="0"/>
                  <w:marRight w:val="0"/>
                  <w:marTop w:val="0"/>
                  <w:marBottom w:val="0"/>
                  <w:divBdr>
                    <w:top w:val="none" w:sz="0" w:space="0" w:color="auto"/>
                    <w:left w:val="none" w:sz="0" w:space="0" w:color="auto"/>
                    <w:bottom w:val="none" w:sz="0" w:space="0" w:color="auto"/>
                    <w:right w:val="none" w:sz="0" w:space="0" w:color="auto"/>
                  </w:divBdr>
                  <w:divsChild>
                    <w:div w:id="19784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9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236/oalib.1106695" TargetMode="External"/><Relationship Id="rId18" Type="http://schemas.openxmlformats.org/officeDocument/2006/relationships/hyperlink" Target="https://doi.org/10.4187/respcare.11041" TargetMode="External"/><Relationship Id="rId26" Type="http://schemas.openxmlformats.org/officeDocument/2006/relationships/hyperlink" Target="https://doi.org/10.1007/s12310-022-09562-x" TargetMode="External"/><Relationship Id="rId39" Type="http://schemas.openxmlformats.org/officeDocument/2006/relationships/fontTable" Target="fontTable.xml"/><Relationship Id="rId21" Type="http://schemas.openxmlformats.org/officeDocument/2006/relationships/hyperlink" Target="https://doi.org/10.54536/ajahs.v3i4.3866" TargetMode="External"/><Relationship Id="rId34" Type="http://schemas.openxmlformats.org/officeDocument/2006/relationships/header" Target="header2.xml"/><Relationship Id="rId7" Type="http://schemas.openxmlformats.org/officeDocument/2006/relationships/hyperlink" Target="https://doi.org/10.1080/02619768.2024.2353178" TargetMode="External"/><Relationship Id="rId12" Type="http://schemas.openxmlformats.org/officeDocument/2006/relationships/hyperlink" Target="https://doi.org/10.18848/2327-7955/CGP/v33i02/25-41" TargetMode="External"/><Relationship Id="rId17" Type="http://schemas.openxmlformats.org/officeDocument/2006/relationships/hyperlink" Target="https://doi.org/10.54476/ioer-imrj/391320" TargetMode="External"/><Relationship Id="rId25" Type="http://schemas.openxmlformats.org/officeDocument/2006/relationships/hyperlink" Target="https://doi.org/10.59944/postaxial.v2i3.38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5345/iojes.2023.04.006" TargetMode="External"/><Relationship Id="rId20" Type="http://schemas.openxmlformats.org/officeDocument/2006/relationships/hyperlink" Target="https://doi.org/10.69569/jip.2024.0505" TargetMode="External"/><Relationship Id="rId29" Type="http://schemas.openxmlformats.org/officeDocument/2006/relationships/hyperlink" Target="https://spark.bethel.edu/etd/8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7772/IJRISS.2024.8090256" TargetMode="External"/><Relationship Id="rId24" Type="http://schemas.openxmlformats.org/officeDocument/2006/relationships/hyperlink" Target="https://doi.org/10.1007/s10984-023-09454-0" TargetMode="External"/><Relationship Id="rId32" Type="http://schemas.openxmlformats.org/officeDocument/2006/relationships/hyperlink" Target="https://doi.org/10.3389/fpsyg.2025.158995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5503/jecs2024.2.451.470" TargetMode="External"/><Relationship Id="rId23" Type="http://schemas.openxmlformats.org/officeDocument/2006/relationships/hyperlink" Target="https://doi.org/10.69569/jip.2025.205" TargetMode="External"/><Relationship Id="rId28" Type="http://schemas.openxmlformats.org/officeDocument/2006/relationships/hyperlink" Target="https://doi.org/10.1080/13664530.2014.911775" TargetMode="External"/><Relationship Id="rId36" Type="http://schemas.openxmlformats.org/officeDocument/2006/relationships/footer" Target="footer2.xml"/><Relationship Id="rId10" Type="http://schemas.openxmlformats.org/officeDocument/2006/relationships/hyperlink" Target="https://www.abs.gov.au/statistics/understanding-statistics/statistical-terms-and-concepts/census-and-sample" TargetMode="External"/><Relationship Id="rId19" Type="http://schemas.openxmlformats.org/officeDocument/2006/relationships/hyperlink" Target="https://doi.org/10.12928/eltej.v8i1.12734" TargetMode="External"/><Relationship Id="rId31" Type="http://schemas.openxmlformats.org/officeDocument/2006/relationships/hyperlink" Target="https://doi.org/10.3390/bs13090738" TargetMode="External"/><Relationship Id="rId4" Type="http://schemas.openxmlformats.org/officeDocument/2006/relationships/webSettings" Target="webSettings.xml"/><Relationship Id="rId9" Type="http://schemas.openxmlformats.org/officeDocument/2006/relationships/hyperlink" Target="https://doi.org/10.52131/pjhss.2023.1103.0640" TargetMode="External"/><Relationship Id="rId14" Type="http://schemas.openxmlformats.org/officeDocument/2006/relationships/hyperlink" Target="https://doi.org/10.47772/IJRISS.2024.8120001" TargetMode="External"/><Relationship Id="rId22" Type="http://schemas.openxmlformats.org/officeDocument/2006/relationships/hyperlink" Target="https://doi.org/10.1016/j.ecresq.2023.03.007" TargetMode="External"/><Relationship Id="rId27" Type="http://schemas.openxmlformats.org/officeDocument/2006/relationships/hyperlink" Target="https://doi.org/10.47772/IJRISS.2025.907000168" TargetMode="External"/><Relationship Id="rId30" Type="http://schemas.openxmlformats.org/officeDocument/2006/relationships/hyperlink" Target="https://doi.org/10.1080/02607476.2023.2219218" TargetMode="External"/><Relationship Id="rId35" Type="http://schemas.openxmlformats.org/officeDocument/2006/relationships/footer" Target="footer1.xml"/><Relationship Id="rId8" Type="http://schemas.openxmlformats.org/officeDocument/2006/relationships/hyperlink" Target="https://doi.org/10.46627/silet.v5i1.36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17</Pages>
  <Words>6003</Words>
  <Characters>34221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Queenie Laniba</dc:creator>
  <cp:keywords/>
  <dc:description/>
  <cp:lastModifiedBy>SDI 1158</cp:lastModifiedBy>
  <cp:revision>69</cp:revision>
  <dcterms:created xsi:type="dcterms:W3CDTF">2026-04-11T11:48:00Z</dcterms:created>
  <dcterms:modified xsi:type="dcterms:W3CDTF">2026-04-28T05:36:00Z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b85bdcc4-7995-47f6-a870-8320c24ec46d</vt:lpwstr>
  </property>
</Properties>
</file>