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51474" w14:textId="2D110BEE" w:rsidR="00F06459" w:rsidRPr="00F06459" w:rsidRDefault="00F06459" w:rsidP="00F06459">
      <w:pPr>
        <w:pStyle w:val="Author"/>
        <w:spacing w:line="240" w:lineRule="auto"/>
        <w:jc w:val="left"/>
        <w:rPr>
          <w:rFonts w:ascii="Arial" w:hAnsi="Arial" w:cs="Arial"/>
          <w:bCs/>
          <w:iCs/>
          <w:kern w:val="28"/>
          <w:sz w:val="36"/>
          <w:u w:val="single"/>
        </w:rPr>
      </w:pPr>
      <w:r w:rsidRPr="00F06459">
        <w:rPr>
          <w:rFonts w:ascii="Arial" w:hAnsi="Arial" w:cs="Arial"/>
          <w:bCs/>
          <w:iCs/>
          <w:kern w:val="28"/>
          <w:sz w:val="36"/>
          <w:u w:val="single"/>
        </w:rPr>
        <w:t>Original Research Article</w:t>
      </w:r>
    </w:p>
    <w:p w14:paraId="08DBD2F3" w14:textId="77777777" w:rsidR="00F06459" w:rsidRDefault="00F06459" w:rsidP="00807BA1">
      <w:pPr>
        <w:pStyle w:val="Author"/>
        <w:spacing w:line="240" w:lineRule="auto"/>
        <w:rPr>
          <w:rFonts w:ascii="Arial" w:hAnsi="Arial" w:cs="Arial"/>
          <w:bCs/>
          <w:iCs/>
          <w:kern w:val="28"/>
          <w:sz w:val="36"/>
        </w:rPr>
      </w:pPr>
    </w:p>
    <w:p w14:paraId="263F3D5E" w14:textId="56018304" w:rsidR="00A258C3" w:rsidRPr="00790ADA" w:rsidRDefault="00B9733A" w:rsidP="00B9733A">
      <w:pPr>
        <w:pStyle w:val="Author"/>
        <w:spacing w:line="240" w:lineRule="auto"/>
        <w:rPr>
          <w:rFonts w:ascii="Arial" w:hAnsi="Arial" w:cs="Arial"/>
          <w:sz w:val="36"/>
        </w:rPr>
      </w:pPr>
      <w:r w:rsidRPr="00B9733A">
        <w:rPr>
          <w:rFonts w:ascii="Arial" w:hAnsi="Arial" w:cs="Arial"/>
          <w:bCs/>
          <w:iCs/>
          <w:kern w:val="28"/>
          <w:sz w:val="36"/>
          <w:lang w:val="en-GB"/>
        </w:rPr>
        <w:t>From Idealization to Reality: Neophyte Teachers’ Lived Experiences in Actual Classrooms</w:t>
      </w:r>
    </w:p>
    <w:p w14:paraId="2D432070" w14:textId="77777777" w:rsidR="00790ADA" w:rsidRDefault="00790ADA" w:rsidP="00441B6F">
      <w:pPr>
        <w:pStyle w:val="Affiliation"/>
        <w:spacing w:after="0" w:line="240" w:lineRule="auto"/>
        <w:jc w:val="both"/>
        <w:rPr>
          <w:rFonts w:ascii="Arial" w:hAnsi="Arial" w:cs="Arial"/>
        </w:rPr>
      </w:pPr>
    </w:p>
    <w:p w14:paraId="03404215" w14:textId="77777777" w:rsidR="002C57D2" w:rsidRPr="00FB3A86" w:rsidRDefault="002C57D2" w:rsidP="00441B6F">
      <w:pPr>
        <w:pStyle w:val="Affiliation"/>
        <w:spacing w:after="0" w:line="240" w:lineRule="auto"/>
        <w:jc w:val="both"/>
        <w:rPr>
          <w:rFonts w:ascii="Arial" w:hAnsi="Arial" w:cs="Arial"/>
        </w:rPr>
      </w:pPr>
    </w:p>
    <w:p w14:paraId="5333C77D" w14:textId="77777777" w:rsidR="00B01FCD" w:rsidRPr="00FB3A86" w:rsidRDefault="001F5BCD" w:rsidP="00441B6F">
      <w:pPr>
        <w:pStyle w:val="Copyright"/>
        <w:spacing w:after="0" w:line="240" w:lineRule="auto"/>
        <w:jc w:val="both"/>
        <w:rPr>
          <w:rFonts w:ascii="Arial" w:hAnsi="Arial" w:cs="Arial"/>
        </w:rPr>
        <w:sectPr w:rsidR="00B01FCD" w:rsidRPr="00FB3A86" w:rsidSect="00FB4EFC">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E1AD89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78F88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E3360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AE502A3" w14:textId="77777777" w:rsidTr="001E44FE">
        <w:tc>
          <w:tcPr>
            <w:tcW w:w="9576" w:type="dxa"/>
            <w:shd w:val="clear" w:color="auto" w:fill="F2F2F2"/>
          </w:tcPr>
          <w:p w14:paraId="0A45E542" w14:textId="1AF5DC91" w:rsidR="00BE71FF" w:rsidRDefault="00BE71FF" w:rsidP="001F5BCD">
            <w:pPr>
              <w:pStyle w:val="Body"/>
              <w:rPr>
                <w:rFonts w:ascii="Arial" w:eastAsia="Calibri" w:hAnsi="Arial" w:cs="Arial"/>
                <w:b/>
                <w:szCs w:val="22"/>
              </w:rPr>
            </w:pPr>
            <w:r>
              <w:rPr>
                <w:rFonts w:ascii="Arial" w:eastAsia="Calibri" w:hAnsi="Arial" w:cs="Arial"/>
                <w:b/>
                <w:szCs w:val="22"/>
              </w:rPr>
              <w:t xml:space="preserve">Background: </w:t>
            </w:r>
            <w:r w:rsidR="001F5BCD" w:rsidRPr="00820F86">
              <w:rPr>
                <w:rFonts w:ascii="Arial" w:hAnsi="Arial" w:cs="Arial"/>
                <w:lang w:val="en-PH"/>
              </w:rPr>
              <w:t>The transition experiences of neophyte teachers may also be shaped by the local institutional and cultural context; thus, these factors warrant focused exploration.</w:t>
            </w:r>
            <w:r w:rsidR="001F5BCD" w:rsidRPr="00820F86">
              <w:rPr>
                <w:rFonts w:ascii="Arial" w:hAnsi="Arial" w:cs="Arial"/>
                <w:lang w:val="en-PH"/>
              </w:rPr>
              <w:t xml:space="preserve"> </w:t>
            </w:r>
            <w:r w:rsidR="001F5BCD" w:rsidRPr="00820F86">
              <w:rPr>
                <w:rFonts w:ascii="Arial" w:hAnsi="Arial" w:cs="Arial"/>
                <w:lang w:val="en-PH"/>
              </w:rPr>
              <w:t xml:space="preserve">This </w:t>
            </w:r>
            <w:r w:rsidR="001F5BCD">
              <w:rPr>
                <w:rFonts w:ascii="Arial" w:hAnsi="Arial" w:cs="Arial"/>
                <w:lang w:val="en-PH"/>
              </w:rPr>
              <w:t>study</w:t>
            </w:r>
            <w:r w:rsidR="001F5BCD" w:rsidRPr="00820F86">
              <w:rPr>
                <w:rFonts w:ascii="Arial" w:hAnsi="Arial" w:cs="Arial"/>
                <w:lang w:val="en-PH"/>
              </w:rPr>
              <w:t xml:space="preserve"> underscores the need to investigate how these teachers’ expectations align or conflict with classroom realities, the strategies they employ to address challenges, and how such experiences influence their identity formation and professional development</w:t>
            </w:r>
            <w:r w:rsidR="001F5BCD">
              <w:rPr>
                <w:rFonts w:ascii="Arial" w:hAnsi="Arial" w:cs="Arial"/>
                <w:lang w:val="en-PH"/>
              </w:rPr>
              <w:t>.</w:t>
            </w:r>
            <w:bookmarkStart w:id="0" w:name="_GoBack"/>
            <w:bookmarkEnd w:id="0"/>
          </w:p>
          <w:p w14:paraId="3A9C5BFF" w14:textId="720022D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43CA5" w:rsidRPr="00643CA5">
              <w:rPr>
                <w:rFonts w:ascii="Arial" w:eastAsia="Calibri" w:hAnsi="Arial" w:cs="Arial"/>
                <w:szCs w:val="22"/>
              </w:rPr>
              <w:t xml:space="preserve">This study </w:t>
            </w:r>
            <w:r w:rsidR="00643CA5">
              <w:rPr>
                <w:rFonts w:ascii="Arial" w:eastAsia="Calibri" w:hAnsi="Arial" w:cs="Arial"/>
                <w:szCs w:val="22"/>
              </w:rPr>
              <w:t>explored</w:t>
            </w:r>
            <w:r w:rsidR="00643CA5" w:rsidRPr="00643CA5">
              <w:rPr>
                <w:rFonts w:ascii="Arial" w:eastAsia="Calibri" w:hAnsi="Arial" w:cs="Arial"/>
                <w:szCs w:val="22"/>
              </w:rPr>
              <w:t xml:space="preserve"> the lived experiences of neophyte teachers in their transition from practice teaching to actual classroom responsibilities. Specifically, it examined their expectations before entering the profession, the challenges they encountered, the coping mechanisms and strategies they employed, and the insights and realizations they derived from these experiences</w:t>
            </w:r>
            <w:r w:rsidRPr="00BA1B01">
              <w:rPr>
                <w:rFonts w:ascii="Arial" w:eastAsia="Calibri" w:hAnsi="Arial" w:cs="Arial"/>
                <w:szCs w:val="22"/>
              </w:rPr>
              <w:t>.</w:t>
            </w:r>
            <w:r w:rsidR="00643CA5">
              <w:rPr>
                <w:rFonts w:ascii="Arial" w:eastAsia="Calibri" w:hAnsi="Arial" w:cs="Arial"/>
                <w:szCs w:val="22"/>
              </w:rPr>
              <w:t xml:space="preserve"> </w:t>
            </w:r>
          </w:p>
          <w:p w14:paraId="1B821AF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E4CB7" w:rsidRPr="007E4CB7">
              <w:rPr>
                <w:rFonts w:ascii="Arial" w:eastAsia="Calibri" w:hAnsi="Arial" w:cs="Arial"/>
                <w:szCs w:val="22"/>
              </w:rPr>
              <w:t>This study utilized a qualitative phenomenological research design</w:t>
            </w:r>
            <w:r w:rsidRPr="00BA1B01">
              <w:rPr>
                <w:rFonts w:ascii="Arial" w:eastAsia="Calibri" w:hAnsi="Arial" w:cs="Arial"/>
                <w:szCs w:val="22"/>
              </w:rPr>
              <w:t>.</w:t>
            </w:r>
          </w:p>
          <w:p w14:paraId="6951E4C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E4CB7" w:rsidRPr="007E4CB7">
              <w:rPr>
                <w:rFonts w:ascii="Arial" w:eastAsia="Calibri" w:hAnsi="Arial" w:cs="Arial"/>
                <w:szCs w:val="22"/>
              </w:rPr>
              <w:t xml:space="preserve">The study was conducted in a private sectarian school in </w:t>
            </w:r>
            <w:proofErr w:type="spellStart"/>
            <w:r w:rsidR="007E4CB7" w:rsidRPr="007E4CB7">
              <w:rPr>
                <w:rFonts w:ascii="Arial" w:eastAsia="Calibri" w:hAnsi="Arial" w:cs="Arial"/>
                <w:szCs w:val="22"/>
              </w:rPr>
              <w:t>Dipolog</w:t>
            </w:r>
            <w:proofErr w:type="spellEnd"/>
            <w:r w:rsidR="007E4CB7" w:rsidRPr="007E4CB7">
              <w:rPr>
                <w:rFonts w:ascii="Arial" w:eastAsia="Calibri" w:hAnsi="Arial" w:cs="Arial"/>
                <w:szCs w:val="22"/>
              </w:rPr>
              <w:t xml:space="preserve"> City, Zamboanga del Norte, Philippines, during School Year 2025–2026, with particular focus on the first three months of the school year as the critical transition period</w:t>
            </w:r>
            <w:r w:rsidRPr="00BA1B01">
              <w:rPr>
                <w:rFonts w:ascii="Arial" w:eastAsia="Calibri" w:hAnsi="Arial" w:cs="Arial"/>
                <w:szCs w:val="22"/>
              </w:rPr>
              <w:t>.</w:t>
            </w:r>
          </w:p>
          <w:p w14:paraId="05C1843A" w14:textId="6444E9A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65AC8" w:rsidRPr="00065AC8">
              <w:rPr>
                <w:rFonts w:ascii="Arial" w:eastAsia="Calibri" w:hAnsi="Arial" w:cs="Arial"/>
                <w:szCs w:val="22"/>
              </w:rPr>
              <w:t>Purposive sampling was used to select seven neophyte teachers who were in their first teaching job and first school assignment after passing the Licensure Examination for Teachers (LET), were under probationary status, had less than three years of teaching experience, and had taught in the institution for at least three months. Data were gathered through semi-structured in-depth interviews anchored on the statement of the problem and Schlossberg’s Transition Theory. The interview guide underwent expert validation and pilot testing prior to actual data collection. Data were analyzed using thematic analysis to identify recurring meanings, patterns, and themes in the participants’ lived experiences</w:t>
            </w:r>
            <w:r w:rsidRPr="00BA1B01">
              <w:rPr>
                <w:rFonts w:ascii="Arial" w:eastAsia="Calibri" w:hAnsi="Arial" w:cs="Arial"/>
                <w:szCs w:val="22"/>
              </w:rPr>
              <w:t>.</w:t>
            </w:r>
          </w:p>
          <w:p w14:paraId="6BFA5CD1" w14:textId="34B4C815" w:rsidR="007E4CB7"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43CA5" w:rsidRPr="00643CA5">
              <w:rPr>
                <w:rFonts w:ascii="Arial" w:eastAsia="Calibri" w:hAnsi="Arial" w:cs="Arial"/>
                <w:szCs w:val="22"/>
              </w:rPr>
              <w:t>Findings revealed that participants entered teaching with idealized expectations of manageable responsibilities, supportive school conditions, and positive classroom experiences. However, actual classroom work brought reality shock characterized by learner diversity, classroom management difficulties, heavier workload, performance pressures, limited instructional guidance, and context-specific institutional demands. To cope, participants relied on collegial and family support, time and task management, lifestyle adjustments, emotional regulation, and personal perseverance. Over time, these experiences led them to normalize the demands of teaching, align themselves with institutional realities, strengthen resilience, and develop a deeper learner-centered sense of professional purpose</w:t>
            </w:r>
            <w:r w:rsidR="007E4CB7" w:rsidRPr="007E4CB7">
              <w:rPr>
                <w:rFonts w:ascii="Arial" w:eastAsia="Calibri" w:hAnsi="Arial" w:cs="Arial"/>
                <w:szCs w:val="22"/>
              </w:rPr>
              <w:t xml:space="preserve">. </w:t>
            </w:r>
          </w:p>
          <w:p w14:paraId="7EC79D28" w14:textId="6C34388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43CA5" w:rsidRPr="00643CA5">
              <w:rPr>
                <w:rFonts w:ascii="Arial" w:eastAsia="Calibri" w:hAnsi="Arial" w:cs="Arial"/>
                <w:szCs w:val="22"/>
              </w:rPr>
              <w:t>The study concludes that the transition from practice teaching to actual classroom responsibility is both challenging and developmental, requiring adaptive coping, meaningful support, and reflective meaning-making</w:t>
            </w:r>
            <w:r w:rsidR="007E4CB7" w:rsidRPr="007E4CB7">
              <w:rPr>
                <w:rFonts w:ascii="Arial" w:eastAsia="Calibri" w:hAnsi="Arial" w:cs="Arial"/>
                <w:szCs w:val="22"/>
              </w:rPr>
              <w:t xml:space="preserve">. </w:t>
            </w:r>
          </w:p>
        </w:tc>
      </w:tr>
    </w:tbl>
    <w:p w14:paraId="4EA311D6" w14:textId="77777777" w:rsidR="00AA7864" w:rsidRDefault="00A24E7E" w:rsidP="00441B6F">
      <w:pPr>
        <w:pStyle w:val="Body"/>
        <w:spacing w:after="0"/>
        <w:rPr>
          <w:rFonts w:ascii="Arial" w:hAnsi="Arial" w:cs="Arial"/>
          <w:bCs/>
          <w:i/>
          <w:lang w:val="en-PH"/>
        </w:rPr>
      </w:pPr>
      <w:r>
        <w:rPr>
          <w:rFonts w:ascii="Arial" w:hAnsi="Arial" w:cs="Arial"/>
          <w:i/>
        </w:rPr>
        <w:t xml:space="preserve">Keywords: </w:t>
      </w:r>
      <w:r w:rsidR="006212DE" w:rsidRPr="009C7D28">
        <w:rPr>
          <w:rFonts w:ascii="Arial" w:hAnsi="Arial" w:cs="Arial"/>
          <w:bCs/>
          <w:i/>
          <w:lang w:val="en-PH"/>
        </w:rPr>
        <w:t xml:space="preserve">Neophyte Teachers, Transition Experiences, </w:t>
      </w:r>
      <w:r w:rsidR="006212DE">
        <w:rPr>
          <w:rFonts w:ascii="Arial" w:hAnsi="Arial" w:cs="Arial"/>
          <w:bCs/>
          <w:i/>
          <w:lang w:val="en-PH"/>
        </w:rPr>
        <w:t>Challenges</w:t>
      </w:r>
      <w:r w:rsidR="006212DE" w:rsidRPr="009C7D28">
        <w:rPr>
          <w:rFonts w:ascii="Arial" w:hAnsi="Arial" w:cs="Arial"/>
          <w:bCs/>
          <w:i/>
          <w:lang w:val="en-PH"/>
        </w:rPr>
        <w:t xml:space="preserve">, Coping Strategies, </w:t>
      </w:r>
      <w:r w:rsidR="006212DE">
        <w:rPr>
          <w:rFonts w:ascii="Arial" w:hAnsi="Arial" w:cs="Arial"/>
          <w:bCs/>
          <w:i/>
          <w:lang w:val="en-PH"/>
        </w:rPr>
        <w:t>Insights and Realizations</w:t>
      </w:r>
      <w:r w:rsidR="006212DE" w:rsidRPr="009C7D28">
        <w:rPr>
          <w:rFonts w:ascii="Arial" w:hAnsi="Arial" w:cs="Arial"/>
          <w:bCs/>
          <w:i/>
          <w:lang w:val="en-PH"/>
        </w:rPr>
        <w:t xml:space="preserve">, </w:t>
      </w:r>
      <w:r w:rsidR="009C7D28" w:rsidRPr="009C7D28">
        <w:rPr>
          <w:rFonts w:ascii="Arial" w:hAnsi="Arial" w:cs="Arial"/>
          <w:bCs/>
          <w:i/>
          <w:lang w:val="en-PH"/>
        </w:rPr>
        <w:t>Schlossberg’s Transition Theory</w:t>
      </w:r>
      <w:r w:rsidR="006212DE" w:rsidRPr="009C7D28">
        <w:rPr>
          <w:rFonts w:ascii="Arial" w:hAnsi="Arial" w:cs="Arial"/>
          <w:bCs/>
          <w:i/>
          <w:lang w:val="en-PH"/>
        </w:rPr>
        <w:t xml:space="preserve">, </w:t>
      </w:r>
      <w:r w:rsidR="006212DE">
        <w:rPr>
          <w:rFonts w:ascii="Arial" w:hAnsi="Arial" w:cs="Arial"/>
          <w:bCs/>
          <w:i/>
          <w:lang w:val="en-PH"/>
        </w:rPr>
        <w:t>Classroom Responsibilities, Practice Teaching</w:t>
      </w:r>
    </w:p>
    <w:p w14:paraId="60F02AC9" w14:textId="77777777" w:rsidR="003C4062" w:rsidRPr="00A24E7E" w:rsidRDefault="003C4062" w:rsidP="00441B6F">
      <w:pPr>
        <w:pStyle w:val="Body"/>
        <w:spacing w:after="0"/>
        <w:rPr>
          <w:rFonts w:ascii="Arial" w:hAnsi="Arial" w:cs="Arial"/>
          <w:i/>
        </w:rPr>
      </w:pPr>
    </w:p>
    <w:p w14:paraId="78A65E5F"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17F5E4C" w14:textId="77777777" w:rsidR="00790ADA" w:rsidRPr="00FB3A86" w:rsidRDefault="00790ADA" w:rsidP="00441B6F">
      <w:pPr>
        <w:pStyle w:val="AbstHead"/>
        <w:spacing w:after="0"/>
        <w:jc w:val="both"/>
        <w:rPr>
          <w:rFonts w:ascii="Arial" w:hAnsi="Arial" w:cs="Arial"/>
        </w:rPr>
      </w:pPr>
    </w:p>
    <w:p w14:paraId="2E513FC9" w14:textId="77777777" w:rsidR="00820F86" w:rsidRPr="00820F86" w:rsidRDefault="00820F86" w:rsidP="00820F86">
      <w:pPr>
        <w:pStyle w:val="Body"/>
        <w:rPr>
          <w:rFonts w:ascii="Arial" w:hAnsi="Arial" w:cs="Arial"/>
          <w:lang w:val="en-PH"/>
        </w:rPr>
      </w:pPr>
      <w:r w:rsidRPr="00820F86">
        <w:rPr>
          <w:rFonts w:ascii="Arial" w:hAnsi="Arial" w:cs="Arial"/>
          <w:lang w:val="en-PH"/>
        </w:rPr>
        <w:t>Many neophyte teachers when moving from their formal teacher education programs to their first classroom experience (or immediate induction) find themselves in a paradoxical space, one of high ideals confronted by the reality of complex teaching (</w:t>
      </w:r>
      <w:proofErr w:type="spellStart"/>
      <w:r w:rsidRPr="00820F86">
        <w:rPr>
          <w:rFonts w:ascii="Arial" w:hAnsi="Arial" w:cs="Arial"/>
          <w:lang w:val="en-PH"/>
        </w:rPr>
        <w:t>Mudzingwa</w:t>
      </w:r>
      <w:proofErr w:type="spellEnd"/>
      <w:r w:rsidRPr="00820F86">
        <w:rPr>
          <w:rFonts w:ascii="Arial" w:hAnsi="Arial" w:cs="Arial"/>
          <w:lang w:val="en-PH"/>
        </w:rPr>
        <w:t xml:space="preserve"> &amp; </w:t>
      </w:r>
      <w:proofErr w:type="spellStart"/>
      <w:r w:rsidRPr="00820F86">
        <w:rPr>
          <w:rFonts w:ascii="Arial" w:hAnsi="Arial" w:cs="Arial"/>
          <w:lang w:val="en-PH"/>
        </w:rPr>
        <w:t>Magudu</w:t>
      </w:r>
      <w:proofErr w:type="spellEnd"/>
      <w:r w:rsidRPr="00820F86">
        <w:rPr>
          <w:rFonts w:ascii="Arial" w:hAnsi="Arial" w:cs="Arial"/>
          <w:lang w:val="en-PH"/>
        </w:rPr>
        <w:t xml:space="preserve">, 2013). Such transition could present challenges in managing classroom behaviors, delivering curriculum and supporting the learning needs of a range of students, ultimately impacting on their confidence, motivation and engagement (Ki </w:t>
      </w:r>
      <w:r w:rsidR="00922214">
        <w:rPr>
          <w:rFonts w:ascii="Arial" w:hAnsi="Arial" w:cs="Arial"/>
          <w:lang w:val="en-PH"/>
        </w:rPr>
        <w:t>et al.</w:t>
      </w:r>
      <w:r w:rsidRPr="00820F86">
        <w:rPr>
          <w:rFonts w:ascii="Arial" w:hAnsi="Arial" w:cs="Arial"/>
          <w:lang w:val="en-PH"/>
        </w:rPr>
        <w:t>, 2025). While mentoring and institutional support during induction are increasingly situated as crucial features of the profession, the “lived experience” of this transition has received less scholarly attention, particularly in context-bound school learning communities (</w:t>
      </w:r>
      <w:proofErr w:type="spellStart"/>
      <w:r w:rsidRPr="00820F86">
        <w:rPr>
          <w:rFonts w:ascii="Arial" w:hAnsi="Arial" w:cs="Arial"/>
          <w:lang w:val="en-PH"/>
        </w:rPr>
        <w:t>Polinar</w:t>
      </w:r>
      <w:proofErr w:type="spellEnd"/>
      <w:r w:rsidRPr="00820F86">
        <w:rPr>
          <w:rFonts w:ascii="Arial" w:hAnsi="Arial" w:cs="Arial"/>
          <w:lang w:val="en-PH"/>
        </w:rPr>
        <w:t xml:space="preserve"> &amp; </w:t>
      </w:r>
      <w:proofErr w:type="spellStart"/>
      <w:r w:rsidRPr="00820F86">
        <w:rPr>
          <w:rFonts w:ascii="Arial" w:hAnsi="Arial" w:cs="Arial"/>
          <w:lang w:val="en-PH"/>
        </w:rPr>
        <w:t>Gemota</w:t>
      </w:r>
      <w:proofErr w:type="spellEnd"/>
      <w:r w:rsidRPr="00820F86">
        <w:rPr>
          <w:rFonts w:ascii="Arial" w:hAnsi="Arial" w:cs="Arial"/>
          <w:lang w:val="en-PH"/>
        </w:rPr>
        <w:t>, 2015). How the commencement teachers negotiate this theory-practice boundary is critical for teacher retention and quality of instruction.</w:t>
      </w:r>
    </w:p>
    <w:p w14:paraId="7E08C201" w14:textId="77777777" w:rsidR="00820F86" w:rsidRPr="00820F86" w:rsidRDefault="00820F86" w:rsidP="00820F86">
      <w:pPr>
        <w:pStyle w:val="Body"/>
        <w:rPr>
          <w:rFonts w:ascii="Arial" w:hAnsi="Arial" w:cs="Arial"/>
          <w:lang w:val="en-PH"/>
        </w:rPr>
      </w:pPr>
      <w:r w:rsidRPr="00820F86">
        <w:rPr>
          <w:rFonts w:ascii="Arial" w:hAnsi="Arial" w:cs="Arial"/>
          <w:lang w:val="en-PH"/>
        </w:rPr>
        <w:t>Recent local research sheds light on the extent of these transitions. In Valencia City Division, first year teachers in adjusting strongly intertwined their personal and professional adaptations where they manage instructional workloads and strive to have a sustainable balance of that with their home life using coping strategies through mentorship (</w:t>
      </w:r>
      <w:proofErr w:type="spellStart"/>
      <w:r w:rsidRPr="00820F86">
        <w:rPr>
          <w:rFonts w:ascii="Arial" w:hAnsi="Arial" w:cs="Arial"/>
          <w:lang w:val="en-PH"/>
        </w:rPr>
        <w:t>Polinar</w:t>
      </w:r>
      <w:proofErr w:type="spellEnd"/>
      <w:r w:rsidRPr="00820F86">
        <w:rPr>
          <w:rFonts w:ascii="Arial" w:hAnsi="Arial" w:cs="Arial"/>
          <w:lang w:val="en-PH"/>
        </w:rPr>
        <w:t xml:space="preserve"> &amp; </w:t>
      </w:r>
      <w:proofErr w:type="spellStart"/>
      <w:r w:rsidRPr="00820F86">
        <w:rPr>
          <w:rFonts w:ascii="Arial" w:hAnsi="Arial" w:cs="Arial"/>
          <w:lang w:val="en-PH"/>
        </w:rPr>
        <w:t>Gemota</w:t>
      </w:r>
      <w:proofErr w:type="spellEnd"/>
      <w:r w:rsidRPr="00820F86">
        <w:rPr>
          <w:rFonts w:ascii="Arial" w:hAnsi="Arial" w:cs="Arial"/>
          <w:lang w:val="en-PH"/>
        </w:rPr>
        <w:t>, 2025). Similarly, Viterbo et al. (2025) investigated neophyte teachers in private high schools in Davao Regions using the phenomenological study, and discovered that Novice encounter specific struggles with regards to curricular pressures, socialization within a private school setting as they constantly utilize different coping strategies based on their varying needs and seek guidance from Administrative/Collegial motivation. Both studies highlight the necessity for a supportive infrastructure in supporting new teachers during a time of transition and professional growth.</w:t>
      </w:r>
    </w:p>
    <w:p w14:paraId="3107A536" w14:textId="77777777" w:rsidR="00820F86" w:rsidRPr="00820F86" w:rsidRDefault="00820F86" w:rsidP="00820F86">
      <w:pPr>
        <w:pStyle w:val="Body"/>
        <w:rPr>
          <w:rFonts w:ascii="Arial" w:hAnsi="Arial" w:cs="Arial"/>
          <w:lang w:val="en-PH"/>
        </w:rPr>
      </w:pPr>
      <w:r w:rsidRPr="00820F86">
        <w:rPr>
          <w:rFonts w:ascii="Arial" w:hAnsi="Arial" w:cs="Arial"/>
          <w:lang w:val="en-PH"/>
        </w:rPr>
        <w:t xml:space="preserve">Despite these valuable contributions, there remains a gap in understanding the lived experiences of neophyte teachers who are currently teaching in private schools within </w:t>
      </w:r>
      <w:proofErr w:type="spellStart"/>
      <w:r w:rsidRPr="00820F86">
        <w:rPr>
          <w:rFonts w:ascii="Arial" w:hAnsi="Arial" w:cs="Arial"/>
          <w:lang w:val="en-PH"/>
        </w:rPr>
        <w:t>Dipolog</w:t>
      </w:r>
      <w:proofErr w:type="spellEnd"/>
      <w:r w:rsidRPr="00820F86">
        <w:rPr>
          <w:rFonts w:ascii="Arial" w:hAnsi="Arial" w:cs="Arial"/>
          <w:lang w:val="en-PH"/>
        </w:rPr>
        <w:t xml:space="preserve"> City. Although prior studies have examined other regions (</w:t>
      </w:r>
      <w:proofErr w:type="spellStart"/>
      <w:r w:rsidRPr="00820F86">
        <w:rPr>
          <w:rFonts w:ascii="Arial" w:hAnsi="Arial" w:cs="Arial"/>
          <w:lang w:val="en-PH"/>
        </w:rPr>
        <w:t>Polinar</w:t>
      </w:r>
      <w:proofErr w:type="spellEnd"/>
      <w:r w:rsidRPr="00820F86">
        <w:rPr>
          <w:rFonts w:ascii="Arial" w:hAnsi="Arial" w:cs="Arial"/>
          <w:lang w:val="en-PH"/>
        </w:rPr>
        <w:t xml:space="preserve"> &amp; </w:t>
      </w:r>
      <w:proofErr w:type="spellStart"/>
      <w:r w:rsidRPr="00820F86">
        <w:rPr>
          <w:rFonts w:ascii="Arial" w:hAnsi="Arial" w:cs="Arial"/>
          <w:lang w:val="en-PH"/>
        </w:rPr>
        <w:t>Gemota</w:t>
      </w:r>
      <w:proofErr w:type="spellEnd"/>
      <w:r w:rsidRPr="00820F86">
        <w:rPr>
          <w:rFonts w:ascii="Arial" w:hAnsi="Arial" w:cs="Arial"/>
          <w:lang w:val="en-PH"/>
        </w:rPr>
        <w:t xml:space="preserve">, 2025; Viterbo et al., 2025), no phenomenological inquiry has yet focused on how neophyte teachers in </w:t>
      </w:r>
      <w:proofErr w:type="spellStart"/>
      <w:r w:rsidRPr="00820F86">
        <w:rPr>
          <w:rFonts w:ascii="Arial" w:hAnsi="Arial" w:cs="Arial"/>
          <w:lang w:val="en-PH"/>
        </w:rPr>
        <w:t>Dipolog</w:t>
      </w:r>
      <w:proofErr w:type="spellEnd"/>
      <w:r w:rsidRPr="00820F86">
        <w:rPr>
          <w:rFonts w:ascii="Arial" w:hAnsi="Arial" w:cs="Arial"/>
          <w:lang w:val="en-PH"/>
        </w:rPr>
        <w:t xml:space="preserve"> City’s private schools form and adjust their expectations based on actual classroom realities. Moreover, in a certain private school in </w:t>
      </w:r>
      <w:proofErr w:type="spellStart"/>
      <w:r w:rsidRPr="00820F86">
        <w:rPr>
          <w:rFonts w:ascii="Arial" w:hAnsi="Arial" w:cs="Arial"/>
          <w:lang w:val="en-PH"/>
        </w:rPr>
        <w:t>Dipolog</w:t>
      </w:r>
      <w:proofErr w:type="spellEnd"/>
      <w:r w:rsidRPr="00820F86">
        <w:rPr>
          <w:rFonts w:ascii="Arial" w:hAnsi="Arial" w:cs="Arial"/>
          <w:lang w:val="en-PH"/>
        </w:rPr>
        <w:t xml:space="preserve"> City, administrators have observed increasing concerns regarding neophyte teachers during the first three months of the school year 2025–2026, particularly among those who are newly hired and experiencing their first actual teaching assignment. This situation underscores the need to investigate how these teachers’ expectations align or conflict with classroom realities, the strategies they employ to address challenges, and how such experiences influence their identity formation and professional development. The transition experiences of neophyte teachers may also be shaped by the local institutional and cultural context; thus, these factors warrant focused exploration.</w:t>
      </w:r>
    </w:p>
    <w:p w14:paraId="0D59E468" w14:textId="77777777" w:rsidR="00820F86" w:rsidRPr="00820F86" w:rsidRDefault="00820F86" w:rsidP="00820F86">
      <w:pPr>
        <w:pStyle w:val="Body"/>
        <w:rPr>
          <w:rFonts w:ascii="Arial" w:hAnsi="Arial" w:cs="Arial"/>
          <w:lang w:val="en-PH"/>
        </w:rPr>
      </w:pPr>
      <w:r w:rsidRPr="00820F86">
        <w:rPr>
          <w:rFonts w:ascii="Arial" w:hAnsi="Arial" w:cs="Arial"/>
          <w:lang w:val="en-PH"/>
        </w:rPr>
        <w:t xml:space="preserve">To address this gap, the present study explored the lived experiences of neophyte teachers in a private school in </w:t>
      </w:r>
      <w:proofErr w:type="spellStart"/>
      <w:r w:rsidRPr="00820F86">
        <w:rPr>
          <w:rFonts w:ascii="Arial" w:hAnsi="Arial" w:cs="Arial"/>
          <w:lang w:val="en-PH"/>
        </w:rPr>
        <w:t>Dipolog</w:t>
      </w:r>
      <w:proofErr w:type="spellEnd"/>
      <w:r w:rsidRPr="00820F86">
        <w:rPr>
          <w:rFonts w:ascii="Arial" w:hAnsi="Arial" w:cs="Arial"/>
          <w:lang w:val="en-PH"/>
        </w:rPr>
        <w:t xml:space="preserve"> City, focusing on how they move from practice teaching to the realities of full classroom responsibility. Specifically, this inquiry examined: (1) neophyte teachers’ pre-entry expectations of teaching; (2) the challenges of transition; (3) the coping mechanisms and strategies they employ; and (4) the insights and realizations they derived from their experiences. By centering their voices within a shared local school context, the study aimed to generate contextually grounded perspectives that can inform induction practices, strengthen institutional support structures, and contribute to teacher-education initiatives.</w:t>
      </w:r>
    </w:p>
    <w:p w14:paraId="4C9C30D0" w14:textId="77777777" w:rsidR="00790ADA" w:rsidRPr="00820F86" w:rsidRDefault="00790ADA" w:rsidP="00441B6F">
      <w:pPr>
        <w:pStyle w:val="Body"/>
        <w:spacing w:after="0"/>
        <w:rPr>
          <w:rFonts w:ascii="Arial" w:hAnsi="Arial" w:cs="Arial"/>
          <w:lang w:val="en-PH"/>
        </w:rPr>
      </w:pPr>
    </w:p>
    <w:p w14:paraId="1F097CE6"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A093528" w14:textId="77777777" w:rsidR="00790ADA" w:rsidRPr="00FB3A86" w:rsidRDefault="00790ADA" w:rsidP="00441B6F">
      <w:pPr>
        <w:pStyle w:val="Body"/>
        <w:spacing w:after="0"/>
        <w:rPr>
          <w:rFonts w:ascii="Arial" w:hAnsi="Arial" w:cs="Arial"/>
        </w:rPr>
      </w:pPr>
    </w:p>
    <w:p w14:paraId="5E4922CF" w14:textId="77777777" w:rsidR="00390884" w:rsidRDefault="00390884" w:rsidP="00441B6F">
      <w:pPr>
        <w:pStyle w:val="Body"/>
        <w:spacing w:after="0"/>
        <w:rPr>
          <w:rFonts w:ascii="Arial" w:hAnsi="Arial" w:cs="Arial"/>
          <w:b/>
          <w:caps/>
          <w:sz w:val="22"/>
        </w:rPr>
      </w:pPr>
      <w:r>
        <w:rPr>
          <w:rFonts w:ascii="Arial" w:hAnsi="Arial" w:cs="Arial"/>
          <w:b/>
          <w:caps/>
          <w:sz w:val="22"/>
        </w:rPr>
        <w:t xml:space="preserve">2.1 </w:t>
      </w:r>
      <w:r>
        <w:rPr>
          <w:rFonts w:ascii="Arial" w:hAnsi="Arial" w:cs="Arial"/>
          <w:b/>
          <w:sz w:val="22"/>
        </w:rPr>
        <w:t>Theoretical Framework</w:t>
      </w:r>
    </w:p>
    <w:p w14:paraId="36C952E4" w14:textId="77777777" w:rsidR="00390884" w:rsidRDefault="00390884" w:rsidP="00441B6F">
      <w:pPr>
        <w:pStyle w:val="Body"/>
        <w:spacing w:after="0"/>
        <w:rPr>
          <w:rFonts w:ascii="Arial" w:hAnsi="Arial" w:cs="Arial"/>
          <w:bCs/>
          <w:caps/>
          <w:sz w:val="22"/>
        </w:rPr>
      </w:pPr>
    </w:p>
    <w:p w14:paraId="647DB9AF" w14:textId="77777777" w:rsidR="009C3A22" w:rsidRPr="009C3A22" w:rsidRDefault="009C3A22" w:rsidP="009C3A22">
      <w:pPr>
        <w:pStyle w:val="Body"/>
        <w:rPr>
          <w:rFonts w:ascii="Arial" w:hAnsi="Arial" w:cs="Arial"/>
          <w:bCs/>
          <w:szCs w:val="18"/>
          <w:lang w:val="en-PH"/>
        </w:rPr>
      </w:pPr>
      <w:r w:rsidRPr="009C3A22">
        <w:rPr>
          <w:rFonts w:ascii="Arial" w:hAnsi="Arial" w:cs="Arial"/>
          <w:bCs/>
          <w:szCs w:val="18"/>
          <w:lang w:val="en-PH"/>
        </w:rPr>
        <w:t>This study is anchored on Schlossberg’s Transition Theory (Schlossberg, 1981; Schlossberg et al., 2011), which explains how individuals experience and adapt to significant life transitions. The theory is appropriate for this study because neophyte teachers undergo a major transition when they move from practice teaching to actual classroom responsibilities. This shift often involves changes in roles, routines, relationships, and expectations, as they take on greater responsibility with less guidance and more accountability.</w:t>
      </w:r>
    </w:p>
    <w:p w14:paraId="46496C01" w14:textId="77777777" w:rsidR="009C3A22" w:rsidRPr="009C3A22" w:rsidRDefault="009C3A22" w:rsidP="009C3A22">
      <w:pPr>
        <w:pStyle w:val="Body"/>
        <w:rPr>
          <w:rFonts w:ascii="Arial" w:hAnsi="Arial" w:cs="Arial"/>
          <w:bCs/>
          <w:szCs w:val="18"/>
          <w:lang w:val="en-PH"/>
        </w:rPr>
      </w:pPr>
      <w:r w:rsidRPr="009C3A22">
        <w:rPr>
          <w:rFonts w:ascii="Arial" w:hAnsi="Arial" w:cs="Arial"/>
          <w:bCs/>
          <w:szCs w:val="18"/>
          <w:lang w:val="en-PH"/>
        </w:rPr>
        <w:t>Schlossberg (1981) defined transition as any event or non-event that results in changed relationships, routines, assumptions, and roles. For neophyte teachers, the movement from being supervised pre-service teachers to independently handling classes reflects this kind of transition. It is often a demanding period, as beginning teachers encounter the realities of the profession beyond what they experienced during training.</w:t>
      </w:r>
      <w:r>
        <w:rPr>
          <w:rFonts w:ascii="Arial" w:hAnsi="Arial" w:cs="Arial"/>
          <w:bCs/>
          <w:szCs w:val="18"/>
          <w:lang w:val="en-PH"/>
        </w:rPr>
        <w:t xml:space="preserve"> </w:t>
      </w:r>
      <w:r w:rsidRPr="009C3A22">
        <w:rPr>
          <w:rFonts w:ascii="Arial" w:hAnsi="Arial" w:cs="Arial"/>
          <w:bCs/>
          <w:szCs w:val="18"/>
          <w:lang w:val="en-PH"/>
        </w:rPr>
        <w:lastRenderedPageBreak/>
        <w:t>Central to the theory is the 4 S’s framework: Situation, Self, Support, and Strategies. These four elements help explain how individuals cope with transition.</w:t>
      </w:r>
    </w:p>
    <w:p w14:paraId="09C13EC1" w14:textId="77777777" w:rsidR="00390884" w:rsidRDefault="009C3A22" w:rsidP="009C3A22">
      <w:pPr>
        <w:pStyle w:val="Body"/>
        <w:rPr>
          <w:rFonts w:ascii="Arial" w:hAnsi="Arial" w:cs="Arial"/>
          <w:bCs/>
          <w:szCs w:val="18"/>
          <w:lang w:val="en-PH"/>
        </w:rPr>
      </w:pPr>
      <w:r w:rsidRPr="009C3A22">
        <w:rPr>
          <w:rFonts w:ascii="Arial" w:hAnsi="Arial" w:cs="Arial"/>
          <w:bCs/>
          <w:szCs w:val="18"/>
          <w:lang w:val="en-PH"/>
        </w:rPr>
        <w:t>Situation refers to the nature of the transition, including its timing, triggers, role changes, and related stressors. In this study, it includes entering the teaching profession and adjusting to the actual demands of school and classroom life.</w:t>
      </w:r>
      <w:r>
        <w:rPr>
          <w:rFonts w:ascii="Arial" w:hAnsi="Arial" w:cs="Arial"/>
          <w:bCs/>
          <w:szCs w:val="18"/>
          <w:lang w:val="en-PH"/>
        </w:rPr>
        <w:t xml:space="preserve"> </w:t>
      </w:r>
      <w:r w:rsidRPr="009C3A22">
        <w:rPr>
          <w:rFonts w:ascii="Arial" w:hAnsi="Arial" w:cs="Arial"/>
          <w:bCs/>
          <w:szCs w:val="18"/>
          <w:lang w:val="en-PH"/>
        </w:rPr>
        <w:t>Self refers to the personal characteristics that influence how individuals respond to transition, such as beliefs, resilience, self-efficacy, and prior experiences. For neophyte teachers, these personal qualities shape how they interpret challenges and maintain motivation.</w:t>
      </w:r>
      <w:r>
        <w:rPr>
          <w:rFonts w:ascii="Arial" w:hAnsi="Arial" w:cs="Arial"/>
          <w:bCs/>
          <w:szCs w:val="18"/>
          <w:lang w:val="en-PH"/>
        </w:rPr>
        <w:t xml:space="preserve"> </w:t>
      </w:r>
      <w:r w:rsidRPr="009C3A22">
        <w:rPr>
          <w:rFonts w:ascii="Arial" w:hAnsi="Arial" w:cs="Arial"/>
          <w:bCs/>
          <w:szCs w:val="18"/>
          <w:lang w:val="en-PH"/>
        </w:rPr>
        <w:t>Support includes the interpersonal and institutional resources available during transition, such as mentoring, collegial relationships, leadership support, and family encouragement. In the teaching profession, these supports are essential in helping beginning teachers adjust and remain in the field.</w:t>
      </w:r>
      <w:r>
        <w:rPr>
          <w:rFonts w:ascii="Arial" w:hAnsi="Arial" w:cs="Arial"/>
          <w:bCs/>
          <w:szCs w:val="18"/>
          <w:lang w:val="en-PH"/>
        </w:rPr>
        <w:t xml:space="preserve"> </w:t>
      </w:r>
      <w:r w:rsidRPr="009C3A22">
        <w:rPr>
          <w:rFonts w:ascii="Arial" w:hAnsi="Arial" w:cs="Arial"/>
          <w:bCs/>
          <w:szCs w:val="18"/>
          <w:lang w:val="en-PH"/>
        </w:rPr>
        <w:t>Strategies refer to the coping responses used to manage transition-related demands. These may include organizing tasks, seeking help, managing emotions, and reframing challenges as opportunities for growth.</w:t>
      </w:r>
    </w:p>
    <w:p w14:paraId="5591242A" w14:textId="77777777" w:rsidR="009C3A22" w:rsidRDefault="009C3A22" w:rsidP="009C3A22">
      <w:pPr>
        <w:pStyle w:val="Body"/>
        <w:jc w:val="center"/>
        <w:rPr>
          <w:rFonts w:ascii="Arial" w:hAnsi="Arial" w:cs="Arial"/>
          <w:bCs/>
          <w:szCs w:val="18"/>
          <w:lang w:val="en-PH"/>
        </w:rPr>
      </w:pPr>
      <w:r>
        <w:rPr>
          <w:noProof/>
        </w:rPr>
        <w:drawing>
          <wp:inline distT="0" distB="0" distL="0" distR="0" wp14:anchorId="2D63348A" wp14:editId="1D72CD80">
            <wp:extent cx="2525395" cy="2084260"/>
            <wp:effectExtent l="0" t="0" r="0" b="0"/>
            <wp:docPr id="655578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369" t="14372" r="19891" b="3005"/>
                    <a:stretch>
                      <a:fillRect/>
                    </a:stretch>
                  </pic:blipFill>
                  <pic:spPr bwMode="auto">
                    <a:xfrm>
                      <a:off x="0" y="0"/>
                      <a:ext cx="2532171" cy="2089852"/>
                    </a:xfrm>
                    <a:prstGeom prst="rect">
                      <a:avLst/>
                    </a:prstGeom>
                    <a:noFill/>
                    <a:ln>
                      <a:noFill/>
                    </a:ln>
                    <a:extLst>
                      <a:ext uri="{53640926-AAD7-44D8-BBD7-CCE9431645EC}">
                        <a14:shadowObscured xmlns:a14="http://schemas.microsoft.com/office/drawing/2010/main"/>
                      </a:ext>
                    </a:extLst>
                  </pic:spPr>
                </pic:pic>
              </a:graphicData>
            </a:graphic>
          </wp:inline>
        </w:drawing>
      </w:r>
    </w:p>
    <w:p w14:paraId="3C2545FC" w14:textId="77777777" w:rsidR="009C3A22" w:rsidRPr="009C3A22" w:rsidRDefault="009C3A22" w:rsidP="009C3A22">
      <w:pPr>
        <w:pStyle w:val="Body"/>
        <w:rPr>
          <w:rFonts w:ascii="Arial" w:hAnsi="Arial" w:cs="Arial"/>
          <w:b/>
          <w:szCs w:val="18"/>
          <w:lang w:val="en-PH"/>
        </w:rPr>
      </w:pPr>
      <w:r>
        <w:rPr>
          <w:rFonts w:ascii="Arial" w:hAnsi="Arial" w:cs="Arial"/>
          <w:b/>
          <w:szCs w:val="18"/>
          <w:lang w:val="en-PH"/>
        </w:rPr>
        <w:t xml:space="preserve">Figure 1. Schema of the study adapted from </w:t>
      </w:r>
      <w:r w:rsidRPr="009C3A22">
        <w:rPr>
          <w:rFonts w:ascii="Arial" w:hAnsi="Arial" w:cs="Arial"/>
          <w:b/>
          <w:szCs w:val="18"/>
          <w:lang w:val="en-PH"/>
        </w:rPr>
        <w:t>Schlossberg’s Transition Theory</w:t>
      </w:r>
    </w:p>
    <w:p w14:paraId="7CFAAF82" w14:textId="77777777" w:rsidR="003956DE" w:rsidRDefault="003956DE" w:rsidP="003956DE">
      <w:pPr>
        <w:pStyle w:val="Body"/>
        <w:spacing w:after="0"/>
        <w:rPr>
          <w:rFonts w:ascii="Arial" w:hAnsi="Arial" w:cs="Arial"/>
          <w:b/>
          <w:sz w:val="22"/>
        </w:rPr>
      </w:pPr>
      <w:r w:rsidRPr="00C30A0F">
        <w:rPr>
          <w:rFonts w:ascii="Arial" w:hAnsi="Arial" w:cs="Arial"/>
          <w:b/>
          <w:caps/>
          <w:sz w:val="22"/>
        </w:rPr>
        <w:t>2.</w:t>
      </w:r>
      <w:r w:rsidR="001F2ED2">
        <w:rPr>
          <w:rFonts w:ascii="Arial" w:hAnsi="Arial" w:cs="Arial"/>
          <w:b/>
          <w:caps/>
          <w:sz w:val="22"/>
        </w:rPr>
        <w:t>2</w:t>
      </w:r>
      <w:r w:rsidRPr="00C30A0F">
        <w:rPr>
          <w:rFonts w:ascii="Arial" w:hAnsi="Arial" w:cs="Arial"/>
          <w:b/>
          <w:caps/>
          <w:sz w:val="22"/>
        </w:rPr>
        <w:t xml:space="preserve"> </w:t>
      </w:r>
      <w:r>
        <w:rPr>
          <w:rFonts w:ascii="Arial" w:hAnsi="Arial" w:cs="Arial"/>
          <w:b/>
          <w:sz w:val="22"/>
        </w:rPr>
        <w:t>Objectives of the Study</w:t>
      </w:r>
    </w:p>
    <w:p w14:paraId="382BFBB3" w14:textId="77777777" w:rsidR="003956DE" w:rsidRDefault="003956DE" w:rsidP="003956DE">
      <w:pPr>
        <w:pStyle w:val="Body"/>
        <w:spacing w:after="0"/>
        <w:rPr>
          <w:rFonts w:ascii="Arial" w:hAnsi="Arial" w:cs="Arial"/>
          <w:bCs/>
          <w:sz w:val="22"/>
        </w:rPr>
      </w:pPr>
    </w:p>
    <w:p w14:paraId="0A63C40B" w14:textId="77777777" w:rsidR="003956DE" w:rsidRPr="003956DE" w:rsidRDefault="003956DE" w:rsidP="003956DE">
      <w:pPr>
        <w:pStyle w:val="Body"/>
        <w:rPr>
          <w:rFonts w:ascii="Arial" w:hAnsi="Arial" w:cs="Arial"/>
          <w:bCs/>
          <w:szCs w:val="18"/>
          <w:lang w:val="en-PH"/>
        </w:rPr>
      </w:pPr>
      <w:r>
        <w:rPr>
          <w:rFonts w:ascii="Arial" w:hAnsi="Arial" w:cs="Arial"/>
          <w:bCs/>
          <w:szCs w:val="18"/>
          <w:lang w:val="en-PH"/>
        </w:rPr>
        <w:t>This study</w:t>
      </w:r>
      <w:r w:rsidRPr="003956DE">
        <w:rPr>
          <w:rFonts w:ascii="Arial" w:hAnsi="Arial" w:cs="Arial"/>
          <w:bCs/>
          <w:szCs w:val="18"/>
          <w:lang w:val="en-PH"/>
        </w:rPr>
        <w:t xml:space="preserve"> </w:t>
      </w:r>
      <w:r>
        <w:rPr>
          <w:rFonts w:ascii="Arial" w:hAnsi="Arial" w:cs="Arial"/>
          <w:bCs/>
          <w:szCs w:val="18"/>
          <w:lang w:val="en-PH"/>
        </w:rPr>
        <w:t>sought</w:t>
      </w:r>
      <w:r w:rsidRPr="003956DE">
        <w:rPr>
          <w:rFonts w:ascii="Arial" w:hAnsi="Arial" w:cs="Arial"/>
          <w:bCs/>
          <w:szCs w:val="18"/>
          <w:lang w:val="en-PH"/>
        </w:rPr>
        <w:t xml:space="preserve"> to answer the central question: What are the lived experiences of neophyte teachers in their transition from practice teaching to actual classroom responsibilities?</w:t>
      </w:r>
      <w:r>
        <w:rPr>
          <w:rFonts w:ascii="Arial" w:hAnsi="Arial" w:cs="Arial"/>
          <w:bCs/>
          <w:szCs w:val="18"/>
          <w:lang w:val="en-PH"/>
        </w:rPr>
        <w:t xml:space="preserve"> </w:t>
      </w:r>
      <w:r w:rsidRPr="003956DE">
        <w:rPr>
          <w:rFonts w:ascii="Arial" w:hAnsi="Arial" w:cs="Arial"/>
          <w:bCs/>
          <w:szCs w:val="18"/>
          <w:lang w:val="en-PH"/>
        </w:rPr>
        <w:t>To guide this inquiry, it aimed to answer the following sub-questions:</w:t>
      </w:r>
    </w:p>
    <w:p w14:paraId="30648E72" w14:textId="77777777" w:rsidR="003956DE" w:rsidRDefault="003956DE" w:rsidP="003956DE">
      <w:pPr>
        <w:pStyle w:val="Body"/>
        <w:rPr>
          <w:rFonts w:ascii="Arial" w:hAnsi="Arial" w:cs="Arial"/>
          <w:bCs/>
          <w:szCs w:val="18"/>
          <w:lang w:val="en-PH"/>
        </w:rPr>
      </w:pPr>
      <w:r w:rsidRPr="003956DE">
        <w:rPr>
          <w:rFonts w:ascii="Arial" w:hAnsi="Arial" w:cs="Arial"/>
          <w:bCs/>
          <w:szCs w:val="18"/>
          <w:lang w:val="en-PH"/>
        </w:rPr>
        <w:t>1.What were the neophyte teachers’ expectations of teaching prior to entering the profession? (Self / Situation)</w:t>
      </w:r>
    </w:p>
    <w:p w14:paraId="1CB98AF3" w14:textId="77777777" w:rsidR="003956DE" w:rsidRPr="003956DE" w:rsidRDefault="003956DE" w:rsidP="003956DE">
      <w:pPr>
        <w:pStyle w:val="Body"/>
        <w:rPr>
          <w:rFonts w:ascii="Arial" w:hAnsi="Arial" w:cs="Arial"/>
          <w:bCs/>
          <w:szCs w:val="18"/>
          <w:lang w:val="en-PH"/>
        </w:rPr>
      </w:pPr>
      <w:r w:rsidRPr="003956DE">
        <w:rPr>
          <w:rFonts w:ascii="Arial" w:hAnsi="Arial" w:cs="Arial"/>
          <w:bCs/>
          <w:szCs w:val="18"/>
          <w:lang w:val="en-PH"/>
        </w:rPr>
        <w:t>2.What challenges do they encounter in adjusting from practice teaching to actual classroom responsibilities? (Situation)</w:t>
      </w:r>
    </w:p>
    <w:p w14:paraId="15145676" w14:textId="77777777" w:rsidR="003956DE" w:rsidRPr="003956DE" w:rsidRDefault="003956DE" w:rsidP="003956DE">
      <w:pPr>
        <w:pStyle w:val="Body"/>
        <w:rPr>
          <w:rFonts w:ascii="Arial" w:hAnsi="Arial" w:cs="Arial"/>
          <w:bCs/>
          <w:szCs w:val="18"/>
          <w:lang w:val="en-PH"/>
        </w:rPr>
      </w:pPr>
      <w:r w:rsidRPr="003956DE">
        <w:rPr>
          <w:rFonts w:ascii="Arial" w:hAnsi="Arial" w:cs="Arial"/>
          <w:bCs/>
          <w:szCs w:val="18"/>
          <w:lang w:val="en-PH"/>
        </w:rPr>
        <w:t>3.What coping mechanisms and strategies do they employ to manage personal and professional adjustments during the transition? (Strategies)</w:t>
      </w:r>
    </w:p>
    <w:p w14:paraId="48459999" w14:textId="77777777" w:rsidR="003956DE" w:rsidRDefault="003956DE" w:rsidP="003956DE">
      <w:pPr>
        <w:pStyle w:val="Body"/>
        <w:spacing w:after="0"/>
        <w:rPr>
          <w:rFonts w:ascii="Arial" w:hAnsi="Arial" w:cs="Arial"/>
          <w:bCs/>
          <w:szCs w:val="18"/>
          <w:lang w:val="en-PH"/>
        </w:rPr>
      </w:pPr>
      <w:r w:rsidRPr="003956DE">
        <w:rPr>
          <w:rFonts w:ascii="Arial" w:hAnsi="Arial" w:cs="Arial"/>
          <w:bCs/>
          <w:szCs w:val="18"/>
          <w:lang w:val="en-PH"/>
        </w:rPr>
        <w:t>4.What insights and realizations do neophyte teachers derive from their lived experiences? (Self / Meaning-making)</w:t>
      </w:r>
    </w:p>
    <w:p w14:paraId="31226D48" w14:textId="77777777" w:rsidR="003956DE" w:rsidRPr="003956DE" w:rsidRDefault="003956DE" w:rsidP="003956DE">
      <w:pPr>
        <w:pStyle w:val="Body"/>
        <w:spacing w:after="0"/>
        <w:rPr>
          <w:rFonts w:ascii="Arial" w:hAnsi="Arial" w:cs="Arial"/>
          <w:b/>
          <w:caps/>
          <w:sz w:val="22"/>
          <w:lang w:val="en-PH"/>
        </w:rPr>
      </w:pPr>
    </w:p>
    <w:p w14:paraId="10C72FD0" w14:textId="77777777" w:rsidR="00505F06" w:rsidRPr="003956DE" w:rsidRDefault="00AA74E0" w:rsidP="00441B6F">
      <w:pPr>
        <w:pStyle w:val="Body"/>
        <w:spacing w:after="0"/>
        <w:rPr>
          <w:rFonts w:ascii="Arial" w:hAnsi="Arial" w:cs="Arial"/>
          <w:b/>
          <w:caps/>
          <w:sz w:val="22"/>
        </w:rPr>
      </w:pPr>
      <w:r w:rsidRPr="00C30A0F">
        <w:rPr>
          <w:rFonts w:ascii="Arial" w:hAnsi="Arial" w:cs="Arial"/>
          <w:b/>
          <w:caps/>
          <w:sz w:val="22"/>
        </w:rPr>
        <w:t>2.</w:t>
      </w:r>
      <w:r w:rsidR="003956DE">
        <w:rPr>
          <w:rFonts w:ascii="Arial" w:hAnsi="Arial" w:cs="Arial"/>
          <w:b/>
          <w:caps/>
          <w:sz w:val="22"/>
        </w:rPr>
        <w:t>3</w:t>
      </w:r>
      <w:r w:rsidRPr="00C30A0F">
        <w:rPr>
          <w:rFonts w:ascii="Arial" w:hAnsi="Arial" w:cs="Arial"/>
          <w:b/>
          <w:caps/>
          <w:sz w:val="22"/>
        </w:rPr>
        <w:t xml:space="preserve"> </w:t>
      </w:r>
      <w:r w:rsidR="00EC7340" w:rsidRPr="00EC7340">
        <w:rPr>
          <w:rFonts w:ascii="Arial" w:hAnsi="Arial" w:cs="Arial"/>
          <w:b/>
          <w:sz w:val="22"/>
        </w:rPr>
        <w:t>Research Design</w:t>
      </w:r>
    </w:p>
    <w:p w14:paraId="4481EB12" w14:textId="77777777" w:rsidR="00EC7340" w:rsidRDefault="00EC7340" w:rsidP="00441B6F">
      <w:pPr>
        <w:pStyle w:val="Body"/>
        <w:spacing w:after="0"/>
        <w:rPr>
          <w:rFonts w:ascii="Arial" w:hAnsi="Arial" w:cs="Arial"/>
          <w:bCs/>
          <w:sz w:val="22"/>
        </w:rPr>
      </w:pPr>
    </w:p>
    <w:p w14:paraId="4723E755" w14:textId="77777777" w:rsidR="00EC7340" w:rsidRPr="00EA57D8" w:rsidRDefault="006E3C68" w:rsidP="00441B6F">
      <w:pPr>
        <w:pStyle w:val="Body"/>
        <w:spacing w:after="0"/>
        <w:rPr>
          <w:rFonts w:ascii="Arial" w:hAnsi="Arial" w:cs="Arial"/>
          <w:bCs/>
          <w:szCs w:val="18"/>
          <w:lang w:val="en-PH"/>
        </w:rPr>
      </w:pPr>
      <w:r w:rsidRPr="00EA57D8">
        <w:rPr>
          <w:rFonts w:ascii="Arial" w:hAnsi="Arial" w:cs="Arial"/>
          <w:bCs/>
          <w:szCs w:val="18"/>
          <w:lang w:val="en-PH"/>
        </w:rPr>
        <w:t>This study utilized a qualitative phenomenological research design to describe and understand the lived experiences of neophyte teachers during their transition from practice teaching to actual classroom responsibilities. Phenomenology was appropriate because the inquiry focused on how individuals experience, perceive, and make meaning of a particular phenomenon, rather than on measuring predetermined variables or testing causal relationships (Creswell &amp; Poth, 2018; Van Manen, 2016).</w:t>
      </w:r>
    </w:p>
    <w:p w14:paraId="476E80E5" w14:textId="77777777" w:rsidR="001F3941" w:rsidRDefault="001F3941" w:rsidP="00441B6F">
      <w:pPr>
        <w:pStyle w:val="Body"/>
        <w:spacing w:after="0"/>
        <w:rPr>
          <w:rFonts w:ascii="Arial" w:hAnsi="Arial" w:cs="Arial"/>
          <w:bCs/>
          <w:sz w:val="22"/>
          <w:lang w:val="en-PH"/>
        </w:rPr>
      </w:pPr>
    </w:p>
    <w:p w14:paraId="7553A2EF" w14:textId="77777777" w:rsidR="001F3941" w:rsidRPr="001F3941" w:rsidRDefault="001F3941" w:rsidP="001F3941">
      <w:pPr>
        <w:pStyle w:val="Body"/>
        <w:rPr>
          <w:rFonts w:ascii="Arial" w:hAnsi="Arial" w:cs="Arial"/>
          <w:b/>
          <w:sz w:val="22"/>
          <w:lang w:val="en-PH"/>
        </w:rPr>
      </w:pPr>
      <w:r>
        <w:rPr>
          <w:rFonts w:ascii="Arial" w:hAnsi="Arial" w:cs="Arial"/>
          <w:b/>
          <w:sz w:val="22"/>
        </w:rPr>
        <w:t>2.</w:t>
      </w:r>
      <w:r w:rsidR="003956DE">
        <w:rPr>
          <w:rFonts w:ascii="Arial" w:hAnsi="Arial" w:cs="Arial"/>
          <w:b/>
          <w:sz w:val="22"/>
        </w:rPr>
        <w:t>4</w:t>
      </w:r>
      <w:r>
        <w:rPr>
          <w:rFonts w:ascii="Arial" w:hAnsi="Arial" w:cs="Arial"/>
          <w:b/>
          <w:sz w:val="22"/>
        </w:rPr>
        <w:t xml:space="preserve"> </w:t>
      </w:r>
      <w:r w:rsidRPr="001F3941">
        <w:rPr>
          <w:rFonts w:ascii="Arial" w:hAnsi="Arial" w:cs="Arial"/>
          <w:b/>
          <w:sz w:val="22"/>
          <w:lang w:val="en-PH"/>
        </w:rPr>
        <w:t>Research Locale</w:t>
      </w:r>
    </w:p>
    <w:p w14:paraId="249EB18C" w14:textId="77777777" w:rsidR="001F3941" w:rsidRPr="00EA57D8" w:rsidRDefault="001F3941" w:rsidP="00441B6F">
      <w:pPr>
        <w:pStyle w:val="Body"/>
        <w:spacing w:after="0"/>
        <w:rPr>
          <w:rFonts w:ascii="Arial" w:hAnsi="Arial" w:cs="Arial"/>
          <w:bCs/>
          <w:szCs w:val="18"/>
          <w:lang w:val="en-PH"/>
        </w:rPr>
      </w:pPr>
      <w:r w:rsidRPr="00EA57D8">
        <w:rPr>
          <w:rFonts w:ascii="Arial" w:hAnsi="Arial" w:cs="Arial"/>
          <w:bCs/>
          <w:szCs w:val="18"/>
          <w:lang w:val="en-PH"/>
        </w:rPr>
        <w:lastRenderedPageBreak/>
        <w:t xml:space="preserve">The study was conducted in a private school in </w:t>
      </w:r>
      <w:proofErr w:type="spellStart"/>
      <w:r w:rsidRPr="00EA57D8">
        <w:rPr>
          <w:rFonts w:ascii="Arial" w:hAnsi="Arial" w:cs="Arial"/>
          <w:bCs/>
          <w:szCs w:val="18"/>
          <w:lang w:val="en-PH"/>
        </w:rPr>
        <w:t>Dipolog</w:t>
      </w:r>
      <w:proofErr w:type="spellEnd"/>
      <w:r w:rsidRPr="00EA57D8">
        <w:rPr>
          <w:rFonts w:ascii="Arial" w:hAnsi="Arial" w:cs="Arial"/>
          <w:bCs/>
          <w:szCs w:val="18"/>
          <w:lang w:val="en-PH"/>
        </w:rPr>
        <w:t xml:space="preserve"> City, Zamboanga del Norte, located along Fr. </w:t>
      </w:r>
      <w:proofErr w:type="spellStart"/>
      <w:r w:rsidRPr="00EA57D8">
        <w:rPr>
          <w:rFonts w:ascii="Arial" w:hAnsi="Arial" w:cs="Arial"/>
          <w:bCs/>
          <w:szCs w:val="18"/>
          <w:lang w:val="en-PH"/>
        </w:rPr>
        <w:t>Patangan</w:t>
      </w:r>
      <w:proofErr w:type="spellEnd"/>
      <w:r w:rsidRPr="00EA57D8">
        <w:rPr>
          <w:rFonts w:ascii="Arial" w:hAnsi="Arial" w:cs="Arial"/>
          <w:bCs/>
          <w:szCs w:val="18"/>
          <w:lang w:val="en-PH"/>
        </w:rPr>
        <w:t xml:space="preserve"> Road in Barangay Sta. Filomena. The institution is a private sectarian school under the supervision of the Lasallian Schools Supervision Office (LASSO). The institution offers an Integrated School program that provides continuous basic education from Preschool to Senior High School. In the Integrated School, teacher turnover occurs regularly, with an average of five to eight (5–8) teachers leaving the institution each school year for varied personal and professional reasons.</w:t>
      </w:r>
    </w:p>
    <w:p w14:paraId="770E121C" w14:textId="77777777" w:rsidR="001F3941" w:rsidRDefault="001F3941" w:rsidP="00441B6F">
      <w:pPr>
        <w:pStyle w:val="Body"/>
        <w:spacing w:after="0"/>
        <w:rPr>
          <w:rFonts w:ascii="Arial" w:hAnsi="Arial" w:cs="Arial"/>
          <w:bCs/>
          <w:sz w:val="22"/>
          <w:lang w:val="en-PH"/>
        </w:rPr>
      </w:pPr>
    </w:p>
    <w:p w14:paraId="71D9BC99" w14:textId="77777777" w:rsidR="001F3941" w:rsidRDefault="001F3941" w:rsidP="00441B6F">
      <w:pPr>
        <w:pStyle w:val="Body"/>
        <w:spacing w:after="0"/>
        <w:rPr>
          <w:rFonts w:ascii="Arial" w:hAnsi="Arial" w:cs="Arial"/>
          <w:bCs/>
          <w:sz w:val="22"/>
          <w:lang w:val="en-PH"/>
        </w:rPr>
      </w:pPr>
      <w:r>
        <w:rPr>
          <w:rFonts w:ascii="Arial" w:hAnsi="Arial" w:cs="Arial"/>
          <w:b/>
          <w:sz w:val="22"/>
          <w:lang w:val="en-PH"/>
        </w:rPr>
        <w:t>2.</w:t>
      </w:r>
      <w:r w:rsidR="003956DE">
        <w:rPr>
          <w:rFonts w:ascii="Arial" w:hAnsi="Arial" w:cs="Arial"/>
          <w:b/>
          <w:sz w:val="22"/>
          <w:lang w:val="en-PH"/>
        </w:rPr>
        <w:t>5</w:t>
      </w:r>
      <w:r>
        <w:rPr>
          <w:rFonts w:ascii="Arial" w:hAnsi="Arial" w:cs="Arial"/>
          <w:b/>
          <w:sz w:val="22"/>
          <w:lang w:val="en-PH"/>
        </w:rPr>
        <w:t xml:space="preserve"> </w:t>
      </w:r>
      <w:r w:rsidRPr="001F3941">
        <w:rPr>
          <w:rFonts w:ascii="Arial" w:hAnsi="Arial" w:cs="Arial"/>
          <w:b/>
          <w:sz w:val="22"/>
          <w:lang w:val="en-PH"/>
        </w:rPr>
        <w:t>Research Participants</w:t>
      </w:r>
    </w:p>
    <w:p w14:paraId="4925204F" w14:textId="77777777" w:rsidR="001F3941" w:rsidRDefault="001F3941" w:rsidP="00441B6F">
      <w:pPr>
        <w:pStyle w:val="Body"/>
        <w:spacing w:after="0"/>
        <w:rPr>
          <w:rFonts w:ascii="Arial" w:hAnsi="Arial" w:cs="Arial"/>
          <w:bCs/>
          <w:sz w:val="22"/>
          <w:lang w:val="en-PH"/>
        </w:rPr>
      </w:pPr>
    </w:p>
    <w:p w14:paraId="305551BD" w14:textId="77777777" w:rsidR="001F3941" w:rsidRPr="00EA57D8" w:rsidRDefault="001F3941" w:rsidP="00441B6F">
      <w:pPr>
        <w:pStyle w:val="Body"/>
        <w:spacing w:after="0"/>
        <w:rPr>
          <w:rFonts w:ascii="Arial" w:hAnsi="Arial" w:cs="Arial"/>
          <w:bCs/>
          <w:szCs w:val="18"/>
          <w:lang w:val="en-PH"/>
        </w:rPr>
      </w:pPr>
      <w:r w:rsidRPr="00EA57D8">
        <w:rPr>
          <w:rFonts w:ascii="Arial" w:hAnsi="Arial" w:cs="Arial"/>
          <w:bCs/>
          <w:szCs w:val="18"/>
          <w:lang w:val="en-PH"/>
        </w:rPr>
        <w:t xml:space="preserve">The participants of this study were seven (7) neophyte teachers employed in a private sectarian school in </w:t>
      </w:r>
      <w:proofErr w:type="spellStart"/>
      <w:r w:rsidRPr="00EA57D8">
        <w:rPr>
          <w:rFonts w:ascii="Arial" w:hAnsi="Arial" w:cs="Arial"/>
          <w:bCs/>
          <w:szCs w:val="18"/>
          <w:lang w:val="en-PH"/>
        </w:rPr>
        <w:t>Dipolog</w:t>
      </w:r>
      <w:proofErr w:type="spellEnd"/>
      <w:r w:rsidRPr="00EA57D8">
        <w:rPr>
          <w:rFonts w:ascii="Arial" w:hAnsi="Arial" w:cs="Arial"/>
          <w:bCs/>
          <w:szCs w:val="18"/>
          <w:lang w:val="en-PH"/>
        </w:rPr>
        <w:t xml:space="preserve"> City, Zamboanga del Norte. For the purpose of this research, neophyte teachers were defined as teachers who were in their first teaching job and first school assignment after passing the Licensure Examination for Teachers (LET). All participants were under probationary status, had less than three years of teaching experience, and had been teaching in the institution for at least three months at the time of data collection. These criteria ensured that participants had sufficient exposure to actual classroom responsibilities while still being in the early stage of professional transition.</w:t>
      </w:r>
    </w:p>
    <w:p w14:paraId="542D8DBC" w14:textId="77777777" w:rsidR="000A67B6" w:rsidRDefault="000A67B6" w:rsidP="00441B6F">
      <w:pPr>
        <w:pStyle w:val="Body"/>
        <w:spacing w:after="0"/>
        <w:rPr>
          <w:rFonts w:ascii="Arial" w:hAnsi="Arial" w:cs="Arial"/>
          <w:bCs/>
          <w:sz w:val="22"/>
          <w:lang w:val="en-PH"/>
        </w:rPr>
      </w:pPr>
    </w:p>
    <w:p w14:paraId="72A34979" w14:textId="77777777" w:rsidR="000A67B6" w:rsidRDefault="000A67B6" w:rsidP="00441B6F">
      <w:pPr>
        <w:pStyle w:val="Body"/>
        <w:spacing w:after="0"/>
        <w:rPr>
          <w:rFonts w:ascii="Arial" w:hAnsi="Arial" w:cs="Arial"/>
          <w:bCs/>
          <w:sz w:val="22"/>
          <w:lang w:val="en-PH"/>
        </w:rPr>
      </w:pPr>
      <w:r>
        <w:rPr>
          <w:rFonts w:ascii="Arial" w:hAnsi="Arial" w:cs="Arial"/>
          <w:b/>
          <w:sz w:val="22"/>
          <w:lang w:val="en-PH"/>
        </w:rPr>
        <w:t>2.</w:t>
      </w:r>
      <w:r w:rsidR="003956DE">
        <w:rPr>
          <w:rFonts w:ascii="Arial" w:hAnsi="Arial" w:cs="Arial"/>
          <w:b/>
          <w:sz w:val="22"/>
          <w:lang w:val="en-PH"/>
        </w:rPr>
        <w:t>6</w:t>
      </w:r>
      <w:r>
        <w:rPr>
          <w:rFonts w:ascii="Arial" w:hAnsi="Arial" w:cs="Arial"/>
          <w:b/>
          <w:sz w:val="22"/>
          <w:lang w:val="en-PH"/>
        </w:rPr>
        <w:t xml:space="preserve"> Research Instrument</w:t>
      </w:r>
    </w:p>
    <w:p w14:paraId="7D46A189" w14:textId="77777777" w:rsidR="000A67B6" w:rsidRDefault="000A67B6" w:rsidP="00441B6F">
      <w:pPr>
        <w:pStyle w:val="Body"/>
        <w:spacing w:after="0"/>
        <w:rPr>
          <w:rFonts w:ascii="Arial" w:hAnsi="Arial" w:cs="Arial"/>
          <w:bCs/>
          <w:sz w:val="22"/>
          <w:lang w:val="en-PH"/>
        </w:rPr>
      </w:pPr>
    </w:p>
    <w:p w14:paraId="19B00B45" w14:textId="77777777" w:rsidR="004E6F3F" w:rsidRPr="004E6F3F" w:rsidRDefault="004E6F3F" w:rsidP="004E6F3F">
      <w:pPr>
        <w:pStyle w:val="Body"/>
        <w:rPr>
          <w:rFonts w:ascii="Arial" w:hAnsi="Arial" w:cs="Arial"/>
          <w:bCs/>
          <w:szCs w:val="18"/>
          <w:lang w:val="en-PH"/>
        </w:rPr>
      </w:pPr>
      <w:r w:rsidRPr="004E6F3F">
        <w:rPr>
          <w:rFonts w:ascii="Arial" w:hAnsi="Arial" w:cs="Arial"/>
          <w:bCs/>
          <w:szCs w:val="18"/>
          <w:lang w:val="en-PH"/>
        </w:rPr>
        <w:t>In qualitative phenomenological inquiry, the primary instrument for data collection is the researcher, who actively engages with participants to elicit, interpret, and make sense of lived experiences. As emphasized by Merriam and Tisdell (2016), qualitative research relies on the researcher as the main instrument because meanings are co-constructed through interaction, dialogue, and reflection between the researcher and participants. In this study, the researcher served as the primary instrument in gathering, recording, and interpreting the lived transition experiences of neophyte teachers as they moved from practice teaching to actual classroom responsibilities.</w:t>
      </w:r>
    </w:p>
    <w:p w14:paraId="11AD0B58" w14:textId="77777777" w:rsidR="004E6F3F" w:rsidRPr="004E6F3F" w:rsidRDefault="004E6F3F" w:rsidP="004E6F3F">
      <w:pPr>
        <w:pStyle w:val="Body"/>
        <w:rPr>
          <w:rFonts w:ascii="Arial" w:hAnsi="Arial" w:cs="Arial"/>
          <w:bCs/>
          <w:szCs w:val="18"/>
          <w:lang w:val="en-PH"/>
        </w:rPr>
      </w:pPr>
      <w:r w:rsidRPr="004E6F3F">
        <w:rPr>
          <w:rFonts w:ascii="Arial" w:hAnsi="Arial" w:cs="Arial"/>
          <w:bCs/>
          <w:szCs w:val="18"/>
          <w:lang w:val="en-PH"/>
        </w:rPr>
        <w:t>To support systematic and focused data collection, a semi-structured interview guide was utilized. The guide was carefully developed based on the Statement of the Problem (SOP) and the theoretical grounding of the study, particularly Schlossberg’s Transition Theory. This ensured that all interviews addressed the core dimensions of the transition experience while allowing flexibility for participants to narrate their experiences in their own words. Semi-structured interviews are particularly appropriate for phenomenological studies because they provide a balance between structure and openness, enabling participants to describe the depth, complexity, and meaning of their lived experiences (Kallio et al., 2016).</w:t>
      </w:r>
    </w:p>
    <w:p w14:paraId="3698E811" w14:textId="77777777" w:rsidR="00EC7340" w:rsidRPr="00EA57D8" w:rsidRDefault="00EA57D8" w:rsidP="00EA57D8">
      <w:pPr>
        <w:pStyle w:val="Body"/>
        <w:rPr>
          <w:rFonts w:ascii="Arial" w:hAnsi="Arial" w:cs="Arial"/>
          <w:b/>
          <w:sz w:val="22"/>
          <w:lang w:val="en-PH"/>
        </w:rPr>
      </w:pPr>
      <w:r>
        <w:rPr>
          <w:rFonts w:ascii="Arial" w:hAnsi="Arial" w:cs="Arial"/>
          <w:b/>
          <w:sz w:val="22"/>
          <w:lang w:val="en-PH"/>
        </w:rPr>
        <w:t>2.</w:t>
      </w:r>
      <w:r w:rsidR="003956DE">
        <w:rPr>
          <w:rFonts w:ascii="Arial" w:hAnsi="Arial" w:cs="Arial"/>
          <w:b/>
          <w:sz w:val="22"/>
          <w:lang w:val="en-PH"/>
        </w:rPr>
        <w:t>7</w:t>
      </w:r>
      <w:r>
        <w:rPr>
          <w:rFonts w:ascii="Arial" w:hAnsi="Arial" w:cs="Arial"/>
          <w:b/>
          <w:sz w:val="22"/>
          <w:lang w:val="en-PH"/>
        </w:rPr>
        <w:t xml:space="preserve"> </w:t>
      </w:r>
      <w:r w:rsidRPr="00EA57D8">
        <w:rPr>
          <w:rFonts w:ascii="Arial" w:hAnsi="Arial" w:cs="Arial"/>
          <w:b/>
          <w:sz w:val="22"/>
          <w:lang w:val="en-PH"/>
        </w:rPr>
        <w:t>Research Procedure</w:t>
      </w:r>
    </w:p>
    <w:p w14:paraId="230B9763" w14:textId="77777777" w:rsidR="00EA57D8" w:rsidRPr="00EA57D8" w:rsidRDefault="00AA74E0" w:rsidP="00EA57D8">
      <w:pPr>
        <w:pStyle w:val="Body"/>
        <w:rPr>
          <w:rFonts w:ascii="Arial" w:hAnsi="Arial" w:cs="Arial"/>
          <w:b/>
          <w:i/>
          <w:u w:val="single"/>
          <w:lang w:val="en-PH"/>
        </w:rPr>
      </w:pPr>
      <w:r>
        <w:rPr>
          <w:rFonts w:ascii="Arial" w:hAnsi="Arial" w:cs="Arial"/>
          <w:b/>
          <w:u w:val="single"/>
        </w:rPr>
        <w:t>2</w:t>
      </w:r>
      <w:r w:rsidRPr="00902823">
        <w:rPr>
          <w:rFonts w:ascii="Arial" w:hAnsi="Arial" w:cs="Arial"/>
          <w:b/>
          <w:u w:val="single"/>
        </w:rPr>
        <w:t>.</w:t>
      </w:r>
      <w:r w:rsidR="003956DE">
        <w:rPr>
          <w:rFonts w:ascii="Arial" w:hAnsi="Arial" w:cs="Arial"/>
          <w:b/>
          <w:u w:val="single"/>
        </w:rPr>
        <w:t>7</w:t>
      </w:r>
      <w:r w:rsidRPr="00902823">
        <w:rPr>
          <w:rFonts w:ascii="Arial" w:hAnsi="Arial" w:cs="Arial"/>
          <w:b/>
          <w:u w:val="single"/>
        </w:rPr>
        <w:t xml:space="preserve">.1 </w:t>
      </w:r>
      <w:r w:rsidR="00EA57D8" w:rsidRPr="00EA57D8">
        <w:rPr>
          <w:rFonts w:ascii="Arial" w:hAnsi="Arial" w:cs="Arial"/>
          <w:b/>
          <w:iCs/>
          <w:u w:val="single"/>
          <w:lang w:val="en-PH"/>
        </w:rPr>
        <w:t>Preliminary Procedures</w:t>
      </w:r>
    </w:p>
    <w:p w14:paraId="0EBB882F" w14:textId="77777777" w:rsidR="007C460B" w:rsidRPr="007C460B" w:rsidRDefault="007C460B" w:rsidP="007C460B">
      <w:pPr>
        <w:pStyle w:val="Body"/>
        <w:rPr>
          <w:rFonts w:ascii="Arial" w:hAnsi="Arial" w:cs="Arial"/>
          <w:bCs/>
          <w:iCs/>
          <w:lang w:val="en-PH"/>
        </w:rPr>
      </w:pPr>
      <w:r w:rsidRPr="007C460B">
        <w:rPr>
          <w:rFonts w:ascii="Arial" w:hAnsi="Arial" w:cs="Arial"/>
          <w:bCs/>
          <w:iCs/>
          <w:lang w:val="en-PH"/>
        </w:rPr>
        <w:t>Prior to data collection, a semi-structured interview guide was developed based on the Statement of the Problem and the four sub-questions of the study, which focused on expectations, challenges, coping strategies, and insights derived from the transition experience. The interview guide was subjected to expert review by the research professor, who was not involved in the conduct of the interviews, to establish content validity. Expert validation in qualitative research helps ensure that interview questions are aligned with the research objectives, are clearly worded, non-leading, and capable of eliciting meaningful and relevant responses (Creswell &amp; Poth, 2018).</w:t>
      </w:r>
    </w:p>
    <w:p w14:paraId="4B643709" w14:textId="77777777" w:rsidR="00AA74E0" w:rsidRDefault="007C460B" w:rsidP="007C460B">
      <w:pPr>
        <w:pStyle w:val="Body"/>
        <w:rPr>
          <w:rFonts w:ascii="Arial" w:hAnsi="Arial" w:cs="Arial"/>
          <w:bCs/>
          <w:iCs/>
          <w:lang w:val="en-PH"/>
        </w:rPr>
      </w:pPr>
      <w:r w:rsidRPr="007C460B">
        <w:rPr>
          <w:rFonts w:ascii="Arial" w:hAnsi="Arial" w:cs="Arial"/>
          <w:bCs/>
          <w:iCs/>
          <w:lang w:val="en-PH"/>
        </w:rPr>
        <w:t>Following expert validation, the interview guide underwent pilot testing with one neophyte teacher who met the same inclusion criteria as the study participants but was excluded from the final data set. Although eight neophyte teachers initially qualified for participation based on the study criteria, one was deliberately designated for pilot testing to refine the instrument. Pilot testing allowed the researcher to assess the clarity, flow, and answerability of the interview questions and to determine whether the prompts generated rich, reflective narratives consistent with phenomenological inquiry. Kallio et al. (2016) emphasized that pilot testing is a critical step in the development of semi-structured interviews, as it allows researchers to refine wording, sequencing, and probing strategies before actual data collection. Based on feedback from the pilot interview, minor revisions were made to improve question clarity and coherence.</w:t>
      </w:r>
    </w:p>
    <w:p w14:paraId="5EA02471" w14:textId="77777777" w:rsidR="007C460B" w:rsidRPr="007C460B" w:rsidRDefault="007C460B" w:rsidP="007C460B">
      <w:pPr>
        <w:pStyle w:val="Body"/>
        <w:rPr>
          <w:rFonts w:ascii="Arial" w:hAnsi="Arial" w:cs="Arial"/>
          <w:b/>
          <w:i/>
          <w:iCs/>
          <w:u w:val="single"/>
          <w:lang w:val="en-PH"/>
        </w:rPr>
      </w:pPr>
      <w:r>
        <w:rPr>
          <w:rFonts w:ascii="Arial" w:hAnsi="Arial" w:cs="Arial"/>
          <w:b/>
          <w:u w:val="single"/>
        </w:rPr>
        <w:t>2</w:t>
      </w:r>
      <w:r w:rsidRPr="00902823">
        <w:rPr>
          <w:rFonts w:ascii="Arial" w:hAnsi="Arial" w:cs="Arial"/>
          <w:b/>
          <w:u w:val="single"/>
        </w:rPr>
        <w:t>.</w:t>
      </w:r>
      <w:r w:rsidR="003956DE">
        <w:rPr>
          <w:rFonts w:ascii="Arial" w:hAnsi="Arial" w:cs="Arial"/>
          <w:b/>
          <w:u w:val="single"/>
        </w:rPr>
        <w:t>7</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7C460B">
        <w:rPr>
          <w:rFonts w:ascii="Arial" w:hAnsi="Arial" w:cs="Arial"/>
          <w:b/>
          <w:u w:val="single"/>
          <w:lang w:val="en-PH"/>
        </w:rPr>
        <w:t>Data Gathering</w:t>
      </w:r>
    </w:p>
    <w:p w14:paraId="40A2EA87" w14:textId="77777777" w:rsidR="002644AC" w:rsidRPr="002644AC" w:rsidRDefault="002644AC" w:rsidP="002644AC">
      <w:pPr>
        <w:pStyle w:val="Body"/>
        <w:rPr>
          <w:rFonts w:ascii="Arial" w:hAnsi="Arial" w:cs="Arial"/>
          <w:bCs/>
          <w:iCs/>
          <w:lang w:val="en-PH"/>
        </w:rPr>
      </w:pPr>
      <w:r w:rsidRPr="002644AC">
        <w:rPr>
          <w:rFonts w:ascii="Arial" w:hAnsi="Arial" w:cs="Arial"/>
          <w:bCs/>
          <w:iCs/>
          <w:lang w:val="en-PH"/>
        </w:rPr>
        <w:lastRenderedPageBreak/>
        <w:t>After validation and pilot testing, actual data collection was conducted with the remaining seven (7) neophyte teachers, who constituted the final participant pool for the study. Prior to the interviews, the researcher formally sought and obtained written permission from the school administration to conduct the study. Each participant was provided with an informed consent form explaining the purpose of the study, the voluntary nature of participation, the right to withdraw at any time, and assurances of confidentiality and anonymity, consistent with ethical standards in qualitative research (Merriam &amp; Tisdell, 2016).</w:t>
      </w:r>
    </w:p>
    <w:p w14:paraId="450C10F6" w14:textId="77777777" w:rsidR="00237ADE" w:rsidRPr="00237ADE" w:rsidRDefault="002644AC" w:rsidP="00237ADE">
      <w:pPr>
        <w:pStyle w:val="Body"/>
        <w:rPr>
          <w:rFonts w:ascii="Arial" w:hAnsi="Arial" w:cs="Arial"/>
          <w:bCs/>
          <w:iCs/>
          <w:lang w:val="en-PH"/>
        </w:rPr>
      </w:pPr>
      <w:r w:rsidRPr="002644AC">
        <w:rPr>
          <w:rFonts w:ascii="Arial" w:hAnsi="Arial" w:cs="Arial"/>
          <w:bCs/>
          <w:iCs/>
          <w:lang w:val="en-PH"/>
        </w:rPr>
        <w:t xml:space="preserve">Data were collected through individual, face-to-face semi-structured interviews conducted in a quiet and private setting within the school to promote openness and minimize distractions. </w:t>
      </w:r>
      <w:r w:rsidR="00237ADE" w:rsidRPr="00237ADE">
        <w:rPr>
          <w:rFonts w:ascii="Arial" w:hAnsi="Arial" w:cs="Arial"/>
          <w:bCs/>
          <w:iCs/>
          <w:lang w:val="en-PH"/>
        </w:rPr>
        <w:t>With participants’ permission, all interviews were audio-recorded to ensure accuracy and completeness of the data. The researcher also maintained field notes to document non-verbal cues, contextual details, and reflective observations during and immediately after each interview. Each interview lasted approximately 45 minutes to one hour, depending on the depth and richness of participants’ responses. The collected data served as the primary basis for thematic analysis using Braun and Clarke’s reflexive thematic analysis framework.</w:t>
      </w:r>
    </w:p>
    <w:p w14:paraId="7AF397FD" w14:textId="77777777" w:rsidR="00790ADA" w:rsidRPr="00B6347B" w:rsidRDefault="00B6347B" w:rsidP="00B6347B">
      <w:pPr>
        <w:pStyle w:val="Body"/>
        <w:rPr>
          <w:rFonts w:ascii="Arial" w:hAnsi="Arial" w:cs="Arial"/>
          <w:b/>
          <w:sz w:val="22"/>
          <w:lang w:val="en-PH"/>
        </w:rPr>
      </w:pPr>
      <w:r>
        <w:rPr>
          <w:rFonts w:ascii="Arial" w:hAnsi="Arial" w:cs="Arial"/>
          <w:b/>
          <w:sz w:val="22"/>
          <w:lang w:val="en-PH"/>
        </w:rPr>
        <w:t>2.</w:t>
      </w:r>
      <w:r w:rsidR="003956DE">
        <w:rPr>
          <w:rFonts w:ascii="Arial" w:hAnsi="Arial" w:cs="Arial"/>
          <w:b/>
          <w:sz w:val="22"/>
          <w:lang w:val="en-PH"/>
        </w:rPr>
        <w:t>8</w:t>
      </w:r>
      <w:r>
        <w:rPr>
          <w:rFonts w:ascii="Arial" w:hAnsi="Arial" w:cs="Arial"/>
          <w:b/>
          <w:sz w:val="22"/>
          <w:lang w:val="en-PH"/>
        </w:rPr>
        <w:t xml:space="preserve"> Data Analysis</w:t>
      </w:r>
    </w:p>
    <w:p w14:paraId="6E1AB0F4" w14:textId="77777777" w:rsidR="00EB0BF2" w:rsidRPr="00EB0BF2" w:rsidRDefault="00EB0BF2" w:rsidP="00EB0BF2">
      <w:pPr>
        <w:pStyle w:val="Body"/>
        <w:rPr>
          <w:rFonts w:ascii="Arial" w:hAnsi="Arial" w:cs="Arial"/>
          <w:lang w:val="en-PH"/>
        </w:rPr>
      </w:pPr>
      <w:r w:rsidRPr="00EB0BF2">
        <w:rPr>
          <w:rFonts w:ascii="Arial" w:hAnsi="Arial" w:cs="Arial"/>
          <w:lang w:val="en-PH"/>
        </w:rPr>
        <w:t xml:space="preserve">The qualitative data generated from the semi-structured interviews were analyzed using Braun and Clarke’s reflexive thematic analysis (RTA). Reflexive thematic analysis is a theoretically flexible yet methodologically rigorous approach designed to identify, analyze, and interpret patterned meaning across qualitative datasets (Braun &amp; Clarke, 2006, 2019, 2022). RTA supports the examination of how participants construct, interpret, and reflect upon their expectations, challenges, coping strategies, and insights during the shift from practice teaching to actual classroom responsibilities (Braun &amp; Clarke, 2019; </w:t>
      </w:r>
      <w:r w:rsidR="00241708">
        <w:rPr>
          <w:rFonts w:ascii="Arial" w:hAnsi="Arial" w:cs="Arial"/>
          <w:lang w:val="en-PH"/>
        </w:rPr>
        <w:t>V</w:t>
      </w:r>
      <w:r w:rsidRPr="00EB0BF2">
        <w:rPr>
          <w:rFonts w:ascii="Arial" w:hAnsi="Arial" w:cs="Arial"/>
          <w:lang w:val="en-PH"/>
        </w:rPr>
        <w:t>an Manen, 2016).</w:t>
      </w:r>
    </w:p>
    <w:p w14:paraId="11037E26" w14:textId="77777777" w:rsidR="00B6347B" w:rsidRPr="0000450E" w:rsidRDefault="00EB0BF2" w:rsidP="0000450E">
      <w:pPr>
        <w:pStyle w:val="Body"/>
        <w:rPr>
          <w:rFonts w:ascii="Arial" w:hAnsi="Arial" w:cs="Arial"/>
          <w:lang w:val="en-PH"/>
        </w:rPr>
      </w:pPr>
      <w:r w:rsidRPr="00EB0BF2">
        <w:rPr>
          <w:rFonts w:ascii="Arial" w:hAnsi="Arial" w:cs="Arial"/>
          <w:lang w:val="en-PH"/>
        </w:rPr>
        <w:t>All interviews were audio-recorded with participants’ consent and subsequently transcribed verbatim, capturing participants’ exact words, pauses, emphases, and emotional expressions. Verbatim transcription is essential in phenomenological research because it preserves the integrity and richness of participants’ lived accounts (</w:t>
      </w:r>
      <w:r w:rsidR="00342F34">
        <w:rPr>
          <w:rFonts w:ascii="Arial" w:hAnsi="Arial" w:cs="Arial"/>
          <w:lang w:val="en-PH"/>
        </w:rPr>
        <w:t>V</w:t>
      </w:r>
      <w:r w:rsidRPr="00EB0BF2">
        <w:rPr>
          <w:rFonts w:ascii="Arial" w:hAnsi="Arial" w:cs="Arial"/>
          <w:lang w:val="en-PH"/>
        </w:rPr>
        <w:t>an Manen, 2016). Since several interviews were conducted using a combination of English and the local language, the full verbatim transcripts were carefully translated into English prior to analysis. Translation was conducted with attention to preserving the original meaning, tone, and intent of participants’ responses rather than producing literal word-for-word equivalents, consistent with best practices in qualitative translation (Temple &amp; Young, 2004). The English-translated transcripts served as the primary dataset for coding and thematic analysis.</w:t>
      </w:r>
    </w:p>
    <w:p w14:paraId="4E0B34D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EF82A47" w14:textId="77777777" w:rsidR="00807BA1" w:rsidRDefault="00807BA1" w:rsidP="00441B6F">
      <w:pPr>
        <w:pStyle w:val="Body"/>
        <w:spacing w:after="0"/>
        <w:rPr>
          <w:rFonts w:ascii="Arial" w:hAnsi="Arial" w:cs="Arial"/>
        </w:rPr>
      </w:pPr>
    </w:p>
    <w:p w14:paraId="09C98A2A" w14:textId="7BB7EA00" w:rsidR="00CC257C" w:rsidRPr="002233DC" w:rsidRDefault="002233DC" w:rsidP="00441B6F">
      <w:pPr>
        <w:pStyle w:val="Body"/>
        <w:spacing w:after="0"/>
        <w:rPr>
          <w:rFonts w:ascii="Arial" w:hAnsi="Arial" w:cs="Arial"/>
        </w:rPr>
      </w:pPr>
      <w:r w:rsidRPr="002233DC">
        <w:rPr>
          <w:rFonts w:ascii="Arial" w:hAnsi="Arial" w:cs="Arial"/>
        </w:rPr>
        <w:t>In this study, the transition of neophyte teachers may be understood as crossing a bridge from a carefully drawn blueprint to a living city. Practice teaching resembled a blueprint world</w:t>
      </w:r>
      <w:r w:rsidR="002A1D9E">
        <w:rPr>
          <w:rFonts w:ascii="Arial" w:hAnsi="Arial" w:cs="Arial"/>
        </w:rPr>
        <w:t xml:space="preserve">, </w:t>
      </w:r>
      <w:r w:rsidRPr="002233DC">
        <w:rPr>
          <w:rFonts w:ascii="Arial" w:hAnsi="Arial" w:cs="Arial"/>
        </w:rPr>
        <w:t>guided, orderly, and relatively predictable</w:t>
      </w:r>
      <w:r w:rsidR="002A1D9E">
        <w:rPr>
          <w:rFonts w:ascii="Arial" w:hAnsi="Arial" w:cs="Arial"/>
        </w:rPr>
        <w:t xml:space="preserve">, </w:t>
      </w:r>
      <w:r w:rsidRPr="002233DC">
        <w:rPr>
          <w:rFonts w:ascii="Arial" w:hAnsi="Arial" w:cs="Arial"/>
        </w:rPr>
        <w:t>where expectations were formed through supervised lessons and ideal conditions. Actual classroom teaching, however, emerged as a living city marked by learner diversity, workload, institutional expectations, and disruption. Within Schlossberg’s Transition Theory, this early transition reflects how the self and situation are initially appraised before their full demands are encountered (Schlossberg, 1981; Schlossberg et al., 2011). The bridge, therefore, represents not only entry into the profession, but also the point where expectation meets lived reality</w:t>
      </w:r>
      <w:r w:rsidR="00CC257C" w:rsidRPr="002233DC">
        <w:rPr>
          <w:rFonts w:ascii="Arial" w:hAnsi="Arial" w:cs="Arial"/>
        </w:rPr>
        <w:t>.</w:t>
      </w:r>
    </w:p>
    <w:p w14:paraId="34E806B1" w14:textId="77777777" w:rsidR="00CC257C" w:rsidRPr="00FB3A86" w:rsidRDefault="00CC257C" w:rsidP="00441B6F">
      <w:pPr>
        <w:pStyle w:val="Body"/>
        <w:spacing w:after="0"/>
        <w:rPr>
          <w:rFonts w:ascii="Arial" w:hAnsi="Arial" w:cs="Arial"/>
        </w:rPr>
      </w:pPr>
    </w:p>
    <w:p w14:paraId="317AA269" w14:textId="77777777" w:rsidR="00C30A0F" w:rsidRDefault="00C30A0F" w:rsidP="00441B6F">
      <w:pPr>
        <w:pStyle w:val="Body"/>
        <w:spacing w:after="0"/>
        <w:rPr>
          <w:rFonts w:ascii="Arial" w:hAnsi="Arial" w:cs="Arial"/>
          <w:bCs/>
          <w:caps/>
        </w:rPr>
      </w:pPr>
      <w:r>
        <w:rPr>
          <w:rFonts w:ascii="Arial" w:hAnsi="Arial" w:cs="Arial"/>
          <w:b/>
          <w:caps/>
          <w:sz w:val="22"/>
        </w:rPr>
        <w:t>3</w:t>
      </w:r>
      <w:r w:rsidRPr="00C30A0F">
        <w:rPr>
          <w:rFonts w:ascii="Arial" w:hAnsi="Arial" w:cs="Arial"/>
          <w:b/>
          <w:caps/>
          <w:sz w:val="22"/>
        </w:rPr>
        <w:t xml:space="preserve">.1 </w:t>
      </w:r>
      <w:r w:rsidR="00F67460" w:rsidRPr="00F67460">
        <w:rPr>
          <w:rFonts w:ascii="Arial" w:hAnsi="Arial" w:cs="Arial"/>
          <w:b/>
          <w:sz w:val="22"/>
        </w:rPr>
        <w:t>Expectations of Teaching Prior to Entry</w:t>
      </w:r>
    </w:p>
    <w:p w14:paraId="48B56DF6" w14:textId="77777777" w:rsidR="00807BA1" w:rsidRDefault="00807BA1" w:rsidP="00441B6F">
      <w:pPr>
        <w:pStyle w:val="Body"/>
        <w:spacing w:after="0"/>
        <w:rPr>
          <w:rFonts w:ascii="Arial" w:hAnsi="Arial" w:cs="Arial"/>
          <w:bCs/>
          <w:caps/>
        </w:rPr>
      </w:pPr>
    </w:p>
    <w:p w14:paraId="41005FAD" w14:textId="77777777" w:rsidR="002233DC" w:rsidRPr="002233DC" w:rsidRDefault="002233DC" w:rsidP="002233DC">
      <w:pPr>
        <w:pStyle w:val="Body"/>
        <w:rPr>
          <w:rFonts w:ascii="Arial" w:hAnsi="Arial" w:cs="Arial"/>
          <w:bCs/>
          <w:lang w:val="en-PH"/>
        </w:rPr>
      </w:pPr>
      <w:r w:rsidRPr="002233DC">
        <w:rPr>
          <w:rFonts w:ascii="Arial" w:hAnsi="Arial" w:cs="Arial"/>
          <w:bCs/>
          <w:lang w:val="en-PH"/>
        </w:rPr>
        <w:t xml:space="preserve">At the blueprint side of the bridge, idealized conceptions of teaching and learners were evident. Participants initially imagined teaching as manageable, structured, and predictable, with the assumption that lessons would unfold as planned and students would respond positively. Participant 6 shared, </w:t>
      </w:r>
      <w:r w:rsidRPr="002233DC">
        <w:rPr>
          <w:rFonts w:ascii="Arial" w:hAnsi="Arial" w:cs="Arial"/>
          <w:bCs/>
          <w:i/>
          <w:iCs/>
          <w:lang w:val="en-PH"/>
        </w:rPr>
        <w:t>“If you get high grades, you tend to think you’re already ready to teach. You feel like classroom management will just follow what was discussed in class.”</w:t>
      </w:r>
      <w:r w:rsidRPr="002233DC">
        <w:rPr>
          <w:rFonts w:ascii="Arial" w:hAnsi="Arial" w:cs="Arial"/>
          <w:bCs/>
          <w:lang w:val="en-PH"/>
        </w:rPr>
        <w:t xml:space="preserve"> Likewise, Participant 3 recalled, </w:t>
      </w:r>
      <w:r w:rsidRPr="002233DC">
        <w:rPr>
          <w:rFonts w:ascii="Arial" w:hAnsi="Arial" w:cs="Arial"/>
          <w:bCs/>
          <w:i/>
          <w:iCs/>
          <w:lang w:val="en-PH"/>
        </w:rPr>
        <w:t>“I thought students would already understand right away if you explain properly.”</w:t>
      </w:r>
      <w:r w:rsidRPr="002233DC">
        <w:rPr>
          <w:rFonts w:ascii="Arial" w:hAnsi="Arial" w:cs="Arial"/>
          <w:bCs/>
          <w:lang w:val="en-PH"/>
        </w:rPr>
        <w:t xml:space="preserve"> These accounts suggest that pre-service preparation and practicum experiences encouraged an image of teaching as coherent and controllable, an expectation also noted in studies showing that beginning teachers often enter the profession with idealized views shaped by training contexts and limited exposure to classroom complexity (</w:t>
      </w:r>
      <w:proofErr w:type="spellStart"/>
      <w:r w:rsidRPr="002233DC">
        <w:rPr>
          <w:rFonts w:ascii="Arial" w:hAnsi="Arial" w:cs="Arial"/>
          <w:bCs/>
          <w:lang w:val="en-PH"/>
        </w:rPr>
        <w:t>Aspfors</w:t>
      </w:r>
      <w:proofErr w:type="spellEnd"/>
      <w:r w:rsidRPr="002233DC">
        <w:rPr>
          <w:rFonts w:ascii="Arial" w:hAnsi="Arial" w:cs="Arial"/>
          <w:bCs/>
          <w:lang w:val="en-PH"/>
        </w:rPr>
        <w:t xml:space="preserve"> &amp; </w:t>
      </w:r>
      <w:proofErr w:type="spellStart"/>
      <w:r w:rsidRPr="002233DC">
        <w:rPr>
          <w:rFonts w:ascii="Arial" w:hAnsi="Arial" w:cs="Arial"/>
          <w:bCs/>
          <w:lang w:val="en-PH"/>
        </w:rPr>
        <w:t>Bondas</w:t>
      </w:r>
      <w:proofErr w:type="spellEnd"/>
      <w:r w:rsidRPr="002233DC">
        <w:rPr>
          <w:rFonts w:ascii="Arial" w:hAnsi="Arial" w:cs="Arial"/>
          <w:bCs/>
          <w:lang w:val="en-PH"/>
        </w:rPr>
        <w:t>, 2013; Voss et al., 2020). In this sense, the participants’ expectations reflected early appraisals of competence and role readiness before sustained contact with actual classroom demands (Schlossberg, 1981; Schlossberg et al., 2011).</w:t>
      </w:r>
    </w:p>
    <w:p w14:paraId="4663372E" w14:textId="3FBE6CCF" w:rsidR="002233DC" w:rsidRPr="002233DC" w:rsidRDefault="002233DC" w:rsidP="002233DC">
      <w:pPr>
        <w:pStyle w:val="Body"/>
        <w:rPr>
          <w:rFonts w:ascii="Arial" w:hAnsi="Arial" w:cs="Arial"/>
          <w:bCs/>
          <w:lang w:val="en-PH"/>
        </w:rPr>
      </w:pPr>
      <w:r w:rsidRPr="002233DC">
        <w:rPr>
          <w:rFonts w:ascii="Arial" w:hAnsi="Arial" w:cs="Arial"/>
          <w:bCs/>
          <w:lang w:val="en-PH"/>
        </w:rPr>
        <w:t xml:space="preserve">A second pattern involved expectations of institutional alignment and support. Participants assumed that schools would provide organized systems, accessible resources, and assignments aligned with their </w:t>
      </w:r>
      <w:r w:rsidRPr="002233DC">
        <w:rPr>
          <w:rFonts w:ascii="Arial" w:hAnsi="Arial" w:cs="Arial"/>
          <w:bCs/>
          <w:lang w:val="en-PH"/>
        </w:rPr>
        <w:lastRenderedPageBreak/>
        <w:t xml:space="preserve">training. Participant 6 stated, </w:t>
      </w:r>
      <w:r w:rsidRPr="002233DC">
        <w:rPr>
          <w:rFonts w:ascii="Arial" w:hAnsi="Arial" w:cs="Arial"/>
          <w:bCs/>
          <w:i/>
          <w:iCs/>
          <w:lang w:val="en-PH"/>
        </w:rPr>
        <w:t>“I thought that when you’re already hired, the school would already have everything ready</w:t>
      </w:r>
      <w:r w:rsidR="00854716" w:rsidRPr="00D64E09">
        <w:rPr>
          <w:rFonts w:ascii="Arial" w:hAnsi="Arial" w:cs="Arial"/>
          <w:bCs/>
          <w:i/>
          <w:iCs/>
          <w:lang w:val="en-PH"/>
        </w:rPr>
        <w:t xml:space="preserve">, </w:t>
      </w:r>
      <w:r w:rsidRPr="002233DC">
        <w:rPr>
          <w:rFonts w:ascii="Arial" w:hAnsi="Arial" w:cs="Arial"/>
          <w:bCs/>
          <w:i/>
          <w:iCs/>
          <w:lang w:val="en-PH"/>
        </w:rPr>
        <w:t>materials, facilities, even the system,”</w:t>
      </w:r>
      <w:r w:rsidRPr="002233DC">
        <w:rPr>
          <w:rFonts w:ascii="Arial" w:hAnsi="Arial" w:cs="Arial"/>
          <w:bCs/>
          <w:lang w:val="en-PH"/>
        </w:rPr>
        <w:t xml:space="preserve"> while Participant 3 added, </w:t>
      </w:r>
      <w:r w:rsidRPr="002233DC">
        <w:rPr>
          <w:rFonts w:ascii="Arial" w:hAnsi="Arial" w:cs="Arial"/>
          <w:bCs/>
          <w:i/>
          <w:iCs/>
          <w:lang w:val="en-PH"/>
        </w:rPr>
        <w:t>“I really thought teaching would mostly be about lesson planning and teaching the students. I didn’t think there would be so many other things involved.”</w:t>
      </w:r>
      <w:r w:rsidRPr="002233DC">
        <w:rPr>
          <w:rFonts w:ascii="Arial" w:hAnsi="Arial" w:cs="Arial"/>
          <w:bCs/>
          <w:lang w:val="en-PH"/>
        </w:rPr>
        <w:t xml:space="preserve"> These narratives show that participants did not only idealize teaching itself; they also idealized the institution as a stable structure that would make teaching manageable. This expectation aligns with findings that novices often assume role clarity, induction support, and organizational readiness upon entry, only to later confront more complex institutional realities (Dicke et al., 2015; Schaefer &amp; </w:t>
      </w:r>
      <w:proofErr w:type="spellStart"/>
      <w:r w:rsidRPr="002233DC">
        <w:rPr>
          <w:rFonts w:ascii="Arial" w:hAnsi="Arial" w:cs="Arial"/>
          <w:bCs/>
          <w:lang w:val="en-PH"/>
        </w:rPr>
        <w:t>Clandinin</w:t>
      </w:r>
      <w:proofErr w:type="spellEnd"/>
      <w:r w:rsidRPr="002233DC">
        <w:rPr>
          <w:rFonts w:ascii="Arial" w:hAnsi="Arial" w:cs="Arial"/>
          <w:bCs/>
          <w:lang w:val="en-PH"/>
        </w:rPr>
        <w:t>, 2019). A similar reliance on anticipated guidance and support was also observed among neophyte nursing instructors, where mentorship was central to how newcomers initially understood their professional transition (Nowell, 2014).</w:t>
      </w:r>
    </w:p>
    <w:p w14:paraId="378D5AB0" w14:textId="0C6B2217" w:rsidR="00FD1ACE" w:rsidRPr="002233DC" w:rsidRDefault="002233DC" w:rsidP="00AB750B">
      <w:pPr>
        <w:pStyle w:val="Body"/>
        <w:rPr>
          <w:rFonts w:ascii="Arial" w:hAnsi="Arial" w:cs="Arial"/>
          <w:bCs/>
          <w:lang w:val="en-PH"/>
        </w:rPr>
      </w:pPr>
      <w:r w:rsidRPr="002233DC">
        <w:rPr>
          <w:rFonts w:ascii="Arial" w:hAnsi="Arial" w:cs="Arial"/>
          <w:bCs/>
          <w:lang w:val="en-PH"/>
        </w:rPr>
        <w:t xml:space="preserve">Also present were preconceived sector-based notions of teaching context. Some participants entered private school teaching with the belief that it would be lighter, more organized, and more supportive than public school work. Participant 6 stated, </w:t>
      </w:r>
      <w:r w:rsidRPr="002233DC">
        <w:rPr>
          <w:rFonts w:ascii="Arial" w:hAnsi="Arial" w:cs="Arial"/>
          <w:bCs/>
          <w:i/>
          <w:iCs/>
          <w:lang w:val="en-PH"/>
        </w:rPr>
        <w:t>“I really thought private school would be lighter compared to public school,”</w:t>
      </w:r>
      <w:r w:rsidRPr="002233DC">
        <w:rPr>
          <w:rFonts w:ascii="Arial" w:hAnsi="Arial" w:cs="Arial"/>
          <w:bCs/>
          <w:lang w:val="en-PH"/>
        </w:rPr>
        <w:t xml:space="preserve"> while Participant 7 later reflected, </w:t>
      </w:r>
      <w:r w:rsidRPr="002233DC">
        <w:rPr>
          <w:rFonts w:ascii="Arial" w:hAnsi="Arial" w:cs="Arial"/>
          <w:bCs/>
          <w:i/>
          <w:iCs/>
          <w:lang w:val="en-PH"/>
        </w:rPr>
        <w:t>“I didn’t really expect that the workload would be almost the same. I thought private school would be very different.”</w:t>
      </w:r>
      <w:r w:rsidRPr="002233DC">
        <w:rPr>
          <w:rFonts w:ascii="Arial" w:hAnsi="Arial" w:cs="Arial"/>
          <w:bCs/>
          <w:lang w:val="en-PH"/>
        </w:rPr>
        <w:t xml:space="preserve"> These accounts show that sector labels served as anticipatory maps before actual immersion. Analytically, such expectations reveal how participants interpreted the transition through social narratives and comparative assumptions rather than lived experience. This supports research suggesting that beginning teachers often form early sector-based beliefs about workload, support, and working conditions, even though such distinctions are later complicated by actual school contexts (</w:t>
      </w:r>
      <w:proofErr w:type="spellStart"/>
      <w:r w:rsidRPr="002233DC">
        <w:rPr>
          <w:rFonts w:ascii="Arial" w:hAnsi="Arial" w:cs="Arial"/>
          <w:bCs/>
          <w:lang w:val="en-PH"/>
        </w:rPr>
        <w:t>Skaalvik</w:t>
      </w:r>
      <w:proofErr w:type="spellEnd"/>
      <w:r w:rsidRPr="002233DC">
        <w:rPr>
          <w:rFonts w:ascii="Arial" w:hAnsi="Arial" w:cs="Arial"/>
          <w:bCs/>
          <w:lang w:val="en-PH"/>
        </w:rPr>
        <w:t xml:space="preserve"> &amp; </w:t>
      </w:r>
      <w:proofErr w:type="spellStart"/>
      <w:r w:rsidRPr="002233DC">
        <w:rPr>
          <w:rFonts w:ascii="Arial" w:hAnsi="Arial" w:cs="Arial"/>
          <w:bCs/>
          <w:lang w:val="en-PH"/>
        </w:rPr>
        <w:t>Skaalvik</w:t>
      </w:r>
      <w:proofErr w:type="spellEnd"/>
      <w:r w:rsidRPr="002233DC">
        <w:rPr>
          <w:rFonts w:ascii="Arial" w:hAnsi="Arial" w:cs="Arial"/>
          <w:bCs/>
          <w:lang w:val="en-PH"/>
        </w:rPr>
        <w:t xml:space="preserve">, 2018; Schaefer &amp; </w:t>
      </w:r>
      <w:proofErr w:type="spellStart"/>
      <w:r w:rsidRPr="002233DC">
        <w:rPr>
          <w:rFonts w:ascii="Arial" w:hAnsi="Arial" w:cs="Arial"/>
          <w:bCs/>
          <w:lang w:val="en-PH"/>
        </w:rPr>
        <w:t>Clandinin</w:t>
      </w:r>
      <w:proofErr w:type="spellEnd"/>
      <w:r w:rsidRPr="002233DC">
        <w:rPr>
          <w:rFonts w:ascii="Arial" w:hAnsi="Arial" w:cs="Arial"/>
          <w:bCs/>
          <w:lang w:val="en-PH"/>
        </w:rPr>
        <w:t>, 2019). Goddard and Foster (2001) similarly argued that neophyte teachers’ early constructions of teaching are often challenged once professional realities become more concrete.</w:t>
      </w:r>
    </w:p>
    <w:p w14:paraId="44DCD632" w14:textId="77777777" w:rsidR="0008243D" w:rsidRDefault="0008243D" w:rsidP="0008243D">
      <w:pPr>
        <w:pStyle w:val="Body"/>
        <w:spacing w:after="0"/>
        <w:rPr>
          <w:rFonts w:ascii="Arial" w:hAnsi="Arial" w:cs="Arial"/>
          <w:bCs/>
          <w:caps/>
        </w:rPr>
      </w:pPr>
      <w:r>
        <w:rPr>
          <w:rFonts w:ascii="Arial" w:hAnsi="Arial" w:cs="Arial"/>
          <w:b/>
          <w:caps/>
          <w:sz w:val="22"/>
        </w:rPr>
        <w:t>3</w:t>
      </w:r>
      <w:r w:rsidRPr="00C30A0F">
        <w:rPr>
          <w:rFonts w:ascii="Arial" w:hAnsi="Arial" w:cs="Arial"/>
          <w:b/>
          <w:caps/>
          <w:sz w:val="22"/>
        </w:rPr>
        <w:t>.</w:t>
      </w:r>
      <w:r w:rsidR="00FD5A17">
        <w:rPr>
          <w:rFonts w:ascii="Arial" w:hAnsi="Arial" w:cs="Arial"/>
          <w:b/>
          <w:caps/>
          <w:sz w:val="22"/>
        </w:rPr>
        <w:t>2</w:t>
      </w:r>
      <w:r w:rsidRPr="00C30A0F">
        <w:rPr>
          <w:rFonts w:ascii="Arial" w:hAnsi="Arial" w:cs="Arial"/>
          <w:b/>
          <w:caps/>
          <w:sz w:val="22"/>
        </w:rPr>
        <w:t xml:space="preserve"> </w:t>
      </w:r>
      <w:r w:rsidR="00FD5A17" w:rsidRPr="00FD5A17">
        <w:rPr>
          <w:rFonts w:ascii="Arial" w:hAnsi="Arial" w:cs="Arial"/>
          <w:b/>
          <w:sz w:val="22"/>
        </w:rPr>
        <w:t>Challenges in Adjusting from Practice Teaching to Actual Classroom Responsibilitie</w:t>
      </w:r>
      <w:r w:rsidR="00FD5A17">
        <w:rPr>
          <w:rFonts w:ascii="Arial" w:hAnsi="Arial" w:cs="Arial"/>
          <w:b/>
          <w:sz w:val="22"/>
        </w:rPr>
        <w:t>s</w:t>
      </w:r>
    </w:p>
    <w:p w14:paraId="67122835" w14:textId="77777777" w:rsidR="0008243D" w:rsidRDefault="0008243D" w:rsidP="0008243D">
      <w:pPr>
        <w:pStyle w:val="Body"/>
        <w:spacing w:after="0"/>
        <w:rPr>
          <w:rFonts w:ascii="Arial" w:hAnsi="Arial" w:cs="Arial"/>
          <w:bCs/>
          <w:caps/>
        </w:rPr>
      </w:pPr>
    </w:p>
    <w:p w14:paraId="52B92D9F" w14:textId="77777777" w:rsidR="00552A7E" w:rsidRDefault="00552A7E" w:rsidP="00552A7E">
      <w:pPr>
        <w:pStyle w:val="Body"/>
        <w:spacing w:after="0"/>
        <w:rPr>
          <w:rFonts w:ascii="Arial" w:hAnsi="Arial" w:cs="Arial"/>
          <w:bCs/>
          <w:lang w:val="en-PH"/>
        </w:rPr>
      </w:pPr>
      <w:r w:rsidRPr="00552A7E">
        <w:rPr>
          <w:rFonts w:ascii="Arial" w:hAnsi="Arial" w:cs="Arial"/>
          <w:bCs/>
          <w:lang w:val="en-PH"/>
        </w:rPr>
        <w:t xml:space="preserve">Once participants stepped onto the bridge, the first major challenge was the collapse of idealized teaching expectations. The profession no longer appeared as predictable as it had during practicum. Participant 4 expressed this reversal directly: </w:t>
      </w:r>
      <w:r w:rsidRPr="00552A7E">
        <w:rPr>
          <w:rFonts w:ascii="Arial" w:hAnsi="Arial" w:cs="Arial"/>
          <w:bCs/>
          <w:i/>
          <w:iCs/>
          <w:lang w:val="en-PH"/>
        </w:rPr>
        <w:t>“Oh, this is easy, Ma’am. It’s not that hard to teach. And now, it’s the opposite.”</w:t>
      </w:r>
      <w:r w:rsidRPr="00552A7E">
        <w:rPr>
          <w:rFonts w:ascii="Arial" w:hAnsi="Arial" w:cs="Arial"/>
          <w:bCs/>
          <w:lang w:val="en-PH"/>
        </w:rPr>
        <w:t xml:space="preserve"> Participant 5 further revealed the emotional strain of this mismatch: </w:t>
      </w:r>
      <w:r w:rsidRPr="00552A7E">
        <w:rPr>
          <w:rFonts w:ascii="Arial" w:hAnsi="Arial" w:cs="Arial"/>
          <w:bCs/>
          <w:i/>
          <w:iCs/>
          <w:lang w:val="en-PH"/>
        </w:rPr>
        <w:t>“Sometimes I really cry because… I try to force myself to finish the lesson plan, but I can’t. It’s too hard.”</w:t>
      </w:r>
      <w:r w:rsidRPr="00552A7E">
        <w:rPr>
          <w:rFonts w:ascii="Arial" w:hAnsi="Arial" w:cs="Arial"/>
          <w:bCs/>
          <w:lang w:val="en-PH"/>
        </w:rPr>
        <w:t xml:space="preserve"> These accounts reflect more than disappointment; they point to a disruption in how teaching had been imagined. This mirrors literature describing beginning teaching as a period of “reality shock,” where confidence formed in preparation contexts is tested by the sustained pressures of actual work (Buchanan et al., 2013; Pillen et al., 2013). Goddard and Foster (2001) likewise observed that early-career teachers frequently encounter tensions between idealism and the complex conditions of practice.</w:t>
      </w:r>
    </w:p>
    <w:p w14:paraId="5984B4EB" w14:textId="77777777" w:rsidR="00552A7E" w:rsidRPr="00552A7E" w:rsidRDefault="00552A7E" w:rsidP="00552A7E">
      <w:pPr>
        <w:pStyle w:val="Body"/>
        <w:spacing w:after="0"/>
        <w:rPr>
          <w:rFonts w:ascii="Arial" w:hAnsi="Arial" w:cs="Arial"/>
          <w:bCs/>
          <w:lang w:val="en-PH"/>
        </w:rPr>
      </w:pPr>
    </w:p>
    <w:p w14:paraId="25181A75" w14:textId="77777777" w:rsidR="00552A7E" w:rsidRDefault="00552A7E" w:rsidP="00552A7E">
      <w:pPr>
        <w:pStyle w:val="Body"/>
        <w:spacing w:after="0"/>
        <w:rPr>
          <w:rFonts w:ascii="Arial" w:hAnsi="Arial" w:cs="Arial"/>
          <w:bCs/>
          <w:lang w:val="en-PH"/>
        </w:rPr>
      </w:pPr>
      <w:r w:rsidRPr="00552A7E">
        <w:rPr>
          <w:rFonts w:ascii="Arial" w:hAnsi="Arial" w:cs="Arial"/>
          <w:bCs/>
          <w:lang w:val="en-PH"/>
        </w:rPr>
        <w:t>A second difficulty involved managing learner diversity and classroom complexity together with reorienting pedagogy to actual classroom conditions. Participants found that strategies used during internship were not always effective in mixed-ability settings. Participant 5 explained</w:t>
      </w:r>
      <w:r w:rsidRPr="00552A7E">
        <w:rPr>
          <w:rFonts w:ascii="Arial" w:hAnsi="Arial" w:cs="Arial"/>
          <w:bCs/>
          <w:i/>
          <w:iCs/>
          <w:lang w:val="en-PH"/>
        </w:rPr>
        <w:t>, “If I have lesson plan, sometimes I can’t finish it… because the students can’t understand… I need to give them more time,”</w:t>
      </w:r>
      <w:r w:rsidRPr="00552A7E">
        <w:rPr>
          <w:rFonts w:ascii="Arial" w:hAnsi="Arial" w:cs="Arial"/>
          <w:bCs/>
          <w:lang w:val="en-PH"/>
        </w:rPr>
        <w:t xml:space="preserve"> while Participant 1 stated, </w:t>
      </w:r>
      <w:r w:rsidRPr="00552A7E">
        <w:rPr>
          <w:rFonts w:ascii="Arial" w:hAnsi="Arial" w:cs="Arial"/>
          <w:bCs/>
          <w:i/>
          <w:iCs/>
          <w:lang w:val="en-PH"/>
        </w:rPr>
        <w:t>“For me, it was simplifying the lesson.”</w:t>
      </w:r>
      <w:r w:rsidRPr="00552A7E">
        <w:rPr>
          <w:rFonts w:ascii="Arial" w:hAnsi="Arial" w:cs="Arial"/>
          <w:bCs/>
          <w:lang w:val="en-PH"/>
        </w:rPr>
        <w:t xml:space="preserve"> These statements show that the problem was not only pacing but the need to revise pedagogy in response to varied comprehension, readiness, and participation. This aligns with evidence that novice teachers often feel underprepared for classroom heterogeneity and for the pedagogical adjustments required by real learners rather than idealized ones (Aloe et al., 2014; Klassen &amp; Kim, 2019). In analytic terms, the bridge became unstable because participants were not merely applying learned methods; they were reconstructing them under pressure.</w:t>
      </w:r>
    </w:p>
    <w:p w14:paraId="36BBAAA0" w14:textId="77777777" w:rsidR="00EA733C" w:rsidRPr="00552A7E" w:rsidRDefault="00EA733C" w:rsidP="00552A7E">
      <w:pPr>
        <w:pStyle w:val="Body"/>
        <w:spacing w:after="0"/>
        <w:rPr>
          <w:rFonts w:ascii="Arial" w:hAnsi="Arial" w:cs="Arial"/>
          <w:bCs/>
          <w:lang w:val="en-PH"/>
        </w:rPr>
      </w:pPr>
    </w:p>
    <w:p w14:paraId="4AFB92E4" w14:textId="185ACDA5" w:rsidR="00D456DC" w:rsidRPr="00552A7E" w:rsidRDefault="00552A7E" w:rsidP="00D456DC">
      <w:pPr>
        <w:pStyle w:val="Body"/>
        <w:spacing w:after="0"/>
        <w:rPr>
          <w:rFonts w:ascii="Arial" w:hAnsi="Arial" w:cs="Arial"/>
          <w:bCs/>
          <w:lang w:val="en-PH"/>
        </w:rPr>
      </w:pPr>
      <w:r w:rsidRPr="00552A7E">
        <w:rPr>
          <w:rFonts w:ascii="Arial" w:hAnsi="Arial" w:cs="Arial"/>
          <w:bCs/>
          <w:lang w:val="en-PH"/>
        </w:rPr>
        <w:t xml:space="preserve">Another challenge lay in negotiating performance pressures, institutional norms, and limited mentorship. Participants described being expected to perform competently while still learning the role. Participant 6 recalled, </w:t>
      </w:r>
      <w:r w:rsidRPr="00552A7E">
        <w:rPr>
          <w:rFonts w:ascii="Arial" w:hAnsi="Arial" w:cs="Arial"/>
          <w:bCs/>
          <w:i/>
          <w:iCs/>
          <w:lang w:val="en-PH"/>
        </w:rPr>
        <w:t>“It felt like we were really left on our own. We were the ones handling everything.”</w:t>
      </w:r>
      <w:r w:rsidRPr="00552A7E">
        <w:rPr>
          <w:rFonts w:ascii="Arial" w:hAnsi="Arial" w:cs="Arial"/>
          <w:bCs/>
          <w:lang w:val="en-PH"/>
        </w:rPr>
        <w:t xml:space="preserve"> This suggests that adjustment was not only instructional, but also relational and institutional. The challenge intensified when teachers had to decode workplace expectations without consistent guidance. Such findings are supported by studies showing that early-career adjustment is shaped by workload, emotional strain, school culture, and the quality of available mentoring (Madigan &amp; Kim, 2021; Schaefer &amp; </w:t>
      </w:r>
      <w:proofErr w:type="spellStart"/>
      <w:r w:rsidRPr="00552A7E">
        <w:rPr>
          <w:rFonts w:ascii="Arial" w:hAnsi="Arial" w:cs="Arial"/>
          <w:bCs/>
          <w:lang w:val="en-PH"/>
        </w:rPr>
        <w:t>Clandinin</w:t>
      </w:r>
      <w:proofErr w:type="spellEnd"/>
      <w:r w:rsidRPr="00552A7E">
        <w:rPr>
          <w:rFonts w:ascii="Arial" w:hAnsi="Arial" w:cs="Arial"/>
          <w:bCs/>
          <w:lang w:val="en-PH"/>
        </w:rPr>
        <w:t>, 2019). Nowell (2014) similarly found that newcomers in professional roles experience transition more positively when mentorship is present, suggesting that limited guidance can magnify uncertainty across helping professions</w:t>
      </w:r>
      <w:r w:rsidR="004A32BA" w:rsidRPr="00552A7E">
        <w:rPr>
          <w:rFonts w:ascii="Arial" w:hAnsi="Arial" w:cs="Arial"/>
          <w:bCs/>
          <w:lang w:val="en-PH"/>
        </w:rPr>
        <w:t>.</w:t>
      </w:r>
    </w:p>
    <w:p w14:paraId="303F1B2E" w14:textId="77777777" w:rsidR="002F3D2B" w:rsidRDefault="002F3D2B" w:rsidP="00D456DC">
      <w:pPr>
        <w:pStyle w:val="Body"/>
        <w:spacing w:after="0"/>
        <w:rPr>
          <w:rFonts w:ascii="Arial" w:hAnsi="Arial" w:cs="Arial"/>
          <w:bCs/>
          <w:lang w:val="en-PH"/>
        </w:rPr>
      </w:pPr>
    </w:p>
    <w:p w14:paraId="00029233" w14:textId="77777777" w:rsidR="002F3D2B" w:rsidRDefault="002F3D2B" w:rsidP="002F3D2B">
      <w:pPr>
        <w:pStyle w:val="Body"/>
        <w:spacing w:after="0"/>
        <w:rPr>
          <w:rFonts w:ascii="Arial" w:hAnsi="Arial" w:cs="Arial"/>
          <w:bCs/>
          <w:cap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2F3D2B">
        <w:rPr>
          <w:rFonts w:ascii="Arial" w:hAnsi="Arial" w:cs="Arial"/>
          <w:b/>
          <w:sz w:val="22"/>
        </w:rPr>
        <w:t>Coping Mechanisms and Survival Strategies</w:t>
      </w:r>
    </w:p>
    <w:p w14:paraId="7DAF63DF" w14:textId="77777777" w:rsidR="002F3D2B" w:rsidRDefault="002F3D2B" w:rsidP="002F3D2B">
      <w:pPr>
        <w:pStyle w:val="Body"/>
        <w:spacing w:after="0"/>
        <w:rPr>
          <w:rFonts w:ascii="Arial" w:hAnsi="Arial" w:cs="Arial"/>
          <w:bCs/>
          <w:caps/>
        </w:rPr>
      </w:pPr>
    </w:p>
    <w:p w14:paraId="5CB30907" w14:textId="77777777" w:rsidR="00195FF6" w:rsidRDefault="00195FF6" w:rsidP="00195FF6">
      <w:pPr>
        <w:pStyle w:val="Body"/>
        <w:spacing w:after="0"/>
        <w:rPr>
          <w:rFonts w:ascii="Arial" w:hAnsi="Arial" w:cs="Arial"/>
          <w:bCs/>
          <w:lang w:val="en-PH"/>
        </w:rPr>
      </w:pPr>
      <w:r w:rsidRPr="00195FF6">
        <w:rPr>
          <w:rFonts w:ascii="Arial" w:hAnsi="Arial" w:cs="Arial"/>
          <w:bCs/>
          <w:lang w:val="en-PH"/>
        </w:rPr>
        <w:lastRenderedPageBreak/>
        <w:t>As participants moved further into the city, mobilizing social and collegial support became a key coping mechanism. They sought guidance from mentors, senior teachers, colleagues, and family members. Participant 1 shared, “</w:t>
      </w:r>
      <w:r w:rsidRPr="00195FF6">
        <w:rPr>
          <w:rFonts w:ascii="Arial" w:hAnsi="Arial" w:cs="Arial"/>
          <w:bCs/>
          <w:i/>
          <w:iCs/>
          <w:lang w:val="en-PH"/>
        </w:rPr>
        <w:t>I talk to my mentors, sometimes to my senior teachers, and I ask for help and suggestions. Because I can really sense that I need help and suggestions.”</w:t>
      </w:r>
      <w:r w:rsidRPr="00195FF6">
        <w:rPr>
          <w:rFonts w:ascii="Arial" w:hAnsi="Arial" w:cs="Arial"/>
          <w:bCs/>
          <w:lang w:val="en-PH"/>
        </w:rPr>
        <w:t xml:space="preserve"> Participant 7 added, </w:t>
      </w:r>
      <w:r w:rsidRPr="00195FF6">
        <w:rPr>
          <w:rFonts w:ascii="Arial" w:hAnsi="Arial" w:cs="Arial"/>
          <w:bCs/>
          <w:i/>
          <w:iCs/>
          <w:lang w:val="en-PH"/>
        </w:rPr>
        <w:t>“It’s better to ask. If you don’t understand something, just ask,”</w:t>
      </w:r>
      <w:r w:rsidRPr="00195FF6">
        <w:rPr>
          <w:rFonts w:ascii="Arial" w:hAnsi="Arial" w:cs="Arial"/>
          <w:bCs/>
          <w:lang w:val="en-PH"/>
        </w:rPr>
        <w:t xml:space="preserve"> while Participant 3 said, </w:t>
      </w:r>
      <w:r w:rsidRPr="00195FF6">
        <w:rPr>
          <w:rFonts w:ascii="Arial" w:hAnsi="Arial" w:cs="Arial"/>
          <w:bCs/>
          <w:i/>
          <w:iCs/>
          <w:lang w:val="en-PH"/>
        </w:rPr>
        <w:t>“When I come home, my parents are supportive, and it is my source of motivation.”</w:t>
      </w:r>
      <w:r w:rsidRPr="00195FF6">
        <w:rPr>
          <w:rFonts w:ascii="Arial" w:hAnsi="Arial" w:cs="Arial"/>
          <w:bCs/>
          <w:lang w:val="en-PH"/>
        </w:rPr>
        <w:t xml:space="preserve"> These accounts show that support functioned not only as comfort, but as orientation and stability. This supports Schlossberg’s view of support as a central transition resource (Schlossberg, 1981; Schlossberg et al., 2011). It also reflects findings that collegial relationships and mentoring strengthen novice adjustment and resilience (Chaaban &amp; Du, 2017; Burger et al., 2021), while Nowell (2014) underscores how mentorship can shape professional growth during early transition.</w:t>
      </w:r>
    </w:p>
    <w:p w14:paraId="25E2BB58" w14:textId="77777777" w:rsidR="00D553BB" w:rsidRPr="00195FF6" w:rsidRDefault="00D553BB" w:rsidP="00195FF6">
      <w:pPr>
        <w:pStyle w:val="Body"/>
        <w:spacing w:after="0"/>
        <w:rPr>
          <w:rFonts w:ascii="Arial" w:hAnsi="Arial" w:cs="Arial"/>
          <w:bCs/>
          <w:lang w:val="en-PH"/>
        </w:rPr>
      </w:pPr>
    </w:p>
    <w:p w14:paraId="5B6E33D9" w14:textId="77777777" w:rsidR="00195FF6" w:rsidRDefault="00195FF6" w:rsidP="00195FF6">
      <w:pPr>
        <w:pStyle w:val="Body"/>
        <w:spacing w:after="0"/>
        <w:rPr>
          <w:rFonts w:ascii="Arial" w:hAnsi="Arial" w:cs="Arial"/>
          <w:bCs/>
          <w:lang w:val="en-PH"/>
        </w:rPr>
      </w:pPr>
      <w:r w:rsidRPr="00195FF6">
        <w:rPr>
          <w:rFonts w:ascii="Arial" w:hAnsi="Arial" w:cs="Arial"/>
          <w:bCs/>
          <w:lang w:val="en-PH"/>
        </w:rPr>
        <w:t xml:space="preserve">Participants also relied on time, task, and role regulation as practical survival strategies. Participant 5 explained, </w:t>
      </w:r>
      <w:r w:rsidRPr="00195FF6">
        <w:rPr>
          <w:rFonts w:ascii="Arial" w:hAnsi="Arial" w:cs="Arial"/>
          <w:bCs/>
          <w:i/>
          <w:iCs/>
          <w:lang w:val="en-PH"/>
        </w:rPr>
        <w:t>“I do not wait until the last minute. I always write down what I need to do. I use checklists and I schedule tasks so I can prioritize what needs to be done first.”</w:t>
      </w:r>
      <w:r w:rsidRPr="00195FF6">
        <w:rPr>
          <w:rFonts w:ascii="Arial" w:hAnsi="Arial" w:cs="Arial"/>
          <w:bCs/>
          <w:lang w:val="en-PH"/>
        </w:rPr>
        <w:t xml:space="preserve"> This suggests that coping was not simply emotional endurance, but active self-management. Research on induction and novice adjustment likewise shows that structured routines and self-regulation help new professionals manage complex demands and maintain control over their workload (Keese et al., 2023; OECD, 2020).</w:t>
      </w:r>
    </w:p>
    <w:p w14:paraId="77953FAE" w14:textId="77777777" w:rsidR="00D553BB" w:rsidRPr="00195FF6" w:rsidRDefault="00D553BB" w:rsidP="00195FF6">
      <w:pPr>
        <w:pStyle w:val="Body"/>
        <w:spacing w:after="0"/>
        <w:rPr>
          <w:rFonts w:ascii="Arial" w:hAnsi="Arial" w:cs="Arial"/>
          <w:bCs/>
          <w:lang w:val="en-PH"/>
        </w:rPr>
      </w:pPr>
    </w:p>
    <w:p w14:paraId="76858AC3" w14:textId="79EB68D7" w:rsidR="002F3D2B" w:rsidRPr="00D553BB" w:rsidRDefault="00195FF6" w:rsidP="002F3D2B">
      <w:pPr>
        <w:pStyle w:val="Body"/>
        <w:spacing w:after="0"/>
        <w:rPr>
          <w:rFonts w:ascii="Arial" w:hAnsi="Arial" w:cs="Arial"/>
          <w:bCs/>
          <w:lang w:val="en-PH"/>
        </w:rPr>
      </w:pPr>
      <w:r w:rsidRPr="00195FF6">
        <w:rPr>
          <w:rFonts w:ascii="Arial" w:hAnsi="Arial" w:cs="Arial"/>
          <w:bCs/>
          <w:lang w:val="en-PH"/>
        </w:rPr>
        <w:t xml:space="preserve">At the same time, coping required endurance and emotional recovery. Some participants extended work hours and adjusted their routines to meet professional demands. Participant 5 stated, </w:t>
      </w:r>
      <w:r w:rsidRPr="00195FF6">
        <w:rPr>
          <w:rFonts w:ascii="Arial" w:hAnsi="Arial" w:cs="Arial"/>
          <w:bCs/>
          <w:i/>
          <w:iCs/>
          <w:lang w:val="en-PH"/>
        </w:rPr>
        <w:t>“There are times that I cannot sleep at dawn because I will make instructional materials. But it is okay.”</w:t>
      </w:r>
      <w:r w:rsidRPr="00195FF6">
        <w:rPr>
          <w:rFonts w:ascii="Arial" w:hAnsi="Arial" w:cs="Arial"/>
          <w:bCs/>
          <w:lang w:val="en-PH"/>
        </w:rPr>
        <w:t xml:space="preserve"> Others intentionally paused to regulate stress. Participant 1 shared, </w:t>
      </w:r>
      <w:r w:rsidRPr="00195FF6">
        <w:rPr>
          <w:rFonts w:ascii="Arial" w:hAnsi="Arial" w:cs="Arial"/>
          <w:bCs/>
          <w:i/>
          <w:iCs/>
          <w:lang w:val="en-PH"/>
        </w:rPr>
        <w:t>“When I am really stressed, I stop working first. I eat, I watch some show or movie, I communicate with my friends,”</w:t>
      </w:r>
      <w:r w:rsidRPr="00195FF6">
        <w:rPr>
          <w:rFonts w:ascii="Arial" w:hAnsi="Arial" w:cs="Arial"/>
          <w:bCs/>
          <w:lang w:val="en-PH"/>
        </w:rPr>
        <w:t xml:space="preserve"> while Participant 4 said, “</w:t>
      </w:r>
      <w:r w:rsidRPr="00195FF6">
        <w:rPr>
          <w:rFonts w:ascii="Arial" w:hAnsi="Arial" w:cs="Arial"/>
          <w:bCs/>
          <w:i/>
          <w:iCs/>
          <w:lang w:val="en-PH"/>
        </w:rPr>
        <w:t>When I’m stressed, I isolate myself… I cry by myself.”</w:t>
      </w:r>
      <w:r w:rsidRPr="00195FF6">
        <w:rPr>
          <w:rFonts w:ascii="Arial" w:hAnsi="Arial" w:cs="Arial"/>
          <w:bCs/>
          <w:lang w:val="en-PH"/>
        </w:rPr>
        <w:t xml:space="preserve"> These accounts suggest that coping was both behavioral and emotional: participants learned not only how to keep going, but how to recover enough to continue. This supports literature showing that early-career teachers depend on adaptive coping, self-regulation, and emotional recovery to sustain functioning under pressure (Madigan &amp; Kim, 2021; OECD, 2020). Analytically, survival in the city depended on knowing both how to move and how to rest</w:t>
      </w:r>
      <w:r w:rsidR="002F3D2B" w:rsidRPr="00D553BB">
        <w:rPr>
          <w:rFonts w:ascii="Arial" w:hAnsi="Arial" w:cs="Arial"/>
          <w:bCs/>
          <w:lang w:val="en-PH"/>
        </w:rPr>
        <w:t>.</w:t>
      </w:r>
    </w:p>
    <w:p w14:paraId="7C294682" w14:textId="77777777" w:rsidR="002F3D2B" w:rsidRDefault="002F3D2B" w:rsidP="002F3D2B">
      <w:pPr>
        <w:pStyle w:val="Body"/>
        <w:spacing w:after="0"/>
        <w:rPr>
          <w:rFonts w:ascii="Arial" w:hAnsi="Arial" w:cs="Arial"/>
          <w:bCs/>
          <w:lang w:val="en-PH"/>
        </w:rPr>
      </w:pPr>
    </w:p>
    <w:p w14:paraId="5682EA2D" w14:textId="77777777" w:rsidR="002F3D2B" w:rsidRDefault="002F3D2B" w:rsidP="002F3D2B">
      <w:pPr>
        <w:pStyle w:val="Body"/>
        <w:spacing w:after="0"/>
        <w:rPr>
          <w:rFonts w:ascii="Arial" w:hAnsi="Arial" w:cs="Arial"/>
          <w:bCs/>
          <w:caps/>
        </w:rPr>
      </w:pPr>
      <w:r>
        <w:rPr>
          <w:rFonts w:ascii="Arial" w:hAnsi="Arial" w:cs="Arial"/>
          <w:b/>
          <w:caps/>
          <w:sz w:val="22"/>
        </w:rPr>
        <w:t>3</w:t>
      </w:r>
      <w:r w:rsidRPr="00C30A0F">
        <w:rPr>
          <w:rFonts w:ascii="Arial" w:hAnsi="Arial" w:cs="Arial"/>
          <w:b/>
          <w:caps/>
          <w:sz w:val="22"/>
        </w:rPr>
        <w:t>.</w:t>
      </w:r>
      <w:r w:rsidR="00A44871">
        <w:rPr>
          <w:rFonts w:ascii="Arial" w:hAnsi="Arial" w:cs="Arial"/>
          <w:b/>
          <w:caps/>
          <w:sz w:val="22"/>
        </w:rPr>
        <w:t>4</w:t>
      </w:r>
      <w:r w:rsidRPr="00C30A0F">
        <w:rPr>
          <w:rFonts w:ascii="Arial" w:hAnsi="Arial" w:cs="Arial"/>
          <w:b/>
          <w:caps/>
          <w:sz w:val="22"/>
        </w:rPr>
        <w:t xml:space="preserve"> </w:t>
      </w:r>
      <w:r w:rsidR="00A44871" w:rsidRPr="00A44871">
        <w:rPr>
          <w:rFonts w:ascii="Arial" w:hAnsi="Arial" w:cs="Arial"/>
          <w:b/>
          <w:sz w:val="22"/>
        </w:rPr>
        <w:t>Insights, Realizations, and Professional Becoming</w:t>
      </w:r>
    </w:p>
    <w:p w14:paraId="775EB169" w14:textId="77777777" w:rsidR="002F3D2B" w:rsidRPr="00AB2D47" w:rsidRDefault="002F3D2B" w:rsidP="002F3D2B">
      <w:pPr>
        <w:pStyle w:val="Body"/>
        <w:spacing w:after="0"/>
        <w:rPr>
          <w:rFonts w:ascii="Arial" w:hAnsi="Arial" w:cs="Arial"/>
          <w:bCs/>
          <w:caps/>
        </w:rPr>
      </w:pPr>
    </w:p>
    <w:p w14:paraId="138B7388" w14:textId="77777777" w:rsidR="00AB2D47" w:rsidRPr="00AB2D47" w:rsidRDefault="00AB2D47" w:rsidP="00AB2D47">
      <w:pPr>
        <w:pStyle w:val="Body"/>
        <w:spacing w:after="0"/>
        <w:rPr>
          <w:rFonts w:ascii="Arial" w:hAnsi="Arial" w:cs="Arial"/>
          <w:bCs/>
          <w:lang w:val="en-PH"/>
        </w:rPr>
      </w:pPr>
      <w:r w:rsidRPr="00AB2D47">
        <w:rPr>
          <w:rFonts w:ascii="Arial" w:hAnsi="Arial" w:cs="Arial"/>
          <w:bCs/>
          <w:lang w:val="en-PH"/>
        </w:rPr>
        <w:t xml:space="preserve">Over time, participants moved beyond immediate survival and began making sense of the city they were inhabiting. One major insight involved normalizing teaching demands as part of professional reality. Participant 2 reflected, </w:t>
      </w:r>
      <w:r w:rsidRPr="00AB2D47">
        <w:rPr>
          <w:rFonts w:ascii="Arial" w:hAnsi="Arial" w:cs="Arial"/>
          <w:bCs/>
          <w:i/>
          <w:iCs/>
          <w:lang w:val="en-PH"/>
        </w:rPr>
        <w:t>“I thought, ‘Wow, there really is a lot of paperwork.’ But I also thought, ‘Well, this is the job, so let’s go.’”</w:t>
      </w:r>
      <w:r w:rsidRPr="00AB2D47">
        <w:rPr>
          <w:rFonts w:ascii="Arial" w:hAnsi="Arial" w:cs="Arial"/>
          <w:bCs/>
          <w:lang w:val="en-PH"/>
        </w:rPr>
        <w:t xml:space="preserve"> This indicates a shift from seeing workload as a disruption to recognizing it as a built-in feature of teaching. Such reinterpretation reflects a deeper reappraisal of the situation, consistent with Schlossberg’s view of adaptation as meaning-making within transition (Schlossberg, 1981; Schlossberg et al., 2011). This also aligns with research showing that novice teachers gradually come to understand workload and institutional demands as structural, rather than merely personal burdens (OECD, 2020; Madigan &amp; Kim, 2021; Wang et al., 2021).</w:t>
      </w:r>
    </w:p>
    <w:p w14:paraId="09E0BA3C" w14:textId="77777777" w:rsidR="00AB2D47" w:rsidRPr="00AB2D47" w:rsidRDefault="00AB2D47" w:rsidP="00AB2D47">
      <w:pPr>
        <w:pStyle w:val="Body"/>
        <w:spacing w:after="0"/>
        <w:rPr>
          <w:rFonts w:ascii="Arial" w:hAnsi="Arial" w:cs="Arial"/>
          <w:bCs/>
          <w:lang w:val="en-PH"/>
        </w:rPr>
      </w:pPr>
    </w:p>
    <w:p w14:paraId="67DBD702" w14:textId="77777777" w:rsidR="00AB2D47" w:rsidRPr="00AB2D47" w:rsidRDefault="00AB2D47" w:rsidP="00AB2D47">
      <w:pPr>
        <w:pStyle w:val="Body"/>
        <w:spacing w:after="0"/>
        <w:rPr>
          <w:rFonts w:ascii="Arial" w:hAnsi="Arial" w:cs="Arial"/>
          <w:bCs/>
          <w:lang w:val="en-PH"/>
        </w:rPr>
      </w:pPr>
      <w:r w:rsidRPr="00AB2D47">
        <w:rPr>
          <w:rFonts w:ascii="Arial" w:hAnsi="Arial" w:cs="Arial"/>
          <w:bCs/>
          <w:lang w:val="en-PH"/>
        </w:rPr>
        <w:t xml:space="preserve">A second realization involved aligning the self with institutional expectations while building a more adaptive and resilient identity. Participant 1 stated, </w:t>
      </w:r>
      <w:r w:rsidRPr="00AB2D47">
        <w:rPr>
          <w:rFonts w:ascii="Arial" w:hAnsi="Arial" w:cs="Arial"/>
          <w:bCs/>
          <w:i/>
          <w:iCs/>
          <w:lang w:val="en-PH"/>
        </w:rPr>
        <w:t>“Just one thing: follow the culture of the institution… we really need to adapt to the culture,”</w:t>
      </w:r>
      <w:r w:rsidRPr="00AB2D47">
        <w:rPr>
          <w:rFonts w:ascii="Arial" w:hAnsi="Arial" w:cs="Arial"/>
          <w:bCs/>
          <w:lang w:val="en-PH"/>
        </w:rPr>
        <w:t xml:space="preserve"> while Participant 5 reflected, </w:t>
      </w:r>
      <w:r w:rsidRPr="00AB2D47">
        <w:rPr>
          <w:rFonts w:ascii="Arial" w:hAnsi="Arial" w:cs="Arial"/>
          <w:bCs/>
          <w:i/>
          <w:iCs/>
          <w:lang w:val="en-PH"/>
        </w:rPr>
        <w:t>“I’ve learned to adapt, sir. I am also learning along the way.”</w:t>
      </w:r>
      <w:r w:rsidRPr="00AB2D47">
        <w:rPr>
          <w:rFonts w:ascii="Arial" w:hAnsi="Arial" w:cs="Arial"/>
          <w:bCs/>
          <w:lang w:val="en-PH"/>
        </w:rPr>
        <w:t xml:space="preserve"> These accounts suggest that professional becoming involved more than compliance; it required reinterpretation of self within the institutional context. Schaefer and </w:t>
      </w:r>
      <w:proofErr w:type="spellStart"/>
      <w:r w:rsidRPr="00AB2D47">
        <w:rPr>
          <w:rFonts w:ascii="Arial" w:hAnsi="Arial" w:cs="Arial"/>
          <w:bCs/>
          <w:lang w:val="en-PH"/>
        </w:rPr>
        <w:t>Clandinin</w:t>
      </w:r>
      <w:proofErr w:type="spellEnd"/>
      <w:r w:rsidRPr="00AB2D47">
        <w:rPr>
          <w:rFonts w:ascii="Arial" w:hAnsi="Arial" w:cs="Arial"/>
          <w:bCs/>
          <w:lang w:val="en-PH"/>
        </w:rPr>
        <w:t xml:space="preserve"> (2019) emphasized that early-career teachers form professional identities through lived engagement with school culture, while Pillen et al. (2013) highlighted that identity development often emerges through tensions that must be negotiated rather than avoided. Goddard and Foster (2001) similarly showed that neophyte teachers’ growth depends on how they critically reconstruct their understanding of the profession in practice.</w:t>
      </w:r>
    </w:p>
    <w:p w14:paraId="12EBF674" w14:textId="77777777" w:rsidR="00AB2D47" w:rsidRPr="00AB2D47" w:rsidRDefault="00AB2D47" w:rsidP="00AB2D47">
      <w:pPr>
        <w:pStyle w:val="Body"/>
        <w:spacing w:after="0"/>
        <w:rPr>
          <w:rFonts w:ascii="Arial" w:hAnsi="Arial" w:cs="Arial"/>
          <w:bCs/>
          <w:lang w:val="en-PH"/>
        </w:rPr>
      </w:pPr>
    </w:p>
    <w:p w14:paraId="6774DD65" w14:textId="036D64A5" w:rsidR="00D456DC" w:rsidRPr="00D456DC" w:rsidRDefault="00AB2D47" w:rsidP="00D456DC">
      <w:pPr>
        <w:pStyle w:val="Body"/>
        <w:spacing w:after="0"/>
        <w:rPr>
          <w:rFonts w:ascii="Arial" w:hAnsi="Arial" w:cs="Arial"/>
          <w:bCs/>
          <w:lang w:val="en-PH"/>
        </w:rPr>
      </w:pPr>
      <w:r w:rsidRPr="00AB2D47">
        <w:rPr>
          <w:rFonts w:ascii="Arial" w:hAnsi="Arial" w:cs="Arial"/>
          <w:bCs/>
          <w:lang w:val="en-PH"/>
        </w:rPr>
        <w:t xml:space="preserve">Finally, participants described reclaiming meaning in teaching through learner-centered purpose. Participant 2 expressed, </w:t>
      </w:r>
      <w:r w:rsidRPr="00AB2D47">
        <w:rPr>
          <w:rFonts w:ascii="Arial" w:hAnsi="Arial" w:cs="Arial"/>
          <w:bCs/>
          <w:i/>
          <w:iCs/>
          <w:lang w:val="en-PH"/>
        </w:rPr>
        <w:t>“I feel more motivated, sir, because when I go to school… or see the children, I forget my problems. Teaching really feels like my calling.”</w:t>
      </w:r>
      <w:r w:rsidRPr="00AB2D47">
        <w:rPr>
          <w:rFonts w:ascii="Arial" w:hAnsi="Arial" w:cs="Arial"/>
          <w:bCs/>
          <w:lang w:val="en-PH"/>
        </w:rPr>
        <w:t xml:space="preserve"> This suggests that purpose was not found in easier conditions, but in reconnecting with learners themselves. Analytically, this points to professional becoming as both contextual and moral: participants made a home in the city not by eliminating difficulty, but by locating meaning within it. This supports research showing that early-career teachers often sustain commitment through meaning-making grounded in students, relationships, and purpose (Wang et al., 2021). Thus, the city became inhabitable not because it ceased to be demanding, but because participants began to see themselves as belonging within it</w:t>
      </w:r>
      <w:r w:rsidR="009450DB">
        <w:rPr>
          <w:rFonts w:ascii="Arial" w:hAnsi="Arial" w:cs="Arial"/>
          <w:bCs/>
          <w:lang w:val="en-PH"/>
        </w:rPr>
        <w:t>.</w:t>
      </w:r>
    </w:p>
    <w:p w14:paraId="095E4C47" w14:textId="77777777" w:rsidR="005706F4" w:rsidRPr="00C05BF7" w:rsidRDefault="005706F4" w:rsidP="00441B6F">
      <w:pPr>
        <w:pStyle w:val="Body"/>
        <w:spacing w:after="0"/>
        <w:rPr>
          <w:rFonts w:ascii="Arial" w:hAnsi="Arial" w:cs="Arial"/>
          <w:lang w:val="en-PH"/>
        </w:rPr>
      </w:pPr>
    </w:p>
    <w:p w14:paraId="01A0F87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67C6D1" w14:textId="77777777" w:rsidR="00790ADA" w:rsidRPr="00FB3A86" w:rsidRDefault="00790ADA" w:rsidP="00441B6F">
      <w:pPr>
        <w:pStyle w:val="ConcHead"/>
        <w:spacing w:after="0"/>
        <w:jc w:val="both"/>
        <w:rPr>
          <w:rFonts w:ascii="Arial" w:hAnsi="Arial" w:cs="Arial"/>
        </w:rPr>
      </w:pPr>
    </w:p>
    <w:p w14:paraId="03430983" w14:textId="77777777" w:rsidR="00135DBA" w:rsidRPr="00135DBA" w:rsidRDefault="00135DBA" w:rsidP="00135DBA">
      <w:pPr>
        <w:pStyle w:val="Body"/>
        <w:rPr>
          <w:rFonts w:ascii="Arial" w:hAnsi="Arial" w:cs="Arial"/>
        </w:rPr>
      </w:pPr>
      <w:r w:rsidRPr="00135DBA">
        <w:rPr>
          <w:rFonts w:ascii="Arial" w:hAnsi="Arial" w:cs="Arial"/>
        </w:rPr>
        <w:t xml:space="preserve">For neophyte teachers’ expectations prior to actual classroom teaching, the findings showed that they entered the profession with idealized views of teaching and learners, expected institutional alignment and support, and held preconceived notions about differences across teaching contexts and school sectors. In terms of the challenges they encountered during the transition, the findings revealed difficulties arising from the collapse of these idealized expectations, the management of learner diversity and classroom complexity, the need to adjust pedagogical practices to actual classroom conditions, the pressure of performance expectations and institutional norms, limited mentorship and instructional guidance, and adaptation to contextual and sector-specific realities. Regarding the coping mechanisms and </w:t>
      </w:r>
      <w:proofErr w:type="gramStart"/>
      <w:r w:rsidRPr="00135DBA">
        <w:rPr>
          <w:rFonts w:ascii="Arial" w:hAnsi="Arial" w:cs="Arial"/>
        </w:rPr>
        <w:t>strategies</w:t>
      </w:r>
      <w:proofErr w:type="gramEnd"/>
      <w:r w:rsidRPr="00135DBA">
        <w:rPr>
          <w:rFonts w:ascii="Arial" w:hAnsi="Arial" w:cs="Arial"/>
        </w:rPr>
        <w:t xml:space="preserve"> they employed, the findings showed that they relied on social and collegial support, regulated time, tasks, and role demands, sustained themselves through endurance and lifestyle adjustments, and used stress-management strategies to preserve emotional stability. As to the insights and realizations they derived from their lived experiences, the findings demonstrated that they came to view teaching demands as part of professional reality, learned to align themselves with institutional culture and expectations, developed a more adaptive and resilient teacher identity, and reclaimed meaning in teaching through a learner-centered sense of purpose</w:t>
      </w:r>
      <w:r>
        <w:rPr>
          <w:rFonts w:ascii="Arial" w:hAnsi="Arial" w:cs="Arial"/>
        </w:rPr>
        <w:t>.</w:t>
      </w:r>
    </w:p>
    <w:p w14:paraId="3DD08D71" w14:textId="77777777" w:rsidR="00555096" w:rsidRDefault="00135DBA" w:rsidP="00135DBA">
      <w:pPr>
        <w:pStyle w:val="Body"/>
        <w:spacing w:after="0"/>
        <w:rPr>
          <w:rFonts w:ascii="Arial" w:hAnsi="Arial" w:cs="Arial"/>
        </w:rPr>
      </w:pPr>
      <w:r w:rsidRPr="00135DBA">
        <w:rPr>
          <w:rFonts w:ascii="Arial" w:hAnsi="Arial" w:cs="Arial"/>
        </w:rPr>
        <w:t>The study concluded that the transition of neophyte teachers from practice teaching to actual classroom responsibility was not merely a shift from preparation to practice, but a transformative process of professional becoming. They entered the profession with idealized expectations, yet were confronted by the realities of learner diversity, instructional complexity, institutional demands, workload, and limited guidance. These experiences required them to adjust their expectations, modify their practices, and navigate the profession while already carrying its responsibilities. Despite these challenges, the findings showed that neophyte teachers were able to endure and grow through the use of adaptive coping strategies, including support-seeking, self-regulation, endurance, and emotional management. Over time, their transition led to deeper professional insights, particularly that effective adjustment depends not on complete readiness at entry, but on flexibility, meaning-making, resilience, and commitment to learners within the realities of school life.</w:t>
      </w:r>
    </w:p>
    <w:p w14:paraId="04CEF5A5" w14:textId="77777777" w:rsidR="00555096" w:rsidRDefault="00555096" w:rsidP="00441B6F">
      <w:pPr>
        <w:pStyle w:val="Body"/>
        <w:spacing w:after="0"/>
        <w:rPr>
          <w:rFonts w:ascii="Arial" w:hAnsi="Arial" w:cs="Arial"/>
        </w:rPr>
      </w:pPr>
    </w:p>
    <w:p w14:paraId="66BFAE40" w14:textId="380F2B27" w:rsidR="00716ED0" w:rsidRPr="00716ED0" w:rsidRDefault="00716ED0" w:rsidP="00441B6F">
      <w:pPr>
        <w:pStyle w:val="Body"/>
        <w:spacing w:after="0"/>
        <w:rPr>
          <w:rFonts w:ascii="Arial" w:hAnsi="Arial" w:cs="Arial"/>
          <w:b/>
          <w:bCs/>
          <w:sz w:val="22"/>
          <w:szCs w:val="22"/>
        </w:rPr>
      </w:pPr>
      <w:r w:rsidRPr="00716ED0">
        <w:rPr>
          <w:rFonts w:ascii="Arial" w:hAnsi="Arial" w:cs="Arial"/>
          <w:b/>
          <w:bCs/>
          <w:sz w:val="22"/>
          <w:szCs w:val="22"/>
        </w:rPr>
        <w:t>5. LIMITATIONS</w:t>
      </w:r>
    </w:p>
    <w:p w14:paraId="5CBC0F27" w14:textId="77777777" w:rsidR="00315186" w:rsidRDefault="00315186" w:rsidP="00441B6F"/>
    <w:p w14:paraId="6A915233" w14:textId="0ADD7716" w:rsidR="00374CB2" w:rsidRDefault="00374CB2" w:rsidP="00374CB2">
      <w:pPr>
        <w:jc w:val="both"/>
        <w:rPr>
          <w:lang w:val="en-PH"/>
        </w:rPr>
      </w:pPr>
      <w:r w:rsidRPr="00374CB2">
        <w:rPr>
          <w:lang w:val="en-PH"/>
        </w:rPr>
        <w:t xml:space="preserve">This study is limited by its focus on neophyte teachers from only one private school in </w:t>
      </w:r>
      <w:proofErr w:type="spellStart"/>
      <w:r w:rsidRPr="00374CB2">
        <w:rPr>
          <w:lang w:val="en-PH"/>
        </w:rPr>
        <w:t>Dipolog</w:t>
      </w:r>
      <w:proofErr w:type="spellEnd"/>
      <w:r w:rsidRPr="00374CB2">
        <w:rPr>
          <w:lang w:val="en-PH"/>
        </w:rPr>
        <w:t xml:space="preserve"> City during School Year 2025–2026; thus, the findings may not represent the experiences of neophyte teachers in public schools or in other private institutions with different contexts, cultures, and support systems. The inquiry was also confined to teachers in their first job and first school assignment, with less than three years of experience and at least three months of service in the institution. As a qualitative phenomenological study, the findings are intended to provide an in-depth understanding of lived experiences rather than generalizable results or causal explanations. In addition, the study covered only the first three months of the school year, so it does not capture longer-term transition experiences. </w:t>
      </w:r>
    </w:p>
    <w:p w14:paraId="24D5D91E" w14:textId="77777777" w:rsidR="00374CB2" w:rsidRDefault="00374CB2" w:rsidP="00374CB2">
      <w:pPr>
        <w:jc w:val="both"/>
        <w:rPr>
          <w:lang w:val="en-PH"/>
        </w:rPr>
      </w:pPr>
    </w:p>
    <w:p w14:paraId="0ACB9FB4" w14:textId="15C51FFE" w:rsidR="00374CB2" w:rsidRPr="00716ED0" w:rsidRDefault="00374CB2" w:rsidP="00374CB2">
      <w:pPr>
        <w:pStyle w:val="Body"/>
        <w:spacing w:after="0"/>
        <w:rPr>
          <w:rFonts w:ascii="Arial" w:hAnsi="Arial" w:cs="Arial"/>
          <w:b/>
          <w:bCs/>
          <w:sz w:val="22"/>
          <w:szCs w:val="22"/>
        </w:rPr>
      </w:pPr>
      <w:r w:rsidRPr="00716ED0">
        <w:rPr>
          <w:rFonts w:ascii="Arial" w:hAnsi="Arial" w:cs="Arial"/>
          <w:b/>
          <w:bCs/>
          <w:sz w:val="22"/>
          <w:szCs w:val="22"/>
        </w:rPr>
        <w:t xml:space="preserve">5. </w:t>
      </w:r>
      <w:r>
        <w:rPr>
          <w:rFonts w:ascii="Arial" w:hAnsi="Arial" w:cs="Arial"/>
          <w:b/>
          <w:bCs/>
          <w:sz w:val="22"/>
          <w:szCs w:val="22"/>
        </w:rPr>
        <w:t>RECOMMENDATIONS</w:t>
      </w:r>
    </w:p>
    <w:p w14:paraId="339D6BA2" w14:textId="77777777" w:rsidR="00374CB2" w:rsidRPr="00374CB2" w:rsidRDefault="00374CB2" w:rsidP="00374CB2">
      <w:pPr>
        <w:jc w:val="both"/>
        <w:rPr>
          <w:lang w:val="en-PH"/>
        </w:rPr>
      </w:pPr>
    </w:p>
    <w:p w14:paraId="6CF7FF3D" w14:textId="1C10A689" w:rsidR="00374CB2" w:rsidRPr="00374CB2" w:rsidRDefault="00374CB2" w:rsidP="00374CB2">
      <w:pPr>
        <w:jc w:val="both"/>
        <w:rPr>
          <w:lang w:val="en-PH"/>
        </w:rPr>
      </w:pPr>
      <w:r w:rsidRPr="00374CB2">
        <w:t>Schools may strengthen induction and mentoring programs for neophyte teachers to support their early adjustment to actual classroom responsibilities. School leaders may also provide clearer role expectations, accessible instructional support, and manageable workloads during the transition period. Future studies may include other school contexts, longer transition periods, and the perspectives of mentors, administrators, and other stakeholders to develop a more comprehensive understanding of neophyte teachers’ experiences.</w:t>
      </w:r>
    </w:p>
    <w:p w14:paraId="7452F229" w14:textId="77777777" w:rsidR="00363F5C" w:rsidRDefault="00363F5C" w:rsidP="00441B6F">
      <w:pPr>
        <w:pStyle w:val="ReferHead"/>
        <w:spacing w:after="0"/>
        <w:jc w:val="both"/>
        <w:rPr>
          <w:rFonts w:ascii="Arial" w:hAnsi="Arial" w:cs="Arial"/>
          <w:b w:val="0"/>
          <w:caps w:val="0"/>
          <w:sz w:val="20"/>
        </w:rPr>
      </w:pPr>
    </w:p>
    <w:p w14:paraId="2D210DF9"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821E5B1" w14:textId="77777777" w:rsidR="0083002F" w:rsidRPr="002B685A" w:rsidRDefault="0083002F" w:rsidP="00441B6F">
      <w:pPr>
        <w:pStyle w:val="ReferHead"/>
        <w:spacing w:after="0"/>
        <w:jc w:val="both"/>
        <w:rPr>
          <w:rFonts w:ascii="Arial" w:hAnsi="Arial" w:cs="Arial"/>
          <w:bCs/>
        </w:rPr>
      </w:pPr>
    </w:p>
    <w:p w14:paraId="7775A824" w14:textId="0942CD05" w:rsidR="005C784C" w:rsidRDefault="00520858" w:rsidP="00441B6F">
      <w:pPr>
        <w:pStyle w:val="ReferHead"/>
        <w:spacing w:after="0"/>
        <w:jc w:val="both"/>
        <w:rPr>
          <w:rFonts w:ascii="Arial" w:hAnsi="Arial" w:cs="Arial"/>
          <w:b w:val="0"/>
          <w:caps w:val="0"/>
          <w:sz w:val="20"/>
        </w:rPr>
      </w:pPr>
      <w:r>
        <w:rPr>
          <w:rFonts w:ascii="Arial" w:hAnsi="Arial" w:cs="Arial"/>
          <w:b w:val="0"/>
          <w:caps w:val="0"/>
          <w:sz w:val="20"/>
        </w:rPr>
        <w:t>Written i</w:t>
      </w:r>
      <w:r w:rsidR="00EA4C9F" w:rsidRPr="00EA4C9F">
        <w:rPr>
          <w:rFonts w:ascii="Arial" w:hAnsi="Arial" w:cs="Arial"/>
          <w:b w:val="0"/>
          <w:caps w:val="0"/>
          <w:sz w:val="20"/>
        </w:rPr>
        <w:t>nformed consent was obtained from all participants prior to data collection. Each participant was provided with a consent form explaining the purpose of the study, the nature of participation, the interview process, expected duration, possible risks and benefits, and their right to decline participation or withdraw at any time without penalty. Participants were also informed that they could refuse to answer any question they found uncomfortable and could pause or stop the interview at any point. Consent was treated as an ongoing process throughout the study to ensure that participants’ autonomy, comfort, and voluntary participation were fully respected.</w:t>
      </w:r>
      <w:r w:rsidR="00EA4C9F">
        <w:rPr>
          <w:rFonts w:ascii="Arial" w:hAnsi="Arial" w:cs="Arial"/>
          <w:b w:val="0"/>
          <w:caps w:val="0"/>
          <w:sz w:val="20"/>
        </w:rPr>
        <w:t xml:space="preserve"> </w:t>
      </w:r>
    </w:p>
    <w:p w14:paraId="66F38B5A" w14:textId="77777777" w:rsidR="00821C34" w:rsidRDefault="00821C34" w:rsidP="00441B6F">
      <w:pPr>
        <w:pStyle w:val="ReferHead"/>
        <w:spacing w:after="0"/>
        <w:jc w:val="both"/>
        <w:rPr>
          <w:rFonts w:ascii="Arial" w:hAnsi="Arial" w:cs="Arial"/>
          <w:b w:val="0"/>
          <w:caps w:val="0"/>
          <w:sz w:val="20"/>
        </w:rPr>
      </w:pPr>
    </w:p>
    <w:p w14:paraId="50A90E83" w14:textId="77777777" w:rsidR="00821C34" w:rsidRDefault="00821C34" w:rsidP="00441B6F">
      <w:pPr>
        <w:pStyle w:val="ReferHead"/>
        <w:spacing w:after="0"/>
        <w:jc w:val="both"/>
        <w:rPr>
          <w:rFonts w:ascii="Arial" w:hAnsi="Arial" w:cs="Arial"/>
          <w:b w:val="0"/>
          <w:caps w:val="0"/>
          <w:sz w:val="20"/>
        </w:rPr>
      </w:pPr>
    </w:p>
    <w:p w14:paraId="3F9BF54A" w14:textId="77777777" w:rsidR="00821C34" w:rsidRPr="00821C34" w:rsidRDefault="00821C34" w:rsidP="00821C34">
      <w:pPr>
        <w:pStyle w:val="ReferHead"/>
        <w:jc w:val="both"/>
        <w:rPr>
          <w:rFonts w:ascii="Arial" w:hAnsi="Arial" w:cs="Arial"/>
          <w:b w:val="0"/>
          <w:caps w:val="0"/>
          <w:sz w:val="20"/>
        </w:rPr>
      </w:pPr>
      <w:r w:rsidRPr="00821C34">
        <w:rPr>
          <w:rFonts w:ascii="Arial" w:hAnsi="Arial" w:cs="Arial"/>
          <w:b w:val="0"/>
          <w:caps w:val="0"/>
          <w:sz w:val="20"/>
        </w:rPr>
        <w:t>COMPETING INTERESTS DISCLAIMER:</w:t>
      </w:r>
    </w:p>
    <w:p w14:paraId="48FB2B92" w14:textId="2E83B516" w:rsidR="00821C34" w:rsidRDefault="00821C34" w:rsidP="00821C34">
      <w:pPr>
        <w:pStyle w:val="ReferHead"/>
        <w:spacing w:after="0"/>
        <w:jc w:val="both"/>
        <w:rPr>
          <w:rFonts w:ascii="Arial" w:hAnsi="Arial" w:cs="Arial"/>
          <w:b w:val="0"/>
          <w:caps w:val="0"/>
          <w:sz w:val="20"/>
        </w:rPr>
      </w:pPr>
      <w:r w:rsidRPr="00821C3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DC6CA5D" w14:textId="1E4DFC32" w:rsidR="004177EC" w:rsidRDefault="004177EC" w:rsidP="00821C34">
      <w:pPr>
        <w:pStyle w:val="ReferHead"/>
        <w:spacing w:after="0"/>
        <w:jc w:val="both"/>
        <w:rPr>
          <w:rFonts w:ascii="Arial" w:hAnsi="Arial" w:cs="Arial"/>
          <w:b w:val="0"/>
          <w:caps w:val="0"/>
          <w:sz w:val="20"/>
        </w:rPr>
      </w:pPr>
    </w:p>
    <w:p w14:paraId="6A4B7237" w14:textId="77777777" w:rsidR="004177EC" w:rsidRPr="00E866D1" w:rsidRDefault="004177EC" w:rsidP="00562384">
      <w:pPr>
        <w:jc w:val="both"/>
        <w:rPr>
          <w:rFonts w:ascii="Arial" w:eastAsia="Calibri" w:hAnsi="Arial" w:cs="Arial"/>
          <w:kern w:val="2"/>
          <w:highlight w:val="yellow"/>
        </w:rPr>
      </w:pPr>
      <w:bookmarkStart w:id="1" w:name="_Hlk198031404"/>
      <w:r w:rsidRPr="00E866D1">
        <w:rPr>
          <w:rFonts w:ascii="Arial" w:eastAsia="Calibri" w:hAnsi="Arial" w:cs="Arial"/>
          <w:kern w:val="2"/>
          <w:highlight w:val="yellow"/>
        </w:rPr>
        <w:t>Disclaimer (Artificial intelligence)</w:t>
      </w:r>
    </w:p>
    <w:p w14:paraId="6B6992D3" w14:textId="77777777" w:rsidR="004177EC" w:rsidRPr="00E866D1" w:rsidRDefault="004177EC" w:rsidP="00562384">
      <w:pPr>
        <w:jc w:val="both"/>
        <w:rPr>
          <w:rFonts w:ascii="Arial" w:eastAsia="Calibri" w:hAnsi="Arial" w:cs="Arial"/>
          <w:kern w:val="2"/>
          <w:highlight w:val="yellow"/>
        </w:rPr>
      </w:pPr>
    </w:p>
    <w:p w14:paraId="4C32A99B" w14:textId="77777777" w:rsidR="004177EC" w:rsidRPr="00E866D1" w:rsidRDefault="004177EC" w:rsidP="00562384">
      <w:pPr>
        <w:jc w:val="both"/>
        <w:rPr>
          <w:rFonts w:ascii="Arial" w:eastAsia="Calibri" w:hAnsi="Arial" w:cs="Arial"/>
          <w:kern w:val="2"/>
          <w:highlight w:val="yellow"/>
        </w:rPr>
      </w:pPr>
      <w:r w:rsidRPr="00E866D1">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0D0DCA9" w14:textId="77777777" w:rsidR="004177EC" w:rsidRDefault="004177EC" w:rsidP="00821C34">
      <w:pPr>
        <w:pStyle w:val="ReferHead"/>
        <w:spacing w:after="0"/>
        <w:jc w:val="both"/>
        <w:rPr>
          <w:rFonts w:ascii="Arial" w:hAnsi="Arial" w:cs="Arial"/>
          <w:b w:val="0"/>
          <w:caps w:val="0"/>
          <w:sz w:val="20"/>
        </w:rPr>
      </w:pPr>
    </w:p>
    <w:p w14:paraId="77C05C0B" w14:textId="77777777" w:rsidR="00860000" w:rsidRDefault="00860000" w:rsidP="00441B6F">
      <w:pPr>
        <w:pStyle w:val="ReferHead"/>
        <w:spacing w:after="0"/>
        <w:jc w:val="both"/>
        <w:rPr>
          <w:rFonts w:ascii="Arial" w:hAnsi="Arial" w:cs="Arial"/>
        </w:rPr>
      </w:pPr>
    </w:p>
    <w:p w14:paraId="299812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A103F7F" w14:textId="77777777" w:rsidR="00790ADA" w:rsidRPr="00FB3A86" w:rsidRDefault="00790ADA" w:rsidP="00441B6F">
      <w:pPr>
        <w:pStyle w:val="ReferHead"/>
        <w:spacing w:after="0"/>
        <w:jc w:val="both"/>
        <w:rPr>
          <w:rFonts w:ascii="Arial" w:hAnsi="Arial" w:cs="Arial"/>
        </w:rPr>
      </w:pPr>
    </w:p>
    <w:p w14:paraId="6C60D921" w14:textId="77777777" w:rsidR="00D15A60" w:rsidRDefault="00D15A60" w:rsidP="00D15A60">
      <w:pPr>
        <w:pStyle w:val="Body"/>
        <w:spacing w:after="0"/>
        <w:rPr>
          <w:lang w:val="en-PH"/>
        </w:rPr>
      </w:pPr>
      <w:r w:rsidRPr="00D15A60">
        <w:rPr>
          <w:lang w:val="en-PH"/>
        </w:rPr>
        <w:t xml:space="preserve">Aloe, A. M., Shisler, S. M., Norris, B. D., Nickerson, A. B., &amp; Rinker, T. W. (2014). A multivariate meta-analysis of student misbehavior and teacher burnout. </w:t>
      </w:r>
      <w:r w:rsidRPr="00D15A60">
        <w:rPr>
          <w:i/>
          <w:iCs/>
          <w:lang w:val="en-PH"/>
        </w:rPr>
        <w:t>Educational Research Review, 12</w:t>
      </w:r>
      <w:r w:rsidRPr="00D15A60">
        <w:rPr>
          <w:lang w:val="en-PH"/>
        </w:rPr>
        <w:t xml:space="preserve">, 30-44. </w:t>
      </w:r>
      <w:hyperlink r:id="rId11" w:tgtFrame="_new" w:history="1">
        <w:r w:rsidRPr="00D15A60">
          <w:rPr>
            <w:rStyle w:val="Hyperlink"/>
            <w:lang w:val="en-PH"/>
          </w:rPr>
          <w:t>https://doi.org/10.1016/j.edurev.2014.05.003</w:t>
        </w:r>
      </w:hyperlink>
      <w:r w:rsidRPr="00D15A60">
        <w:rPr>
          <w:lang w:val="en-PH"/>
        </w:rPr>
        <w:t xml:space="preserve"> </w:t>
      </w:r>
    </w:p>
    <w:p w14:paraId="5A76B9B4" w14:textId="77777777" w:rsidR="00D15A60" w:rsidRPr="00D15A60" w:rsidRDefault="00D15A60" w:rsidP="00D15A60">
      <w:pPr>
        <w:pStyle w:val="Body"/>
        <w:spacing w:after="0"/>
        <w:rPr>
          <w:lang w:val="en-PH"/>
        </w:rPr>
      </w:pPr>
    </w:p>
    <w:p w14:paraId="17BF0BD4" w14:textId="77777777" w:rsidR="00D15A60" w:rsidRDefault="00D15A60" w:rsidP="00D15A60">
      <w:pPr>
        <w:pStyle w:val="Body"/>
        <w:spacing w:after="0"/>
        <w:rPr>
          <w:lang w:val="en-PH"/>
        </w:rPr>
      </w:pPr>
      <w:proofErr w:type="spellStart"/>
      <w:r w:rsidRPr="00D15A60">
        <w:rPr>
          <w:lang w:val="en-PH"/>
        </w:rPr>
        <w:t>Aspfors</w:t>
      </w:r>
      <w:proofErr w:type="spellEnd"/>
      <w:r w:rsidRPr="00D15A60">
        <w:rPr>
          <w:lang w:val="en-PH"/>
        </w:rPr>
        <w:t xml:space="preserve">, J., &amp; </w:t>
      </w:r>
      <w:proofErr w:type="spellStart"/>
      <w:r w:rsidRPr="00D15A60">
        <w:rPr>
          <w:lang w:val="en-PH"/>
        </w:rPr>
        <w:t>Bondas</w:t>
      </w:r>
      <w:proofErr w:type="spellEnd"/>
      <w:r w:rsidRPr="00D15A60">
        <w:rPr>
          <w:lang w:val="en-PH"/>
        </w:rPr>
        <w:t xml:space="preserve">, T. (2013). Caring about caring: Newly qualified teachers’ experiences of their relationships within the school community. </w:t>
      </w:r>
      <w:r w:rsidRPr="00D15A60">
        <w:rPr>
          <w:i/>
          <w:iCs/>
          <w:lang w:val="en-PH"/>
        </w:rPr>
        <w:t>Teachers and Teaching, 19</w:t>
      </w:r>
      <w:r w:rsidRPr="00D15A60">
        <w:rPr>
          <w:lang w:val="en-PH"/>
        </w:rPr>
        <w:t xml:space="preserve">(3), 243-259. </w:t>
      </w:r>
      <w:hyperlink r:id="rId12" w:tgtFrame="_new" w:history="1">
        <w:r w:rsidRPr="00D15A60">
          <w:rPr>
            <w:rStyle w:val="Hyperlink"/>
            <w:lang w:val="en-PH"/>
          </w:rPr>
          <w:t>https://doi.org/10.1080/13540602.2012.754158</w:t>
        </w:r>
      </w:hyperlink>
      <w:r w:rsidRPr="00D15A60">
        <w:rPr>
          <w:lang w:val="en-PH"/>
        </w:rPr>
        <w:t xml:space="preserve"> </w:t>
      </w:r>
    </w:p>
    <w:p w14:paraId="17358AE7" w14:textId="77777777" w:rsidR="00081434" w:rsidRDefault="00081434" w:rsidP="00D15A60">
      <w:pPr>
        <w:pStyle w:val="Body"/>
        <w:spacing w:after="0"/>
        <w:rPr>
          <w:lang w:val="en-PH"/>
        </w:rPr>
      </w:pPr>
    </w:p>
    <w:p w14:paraId="7C1E6CF2" w14:textId="77777777" w:rsidR="00081434" w:rsidRPr="00C47CCA" w:rsidRDefault="00081434" w:rsidP="00081434">
      <w:pPr>
        <w:pStyle w:val="Body"/>
        <w:spacing w:after="0"/>
        <w:rPr>
          <w:lang w:val="en-PH"/>
        </w:rPr>
      </w:pPr>
      <w:r w:rsidRPr="00E2098A">
        <w:rPr>
          <w:lang w:val="en-PH"/>
        </w:rPr>
        <w:t xml:space="preserve">Braun, V., &amp; Clarke, V. (2006). Using thematic analysis in psychology. </w:t>
      </w:r>
      <w:r w:rsidRPr="00E2098A">
        <w:rPr>
          <w:i/>
          <w:iCs/>
          <w:lang w:val="en-PH"/>
        </w:rPr>
        <w:t>Qualitative Research in Psychology, 3</w:t>
      </w:r>
      <w:r w:rsidRPr="00E2098A">
        <w:rPr>
          <w:lang w:val="en-PH"/>
        </w:rPr>
        <w:t xml:space="preserve">(2), 77–101. </w:t>
      </w:r>
      <w:hyperlink r:id="rId13" w:tgtFrame="_new" w:history="1">
        <w:r w:rsidRPr="00E2098A">
          <w:rPr>
            <w:rStyle w:val="Hyperlink"/>
            <w:lang w:val="en-PH"/>
          </w:rPr>
          <w:t>https://doi.org/10.1191/1478088706qp063oa</w:t>
        </w:r>
      </w:hyperlink>
      <w:r w:rsidRPr="00E2098A">
        <w:rPr>
          <w:lang w:val="en-PH"/>
        </w:rPr>
        <w:t xml:space="preserve"> </w:t>
      </w:r>
    </w:p>
    <w:p w14:paraId="3646867C" w14:textId="77777777" w:rsidR="00081434" w:rsidRPr="00E2098A" w:rsidRDefault="00081434" w:rsidP="00081434">
      <w:pPr>
        <w:pStyle w:val="Body"/>
        <w:spacing w:after="0"/>
        <w:rPr>
          <w:lang w:val="en-PH"/>
        </w:rPr>
      </w:pPr>
    </w:p>
    <w:p w14:paraId="4AA22594" w14:textId="77777777" w:rsidR="00081434" w:rsidRPr="00C47CCA" w:rsidRDefault="00081434" w:rsidP="00081434">
      <w:pPr>
        <w:pStyle w:val="Body"/>
        <w:spacing w:after="0"/>
        <w:rPr>
          <w:lang w:val="en-PH"/>
        </w:rPr>
      </w:pPr>
      <w:r w:rsidRPr="00E2098A">
        <w:rPr>
          <w:lang w:val="en-PH"/>
        </w:rPr>
        <w:t xml:space="preserve">Braun, V., &amp; Clarke, V. (2019). Reflecting on reflexive thematic analysis. </w:t>
      </w:r>
      <w:r w:rsidRPr="00E2098A">
        <w:rPr>
          <w:i/>
          <w:iCs/>
          <w:lang w:val="en-PH"/>
        </w:rPr>
        <w:t>Qualitative Research in Sport, Exercise and Health, 11</w:t>
      </w:r>
      <w:r w:rsidRPr="00E2098A">
        <w:rPr>
          <w:lang w:val="en-PH"/>
        </w:rPr>
        <w:t xml:space="preserve">(4), 589–597. </w:t>
      </w:r>
      <w:hyperlink r:id="rId14" w:tgtFrame="_new" w:history="1">
        <w:r w:rsidRPr="00E2098A">
          <w:rPr>
            <w:rStyle w:val="Hyperlink"/>
            <w:lang w:val="en-PH"/>
          </w:rPr>
          <w:t>https://doi.org/10.1080/2159676X.2019.1628806</w:t>
        </w:r>
      </w:hyperlink>
      <w:r w:rsidRPr="00E2098A">
        <w:rPr>
          <w:lang w:val="en-PH"/>
        </w:rPr>
        <w:t xml:space="preserve"> </w:t>
      </w:r>
    </w:p>
    <w:p w14:paraId="49887322" w14:textId="77777777" w:rsidR="00D15A60" w:rsidRPr="00D15A60" w:rsidRDefault="00D15A60" w:rsidP="00D15A60">
      <w:pPr>
        <w:pStyle w:val="Body"/>
        <w:spacing w:after="0"/>
        <w:rPr>
          <w:lang w:val="en-PH"/>
        </w:rPr>
      </w:pPr>
    </w:p>
    <w:p w14:paraId="12B5CD6D" w14:textId="77777777" w:rsidR="00D15A60" w:rsidRPr="00B9733A" w:rsidRDefault="00D15A60" w:rsidP="00D15A60">
      <w:pPr>
        <w:pStyle w:val="Body"/>
        <w:spacing w:after="0"/>
        <w:rPr>
          <w:lang w:val="en-PH"/>
        </w:rPr>
      </w:pPr>
      <w:r w:rsidRPr="00D15A60">
        <w:rPr>
          <w:lang w:val="en-PH"/>
        </w:rPr>
        <w:t xml:space="preserve">Buchanan, J., Prescott, A., Schuck, S., Aubusson, P., Burke, P., &amp; Louviere, J. (2013). Teacher retention and attrition: Views of early career teachers. </w:t>
      </w:r>
      <w:r w:rsidRPr="00D15A60">
        <w:rPr>
          <w:i/>
          <w:iCs/>
          <w:lang w:val="en-PH"/>
        </w:rPr>
        <w:t>Australian Journal of Teacher Education, 38</w:t>
      </w:r>
      <w:r w:rsidRPr="00D15A60">
        <w:rPr>
          <w:lang w:val="en-PH"/>
        </w:rPr>
        <w:t xml:space="preserve">(3), 112-129. </w:t>
      </w:r>
      <w:hyperlink r:id="rId15" w:tgtFrame="_new" w:history="1">
        <w:r w:rsidRPr="00B9733A">
          <w:rPr>
            <w:rStyle w:val="Hyperlink"/>
            <w:lang w:val="en-PH"/>
          </w:rPr>
          <w:t>https://doi.org/10.14221/ajte.2013v38n3.9</w:t>
        </w:r>
      </w:hyperlink>
      <w:r w:rsidRPr="00B9733A">
        <w:rPr>
          <w:lang w:val="en-PH"/>
        </w:rPr>
        <w:t xml:space="preserve"> </w:t>
      </w:r>
    </w:p>
    <w:p w14:paraId="63967B8E" w14:textId="77777777" w:rsidR="00D15A60" w:rsidRPr="00B9733A" w:rsidRDefault="00D15A60" w:rsidP="00D15A60">
      <w:pPr>
        <w:pStyle w:val="Body"/>
        <w:spacing w:after="0"/>
        <w:rPr>
          <w:lang w:val="en-PH"/>
        </w:rPr>
      </w:pPr>
    </w:p>
    <w:p w14:paraId="1F0ECFD4" w14:textId="77777777" w:rsidR="00D15A60" w:rsidRDefault="00D15A60" w:rsidP="00D15A60">
      <w:pPr>
        <w:pStyle w:val="Body"/>
        <w:spacing w:after="0"/>
        <w:rPr>
          <w:lang w:val="en-PH"/>
        </w:rPr>
      </w:pPr>
      <w:r w:rsidRPr="00D15A60">
        <w:rPr>
          <w:lang w:val="de-DE"/>
        </w:rPr>
        <w:t xml:space="preserve">Burger, J., Bellhäuser, H., &amp; Imhof, M. (2021). </w:t>
      </w:r>
      <w:r w:rsidRPr="00D15A60">
        <w:rPr>
          <w:lang w:val="en-PH"/>
        </w:rPr>
        <w:t xml:space="preserve">Mentoring styles and novice teachers’ well-being: The role of basic need satisfaction. </w:t>
      </w:r>
      <w:r w:rsidRPr="00D15A60">
        <w:rPr>
          <w:i/>
          <w:iCs/>
          <w:lang w:val="en-PH"/>
        </w:rPr>
        <w:t>Teaching and Teacher Education, 103</w:t>
      </w:r>
      <w:r w:rsidRPr="00D15A60">
        <w:rPr>
          <w:lang w:val="en-PH"/>
        </w:rPr>
        <w:t xml:space="preserve">, 103345. </w:t>
      </w:r>
      <w:hyperlink r:id="rId16" w:history="1">
        <w:r w:rsidRPr="00D15A60">
          <w:rPr>
            <w:rStyle w:val="Hyperlink"/>
            <w:lang w:val="en-PH"/>
          </w:rPr>
          <w:t>https://doi.org/10.1016/j.tate.2021.103345</w:t>
        </w:r>
      </w:hyperlink>
      <w:r w:rsidRPr="00D15A60">
        <w:rPr>
          <w:lang w:val="en-PH"/>
        </w:rPr>
        <w:t xml:space="preserve"> </w:t>
      </w:r>
    </w:p>
    <w:p w14:paraId="1647B84F" w14:textId="77777777" w:rsidR="00D15A60" w:rsidRPr="00D15A60" w:rsidRDefault="00D15A60" w:rsidP="00D15A60">
      <w:pPr>
        <w:pStyle w:val="Body"/>
        <w:spacing w:after="0"/>
        <w:rPr>
          <w:lang w:val="en-PH"/>
        </w:rPr>
      </w:pPr>
    </w:p>
    <w:p w14:paraId="58765C54" w14:textId="77777777" w:rsidR="00D15A60" w:rsidRDefault="00D15A60" w:rsidP="00D15A60">
      <w:pPr>
        <w:pStyle w:val="Body"/>
        <w:spacing w:after="0"/>
        <w:rPr>
          <w:lang w:val="en-PH"/>
        </w:rPr>
      </w:pPr>
      <w:r w:rsidRPr="00D15A60">
        <w:rPr>
          <w:lang w:val="en-PH"/>
        </w:rPr>
        <w:t xml:space="preserve">Chaaban, Y., &amp; Du, X. (2017). Novice teachers’ job satisfaction and coping strategies: Overcoming contextual challenges at Qatari government schools. </w:t>
      </w:r>
      <w:r w:rsidRPr="00D15A60">
        <w:rPr>
          <w:i/>
          <w:iCs/>
          <w:lang w:val="en-PH"/>
        </w:rPr>
        <w:t>Teaching and Teacher Education, 67</w:t>
      </w:r>
      <w:r w:rsidRPr="00D15A60">
        <w:rPr>
          <w:lang w:val="en-PH"/>
        </w:rPr>
        <w:t xml:space="preserve">, 340-350. </w:t>
      </w:r>
      <w:hyperlink r:id="rId17" w:tgtFrame="_new" w:history="1">
        <w:r w:rsidRPr="00D15A60">
          <w:rPr>
            <w:rStyle w:val="Hyperlink"/>
            <w:lang w:val="en-PH"/>
          </w:rPr>
          <w:t>https://doi.org/10.1016/j.tate.2017.07.002</w:t>
        </w:r>
      </w:hyperlink>
      <w:r w:rsidRPr="00D15A60">
        <w:rPr>
          <w:lang w:val="en-PH"/>
        </w:rPr>
        <w:t xml:space="preserve"> </w:t>
      </w:r>
    </w:p>
    <w:p w14:paraId="4FC0F41B" w14:textId="77777777" w:rsidR="00D15A60" w:rsidRPr="00D15A60" w:rsidRDefault="00D15A60" w:rsidP="00D15A60">
      <w:pPr>
        <w:pStyle w:val="Body"/>
        <w:spacing w:after="0"/>
        <w:rPr>
          <w:lang w:val="en-PH"/>
        </w:rPr>
      </w:pPr>
    </w:p>
    <w:p w14:paraId="386197BC" w14:textId="77777777" w:rsidR="00764CE3" w:rsidRPr="00D15A60" w:rsidRDefault="00764CE3" w:rsidP="00D15A60">
      <w:pPr>
        <w:pStyle w:val="Body"/>
        <w:spacing w:after="0"/>
        <w:rPr>
          <w:lang w:val="en-PH"/>
        </w:rPr>
      </w:pPr>
    </w:p>
    <w:p w14:paraId="1306DEAB" w14:textId="77777777" w:rsidR="00D15A60" w:rsidRDefault="00D15A60" w:rsidP="00D15A60">
      <w:pPr>
        <w:pStyle w:val="Body"/>
        <w:spacing w:after="0"/>
        <w:rPr>
          <w:lang w:val="en-PH"/>
        </w:rPr>
      </w:pPr>
      <w:r w:rsidRPr="00D15A60">
        <w:rPr>
          <w:lang w:val="en-PH"/>
        </w:rPr>
        <w:t xml:space="preserve">Creswell, J. W., &amp; Poth, C. N. (2018). </w:t>
      </w:r>
      <w:r w:rsidRPr="00D15A60">
        <w:rPr>
          <w:i/>
          <w:iCs/>
          <w:lang w:val="en-PH"/>
        </w:rPr>
        <w:t>Qualitative inquiry and research design: Choosing among five approaches</w:t>
      </w:r>
      <w:r w:rsidRPr="00D15A60">
        <w:rPr>
          <w:lang w:val="en-PH"/>
        </w:rPr>
        <w:t xml:space="preserve"> (4th ed.). SAGE. </w:t>
      </w:r>
    </w:p>
    <w:p w14:paraId="0998F1A8" w14:textId="77777777" w:rsidR="00D15A60" w:rsidRPr="00D15A60" w:rsidRDefault="00D15A60" w:rsidP="00D15A60">
      <w:pPr>
        <w:pStyle w:val="Body"/>
        <w:spacing w:after="0"/>
        <w:rPr>
          <w:lang w:val="en-PH"/>
        </w:rPr>
      </w:pPr>
    </w:p>
    <w:p w14:paraId="4B7B81F6" w14:textId="77777777" w:rsidR="00D15A60" w:rsidRDefault="00D15A60" w:rsidP="00D15A60">
      <w:pPr>
        <w:pStyle w:val="Body"/>
        <w:spacing w:after="0"/>
        <w:rPr>
          <w:lang w:val="en-PH"/>
        </w:rPr>
      </w:pPr>
      <w:r w:rsidRPr="00B9733A">
        <w:rPr>
          <w:lang w:val="en-PH"/>
        </w:rPr>
        <w:t xml:space="preserve">Dicke, T., Elling, J., Schmeck, A., &amp; Leutner, D. (2015). </w:t>
      </w:r>
      <w:r w:rsidRPr="00D15A60">
        <w:rPr>
          <w:lang w:val="en-PH"/>
        </w:rPr>
        <w:t xml:space="preserve">Reducing reality shock: The effects of classroom management skills training on beginning teachers. </w:t>
      </w:r>
      <w:r w:rsidRPr="00D15A60">
        <w:rPr>
          <w:i/>
          <w:iCs/>
          <w:lang w:val="en-PH"/>
        </w:rPr>
        <w:t>Teaching and Teacher Education, 48</w:t>
      </w:r>
      <w:r w:rsidRPr="00D15A60">
        <w:rPr>
          <w:lang w:val="en-PH"/>
        </w:rPr>
        <w:t xml:space="preserve">, 1-12. </w:t>
      </w:r>
      <w:hyperlink r:id="rId18" w:tgtFrame="_new" w:history="1">
        <w:r w:rsidRPr="00D15A60">
          <w:rPr>
            <w:rStyle w:val="Hyperlink"/>
            <w:lang w:val="en-PH"/>
          </w:rPr>
          <w:t>https://doi.org/10.1016/j.tate.2015.01.013</w:t>
        </w:r>
      </w:hyperlink>
      <w:r w:rsidRPr="00D15A60">
        <w:rPr>
          <w:lang w:val="en-PH"/>
        </w:rPr>
        <w:t xml:space="preserve"> </w:t>
      </w:r>
    </w:p>
    <w:p w14:paraId="6D439479" w14:textId="77777777" w:rsidR="00DE2D10" w:rsidRDefault="00DE2D10" w:rsidP="00D15A60">
      <w:pPr>
        <w:pStyle w:val="Body"/>
        <w:spacing w:after="0"/>
        <w:rPr>
          <w:lang w:val="en-PH"/>
        </w:rPr>
      </w:pPr>
    </w:p>
    <w:p w14:paraId="2C5D4044" w14:textId="5D4B9B34" w:rsidR="00DE2D10" w:rsidRPr="00DE2D10" w:rsidRDefault="00DE2D10" w:rsidP="00DE2D10">
      <w:pPr>
        <w:rPr>
          <w:lang w:val="en-GB"/>
        </w:rPr>
      </w:pPr>
      <w:r>
        <w:rPr>
          <w:lang w:val="en-GB"/>
        </w:rPr>
        <w:lastRenderedPageBreak/>
        <w:t>Goddard, J. T., &amp; Foster, R. Y. (2001). The experiences of neophyte teachers: A critical constructivist assessment. Teaching and teacher education, 17(3), 349-365.</w:t>
      </w:r>
    </w:p>
    <w:p w14:paraId="5C35A297" w14:textId="77777777" w:rsidR="00D15A60" w:rsidRPr="00D15A60" w:rsidRDefault="00D15A60" w:rsidP="00D15A60">
      <w:pPr>
        <w:pStyle w:val="Body"/>
        <w:spacing w:after="0"/>
        <w:rPr>
          <w:lang w:val="en-PH"/>
        </w:rPr>
      </w:pPr>
    </w:p>
    <w:p w14:paraId="10AB6E19" w14:textId="77777777" w:rsidR="00D15A60" w:rsidRDefault="00D15A60" w:rsidP="00D15A60">
      <w:pPr>
        <w:pStyle w:val="Body"/>
        <w:spacing w:after="0"/>
        <w:rPr>
          <w:lang w:val="en-PH"/>
        </w:rPr>
      </w:pPr>
      <w:r w:rsidRPr="00D15A60">
        <w:rPr>
          <w:lang w:val="en-PH"/>
        </w:rPr>
        <w:t xml:space="preserve">Kallio, H., Pietilä, A.-M., Johnson, M., &amp; Kangasniemi, M. (2016). Systematic methodological review: Developing a framework for a qualitative semi-structured interview guide. </w:t>
      </w:r>
      <w:r w:rsidRPr="00D15A60">
        <w:rPr>
          <w:i/>
          <w:iCs/>
          <w:lang w:val="en-PH"/>
        </w:rPr>
        <w:t>Journal of Advanced Nursing, 72</w:t>
      </w:r>
      <w:r w:rsidRPr="00D15A60">
        <w:rPr>
          <w:lang w:val="en-PH"/>
        </w:rPr>
        <w:t xml:space="preserve">(12), 2954-2965. </w:t>
      </w:r>
      <w:hyperlink r:id="rId19" w:tgtFrame="_new" w:history="1">
        <w:r w:rsidRPr="00D15A60">
          <w:rPr>
            <w:rStyle w:val="Hyperlink"/>
            <w:lang w:val="en-PH"/>
          </w:rPr>
          <w:t>https://doi.org/10.1111/jan.13031</w:t>
        </w:r>
      </w:hyperlink>
    </w:p>
    <w:p w14:paraId="1BAB767F" w14:textId="77777777" w:rsidR="00D15A60" w:rsidRPr="00D15A60" w:rsidRDefault="00D15A60" w:rsidP="00D15A60">
      <w:pPr>
        <w:pStyle w:val="Body"/>
        <w:spacing w:after="0"/>
        <w:rPr>
          <w:lang w:val="en-PH"/>
        </w:rPr>
      </w:pPr>
    </w:p>
    <w:p w14:paraId="1BEDAF92" w14:textId="77777777" w:rsidR="00D15A60" w:rsidRDefault="00D15A60" w:rsidP="00D15A60">
      <w:pPr>
        <w:pStyle w:val="Body"/>
        <w:spacing w:after="0"/>
        <w:rPr>
          <w:lang w:val="en-PH"/>
        </w:rPr>
      </w:pPr>
      <w:r w:rsidRPr="00D15A60">
        <w:rPr>
          <w:lang w:val="en-PH"/>
        </w:rPr>
        <w:t xml:space="preserve">Keese, J., Thompson, C. G., Waxman, H. C., McIntush, K., &amp; </w:t>
      </w:r>
      <w:proofErr w:type="spellStart"/>
      <w:r w:rsidRPr="00D15A60">
        <w:rPr>
          <w:lang w:val="en-PH"/>
        </w:rPr>
        <w:t>Svajda</w:t>
      </w:r>
      <w:proofErr w:type="spellEnd"/>
      <w:r w:rsidRPr="00D15A60">
        <w:rPr>
          <w:lang w:val="en-PH"/>
        </w:rPr>
        <w:t xml:space="preserve">-Hardy, M. (2023). A worthwhile endeavor? A meta-analysis of research on formalized novice teacher induction programs. </w:t>
      </w:r>
      <w:r w:rsidRPr="00D15A60">
        <w:rPr>
          <w:i/>
          <w:iCs/>
          <w:lang w:val="en-PH"/>
        </w:rPr>
        <w:t>Educational Research Review, 38</w:t>
      </w:r>
      <w:r w:rsidRPr="00D15A60">
        <w:rPr>
          <w:lang w:val="en-PH"/>
        </w:rPr>
        <w:t xml:space="preserve">, 100505. </w:t>
      </w:r>
      <w:hyperlink r:id="rId20" w:tgtFrame="_new" w:history="1">
        <w:r w:rsidRPr="00D15A60">
          <w:rPr>
            <w:rStyle w:val="Hyperlink"/>
            <w:lang w:val="en-PH"/>
          </w:rPr>
          <w:t>https://doi.org/10.1016/j.edurev.2022.100505</w:t>
        </w:r>
      </w:hyperlink>
    </w:p>
    <w:p w14:paraId="087527D1" w14:textId="77777777" w:rsidR="00D15A60" w:rsidRPr="00D15A60" w:rsidRDefault="00D15A60" w:rsidP="00D15A60">
      <w:pPr>
        <w:pStyle w:val="Body"/>
        <w:spacing w:after="0"/>
        <w:rPr>
          <w:lang w:val="en-PH"/>
        </w:rPr>
      </w:pPr>
    </w:p>
    <w:p w14:paraId="1185441C" w14:textId="77777777" w:rsidR="00D15A60" w:rsidRDefault="00D15A60" w:rsidP="00D15A60">
      <w:pPr>
        <w:pStyle w:val="Body"/>
        <w:spacing w:after="0"/>
      </w:pPr>
      <w:r w:rsidRPr="00D15A60">
        <w:rPr>
          <w:lang w:val="en-PH"/>
        </w:rPr>
        <w:t xml:space="preserve">Ki, S., Park, S., &amp; Ryu, J. (2025). The effects of classroom management efficacy on interest development in guided role-playing simulations for sustainable pre-service teacher training. </w:t>
      </w:r>
      <w:r w:rsidRPr="00D15A60">
        <w:rPr>
          <w:i/>
          <w:iCs/>
          <w:lang w:val="en-PH"/>
        </w:rPr>
        <w:t>Sustainability, 17</w:t>
      </w:r>
      <w:r w:rsidRPr="00D15A60">
        <w:rPr>
          <w:lang w:val="en-PH"/>
        </w:rPr>
        <w:t xml:space="preserve">(14), 6257. </w:t>
      </w:r>
      <w:hyperlink r:id="rId21" w:tgtFrame="_new" w:history="1">
        <w:r w:rsidRPr="00D15A60">
          <w:rPr>
            <w:rStyle w:val="Hyperlink"/>
            <w:lang w:val="en-PH"/>
          </w:rPr>
          <w:t>https://doi.org/10.3390/su17146257</w:t>
        </w:r>
      </w:hyperlink>
    </w:p>
    <w:p w14:paraId="4092AF14" w14:textId="77777777" w:rsidR="00764CE3" w:rsidRDefault="00764CE3" w:rsidP="00D15A60">
      <w:pPr>
        <w:pStyle w:val="Body"/>
        <w:spacing w:after="0"/>
      </w:pPr>
    </w:p>
    <w:p w14:paraId="565361FD" w14:textId="77777777" w:rsidR="00764CE3" w:rsidRDefault="00764CE3" w:rsidP="00D15A60">
      <w:pPr>
        <w:pStyle w:val="Body"/>
        <w:spacing w:after="0"/>
        <w:rPr>
          <w:lang w:val="en-PH"/>
        </w:rPr>
      </w:pPr>
      <w:r w:rsidRPr="00C47CCA">
        <w:t xml:space="preserve">Kim, H., &amp; Cho, Y. (2014). Pre-service teachers’ motivation, sense of teaching efficacy, and expectation of reality shock. </w:t>
      </w:r>
      <w:r w:rsidRPr="00C47CCA">
        <w:rPr>
          <w:i/>
          <w:iCs/>
        </w:rPr>
        <w:t>Asia-Pacific Journal of Teacher Education, 42</w:t>
      </w:r>
      <w:r w:rsidRPr="00C47CCA">
        <w:t>(1), 67–81. https://doi.org/10.1080/1359866X.2013.855999</w:t>
      </w:r>
    </w:p>
    <w:p w14:paraId="57E30AF0" w14:textId="77777777" w:rsidR="00D15A60" w:rsidRPr="00D15A60" w:rsidRDefault="00D15A60" w:rsidP="00D15A60">
      <w:pPr>
        <w:pStyle w:val="Body"/>
        <w:spacing w:after="0"/>
        <w:rPr>
          <w:lang w:val="en-PH"/>
        </w:rPr>
      </w:pPr>
    </w:p>
    <w:p w14:paraId="3C2785D6" w14:textId="77777777" w:rsidR="00D15A60" w:rsidRDefault="00D15A60" w:rsidP="00D15A60">
      <w:pPr>
        <w:pStyle w:val="Body"/>
        <w:spacing w:after="0"/>
        <w:rPr>
          <w:lang w:val="en-PH"/>
        </w:rPr>
      </w:pPr>
      <w:r w:rsidRPr="00B9733A">
        <w:rPr>
          <w:lang w:val="de-DE"/>
        </w:rPr>
        <w:t xml:space="preserve">Klassen, R. M., &amp; Kim, L. E. (2019). </w:t>
      </w:r>
      <w:r w:rsidRPr="00D15A60">
        <w:rPr>
          <w:lang w:val="en-PH"/>
        </w:rPr>
        <w:t xml:space="preserve">Selecting teachers and prospective teachers: A meta-analysis. </w:t>
      </w:r>
      <w:r w:rsidRPr="00D15A60">
        <w:rPr>
          <w:i/>
          <w:iCs/>
          <w:lang w:val="en-PH"/>
        </w:rPr>
        <w:t>Educational Research Review, 26</w:t>
      </w:r>
      <w:r w:rsidRPr="00D15A60">
        <w:rPr>
          <w:lang w:val="en-PH"/>
        </w:rPr>
        <w:t xml:space="preserve">, 32-51. </w:t>
      </w:r>
      <w:hyperlink r:id="rId22" w:tgtFrame="_new" w:history="1">
        <w:r w:rsidRPr="00D15A60">
          <w:rPr>
            <w:rStyle w:val="Hyperlink"/>
            <w:lang w:val="en-PH"/>
          </w:rPr>
          <w:t>https://doi.org/10.1016/j.edurev.2018.12.003</w:t>
        </w:r>
      </w:hyperlink>
    </w:p>
    <w:p w14:paraId="534624C1" w14:textId="77777777" w:rsidR="00D15A60" w:rsidRPr="00D15A60" w:rsidRDefault="00D15A60" w:rsidP="00D15A60">
      <w:pPr>
        <w:pStyle w:val="Body"/>
        <w:spacing w:after="0"/>
        <w:rPr>
          <w:lang w:val="en-PH"/>
        </w:rPr>
      </w:pPr>
    </w:p>
    <w:p w14:paraId="44FCDAED" w14:textId="77777777" w:rsidR="00D15A60" w:rsidRDefault="00D15A60" w:rsidP="00D15A60">
      <w:pPr>
        <w:pStyle w:val="Body"/>
        <w:spacing w:after="0"/>
        <w:rPr>
          <w:lang w:val="en-PH"/>
        </w:rPr>
      </w:pPr>
      <w:r w:rsidRPr="00D15A60">
        <w:rPr>
          <w:lang w:val="en-PH"/>
        </w:rPr>
        <w:t xml:space="preserve">Madigan, D. J., &amp; Kim, L. E. (2021). Does teacher burnout affect students? A systematic review of its association with academic achievement and student-reported outcomes. </w:t>
      </w:r>
      <w:r w:rsidRPr="00D15A60">
        <w:rPr>
          <w:i/>
          <w:iCs/>
          <w:lang w:val="en-PH"/>
        </w:rPr>
        <w:t>Educational Psychology Review, 33</w:t>
      </w:r>
      <w:r w:rsidRPr="00D15A60">
        <w:rPr>
          <w:lang w:val="en-PH"/>
        </w:rPr>
        <w:t xml:space="preserve">(2), 693-720. </w:t>
      </w:r>
      <w:hyperlink r:id="rId23" w:tgtFrame="_new" w:history="1">
        <w:r w:rsidRPr="00D15A60">
          <w:rPr>
            <w:rStyle w:val="Hyperlink"/>
            <w:lang w:val="en-PH"/>
          </w:rPr>
          <w:t>https://doi.org/10.1007/s10648-020-09535-8</w:t>
        </w:r>
      </w:hyperlink>
    </w:p>
    <w:p w14:paraId="336795A2" w14:textId="77777777" w:rsidR="00D15A60" w:rsidRPr="00B9733A" w:rsidRDefault="00D15A60" w:rsidP="00D15A60">
      <w:pPr>
        <w:pStyle w:val="Body"/>
        <w:spacing w:after="0"/>
        <w:rPr>
          <w:lang w:val="en-PH"/>
        </w:rPr>
      </w:pPr>
    </w:p>
    <w:p w14:paraId="27E43208" w14:textId="77777777" w:rsidR="00D15A60" w:rsidRDefault="00D15A60" w:rsidP="00D15A60">
      <w:pPr>
        <w:pStyle w:val="Body"/>
        <w:spacing w:after="0"/>
        <w:rPr>
          <w:lang w:val="en-PH"/>
        </w:rPr>
      </w:pPr>
      <w:r w:rsidRPr="00B9733A">
        <w:rPr>
          <w:lang w:val="en-PH"/>
        </w:rPr>
        <w:t xml:space="preserve">Merriam, S. B., &amp; Tisdell, E. J. (2016). </w:t>
      </w:r>
      <w:r w:rsidRPr="00D15A60">
        <w:rPr>
          <w:i/>
          <w:iCs/>
          <w:lang w:val="en-PH"/>
        </w:rPr>
        <w:t>Qualitative research: A guide to design and implementation</w:t>
      </w:r>
      <w:r w:rsidRPr="00D15A60">
        <w:rPr>
          <w:lang w:val="en-PH"/>
        </w:rPr>
        <w:t xml:space="preserve"> (4th ed.). Jossey-Bass.</w:t>
      </w:r>
    </w:p>
    <w:p w14:paraId="78603000" w14:textId="77777777" w:rsidR="00D15A60" w:rsidRPr="00D15A60" w:rsidRDefault="00D15A60" w:rsidP="00D15A60">
      <w:pPr>
        <w:pStyle w:val="Body"/>
        <w:spacing w:after="0"/>
        <w:rPr>
          <w:lang w:val="en-PH"/>
        </w:rPr>
      </w:pPr>
    </w:p>
    <w:p w14:paraId="1D1E5AB3" w14:textId="77777777" w:rsidR="00D15A60" w:rsidRDefault="00D15A60" w:rsidP="00D15A60">
      <w:pPr>
        <w:pStyle w:val="Body"/>
        <w:spacing w:after="0"/>
        <w:rPr>
          <w:lang w:val="en-PH"/>
        </w:rPr>
      </w:pPr>
      <w:r w:rsidRPr="00D15A60">
        <w:rPr>
          <w:lang w:val="en-PH"/>
        </w:rPr>
        <w:t xml:space="preserve">Mudzingwa, K., &amp; </w:t>
      </w:r>
      <w:proofErr w:type="spellStart"/>
      <w:r w:rsidRPr="00D15A60">
        <w:rPr>
          <w:lang w:val="en-PH"/>
        </w:rPr>
        <w:t>Magudu</w:t>
      </w:r>
      <w:proofErr w:type="spellEnd"/>
      <w:r w:rsidRPr="00D15A60">
        <w:rPr>
          <w:lang w:val="en-PH"/>
        </w:rPr>
        <w:t xml:space="preserve">, S. (2013). Idealism versus realism: Expectations and challenges of beginning teachers in three districts of Masvingo Province, Zimbabwe. </w:t>
      </w:r>
      <w:r w:rsidRPr="00D15A60">
        <w:rPr>
          <w:i/>
          <w:iCs/>
          <w:lang w:val="en-PH"/>
        </w:rPr>
        <w:t>Journal of Studies in Social Sciences, 3</w:t>
      </w:r>
      <w:r w:rsidRPr="00D15A60">
        <w:rPr>
          <w:lang w:val="en-PH"/>
        </w:rPr>
        <w:t xml:space="preserve">(1), 33-54. </w:t>
      </w:r>
    </w:p>
    <w:p w14:paraId="7C0A1179" w14:textId="77777777" w:rsidR="00DE2D10" w:rsidRDefault="00DE2D10" w:rsidP="00D15A60">
      <w:pPr>
        <w:pStyle w:val="Body"/>
        <w:spacing w:after="0"/>
        <w:rPr>
          <w:lang w:val="en-PH"/>
        </w:rPr>
      </w:pPr>
    </w:p>
    <w:p w14:paraId="167822EB" w14:textId="292723A7" w:rsidR="00DE2D10" w:rsidRDefault="00DE2D10" w:rsidP="00D15A60">
      <w:pPr>
        <w:pStyle w:val="Body"/>
        <w:spacing w:after="0"/>
        <w:rPr>
          <w:lang w:val="en-PH"/>
        </w:rPr>
      </w:pPr>
      <w:r>
        <w:rPr>
          <w:lang w:val="en-GB"/>
        </w:rPr>
        <w:t xml:space="preserve">Nowell, L. S. (2014). The lived experience of neophyte nursing instructors: Mentorship and its role in their development. Nursing: Research and Reviews, 117-127 </w:t>
      </w:r>
    </w:p>
    <w:p w14:paraId="308A51AE" w14:textId="77777777" w:rsidR="00D15A60" w:rsidRPr="00D15A60" w:rsidRDefault="00D15A60" w:rsidP="00D15A60">
      <w:pPr>
        <w:pStyle w:val="Body"/>
        <w:spacing w:after="0"/>
        <w:rPr>
          <w:lang w:val="en-PH"/>
        </w:rPr>
      </w:pPr>
    </w:p>
    <w:p w14:paraId="456C5315" w14:textId="77777777" w:rsidR="00D15A60" w:rsidRDefault="00D15A60" w:rsidP="00D15A60">
      <w:pPr>
        <w:pStyle w:val="Body"/>
        <w:spacing w:after="0"/>
        <w:rPr>
          <w:lang w:val="en-PH"/>
        </w:rPr>
      </w:pPr>
      <w:proofErr w:type="spellStart"/>
      <w:r w:rsidRPr="00D15A60">
        <w:rPr>
          <w:lang w:val="en-PH"/>
        </w:rPr>
        <w:t>Organisation</w:t>
      </w:r>
      <w:proofErr w:type="spellEnd"/>
      <w:r w:rsidRPr="00D15A60">
        <w:rPr>
          <w:lang w:val="en-PH"/>
        </w:rPr>
        <w:t xml:space="preserve"> for Economic Co-operation and Development. (2020). </w:t>
      </w:r>
      <w:r w:rsidRPr="00D15A60">
        <w:rPr>
          <w:i/>
          <w:iCs/>
          <w:lang w:val="en-PH"/>
        </w:rPr>
        <w:t>TALIS 2018 results (Volume II): Teachers and school leaders as valued professionals</w:t>
      </w:r>
      <w:r w:rsidRPr="00D15A60">
        <w:rPr>
          <w:lang w:val="en-PH"/>
        </w:rPr>
        <w:t xml:space="preserve">. OECD Publishing. </w:t>
      </w:r>
      <w:hyperlink r:id="rId24" w:tgtFrame="_new" w:history="1">
        <w:r w:rsidRPr="00D15A60">
          <w:rPr>
            <w:rStyle w:val="Hyperlink"/>
            <w:lang w:val="en-PH"/>
          </w:rPr>
          <w:t>https://doi.org/10.1787/19cf08df-en</w:t>
        </w:r>
      </w:hyperlink>
    </w:p>
    <w:p w14:paraId="67BC226B" w14:textId="77777777" w:rsidR="00D15A60" w:rsidRDefault="00D15A60" w:rsidP="00D15A60">
      <w:pPr>
        <w:pStyle w:val="Body"/>
        <w:spacing w:after="0"/>
        <w:rPr>
          <w:lang w:val="en-PH"/>
        </w:rPr>
      </w:pPr>
    </w:p>
    <w:p w14:paraId="37816240" w14:textId="77777777" w:rsidR="00764CE3" w:rsidRDefault="00764CE3" w:rsidP="00764CE3">
      <w:pPr>
        <w:pStyle w:val="Body"/>
        <w:spacing w:after="0"/>
      </w:pPr>
      <w:r w:rsidRPr="00B9733A">
        <w:rPr>
          <w:lang w:val="en-PH"/>
        </w:rPr>
        <w:t xml:space="preserve">Pillen, M., </w:t>
      </w:r>
      <w:proofErr w:type="spellStart"/>
      <w:r w:rsidRPr="00B9733A">
        <w:rPr>
          <w:lang w:val="en-PH"/>
        </w:rPr>
        <w:t>Beijaard</w:t>
      </w:r>
      <w:proofErr w:type="spellEnd"/>
      <w:r w:rsidRPr="00B9733A">
        <w:rPr>
          <w:lang w:val="en-PH"/>
        </w:rPr>
        <w:t xml:space="preserve">, D., &amp; den Brok, P. (2013). </w:t>
      </w:r>
      <w:r w:rsidRPr="00764CE3">
        <w:t xml:space="preserve">Professional identity tensions of beginning teachers. </w:t>
      </w:r>
      <w:r w:rsidRPr="00764CE3">
        <w:rPr>
          <w:i/>
          <w:iCs/>
        </w:rPr>
        <w:t>Teachers and Teaching, 19</w:t>
      </w:r>
      <w:r w:rsidRPr="00764CE3">
        <w:t xml:space="preserve">(6), 660–678. </w:t>
      </w:r>
      <w:hyperlink r:id="rId25" w:history="1">
        <w:r w:rsidRPr="00764CE3">
          <w:rPr>
            <w:rStyle w:val="Hyperlink"/>
          </w:rPr>
          <w:t>https://doi.org/10.1080/13540602.2013.827455</w:t>
        </w:r>
      </w:hyperlink>
    </w:p>
    <w:p w14:paraId="79A302FE" w14:textId="77777777" w:rsidR="0008541F" w:rsidRDefault="0008541F" w:rsidP="00764CE3">
      <w:pPr>
        <w:pStyle w:val="Body"/>
        <w:spacing w:after="0"/>
      </w:pPr>
    </w:p>
    <w:p w14:paraId="7DB6D0FE" w14:textId="77777777" w:rsidR="0008541F" w:rsidRPr="0008541F" w:rsidRDefault="0008541F" w:rsidP="00764CE3">
      <w:pPr>
        <w:pStyle w:val="Body"/>
        <w:spacing w:after="0"/>
        <w:rPr>
          <w:lang w:val="en-PH"/>
        </w:rPr>
      </w:pPr>
      <w:proofErr w:type="spellStart"/>
      <w:r w:rsidRPr="00B9733A">
        <w:rPr>
          <w:lang w:val="en-PH"/>
        </w:rPr>
        <w:t>Polinar</w:t>
      </w:r>
      <w:proofErr w:type="spellEnd"/>
      <w:r w:rsidRPr="00B9733A">
        <w:rPr>
          <w:lang w:val="en-PH"/>
        </w:rPr>
        <w:t xml:space="preserve">, R. S., &amp; </w:t>
      </w:r>
      <w:proofErr w:type="spellStart"/>
      <w:r w:rsidRPr="00B9733A">
        <w:rPr>
          <w:lang w:val="en-PH"/>
        </w:rPr>
        <w:t>Gemota</w:t>
      </w:r>
      <w:proofErr w:type="spellEnd"/>
      <w:r w:rsidRPr="00B9733A">
        <w:rPr>
          <w:lang w:val="en-PH"/>
        </w:rPr>
        <w:t xml:space="preserve">, M. C., Jr. </w:t>
      </w:r>
      <w:r w:rsidRPr="0008541F">
        <w:t xml:space="preserve">(2025). From home to classroom: Experiences of beginning teachers in the Philippine education system. </w:t>
      </w:r>
      <w:r w:rsidRPr="0008541F">
        <w:rPr>
          <w:i/>
          <w:iCs/>
        </w:rPr>
        <w:t>International Journal of Research and Innovation in Social Science, 9</w:t>
      </w:r>
      <w:r w:rsidRPr="0008541F">
        <w:t xml:space="preserve">(5), 5743–5748. </w:t>
      </w:r>
      <w:hyperlink r:id="rId26" w:history="1">
        <w:r w:rsidRPr="0008541F">
          <w:rPr>
            <w:rStyle w:val="Hyperlink"/>
          </w:rPr>
          <w:t>https://doi.org/10.47772/IJRISS.2025.905000443</w:t>
        </w:r>
      </w:hyperlink>
      <w:r>
        <w:t xml:space="preserve"> </w:t>
      </w:r>
    </w:p>
    <w:p w14:paraId="697C90E3" w14:textId="77777777" w:rsidR="00764CE3" w:rsidRPr="00D15A60" w:rsidRDefault="00764CE3" w:rsidP="00D15A60">
      <w:pPr>
        <w:pStyle w:val="Body"/>
        <w:spacing w:after="0"/>
        <w:rPr>
          <w:lang w:val="en-PH"/>
        </w:rPr>
      </w:pPr>
    </w:p>
    <w:p w14:paraId="6ACF54F7" w14:textId="77777777" w:rsidR="00D15A60" w:rsidRDefault="00D15A60" w:rsidP="00D15A60">
      <w:pPr>
        <w:pStyle w:val="Body"/>
        <w:spacing w:after="0"/>
        <w:rPr>
          <w:lang w:val="en-PH"/>
        </w:rPr>
      </w:pPr>
      <w:r w:rsidRPr="00D15A60">
        <w:rPr>
          <w:lang w:val="en-PH"/>
        </w:rPr>
        <w:t xml:space="preserve">Schaefer, L., &amp; </w:t>
      </w:r>
      <w:proofErr w:type="spellStart"/>
      <w:r w:rsidRPr="00D15A60">
        <w:rPr>
          <w:lang w:val="en-PH"/>
        </w:rPr>
        <w:t>Clandinin</w:t>
      </w:r>
      <w:proofErr w:type="spellEnd"/>
      <w:r w:rsidRPr="00D15A60">
        <w:rPr>
          <w:lang w:val="en-PH"/>
        </w:rPr>
        <w:t xml:space="preserve">, D. J. (2019). Sustaining teachers’ stories to live by: Implications for teacher education. </w:t>
      </w:r>
      <w:r w:rsidRPr="00D15A60">
        <w:rPr>
          <w:i/>
          <w:iCs/>
          <w:lang w:val="en-PH"/>
        </w:rPr>
        <w:t>Teaching and Teacher Education, 86</w:t>
      </w:r>
      <w:r w:rsidRPr="00D15A60">
        <w:rPr>
          <w:lang w:val="en-PH"/>
        </w:rPr>
        <w:t xml:space="preserve">, 102904. </w:t>
      </w:r>
      <w:hyperlink r:id="rId27" w:tgtFrame="_new" w:history="1">
        <w:r w:rsidRPr="00D15A60">
          <w:rPr>
            <w:rStyle w:val="Hyperlink"/>
            <w:lang w:val="en-PH"/>
          </w:rPr>
          <w:t>https://doi.org/10.1016/j.tate.2019.102904</w:t>
        </w:r>
      </w:hyperlink>
    </w:p>
    <w:p w14:paraId="2EFB7547" w14:textId="77777777" w:rsidR="00D15A60" w:rsidRPr="00D15A60" w:rsidRDefault="00D15A60" w:rsidP="00D15A60">
      <w:pPr>
        <w:pStyle w:val="Body"/>
        <w:spacing w:after="0"/>
        <w:rPr>
          <w:lang w:val="en-PH"/>
        </w:rPr>
      </w:pPr>
    </w:p>
    <w:p w14:paraId="7FCEEDD8" w14:textId="77777777" w:rsidR="00D15A60" w:rsidRDefault="00D15A60" w:rsidP="00D15A60">
      <w:pPr>
        <w:pStyle w:val="Body"/>
        <w:spacing w:after="0"/>
        <w:rPr>
          <w:lang w:val="en-PH"/>
        </w:rPr>
      </w:pPr>
      <w:r w:rsidRPr="00D15A60">
        <w:rPr>
          <w:lang w:val="en-PH"/>
        </w:rPr>
        <w:t xml:space="preserve">Schlossberg, N. K. (1981). A model for analyzing human adaptation to transition. </w:t>
      </w:r>
      <w:r w:rsidRPr="00D15A60">
        <w:rPr>
          <w:i/>
          <w:iCs/>
          <w:lang w:val="en-PH"/>
        </w:rPr>
        <w:t>The Counseling Psychologist, 9</w:t>
      </w:r>
      <w:r w:rsidRPr="00D15A60">
        <w:rPr>
          <w:lang w:val="en-PH"/>
        </w:rPr>
        <w:t xml:space="preserve">(2), 2-18. </w:t>
      </w:r>
      <w:hyperlink r:id="rId28" w:tgtFrame="_new" w:history="1">
        <w:r w:rsidRPr="00D15A60">
          <w:rPr>
            <w:rStyle w:val="Hyperlink"/>
            <w:lang w:val="en-PH"/>
          </w:rPr>
          <w:t>https://doi.org/10.1177/001100008100900202</w:t>
        </w:r>
      </w:hyperlink>
    </w:p>
    <w:p w14:paraId="40877B7E" w14:textId="77777777" w:rsidR="00D15A60" w:rsidRPr="00D15A60" w:rsidRDefault="00D15A60" w:rsidP="00D15A60">
      <w:pPr>
        <w:pStyle w:val="Body"/>
        <w:spacing w:after="0"/>
        <w:rPr>
          <w:lang w:val="en-PH"/>
        </w:rPr>
      </w:pPr>
    </w:p>
    <w:p w14:paraId="28996CB6" w14:textId="77777777" w:rsidR="00D15A60" w:rsidRDefault="00D15A60" w:rsidP="00D15A60">
      <w:pPr>
        <w:pStyle w:val="Body"/>
        <w:spacing w:after="0"/>
        <w:rPr>
          <w:lang w:val="en-PH"/>
        </w:rPr>
      </w:pPr>
      <w:r w:rsidRPr="00D15A60">
        <w:rPr>
          <w:lang w:val="en-PH"/>
        </w:rPr>
        <w:t xml:space="preserve">Schlossberg, N. K., Waters, E. B., &amp; Goodman, J. (2011). </w:t>
      </w:r>
      <w:r w:rsidRPr="00D15A60">
        <w:rPr>
          <w:i/>
          <w:iCs/>
          <w:lang w:val="en-PH"/>
        </w:rPr>
        <w:t>Counseling adults in transition: Linking practice with theory</w:t>
      </w:r>
      <w:r w:rsidRPr="00D15A60">
        <w:rPr>
          <w:lang w:val="en-PH"/>
        </w:rPr>
        <w:t xml:space="preserve"> (4th ed.). Springer Publishing Company.</w:t>
      </w:r>
    </w:p>
    <w:p w14:paraId="20EC5717" w14:textId="77777777" w:rsidR="00D15A60" w:rsidRPr="00D15A60" w:rsidRDefault="00D15A60" w:rsidP="00D15A60">
      <w:pPr>
        <w:pStyle w:val="Body"/>
        <w:spacing w:after="0"/>
        <w:rPr>
          <w:lang w:val="en-PH"/>
        </w:rPr>
      </w:pPr>
    </w:p>
    <w:p w14:paraId="25D5C015" w14:textId="77777777" w:rsidR="00D15A60" w:rsidRDefault="00D15A60" w:rsidP="00D15A60">
      <w:pPr>
        <w:pStyle w:val="Body"/>
        <w:spacing w:after="0"/>
      </w:pPr>
      <w:proofErr w:type="spellStart"/>
      <w:r w:rsidRPr="00D15A60">
        <w:rPr>
          <w:lang w:val="en-PH"/>
        </w:rPr>
        <w:t>Skaalvik</w:t>
      </w:r>
      <w:proofErr w:type="spellEnd"/>
      <w:r w:rsidRPr="00D15A60">
        <w:rPr>
          <w:lang w:val="en-PH"/>
        </w:rPr>
        <w:t xml:space="preserve">, E. M., &amp; </w:t>
      </w:r>
      <w:proofErr w:type="spellStart"/>
      <w:r w:rsidRPr="00D15A60">
        <w:rPr>
          <w:lang w:val="en-PH"/>
        </w:rPr>
        <w:t>Skaalvik</w:t>
      </w:r>
      <w:proofErr w:type="spellEnd"/>
      <w:r w:rsidRPr="00D15A60">
        <w:rPr>
          <w:lang w:val="en-PH"/>
        </w:rPr>
        <w:t xml:space="preserve">, S. (2018). Job demands and job resources as predictors of teacher motivation and well-being. </w:t>
      </w:r>
      <w:r w:rsidRPr="00D15A60">
        <w:rPr>
          <w:i/>
          <w:iCs/>
          <w:lang w:val="en-PH"/>
        </w:rPr>
        <w:t>Social Psychology of Education, 21</w:t>
      </w:r>
      <w:r w:rsidRPr="00D15A60">
        <w:rPr>
          <w:lang w:val="en-PH"/>
        </w:rPr>
        <w:t xml:space="preserve">(5), 1251-1275. </w:t>
      </w:r>
      <w:hyperlink r:id="rId29" w:tgtFrame="_new" w:history="1">
        <w:r w:rsidRPr="00D15A60">
          <w:rPr>
            <w:rStyle w:val="Hyperlink"/>
            <w:lang w:val="en-PH"/>
          </w:rPr>
          <w:t>https://doi.org/10.1007/s11218-018-9464-8</w:t>
        </w:r>
      </w:hyperlink>
    </w:p>
    <w:p w14:paraId="1436BE59" w14:textId="77777777" w:rsidR="00B27536" w:rsidRDefault="00B27536" w:rsidP="00D15A60">
      <w:pPr>
        <w:pStyle w:val="Body"/>
        <w:spacing w:after="0"/>
      </w:pPr>
    </w:p>
    <w:p w14:paraId="13311235" w14:textId="77777777" w:rsidR="00B27536" w:rsidRDefault="00B27536" w:rsidP="00D15A60">
      <w:pPr>
        <w:pStyle w:val="Body"/>
        <w:spacing w:after="0"/>
        <w:rPr>
          <w:lang w:val="en-PH"/>
        </w:rPr>
      </w:pPr>
      <w:r w:rsidRPr="00B27536">
        <w:lastRenderedPageBreak/>
        <w:t xml:space="preserve">Temple, B., &amp; Young, A. (2004). Qualitative research and translation dilemmas. </w:t>
      </w:r>
      <w:r w:rsidRPr="00B27536">
        <w:rPr>
          <w:i/>
          <w:iCs/>
        </w:rPr>
        <w:t>Qualitative Research, 4</w:t>
      </w:r>
      <w:r w:rsidRPr="00B27536">
        <w:t xml:space="preserve">(2), 161–178. </w:t>
      </w:r>
      <w:hyperlink r:id="rId30" w:tgtFrame="_new" w:history="1">
        <w:r w:rsidRPr="00B27536">
          <w:rPr>
            <w:rStyle w:val="Hyperlink"/>
          </w:rPr>
          <w:t>https://doi.org/10.1177/1468794104044430</w:t>
        </w:r>
      </w:hyperlink>
    </w:p>
    <w:p w14:paraId="5C9445BB" w14:textId="77777777" w:rsidR="00D15A60" w:rsidRPr="00D15A60" w:rsidRDefault="00D15A60" w:rsidP="00D15A60">
      <w:pPr>
        <w:pStyle w:val="Body"/>
        <w:spacing w:after="0"/>
        <w:rPr>
          <w:lang w:val="en-PH"/>
        </w:rPr>
      </w:pPr>
    </w:p>
    <w:p w14:paraId="3F4405E7" w14:textId="77777777" w:rsidR="00D15A60" w:rsidRDefault="00D15A60" w:rsidP="00D15A60">
      <w:pPr>
        <w:pStyle w:val="Body"/>
        <w:spacing w:after="0"/>
        <w:rPr>
          <w:lang w:val="en-PH"/>
        </w:rPr>
      </w:pPr>
      <w:r w:rsidRPr="00D15A60">
        <w:rPr>
          <w:lang w:val="en-PH"/>
        </w:rPr>
        <w:t xml:space="preserve">Van Manen, M. (2016). </w:t>
      </w:r>
      <w:r w:rsidRPr="00D15A60">
        <w:rPr>
          <w:i/>
          <w:iCs/>
          <w:lang w:val="en-PH"/>
        </w:rPr>
        <w:t>Researching lived experience: Human science for an action-sensitive pedagogy</w:t>
      </w:r>
      <w:r w:rsidRPr="00D15A60">
        <w:rPr>
          <w:lang w:val="en-PH"/>
        </w:rPr>
        <w:t xml:space="preserve"> (2nd ed.). Routledge.</w:t>
      </w:r>
    </w:p>
    <w:p w14:paraId="2FA34922" w14:textId="77777777" w:rsidR="00D15A60" w:rsidRPr="00D15A60" w:rsidRDefault="00D15A60" w:rsidP="00D15A60">
      <w:pPr>
        <w:pStyle w:val="Body"/>
        <w:spacing w:after="0"/>
        <w:rPr>
          <w:lang w:val="en-PH"/>
        </w:rPr>
      </w:pPr>
    </w:p>
    <w:p w14:paraId="26396B81" w14:textId="77777777" w:rsidR="00D15A60" w:rsidRDefault="00D15A60" w:rsidP="00D15A60">
      <w:pPr>
        <w:pStyle w:val="Body"/>
        <w:spacing w:after="0"/>
        <w:rPr>
          <w:lang w:val="en-PH"/>
        </w:rPr>
      </w:pPr>
      <w:r w:rsidRPr="00D15A60">
        <w:rPr>
          <w:lang w:val="en-PH"/>
        </w:rPr>
        <w:t xml:space="preserve">Viterbo, L. D., </w:t>
      </w:r>
      <w:proofErr w:type="spellStart"/>
      <w:r w:rsidRPr="00D15A60">
        <w:rPr>
          <w:lang w:val="en-PH"/>
        </w:rPr>
        <w:t>Franada</w:t>
      </w:r>
      <w:proofErr w:type="spellEnd"/>
      <w:r w:rsidRPr="00D15A60">
        <w:rPr>
          <w:lang w:val="en-PH"/>
        </w:rPr>
        <w:t xml:space="preserve">, A. V., Montebon, D. D., Obeso, A. P. G., Pines, J. P. M., &amp; Salamanca, R., et al. (2025). Navigating the transition: A phenomenological inquiry on the lived experiences of neophyte teachers in private secondary schools. </w:t>
      </w:r>
      <w:r w:rsidRPr="00D15A60">
        <w:rPr>
          <w:i/>
          <w:iCs/>
          <w:lang w:val="en-PH"/>
        </w:rPr>
        <w:t>International Journal of Research and Scientific Innovation</w:t>
      </w:r>
      <w:r w:rsidRPr="00D15A60">
        <w:rPr>
          <w:lang w:val="en-PH"/>
        </w:rPr>
        <w:t xml:space="preserve">. </w:t>
      </w:r>
      <w:hyperlink r:id="rId31" w:tgtFrame="_new" w:history="1">
        <w:r w:rsidRPr="00D15A60">
          <w:rPr>
            <w:rStyle w:val="Hyperlink"/>
            <w:lang w:val="en-PH"/>
          </w:rPr>
          <w:t>https://doi.org/10.51244/IJRSI.2025.12050066</w:t>
        </w:r>
      </w:hyperlink>
    </w:p>
    <w:p w14:paraId="03DDF8A7" w14:textId="77777777" w:rsidR="00D15A60" w:rsidRPr="00D15A60" w:rsidRDefault="00D15A60" w:rsidP="00D15A60">
      <w:pPr>
        <w:pStyle w:val="Body"/>
        <w:spacing w:after="0"/>
        <w:rPr>
          <w:lang w:val="en-PH"/>
        </w:rPr>
      </w:pPr>
    </w:p>
    <w:p w14:paraId="7598C866" w14:textId="77777777" w:rsidR="00D15A60" w:rsidRDefault="00D15A60" w:rsidP="00D15A60">
      <w:pPr>
        <w:pStyle w:val="Body"/>
        <w:spacing w:after="0"/>
        <w:rPr>
          <w:lang w:val="en-PH"/>
        </w:rPr>
      </w:pPr>
      <w:r w:rsidRPr="00D15A60">
        <w:rPr>
          <w:lang w:val="de-DE"/>
        </w:rPr>
        <w:t xml:space="preserve">Voss, T., Wagner, W., Klusmann, U., Lintorf, K., &amp; Baumert, J. (2020). </w:t>
      </w:r>
      <w:r w:rsidRPr="00D15A60">
        <w:rPr>
          <w:lang w:val="en-PH"/>
        </w:rPr>
        <w:t xml:space="preserve">“Reality shock” of beginning teachers? Changes in teacher candidates’ emotional exhaustion and constructivist-oriented beliefs. </w:t>
      </w:r>
      <w:r w:rsidRPr="00D15A60">
        <w:rPr>
          <w:i/>
          <w:iCs/>
          <w:lang w:val="en-PH"/>
        </w:rPr>
        <w:t>Journal of Teacher Education, 71</w:t>
      </w:r>
      <w:r w:rsidRPr="00D15A60">
        <w:rPr>
          <w:lang w:val="en-PH"/>
        </w:rPr>
        <w:t xml:space="preserve">(3), 292-306. </w:t>
      </w:r>
      <w:hyperlink r:id="rId32" w:tgtFrame="_new" w:history="1">
        <w:r w:rsidRPr="00D15A60">
          <w:rPr>
            <w:rStyle w:val="Hyperlink"/>
            <w:lang w:val="en-PH"/>
          </w:rPr>
          <w:t>https://doi.org/10.1177/0022487119839700</w:t>
        </w:r>
      </w:hyperlink>
    </w:p>
    <w:p w14:paraId="014CF7EE" w14:textId="77777777" w:rsidR="00D15A60" w:rsidRPr="00D15A60" w:rsidRDefault="00D15A60" w:rsidP="00D15A60">
      <w:pPr>
        <w:pStyle w:val="Body"/>
        <w:spacing w:after="0"/>
        <w:rPr>
          <w:lang w:val="en-PH"/>
        </w:rPr>
      </w:pPr>
    </w:p>
    <w:p w14:paraId="00D01725" w14:textId="77777777" w:rsidR="00D15A60" w:rsidRPr="00D15A60" w:rsidRDefault="00D15A60" w:rsidP="00D15A60">
      <w:pPr>
        <w:pStyle w:val="Body"/>
        <w:spacing w:after="0"/>
        <w:rPr>
          <w:lang w:val="en-PH"/>
        </w:rPr>
      </w:pPr>
      <w:r w:rsidRPr="00D15A60">
        <w:rPr>
          <w:lang w:val="en-PH"/>
        </w:rPr>
        <w:t xml:space="preserve">Wang, H., Hall, N. C., &amp; Taxer, J. L. (2021). Antecedents and consequences of teacher emotions: A systematic review and meta-analytic investigation. </w:t>
      </w:r>
      <w:r w:rsidRPr="00D15A60">
        <w:rPr>
          <w:i/>
          <w:iCs/>
          <w:lang w:val="en-PH"/>
        </w:rPr>
        <w:t>Frontiers in Psychology, 12</w:t>
      </w:r>
      <w:r w:rsidRPr="00D15A60">
        <w:rPr>
          <w:lang w:val="en-PH"/>
        </w:rPr>
        <w:t xml:space="preserve">, 648447. </w:t>
      </w:r>
      <w:hyperlink r:id="rId33" w:tgtFrame="_new" w:history="1">
        <w:r w:rsidRPr="00D15A60">
          <w:rPr>
            <w:rStyle w:val="Hyperlink"/>
            <w:lang w:val="en-PH"/>
          </w:rPr>
          <w:t>https://doi.org/10.3389/fpsyg.2021.648447</w:t>
        </w:r>
      </w:hyperlink>
    </w:p>
    <w:p w14:paraId="4A1483F7" w14:textId="77777777" w:rsidR="00B01FCD" w:rsidRPr="001511A1" w:rsidRDefault="00B01FCD" w:rsidP="00D15A60">
      <w:pPr>
        <w:pStyle w:val="Body"/>
        <w:spacing w:after="0"/>
        <w:rPr>
          <w:lang w:val="en-PH"/>
        </w:rPr>
      </w:pPr>
    </w:p>
    <w:sectPr w:rsidR="00B01FCD" w:rsidRPr="001511A1" w:rsidSect="00FB4EFC">
      <w:footerReference w:type="default" r:id="rId34"/>
      <w:type w:val="continuous"/>
      <w:pgSz w:w="12240" w:h="15840"/>
      <w:pgMar w:top="720" w:right="720" w:bottom="72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6F814" w14:textId="77777777" w:rsidR="005348F6" w:rsidRDefault="005348F6" w:rsidP="00C37E61">
      <w:r>
        <w:separator/>
      </w:r>
    </w:p>
  </w:endnote>
  <w:endnote w:type="continuationSeparator" w:id="0">
    <w:p w14:paraId="5C9E4645" w14:textId="77777777" w:rsidR="005348F6" w:rsidRDefault="005348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BB77" w14:textId="07AE0BFD" w:rsidR="00754C9A" w:rsidRPr="00FB4EFC" w:rsidRDefault="00754C9A" w:rsidP="00FB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9B7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79C7C" w14:textId="77777777" w:rsidR="005348F6" w:rsidRDefault="005348F6" w:rsidP="00C37E61">
      <w:r>
        <w:separator/>
      </w:r>
    </w:p>
  </w:footnote>
  <w:footnote w:type="continuationSeparator" w:id="0">
    <w:p w14:paraId="2332E091" w14:textId="77777777" w:rsidR="005348F6" w:rsidRDefault="005348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26089" w14:textId="77777777" w:rsidR="00296529" w:rsidRPr="00296529" w:rsidRDefault="00296529" w:rsidP="00296529">
    <w:pPr>
      <w:ind w:left="2160"/>
      <w:jc w:val="center"/>
      <w:rPr>
        <w:rFonts w:ascii="Times New Roman" w:eastAsia="Calibri" w:hAnsi="Times New Roman"/>
        <w:i/>
        <w:sz w:val="18"/>
        <w:szCs w:val="22"/>
      </w:rPr>
    </w:pPr>
  </w:p>
  <w:p w14:paraId="421E671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650EC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F3ED8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ED72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5E97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F3A6E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50E"/>
    <w:rsid w:val="00030174"/>
    <w:rsid w:val="0004579C"/>
    <w:rsid w:val="0004747E"/>
    <w:rsid w:val="00050E52"/>
    <w:rsid w:val="00065AC8"/>
    <w:rsid w:val="00081434"/>
    <w:rsid w:val="0008243D"/>
    <w:rsid w:val="0008541F"/>
    <w:rsid w:val="000945A6"/>
    <w:rsid w:val="000A3E31"/>
    <w:rsid w:val="000A47FA"/>
    <w:rsid w:val="000A65D3"/>
    <w:rsid w:val="000A67B6"/>
    <w:rsid w:val="000B1E33"/>
    <w:rsid w:val="000D689F"/>
    <w:rsid w:val="000E7B7B"/>
    <w:rsid w:val="000E7D62"/>
    <w:rsid w:val="00103357"/>
    <w:rsid w:val="00123C9F"/>
    <w:rsid w:val="00126190"/>
    <w:rsid w:val="00130F17"/>
    <w:rsid w:val="001320BF"/>
    <w:rsid w:val="00135DBA"/>
    <w:rsid w:val="001511A1"/>
    <w:rsid w:val="001537B4"/>
    <w:rsid w:val="00163BC4"/>
    <w:rsid w:val="00176ABF"/>
    <w:rsid w:val="00191062"/>
    <w:rsid w:val="00192B72"/>
    <w:rsid w:val="00195FF6"/>
    <w:rsid w:val="00196786"/>
    <w:rsid w:val="001A29D8"/>
    <w:rsid w:val="001A5CAA"/>
    <w:rsid w:val="001B0427"/>
    <w:rsid w:val="001C6180"/>
    <w:rsid w:val="001D3A51"/>
    <w:rsid w:val="001E10D2"/>
    <w:rsid w:val="001E25B4"/>
    <w:rsid w:val="001E44FE"/>
    <w:rsid w:val="001F2ED2"/>
    <w:rsid w:val="001F3941"/>
    <w:rsid w:val="001F5BCD"/>
    <w:rsid w:val="00200595"/>
    <w:rsid w:val="00204835"/>
    <w:rsid w:val="002233DC"/>
    <w:rsid w:val="00231920"/>
    <w:rsid w:val="0023195C"/>
    <w:rsid w:val="00237ADE"/>
    <w:rsid w:val="00241708"/>
    <w:rsid w:val="0024282C"/>
    <w:rsid w:val="002460DC"/>
    <w:rsid w:val="00250985"/>
    <w:rsid w:val="002556F6"/>
    <w:rsid w:val="002644AC"/>
    <w:rsid w:val="00283105"/>
    <w:rsid w:val="00284C4C"/>
    <w:rsid w:val="00287E68"/>
    <w:rsid w:val="00296529"/>
    <w:rsid w:val="002A1D9E"/>
    <w:rsid w:val="002B27FB"/>
    <w:rsid w:val="002B685A"/>
    <w:rsid w:val="002C57D2"/>
    <w:rsid w:val="002D20CD"/>
    <w:rsid w:val="002D654D"/>
    <w:rsid w:val="002E0D56"/>
    <w:rsid w:val="002F3D2B"/>
    <w:rsid w:val="00305A43"/>
    <w:rsid w:val="00315186"/>
    <w:rsid w:val="00325123"/>
    <w:rsid w:val="0033343E"/>
    <w:rsid w:val="00342F34"/>
    <w:rsid w:val="003512C2"/>
    <w:rsid w:val="00363F5C"/>
    <w:rsid w:val="00371FB6"/>
    <w:rsid w:val="00374CB2"/>
    <w:rsid w:val="003763C1"/>
    <w:rsid w:val="00376BBE"/>
    <w:rsid w:val="00386CD6"/>
    <w:rsid w:val="00390884"/>
    <w:rsid w:val="0039224F"/>
    <w:rsid w:val="003956DE"/>
    <w:rsid w:val="003A43A4"/>
    <w:rsid w:val="003A7E18"/>
    <w:rsid w:val="003C4062"/>
    <w:rsid w:val="003C4C86"/>
    <w:rsid w:val="003C6258"/>
    <w:rsid w:val="003E2904"/>
    <w:rsid w:val="003F265F"/>
    <w:rsid w:val="003F5B96"/>
    <w:rsid w:val="00401927"/>
    <w:rsid w:val="0041027F"/>
    <w:rsid w:val="00412475"/>
    <w:rsid w:val="004177EC"/>
    <w:rsid w:val="00423789"/>
    <w:rsid w:val="0043717D"/>
    <w:rsid w:val="00440F43"/>
    <w:rsid w:val="00441B6F"/>
    <w:rsid w:val="00446221"/>
    <w:rsid w:val="00450E62"/>
    <w:rsid w:val="004539DB"/>
    <w:rsid w:val="00471A80"/>
    <w:rsid w:val="0047246F"/>
    <w:rsid w:val="00481B10"/>
    <w:rsid w:val="004879A9"/>
    <w:rsid w:val="004A32BA"/>
    <w:rsid w:val="004B1B91"/>
    <w:rsid w:val="004D305E"/>
    <w:rsid w:val="004D4277"/>
    <w:rsid w:val="004D514E"/>
    <w:rsid w:val="004E6F3F"/>
    <w:rsid w:val="00502516"/>
    <w:rsid w:val="00505F06"/>
    <w:rsid w:val="00506828"/>
    <w:rsid w:val="00520858"/>
    <w:rsid w:val="005249BC"/>
    <w:rsid w:val="005301DF"/>
    <w:rsid w:val="0053056E"/>
    <w:rsid w:val="005348F6"/>
    <w:rsid w:val="005421ED"/>
    <w:rsid w:val="00552A7E"/>
    <w:rsid w:val="00554FDA"/>
    <w:rsid w:val="00555096"/>
    <w:rsid w:val="00562384"/>
    <w:rsid w:val="00564586"/>
    <w:rsid w:val="005706F4"/>
    <w:rsid w:val="005A7914"/>
    <w:rsid w:val="005C784C"/>
    <w:rsid w:val="005D17F6"/>
    <w:rsid w:val="005D19F3"/>
    <w:rsid w:val="005E5539"/>
    <w:rsid w:val="005F073B"/>
    <w:rsid w:val="005F2C5D"/>
    <w:rsid w:val="00602BF5"/>
    <w:rsid w:val="00617FDD"/>
    <w:rsid w:val="0062028E"/>
    <w:rsid w:val="006212DE"/>
    <w:rsid w:val="00633614"/>
    <w:rsid w:val="00633F68"/>
    <w:rsid w:val="00636EB2"/>
    <w:rsid w:val="006375B8"/>
    <w:rsid w:val="00643CA5"/>
    <w:rsid w:val="0066510A"/>
    <w:rsid w:val="00673F9F"/>
    <w:rsid w:val="00675FC0"/>
    <w:rsid w:val="00686953"/>
    <w:rsid w:val="00687DEA"/>
    <w:rsid w:val="00687E67"/>
    <w:rsid w:val="006967F7"/>
    <w:rsid w:val="006975FF"/>
    <w:rsid w:val="006A250C"/>
    <w:rsid w:val="006A2B2F"/>
    <w:rsid w:val="006B21D3"/>
    <w:rsid w:val="006B57D0"/>
    <w:rsid w:val="006C0620"/>
    <w:rsid w:val="006D22F6"/>
    <w:rsid w:val="006D30FF"/>
    <w:rsid w:val="006D6940"/>
    <w:rsid w:val="006E3C68"/>
    <w:rsid w:val="006F11EC"/>
    <w:rsid w:val="0070082C"/>
    <w:rsid w:val="00716ED0"/>
    <w:rsid w:val="007369E6"/>
    <w:rsid w:val="00746E59"/>
    <w:rsid w:val="00750AFA"/>
    <w:rsid w:val="00754C9A"/>
    <w:rsid w:val="0075599A"/>
    <w:rsid w:val="00761D52"/>
    <w:rsid w:val="00764CE3"/>
    <w:rsid w:val="00772F3E"/>
    <w:rsid w:val="0077749E"/>
    <w:rsid w:val="00790ADA"/>
    <w:rsid w:val="007B04E7"/>
    <w:rsid w:val="007C460B"/>
    <w:rsid w:val="007D2288"/>
    <w:rsid w:val="007E088F"/>
    <w:rsid w:val="007E4CB7"/>
    <w:rsid w:val="007F7B32"/>
    <w:rsid w:val="00804BC2"/>
    <w:rsid w:val="00807BA1"/>
    <w:rsid w:val="0081431A"/>
    <w:rsid w:val="0081652A"/>
    <w:rsid w:val="00820F86"/>
    <w:rsid w:val="00821C34"/>
    <w:rsid w:val="0083002F"/>
    <w:rsid w:val="0083216F"/>
    <w:rsid w:val="00854716"/>
    <w:rsid w:val="00855A34"/>
    <w:rsid w:val="00860000"/>
    <w:rsid w:val="00863BD3"/>
    <w:rsid w:val="008641ED"/>
    <w:rsid w:val="00866D66"/>
    <w:rsid w:val="008671C6"/>
    <w:rsid w:val="00875803"/>
    <w:rsid w:val="008B459E"/>
    <w:rsid w:val="008E13AE"/>
    <w:rsid w:val="008E1506"/>
    <w:rsid w:val="008E710C"/>
    <w:rsid w:val="008F69D6"/>
    <w:rsid w:val="00902823"/>
    <w:rsid w:val="0090346E"/>
    <w:rsid w:val="00915CA6"/>
    <w:rsid w:val="00922214"/>
    <w:rsid w:val="00927834"/>
    <w:rsid w:val="0094508E"/>
    <w:rsid w:val="009450DB"/>
    <w:rsid w:val="009500A6"/>
    <w:rsid w:val="00957C18"/>
    <w:rsid w:val="009659BA"/>
    <w:rsid w:val="009811E2"/>
    <w:rsid w:val="00983040"/>
    <w:rsid w:val="009B3FB9"/>
    <w:rsid w:val="009C2465"/>
    <w:rsid w:val="009C3A22"/>
    <w:rsid w:val="009C7D28"/>
    <w:rsid w:val="009D35A0"/>
    <w:rsid w:val="009D7EB7"/>
    <w:rsid w:val="009E048A"/>
    <w:rsid w:val="009E08E9"/>
    <w:rsid w:val="009E3DB9"/>
    <w:rsid w:val="009E62F0"/>
    <w:rsid w:val="009E6E35"/>
    <w:rsid w:val="009F0EDA"/>
    <w:rsid w:val="009F611D"/>
    <w:rsid w:val="00A00EAE"/>
    <w:rsid w:val="00A03B96"/>
    <w:rsid w:val="00A05B19"/>
    <w:rsid w:val="00A1134E"/>
    <w:rsid w:val="00A24E7E"/>
    <w:rsid w:val="00A258C3"/>
    <w:rsid w:val="00A347C0"/>
    <w:rsid w:val="00A44871"/>
    <w:rsid w:val="00A51431"/>
    <w:rsid w:val="00A539AD"/>
    <w:rsid w:val="00A8459A"/>
    <w:rsid w:val="00A94063"/>
    <w:rsid w:val="00AA6219"/>
    <w:rsid w:val="00AA74E0"/>
    <w:rsid w:val="00AA7864"/>
    <w:rsid w:val="00AB2D47"/>
    <w:rsid w:val="00AB703F"/>
    <w:rsid w:val="00AB750B"/>
    <w:rsid w:val="00AC41A9"/>
    <w:rsid w:val="00AC6BB8"/>
    <w:rsid w:val="00AE008F"/>
    <w:rsid w:val="00AE1B35"/>
    <w:rsid w:val="00AF1504"/>
    <w:rsid w:val="00B01FCD"/>
    <w:rsid w:val="00B1776C"/>
    <w:rsid w:val="00B23628"/>
    <w:rsid w:val="00B270DF"/>
    <w:rsid w:val="00B27536"/>
    <w:rsid w:val="00B52583"/>
    <w:rsid w:val="00B52896"/>
    <w:rsid w:val="00B6347B"/>
    <w:rsid w:val="00B83CA8"/>
    <w:rsid w:val="00B95236"/>
    <w:rsid w:val="00B96BD9"/>
    <w:rsid w:val="00B9733A"/>
    <w:rsid w:val="00BA0FA6"/>
    <w:rsid w:val="00BA1B01"/>
    <w:rsid w:val="00BA2641"/>
    <w:rsid w:val="00BA6144"/>
    <w:rsid w:val="00BB1AF4"/>
    <w:rsid w:val="00BB37AA"/>
    <w:rsid w:val="00BC53A0"/>
    <w:rsid w:val="00BC6CA6"/>
    <w:rsid w:val="00BC7914"/>
    <w:rsid w:val="00BD6176"/>
    <w:rsid w:val="00BE62AD"/>
    <w:rsid w:val="00BE71FF"/>
    <w:rsid w:val="00BF121F"/>
    <w:rsid w:val="00BF1F80"/>
    <w:rsid w:val="00C05BF7"/>
    <w:rsid w:val="00C166EF"/>
    <w:rsid w:val="00C17EB0"/>
    <w:rsid w:val="00C27F5F"/>
    <w:rsid w:val="00C30A0F"/>
    <w:rsid w:val="00C37E61"/>
    <w:rsid w:val="00C5675E"/>
    <w:rsid w:val="00C70F1B"/>
    <w:rsid w:val="00C71A47"/>
    <w:rsid w:val="00C7464C"/>
    <w:rsid w:val="00C82027"/>
    <w:rsid w:val="00C85588"/>
    <w:rsid w:val="00CB4997"/>
    <w:rsid w:val="00CC257C"/>
    <w:rsid w:val="00CD6755"/>
    <w:rsid w:val="00CD6856"/>
    <w:rsid w:val="00CE0089"/>
    <w:rsid w:val="00CE793C"/>
    <w:rsid w:val="00CF193C"/>
    <w:rsid w:val="00CF5E27"/>
    <w:rsid w:val="00D13A7A"/>
    <w:rsid w:val="00D15A60"/>
    <w:rsid w:val="00D173F1"/>
    <w:rsid w:val="00D175EA"/>
    <w:rsid w:val="00D24682"/>
    <w:rsid w:val="00D456DC"/>
    <w:rsid w:val="00D553BB"/>
    <w:rsid w:val="00D64E09"/>
    <w:rsid w:val="00D72183"/>
    <w:rsid w:val="00D74CB0"/>
    <w:rsid w:val="00D8295D"/>
    <w:rsid w:val="00DB713F"/>
    <w:rsid w:val="00DC2A65"/>
    <w:rsid w:val="00DE15F0"/>
    <w:rsid w:val="00DE2D10"/>
    <w:rsid w:val="00DE44B1"/>
    <w:rsid w:val="00DE5663"/>
    <w:rsid w:val="00DE78AA"/>
    <w:rsid w:val="00DF04E5"/>
    <w:rsid w:val="00DF5FCD"/>
    <w:rsid w:val="00E053D0"/>
    <w:rsid w:val="00E15994"/>
    <w:rsid w:val="00E3114E"/>
    <w:rsid w:val="00E31A70"/>
    <w:rsid w:val="00E35B02"/>
    <w:rsid w:val="00E510EA"/>
    <w:rsid w:val="00E66496"/>
    <w:rsid w:val="00E66B35"/>
    <w:rsid w:val="00E66E10"/>
    <w:rsid w:val="00E769F6"/>
    <w:rsid w:val="00E76AAE"/>
    <w:rsid w:val="00E8407C"/>
    <w:rsid w:val="00E84F3C"/>
    <w:rsid w:val="00E866D1"/>
    <w:rsid w:val="00EA012C"/>
    <w:rsid w:val="00EA4C9F"/>
    <w:rsid w:val="00EA57D8"/>
    <w:rsid w:val="00EA6D6D"/>
    <w:rsid w:val="00EA733C"/>
    <w:rsid w:val="00EB0BF2"/>
    <w:rsid w:val="00EB13A1"/>
    <w:rsid w:val="00EC6A55"/>
    <w:rsid w:val="00EC7340"/>
    <w:rsid w:val="00ED0288"/>
    <w:rsid w:val="00EE52CB"/>
    <w:rsid w:val="00EF581D"/>
    <w:rsid w:val="00EF7FD8"/>
    <w:rsid w:val="00F06459"/>
    <w:rsid w:val="00F06F59"/>
    <w:rsid w:val="00F17988"/>
    <w:rsid w:val="00F4148E"/>
    <w:rsid w:val="00F469F0"/>
    <w:rsid w:val="00F53273"/>
    <w:rsid w:val="00F67460"/>
    <w:rsid w:val="00F755E4"/>
    <w:rsid w:val="00F77D02"/>
    <w:rsid w:val="00FB3A86"/>
    <w:rsid w:val="00FB4EFC"/>
    <w:rsid w:val="00FD1ACE"/>
    <w:rsid w:val="00FD36C8"/>
    <w:rsid w:val="00FD5A17"/>
    <w:rsid w:val="00FE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78844F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91/1478088706qp063oa" TargetMode="External"/><Relationship Id="rId18" Type="http://schemas.openxmlformats.org/officeDocument/2006/relationships/hyperlink" Target="https://doi.org/10.1016/j.tate.2015.01.013" TargetMode="External"/><Relationship Id="rId26" Type="http://schemas.openxmlformats.org/officeDocument/2006/relationships/hyperlink" Target="https://doi.org/10.47772/IJRISS.2025.905000443" TargetMode="External"/><Relationship Id="rId3" Type="http://schemas.openxmlformats.org/officeDocument/2006/relationships/styles" Target="styles.xml"/><Relationship Id="rId21" Type="http://schemas.openxmlformats.org/officeDocument/2006/relationships/hyperlink" Target="https://doi.org/10.3390/su1714625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13540602.2012.754158" TargetMode="External"/><Relationship Id="rId17" Type="http://schemas.openxmlformats.org/officeDocument/2006/relationships/hyperlink" Target="https://doi.org/10.1016/j.tate.2017.07.002" TargetMode="External"/><Relationship Id="rId25" Type="http://schemas.openxmlformats.org/officeDocument/2006/relationships/hyperlink" Target="https://doi.org/10.1080/13540602.2013.827455" TargetMode="External"/><Relationship Id="rId33" Type="http://schemas.openxmlformats.org/officeDocument/2006/relationships/hyperlink" Target="https://doi.org/10.3389/fpsyg.2021.648447" TargetMode="External"/><Relationship Id="rId2" Type="http://schemas.openxmlformats.org/officeDocument/2006/relationships/numbering" Target="numbering.xml"/><Relationship Id="rId16" Type="http://schemas.openxmlformats.org/officeDocument/2006/relationships/hyperlink" Target="https://doi.org/10.1016/j.tate.2021.103345" TargetMode="External"/><Relationship Id="rId20" Type="http://schemas.openxmlformats.org/officeDocument/2006/relationships/hyperlink" Target="https://doi.org/10.1016/j.edurev.2022.100505" TargetMode="External"/><Relationship Id="rId29" Type="http://schemas.openxmlformats.org/officeDocument/2006/relationships/hyperlink" Target="https://doi.org/10.1007/s11218-018-946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durev.2014.05.003?utm_source=chatgpt.com" TargetMode="External"/><Relationship Id="rId24" Type="http://schemas.openxmlformats.org/officeDocument/2006/relationships/hyperlink" Target="https://doi.org/10.1787/19cf08df-en" TargetMode="External"/><Relationship Id="rId32" Type="http://schemas.openxmlformats.org/officeDocument/2006/relationships/hyperlink" Target="https://doi.org/10.1177/0022487119839700" TargetMode="External"/><Relationship Id="rId5" Type="http://schemas.openxmlformats.org/officeDocument/2006/relationships/webSettings" Target="webSettings.xml"/><Relationship Id="rId15" Type="http://schemas.openxmlformats.org/officeDocument/2006/relationships/hyperlink" Target="https://doi.org/10.14221/ajte.2013v38n3.9" TargetMode="External"/><Relationship Id="rId23" Type="http://schemas.openxmlformats.org/officeDocument/2006/relationships/hyperlink" Target="https://doi.org/10.1007/s10648-020-09535-8" TargetMode="External"/><Relationship Id="rId28" Type="http://schemas.openxmlformats.org/officeDocument/2006/relationships/hyperlink" Target="https://doi.org/10.1177/001100008100900202"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111/jan.13031" TargetMode="External"/><Relationship Id="rId31" Type="http://schemas.openxmlformats.org/officeDocument/2006/relationships/hyperlink" Target="https://doi.org/10.51244/IJRSI.2025.1205006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80/2159676X.2019.1628806" TargetMode="External"/><Relationship Id="rId22" Type="http://schemas.openxmlformats.org/officeDocument/2006/relationships/hyperlink" Target="https://doi.org/10.1016/j.edurev.2018.12.003" TargetMode="External"/><Relationship Id="rId27" Type="http://schemas.openxmlformats.org/officeDocument/2006/relationships/hyperlink" Target="https://doi.org/10.1016/j.tate.2019.102904" TargetMode="External"/><Relationship Id="rId30" Type="http://schemas.openxmlformats.org/officeDocument/2006/relationships/hyperlink" Target="https://doi.org/10.1177/1468794104044430"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3B398-EF34-46EF-AD06-D70DEC39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11</Pages>
  <Words>6608</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141</cp:revision>
  <cp:lastPrinted>1999-07-06T11:00:00Z</cp:lastPrinted>
  <dcterms:created xsi:type="dcterms:W3CDTF">2014-10-25T14:34:00Z</dcterms:created>
  <dcterms:modified xsi:type="dcterms:W3CDTF">2026-04-08T10:15:00Z</dcterms:modified>
</cp:coreProperties>
</file>