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C618" w14:textId="77777777" w:rsidR="007B715F" w:rsidRPr="007B715F" w:rsidRDefault="007B715F" w:rsidP="007B715F">
      <w:pPr>
        <w:spacing w:before="100" w:beforeAutospacing="1" w:after="100" w:afterAutospacing="1" w:line="240" w:lineRule="auto"/>
        <w:outlineLvl w:val="0"/>
        <w:rPr>
          <w:rFonts w:ascii="Arial" w:eastAsia="Times New Roman" w:hAnsi="Arial" w:cs="Arial"/>
          <w:b/>
          <w:bCs/>
          <w:kern w:val="36"/>
          <w:u w:val="single"/>
        </w:rPr>
      </w:pPr>
      <w:r w:rsidRPr="007B715F">
        <w:rPr>
          <w:rFonts w:ascii="Arial" w:eastAsia="Times New Roman" w:hAnsi="Arial" w:cs="Arial"/>
          <w:b/>
          <w:bCs/>
          <w:kern w:val="36"/>
          <w:u w:val="single"/>
        </w:rPr>
        <w:t>Original Research Article</w:t>
      </w:r>
    </w:p>
    <w:p w14:paraId="42B44D14" w14:textId="77777777" w:rsidR="007B715F" w:rsidRDefault="007B715F" w:rsidP="008135F4">
      <w:pPr>
        <w:spacing w:before="100" w:beforeAutospacing="1" w:after="100" w:afterAutospacing="1" w:line="240" w:lineRule="auto"/>
        <w:jc w:val="center"/>
        <w:outlineLvl w:val="0"/>
        <w:rPr>
          <w:rFonts w:ascii="Arial" w:eastAsia="Times New Roman" w:hAnsi="Arial" w:cs="Arial"/>
          <w:b/>
          <w:bCs/>
          <w:kern w:val="36"/>
        </w:rPr>
      </w:pPr>
    </w:p>
    <w:p w14:paraId="1EB56FF5" w14:textId="0EA2DD39" w:rsidR="00882AFE" w:rsidRPr="00681D83" w:rsidRDefault="008A36AF" w:rsidP="008135F4">
      <w:pPr>
        <w:spacing w:before="100" w:beforeAutospacing="1" w:after="100" w:afterAutospacing="1" w:line="240" w:lineRule="auto"/>
        <w:jc w:val="both"/>
        <w:outlineLvl w:val="1"/>
        <w:rPr>
          <w:rFonts w:ascii="Arial" w:eastAsia="Times New Roman" w:hAnsi="Arial" w:cs="Arial"/>
          <w:b/>
          <w:bCs/>
          <w:sz w:val="32"/>
        </w:rPr>
      </w:pPr>
      <w:r w:rsidRPr="008A36AF">
        <w:rPr>
          <w:rFonts w:ascii="Arial" w:eastAsia="Times New Roman" w:hAnsi="Arial" w:cs="Arial"/>
          <w:b/>
          <w:sz w:val="28"/>
          <w:szCs w:val="20"/>
        </w:rPr>
        <w:t>Attitude of B.Ed. student-teachers towards disaster preparedness in Coimbatore District, India</w:t>
      </w:r>
    </w:p>
    <w:p w14:paraId="3194D2B0" w14:textId="77777777" w:rsidR="00882AFE" w:rsidRDefault="00882AFE" w:rsidP="008135F4">
      <w:pPr>
        <w:spacing w:before="100" w:beforeAutospacing="1" w:after="100" w:afterAutospacing="1" w:line="240" w:lineRule="auto"/>
        <w:jc w:val="both"/>
        <w:outlineLvl w:val="1"/>
        <w:rPr>
          <w:rFonts w:ascii="Arial" w:eastAsia="Times New Roman" w:hAnsi="Arial" w:cs="Arial"/>
          <w:b/>
          <w:bCs/>
        </w:rPr>
      </w:pPr>
    </w:p>
    <w:p w14:paraId="356364C2"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Abstract</w:t>
      </w:r>
    </w:p>
    <w:p w14:paraId="7A32BCF8" w14:textId="16BE5DE4" w:rsidR="00C807E9" w:rsidRPr="008135F4" w:rsidRDefault="005B46B1" w:rsidP="008135F4">
      <w:pPr>
        <w:spacing w:before="100" w:beforeAutospacing="1" w:after="100" w:afterAutospacing="1" w:line="240" w:lineRule="auto"/>
        <w:jc w:val="both"/>
        <w:rPr>
          <w:rFonts w:ascii="Arial" w:eastAsia="Times New Roman" w:hAnsi="Arial" w:cs="Arial"/>
          <w:sz w:val="20"/>
          <w:szCs w:val="20"/>
        </w:rPr>
      </w:pPr>
      <w:r w:rsidRPr="00C01534">
        <w:rPr>
          <w:rFonts w:ascii="Arial" w:eastAsia="Times New Roman" w:hAnsi="Arial" w:cs="Arial"/>
          <w:sz w:val="20"/>
          <w:szCs w:val="20"/>
          <w:highlight w:val="yellow"/>
        </w:rPr>
        <w:t>B.Ed. student-teachers, as future educators, must be equipped with both pedagogical competencies and practical awareness of disaster preparedness</w:t>
      </w:r>
      <w:r w:rsidRPr="008135F4">
        <w:rPr>
          <w:rFonts w:ascii="Arial" w:eastAsia="Times New Roman" w:hAnsi="Arial" w:cs="Arial"/>
          <w:sz w:val="20"/>
          <w:szCs w:val="20"/>
        </w:rPr>
        <w:t>.</w:t>
      </w:r>
      <w:r>
        <w:rPr>
          <w:rFonts w:ascii="Arial" w:eastAsia="Times New Roman" w:hAnsi="Arial" w:cs="Arial"/>
          <w:sz w:val="20"/>
          <w:szCs w:val="20"/>
        </w:rPr>
        <w:t xml:space="preserve"> </w:t>
      </w:r>
      <w:r w:rsidR="008135F4" w:rsidRPr="008135F4">
        <w:rPr>
          <w:rFonts w:ascii="Arial" w:eastAsia="Times New Roman" w:hAnsi="Arial" w:cs="Arial"/>
          <w:sz w:val="20"/>
          <w:szCs w:val="20"/>
        </w:rPr>
        <w:t>The present study investigates the attitude of B.Ed. student-teachers towards disaster preparedness in Coimbatore District, with specific reference to selected demographic variables such as gender, locality, parents’ occupation, and year of study. A normative survey method was employed for the study. The sample consisted of 100 student-teachers (50 males and 50 females), selected using stratified random sampling techniques.</w:t>
      </w:r>
      <w:r>
        <w:rPr>
          <w:rFonts w:ascii="Arial" w:eastAsia="Times New Roman" w:hAnsi="Arial" w:cs="Arial"/>
          <w:sz w:val="20"/>
          <w:szCs w:val="20"/>
        </w:rPr>
        <w:t xml:space="preserve"> </w:t>
      </w:r>
      <w:r w:rsidR="008135F4" w:rsidRPr="008135F4">
        <w:rPr>
          <w:rFonts w:ascii="Arial" w:eastAsia="Times New Roman" w:hAnsi="Arial" w:cs="Arial"/>
          <w:sz w:val="20"/>
          <w:szCs w:val="20"/>
        </w:rPr>
        <w:t>Data were collected using a self-developed Attitude towards Disaster Preparedness Scale comprising 20 items measured on a five-point Likert continuum. Statistical techniques such as mean, standard deviation, and independent samples t-test were used for data analysis.</w:t>
      </w:r>
      <w:r>
        <w:rPr>
          <w:rFonts w:ascii="Arial" w:eastAsia="Times New Roman" w:hAnsi="Arial" w:cs="Arial"/>
          <w:sz w:val="20"/>
          <w:szCs w:val="20"/>
        </w:rPr>
        <w:t xml:space="preserve"> </w:t>
      </w:r>
      <w:r w:rsidR="008135F4" w:rsidRPr="008135F4">
        <w:rPr>
          <w:rFonts w:ascii="Arial" w:eastAsia="Times New Roman" w:hAnsi="Arial" w:cs="Arial"/>
          <w:sz w:val="20"/>
          <w:szCs w:val="20"/>
        </w:rPr>
        <w:t xml:space="preserve">The findings </w:t>
      </w:r>
      <w:r w:rsidR="008135F4" w:rsidRPr="00C01534">
        <w:rPr>
          <w:rFonts w:ascii="Arial" w:eastAsia="Times New Roman" w:hAnsi="Arial" w:cs="Arial"/>
          <w:sz w:val="20"/>
          <w:szCs w:val="20"/>
          <w:highlight w:val="yellow"/>
        </w:rPr>
        <w:t>reveal</w:t>
      </w:r>
      <w:r w:rsidR="00C807E9" w:rsidRPr="00C01534">
        <w:rPr>
          <w:rFonts w:ascii="Arial" w:eastAsia="Times New Roman" w:hAnsi="Arial" w:cs="Arial"/>
          <w:sz w:val="20"/>
          <w:szCs w:val="20"/>
          <w:highlight w:val="yellow"/>
        </w:rPr>
        <w:t>ed</w:t>
      </w:r>
      <w:r w:rsidR="008135F4" w:rsidRPr="00C01534">
        <w:rPr>
          <w:rFonts w:ascii="Arial" w:eastAsia="Times New Roman" w:hAnsi="Arial" w:cs="Arial"/>
          <w:sz w:val="20"/>
          <w:szCs w:val="20"/>
          <w:highlight w:val="yellow"/>
        </w:rPr>
        <w:t xml:space="preserve"> </w:t>
      </w:r>
      <w:r w:rsidR="00C807E9" w:rsidRPr="00C01534">
        <w:rPr>
          <w:rFonts w:ascii="Arial" w:eastAsia="Times New Roman" w:hAnsi="Arial" w:cs="Arial"/>
          <w:sz w:val="20"/>
          <w:szCs w:val="20"/>
          <w:highlight w:val="yellow"/>
        </w:rPr>
        <w:t xml:space="preserve">a mean score of 72.65, indicating </w:t>
      </w:r>
      <w:r w:rsidR="008135F4" w:rsidRPr="008135F4">
        <w:rPr>
          <w:rFonts w:ascii="Arial" w:eastAsia="Times New Roman" w:hAnsi="Arial" w:cs="Arial"/>
          <w:sz w:val="20"/>
          <w:szCs w:val="20"/>
        </w:rPr>
        <w:t>student-teachers possess a moderately high level of attitude towards disaster preparedness. Furthermore, no statistically significant differences were found with respect to gender, locality, parents’ occupation, and year of study. The study emphasizes the need for strengthening disaster preparedness components within teacher education programs to promote resilience and effective disaster risk reduction practices in schools. The results also indicate that while awareness levels are satisfactory, there is a need for continuous reinforcement through structured training, practical exposure, and institutional support mechanisms to ensure long-term preparedness and responsiveness among future teachers.</w:t>
      </w:r>
      <w:r>
        <w:rPr>
          <w:rFonts w:ascii="Arial" w:eastAsia="Times New Roman" w:hAnsi="Arial" w:cs="Arial"/>
          <w:sz w:val="20"/>
          <w:szCs w:val="20"/>
        </w:rPr>
        <w:t xml:space="preserve"> </w:t>
      </w:r>
      <w:r w:rsidRPr="00C01534">
        <w:rPr>
          <w:rFonts w:ascii="Arial" w:eastAsia="Times New Roman" w:hAnsi="Arial" w:cs="Arial"/>
          <w:sz w:val="20"/>
          <w:szCs w:val="20"/>
          <w:highlight w:val="yellow"/>
        </w:rPr>
        <w:t xml:space="preserve">Collaboration with local disaster response agencies is recommended to provide real-world exposure and strengthen decision-making abilities during emergencies. </w:t>
      </w:r>
    </w:p>
    <w:p w14:paraId="0CDBAA67"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b/>
          <w:bCs/>
          <w:sz w:val="20"/>
          <w:szCs w:val="20"/>
        </w:rPr>
        <w:t>Keywords:</w:t>
      </w:r>
      <w:r w:rsidRPr="008135F4">
        <w:rPr>
          <w:rFonts w:ascii="Arial" w:eastAsia="Times New Roman" w:hAnsi="Arial" w:cs="Arial"/>
          <w:sz w:val="20"/>
          <w:szCs w:val="20"/>
        </w:rPr>
        <w:t xml:space="preserve"> Disaster Preparedness, Attitude, B.Ed. Student-Teachers, Teacher Education, Demographic Variables</w:t>
      </w:r>
    </w:p>
    <w:p w14:paraId="6224E4F8"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1. INTRODUCTION</w:t>
      </w:r>
    </w:p>
    <w:p w14:paraId="3C70D6BC" w14:textId="20249F3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 xml:space="preserve">Education is not merely the acquisition of knowledge but also the development of values that guide individuals in leading meaningful and responsible lives. In recent decades, the increasing frequency and intensity of disasters have highlighted the importance of preparedness at individual, institutional, and community levels. Schools are recognized as vital platforms for disseminating knowledge about disaster risk reduction, and teachers play a crucial role in this </w:t>
      </w:r>
      <w:r w:rsidRPr="00A568F1">
        <w:rPr>
          <w:rFonts w:ascii="Arial" w:eastAsia="Times New Roman" w:hAnsi="Arial" w:cs="Arial"/>
          <w:sz w:val="20"/>
          <w:szCs w:val="20"/>
        </w:rPr>
        <w:t>process</w:t>
      </w:r>
      <w:r w:rsidR="00A568F1" w:rsidRPr="00A568F1">
        <w:rPr>
          <w:rFonts w:ascii="Arial" w:eastAsia="Times New Roman" w:hAnsi="Arial" w:cs="Arial"/>
          <w:sz w:val="20"/>
          <w:szCs w:val="20"/>
        </w:rPr>
        <w:t xml:space="preserve"> </w:t>
      </w:r>
      <w:r w:rsidR="00A568F1" w:rsidRPr="00A568F1">
        <w:rPr>
          <w:rFonts w:ascii="Arial" w:hAnsi="Arial" w:cs="Arial"/>
          <w:sz w:val="20"/>
          <w:szCs w:val="20"/>
        </w:rPr>
        <w:t>(UNESCO, 2020; UNDRR, 2015</w:t>
      </w:r>
      <w:r w:rsidR="00C01534" w:rsidRPr="00C01534">
        <w:rPr>
          <w:rFonts w:ascii="Arial" w:hAnsi="Arial" w:cs="Arial"/>
          <w:sz w:val="20"/>
          <w:szCs w:val="20"/>
          <w:highlight w:val="yellow"/>
        </w:rPr>
        <w:t xml:space="preserve">; Patel et al., 2020; </w:t>
      </w:r>
      <w:proofErr w:type="spellStart"/>
      <w:r w:rsidR="00C01534" w:rsidRPr="00C01534">
        <w:rPr>
          <w:rFonts w:ascii="Arial" w:hAnsi="Arial" w:cs="Arial"/>
          <w:sz w:val="20"/>
          <w:szCs w:val="20"/>
          <w:highlight w:val="yellow"/>
          <w:lang w:val="en-GB"/>
        </w:rPr>
        <w:t>Sonmez</w:t>
      </w:r>
      <w:proofErr w:type="spellEnd"/>
      <w:r w:rsidR="00C01534" w:rsidRPr="00C01534">
        <w:rPr>
          <w:rFonts w:ascii="Arial" w:hAnsi="Arial" w:cs="Arial"/>
          <w:sz w:val="20"/>
          <w:szCs w:val="20"/>
          <w:highlight w:val="yellow"/>
          <w:lang w:val="en-GB"/>
        </w:rPr>
        <w:t xml:space="preserve"> &amp; </w:t>
      </w:r>
      <w:proofErr w:type="spellStart"/>
      <w:r w:rsidR="00C01534" w:rsidRPr="00C01534">
        <w:rPr>
          <w:rFonts w:ascii="Arial" w:hAnsi="Arial" w:cs="Arial"/>
          <w:sz w:val="20"/>
          <w:szCs w:val="20"/>
          <w:highlight w:val="yellow"/>
          <w:lang w:val="en-GB"/>
        </w:rPr>
        <w:t>Gokmenoglu</w:t>
      </w:r>
      <w:proofErr w:type="spellEnd"/>
      <w:r w:rsidR="00C01534" w:rsidRPr="00C01534">
        <w:rPr>
          <w:rFonts w:ascii="Arial" w:hAnsi="Arial" w:cs="Arial"/>
          <w:sz w:val="20"/>
          <w:szCs w:val="20"/>
          <w:highlight w:val="yellow"/>
          <w:lang w:val="en-GB"/>
        </w:rPr>
        <w:t>, 2023</w:t>
      </w:r>
      <w:r w:rsidR="00A568F1" w:rsidRPr="00C01534">
        <w:rPr>
          <w:rFonts w:ascii="Arial" w:hAnsi="Arial" w:cs="Arial"/>
          <w:sz w:val="20"/>
          <w:szCs w:val="20"/>
          <w:highlight w:val="yellow"/>
        </w:rPr>
        <w:t>).</w:t>
      </w:r>
    </w:p>
    <w:p w14:paraId="4FEABF91" w14:textId="0BFAC641" w:rsidR="008135F4" w:rsidRPr="008135F4" w:rsidRDefault="00A07688" w:rsidP="008135F4">
      <w:pPr>
        <w:spacing w:before="100" w:beforeAutospacing="1" w:after="100" w:afterAutospacing="1" w:line="240" w:lineRule="auto"/>
        <w:jc w:val="both"/>
        <w:rPr>
          <w:rFonts w:ascii="Arial" w:eastAsia="Times New Roman" w:hAnsi="Arial" w:cs="Arial"/>
          <w:sz w:val="20"/>
          <w:szCs w:val="20"/>
        </w:rPr>
      </w:pPr>
      <w:r w:rsidRPr="00C01534">
        <w:rPr>
          <w:rFonts w:ascii="Arial" w:eastAsia="Times New Roman" w:hAnsi="Arial" w:cs="Arial"/>
          <w:sz w:val="20"/>
          <w:szCs w:val="20"/>
          <w:highlight w:val="yellow"/>
        </w:rPr>
        <w:t>The definition of disaster preparedness highlights the importance of individuals having the necessary knowledge and skills before, during, and after a disaster and applies to both the professional context of work and the private context of people’s lives</w:t>
      </w:r>
      <w:r w:rsidR="00201133" w:rsidRPr="00C01534">
        <w:rPr>
          <w:rFonts w:ascii="Arial" w:eastAsia="Times New Roman" w:hAnsi="Arial" w:cs="Arial"/>
          <w:sz w:val="20"/>
          <w:szCs w:val="20"/>
          <w:highlight w:val="yellow"/>
        </w:rPr>
        <w:t xml:space="preserve"> (</w:t>
      </w:r>
      <w:r w:rsidR="00201133" w:rsidRPr="00C01534">
        <w:rPr>
          <w:rFonts w:ascii="Arial" w:hAnsi="Arial" w:cs="Arial"/>
          <w:sz w:val="20"/>
          <w:szCs w:val="20"/>
          <w:highlight w:val="yellow"/>
        </w:rPr>
        <w:t>Lacher, 2024)</w:t>
      </w:r>
      <w:r w:rsidRPr="00C01534">
        <w:rPr>
          <w:rFonts w:ascii="Arial" w:eastAsia="Times New Roman" w:hAnsi="Arial" w:cs="Arial"/>
          <w:sz w:val="20"/>
          <w:szCs w:val="20"/>
          <w:highlight w:val="yellow"/>
        </w:rPr>
        <w:t>. The objectives of disaster preparedness in educational institutions extend beyond immediate response and recovery. While the responsibility for disaster preparedness primarily rests with the educational institution, it is essential for students and their families, as well as the broader community, to actively engage in preparedness efforts</w:t>
      </w:r>
      <w:r w:rsidR="00201133" w:rsidRPr="00C01534">
        <w:rPr>
          <w:rFonts w:ascii="Arial" w:eastAsia="Times New Roman" w:hAnsi="Arial" w:cs="Arial"/>
          <w:sz w:val="20"/>
          <w:szCs w:val="20"/>
          <w:highlight w:val="yellow"/>
        </w:rPr>
        <w:t xml:space="preserve"> (</w:t>
      </w:r>
      <w:r w:rsidR="00201133" w:rsidRPr="00C01534">
        <w:rPr>
          <w:rFonts w:ascii="Arial" w:hAnsi="Arial" w:cs="Arial"/>
          <w:sz w:val="20"/>
          <w:szCs w:val="20"/>
          <w:highlight w:val="yellow"/>
        </w:rPr>
        <w:t>Mir et al., 2024)</w:t>
      </w:r>
      <w:r w:rsidRPr="00C01534">
        <w:rPr>
          <w:rFonts w:ascii="Arial" w:eastAsia="Times New Roman" w:hAnsi="Arial" w:cs="Arial"/>
          <w:sz w:val="20"/>
          <w:szCs w:val="20"/>
          <w:highlight w:val="yellow"/>
        </w:rPr>
        <w:t xml:space="preserve">. </w:t>
      </w:r>
      <w:r w:rsidR="008135F4" w:rsidRPr="008135F4">
        <w:rPr>
          <w:rFonts w:ascii="Arial" w:eastAsia="Times New Roman" w:hAnsi="Arial" w:cs="Arial"/>
          <w:sz w:val="20"/>
          <w:szCs w:val="20"/>
        </w:rPr>
        <w:t>B.Ed. student-teachers, as future educators, must be equipped with both pedagogical competencies and practical awareness of disaster preparedness</w:t>
      </w:r>
      <w:r w:rsidR="00C01534">
        <w:rPr>
          <w:rFonts w:ascii="Arial" w:eastAsia="Times New Roman" w:hAnsi="Arial" w:cs="Arial"/>
          <w:sz w:val="20"/>
          <w:szCs w:val="20"/>
        </w:rPr>
        <w:t xml:space="preserve"> </w:t>
      </w:r>
      <w:r w:rsidR="00201133" w:rsidRPr="00C01534">
        <w:rPr>
          <w:rFonts w:ascii="Arial" w:eastAsia="Times New Roman" w:hAnsi="Arial" w:cs="Arial"/>
          <w:sz w:val="20"/>
          <w:szCs w:val="20"/>
          <w:highlight w:val="yellow"/>
        </w:rPr>
        <w:t>(</w:t>
      </w:r>
      <w:r w:rsidR="00201133" w:rsidRPr="00C01534">
        <w:rPr>
          <w:rFonts w:ascii="Arial" w:hAnsi="Arial" w:cs="Arial"/>
          <w:sz w:val="20"/>
          <w:szCs w:val="20"/>
          <w:highlight w:val="yellow"/>
        </w:rPr>
        <w:t>Shahid &amp; Sarwat, 2024)</w:t>
      </w:r>
      <w:r w:rsidR="008135F4" w:rsidRPr="00C01534">
        <w:rPr>
          <w:rFonts w:ascii="Arial" w:eastAsia="Times New Roman" w:hAnsi="Arial" w:cs="Arial"/>
          <w:sz w:val="20"/>
          <w:szCs w:val="20"/>
          <w:highlight w:val="yellow"/>
        </w:rPr>
        <w:t xml:space="preserve">. </w:t>
      </w:r>
      <w:r w:rsidR="008135F4" w:rsidRPr="008135F4">
        <w:rPr>
          <w:rFonts w:ascii="Arial" w:eastAsia="Times New Roman" w:hAnsi="Arial" w:cs="Arial"/>
          <w:sz w:val="20"/>
          <w:szCs w:val="20"/>
        </w:rPr>
        <w:t>A positive attitude towards disaster preparedness enhances their willingness to engage in preventive and responsive measures</w:t>
      </w:r>
      <w:r w:rsidR="00C01534">
        <w:rPr>
          <w:rFonts w:ascii="Arial" w:eastAsia="Times New Roman" w:hAnsi="Arial" w:cs="Arial"/>
          <w:sz w:val="20"/>
          <w:szCs w:val="20"/>
        </w:rPr>
        <w:t xml:space="preserve"> </w:t>
      </w:r>
      <w:r w:rsidR="00C01534" w:rsidRPr="00C01534">
        <w:rPr>
          <w:rFonts w:ascii="Arial" w:eastAsia="Times New Roman" w:hAnsi="Arial" w:cs="Arial"/>
          <w:sz w:val="20"/>
          <w:szCs w:val="20"/>
          <w:highlight w:val="yellow"/>
        </w:rPr>
        <w:t>(</w:t>
      </w:r>
      <w:r w:rsidR="00C01534" w:rsidRPr="00C01534">
        <w:rPr>
          <w:rFonts w:ascii="Arial" w:hAnsi="Arial" w:cs="Arial"/>
          <w:sz w:val="20"/>
          <w:szCs w:val="20"/>
          <w:highlight w:val="yellow"/>
        </w:rPr>
        <w:t>Salita et al., 2021)</w:t>
      </w:r>
      <w:r w:rsidR="008135F4" w:rsidRPr="00C01534">
        <w:rPr>
          <w:rFonts w:ascii="Arial" w:eastAsia="Times New Roman" w:hAnsi="Arial" w:cs="Arial"/>
          <w:sz w:val="20"/>
          <w:szCs w:val="20"/>
          <w:highlight w:val="yellow"/>
        </w:rPr>
        <w:t xml:space="preserve">. </w:t>
      </w:r>
      <w:r w:rsidR="008135F4" w:rsidRPr="008135F4">
        <w:rPr>
          <w:rFonts w:ascii="Arial" w:eastAsia="Times New Roman" w:hAnsi="Arial" w:cs="Arial"/>
          <w:sz w:val="20"/>
          <w:szCs w:val="20"/>
        </w:rPr>
        <w:t>Therefore, understanding the level of attitude and its variation across demographic variables becomes essential for strengthening teacher education programs.</w:t>
      </w:r>
    </w:p>
    <w:p w14:paraId="7BC3EC46"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lastRenderedPageBreak/>
        <w:t>In addition, the role of teachers extends beyond classroom instruction to community engagement and leadership during emergencies. Teachers are often among the first responders within school environments, and their preparedness directly influences student safety</w:t>
      </w:r>
      <w:r w:rsidR="00142CC3" w:rsidRPr="00142CC3">
        <w:t xml:space="preserve"> </w:t>
      </w:r>
      <w:r w:rsidR="00142CC3" w:rsidRPr="00142CC3">
        <w:rPr>
          <w:rFonts w:ascii="Arial" w:hAnsi="Arial" w:cs="Arial"/>
          <w:sz w:val="20"/>
          <w:szCs w:val="20"/>
        </w:rPr>
        <w:t>(Johnson et al., 2021).</w:t>
      </w:r>
      <w:r w:rsidRPr="008135F4">
        <w:rPr>
          <w:rFonts w:ascii="Arial" w:eastAsia="Times New Roman" w:hAnsi="Arial" w:cs="Arial"/>
          <w:sz w:val="20"/>
          <w:szCs w:val="20"/>
        </w:rPr>
        <w:t xml:space="preserve"> Thus, fostering a strong attitude towards disaster preparedness among student-teachers is critical not only for their professional development but also for broader societal resilience.</w:t>
      </w:r>
    </w:p>
    <w:p w14:paraId="264C2807"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2. NEED AND SIGNIFICANCE OF THE STUDY</w:t>
      </w:r>
    </w:p>
    <w:p w14:paraId="52A84BEA"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increasing occurrence of natural and human-induced disasters necessitates the integration of disaster preparedness into education systems. Teachers act as catalysts in spreading awareness and building resilience among school children</w:t>
      </w:r>
      <w:r w:rsidR="00A82145" w:rsidRPr="00A82145">
        <w:t xml:space="preserve"> </w:t>
      </w:r>
      <w:r w:rsidR="00A82145" w:rsidRPr="00A82145">
        <w:rPr>
          <w:rFonts w:ascii="Arial" w:hAnsi="Arial" w:cs="Arial"/>
          <w:sz w:val="20"/>
          <w:szCs w:val="20"/>
        </w:rPr>
        <w:t>(</w:t>
      </w:r>
      <w:proofErr w:type="spellStart"/>
      <w:r w:rsidR="00A82145" w:rsidRPr="00A82145">
        <w:rPr>
          <w:rFonts w:ascii="Arial" w:hAnsi="Arial" w:cs="Arial"/>
          <w:sz w:val="20"/>
          <w:szCs w:val="20"/>
        </w:rPr>
        <w:t>Seddighi</w:t>
      </w:r>
      <w:proofErr w:type="spellEnd"/>
      <w:r w:rsidR="00A82145" w:rsidRPr="00A82145">
        <w:rPr>
          <w:rFonts w:ascii="Arial" w:hAnsi="Arial" w:cs="Arial"/>
          <w:sz w:val="20"/>
          <w:szCs w:val="20"/>
        </w:rPr>
        <w:t xml:space="preserve"> et al., 2023)</w:t>
      </w:r>
      <w:r w:rsidRPr="00A82145">
        <w:rPr>
          <w:rFonts w:ascii="Arial" w:eastAsia="Times New Roman" w:hAnsi="Arial" w:cs="Arial"/>
          <w:sz w:val="20"/>
          <w:szCs w:val="20"/>
        </w:rPr>
        <w:t>.</w:t>
      </w:r>
      <w:r w:rsidRPr="008135F4">
        <w:rPr>
          <w:rFonts w:ascii="Arial" w:eastAsia="Times New Roman" w:hAnsi="Arial" w:cs="Arial"/>
          <w:sz w:val="20"/>
          <w:szCs w:val="20"/>
        </w:rPr>
        <w:t xml:space="preserve"> Hence, teacher education programs must ensure that all student-teachers are adequately prepared.</w:t>
      </w:r>
    </w:p>
    <w:p w14:paraId="1D7532C4"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This study is significant because it examines whether demographic variables influence attitudes towards disaster preparedness. Understanding such variations helps in designing inclusive training programs. Moreover, the study contributes to the existing literature by emphasizing the importance of uniform preparedness among future teachers, thereby supporting national and global disaster risk reduction strategies.</w:t>
      </w:r>
    </w:p>
    <w:p w14:paraId="34294C1D"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Furthermore, the study highlights the importance of bridging the gap between theoretical knowledge and practical application. In many cases, awareness does not translate into action due to lack of training and confidence. Therefore, this research underscores the necessity of experiential learning approaches in teacher education.</w:t>
      </w:r>
    </w:p>
    <w:p w14:paraId="6535E4C4" w14:textId="507278D2" w:rsidR="008135F4" w:rsidRDefault="00E704D7" w:rsidP="008135F4">
      <w:pPr>
        <w:spacing w:before="100" w:beforeAutospacing="1" w:after="100" w:afterAutospacing="1" w:line="240" w:lineRule="auto"/>
        <w:jc w:val="both"/>
        <w:outlineLvl w:val="1"/>
        <w:rPr>
          <w:rFonts w:ascii="Arial" w:eastAsia="Times New Roman" w:hAnsi="Arial" w:cs="Arial"/>
          <w:b/>
          <w:bCs/>
        </w:rPr>
      </w:pPr>
      <w:r>
        <w:rPr>
          <w:rFonts w:ascii="Arial" w:eastAsia="Times New Roman" w:hAnsi="Arial" w:cs="Arial"/>
          <w:b/>
          <w:bCs/>
        </w:rPr>
        <w:t>3</w:t>
      </w:r>
      <w:r w:rsidR="008135F4" w:rsidRPr="008135F4">
        <w:rPr>
          <w:rFonts w:ascii="Arial" w:eastAsia="Times New Roman" w:hAnsi="Arial" w:cs="Arial"/>
          <w:b/>
          <w:bCs/>
        </w:rPr>
        <w:t xml:space="preserve">. OBJECTIVES </w:t>
      </w:r>
    </w:p>
    <w:p w14:paraId="4D08E4E8" w14:textId="6CA40879" w:rsidR="00E704D7" w:rsidRPr="00E704D7" w:rsidRDefault="00E704D7" w:rsidP="008135F4">
      <w:pPr>
        <w:spacing w:before="100" w:beforeAutospacing="1" w:after="100" w:afterAutospacing="1" w:line="240" w:lineRule="auto"/>
        <w:jc w:val="both"/>
        <w:outlineLvl w:val="1"/>
        <w:rPr>
          <w:rFonts w:ascii="Arial" w:eastAsia="Times New Roman" w:hAnsi="Arial" w:cs="Arial"/>
          <w:bCs/>
        </w:rPr>
      </w:pPr>
      <w:r w:rsidRPr="00E704D7">
        <w:rPr>
          <w:rFonts w:ascii="Arial" w:eastAsia="Times New Roman" w:hAnsi="Arial" w:cs="Arial"/>
          <w:bCs/>
        </w:rPr>
        <w:t xml:space="preserve">The specific objectives </w:t>
      </w:r>
      <w:proofErr w:type="gramStart"/>
      <w:r w:rsidRPr="00E704D7">
        <w:rPr>
          <w:rFonts w:ascii="Arial" w:eastAsia="Times New Roman" w:hAnsi="Arial" w:cs="Arial"/>
          <w:bCs/>
        </w:rPr>
        <w:t>includes</w:t>
      </w:r>
      <w:proofErr w:type="gramEnd"/>
      <w:r w:rsidRPr="00E704D7">
        <w:rPr>
          <w:rFonts w:ascii="Arial" w:eastAsia="Times New Roman" w:hAnsi="Arial" w:cs="Arial"/>
          <w:bCs/>
        </w:rPr>
        <w:t xml:space="preserve">: </w:t>
      </w:r>
    </w:p>
    <w:p w14:paraId="5F9628C4"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Assess the level of attitude towards disaster preparedness among B.Ed. student-teachers.</w:t>
      </w:r>
    </w:p>
    <w:p w14:paraId="1EA6C0D2"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Examine whether significant differences exist in attitude based on gender.</w:t>
      </w:r>
    </w:p>
    <w:p w14:paraId="7E3FF50D"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Determine differences based on locality (rural and urban).</w:t>
      </w:r>
    </w:p>
    <w:p w14:paraId="76A8FFD6"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Analyze differences based on parents’ occupation.</w:t>
      </w:r>
    </w:p>
    <w:p w14:paraId="4C6BA85B"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Examine differences based on the year of study.</w:t>
      </w:r>
    </w:p>
    <w:p w14:paraId="59268F63" w14:textId="44C9AEE6" w:rsidR="008135F4" w:rsidRPr="008135F4" w:rsidRDefault="00E704D7" w:rsidP="008135F4">
      <w:pPr>
        <w:spacing w:before="100" w:beforeAutospacing="1" w:after="100" w:afterAutospacing="1" w:line="240" w:lineRule="auto"/>
        <w:jc w:val="both"/>
        <w:outlineLvl w:val="1"/>
        <w:rPr>
          <w:rFonts w:ascii="Arial" w:eastAsia="Times New Roman" w:hAnsi="Arial" w:cs="Arial"/>
          <w:b/>
          <w:bCs/>
        </w:rPr>
      </w:pPr>
      <w:r>
        <w:rPr>
          <w:rFonts w:ascii="Arial" w:eastAsia="Times New Roman" w:hAnsi="Arial" w:cs="Arial"/>
          <w:b/>
          <w:bCs/>
        </w:rPr>
        <w:t>4</w:t>
      </w:r>
      <w:r w:rsidR="00113B14" w:rsidRPr="00113B14">
        <w:rPr>
          <w:rFonts w:ascii="Arial" w:eastAsia="Times New Roman" w:hAnsi="Arial" w:cs="Arial"/>
          <w:b/>
          <w:bCs/>
        </w:rPr>
        <w:t>. HYPOTHESES</w:t>
      </w:r>
    </w:p>
    <w:p w14:paraId="3757AB1F"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All hypotheses were framed as null hypotheses:</w:t>
      </w:r>
    </w:p>
    <w:p w14:paraId="394C9C27"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male and female student-teachers.</w:t>
      </w:r>
    </w:p>
    <w:p w14:paraId="4B0F607B"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rural and urban student-teachers.</w:t>
      </w:r>
    </w:p>
    <w:p w14:paraId="27F52022"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based on parents’ occupation.</w:t>
      </w:r>
    </w:p>
    <w:p w14:paraId="01DE7CD7"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first-year and second-year student-teachers.</w:t>
      </w:r>
    </w:p>
    <w:p w14:paraId="4F67F854" w14:textId="3B9AB9EF" w:rsidR="008135F4" w:rsidRPr="008135F4" w:rsidRDefault="00E704D7" w:rsidP="008135F4">
      <w:pPr>
        <w:spacing w:before="100" w:beforeAutospacing="1" w:after="100" w:afterAutospacing="1" w:line="240" w:lineRule="auto"/>
        <w:jc w:val="both"/>
        <w:outlineLvl w:val="1"/>
        <w:rPr>
          <w:rFonts w:ascii="Arial" w:eastAsia="Times New Roman" w:hAnsi="Arial" w:cs="Arial"/>
          <w:b/>
          <w:bCs/>
        </w:rPr>
      </w:pPr>
      <w:r>
        <w:rPr>
          <w:rFonts w:ascii="Arial" w:eastAsia="Times New Roman" w:hAnsi="Arial" w:cs="Arial"/>
          <w:b/>
          <w:bCs/>
        </w:rPr>
        <w:t>5</w:t>
      </w:r>
      <w:r w:rsidR="00113B14" w:rsidRPr="00113B14">
        <w:rPr>
          <w:rFonts w:ascii="Arial" w:eastAsia="Times New Roman" w:hAnsi="Arial" w:cs="Arial"/>
          <w:b/>
          <w:bCs/>
        </w:rPr>
        <w:t>. METHODOLOGY</w:t>
      </w:r>
    </w:p>
    <w:p w14:paraId="62AE9F82" w14:textId="401DF117" w:rsidR="008135F4" w:rsidRPr="008135F4" w:rsidRDefault="00E704D7" w:rsidP="008135F4">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5</w:t>
      </w:r>
      <w:r w:rsidR="00113B14" w:rsidRPr="00113B14">
        <w:rPr>
          <w:rFonts w:ascii="Arial" w:eastAsia="Times New Roman" w:hAnsi="Arial" w:cs="Arial"/>
          <w:b/>
          <w:bCs/>
        </w:rPr>
        <w:t>.1 RESEARCH DESIGN</w:t>
      </w:r>
    </w:p>
    <w:p w14:paraId="602A2BC5"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study adopted a normative survey method to assess and interpret the existing attitudes of student-teachers towards disaster preparedness. This method is appropriate for describing current conditions and identifying relationships among variables.</w:t>
      </w:r>
    </w:p>
    <w:p w14:paraId="4CDE13D6" w14:textId="1B6F7395" w:rsidR="008135F4" w:rsidRPr="008135F4" w:rsidRDefault="00E704D7" w:rsidP="008135F4">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5</w:t>
      </w:r>
      <w:r w:rsidR="00113B14" w:rsidRPr="00113B14">
        <w:rPr>
          <w:rFonts w:ascii="Arial" w:eastAsia="Times New Roman" w:hAnsi="Arial" w:cs="Arial"/>
          <w:b/>
          <w:bCs/>
        </w:rPr>
        <w:t>.2 POPULATION AND SAMPLE</w:t>
      </w:r>
    </w:p>
    <w:p w14:paraId="7EABC876"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lastRenderedPageBreak/>
        <w:t>The population comprised B.Ed. student-teachers studying in colleges of education in Coimbatore District. A sample of 100 student-teachers was selected using stratified random sampling, ensuring equal representation of gender. This sampling technique enhances the representativeness of the data and reduces bias.</w:t>
      </w:r>
    </w:p>
    <w:p w14:paraId="1F366143" w14:textId="4AA8D276" w:rsidR="008135F4" w:rsidRPr="008135F4" w:rsidRDefault="00E704D7" w:rsidP="008135F4">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5</w:t>
      </w:r>
      <w:r w:rsidR="00113B14" w:rsidRPr="00113B14">
        <w:rPr>
          <w:rFonts w:ascii="Arial" w:eastAsia="Times New Roman" w:hAnsi="Arial" w:cs="Arial"/>
          <w:b/>
          <w:bCs/>
        </w:rPr>
        <w:t>.3 TOOL FOR DATA COLLECTION</w:t>
      </w:r>
    </w:p>
    <w:p w14:paraId="043E0DB4"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 self-constructed Attitude towards Disaster Preparedness Scale was used. It consisted of 20 statements measured on a five-point Likert scale ranging from strongly disagree (1) to strongly agree (5). The total possible score ranged from 20 to 100. The tool was designed to capture multiple dimensions such as awareness, readiness, responsibility, and perception towards disaster management.</w:t>
      </w:r>
    </w:p>
    <w:p w14:paraId="5BA05502" w14:textId="6D95F4F5" w:rsidR="008135F4" w:rsidRPr="008135F4" w:rsidRDefault="00E704D7" w:rsidP="008135F4">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5</w:t>
      </w:r>
      <w:r w:rsidR="00113B14" w:rsidRPr="00113B14">
        <w:rPr>
          <w:rFonts w:ascii="Arial" w:eastAsia="Times New Roman" w:hAnsi="Arial" w:cs="Arial"/>
          <w:b/>
          <w:bCs/>
        </w:rPr>
        <w:t>.4 STATISTICAL TECHNIQUES</w:t>
      </w:r>
    </w:p>
    <w:p w14:paraId="30EA046B"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collected data were analyzed using mean, standard deviation, and independent samples t-test to determine differences between groups. These statistical methods are suitable for comparing group means and identifying significant differences.</w:t>
      </w:r>
    </w:p>
    <w:p w14:paraId="1CB85CC8" w14:textId="26FB6B5A" w:rsidR="008135F4" w:rsidRPr="008135F4" w:rsidRDefault="00E704D7" w:rsidP="008135F4">
      <w:pPr>
        <w:spacing w:before="100" w:beforeAutospacing="1" w:after="100" w:afterAutospacing="1" w:line="240" w:lineRule="auto"/>
        <w:jc w:val="both"/>
        <w:outlineLvl w:val="0"/>
        <w:rPr>
          <w:rFonts w:ascii="Arial" w:eastAsia="Times New Roman" w:hAnsi="Arial" w:cs="Arial"/>
          <w:b/>
          <w:bCs/>
          <w:kern w:val="36"/>
        </w:rPr>
      </w:pPr>
      <w:r>
        <w:rPr>
          <w:rFonts w:ascii="Arial" w:eastAsia="Times New Roman" w:hAnsi="Arial" w:cs="Arial"/>
          <w:b/>
          <w:bCs/>
          <w:kern w:val="36"/>
        </w:rPr>
        <w:t>6</w:t>
      </w:r>
      <w:r w:rsidR="00113B14" w:rsidRPr="00113B14">
        <w:rPr>
          <w:rFonts w:ascii="Arial" w:eastAsia="Times New Roman" w:hAnsi="Arial" w:cs="Arial"/>
          <w:b/>
          <w:bCs/>
          <w:kern w:val="36"/>
        </w:rPr>
        <w:t>. RESULTS AND DISCUSSION</w:t>
      </w:r>
    </w:p>
    <w:p w14:paraId="67CC2B50" w14:textId="66676DC8" w:rsidR="002F3F80" w:rsidRPr="0013642D" w:rsidRDefault="00E704D7" w:rsidP="002F3F80">
      <w:pPr>
        <w:spacing w:before="100" w:beforeAutospacing="1" w:after="100" w:afterAutospacing="1" w:line="240" w:lineRule="auto"/>
        <w:jc w:val="both"/>
        <w:outlineLvl w:val="3"/>
        <w:rPr>
          <w:rFonts w:ascii="Arial" w:eastAsia="Times New Roman" w:hAnsi="Arial" w:cs="Arial"/>
          <w:b/>
          <w:bCs/>
        </w:rPr>
      </w:pPr>
      <w:r>
        <w:rPr>
          <w:rFonts w:ascii="Arial" w:eastAsia="Times New Roman" w:hAnsi="Arial" w:cs="Arial"/>
          <w:b/>
          <w:bCs/>
        </w:rPr>
        <w:t>6</w:t>
      </w:r>
      <w:r w:rsidR="002F3F80" w:rsidRPr="00CC489A">
        <w:rPr>
          <w:rFonts w:ascii="Arial" w:eastAsia="Times New Roman" w:hAnsi="Arial" w:cs="Arial"/>
          <w:b/>
          <w:bCs/>
        </w:rPr>
        <w:t>.1 Overall Attitude towards Disaster Preparedness</w:t>
      </w:r>
    </w:p>
    <w:p w14:paraId="1EA680EB"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The analysis of the overall attitude scores revealed that the mean score of student-teachers was 72.65, which indicates a moderately high level of attitude towards disaster preparedness. This finding suggests that the respondents generally possess a favorable orientation towards disaster-related awareness, preparedness planning, and response strategies. It reflects that the majority of student-teachers recognize the importance of being prepared for unforeseen emergencies and show a positive inclination towards adopting preventive and protective measures in educational settings.</w:t>
      </w:r>
    </w:p>
    <w:p w14:paraId="74AC7D93"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A closer examination of this result indicates that student-teachers are increasingly becoming aware of disaster management concepts due to multiple sources such as curriculum exposure, media coverage, and public awareness initiatives. The integration of disaster-related topics in school and college syllabi, along with frequent reporting of disasters in mass media, appears to have contributed significantly to shaping their perceptions. In addition, social media platforms, government campaigns, and community-based programs have also played a crucial role in enhancing awareness levels among the younger generation,</w:t>
      </w:r>
      <w:r w:rsidR="0013030E">
        <w:rPr>
          <w:rFonts w:ascii="Arial" w:hAnsi="Arial" w:cs="Arial"/>
          <w:sz w:val="20"/>
          <w:szCs w:val="20"/>
        </w:rPr>
        <w:t xml:space="preserve"> including prospective </w:t>
      </w:r>
      <w:r w:rsidR="0013030E" w:rsidRPr="0013030E">
        <w:rPr>
          <w:rFonts w:ascii="Arial" w:hAnsi="Arial" w:cs="Arial"/>
          <w:sz w:val="20"/>
          <w:szCs w:val="20"/>
        </w:rPr>
        <w:t>teachers (UNESCO, 2020).</w:t>
      </w:r>
    </w:p>
    <w:p w14:paraId="185A782D" w14:textId="77777777" w:rsidR="005343D5" w:rsidRPr="009C5475" w:rsidRDefault="005343D5" w:rsidP="00D44222">
      <w:pPr>
        <w:pStyle w:val="NormalWeb"/>
        <w:jc w:val="both"/>
        <w:rPr>
          <w:rFonts w:ascii="Arial" w:hAnsi="Arial" w:cs="Arial"/>
          <w:sz w:val="20"/>
          <w:szCs w:val="20"/>
        </w:rPr>
      </w:pPr>
      <w:r w:rsidRPr="00D44222">
        <w:rPr>
          <w:rFonts w:ascii="Arial" w:hAnsi="Arial" w:cs="Arial"/>
          <w:sz w:val="20"/>
          <w:szCs w:val="20"/>
        </w:rPr>
        <w:t>However, the mean score does not reach the upper limit of the scale, indicating that while attitudes are positive, they are not highly developed. This gap suggests that student-teachers may possess theoretical awareness but may lack adequate practical exposure and experiential learning opportunities. In many cases, knowledge remains confined to textbooks and classroom discussions without sufficient opportunities to apply it in real-life situations. This limitation may reduce their confidence and effectiveness in han</w:t>
      </w:r>
      <w:r w:rsidR="009C5475">
        <w:rPr>
          <w:rFonts w:ascii="Arial" w:hAnsi="Arial" w:cs="Arial"/>
          <w:sz w:val="20"/>
          <w:szCs w:val="20"/>
        </w:rPr>
        <w:t xml:space="preserve">dling actual disaster </w:t>
      </w:r>
      <w:r w:rsidR="009C5475" w:rsidRPr="009C5475">
        <w:rPr>
          <w:rFonts w:ascii="Arial" w:hAnsi="Arial" w:cs="Arial"/>
          <w:sz w:val="20"/>
          <w:szCs w:val="20"/>
        </w:rPr>
        <w:t>scenarios (</w:t>
      </w:r>
      <w:proofErr w:type="spellStart"/>
      <w:r w:rsidR="009C5475" w:rsidRPr="009C5475">
        <w:rPr>
          <w:rFonts w:ascii="Arial" w:hAnsi="Arial" w:cs="Arial"/>
          <w:sz w:val="20"/>
          <w:szCs w:val="20"/>
        </w:rPr>
        <w:t>Kurniawati</w:t>
      </w:r>
      <w:proofErr w:type="spellEnd"/>
      <w:r w:rsidR="009C5475" w:rsidRPr="009C5475">
        <w:rPr>
          <w:rFonts w:ascii="Arial" w:hAnsi="Arial" w:cs="Arial"/>
          <w:sz w:val="20"/>
          <w:szCs w:val="20"/>
        </w:rPr>
        <w:t xml:space="preserve"> &amp; </w:t>
      </w:r>
      <w:proofErr w:type="spellStart"/>
      <w:r w:rsidR="009C5475" w:rsidRPr="009C5475">
        <w:rPr>
          <w:rFonts w:ascii="Arial" w:hAnsi="Arial" w:cs="Arial"/>
          <w:sz w:val="20"/>
          <w:szCs w:val="20"/>
        </w:rPr>
        <w:t>Suwito</w:t>
      </w:r>
      <w:proofErr w:type="spellEnd"/>
      <w:r w:rsidR="009C5475" w:rsidRPr="009C5475">
        <w:rPr>
          <w:rFonts w:ascii="Arial" w:hAnsi="Arial" w:cs="Arial"/>
          <w:sz w:val="20"/>
          <w:szCs w:val="20"/>
        </w:rPr>
        <w:t>, 2023).</w:t>
      </w:r>
    </w:p>
    <w:p w14:paraId="61C10EEB"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Therefore, teacher education programs need to incorporate more hands-on training such as mock drills, emergency simulations, and community engagement activities to strengthen preparedness levels. Exposure to real-life case studies, interaction with disaster management professionals, and participation in awareness campaigns can further enhance their practical understanding. Moreover, integrating interdisciplinary approaches and continuous assessment of preparedness skills can help in transforming positive attitudes into concrete actions, thereby ensuring that future teachers are well-equipped to manage disaster situations effectively and contribute to building safer school environments.</w:t>
      </w:r>
    </w:p>
    <w:p w14:paraId="46662C88" w14:textId="6E2DEEC6" w:rsidR="002F3F80" w:rsidRPr="0013642D" w:rsidRDefault="00E704D7" w:rsidP="002F3F80">
      <w:pPr>
        <w:spacing w:before="100" w:beforeAutospacing="1" w:after="100" w:afterAutospacing="1" w:line="240" w:lineRule="auto"/>
        <w:jc w:val="both"/>
        <w:outlineLvl w:val="3"/>
        <w:rPr>
          <w:rFonts w:ascii="Arial" w:eastAsia="Times New Roman" w:hAnsi="Arial" w:cs="Arial"/>
          <w:b/>
          <w:bCs/>
        </w:rPr>
      </w:pPr>
      <w:r>
        <w:rPr>
          <w:rFonts w:ascii="Arial" w:eastAsia="Times New Roman" w:hAnsi="Arial" w:cs="Arial"/>
          <w:b/>
          <w:bCs/>
        </w:rPr>
        <w:t>6</w:t>
      </w:r>
      <w:r w:rsidR="002F3F80" w:rsidRPr="00CC489A">
        <w:rPr>
          <w:rFonts w:ascii="Arial" w:eastAsia="Times New Roman" w:hAnsi="Arial" w:cs="Arial"/>
          <w:b/>
          <w:bCs/>
        </w:rPr>
        <w:t>.2 Gender-wise Analysis</w:t>
      </w:r>
    </w:p>
    <w:p w14:paraId="58C72B1B" w14:textId="77777777" w:rsidR="002F3F80" w:rsidRPr="0013642D" w:rsidRDefault="002F3F80" w:rsidP="002F3F80">
      <w:pPr>
        <w:spacing w:before="100" w:beforeAutospacing="1" w:after="100" w:afterAutospacing="1" w:line="240" w:lineRule="auto"/>
        <w:jc w:val="both"/>
        <w:rPr>
          <w:rFonts w:ascii="Arial" w:eastAsia="Times New Roman" w:hAnsi="Arial" w:cs="Arial"/>
          <w:sz w:val="20"/>
          <w:szCs w:val="20"/>
        </w:rPr>
      </w:pPr>
      <w:r w:rsidRPr="001A08D0">
        <w:rPr>
          <w:rFonts w:ascii="Arial" w:eastAsia="Times New Roman" w:hAnsi="Arial" w:cs="Arial"/>
          <w:b/>
          <w:bCs/>
          <w:sz w:val="20"/>
          <w:szCs w:val="20"/>
        </w:rPr>
        <w:lastRenderedPageBreak/>
        <w:t>Table 1: Gender-wise Comparison of Attitude towards Disaster Preparedness</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3C1054A7" w14:textId="77777777" w:rsidTr="005C0A2A">
        <w:trPr>
          <w:jc w:val="center"/>
        </w:trPr>
        <w:tc>
          <w:tcPr>
            <w:tcW w:w="1596" w:type="dxa"/>
            <w:vAlign w:val="center"/>
          </w:tcPr>
          <w:p w14:paraId="6BCD928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Gender</w:t>
            </w:r>
          </w:p>
        </w:tc>
        <w:tc>
          <w:tcPr>
            <w:tcW w:w="780" w:type="dxa"/>
            <w:vAlign w:val="center"/>
          </w:tcPr>
          <w:p w14:paraId="487A6E0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1BDCC70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7FCD583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03BE716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73C73551" w14:textId="77777777" w:rsidTr="005C0A2A">
        <w:trPr>
          <w:jc w:val="center"/>
        </w:trPr>
        <w:tc>
          <w:tcPr>
            <w:tcW w:w="1596" w:type="dxa"/>
          </w:tcPr>
          <w:p w14:paraId="598C7045"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Male </w:t>
            </w:r>
          </w:p>
        </w:tc>
        <w:tc>
          <w:tcPr>
            <w:tcW w:w="780" w:type="dxa"/>
            <w:vAlign w:val="center"/>
          </w:tcPr>
          <w:p w14:paraId="7BBBEC9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737061C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71.80</w:t>
            </w:r>
          </w:p>
        </w:tc>
        <w:tc>
          <w:tcPr>
            <w:tcW w:w="2552" w:type="dxa"/>
            <w:vMerge w:val="restart"/>
            <w:vAlign w:val="center"/>
          </w:tcPr>
          <w:p w14:paraId="3963F22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1.10</w:t>
            </w:r>
          </w:p>
        </w:tc>
        <w:tc>
          <w:tcPr>
            <w:tcW w:w="2380" w:type="dxa"/>
            <w:vMerge w:val="restart"/>
            <w:vAlign w:val="center"/>
          </w:tcPr>
          <w:p w14:paraId="4A4C7F94"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3AA62EB6" w14:textId="77777777" w:rsidTr="005C0A2A">
        <w:trPr>
          <w:jc w:val="center"/>
        </w:trPr>
        <w:tc>
          <w:tcPr>
            <w:tcW w:w="1596" w:type="dxa"/>
          </w:tcPr>
          <w:p w14:paraId="3C555B7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Female </w:t>
            </w:r>
          </w:p>
        </w:tc>
        <w:tc>
          <w:tcPr>
            <w:tcW w:w="780" w:type="dxa"/>
            <w:vAlign w:val="center"/>
          </w:tcPr>
          <w:p w14:paraId="31A39604"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6BBED57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73.50</w:t>
            </w:r>
          </w:p>
        </w:tc>
        <w:tc>
          <w:tcPr>
            <w:tcW w:w="2552" w:type="dxa"/>
            <w:vMerge/>
            <w:vAlign w:val="center"/>
          </w:tcPr>
          <w:p w14:paraId="13112BE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14CDEA6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145AC5ED"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The data presented in Table 1 indicate that female student-teachers (Mean = 73.50) have slightly higher attitude scores compared to male student-teachers (Mean = 71.80). Although this difference suggests a marginal variation in perception, the calculated t-value of 1.10 is not statistically significant at the 0.05 level.</w:t>
      </w:r>
    </w:p>
    <w:p w14:paraId="7967C559"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This implies that the observed difference in mean scores is due to random variation rather than any systematic influence of gender. Both male and female student-teachers exhibit similar levels of awareness and positive attitudes towards disaster preparedness.</w:t>
      </w:r>
    </w:p>
    <w:p w14:paraId="1D0AE6A3"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The findings may be attributed to the uniformity in teacher education curricula and equal access to educational resources for both genders. Additionally, increased awareness campaigns and inclusive educational practices have contributed to minimizing gender disparities. This result aligns with recent studies indicating that gender differences in educational attitudes are gradually diminishing due to improved equality in learning opportunities.</w:t>
      </w:r>
    </w:p>
    <w:p w14:paraId="463EC611"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Furthermore, the slight difference observed in favor of female student-teachers may be associated with their relatively higher sensitivity towards safety, care, and social responsibility, which are often emphasized in educational and social contexts. Female students may also demonstrate greater concern for community well-being and risk prevention, which can positively influence their attitudes towards disaster preparedness. However, since the difference is not statistically significant, such interpretations should be viewed with caution.</w:t>
      </w:r>
    </w:p>
    <w:p w14:paraId="7141659F"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It is also important to note that both male and female student-teachers are exposed to similar training environments, instructional strategies, and academic experiences during their B.Ed. program. This shared learning context ensures that both groups develop comparable levels of awareness and preparedness. The absence of significant gender differences indicates that disaster preparedness education is effectively reaching all learners without bias, thereby promoting inclusivity and equal competence among future educators.</w:t>
      </w:r>
    </w:p>
    <w:p w14:paraId="74E470BB" w14:textId="4C505F21" w:rsidR="002F3F80" w:rsidRPr="0013642D" w:rsidRDefault="00E704D7" w:rsidP="002F3F80">
      <w:pPr>
        <w:spacing w:before="100" w:beforeAutospacing="1" w:after="100" w:afterAutospacing="1" w:line="240" w:lineRule="auto"/>
        <w:jc w:val="both"/>
        <w:outlineLvl w:val="3"/>
        <w:rPr>
          <w:rFonts w:ascii="Arial" w:eastAsia="Times New Roman" w:hAnsi="Arial" w:cs="Arial"/>
          <w:b/>
          <w:bCs/>
        </w:rPr>
      </w:pPr>
      <w:r>
        <w:rPr>
          <w:rFonts w:ascii="Arial" w:eastAsia="Times New Roman" w:hAnsi="Arial" w:cs="Arial"/>
          <w:b/>
          <w:bCs/>
        </w:rPr>
        <w:t>6</w:t>
      </w:r>
      <w:r w:rsidR="002F3F80" w:rsidRPr="00CC489A">
        <w:rPr>
          <w:rFonts w:ascii="Arial" w:eastAsia="Times New Roman" w:hAnsi="Arial" w:cs="Arial"/>
          <w:b/>
          <w:bCs/>
        </w:rPr>
        <w:t>.3 Locality-wise Analysis</w:t>
      </w:r>
    </w:p>
    <w:p w14:paraId="7AC5AC64"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2: Locality-wise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1FCAC7DD" w14:textId="77777777" w:rsidTr="005C0A2A">
        <w:trPr>
          <w:jc w:val="center"/>
        </w:trPr>
        <w:tc>
          <w:tcPr>
            <w:tcW w:w="1596" w:type="dxa"/>
            <w:vAlign w:val="center"/>
          </w:tcPr>
          <w:p w14:paraId="0C737F4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Locality </w:t>
            </w:r>
          </w:p>
        </w:tc>
        <w:tc>
          <w:tcPr>
            <w:tcW w:w="780" w:type="dxa"/>
            <w:vAlign w:val="center"/>
          </w:tcPr>
          <w:p w14:paraId="45E67F83"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36B6B1B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19CB726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2CF07525"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4ECCFA38" w14:textId="77777777" w:rsidTr="005C0A2A">
        <w:trPr>
          <w:jc w:val="center"/>
        </w:trPr>
        <w:tc>
          <w:tcPr>
            <w:tcW w:w="1596" w:type="dxa"/>
          </w:tcPr>
          <w:p w14:paraId="41621E5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Rural </w:t>
            </w:r>
          </w:p>
        </w:tc>
        <w:tc>
          <w:tcPr>
            <w:tcW w:w="780" w:type="dxa"/>
            <w:vAlign w:val="center"/>
          </w:tcPr>
          <w:p w14:paraId="6C3293C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6B5CC8A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72.40</w:t>
            </w:r>
          </w:p>
        </w:tc>
        <w:tc>
          <w:tcPr>
            <w:tcW w:w="2552" w:type="dxa"/>
            <w:vMerge w:val="restart"/>
            <w:vAlign w:val="center"/>
          </w:tcPr>
          <w:p w14:paraId="618BB7D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0.78</w:t>
            </w:r>
          </w:p>
        </w:tc>
        <w:tc>
          <w:tcPr>
            <w:tcW w:w="2380" w:type="dxa"/>
            <w:vMerge w:val="restart"/>
            <w:vAlign w:val="center"/>
          </w:tcPr>
          <w:p w14:paraId="4817A97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648BA8B7" w14:textId="77777777" w:rsidTr="005C0A2A">
        <w:trPr>
          <w:jc w:val="center"/>
        </w:trPr>
        <w:tc>
          <w:tcPr>
            <w:tcW w:w="1596" w:type="dxa"/>
          </w:tcPr>
          <w:p w14:paraId="28A814D4"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Urban </w:t>
            </w:r>
          </w:p>
        </w:tc>
        <w:tc>
          <w:tcPr>
            <w:tcW w:w="780" w:type="dxa"/>
            <w:vAlign w:val="center"/>
          </w:tcPr>
          <w:p w14:paraId="5333E4BA"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08DA9A0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73.00</w:t>
            </w:r>
          </w:p>
        </w:tc>
        <w:tc>
          <w:tcPr>
            <w:tcW w:w="2552" w:type="dxa"/>
            <w:vMerge/>
            <w:vAlign w:val="center"/>
          </w:tcPr>
          <w:p w14:paraId="4552B11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106096F3"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5CD45669"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Table 2 shows that urban student-teachers (Mean = 73.00) scored marginally higher than rural student-teachers (Mean = 72.40). However, the difference is very minimal, and the calculated t-value of 0.78 is not statistically significant.</w:t>
      </w:r>
    </w:p>
    <w:p w14:paraId="5903E37E"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lastRenderedPageBreak/>
        <w:t>This result indicates that locality does not have a significant impact on the attitude of student-teachers towards disaster preparedness. The slight difference observed may be due to better access to resources and information in urban areas, but this advantage does not translate into a statistically meaningful difference.</w:t>
      </w:r>
    </w:p>
    <w:p w14:paraId="053B4174"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The absence of locality-based differences suggests that digital media, government initiatives, and standardized curricula have effectively bridged the rural-urban divide. Information related to disaster preparedness is now widely accessible, enabling students from both backgrounds to develop similar levels of awareness and understanding.</w:t>
      </w:r>
    </w:p>
    <w:p w14:paraId="4D4AA91A"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Furthermore, the growing penetration of digital technology, including smartphones and internet connectivity, has played a crucial role in reducing informational disparities between rural and urban areas. Online platforms, educational videos, and awareness campaigns have made disaster-related knowledge easily available to students irrespective of their geographical location. In addition, government-led programs and institutional efforts have ensured that disaster management concepts are uniformly incorporated into teacher education curricula across regions.</w:t>
      </w:r>
    </w:p>
    <w:p w14:paraId="4446197F"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It is also important to consider that rural students may have experiential familiarity with certain types of disasters, such as floods or droughts, which can contribute to their practical understanding of disaster situations. On the other hand, urban students may benefit from better institutional infrastructure and organized training programs. Despite these contextual differences, the overall similarity in attitude scores indicates that both groups are equally prepared at the attitudinal level.</w:t>
      </w:r>
    </w:p>
    <w:p w14:paraId="504CE8D0"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Thus, the findings highlight that locality is no longer a major barrier in shaping attitudes towards disaster preparedness, reflecting a positive trend towards educational equity and balanced awareness among future teachers.</w:t>
      </w:r>
    </w:p>
    <w:p w14:paraId="318C5EF0" w14:textId="37F461D3" w:rsidR="002F3F80" w:rsidRPr="0013642D" w:rsidRDefault="00E704D7" w:rsidP="002F3F80">
      <w:pPr>
        <w:spacing w:before="100" w:beforeAutospacing="1" w:after="100" w:afterAutospacing="1" w:line="240" w:lineRule="auto"/>
        <w:jc w:val="both"/>
        <w:outlineLvl w:val="3"/>
        <w:rPr>
          <w:rFonts w:ascii="Arial" w:eastAsia="Times New Roman" w:hAnsi="Arial" w:cs="Arial"/>
          <w:b/>
          <w:bCs/>
        </w:rPr>
      </w:pPr>
      <w:r>
        <w:rPr>
          <w:rFonts w:ascii="Arial" w:eastAsia="Times New Roman" w:hAnsi="Arial" w:cs="Arial"/>
          <w:b/>
          <w:bCs/>
        </w:rPr>
        <w:t>6</w:t>
      </w:r>
      <w:r w:rsidR="002F3F80" w:rsidRPr="00CC489A">
        <w:rPr>
          <w:rFonts w:ascii="Arial" w:eastAsia="Times New Roman" w:hAnsi="Arial" w:cs="Arial"/>
          <w:b/>
          <w:bCs/>
        </w:rPr>
        <w:t>.4 Parents’ Occupation-wise Analysis</w:t>
      </w:r>
    </w:p>
    <w:p w14:paraId="7122DBD3"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3: Parents’ Occupation-wise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0BCA373C" w14:textId="77777777" w:rsidTr="005C0A2A">
        <w:trPr>
          <w:jc w:val="center"/>
        </w:trPr>
        <w:tc>
          <w:tcPr>
            <w:tcW w:w="1596" w:type="dxa"/>
            <w:vAlign w:val="center"/>
          </w:tcPr>
          <w:p w14:paraId="6158282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Parents occupation </w:t>
            </w:r>
          </w:p>
        </w:tc>
        <w:tc>
          <w:tcPr>
            <w:tcW w:w="780" w:type="dxa"/>
            <w:vAlign w:val="center"/>
          </w:tcPr>
          <w:p w14:paraId="0E098623"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1E6BAD0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23D8D35C"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50313BA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537539E5" w14:textId="77777777" w:rsidTr="005C0A2A">
        <w:trPr>
          <w:jc w:val="center"/>
        </w:trPr>
        <w:tc>
          <w:tcPr>
            <w:tcW w:w="1596" w:type="dxa"/>
          </w:tcPr>
          <w:p w14:paraId="67B5A9CC"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Permanent </w:t>
            </w:r>
          </w:p>
        </w:tc>
        <w:tc>
          <w:tcPr>
            <w:tcW w:w="780" w:type="dxa"/>
            <w:vAlign w:val="center"/>
          </w:tcPr>
          <w:p w14:paraId="3F3FEF5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12CED77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73..80</w:t>
            </w:r>
          </w:p>
        </w:tc>
        <w:tc>
          <w:tcPr>
            <w:tcW w:w="2552" w:type="dxa"/>
            <w:vMerge w:val="restart"/>
            <w:vAlign w:val="center"/>
          </w:tcPr>
          <w:p w14:paraId="242BF24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1.25</w:t>
            </w:r>
          </w:p>
        </w:tc>
        <w:tc>
          <w:tcPr>
            <w:tcW w:w="2380" w:type="dxa"/>
            <w:vMerge w:val="restart"/>
            <w:vAlign w:val="center"/>
          </w:tcPr>
          <w:p w14:paraId="44FA5AA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51DDCFFF" w14:textId="77777777" w:rsidTr="005C0A2A">
        <w:trPr>
          <w:jc w:val="center"/>
        </w:trPr>
        <w:tc>
          <w:tcPr>
            <w:tcW w:w="1596" w:type="dxa"/>
          </w:tcPr>
          <w:p w14:paraId="533AF5FC"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Daily wages</w:t>
            </w:r>
          </w:p>
        </w:tc>
        <w:tc>
          <w:tcPr>
            <w:tcW w:w="780" w:type="dxa"/>
            <w:vAlign w:val="center"/>
          </w:tcPr>
          <w:p w14:paraId="17FB9EB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2B038D1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72.10</w:t>
            </w:r>
          </w:p>
        </w:tc>
        <w:tc>
          <w:tcPr>
            <w:tcW w:w="2552" w:type="dxa"/>
            <w:vMerge/>
            <w:vAlign w:val="center"/>
          </w:tcPr>
          <w:p w14:paraId="4249A72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1E9EEC5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45815648"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The results presented in Table 3 reveal that student-teachers belonging to families with permanent occupations (Mean = 73.80) scored slightly higher than those from daily wage backgrounds (Mean = 72.10). However, the calculated t-value of 1.25 indicates that this difference is not statistically significant.</w:t>
      </w:r>
    </w:p>
    <w:p w14:paraId="0DD7F089"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This finding highlights that socio-economic background, as represented by parents’ occupation, does not significantly influence attitudes towards disaster preparedness. The small variation in mean scores suggests that students from relatively stable economic backgrounds may have slightly better exposure to resources, but this advantage is not strong enough to create a significant difference.</w:t>
      </w:r>
    </w:p>
    <w:p w14:paraId="30336C38"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Importantly, this result reflects the role of education as an equalizing force. Teacher education programs appear to provide uniform learning experiences that help students from diverse socio-economic backgrounds develop similar levels of awareness and preparedness attitudes.</w:t>
      </w:r>
    </w:p>
    <w:p w14:paraId="3FCB7FE1"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 xml:space="preserve">Furthermore, it can be inferred that institutional support, curriculum design, and classroom interactions play a more decisive role in shaping attitudes than family background. Even students from economically </w:t>
      </w:r>
      <w:r w:rsidRPr="00CF4C5B">
        <w:rPr>
          <w:rFonts w:ascii="Arial" w:hAnsi="Arial" w:cs="Arial"/>
          <w:sz w:val="20"/>
          <w:szCs w:val="20"/>
        </w:rPr>
        <w:lastRenderedPageBreak/>
        <w:t>weaker sections are able to access essential information through formal education, peer learning, and digital resources. Scholarships, government schemes, and inclusive educational practices may also contribute to minimizing disparities among students from different socio-economic groups.</w:t>
      </w:r>
    </w:p>
    <w:p w14:paraId="7CF5A4EA"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In addition, exposure to real-life challenges faced by students from daily wage families may enhance their resilience and adaptability, which are important components of disaster preparedness. Conversely, students from more stable backgrounds may benefit from better access to learning materials and support systems. Despite these contextual differences, the similarity in attitude scores indicates that both groups are equally capable of developing a positive outlook towards disaster preparedness.</w:t>
      </w:r>
    </w:p>
    <w:p w14:paraId="76C49E77"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Thus, the findings reaffirm that socio-economic differences do not create substantial barriers in shaping attitudes, highlighting the effectiveness of teacher education programs in promoting equality and inclusiveness.</w:t>
      </w:r>
    </w:p>
    <w:p w14:paraId="70002600" w14:textId="4D60B6C6" w:rsidR="002F3F80" w:rsidRPr="0013642D" w:rsidRDefault="00E704D7" w:rsidP="002F3F80">
      <w:pPr>
        <w:spacing w:before="100" w:beforeAutospacing="1" w:after="100" w:afterAutospacing="1" w:line="240" w:lineRule="auto"/>
        <w:jc w:val="both"/>
        <w:outlineLvl w:val="3"/>
        <w:rPr>
          <w:rFonts w:ascii="Arial" w:eastAsia="Times New Roman" w:hAnsi="Arial" w:cs="Arial"/>
          <w:b/>
          <w:bCs/>
        </w:rPr>
      </w:pPr>
      <w:r>
        <w:rPr>
          <w:rFonts w:ascii="Arial" w:eastAsia="Times New Roman" w:hAnsi="Arial" w:cs="Arial"/>
          <w:b/>
          <w:bCs/>
        </w:rPr>
        <w:t>6</w:t>
      </w:r>
      <w:r w:rsidR="002F3F80" w:rsidRPr="00CC489A">
        <w:rPr>
          <w:rFonts w:ascii="Arial" w:eastAsia="Times New Roman" w:hAnsi="Arial" w:cs="Arial"/>
          <w:b/>
          <w:bCs/>
        </w:rPr>
        <w:t>.5 Year of Study-wise Analysis</w:t>
      </w:r>
    </w:p>
    <w:p w14:paraId="50BEC80F"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4: Year of Study-wise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02C421A5" w14:textId="77777777" w:rsidTr="005C0A2A">
        <w:trPr>
          <w:jc w:val="center"/>
        </w:trPr>
        <w:tc>
          <w:tcPr>
            <w:tcW w:w="1596" w:type="dxa"/>
            <w:vAlign w:val="center"/>
          </w:tcPr>
          <w:p w14:paraId="420DBD3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Year of study </w:t>
            </w:r>
          </w:p>
        </w:tc>
        <w:tc>
          <w:tcPr>
            <w:tcW w:w="780" w:type="dxa"/>
            <w:vAlign w:val="center"/>
          </w:tcPr>
          <w:p w14:paraId="2421CC8A"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3FB09BE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7558E718"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6EA6742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37722B39" w14:textId="77777777" w:rsidTr="005C0A2A">
        <w:trPr>
          <w:jc w:val="center"/>
        </w:trPr>
        <w:tc>
          <w:tcPr>
            <w:tcW w:w="1596" w:type="dxa"/>
          </w:tcPr>
          <w:p w14:paraId="394B6014"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First year</w:t>
            </w:r>
          </w:p>
        </w:tc>
        <w:tc>
          <w:tcPr>
            <w:tcW w:w="780" w:type="dxa"/>
            <w:vAlign w:val="center"/>
          </w:tcPr>
          <w:p w14:paraId="1BB1AE65"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0A7C1BF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72.60</w:t>
            </w:r>
          </w:p>
        </w:tc>
        <w:tc>
          <w:tcPr>
            <w:tcW w:w="2552" w:type="dxa"/>
            <w:vMerge w:val="restart"/>
            <w:vAlign w:val="center"/>
          </w:tcPr>
          <w:p w14:paraId="564A240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0.69</w:t>
            </w:r>
          </w:p>
        </w:tc>
        <w:tc>
          <w:tcPr>
            <w:tcW w:w="2380" w:type="dxa"/>
            <w:vMerge w:val="restart"/>
            <w:vAlign w:val="center"/>
          </w:tcPr>
          <w:p w14:paraId="7554209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039298E5" w14:textId="77777777" w:rsidTr="005C0A2A">
        <w:trPr>
          <w:jc w:val="center"/>
        </w:trPr>
        <w:tc>
          <w:tcPr>
            <w:tcW w:w="1596" w:type="dxa"/>
          </w:tcPr>
          <w:p w14:paraId="31F10DB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roofErr w:type="gramStart"/>
            <w:r w:rsidRPr="008A4005">
              <w:rPr>
                <w:rFonts w:ascii="Arial" w:eastAsia="Times New Roman" w:hAnsi="Arial" w:cs="Arial"/>
                <w:bCs/>
                <w:sz w:val="20"/>
                <w:szCs w:val="20"/>
              </w:rPr>
              <w:t>Second  year</w:t>
            </w:r>
            <w:proofErr w:type="gramEnd"/>
          </w:p>
        </w:tc>
        <w:tc>
          <w:tcPr>
            <w:tcW w:w="780" w:type="dxa"/>
            <w:vAlign w:val="center"/>
          </w:tcPr>
          <w:p w14:paraId="07A8D1F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728AF2EC"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73.20</w:t>
            </w:r>
          </w:p>
        </w:tc>
        <w:tc>
          <w:tcPr>
            <w:tcW w:w="2552" w:type="dxa"/>
            <w:vMerge/>
            <w:vAlign w:val="center"/>
          </w:tcPr>
          <w:p w14:paraId="579648E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3B77F22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2A0035ED"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Table 4 indicates that second-year student-teachers (Mean = 73.20) have slightly higher attitude scores compared to first-year students (Mean = 72.60). However, the calculated t-value of 0.69 is not statistically significant.</w:t>
      </w:r>
    </w:p>
    <w:p w14:paraId="6521896E"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This suggests that the duration of study in the B.Ed. program does not significantly influence attitudes towards disaster preparedness. The minimal difference observed may be due to gradual exposure to course content, but it is not substantial enough to indicate a strong effect.</w:t>
      </w:r>
    </w:p>
    <w:p w14:paraId="52A233FA"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This finding implies that disaster preparedness concepts may already be introduced at the early stages of the program and are consistently reinforced. However, it also indicates the need for more progressive and advanced training modules in later stages to enhance students’ preparedness further.</w:t>
      </w:r>
    </w:p>
    <w:p w14:paraId="33B0D0B1"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Furthermore, the slight increase in mean score among second-year students may reflect their relatively greater exposure to teaching practice, field experiences, and academic discussions related to real-life classroom situations. These experiences may contribute to a better understanding of the practical implications of disaster preparedness in school settings. However, since the difference is not statistically significant, it suggests that such exposure is either limited or not sufficiently structured to create a substantial impact.</w:t>
      </w:r>
    </w:p>
    <w:p w14:paraId="2142EC19"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It is also possible that the curriculum does not differentiate significantly between the two years in terms of disaster preparedness content, resulting in similar levels of awareness among both groups. Therefore, there is a need to design a more sequential and developmental approach in the curriculum, where basic concepts are introduced in the first year and advanced practical training is emphasized in the second year.</w:t>
      </w:r>
    </w:p>
    <w:p w14:paraId="1F682DBC"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 xml:space="preserve">Incorporating workshops, field visits, internships, and collaboration with disaster management agencies in the later stages of the program can further enhance the preparedness levels of student-teachers. Such </w:t>
      </w:r>
      <w:r w:rsidRPr="00D36111">
        <w:rPr>
          <w:rFonts w:ascii="Arial" w:hAnsi="Arial" w:cs="Arial"/>
          <w:sz w:val="20"/>
          <w:szCs w:val="20"/>
        </w:rPr>
        <w:lastRenderedPageBreak/>
        <w:t>initiatives would ensure that the slight differences observed translate into meaningful and measurable improvements in attitudes and competencies.</w:t>
      </w:r>
    </w:p>
    <w:p w14:paraId="7AAF570A" w14:textId="3A349369" w:rsidR="008135F4" w:rsidRPr="008135F4" w:rsidRDefault="00E704D7" w:rsidP="008135F4">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6</w:t>
      </w:r>
      <w:r w:rsidR="008135F4" w:rsidRPr="008135F4">
        <w:rPr>
          <w:rFonts w:ascii="Arial" w:eastAsia="Times New Roman" w:hAnsi="Arial" w:cs="Arial"/>
          <w:b/>
          <w:bCs/>
          <w:sz w:val="20"/>
          <w:szCs w:val="20"/>
        </w:rPr>
        <w:t>.6 Integrated Discussion</w:t>
      </w:r>
    </w:p>
    <w:p w14:paraId="33AB215B"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The overall analysis of results reveals a consistent pattern across all demographic variables. None of the variables—gender, locality, parents’ occupation, or year of study—show a statistically significant influence on the attitude of student-teachers towards disaster preparedness.</w:t>
      </w:r>
    </w:p>
    <w:p w14:paraId="472B6A50"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This uniformity is a positive indicator of the effectiveness of teacher education programs in delivering equitable learning experiences. It suggests that the curriculum, teaching methods, and institutional practices are inclusive and capable of addressing the needs of diverse student groups. The absence of significant differences also indicates that opportunities for learning and exposure to disaster preparedness concepts are fairly distributed among student-teachers, regardless of their background characteristics.</w:t>
      </w:r>
    </w:p>
    <w:p w14:paraId="679A5920"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At the same time, the moderately high level of attitude indicates that while awareness exists, there is room for further enhancement. The findings emphasize the need to move beyond theoretical instruction and focus on experiential and skill-based learning. Practical training, community involvement, and real-life simulations can significantly improve preparedness levels.</w:t>
      </w:r>
    </w:p>
    <w:p w14:paraId="275A0734"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In addition, it is important to recognize that attitude alone does not guarantee effective action during disaster situations. The transformation of positive attitudes into competent behavior requires continuous practice, reinforcement, and exposure to real-world challenges. Therefore, teacher education institutions must create structured opportunities for students to actively participate in disaster management activities, such as awareness campaigns, mock drills, and collaborative projects with local authorities.</w:t>
      </w:r>
    </w:p>
    <w:p w14:paraId="43D322EB"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The results also align with contemporary research that highlights the importance of structured educational interventions in reducing disparities and promoting uniform awareness. Furthermore, the findings suggest that standardized curricula and institutional support systems play a crucial role in ensuring consistency in learning outcomes. By incorporating interdisciplinary approaches and integrating disaster preparedness across various subjects, teacher education programs can further strengthen students’ understanding and engagement.</w:t>
      </w:r>
    </w:p>
    <w:p w14:paraId="15EF60B9"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Thus, strengthening disaster preparedness education within teacher training programs can play a vital role in building resilient communities. It not only prepares future teachers to respond effectively in emergencies but also empowers them to educate and guide students in developing a culture of safety, responsibility, and preparedness in society.</w:t>
      </w:r>
    </w:p>
    <w:p w14:paraId="1B5E5A66" w14:textId="6524CE56" w:rsidR="008135F4" w:rsidRPr="008135F4" w:rsidRDefault="00E704D7" w:rsidP="008135F4">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7</w:t>
      </w:r>
      <w:r w:rsidR="008135F4" w:rsidRPr="008135F4">
        <w:rPr>
          <w:rFonts w:ascii="Arial" w:eastAsia="Times New Roman" w:hAnsi="Arial" w:cs="Arial"/>
          <w:b/>
          <w:bCs/>
          <w:sz w:val="20"/>
          <w:szCs w:val="20"/>
        </w:rPr>
        <w:t>. Educational Implications</w:t>
      </w:r>
    </w:p>
    <w:p w14:paraId="0DBEAF95" w14:textId="77777777" w:rsidR="001D1C9C" w:rsidRPr="001D1C9C" w:rsidRDefault="001D1C9C" w:rsidP="001D1C9C">
      <w:pPr>
        <w:pStyle w:val="NormalWeb"/>
        <w:jc w:val="both"/>
        <w:rPr>
          <w:rFonts w:ascii="Arial" w:hAnsi="Arial" w:cs="Arial"/>
          <w:sz w:val="20"/>
          <w:szCs w:val="20"/>
        </w:rPr>
      </w:pPr>
      <w:r w:rsidRPr="001D1C9C">
        <w:rPr>
          <w:rFonts w:ascii="Arial" w:hAnsi="Arial" w:cs="Arial"/>
          <w:sz w:val="20"/>
          <w:szCs w:val="20"/>
        </w:rPr>
        <w:t>The findings suggest that disaster preparedness education should be strengthened within teacher training programs. Greater emphasis should be placed on experiential learning approaches such as simulations, mock drills, and field activities. Teacher educators must integrate disaster-related topics across subjects to ensure continuous reinforcement.</w:t>
      </w:r>
    </w:p>
    <w:p w14:paraId="6762A744" w14:textId="77777777" w:rsidR="001D1C9C" w:rsidRPr="001D1C9C" w:rsidRDefault="001D1C9C" w:rsidP="001D1C9C">
      <w:pPr>
        <w:pStyle w:val="NormalWeb"/>
        <w:jc w:val="both"/>
        <w:rPr>
          <w:rFonts w:ascii="Arial" w:hAnsi="Arial" w:cs="Arial"/>
          <w:sz w:val="20"/>
          <w:szCs w:val="20"/>
        </w:rPr>
      </w:pPr>
      <w:r w:rsidRPr="001D1C9C">
        <w:rPr>
          <w:rFonts w:ascii="Arial" w:hAnsi="Arial" w:cs="Arial"/>
          <w:sz w:val="20"/>
          <w:szCs w:val="20"/>
        </w:rPr>
        <w:t>In addition, structured workshops, seminars, and interaction sessions with disaster management professionals can further enhance the practical understanding of student-teachers. Institutions should also collaborate with local authorities and emergency response agencies to provide real-life exposure and hands-on experience. Incorporating technology-based learning tools, such as virtual simulations and digital modules, can make disaster preparedness education more engaging and effective. Continuous assessment and feedback mechanisms should also be implemented to evaluate the preparedness levels of student-teachers and ensure that learning outcomes are achieved effectively.</w:t>
      </w:r>
    </w:p>
    <w:p w14:paraId="4EB7C820" w14:textId="0F33CA21" w:rsidR="008135F4" w:rsidRPr="008135F4" w:rsidRDefault="00E704D7" w:rsidP="008135F4">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lastRenderedPageBreak/>
        <w:t>8</w:t>
      </w:r>
      <w:bookmarkStart w:id="0" w:name="_GoBack"/>
      <w:bookmarkEnd w:id="0"/>
      <w:r w:rsidR="008135F4" w:rsidRPr="008135F4">
        <w:rPr>
          <w:rFonts w:ascii="Arial" w:eastAsia="Times New Roman" w:hAnsi="Arial" w:cs="Arial"/>
          <w:b/>
          <w:bCs/>
          <w:sz w:val="20"/>
          <w:szCs w:val="20"/>
        </w:rPr>
        <w:t>. Conclusion</w:t>
      </w:r>
    </w:p>
    <w:p w14:paraId="7B854718" w14:textId="77777777" w:rsidR="00E46761" w:rsidRPr="00E46761" w:rsidRDefault="00E46761" w:rsidP="00E46761">
      <w:pPr>
        <w:pStyle w:val="NormalWeb"/>
        <w:jc w:val="both"/>
        <w:rPr>
          <w:rFonts w:ascii="Arial" w:hAnsi="Arial" w:cs="Arial"/>
          <w:sz w:val="20"/>
          <w:szCs w:val="20"/>
        </w:rPr>
      </w:pPr>
      <w:r w:rsidRPr="00E46761">
        <w:rPr>
          <w:rFonts w:ascii="Arial" w:hAnsi="Arial" w:cs="Arial"/>
          <w:sz w:val="20"/>
          <w:szCs w:val="20"/>
        </w:rPr>
        <w:t>The study concludes that B.Ed. student-teachers possess a moderately high level of attitude towards disaster preparedness. The absence of significant differences across demographic variables indicates that teacher education programs are effective in providing uniform awareness. However, there is a need to enhance practical competencies to ensure effective disaster risk reduction in educational settings.</w:t>
      </w:r>
    </w:p>
    <w:p w14:paraId="43054AE5" w14:textId="77777777" w:rsidR="00E46761" w:rsidRDefault="00E46761" w:rsidP="00E46761">
      <w:pPr>
        <w:pStyle w:val="NormalWeb"/>
        <w:jc w:val="both"/>
        <w:rPr>
          <w:rFonts w:ascii="Arial" w:hAnsi="Arial" w:cs="Arial"/>
          <w:sz w:val="20"/>
          <w:szCs w:val="20"/>
        </w:rPr>
      </w:pPr>
      <w:r w:rsidRPr="00E46761">
        <w:rPr>
          <w:rFonts w:ascii="Arial" w:hAnsi="Arial" w:cs="Arial"/>
          <w:sz w:val="20"/>
          <w:szCs w:val="20"/>
        </w:rPr>
        <w:t>To achieve this, teacher education programs should incorporate more hands-on training, including regular mock drills, emergency simulations, and community-based disaster management activities. Encouraging collaboration with local disaster response agencies can provide real-world exposure and improve problem-solving skills during emergencies. Additionally, integrating technology-assisted learning tools, such as virtual simulations and interactive modules, can further strengthen preparedness. Continuous evaluation, feedback, and reflective practices can help monitor progress and ensure that student-teachers are not only aware of disaster management principles but are also capable of implementing effective response strate</w:t>
      </w:r>
      <w:r w:rsidR="00545A22">
        <w:rPr>
          <w:rFonts w:ascii="Arial" w:hAnsi="Arial" w:cs="Arial"/>
          <w:sz w:val="20"/>
          <w:szCs w:val="20"/>
        </w:rPr>
        <w:t>gies in schools and communities</w:t>
      </w:r>
      <w:r w:rsidR="00545A22" w:rsidRPr="00545A22">
        <w:t xml:space="preserve"> </w:t>
      </w:r>
      <w:r w:rsidR="00545A22" w:rsidRPr="00545A22">
        <w:rPr>
          <w:rFonts w:ascii="Arial" w:hAnsi="Arial" w:cs="Arial"/>
          <w:sz w:val="20"/>
          <w:szCs w:val="20"/>
        </w:rPr>
        <w:t>(</w:t>
      </w:r>
      <w:proofErr w:type="spellStart"/>
      <w:r w:rsidR="00545A22" w:rsidRPr="00545A22">
        <w:rPr>
          <w:rFonts w:ascii="Arial" w:hAnsi="Arial" w:cs="Arial"/>
          <w:sz w:val="20"/>
          <w:szCs w:val="20"/>
        </w:rPr>
        <w:t>Seddighi</w:t>
      </w:r>
      <w:proofErr w:type="spellEnd"/>
      <w:r w:rsidR="00545A22" w:rsidRPr="00545A22">
        <w:rPr>
          <w:rFonts w:ascii="Arial" w:hAnsi="Arial" w:cs="Arial"/>
          <w:sz w:val="20"/>
          <w:szCs w:val="20"/>
        </w:rPr>
        <w:t xml:space="preserve"> et al., 2023)</w:t>
      </w:r>
    </w:p>
    <w:p w14:paraId="2C0DB86C" w14:textId="77777777" w:rsidR="005B46B1" w:rsidRPr="008E7B85" w:rsidRDefault="005B46B1" w:rsidP="005B46B1">
      <w:pPr>
        <w:rPr>
          <w:b/>
        </w:rPr>
      </w:pPr>
      <w:r w:rsidRPr="008E7B85">
        <w:rPr>
          <w:b/>
        </w:rPr>
        <w:t xml:space="preserve">Consent </w:t>
      </w:r>
    </w:p>
    <w:p w14:paraId="2568CF78" w14:textId="77777777" w:rsidR="005B46B1" w:rsidRPr="008E7B85" w:rsidRDefault="005B46B1" w:rsidP="005B46B1">
      <w:r w:rsidRPr="008E7B85">
        <w:t>As per international standard</w:t>
      </w:r>
      <w:r>
        <w:t>s</w:t>
      </w:r>
      <w:r w:rsidRPr="008E7B85">
        <w:t xml:space="preserve"> or university standard</w:t>
      </w:r>
      <w:r>
        <w:t>s</w:t>
      </w:r>
      <w:r w:rsidRPr="008E7B85">
        <w:rPr>
          <w:highlight w:val="yellow"/>
        </w:rPr>
        <w:t>, respondents’ written</w:t>
      </w:r>
      <w:r w:rsidRPr="008E7B85">
        <w:t xml:space="preserve"> consent has been collected and preserved by the author(s).</w:t>
      </w:r>
    </w:p>
    <w:p w14:paraId="0234760E" w14:textId="77777777" w:rsidR="005B46B1" w:rsidRDefault="005B46B1" w:rsidP="007B715F">
      <w:pPr>
        <w:pStyle w:val="NormalWeb"/>
        <w:jc w:val="both"/>
        <w:rPr>
          <w:rFonts w:ascii="Arial" w:hAnsi="Arial" w:cs="Arial"/>
          <w:sz w:val="20"/>
          <w:szCs w:val="20"/>
        </w:rPr>
      </w:pPr>
    </w:p>
    <w:p w14:paraId="42C7FE01" w14:textId="77777777" w:rsidR="005B46B1" w:rsidRDefault="005B46B1" w:rsidP="007B715F">
      <w:pPr>
        <w:pStyle w:val="NormalWeb"/>
        <w:jc w:val="both"/>
        <w:rPr>
          <w:rFonts w:ascii="Arial" w:hAnsi="Arial" w:cs="Arial"/>
          <w:sz w:val="20"/>
          <w:szCs w:val="20"/>
        </w:rPr>
      </w:pPr>
    </w:p>
    <w:p w14:paraId="3D1711AD" w14:textId="0ED95614" w:rsidR="007B715F" w:rsidRPr="007B715F" w:rsidRDefault="007B715F" w:rsidP="007B715F">
      <w:pPr>
        <w:pStyle w:val="NormalWeb"/>
        <w:jc w:val="both"/>
        <w:rPr>
          <w:rFonts w:ascii="Arial" w:hAnsi="Arial" w:cs="Arial"/>
          <w:sz w:val="20"/>
          <w:szCs w:val="20"/>
        </w:rPr>
      </w:pPr>
      <w:r w:rsidRPr="007B715F">
        <w:rPr>
          <w:rFonts w:ascii="Arial" w:hAnsi="Arial" w:cs="Arial"/>
          <w:sz w:val="20"/>
          <w:szCs w:val="20"/>
        </w:rPr>
        <w:t>COMPETING INTERESTS DISCLAIMER:</w:t>
      </w:r>
    </w:p>
    <w:p w14:paraId="390DF590" w14:textId="77777777" w:rsidR="007B715F" w:rsidRDefault="007B715F" w:rsidP="007B715F">
      <w:pPr>
        <w:pStyle w:val="NormalWeb"/>
        <w:jc w:val="both"/>
        <w:rPr>
          <w:rFonts w:ascii="Arial" w:hAnsi="Arial" w:cs="Arial"/>
          <w:sz w:val="20"/>
          <w:szCs w:val="20"/>
        </w:rPr>
      </w:pPr>
      <w:r w:rsidRPr="007B715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7925560" w14:textId="77777777" w:rsidR="003416EB" w:rsidRDefault="003416EB" w:rsidP="007B715F">
      <w:pPr>
        <w:pStyle w:val="NormalWeb"/>
        <w:jc w:val="both"/>
        <w:rPr>
          <w:rFonts w:ascii="Arial" w:hAnsi="Arial" w:cs="Arial"/>
          <w:sz w:val="20"/>
          <w:szCs w:val="20"/>
        </w:rPr>
      </w:pPr>
    </w:p>
    <w:p w14:paraId="73E22953" w14:textId="77777777" w:rsidR="003416EB" w:rsidRPr="003416EB" w:rsidRDefault="003416EB" w:rsidP="003416EB">
      <w:pPr>
        <w:spacing w:after="0" w:line="240" w:lineRule="auto"/>
        <w:rPr>
          <w:rFonts w:ascii="Times New Roman" w:eastAsia="Calibri" w:hAnsi="Times New Roman" w:cs="Times New Roman"/>
          <w:kern w:val="2"/>
          <w:highlight w:val="yellow"/>
        </w:rPr>
      </w:pPr>
      <w:bookmarkStart w:id="1" w:name="_Hlk198031404"/>
      <w:bookmarkStart w:id="2" w:name="_Hlk219125673"/>
      <w:r w:rsidRPr="003416EB">
        <w:rPr>
          <w:rFonts w:ascii="Times New Roman" w:eastAsia="Calibri" w:hAnsi="Times New Roman" w:cs="Times New Roman"/>
          <w:kern w:val="2"/>
          <w:highlight w:val="yellow"/>
        </w:rPr>
        <w:t>Disclaimer (Artificial intelligence)</w:t>
      </w:r>
    </w:p>
    <w:p w14:paraId="4658531B" w14:textId="77777777" w:rsidR="003416EB" w:rsidRPr="003416EB" w:rsidRDefault="003416EB" w:rsidP="003416EB">
      <w:pPr>
        <w:spacing w:after="0" w:line="240" w:lineRule="auto"/>
        <w:rPr>
          <w:rFonts w:ascii="Times New Roman" w:eastAsia="Calibri" w:hAnsi="Times New Roman" w:cs="Times New Roman"/>
          <w:kern w:val="2"/>
          <w:highlight w:val="yellow"/>
        </w:rPr>
      </w:pPr>
    </w:p>
    <w:p w14:paraId="457919AF" w14:textId="77777777" w:rsidR="003416EB" w:rsidRPr="003416EB" w:rsidRDefault="003416EB" w:rsidP="003416EB">
      <w:pPr>
        <w:spacing w:after="0" w:line="240" w:lineRule="auto"/>
        <w:rPr>
          <w:rFonts w:ascii="Times New Roman" w:eastAsia="Calibri" w:hAnsi="Times New Roman" w:cs="Times New Roman"/>
          <w:kern w:val="2"/>
          <w:highlight w:val="yellow"/>
        </w:rPr>
      </w:pPr>
      <w:r w:rsidRPr="003416E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1DB3779" w14:textId="77777777" w:rsidR="003416EB" w:rsidRPr="003416EB" w:rsidRDefault="003416EB" w:rsidP="003416EB">
      <w:pPr>
        <w:rPr>
          <w:rFonts w:eastAsiaTheme="minorHAnsi"/>
          <w:sz w:val="28"/>
        </w:rPr>
      </w:pPr>
    </w:p>
    <w:bookmarkEnd w:id="2"/>
    <w:p w14:paraId="61EC022F" w14:textId="77777777" w:rsidR="003416EB" w:rsidRPr="00E46761" w:rsidRDefault="003416EB" w:rsidP="007B715F">
      <w:pPr>
        <w:pStyle w:val="NormalWeb"/>
        <w:jc w:val="both"/>
        <w:rPr>
          <w:rFonts w:ascii="Arial" w:hAnsi="Arial" w:cs="Arial"/>
          <w:sz w:val="20"/>
          <w:szCs w:val="20"/>
        </w:rPr>
      </w:pPr>
    </w:p>
    <w:p w14:paraId="361CAE20" w14:textId="77777777" w:rsidR="0020498A" w:rsidRPr="0013642D" w:rsidRDefault="0020498A" w:rsidP="0020498A">
      <w:pPr>
        <w:spacing w:before="100" w:beforeAutospacing="1" w:after="100" w:afterAutospacing="1" w:line="240" w:lineRule="auto"/>
        <w:jc w:val="both"/>
        <w:outlineLvl w:val="2"/>
        <w:rPr>
          <w:rFonts w:ascii="Arial" w:eastAsia="Times New Roman" w:hAnsi="Arial" w:cs="Arial"/>
          <w:b/>
          <w:bCs/>
        </w:rPr>
      </w:pPr>
      <w:r w:rsidRPr="00CC489A">
        <w:rPr>
          <w:rFonts w:ascii="Arial" w:eastAsia="Times New Roman" w:hAnsi="Arial" w:cs="Arial"/>
          <w:b/>
          <w:bCs/>
        </w:rPr>
        <w:t>References</w:t>
      </w:r>
    </w:p>
    <w:p w14:paraId="0550CE6E"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Johnson, V. A., Ronan, K. R., Johnston, D. M., &amp; Peace, R. (2021). Evaluations of disaster education programs. </w:t>
      </w:r>
      <w:r w:rsidRPr="001A08D0">
        <w:rPr>
          <w:rFonts w:ascii="Arial" w:eastAsia="Times New Roman" w:hAnsi="Arial" w:cs="Arial"/>
          <w:i/>
          <w:iCs/>
          <w:sz w:val="20"/>
          <w:szCs w:val="20"/>
        </w:rPr>
        <w:t>International Journal of Disaster Risk Reduction, 50</w:t>
      </w:r>
      <w:r w:rsidRPr="0013642D">
        <w:rPr>
          <w:rFonts w:ascii="Arial" w:eastAsia="Times New Roman" w:hAnsi="Arial" w:cs="Arial"/>
          <w:sz w:val="20"/>
          <w:szCs w:val="20"/>
        </w:rPr>
        <w:t>, 101741.</w:t>
      </w:r>
    </w:p>
    <w:p w14:paraId="080C0C69"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Rahiem, M. D. H. (2021). Disaster preparedness education in schools. </w:t>
      </w:r>
      <w:r w:rsidRPr="001A08D0">
        <w:rPr>
          <w:rFonts w:ascii="Arial" w:eastAsia="Times New Roman" w:hAnsi="Arial" w:cs="Arial"/>
          <w:i/>
          <w:iCs/>
          <w:sz w:val="20"/>
          <w:szCs w:val="20"/>
        </w:rPr>
        <w:t>International Journal of Disaster Risk Reduction, 53</w:t>
      </w:r>
      <w:r w:rsidRPr="0013642D">
        <w:rPr>
          <w:rFonts w:ascii="Arial" w:eastAsia="Times New Roman" w:hAnsi="Arial" w:cs="Arial"/>
          <w:sz w:val="20"/>
          <w:szCs w:val="20"/>
        </w:rPr>
        <w:t>, 101989.</w:t>
      </w:r>
    </w:p>
    <w:p w14:paraId="5144BF55"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proofErr w:type="spellStart"/>
      <w:r w:rsidRPr="0013642D">
        <w:rPr>
          <w:rFonts w:ascii="Arial" w:eastAsia="Times New Roman" w:hAnsi="Arial" w:cs="Arial"/>
          <w:sz w:val="20"/>
          <w:szCs w:val="20"/>
        </w:rPr>
        <w:t>Seddighi</w:t>
      </w:r>
      <w:proofErr w:type="spellEnd"/>
      <w:r w:rsidRPr="0013642D">
        <w:rPr>
          <w:rFonts w:ascii="Arial" w:eastAsia="Times New Roman" w:hAnsi="Arial" w:cs="Arial"/>
          <w:sz w:val="20"/>
          <w:szCs w:val="20"/>
        </w:rPr>
        <w:t xml:space="preserve">, H., Salmani, I., &amp; Javadi, M. H. (2023). School-based disaster preparedness: A systematic review. </w:t>
      </w:r>
      <w:r w:rsidRPr="001A08D0">
        <w:rPr>
          <w:rFonts w:ascii="Arial" w:eastAsia="Times New Roman" w:hAnsi="Arial" w:cs="Arial"/>
          <w:i/>
          <w:iCs/>
          <w:sz w:val="20"/>
          <w:szCs w:val="20"/>
        </w:rPr>
        <w:t>International Journal of Disaster Risk Reduction, 85</w:t>
      </w:r>
      <w:r w:rsidRPr="0013642D">
        <w:rPr>
          <w:rFonts w:ascii="Arial" w:eastAsia="Times New Roman" w:hAnsi="Arial" w:cs="Arial"/>
          <w:sz w:val="20"/>
          <w:szCs w:val="20"/>
        </w:rPr>
        <w:t>, 103456.</w:t>
      </w:r>
    </w:p>
    <w:p w14:paraId="556CF9A4"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proofErr w:type="spellStart"/>
      <w:r w:rsidRPr="0013642D">
        <w:rPr>
          <w:rFonts w:ascii="Arial" w:eastAsia="Times New Roman" w:hAnsi="Arial" w:cs="Arial"/>
          <w:sz w:val="20"/>
          <w:szCs w:val="20"/>
        </w:rPr>
        <w:lastRenderedPageBreak/>
        <w:t>Kurniawati</w:t>
      </w:r>
      <w:proofErr w:type="spellEnd"/>
      <w:r w:rsidRPr="0013642D">
        <w:rPr>
          <w:rFonts w:ascii="Arial" w:eastAsia="Times New Roman" w:hAnsi="Arial" w:cs="Arial"/>
          <w:sz w:val="20"/>
          <w:szCs w:val="20"/>
        </w:rPr>
        <w:t>, D., &amp;</w:t>
      </w:r>
      <w:proofErr w:type="spellStart"/>
      <w:r w:rsidRPr="0013642D">
        <w:rPr>
          <w:rFonts w:ascii="Arial" w:eastAsia="Times New Roman" w:hAnsi="Arial" w:cs="Arial"/>
          <w:sz w:val="20"/>
          <w:szCs w:val="20"/>
        </w:rPr>
        <w:t>Suwito</w:t>
      </w:r>
      <w:proofErr w:type="spellEnd"/>
      <w:r w:rsidRPr="0013642D">
        <w:rPr>
          <w:rFonts w:ascii="Arial" w:eastAsia="Times New Roman" w:hAnsi="Arial" w:cs="Arial"/>
          <w:sz w:val="20"/>
          <w:szCs w:val="20"/>
        </w:rPr>
        <w:t xml:space="preserve">, S. (2023). Disaster education and student preparedness behavior. </w:t>
      </w:r>
      <w:r w:rsidRPr="001A08D0">
        <w:rPr>
          <w:rFonts w:ascii="Arial" w:eastAsia="Times New Roman" w:hAnsi="Arial" w:cs="Arial"/>
          <w:i/>
          <w:iCs/>
          <w:sz w:val="20"/>
          <w:szCs w:val="20"/>
        </w:rPr>
        <w:t>Sustainability, 15</w:t>
      </w:r>
      <w:r w:rsidRPr="0013642D">
        <w:rPr>
          <w:rFonts w:ascii="Arial" w:eastAsia="Times New Roman" w:hAnsi="Arial" w:cs="Arial"/>
          <w:sz w:val="20"/>
          <w:szCs w:val="20"/>
        </w:rPr>
        <w:t>(3), 2456.</w:t>
      </w:r>
    </w:p>
    <w:p w14:paraId="50B1F9A5"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UNESCO. (2020). </w:t>
      </w:r>
      <w:r w:rsidRPr="001A08D0">
        <w:rPr>
          <w:rFonts w:ascii="Arial" w:eastAsia="Times New Roman" w:hAnsi="Arial" w:cs="Arial"/>
          <w:i/>
          <w:iCs/>
          <w:sz w:val="20"/>
          <w:szCs w:val="20"/>
        </w:rPr>
        <w:t>Education for sustainable development: A roadmap</w:t>
      </w:r>
      <w:r w:rsidRPr="0013642D">
        <w:rPr>
          <w:rFonts w:ascii="Arial" w:eastAsia="Times New Roman" w:hAnsi="Arial" w:cs="Arial"/>
          <w:sz w:val="20"/>
          <w:szCs w:val="20"/>
        </w:rPr>
        <w:t>.</w:t>
      </w:r>
    </w:p>
    <w:p w14:paraId="56C30C73"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UNDRR. (2015). </w:t>
      </w:r>
      <w:r w:rsidRPr="001A08D0">
        <w:rPr>
          <w:rFonts w:ascii="Arial" w:eastAsia="Times New Roman" w:hAnsi="Arial" w:cs="Arial"/>
          <w:i/>
          <w:iCs/>
          <w:sz w:val="20"/>
          <w:szCs w:val="20"/>
        </w:rPr>
        <w:t>Sendai Framework for Disaster Risk Reduction</w:t>
      </w:r>
      <w:r w:rsidRPr="0013642D">
        <w:rPr>
          <w:rFonts w:ascii="Arial" w:eastAsia="Times New Roman" w:hAnsi="Arial" w:cs="Arial"/>
          <w:sz w:val="20"/>
          <w:szCs w:val="20"/>
        </w:rPr>
        <w:t>.</w:t>
      </w:r>
    </w:p>
    <w:p w14:paraId="13C18BFF" w14:textId="77777777" w:rsidR="0020498A" w:rsidRPr="001A08D0"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R. Srirangan &amp; Dr. C. Anbuchelvan (2026). Value-based Education in Strengthening Students’ Moral Awareness and Social Responsibility among Secondary School Students. </w:t>
      </w:r>
      <w:r w:rsidRPr="001A08D0">
        <w:rPr>
          <w:rFonts w:ascii="Arial" w:eastAsia="Times New Roman" w:hAnsi="Arial" w:cs="Arial"/>
          <w:i/>
          <w:iCs/>
          <w:sz w:val="20"/>
          <w:szCs w:val="20"/>
        </w:rPr>
        <w:t>Asian Journal of Education and Social Studies</w:t>
      </w:r>
      <w:r w:rsidRPr="0013642D">
        <w:rPr>
          <w:rFonts w:ascii="Arial" w:eastAsia="Times New Roman" w:hAnsi="Arial" w:cs="Arial"/>
          <w:sz w:val="20"/>
          <w:szCs w:val="20"/>
        </w:rPr>
        <w:t>, 52(3).</w:t>
      </w:r>
    </w:p>
    <w:p w14:paraId="03245E8D" w14:textId="77777777" w:rsidR="00636EB3" w:rsidRDefault="00636EB3" w:rsidP="00636EB3">
      <w:r>
        <w:t xml:space="preserve">Guo, L., Fang, M., Liu, L., Chong, H., Zeng, W., &amp; Hu, X. (2025). The development of disaster preparedness education for public: A scoping review. </w:t>
      </w:r>
      <w:r>
        <w:rPr>
          <w:rStyle w:val="Emphasis"/>
        </w:rPr>
        <w:t>BMC Public Health, 25</w:t>
      </w:r>
      <w:r>
        <w:t xml:space="preserve">, 645. </w:t>
      </w:r>
      <w:hyperlink r:id="rId7" w:tgtFrame="_new" w:history="1">
        <w:r>
          <w:rPr>
            <w:rStyle w:val="Hyperlink"/>
          </w:rPr>
          <w:t>https://doi.org/10.1186/s12889-025-21664-0</w:t>
        </w:r>
      </w:hyperlink>
    </w:p>
    <w:p w14:paraId="254C0172" w14:textId="77777777" w:rsidR="00636EB3" w:rsidRDefault="00636EB3" w:rsidP="00636EB3">
      <w:r>
        <w:br/>
        <w:t xml:space="preserve">Lee, Y. R., Park, S. N., Lee, M. R., &amp; Nam, E. (2023). Influencing factors of early childhood teachers’ disaster preparedness. </w:t>
      </w:r>
      <w:r>
        <w:rPr>
          <w:rStyle w:val="Emphasis"/>
        </w:rPr>
        <w:t>Frontiers in Public Health, 11</w:t>
      </w:r>
      <w:r>
        <w:t xml:space="preserve">, 1249736. https://doi.org/10.3389/fpubh.2023.1249736 </w:t>
      </w:r>
    </w:p>
    <w:p w14:paraId="6FE02B0F" w14:textId="77777777" w:rsidR="00636EB3" w:rsidRDefault="00636EB3" w:rsidP="00636EB3">
      <w:r>
        <w:t xml:space="preserve">Otara, A., Kute, B., Omolo, H. O., &amp; Adoyo, R. (2025). Enhancing student safety: Analysis of teacher practices on emergency incident response in public secondary schools. </w:t>
      </w:r>
      <w:r>
        <w:rPr>
          <w:rStyle w:val="Emphasis"/>
        </w:rPr>
        <w:t>SAGE Open</w:t>
      </w:r>
      <w:r>
        <w:t>.</w:t>
      </w:r>
      <w:r>
        <w:br/>
        <w:t xml:space="preserve">https://doi.org/10.1177/21582440251357184 </w:t>
      </w:r>
    </w:p>
    <w:p w14:paraId="05E0DB95" w14:textId="77777777" w:rsidR="00636EB3" w:rsidRDefault="00636EB3" w:rsidP="00636EB3">
      <w:proofErr w:type="spellStart"/>
      <w:r>
        <w:t>Septikasari</w:t>
      </w:r>
      <w:proofErr w:type="spellEnd"/>
      <w:r>
        <w:t xml:space="preserve">, Z., </w:t>
      </w:r>
      <w:proofErr w:type="spellStart"/>
      <w:r>
        <w:t>Atmoko</w:t>
      </w:r>
      <w:proofErr w:type="spellEnd"/>
      <w:r>
        <w:t xml:space="preserve">, A., &amp; </w:t>
      </w:r>
      <w:proofErr w:type="spellStart"/>
      <w:r>
        <w:t>Wilujeng</w:t>
      </w:r>
      <w:proofErr w:type="spellEnd"/>
      <w:r>
        <w:t xml:space="preserve">, I. (2024). Analysis on disaster education urgency of improving preparedness at elementary schools in disaster-prone areas. </w:t>
      </w:r>
      <w:proofErr w:type="spellStart"/>
      <w:r>
        <w:rPr>
          <w:rStyle w:val="Emphasis"/>
        </w:rPr>
        <w:t>Pegem</w:t>
      </w:r>
      <w:proofErr w:type="spellEnd"/>
      <w:r>
        <w:rPr>
          <w:rStyle w:val="Emphasis"/>
        </w:rPr>
        <w:t xml:space="preserve"> Journal of Education and Instruction, 14</w:t>
      </w:r>
      <w:r>
        <w:t xml:space="preserve">(4), 315–324. https://doi.org/10.47750/pegegog.14.04.28 </w:t>
      </w:r>
    </w:p>
    <w:p w14:paraId="1E54A3CB" w14:textId="77777777" w:rsidR="00636EB3" w:rsidRDefault="00636EB3" w:rsidP="00636EB3">
      <w:proofErr w:type="spellStart"/>
      <w:r>
        <w:t>Aroyandini</w:t>
      </w:r>
      <w:proofErr w:type="spellEnd"/>
      <w:r>
        <w:t xml:space="preserve">, E. N., Supriyadi, S., </w:t>
      </w:r>
      <w:proofErr w:type="spellStart"/>
      <w:r>
        <w:t>Rusilowati</w:t>
      </w:r>
      <w:proofErr w:type="spellEnd"/>
      <w:r>
        <w:t xml:space="preserve">, A., Hartono, H., &amp; </w:t>
      </w:r>
      <w:proofErr w:type="spellStart"/>
      <w:r>
        <w:t>Juhadi</w:t>
      </w:r>
      <w:proofErr w:type="spellEnd"/>
      <w:r>
        <w:t xml:space="preserve">, J. (2024). Disaster education model for prospective science teachers: Needs analysis and initial development. </w:t>
      </w:r>
      <w:r>
        <w:rPr>
          <w:rStyle w:val="Emphasis"/>
        </w:rPr>
        <w:t>Journal of Disaster Research, 19</w:t>
      </w:r>
      <w:r>
        <w:t xml:space="preserve">(3), 560–569. https://doi.org/10.20965/jdr.2024.p0560 </w:t>
      </w:r>
    </w:p>
    <w:p w14:paraId="301C7338" w14:textId="77777777" w:rsidR="007E04F6" w:rsidRDefault="00636EB3" w:rsidP="00636EB3">
      <w:r>
        <w:t xml:space="preserve">Karuna, J. R., Rakusa, H., &amp; Christi, P. (2024). Disaster mitigation through education: A holistic approach for rural communities. </w:t>
      </w:r>
      <w:r>
        <w:rPr>
          <w:rStyle w:val="Emphasis"/>
        </w:rPr>
        <w:t>Journal Education Innovation, 2</w:t>
      </w:r>
      <w:r>
        <w:t xml:space="preserve">(4), 437–446. </w:t>
      </w:r>
      <w:r>
        <w:br/>
        <w:t xml:space="preserve">https://doi.org/10.65474/zxse6t33 </w:t>
      </w:r>
    </w:p>
    <w:p w14:paraId="4E7D0854" w14:textId="77777777" w:rsidR="007E04F6" w:rsidRPr="005B459A" w:rsidRDefault="007E04F6" w:rsidP="007E04F6">
      <w:pPr>
        <w:rPr>
          <w:rFonts w:ascii="Arial" w:hAnsi="Arial" w:cs="Arial"/>
          <w:sz w:val="20"/>
          <w:szCs w:val="20"/>
          <w:highlight w:val="yellow"/>
          <w:lang w:val="en-GB"/>
        </w:rPr>
      </w:pPr>
      <w:r w:rsidRPr="005B459A">
        <w:rPr>
          <w:rFonts w:ascii="Arial" w:hAnsi="Arial" w:cs="Arial"/>
          <w:sz w:val="20"/>
          <w:szCs w:val="20"/>
          <w:highlight w:val="yellow"/>
          <w:lang w:val="en-GB"/>
        </w:rPr>
        <w:t>Sonmez, E. D., &amp;</w:t>
      </w:r>
      <w:proofErr w:type="spellStart"/>
      <w:r w:rsidRPr="005B459A">
        <w:rPr>
          <w:rFonts w:ascii="Arial" w:hAnsi="Arial" w:cs="Arial"/>
          <w:sz w:val="20"/>
          <w:szCs w:val="20"/>
          <w:highlight w:val="yellow"/>
          <w:lang w:val="en-GB"/>
        </w:rPr>
        <w:t>Gokmenoglu</w:t>
      </w:r>
      <w:proofErr w:type="spellEnd"/>
      <w:r w:rsidRPr="005B459A">
        <w:rPr>
          <w:rFonts w:ascii="Arial" w:hAnsi="Arial" w:cs="Arial"/>
          <w:sz w:val="20"/>
          <w:szCs w:val="20"/>
          <w:highlight w:val="yellow"/>
          <w:lang w:val="en-GB"/>
        </w:rPr>
        <w:t>, T. (2023). Understanding the teachers' disaster preparedness beliefs. International Journal of Disaster Risk Reduction, 85, 103511.</w:t>
      </w:r>
    </w:p>
    <w:p w14:paraId="66CC9BF6" w14:textId="635D25AC" w:rsidR="00A07688" w:rsidRDefault="007E04F6" w:rsidP="00A07688">
      <w:pPr>
        <w:rPr>
          <w:rFonts w:ascii="Arial" w:hAnsi="Arial" w:cs="Arial"/>
          <w:sz w:val="20"/>
          <w:szCs w:val="20"/>
          <w:lang w:val="en-GB"/>
        </w:rPr>
      </w:pPr>
      <w:r w:rsidRPr="005B459A">
        <w:rPr>
          <w:rFonts w:ascii="Arial" w:hAnsi="Arial" w:cs="Arial"/>
          <w:sz w:val="20"/>
          <w:szCs w:val="20"/>
          <w:highlight w:val="yellow"/>
          <w:lang w:val="es-US"/>
        </w:rPr>
        <w:t xml:space="preserve">Salita, C., Tiongco, R. E., &amp; Kawano, R. (2021). </w:t>
      </w:r>
      <w:r w:rsidRPr="005B459A">
        <w:rPr>
          <w:rFonts w:ascii="Arial" w:hAnsi="Arial" w:cs="Arial"/>
          <w:sz w:val="20"/>
          <w:szCs w:val="20"/>
          <w:highlight w:val="yellow"/>
          <w:lang w:val="en-GB"/>
        </w:rPr>
        <w:t>Assessment of school teachers’ disaster preparedness using the extended parallel process model: a cross-sectional study in Angeles City, Philippines. Journal of Public Health, 29(6), 1275-1282</w:t>
      </w:r>
      <w:r w:rsidR="00A07688">
        <w:rPr>
          <w:rFonts w:ascii="Arial" w:hAnsi="Arial" w:cs="Arial"/>
          <w:sz w:val="20"/>
          <w:szCs w:val="20"/>
          <w:lang w:val="en-GB"/>
        </w:rPr>
        <w:t xml:space="preserve"> </w:t>
      </w:r>
      <w:r w:rsidR="00201133">
        <w:rPr>
          <w:rFonts w:ascii="Arial" w:hAnsi="Arial" w:cs="Arial"/>
          <w:sz w:val="20"/>
          <w:szCs w:val="20"/>
          <w:lang w:val="en-GB"/>
        </w:rPr>
        <w:t xml:space="preserve"> </w:t>
      </w:r>
    </w:p>
    <w:p w14:paraId="3AB4A6BD" w14:textId="77777777" w:rsidR="00201133" w:rsidRPr="00C01534" w:rsidRDefault="00201133" w:rsidP="00201133">
      <w:pPr>
        <w:rPr>
          <w:rFonts w:ascii="Arial" w:hAnsi="Arial" w:cs="Arial"/>
          <w:sz w:val="20"/>
          <w:szCs w:val="20"/>
          <w:highlight w:val="yellow"/>
        </w:rPr>
      </w:pPr>
      <w:r w:rsidRPr="00C01534">
        <w:rPr>
          <w:rFonts w:ascii="Arial" w:hAnsi="Arial" w:cs="Arial"/>
          <w:sz w:val="20"/>
          <w:szCs w:val="20"/>
          <w:highlight w:val="yellow"/>
        </w:rPr>
        <w:t>Mir, S., Shah, S. A., &amp; Bhat, M. S. (2024). Evaluation of disaster preparedness in educational infrastructure of remote geographies using Analytical Hierarchy process. </w:t>
      </w:r>
      <w:r w:rsidRPr="00C01534">
        <w:rPr>
          <w:rFonts w:ascii="Arial" w:hAnsi="Arial" w:cs="Arial"/>
          <w:i/>
          <w:iCs/>
          <w:sz w:val="20"/>
          <w:szCs w:val="20"/>
          <w:highlight w:val="yellow"/>
        </w:rPr>
        <w:t>International Journal of Disaster Risk Reduction</w:t>
      </w:r>
      <w:r w:rsidRPr="00C01534">
        <w:rPr>
          <w:rFonts w:ascii="Arial" w:hAnsi="Arial" w:cs="Arial"/>
          <w:sz w:val="20"/>
          <w:szCs w:val="20"/>
          <w:highlight w:val="yellow"/>
        </w:rPr>
        <w:t>, </w:t>
      </w:r>
      <w:r w:rsidRPr="00C01534">
        <w:rPr>
          <w:rFonts w:ascii="Arial" w:hAnsi="Arial" w:cs="Arial"/>
          <w:i/>
          <w:iCs/>
          <w:sz w:val="20"/>
          <w:szCs w:val="20"/>
          <w:highlight w:val="yellow"/>
        </w:rPr>
        <w:t>108</w:t>
      </w:r>
      <w:r w:rsidRPr="00C01534">
        <w:rPr>
          <w:rFonts w:ascii="Arial" w:hAnsi="Arial" w:cs="Arial"/>
          <w:sz w:val="20"/>
          <w:szCs w:val="20"/>
          <w:highlight w:val="yellow"/>
        </w:rPr>
        <w:t xml:space="preserve">, 104514. </w:t>
      </w:r>
      <w:hyperlink r:id="rId8" w:history="1">
        <w:r w:rsidRPr="00C01534">
          <w:rPr>
            <w:rStyle w:val="Hyperlink"/>
            <w:rFonts w:ascii="Arial" w:hAnsi="Arial" w:cs="Arial"/>
            <w:sz w:val="20"/>
            <w:szCs w:val="20"/>
            <w:highlight w:val="yellow"/>
          </w:rPr>
          <w:t>https://doi.org/10.1016/j.ijdrr.2024.104514</w:t>
        </w:r>
      </w:hyperlink>
      <w:r w:rsidRPr="00C01534">
        <w:rPr>
          <w:rFonts w:ascii="Arial" w:hAnsi="Arial" w:cs="Arial"/>
          <w:sz w:val="20"/>
          <w:szCs w:val="20"/>
          <w:highlight w:val="yellow"/>
        </w:rPr>
        <w:t xml:space="preserve"> </w:t>
      </w:r>
    </w:p>
    <w:p w14:paraId="71863DE5" w14:textId="77777777" w:rsidR="00201133" w:rsidRPr="00C01534" w:rsidRDefault="00201133" w:rsidP="00201133">
      <w:pPr>
        <w:rPr>
          <w:rFonts w:ascii="Arial" w:hAnsi="Arial" w:cs="Arial"/>
          <w:sz w:val="20"/>
          <w:szCs w:val="20"/>
          <w:highlight w:val="yellow"/>
        </w:rPr>
      </w:pPr>
      <w:r w:rsidRPr="00C01534">
        <w:rPr>
          <w:rFonts w:ascii="Arial" w:hAnsi="Arial" w:cs="Arial"/>
          <w:sz w:val="20"/>
          <w:szCs w:val="20"/>
          <w:highlight w:val="yellow"/>
        </w:rPr>
        <w:lastRenderedPageBreak/>
        <w:t>Lacher, S. (2024). Exploring disaster preparedness: a scoping review of adult and continuing education approaches in international civil protection research. </w:t>
      </w:r>
      <w:r w:rsidRPr="00C01534">
        <w:rPr>
          <w:rFonts w:ascii="Arial" w:hAnsi="Arial" w:cs="Arial"/>
          <w:i/>
          <w:iCs/>
          <w:sz w:val="20"/>
          <w:szCs w:val="20"/>
          <w:highlight w:val="yellow"/>
        </w:rPr>
        <w:t>Journal of Risk Research</w:t>
      </w:r>
      <w:r w:rsidRPr="00C01534">
        <w:rPr>
          <w:rFonts w:ascii="Arial" w:hAnsi="Arial" w:cs="Arial"/>
          <w:sz w:val="20"/>
          <w:szCs w:val="20"/>
          <w:highlight w:val="yellow"/>
        </w:rPr>
        <w:t>, </w:t>
      </w:r>
      <w:r w:rsidRPr="00C01534">
        <w:rPr>
          <w:rFonts w:ascii="Arial" w:hAnsi="Arial" w:cs="Arial"/>
          <w:i/>
          <w:iCs/>
          <w:sz w:val="20"/>
          <w:szCs w:val="20"/>
          <w:highlight w:val="yellow"/>
        </w:rPr>
        <w:t>27</w:t>
      </w:r>
      <w:r w:rsidRPr="00C01534">
        <w:rPr>
          <w:rFonts w:ascii="Arial" w:hAnsi="Arial" w:cs="Arial"/>
          <w:sz w:val="20"/>
          <w:szCs w:val="20"/>
          <w:highlight w:val="yellow"/>
        </w:rPr>
        <w:t xml:space="preserve">(10), 1273–1289. </w:t>
      </w:r>
      <w:hyperlink r:id="rId9" w:history="1">
        <w:r w:rsidRPr="00C01534">
          <w:rPr>
            <w:rStyle w:val="Hyperlink"/>
            <w:rFonts w:ascii="Arial" w:hAnsi="Arial" w:cs="Arial"/>
            <w:sz w:val="20"/>
            <w:szCs w:val="20"/>
            <w:highlight w:val="yellow"/>
          </w:rPr>
          <w:t>https://doi.org/10.1080/13669877.2024.2447252</w:t>
        </w:r>
      </w:hyperlink>
      <w:r w:rsidRPr="00C01534">
        <w:rPr>
          <w:rFonts w:ascii="Arial" w:hAnsi="Arial" w:cs="Arial"/>
          <w:sz w:val="20"/>
          <w:szCs w:val="20"/>
          <w:highlight w:val="yellow"/>
        </w:rPr>
        <w:t xml:space="preserve"> </w:t>
      </w:r>
    </w:p>
    <w:p w14:paraId="3F199910" w14:textId="77777777" w:rsidR="00C01534" w:rsidRPr="00C01534" w:rsidRDefault="00201133" w:rsidP="00201133">
      <w:pPr>
        <w:rPr>
          <w:rFonts w:ascii="Arial" w:hAnsi="Arial" w:cs="Arial"/>
          <w:sz w:val="20"/>
          <w:szCs w:val="20"/>
          <w:highlight w:val="yellow"/>
        </w:rPr>
      </w:pPr>
      <w:r w:rsidRPr="00C01534">
        <w:rPr>
          <w:rFonts w:ascii="Arial" w:hAnsi="Arial" w:cs="Arial"/>
          <w:sz w:val="20"/>
          <w:szCs w:val="20"/>
          <w:highlight w:val="yellow"/>
        </w:rPr>
        <w:t>Shahid, S. I., &amp; Sarwat, S. N. D. (2024). Disaster Preparedness amongst Schools Teachers: A Holistic Approach towards Development of a Research Tool. </w:t>
      </w:r>
      <w:r w:rsidRPr="00C01534">
        <w:rPr>
          <w:rFonts w:ascii="Arial" w:hAnsi="Arial" w:cs="Arial"/>
          <w:i/>
          <w:iCs/>
          <w:sz w:val="20"/>
          <w:szCs w:val="20"/>
          <w:highlight w:val="yellow"/>
        </w:rPr>
        <w:t>Community Development Journal</w:t>
      </w:r>
      <w:r w:rsidRPr="00C01534">
        <w:rPr>
          <w:rFonts w:ascii="Arial" w:hAnsi="Arial" w:cs="Arial"/>
          <w:sz w:val="20"/>
          <w:szCs w:val="20"/>
          <w:highlight w:val="yellow"/>
        </w:rPr>
        <w:t>, </w:t>
      </w:r>
      <w:r w:rsidRPr="00C01534">
        <w:rPr>
          <w:rFonts w:ascii="Arial" w:hAnsi="Arial" w:cs="Arial"/>
          <w:i/>
          <w:iCs/>
          <w:sz w:val="20"/>
          <w:szCs w:val="20"/>
          <w:highlight w:val="yellow"/>
        </w:rPr>
        <w:t>8</w:t>
      </w:r>
      <w:r w:rsidRPr="00C01534">
        <w:rPr>
          <w:rFonts w:ascii="Arial" w:hAnsi="Arial" w:cs="Arial"/>
          <w:sz w:val="20"/>
          <w:szCs w:val="20"/>
          <w:highlight w:val="yellow"/>
        </w:rPr>
        <w:t>(1), 251-257.</w:t>
      </w:r>
      <w:r w:rsidR="00C01534" w:rsidRPr="00C01534">
        <w:rPr>
          <w:rFonts w:ascii="Arial" w:hAnsi="Arial" w:cs="Arial"/>
          <w:sz w:val="20"/>
          <w:szCs w:val="20"/>
          <w:highlight w:val="yellow"/>
        </w:rPr>
        <w:t xml:space="preserve"> </w:t>
      </w:r>
    </w:p>
    <w:p w14:paraId="5EF09E0F" w14:textId="03B48331" w:rsidR="00201133" w:rsidRPr="00C01534" w:rsidRDefault="00C01534" w:rsidP="00201133">
      <w:pPr>
        <w:rPr>
          <w:rFonts w:ascii="Arial" w:hAnsi="Arial" w:cs="Arial"/>
          <w:sz w:val="20"/>
          <w:szCs w:val="20"/>
          <w:highlight w:val="yellow"/>
        </w:rPr>
      </w:pPr>
      <w:r w:rsidRPr="00C01534">
        <w:rPr>
          <w:rFonts w:ascii="Arial" w:hAnsi="Arial" w:cs="Arial"/>
          <w:sz w:val="20"/>
          <w:szCs w:val="20"/>
          <w:highlight w:val="yellow"/>
        </w:rPr>
        <w:t xml:space="preserve">Patel, R. K., </w:t>
      </w:r>
      <w:proofErr w:type="spellStart"/>
      <w:r w:rsidRPr="00C01534">
        <w:rPr>
          <w:rFonts w:ascii="Arial" w:hAnsi="Arial" w:cs="Arial"/>
          <w:sz w:val="20"/>
          <w:szCs w:val="20"/>
          <w:highlight w:val="yellow"/>
        </w:rPr>
        <w:t>Kermanshachi</w:t>
      </w:r>
      <w:proofErr w:type="spellEnd"/>
      <w:r w:rsidRPr="00C01534">
        <w:rPr>
          <w:rFonts w:ascii="Arial" w:hAnsi="Arial" w:cs="Arial"/>
          <w:sz w:val="20"/>
          <w:szCs w:val="20"/>
          <w:highlight w:val="yellow"/>
        </w:rPr>
        <w:t xml:space="preserve">, S., &amp; </w:t>
      </w:r>
      <w:proofErr w:type="spellStart"/>
      <w:r w:rsidRPr="00C01534">
        <w:rPr>
          <w:rFonts w:ascii="Arial" w:hAnsi="Arial" w:cs="Arial"/>
          <w:sz w:val="20"/>
          <w:szCs w:val="20"/>
          <w:highlight w:val="yellow"/>
        </w:rPr>
        <w:t>Namian</w:t>
      </w:r>
      <w:proofErr w:type="spellEnd"/>
      <w:r w:rsidRPr="00C01534">
        <w:rPr>
          <w:rFonts w:ascii="Arial" w:hAnsi="Arial" w:cs="Arial"/>
          <w:sz w:val="20"/>
          <w:szCs w:val="20"/>
          <w:highlight w:val="yellow"/>
        </w:rPr>
        <w:t>, M. (2020). A socioeconomic-based analysis of disaster preparedness, awareness and education. In </w:t>
      </w:r>
      <w:r w:rsidRPr="00C01534">
        <w:rPr>
          <w:rFonts w:ascii="Arial" w:hAnsi="Arial" w:cs="Arial"/>
          <w:i/>
          <w:iCs/>
          <w:sz w:val="20"/>
          <w:szCs w:val="20"/>
          <w:highlight w:val="yellow"/>
        </w:rPr>
        <w:t>Creative Construction e-Conference 2020</w:t>
      </w:r>
      <w:r w:rsidRPr="00C01534">
        <w:rPr>
          <w:rFonts w:ascii="Arial" w:hAnsi="Arial" w:cs="Arial"/>
          <w:sz w:val="20"/>
          <w:szCs w:val="20"/>
          <w:highlight w:val="yellow"/>
        </w:rPr>
        <w:t> (pp. 76-84). Budapest, Hungary: Budapest University of Technology and Economics.</w:t>
      </w:r>
    </w:p>
    <w:p w14:paraId="4FEC947E" w14:textId="77777777" w:rsidR="00201133" w:rsidRPr="00201133" w:rsidRDefault="00201133" w:rsidP="00201133">
      <w:pPr>
        <w:rPr>
          <w:rFonts w:ascii="Arial" w:hAnsi="Arial" w:cs="Arial"/>
          <w:sz w:val="20"/>
          <w:szCs w:val="20"/>
        </w:rPr>
      </w:pPr>
      <w:r w:rsidRPr="00C01534">
        <w:rPr>
          <w:rFonts w:ascii="Arial" w:hAnsi="Arial" w:cs="Arial"/>
          <w:sz w:val="20"/>
          <w:szCs w:val="20"/>
          <w:highlight w:val="yellow"/>
        </w:rPr>
        <w:t>‌</w:t>
      </w:r>
    </w:p>
    <w:p w14:paraId="0877A9AF" w14:textId="77777777" w:rsidR="00201133" w:rsidRDefault="00201133" w:rsidP="00A07688">
      <w:pPr>
        <w:rPr>
          <w:rFonts w:ascii="Arial" w:hAnsi="Arial" w:cs="Arial"/>
          <w:sz w:val="20"/>
          <w:szCs w:val="20"/>
          <w:lang w:val="en-GB"/>
        </w:rPr>
      </w:pPr>
    </w:p>
    <w:p w14:paraId="6D683F26" w14:textId="77777777" w:rsidR="00A07688" w:rsidRPr="00A07688" w:rsidRDefault="00A07688" w:rsidP="00A07688">
      <w:pPr>
        <w:rPr>
          <w:rFonts w:ascii="Arial" w:hAnsi="Arial" w:cs="Arial"/>
          <w:sz w:val="20"/>
          <w:szCs w:val="20"/>
        </w:rPr>
      </w:pPr>
      <w:r w:rsidRPr="00A07688">
        <w:rPr>
          <w:rFonts w:ascii="Arial" w:hAnsi="Arial" w:cs="Arial"/>
          <w:sz w:val="20"/>
          <w:szCs w:val="20"/>
        </w:rPr>
        <w:t>‌</w:t>
      </w:r>
    </w:p>
    <w:p w14:paraId="2DB56851" w14:textId="534B8340" w:rsidR="00636EB3" w:rsidRPr="00A21F34" w:rsidRDefault="00636EB3" w:rsidP="007E04F6">
      <w:pPr>
        <w:rPr>
          <w:rFonts w:ascii="Arial" w:hAnsi="Arial" w:cs="Arial"/>
        </w:rPr>
      </w:pPr>
    </w:p>
    <w:sectPr w:rsidR="00636EB3" w:rsidRPr="00A21F34" w:rsidSect="00E212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67DA" w14:textId="77777777" w:rsidR="00B65115" w:rsidRDefault="00B65115" w:rsidP="00882AFE">
      <w:pPr>
        <w:spacing w:after="0" w:line="240" w:lineRule="auto"/>
      </w:pPr>
      <w:r>
        <w:separator/>
      </w:r>
    </w:p>
  </w:endnote>
  <w:endnote w:type="continuationSeparator" w:id="0">
    <w:p w14:paraId="7B4E20F2" w14:textId="77777777" w:rsidR="00B65115" w:rsidRDefault="00B65115" w:rsidP="0088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AA4E" w14:textId="77777777" w:rsidR="00882AFE" w:rsidRDefault="0088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5999" w14:textId="77777777" w:rsidR="00882AFE" w:rsidRDefault="0088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15A3" w14:textId="77777777" w:rsidR="00882AFE" w:rsidRDefault="0088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386CA" w14:textId="77777777" w:rsidR="00B65115" w:rsidRDefault="00B65115" w:rsidP="00882AFE">
      <w:pPr>
        <w:spacing w:after="0" w:line="240" w:lineRule="auto"/>
      </w:pPr>
      <w:r>
        <w:separator/>
      </w:r>
    </w:p>
  </w:footnote>
  <w:footnote w:type="continuationSeparator" w:id="0">
    <w:p w14:paraId="7AAEBFA6" w14:textId="77777777" w:rsidR="00B65115" w:rsidRDefault="00B65115" w:rsidP="0088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F778" w14:textId="77777777" w:rsidR="00882AFE" w:rsidRDefault="00E704D7">
    <w:pPr>
      <w:pStyle w:val="Header"/>
    </w:pPr>
    <w:r>
      <w:rPr>
        <w:noProof/>
      </w:rPr>
      <w:pict w14:anchorId="48CF6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0126" w14:textId="77777777" w:rsidR="00882AFE" w:rsidRDefault="00E704D7">
    <w:pPr>
      <w:pStyle w:val="Header"/>
    </w:pPr>
    <w:r>
      <w:rPr>
        <w:noProof/>
      </w:rPr>
      <w:pict w14:anchorId="58CB1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FB30" w14:textId="77777777" w:rsidR="00882AFE" w:rsidRDefault="00E704D7">
    <w:pPr>
      <w:pStyle w:val="Header"/>
    </w:pPr>
    <w:r>
      <w:rPr>
        <w:noProof/>
      </w:rPr>
      <w:pict w14:anchorId="0380E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FA9"/>
    <w:multiLevelType w:val="multilevel"/>
    <w:tmpl w:val="ADE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22B9"/>
    <w:multiLevelType w:val="multilevel"/>
    <w:tmpl w:val="B57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C1F8E"/>
    <w:multiLevelType w:val="multilevel"/>
    <w:tmpl w:val="5F2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786C"/>
    <w:multiLevelType w:val="multilevel"/>
    <w:tmpl w:val="2BFA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84AF6"/>
    <w:multiLevelType w:val="multilevel"/>
    <w:tmpl w:val="ECF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3DC"/>
    <w:multiLevelType w:val="multilevel"/>
    <w:tmpl w:val="082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B45"/>
    <w:multiLevelType w:val="multilevel"/>
    <w:tmpl w:val="C84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4C1B"/>
    <w:multiLevelType w:val="multilevel"/>
    <w:tmpl w:val="C92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72A09"/>
    <w:multiLevelType w:val="multilevel"/>
    <w:tmpl w:val="AE66F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10CBF"/>
    <w:multiLevelType w:val="multilevel"/>
    <w:tmpl w:val="7B3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0688C"/>
    <w:multiLevelType w:val="multilevel"/>
    <w:tmpl w:val="028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75E71"/>
    <w:multiLevelType w:val="multilevel"/>
    <w:tmpl w:val="BA1C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978CB"/>
    <w:multiLevelType w:val="multilevel"/>
    <w:tmpl w:val="9AD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277C5"/>
    <w:multiLevelType w:val="multilevel"/>
    <w:tmpl w:val="325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C48A2"/>
    <w:multiLevelType w:val="multilevel"/>
    <w:tmpl w:val="459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30467"/>
    <w:multiLevelType w:val="multilevel"/>
    <w:tmpl w:val="41C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C4CF1"/>
    <w:multiLevelType w:val="multilevel"/>
    <w:tmpl w:val="19A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377A5"/>
    <w:multiLevelType w:val="multilevel"/>
    <w:tmpl w:val="833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767B4"/>
    <w:multiLevelType w:val="multilevel"/>
    <w:tmpl w:val="801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1282E"/>
    <w:multiLevelType w:val="multilevel"/>
    <w:tmpl w:val="2940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76B84"/>
    <w:multiLevelType w:val="multilevel"/>
    <w:tmpl w:val="076E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151FC3"/>
    <w:multiLevelType w:val="multilevel"/>
    <w:tmpl w:val="81F6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B4E00"/>
    <w:multiLevelType w:val="multilevel"/>
    <w:tmpl w:val="168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22"/>
  </w:num>
  <w:num w:numId="4">
    <w:abstractNumId w:val="2"/>
  </w:num>
  <w:num w:numId="5">
    <w:abstractNumId w:val="4"/>
  </w:num>
  <w:num w:numId="6">
    <w:abstractNumId w:val="9"/>
  </w:num>
  <w:num w:numId="7">
    <w:abstractNumId w:val="13"/>
  </w:num>
  <w:num w:numId="8">
    <w:abstractNumId w:val="7"/>
  </w:num>
  <w:num w:numId="9">
    <w:abstractNumId w:val="1"/>
  </w:num>
  <w:num w:numId="10">
    <w:abstractNumId w:val="19"/>
  </w:num>
  <w:num w:numId="11">
    <w:abstractNumId w:val="15"/>
  </w:num>
  <w:num w:numId="12">
    <w:abstractNumId w:val="5"/>
  </w:num>
  <w:num w:numId="13">
    <w:abstractNumId w:val="10"/>
  </w:num>
  <w:num w:numId="14">
    <w:abstractNumId w:val="14"/>
  </w:num>
  <w:num w:numId="15">
    <w:abstractNumId w:val="8"/>
  </w:num>
  <w:num w:numId="16">
    <w:abstractNumId w:val="12"/>
  </w:num>
  <w:num w:numId="17">
    <w:abstractNumId w:val="0"/>
  </w:num>
  <w:num w:numId="18">
    <w:abstractNumId w:val="16"/>
  </w:num>
  <w:num w:numId="19">
    <w:abstractNumId w:val="17"/>
  </w:num>
  <w:num w:numId="20">
    <w:abstractNumId w:val="20"/>
  </w:num>
  <w:num w:numId="21">
    <w:abstractNumId w:val="3"/>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S2NDY3tjAztDQyM7JQ0lEKTi0uzszPAykwrgUAKBksQCwAAAA="/>
  </w:docVars>
  <w:rsids>
    <w:rsidRoot w:val="00A676EA"/>
    <w:rsid w:val="0001036C"/>
    <w:rsid w:val="0003172F"/>
    <w:rsid w:val="000378B3"/>
    <w:rsid w:val="000B546C"/>
    <w:rsid w:val="00113B14"/>
    <w:rsid w:val="0013030E"/>
    <w:rsid w:val="00142CC3"/>
    <w:rsid w:val="00194396"/>
    <w:rsid w:val="001D1C9C"/>
    <w:rsid w:val="00201133"/>
    <w:rsid w:val="0020498A"/>
    <w:rsid w:val="00240A83"/>
    <w:rsid w:val="002D2343"/>
    <w:rsid w:val="002D4D64"/>
    <w:rsid w:val="002F3F80"/>
    <w:rsid w:val="003416EB"/>
    <w:rsid w:val="003D292F"/>
    <w:rsid w:val="0040292D"/>
    <w:rsid w:val="00406344"/>
    <w:rsid w:val="005151C5"/>
    <w:rsid w:val="005343D5"/>
    <w:rsid w:val="00545A22"/>
    <w:rsid w:val="005B459A"/>
    <w:rsid w:val="005B46B1"/>
    <w:rsid w:val="00636EB3"/>
    <w:rsid w:val="0066338A"/>
    <w:rsid w:val="0066682C"/>
    <w:rsid w:val="00681D83"/>
    <w:rsid w:val="006E6937"/>
    <w:rsid w:val="00730926"/>
    <w:rsid w:val="007362B4"/>
    <w:rsid w:val="007623D6"/>
    <w:rsid w:val="007B715F"/>
    <w:rsid w:val="007E04F6"/>
    <w:rsid w:val="00807D05"/>
    <w:rsid w:val="008135F4"/>
    <w:rsid w:val="00882AFE"/>
    <w:rsid w:val="008A36AF"/>
    <w:rsid w:val="0096238B"/>
    <w:rsid w:val="009C5475"/>
    <w:rsid w:val="009C6131"/>
    <w:rsid w:val="009C651C"/>
    <w:rsid w:val="00A07688"/>
    <w:rsid w:val="00A21F34"/>
    <w:rsid w:val="00A568F1"/>
    <w:rsid w:val="00A676EA"/>
    <w:rsid w:val="00A82145"/>
    <w:rsid w:val="00A8279E"/>
    <w:rsid w:val="00B275DB"/>
    <w:rsid w:val="00B63359"/>
    <w:rsid w:val="00B65115"/>
    <w:rsid w:val="00B756D6"/>
    <w:rsid w:val="00B776BC"/>
    <w:rsid w:val="00C01534"/>
    <w:rsid w:val="00C807E9"/>
    <w:rsid w:val="00CF4C5B"/>
    <w:rsid w:val="00D36111"/>
    <w:rsid w:val="00D44222"/>
    <w:rsid w:val="00D50905"/>
    <w:rsid w:val="00E2127F"/>
    <w:rsid w:val="00E46761"/>
    <w:rsid w:val="00E704D7"/>
    <w:rsid w:val="00ED29F1"/>
    <w:rsid w:val="00EF7348"/>
    <w:rsid w:val="00F47550"/>
    <w:rsid w:val="00F53106"/>
    <w:rsid w:val="00FB4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5E1B7"/>
  <w15:docId w15:val="{329D933A-8AFA-47DE-B786-2C6928D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27F"/>
  </w:style>
  <w:style w:type="paragraph" w:styleId="Heading1">
    <w:name w:val="heading 1"/>
    <w:basedOn w:val="Normal"/>
    <w:link w:val="Heading1Char"/>
    <w:uiPriority w:val="9"/>
    <w:qFormat/>
    <w:rsid w:val="00A676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76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76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76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76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7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6EA"/>
    <w:rPr>
      <w:b/>
      <w:bCs/>
    </w:rPr>
  </w:style>
  <w:style w:type="table" w:styleId="TableGrid">
    <w:name w:val="Table Grid"/>
    <w:basedOn w:val="TableNormal"/>
    <w:uiPriority w:val="59"/>
    <w:rsid w:val="006668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715F"/>
    <w:rPr>
      <w:color w:val="0000FF" w:themeColor="hyperlink"/>
      <w:u w:val="single"/>
    </w:rPr>
  </w:style>
  <w:style w:type="character" w:customStyle="1" w:styleId="UnresolvedMention1">
    <w:name w:val="Unresolved Mention1"/>
    <w:basedOn w:val="DefaultParagraphFont"/>
    <w:uiPriority w:val="99"/>
    <w:semiHidden/>
    <w:unhideWhenUsed/>
    <w:rsid w:val="007B715F"/>
    <w:rPr>
      <w:color w:val="605E5C"/>
      <w:shd w:val="clear" w:color="auto" w:fill="E1DFDD"/>
    </w:rPr>
  </w:style>
  <w:style w:type="paragraph" w:styleId="ListParagraph">
    <w:name w:val="List Paragraph"/>
    <w:basedOn w:val="Normal"/>
    <w:uiPriority w:val="34"/>
    <w:qFormat/>
    <w:rsid w:val="007B715F"/>
    <w:pPr>
      <w:ind w:left="720"/>
      <w:contextualSpacing/>
    </w:pPr>
  </w:style>
  <w:style w:type="paragraph" w:styleId="Header">
    <w:name w:val="header"/>
    <w:basedOn w:val="Normal"/>
    <w:link w:val="HeaderChar"/>
    <w:uiPriority w:val="99"/>
    <w:unhideWhenUsed/>
    <w:rsid w:val="00882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FE"/>
  </w:style>
  <w:style w:type="paragraph" w:styleId="Footer">
    <w:name w:val="footer"/>
    <w:basedOn w:val="Normal"/>
    <w:link w:val="FooterChar"/>
    <w:uiPriority w:val="99"/>
    <w:unhideWhenUsed/>
    <w:rsid w:val="00882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FE"/>
  </w:style>
  <w:style w:type="character" w:styleId="Emphasis">
    <w:name w:val="Emphasis"/>
    <w:basedOn w:val="DefaultParagraphFont"/>
    <w:uiPriority w:val="20"/>
    <w:qFormat/>
    <w:rsid w:val="00636EB3"/>
    <w:rPr>
      <w:i/>
      <w:iCs/>
    </w:rPr>
  </w:style>
  <w:style w:type="paragraph" w:styleId="Revision">
    <w:name w:val="Revision"/>
    <w:hidden/>
    <w:uiPriority w:val="99"/>
    <w:semiHidden/>
    <w:rsid w:val="009C651C"/>
    <w:pPr>
      <w:spacing w:after="0" w:line="240" w:lineRule="auto"/>
    </w:pPr>
  </w:style>
  <w:style w:type="character" w:styleId="UnresolvedMention">
    <w:name w:val="Unresolved Mention"/>
    <w:basedOn w:val="DefaultParagraphFont"/>
    <w:uiPriority w:val="99"/>
    <w:semiHidden/>
    <w:unhideWhenUsed/>
    <w:rsid w:val="00201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32019">
      <w:bodyDiv w:val="1"/>
      <w:marLeft w:val="0"/>
      <w:marRight w:val="0"/>
      <w:marTop w:val="0"/>
      <w:marBottom w:val="0"/>
      <w:divBdr>
        <w:top w:val="none" w:sz="0" w:space="0" w:color="auto"/>
        <w:left w:val="none" w:sz="0" w:space="0" w:color="auto"/>
        <w:bottom w:val="none" w:sz="0" w:space="0" w:color="auto"/>
        <w:right w:val="none" w:sz="0" w:space="0" w:color="auto"/>
      </w:divBdr>
      <w:divsChild>
        <w:div w:id="2017270430">
          <w:marLeft w:val="0"/>
          <w:marRight w:val="0"/>
          <w:marTop w:val="0"/>
          <w:marBottom w:val="0"/>
          <w:divBdr>
            <w:top w:val="none" w:sz="0" w:space="0" w:color="auto"/>
            <w:left w:val="none" w:sz="0" w:space="0" w:color="auto"/>
            <w:bottom w:val="none" w:sz="0" w:space="0" w:color="auto"/>
            <w:right w:val="none" w:sz="0" w:space="0" w:color="auto"/>
          </w:divBdr>
          <w:divsChild>
            <w:div w:id="1436629559">
              <w:marLeft w:val="0"/>
              <w:marRight w:val="0"/>
              <w:marTop w:val="0"/>
              <w:marBottom w:val="0"/>
              <w:divBdr>
                <w:top w:val="none" w:sz="0" w:space="0" w:color="auto"/>
                <w:left w:val="none" w:sz="0" w:space="0" w:color="auto"/>
                <w:bottom w:val="none" w:sz="0" w:space="0" w:color="auto"/>
                <w:right w:val="none" w:sz="0" w:space="0" w:color="auto"/>
              </w:divBdr>
              <w:divsChild>
                <w:div w:id="267738277">
                  <w:marLeft w:val="0"/>
                  <w:marRight w:val="0"/>
                  <w:marTop w:val="0"/>
                  <w:marBottom w:val="0"/>
                  <w:divBdr>
                    <w:top w:val="none" w:sz="0" w:space="0" w:color="auto"/>
                    <w:left w:val="none" w:sz="0" w:space="0" w:color="auto"/>
                    <w:bottom w:val="none" w:sz="0" w:space="0" w:color="auto"/>
                    <w:right w:val="none" w:sz="0" w:space="0" w:color="auto"/>
                  </w:divBdr>
                  <w:divsChild>
                    <w:div w:id="1617518095">
                      <w:marLeft w:val="0"/>
                      <w:marRight w:val="0"/>
                      <w:marTop w:val="0"/>
                      <w:marBottom w:val="0"/>
                      <w:divBdr>
                        <w:top w:val="none" w:sz="0" w:space="0" w:color="auto"/>
                        <w:left w:val="none" w:sz="0" w:space="0" w:color="auto"/>
                        <w:bottom w:val="none" w:sz="0" w:space="0" w:color="auto"/>
                        <w:right w:val="none" w:sz="0" w:space="0" w:color="auto"/>
                      </w:divBdr>
                      <w:divsChild>
                        <w:div w:id="1400442897">
                          <w:marLeft w:val="0"/>
                          <w:marRight w:val="0"/>
                          <w:marTop w:val="0"/>
                          <w:marBottom w:val="0"/>
                          <w:divBdr>
                            <w:top w:val="none" w:sz="0" w:space="0" w:color="auto"/>
                            <w:left w:val="none" w:sz="0" w:space="0" w:color="auto"/>
                            <w:bottom w:val="none" w:sz="0" w:space="0" w:color="auto"/>
                            <w:right w:val="none" w:sz="0" w:space="0" w:color="auto"/>
                          </w:divBdr>
                          <w:divsChild>
                            <w:div w:id="1232543274">
                              <w:marLeft w:val="0"/>
                              <w:marRight w:val="0"/>
                              <w:marTop w:val="0"/>
                              <w:marBottom w:val="0"/>
                              <w:divBdr>
                                <w:top w:val="none" w:sz="0" w:space="0" w:color="auto"/>
                                <w:left w:val="none" w:sz="0" w:space="0" w:color="auto"/>
                                <w:bottom w:val="none" w:sz="0" w:space="0" w:color="auto"/>
                                <w:right w:val="none" w:sz="0" w:space="0" w:color="auto"/>
                              </w:divBdr>
                              <w:divsChild>
                                <w:div w:id="20598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06367">
      <w:bodyDiv w:val="1"/>
      <w:marLeft w:val="0"/>
      <w:marRight w:val="0"/>
      <w:marTop w:val="0"/>
      <w:marBottom w:val="0"/>
      <w:divBdr>
        <w:top w:val="none" w:sz="0" w:space="0" w:color="auto"/>
        <w:left w:val="none" w:sz="0" w:space="0" w:color="auto"/>
        <w:bottom w:val="none" w:sz="0" w:space="0" w:color="auto"/>
        <w:right w:val="none" w:sz="0" w:space="0" w:color="auto"/>
      </w:divBdr>
    </w:div>
    <w:div w:id="667097533">
      <w:bodyDiv w:val="1"/>
      <w:marLeft w:val="0"/>
      <w:marRight w:val="0"/>
      <w:marTop w:val="0"/>
      <w:marBottom w:val="0"/>
      <w:divBdr>
        <w:top w:val="none" w:sz="0" w:space="0" w:color="auto"/>
        <w:left w:val="none" w:sz="0" w:space="0" w:color="auto"/>
        <w:bottom w:val="none" w:sz="0" w:space="0" w:color="auto"/>
        <w:right w:val="none" w:sz="0" w:space="0" w:color="auto"/>
      </w:divBdr>
    </w:div>
    <w:div w:id="680930133">
      <w:bodyDiv w:val="1"/>
      <w:marLeft w:val="0"/>
      <w:marRight w:val="0"/>
      <w:marTop w:val="0"/>
      <w:marBottom w:val="0"/>
      <w:divBdr>
        <w:top w:val="none" w:sz="0" w:space="0" w:color="auto"/>
        <w:left w:val="none" w:sz="0" w:space="0" w:color="auto"/>
        <w:bottom w:val="none" w:sz="0" w:space="0" w:color="auto"/>
        <w:right w:val="none" w:sz="0" w:space="0" w:color="auto"/>
      </w:divBdr>
    </w:div>
    <w:div w:id="1256287894">
      <w:bodyDiv w:val="1"/>
      <w:marLeft w:val="0"/>
      <w:marRight w:val="0"/>
      <w:marTop w:val="0"/>
      <w:marBottom w:val="0"/>
      <w:divBdr>
        <w:top w:val="none" w:sz="0" w:space="0" w:color="auto"/>
        <w:left w:val="none" w:sz="0" w:space="0" w:color="auto"/>
        <w:bottom w:val="none" w:sz="0" w:space="0" w:color="auto"/>
        <w:right w:val="none" w:sz="0" w:space="0" w:color="auto"/>
      </w:divBdr>
      <w:divsChild>
        <w:div w:id="136071979">
          <w:marLeft w:val="0"/>
          <w:marRight w:val="0"/>
          <w:marTop w:val="0"/>
          <w:marBottom w:val="0"/>
          <w:divBdr>
            <w:top w:val="none" w:sz="0" w:space="0" w:color="auto"/>
            <w:left w:val="none" w:sz="0" w:space="0" w:color="auto"/>
            <w:bottom w:val="none" w:sz="0" w:space="0" w:color="auto"/>
            <w:right w:val="none" w:sz="0" w:space="0" w:color="auto"/>
          </w:divBdr>
          <w:divsChild>
            <w:div w:id="1678650311">
              <w:marLeft w:val="0"/>
              <w:marRight w:val="0"/>
              <w:marTop w:val="0"/>
              <w:marBottom w:val="0"/>
              <w:divBdr>
                <w:top w:val="none" w:sz="0" w:space="0" w:color="auto"/>
                <w:left w:val="none" w:sz="0" w:space="0" w:color="auto"/>
                <w:bottom w:val="none" w:sz="0" w:space="0" w:color="auto"/>
                <w:right w:val="none" w:sz="0" w:space="0" w:color="auto"/>
              </w:divBdr>
              <w:divsChild>
                <w:div w:id="669530489">
                  <w:marLeft w:val="0"/>
                  <w:marRight w:val="0"/>
                  <w:marTop w:val="0"/>
                  <w:marBottom w:val="0"/>
                  <w:divBdr>
                    <w:top w:val="none" w:sz="0" w:space="0" w:color="auto"/>
                    <w:left w:val="none" w:sz="0" w:space="0" w:color="auto"/>
                    <w:bottom w:val="none" w:sz="0" w:space="0" w:color="auto"/>
                    <w:right w:val="none" w:sz="0" w:space="0" w:color="auto"/>
                  </w:divBdr>
                  <w:divsChild>
                    <w:div w:id="489636066">
                      <w:marLeft w:val="0"/>
                      <w:marRight w:val="0"/>
                      <w:marTop w:val="0"/>
                      <w:marBottom w:val="0"/>
                      <w:divBdr>
                        <w:top w:val="none" w:sz="0" w:space="0" w:color="auto"/>
                        <w:left w:val="none" w:sz="0" w:space="0" w:color="auto"/>
                        <w:bottom w:val="none" w:sz="0" w:space="0" w:color="auto"/>
                        <w:right w:val="none" w:sz="0" w:space="0" w:color="auto"/>
                      </w:divBdr>
                      <w:divsChild>
                        <w:div w:id="1072628303">
                          <w:marLeft w:val="0"/>
                          <w:marRight w:val="0"/>
                          <w:marTop w:val="0"/>
                          <w:marBottom w:val="0"/>
                          <w:divBdr>
                            <w:top w:val="none" w:sz="0" w:space="0" w:color="auto"/>
                            <w:left w:val="none" w:sz="0" w:space="0" w:color="auto"/>
                            <w:bottom w:val="none" w:sz="0" w:space="0" w:color="auto"/>
                            <w:right w:val="none" w:sz="0" w:space="0" w:color="auto"/>
                          </w:divBdr>
                          <w:divsChild>
                            <w:div w:id="1207062128">
                              <w:marLeft w:val="0"/>
                              <w:marRight w:val="0"/>
                              <w:marTop w:val="0"/>
                              <w:marBottom w:val="0"/>
                              <w:divBdr>
                                <w:top w:val="none" w:sz="0" w:space="0" w:color="auto"/>
                                <w:left w:val="none" w:sz="0" w:space="0" w:color="auto"/>
                                <w:bottom w:val="none" w:sz="0" w:space="0" w:color="auto"/>
                                <w:right w:val="none" w:sz="0" w:space="0" w:color="auto"/>
                              </w:divBdr>
                              <w:divsChild>
                                <w:div w:id="12069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380022">
      <w:bodyDiv w:val="1"/>
      <w:marLeft w:val="0"/>
      <w:marRight w:val="0"/>
      <w:marTop w:val="0"/>
      <w:marBottom w:val="0"/>
      <w:divBdr>
        <w:top w:val="none" w:sz="0" w:space="0" w:color="auto"/>
        <w:left w:val="none" w:sz="0" w:space="0" w:color="auto"/>
        <w:bottom w:val="none" w:sz="0" w:space="0" w:color="auto"/>
        <w:right w:val="none" w:sz="0" w:space="0" w:color="auto"/>
      </w:divBdr>
      <w:divsChild>
        <w:div w:id="1711220691">
          <w:marLeft w:val="0"/>
          <w:marRight w:val="0"/>
          <w:marTop w:val="0"/>
          <w:marBottom w:val="0"/>
          <w:divBdr>
            <w:top w:val="none" w:sz="0" w:space="0" w:color="auto"/>
            <w:left w:val="none" w:sz="0" w:space="0" w:color="auto"/>
            <w:bottom w:val="none" w:sz="0" w:space="0" w:color="auto"/>
            <w:right w:val="none" w:sz="0" w:space="0" w:color="auto"/>
          </w:divBdr>
          <w:divsChild>
            <w:div w:id="329647290">
              <w:marLeft w:val="0"/>
              <w:marRight w:val="0"/>
              <w:marTop w:val="0"/>
              <w:marBottom w:val="0"/>
              <w:divBdr>
                <w:top w:val="none" w:sz="0" w:space="0" w:color="auto"/>
                <w:left w:val="none" w:sz="0" w:space="0" w:color="auto"/>
                <w:bottom w:val="none" w:sz="0" w:space="0" w:color="auto"/>
                <w:right w:val="none" w:sz="0" w:space="0" w:color="auto"/>
              </w:divBdr>
              <w:divsChild>
                <w:div w:id="1062099194">
                  <w:marLeft w:val="0"/>
                  <w:marRight w:val="0"/>
                  <w:marTop w:val="0"/>
                  <w:marBottom w:val="0"/>
                  <w:divBdr>
                    <w:top w:val="none" w:sz="0" w:space="0" w:color="auto"/>
                    <w:left w:val="none" w:sz="0" w:space="0" w:color="auto"/>
                    <w:bottom w:val="none" w:sz="0" w:space="0" w:color="auto"/>
                    <w:right w:val="none" w:sz="0" w:space="0" w:color="auto"/>
                  </w:divBdr>
                  <w:divsChild>
                    <w:div w:id="234170976">
                      <w:marLeft w:val="0"/>
                      <w:marRight w:val="0"/>
                      <w:marTop w:val="0"/>
                      <w:marBottom w:val="0"/>
                      <w:divBdr>
                        <w:top w:val="none" w:sz="0" w:space="0" w:color="auto"/>
                        <w:left w:val="none" w:sz="0" w:space="0" w:color="auto"/>
                        <w:bottom w:val="none" w:sz="0" w:space="0" w:color="auto"/>
                        <w:right w:val="none" w:sz="0" w:space="0" w:color="auto"/>
                      </w:divBdr>
                      <w:divsChild>
                        <w:div w:id="895505718">
                          <w:marLeft w:val="0"/>
                          <w:marRight w:val="0"/>
                          <w:marTop w:val="0"/>
                          <w:marBottom w:val="0"/>
                          <w:divBdr>
                            <w:top w:val="none" w:sz="0" w:space="0" w:color="auto"/>
                            <w:left w:val="none" w:sz="0" w:space="0" w:color="auto"/>
                            <w:bottom w:val="none" w:sz="0" w:space="0" w:color="auto"/>
                            <w:right w:val="none" w:sz="0" w:space="0" w:color="auto"/>
                          </w:divBdr>
                          <w:divsChild>
                            <w:div w:id="1716393563">
                              <w:marLeft w:val="0"/>
                              <w:marRight w:val="0"/>
                              <w:marTop w:val="0"/>
                              <w:marBottom w:val="0"/>
                              <w:divBdr>
                                <w:top w:val="none" w:sz="0" w:space="0" w:color="auto"/>
                                <w:left w:val="none" w:sz="0" w:space="0" w:color="auto"/>
                                <w:bottom w:val="none" w:sz="0" w:space="0" w:color="auto"/>
                                <w:right w:val="none" w:sz="0" w:space="0" w:color="auto"/>
                              </w:divBdr>
                              <w:divsChild>
                                <w:div w:id="15457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766029">
      <w:bodyDiv w:val="1"/>
      <w:marLeft w:val="0"/>
      <w:marRight w:val="0"/>
      <w:marTop w:val="0"/>
      <w:marBottom w:val="0"/>
      <w:divBdr>
        <w:top w:val="none" w:sz="0" w:space="0" w:color="auto"/>
        <w:left w:val="none" w:sz="0" w:space="0" w:color="auto"/>
        <w:bottom w:val="none" w:sz="0" w:space="0" w:color="auto"/>
        <w:right w:val="none" w:sz="0" w:space="0" w:color="auto"/>
      </w:divBdr>
      <w:divsChild>
        <w:div w:id="1575579962">
          <w:marLeft w:val="0"/>
          <w:marRight w:val="0"/>
          <w:marTop w:val="0"/>
          <w:marBottom w:val="0"/>
          <w:divBdr>
            <w:top w:val="none" w:sz="0" w:space="0" w:color="auto"/>
            <w:left w:val="none" w:sz="0" w:space="0" w:color="auto"/>
            <w:bottom w:val="none" w:sz="0" w:space="0" w:color="auto"/>
            <w:right w:val="none" w:sz="0" w:space="0" w:color="auto"/>
          </w:divBdr>
          <w:divsChild>
            <w:div w:id="766998672">
              <w:marLeft w:val="0"/>
              <w:marRight w:val="0"/>
              <w:marTop w:val="0"/>
              <w:marBottom w:val="0"/>
              <w:divBdr>
                <w:top w:val="none" w:sz="0" w:space="0" w:color="auto"/>
                <w:left w:val="none" w:sz="0" w:space="0" w:color="auto"/>
                <w:bottom w:val="none" w:sz="0" w:space="0" w:color="auto"/>
                <w:right w:val="none" w:sz="0" w:space="0" w:color="auto"/>
              </w:divBdr>
              <w:divsChild>
                <w:div w:id="1883051114">
                  <w:marLeft w:val="0"/>
                  <w:marRight w:val="0"/>
                  <w:marTop w:val="0"/>
                  <w:marBottom w:val="0"/>
                  <w:divBdr>
                    <w:top w:val="none" w:sz="0" w:space="0" w:color="auto"/>
                    <w:left w:val="none" w:sz="0" w:space="0" w:color="auto"/>
                    <w:bottom w:val="none" w:sz="0" w:space="0" w:color="auto"/>
                    <w:right w:val="none" w:sz="0" w:space="0" w:color="auto"/>
                  </w:divBdr>
                  <w:divsChild>
                    <w:div w:id="179469807">
                      <w:marLeft w:val="0"/>
                      <w:marRight w:val="0"/>
                      <w:marTop w:val="0"/>
                      <w:marBottom w:val="0"/>
                      <w:divBdr>
                        <w:top w:val="none" w:sz="0" w:space="0" w:color="auto"/>
                        <w:left w:val="none" w:sz="0" w:space="0" w:color="auto"/>
                        <w:bottom w:val="none" w:sz="0" w:space="0" w:color="auto"/>
                        <w:right w:val="none" w:sz="0" w:space="0" w:color="auto"/>
                      </w:divBdr>
                      <w:divsChild>
                        <w:div w:id="1776484963">
                          <w:marLeft w:val="0"/>
                          <w:marRight w:val="0"/>
                          <w:marTop w:val="0"/>
                          <w:marBottom w:val="0"/>
                          <w:divBdr>
                            <w:top w:val="none" w:sz="0" w:space="0" w:color="auto"/>
                            <w:left w:val="none" w:sz="0" w:space="0" w:color="auto"/>
                            <w:bottom w:val="none" w:sz="0" w:space="0" w:color="auto"/>
                            <w:right w:val="none" w:sz="0" w:space="0" w:color="auto"/>
                          </w:divBdr>
                          <w:divsChild>
                            <w:div w:id="1585216810">
                              <w:marLeft w:val="0"/>
                              <w:marRight w:val="0"/>
                              <w:marTop w:val="0"/>
                              <w:marBottom w:val="0"/>
                              <w:divBdr>
                                <w:top w:val="none" w:sz="0" w:space="0" w:color="auto"/>
                                <w:left w:val="none" w:sz="0" w:space="0" w:color="auto"/>
                                <w:bottom w:val="none" w:sz="0" w:space="0" w:color="auto"/>
                                <w:right w:val="none" w:sz="0" w:space="0" w:color="auto"/>
                              </w:divBdr>
                              <w:divsChild>
                                <w:div w:id="21100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4703">
      <w:bodyDiv w:val="1"/>
      <w:marLeft w:val="0"/>
      <w:marRight w:val="0"/>
      <w:marTop w:val="0"/>
      <w:marBottom w:val="0"/>
      <w:divBdr>
        <w:top w:val="none" w:sz="0" w:space="0" w:color="auto"/>
        <w:left w:val="none" w:sz="0" w:space="0" w:color="auto"/>
        <w:bottom w:val="none" w:sz="0" w:space="0" w:color="auto"/>
        <w:right w:val="none" w:sz="0" w:space="0" w:color="auto"/>
      </w:divBdr>
    </w:div>
    <w:div w:id="1908832763">
      <w:bodyDiv w:val="1"/>
      <w:marLeft w:val="0"/>
      <w:marRight w:val="0"/>
      <w:marTop w:val="0"/>
      <w:marBottom w:val="0"/>
      <w:divBdr>
        <w:top w:val="none" w:sz="0" w:space="0" w:color="auto"/>
        <w:left w:val="none" w:sz="0" w:space="0" w:color="auto"/>
        <w:bottom w:val="none" w:sz="0" w:space="0" w:color="auto"/>
        <w:right w:val="none" w:sz="0" w:space="0" w:color="auto"/>
      </w:divBdr>
      <w:divsChild>
        <w:div w:id="1416972252">
          <w:marLeft w:val="0"/>
          <w:marRight w:val="0"/>
          <w:marTop w:val="0"/>
          <w:marBottom w:val="0"/>
          <w:divBdr>
            <w:top w:val="none" w:sz="0" w:space="0" w:color="auto"/>
            <w:left w:val="none" w:sz="0" w:space="0" w:color="auto"/>
            <w:bottom w:val="none" w:sz="0" w:space="0" w:color="auto"/>
            <w:right w:val="none" w:sz="0" w:space="0" w:color="auto"/>
          </w:divBdr>
          <w:divsChild>
            <w:div w:id="1543057103">
              <w:marLeft w:val="0"/>
              <w:marRight w:val="0"/>
              <w:marTop w:val="0"/>
              <w:marBottom w:val="0"/>
              <w:divBdr>
                <w:top w:val="none" w:sz="0" w:space="0" w:color="auto"/>
                <w:left w:val="none" w:sz="0" w:space="0" w:color="auto"/>
                <w:bottom w:val="none" w:sz="0" w:space="0" w:color="auto"/>
                <w:right w:val="none" w:sz="0" w:space="0" w:color="auto"/>
              </w:divBdr>
              <w:divsChild>
                <w:div w:id="1355619846">
                  <w:marLeft w:val="0"/>
                  <w:marRight w:val="0"/>
                  <w:marTop w:val="0"/>
                  <w:marBottom w:val="0"/>
                  <w:divBdr>
                    <w:top w:val="none" w:sz="0" w:space="0" w:color="auto"/>
                    <w:left w:val="none" w:sz="0" w:space="0" w:color="auto"/>
                    <w:bottom w:val="none" w:sz="0" w:space="0" w:color="auto"/>
                    <w:right w:val="none" w:sz="0" w:space="0" w:color="auto"/>
                  </w:divBdr>
                  <w:divsChild>
                    <w:div w:id="1178078448">
                      <w:marLeft w:val="0"/>
                      <w:marRight w:val="0"/>
                      <w:marTop w:val="0"/>
                      <w:marBottom w:val="0"/>
                      <w:divBdr>
                        <w:top w:val="none" w:sz="0" w:space="0" w:color="auto"/>
                        <w:left w:val="none" w:sz="0" w:space="0" w:color="auto"/>
                        <w:bottom w:val="none" w:sz="0" w:space="0" w:color="auto"/>
                        <w:right w:val="none" w:sz="0" w:space="0" w:color="auto"/>
                      </w:divBdr>
                      <w:divsChild>
                        <w:div w:id="1192721028">
                          <w:marLeft w:val="0"/>
                          <w:marRight w:val="0"/>
                          <w:marTop w:val="0"/>
                          <w:marBottom w:val="0"/>
                          <w:divBdr>
                            <w:top w:val="none" w:sz="0" w:space="0" w:color="auto"/>
                            <w:left w:val="none" w:sz="0" w:space="0" w:color="auto"/>
                            <w:bottom w:val="none" w:sz="0" w:space="0" w:color="auto"/>
                            <w:right w:val="none" w:sz="0" w:space="0" w:color="auto"/>
                          </w:divBdr>
                          <w:divsChild>
                            <w:div w:id="936911322">
                              <w:marLeft w:val="0"/>
                              <w:marRight w:val="0"/>
                              <w:marTop w:val="0"/>
                              <w:marBottom w:val="0"/>
                              <w:divBdr>
                                <w:top w:val="none" w:sz="0" w:space="0" w:color="auto"/>
                                <w:left w:val="none" w:sz="0" w:space="0" w:color="auto"/>
                                <w:bottom w:val="none" w:sz="0" w:space="0" w:color="auto"/>
                                <w:right w:val="none" w:sz="0" w:space="0" w:color="auto"/>
                              </w:divBdr>
                              <w:divsChild>
                                <w:div w:id="12373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74764">
      <w:bodyDiv w:val="1"/>
      <w:marLeft w:val="0"/>
      <w:marRight w:val="0"/>
      <w:marTop w:val="0"/>
      <w:marBottom w:val="0"/>
      <w:divBdr>
        <w:top w:val="none" w:sz="0" w:space="0" w:color="auto"/>
        <w:left w:val="none" w:sz="0" w:space="0" w:color="auto"/>
        <w:bottom w:val="none" w:sz="0" w:space="0" w:color="auto"/>
        <w:right w:val="none" w:sz="0" w:space="0" w:color="auto"/>
      </w:divBdr>
      <w:divsChild>
        <w:div w:id="1179782582">
          <w:marLeft w:val="0"/>
          <w:marRight w:val="0"/>
          <w:marTop w:val="0"/>
          <w:marBottom w:val="0"/>
          <w:divBdr>
            <w:top w:val="none" w:sz="0" w:space="0" w:color="auto"/>
            <w:left w:val="none" w:sz="0" w:space="0" w:color="auto"/>
            <w:bottom w:val="none" w:sz="0" w:space="0" w:color="auto"/>
            <w:right w:val="none" w:sz="0" w:space="0" w:color="auto"/>
          </w:divBdr>
          <w:divsChild>
            <w:div w:id="1400051422">
              <w:marLeft w:val="0"/>
              <w:marRight w:val="0"/>
              <w:marTop w:val="0"/>
              <w:marBottom w:val="0"/>
              <w:divBdr>
                <w:top w:val="none" w:sz="0" w:space="0" w:color="auto"/>
                <w:left w:val="none" w:sz="0" w:space="0" w:color="auto"/>
                <w:bottom w:val="none" w:sz="0" w:space="0" w:color="auto"/>
                <w:right w:val="none" w:sz="0" w:space="0" w:color="auto"/>
              </w:divBdr>
              <w:divsChild>
                <w:div w:id="118845120">
                  <w:marLeft w:val="0"/>
                  <w:marRight w:val="0"/>
                  <w:marTop w:val="0"/>
                  <w:marBottom w:val="0"/>
                  <w:divBdr>
                    <w:top w:val="none" w:sz="0" w:space="0" w:color="auto"/>
                    <w:left w:val="none" w:sz="0" w:space="0" w:color="auto"/>
                    <w:bottom w:val="none" w:sz="0" w:space="0" w:color="auto"/>
                    <w:right w:val="none" w:sz="0" w:space="0" w:color="auto"/>
                  </w:divBdr>
                  <w:divsChild>
                    <w:div w:id="865947770">
                      <w:marLeft w:val="0"/>
                      <w:marRight w:val="0"/>
                      <w:marTop w:val="0"/>
                      <w:marBottom w:val="0"/>
                      <w:divBdr>
                        <w:top w:val="none" w:sz="0" w:space="0" w:color="auto"/>
                        <w:left w:val="none" w:sz="0" w:space="0" w:color="auto"/>
                        <w:bottom w:val="none" w:sz="0" w:space="0" w:color="auto"/>
                        <w:right w:val="none" w:sz="0" w:space="0" w:color="auto"/>
                      </w:divBdr>
                      <w:divsChild>
                        <w:div w:id="815144253">
                          <w:marLeft w:val="0"/>
                          <w:marRight w:val="0"/>
                          <w:marTop w:val="0"/>
                          <w:marBottom w:val="0"/>
                          <w:divBdr>
                            <w:top w:val="none" w:sz="0" w:space="0" w:color="auto"/>
                            <w:left w:val="none" w:sz="0" w:space="0" w:color="auto"/>
                            <w:bottom w:val="none" w:sz="0" w:space="0" w:color="auto"/>
                            <w:right w:val="none" w:sz="0" w:space="0" w:color="auto"/>
                          </w:divBdr>
                          <w:divsChild>
                            <w:div w:id="1169441991">
                              <w:marLeft w:val="0"/>
                              <w:marRight w:val="0"/>
                              <w:marTop w:val="0"/>
                              <w:marBottom w:val="0"/>
                              <w:divBdr>
                                <w:top w:val="none" w:sz="0" w:space="0" w:color="auto"/>
                                <w:left w:val="none" w:sz="0" w:space="0" w:color="auto"/>
                                <w:bottom w:val="none" w:sz="0" w:space="0" w:color="auto"/>
                                <w:right w:val="none" w:sz="0" w:space="0" w:color="auto"/>
                              </w:divBdr>
                              <w:divsChild>
                                <w:div w:id="18153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22943">
      <w:bodyDiv w:val="1"/>
      <w:marLeft w:val="0"/>
      <w:marRight w:val="0"/>
      <w:marTop w:val="0"/>
      <w:marBottom w:val="0"/>
      <w:divBdr>
        <w:top w:val="none" w:sz="0" w:space="0" w:color="auto"/>
        <w:left w:val="none" w:sz="0" w:space="0" w:color="auto"/>
        <w:bottom w:val="none" w:sz="0" w:space="0" w:color="auto"/>
        <w:right w:val="none" w:sz="0" w:space="0" w:color="auto"/>
      </w:divBdr>
      <w:divsChild>
        <w:div w:id="1985816929">
          <w:marLeft w:val="0"/>
          <w:marRight w:val="0"/>
          <w:marTop w:val="0"/>
          <w:marBottom w:val="0"/>
          <w:divBdr>
            <w:top w:val="none" w:sz="0" w:space="0" w:color="auto"/>
            <w:left w:val="none" w:sz="0" w:space="0" w:color="auto"/>
            <w:bottom w:val="none" w:sz="0" w:space="0" w:color="auto"/>
            <w:right w:val="none" w:sz="0" w:space="0" w:color="auto"/>
          </w:divBdr>
          <w:divsChild>
            <w:div w:id="291057757">
              <w:marLeft w:val="0"/>
              <w:marRight w:val="0"/>
              <w:marTop w:val="0"/>
              <w:marBottom w:val="0"/>
              <w:divBdr>
                <w:top w:val="none" w:sz="0" w:space="0" w:color="auto"/>
                <w:left w:val="none" w:sz="0" w:space="0" w:color="auto"/>
                <w:bottom w:val="none" w:sz="0" w:space="0" w:color="auto"/>
                <w:right w:val="none" w:sz="0" w:space="0" w:color="auto"/>
              </w:divBdr>
              <w:divsChild>
                <w:div w:id="1802916016">
                  <w:marLeft w:val="0"/>
                  <w:marRight w:val="0"/>
                  <w:marTop w:val="0"/>
                  <w:marBottom w:val="0"/>
                  <w:divBdr>
                    <w:top w:val="none" w:sz="0" w:space="0" w:color="auto"/>
                    <w:left w:val="none" w:sz="0" w:space="0" w:color="auto"/>
                    <w:bottom w:val="none" w:sz="0" w:space="0" w:color="auto"/>
                    <w:right w:val="none" w:sz="0" w:space="0" w:color="auto"/>
                  </w:divBdr>
                  <w:divsChild>
                    <w:div w:id="1630895542">
                      <w:marLeft w:val="0"/>
                      <w:marRight w:val="0"/>
                      <w:marTop w:val="0"/>
                      <w:marBottom w:val="0"/>
                      <w:divBdr>
                        <w:top w:val="none" w:sz="0" w:space="0" w:color="auto"/>
                        <w:left w:val="none" w:sz="0" w:space="0" w:color="auto"/>
                        <w:bottom w:val="none" w:sz="0" w:space="0" w:color="auto"/>
                        <w:right w:val="none" w:sz="0" w:space="0" w:color="auto"/>
                      </w:divBdr>
                      <w:divsChild>
                        <w:div w:id="848182439">
                          <w:marLeft w:val="0"/>
                          <w:marRight w:val="0"/>
                          <w:marTop w:val="0"/>
                          <w:marBottom w:val="0"/>
                          <w:divBdr>
                            <w:top w:val="none" w:sz="0" w:space="0" w:color="auto"/>
                            <w:left w:val="none" w:sz="0" w:space="0" w:color="auto"/>
                            <w:bottom w:val="none" w:sz="0" w:space="0" w:color="auto"/>
                            <w:right w:val="none" w:sz="0" w:space="0" w:color="auto"/>
                          </w:divBdr>
                          <w:divsChild>
                            <w:div w:id="2073039341">
                              <w:marLeft w:val="0"/>
                              <w:marRight w:val="0"/>
                              <w:marTop w:val="0"/>
                              <w:marBottom w:val="0"/>
                              <w:divBdr>
                                <w:top w:val="none" w:sz="0" w:space="0" w:color="auto"/>
                                <w:left w:val="none" w:sz="0" w:space="0" w:color="auto"/>
                                <w:bottom w:val="none" w:sz="0" w:space="0" w:color="auto"/>
                                <w:right w:val="none" w:sz="0" w:space="0" w:color="auto"/>
                              </w:divBdr>
                              <w:divsChild>
                                <w:div w:id="19457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drr.2024.1045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889-025-2166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3669877.2024.24472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ANBU</dc:creator>
  <cp:keywords/>
  <dc:description/>
  <cp:lastModifiedBy>SDI PC New 16</cp:lastModifiedBy>
  <cp:revision>48</cp:revision>
  <dcterms:created xsi:type="dcterms:W3CDTF">2026-04-08T09:55:00Z</dcterms:created>
  <dcterms:modified xsi:type="dcterms:W3CDTF">2026-04-25T10:31:00Z</dcterms:modified>
</cp:coreProperties>
</file>