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0B491" w14:textId="2A79B5D7" w:rsidR="002C3D5B" w:rsidRPr="000505B4" w:rsidRDefault="000505B4" w:rsidP="007F3A6D">
      <w:pPr>
        <w:pBdr>
          <w:top w:val="nil"/>
          <w:left w:val="nil"/>
          <w:bottom w:val="nil"/>
          <w:right w:val="nil"/>
          <w:between w:val="nil"/>
        </w:pBdr>
        <w:spacing w:after="0"/>
        <w:rPr>
          <w:rFonts w:ascii="Times New Roman" w:eastAsia="Times New Roman" w:hAnsi="Times New Roman" w:cs="Times New Roman"/>
          <w:b/>
          <w:bCs/>
          <w:color w:val="000000"/>
          <w:sz w:val="24"/>
          <w:szCs w:val="24"/>
          <w:u w:val="single"/>
        </w:rPr>
      </w:pPr>
      <w:r w:rsidRPr="000505B4">
        <w:rPr>
          <w:rFonts w:ascii="Times New Roman" w:eastAsia="Times New Roman" w:hAnsi="Times New Roman" w:cs="Times New Roman"/>
          <w:b/>
          <w:bCs/>
          <w:color w:val="000000"/>
          <w:sz w:val="24"/>
          <w:szCs w:val="24"/>
          <w:u w:val="single"/>
        </w:rPr>
        <w:t>Original Research Article</w:t>
      </w:r>
    </w:p>
    <w:p w14:paraId="1778913B" w14:textId="76E0141E" w:rsidR="004A2A5B" w:rsidRDefault="006623F1" w:rsidP="007F3A6D">
      <w:pPr>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EFFECTIVENESS OF THE HERRINGBONE SEATING ARRANGEMENT </w:t>
      </w:r>
      <w:r>
        <w:rPr>
          <w:rFonts w:ascii="Times New Roman" w:eastAsia="Times New Roman" w:hAnsi="Times New Roman" w:cs="Times New Roman"/>
          <w:b/>
          <w:bCs/>
          <w:sz w:val="24"/>
          <w:szCs w:val="24"/>
        </w:rPr>
        <w:t>I</w:t>
      </w:r>
      <w:r>
        <w:rPr>
          <w:rFonts w:ascii="Times New Roman" w:eastAsia="Times New Roman" w:hAnsi="Times New Roman" w:cs="Times New Roman"/>
          <w:b/>
          <w:bCs/>
          <w:color w:val="000000"/>
          <w:sz w:val="24"/>
          <w:szCs w:val="24"/>
        </w:rPr>
        <w:t xml:space="preserve">N IMPROVING CLASSROOM PARTICIPATION </w:t>
      </w:r>
      <w:r>
        <w:rPr>
          <w:rFonts w:ascii="Times New Roman" w:eastAsia="Times New Roman" w:hAnsi="Times New Roman" w:cs="Times New Roman"/>
          <w:b/>
          <w:bCs/>
          <w:sz w:val="24"/>
          <w:szCs w:val="24"/>
        </w:rPr>
        <w:t>AMONG</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sz w:val="24"/>
          <w:szCs w:val="24"/>
        </w:rPr>
        <w:t>ARALING PANLIPUNAN</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sz w:val="24"/>
          <w:szCs w:val="24"/>
        </w:rPr>
        <w:t>STUDENTS</w:t>
      </w:r>
    </w:p>
    <w:p w14:paraId="07683FB5" w14:textId="77777777" w:rsidR="004A2A5B" w:rsidRDefault="004A2A5B" w:rsidP="007F3A6D">
      <w:pPr>
        <w:pBdr>
          <w:top w:val="nil"/>
          <w:left w:val="nil"/>
          <w:bottom w:val="nil"/>
          <w:right w:val="nil"/>
          <w:between w:val="nil"/>
        </w:pBdr>
        <w:spacing w:after="0"/>
        <w:jc w:val="center"/>
        <w:rPr>
          <w:rFonts w:ascii="Times New Roman" w:eastAsia="Times New Roman" w:hAnsi="Times New Roman" w:cs="Times New Roman"/>
          <w:b/>
          <w:bCs/>
          <w:color w:val="000000"/>
          <w:sz w:val="22"/>
          <w:szCs w:val="22"/>
        </w:rPr>
      </w:pPr>
    </w:p>
    <w:p w14:paraId="38D938D4" w14:textId="17418155" w:rsidR="004A2A5B" w:rsidRDefault="004A2A5B">
      <w:pPr>
        <w:spacing w:after="0"/>
        <w:jc w:val="center"/>
        <w:rPr>
          <w:rFonts w:ascii="Times New Roman" w:eastAsia="Times New Roman" w:hAnsi="Times New Roman" w:cs="Times New Roman"/>
          <w:color w:val="000000"/>
          <w:sz w:val="22"/>
          <w:szCs w:val="22"/>
          <w:vertAlign w:val="superscript"/>
        </w:rPr>
      </w:pPr>
    </w:p>
    <w:p w14:paraId="470B4809" w14:textId="77777777" w:rsidR="004C4711" w:rsidRDefault="004C4711">
      <w:pPr>
        <w:spacing w:after="0"/>
        <w:jc w:val="center"/>
      </w:pPr>
    </w:p>
    <w:p w14:paraId="0065F49C" w14:textId="77777777" w:rsidR="004A2A5B" w:rsidRDefault="006623F1">
      <w:pPr>
        <w:spacing w:after="0" w:line="276"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ABSTRACT</w:t>
      </w:r>
    </w:p>
    <w:p w14:paraId="6265C51C" w14:textId="77777777" w:rsidR="004A2A5B" w:rsidRDefault="004A2A5B">
      <w:p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p>
    <w:p w14:paraId="69A7261B" w14:textId="2EA7598B" w:rsidR="000C272A" w:rsidRPr="000C272A" w:rsidRDefault="000C272A" w:rsidP="000C272A">
      <w:pPr>
        <w:ind w:firstLine="720"/>
        <w:jc w:val="both"/>
        <w:rPr>
          <w:rFonts w:ascii="Times New Roman" w:eastAsia="Times New Roman" w:hAnsi="Times New Roman" w:cs="Times New Roman"/>
          <w:color w:val="000000"/>
          <w:sz w:val="22"/>
          <w:szCs w:val="22"/>
        </w:rPr>
      </w:pPr>
      <w:r w:rsidRPr="000C272A">
        <w:rPr>
          <w:rFonts w:ascii="Times New Roman" w:eastAsia="Times New Roman" w:hAnsi="Times New Roman" w:cs="Times New Roman"/>
          <w:color w:val="000000"/>
          <w:sz w:val="22"/>
          <w:szCs w:val="22"/>
        </w:rPr>
        <w:t>In Philippine junior high school Economics classes, traditional grid seating arrangements exacerbate student passivity by reinforcing teacher-centered strategies, restricting peer visibility, and minimizing collaborative dialogue on abstract concepts like supply-demand dynamics. Addressing this gap, this quantitative classroom-based action research evaluated the Herringbone Seating Arrangement—wherein chairs are positioned at a 45-degree angle toward the front, tilted slightly to form a V-shape that optimizes lines of sight to the teacher and adjacent peers—aimed to maximize both active participation (e.g., asking/answering questions, discussing lessons) and passive participation (e.g., attentive listening, note-taking) among Grade 9 students in a public laboratory high school. Data were gathered pre-intervention under grid seating and post-intervention after Herringbone implementation, analyzed using descriptive statistics (percentages, means, standard deviations) and paired samples t-test assuming equal variances (significance at p &lt; 0.05). Findings demonstrated substantial improvements: active participation surged from 45% to 78% of students actively engaging, passive participation from 62% to 89% showing sustained focus (paired t-test p = 0.00001), with the arrangement notably enhancing student-teacher interactions and peer discussions during economic analyses. The study concluded that Herringbone seating is highly effective for elevating overall classroom participation in Economics, providing teachers, school administrators, and curriculum developers with evidence-based insights to redesign physical environments, foster interactive pedagogies, and ultimately improve learner outcomes in social studies subjects.</w:t>
      </w:r>
    </w:p>
    <w:p w14:paraId="1E1DF133" w14:textId="77777777" w:rsidR="00C90DAA" w:rsidRPr="00C90DAA" w:rsidRDefault="00C90DAA" w:rsidP="000C272A">
      <w:p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p>
    <w:p w14:paraId="06139E98" w14:textId="4C8EA36D" w:rsidR="004A2A5B" w:rsidRDefault="006623F1" w:rsidP="000C272A">
      <w:pPr>
        <w:pBdr>
          <w:top w:val="nil"/>
          <w:left w:val="nil"/>
          <w:bottom w:val="nil"/>
          <w:right w:val="nil"/>
          <w:between w:val="nil"/>
        </w:pBdr>
        <w:spacing w:after="0" w:line="276" w:lineRule="auto"/>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Keywords: Herringbone, Seating Arrangement, Participation</w:t>
      </w:r>
      <w:r w:rsidR="005B3B45">
        <w:rPr>
          <w:rFonts w:ascii="Times New Roman" w:eastAsia="Times New Roman" w:hAnsi="Times New Roman" w:cs="Times New Roman"/>
          <w:i/>
          <w:iCs/>
          <w:color w:val="000000"/>
          <w:sz w:val="22"/>
          <w:szCs w:val="22"/>
        </w:rPr>
        <w:t xml:space="preserve">, </w:t>
      </w:r>
      <w:proofErr w:type="spellStart"/>
      <w:r w:rsidR="005B3B45">
        <w:rPr>
          <w:rFonts w:ascii="Times New Roman" w:eastAsia="Times New Roman" w:hAnsi="Times New Roman" w:cs="Times New Roman"/>
          <w:i/>
          <w:iCs/>
          <w:color w:val="000000"/>
          <w:sz w:val="22"/>
          <w:szCs w:val="22"/>
        </w:rPr>
        <w:t>Araling</w:t>
      </w:r>
      <w:proofErr w:type="spellEnd"/>
      <w:r w:rsidR="005B3B45">
        <w:rPr>
          <w:rFonts w:ascii="Times New Roman" w:eastAsia="Times New Roman" w:hAnsi="Times New Roman" w:cs="Times New Roman"/>
          <w:i/>
          <w:iCs/>
          <w:color w:val="000000"/>
          <w:sz w:val="22"/>
          <w:szCs w:val="22"/>
        </w:rPr>
        <w:t xml:space="preserve"> </w:t>
      </w:r>
      <w:proofErr w:type="spellStart"/>
      <w:r w:rsidR="005B3B45">
        <w:rPr>
          <w:rFonts w:ascii="Times New Roman" w:eastAsia="Times New Roman" w:hAnsi="Times New Roman" w:cs="Times New Roman"/>
          <w:i/>
          <w:iCs/>
          <w:color w:val="000000"/>
          <w:sz w:val="22"/>
          <w:szCs w:val="22"/>
        </w:rPr>
        <w:t>Panlipunan</w:t>
      </w:r>
      <w:proofErr w:type="spellEnd"/>
    </w:p>
    <w:p w14:paraId="39B7E591" w14:textId="77777777" w:rsidR="004A2A5B" w:rsidRDefault="006623F1" w:rsidP="000C272A">
      <w:p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p w14:paraId="5EEEB5EE" w14:textId="77777777" w:rsidR="004A2A5B" w:rsidRDefault="006623F1">
      <w:pPr>
        <w:spacing w:before="315" w:after="105" w:line="276" w:lineRule="auto"/>
        <w:ind w:left="-30"/>
        <w:jc w:val="both"/>
        <w:rPr>
          <w:rFonts w:ascii="Times New Roman" w:eastAsia="Times New Roman" w:hAnsi="Times New Roman" w:cs="Times New Roman"/>
          <w:b/>
          <w:bCs/>
          <w:sz w:val="22"/>
          <w:szCs w:val="22"/>
        </w:rPr>
      </w:pPr>
      <w:r>
        <w:rPr>
          <w:rFonts w:ascii="Times New Roman" w:eastAsia="Times New Roman" w:hAnsi="Times New Roman" w:cs="Times New Roman"/>
          <w:b/>
          <w:bCs/>
          <w:color w:val="000000"/>
          <w:sz w:val="22"/>
          <w:szCs w:val="22"/>
        </w:rPr>
        <w:t>INTRODUCTION</w:t>
      </w:r>
    </w:p>
    <w:p w14:paraId="4394E014" w14:textId="77777777" w:rsidR="00117569" w:rsidRPr="00117569" w:rsidRDefault="00117569" w:rsidP="00B40849">
      <w:pPr>
        <w:spacing w:before="210" w:after="0" w:line="276" w:lineRule="auto"/>
        <w:ind w:firstLine="720"/>
        <w:jc w:val="both"/>
        <w:rPr>
          <w:rFonts w:ascii="Times New Roman" w:eastAsia="Times New Roman" w:hAnsi="Times New Roman" w:cs="Times New Roman"/>
          <w:color w:val="000000"/>
          <w:sz w:val="22"/>
          <w:szCs w:val="22"/>
        </w:rPr>
      </w:pPr>
      <w:bookmarkStart w:id="0" w:name="bookmark=id.h6ksc3pqbcm5" w:colFirst="0" w:colLast="0"/>
      <w:bookmarkEnd w:id="0"/>
      <w:r w:rsidRPr="00117569">
        <w:rPr>
          <w:rFonts w:ascii="Times New Roman" w:eastAsia="Times New Roman" w:hAnsi="Times New Roman" w:cs="Times New Roman"/>
          <w:color w:val="000000"/>
          <w:sz w:val="22"/>
          <w:szCs w:val="22"/>
        </w:rPr>
        <w:t>The physical learning environment is a fundamental dimension of high-quality instruction because it mediates how teaching and learning unfold in the classroom (</w:t>
      </w:r>
      <w:proofErr w:type="spellStart"/>
      <w:r w:rsidRPr="00117569">
        <w:rPr>
          <w:rFonts w:ascii="Times New Roman" w:eastAsia="Times New Roman" w:hAnsi="Times New Roman" w:cs="Times New Roman"/>
          <w:color w:val="000000"/>
          <w:sz w:val="22"/>
          <w:szCs w:val="22"/>
        </w:rPr>
        <w:t>Zerin</w:t>
      </w:r>
      <w:proofErr w:type="spellEnd"/>
      <w:r w:rsidRPr="00117569">
        <w:rPr>
          <w:rFonts w:ascii="Times New Roman" w:eastAsia="Times New Roman" w:hAnsi="Times New Roman" w:cs="Times New Roman"/>
          <w:color w:val="000000"/>
          <w:sz w:val="22"/>
          <w:szCs w:val="22"/>
        </w:rPr>
        <w:t>, 2009). Designing optimal seating arrangements that enhance academic performance is a key aspect of classroom management; however, poorly designed layouts can constrain students’ opportunities to participate and engage (</w:t>
      </w:r>
      <w:proofErr w:type="spellStart"/>
      <w:r w:rsidRPr="00117569">
        <w:rPr>
          <w:rFonts w:ascii="Times New Roman" w:eastAsia="Times New Roman" w:hAnsi="Times New Roman" w:cs="Times New Roman"/>
          <w:color w:val="000000"/>
          <w:sz w:val="22"/>
          <w:szCs w:val="22"/>
        </w:rPr>
        <w:t>Zerin</w:t>
      </w:r>
      <w:proofErr w:type="spellEnd"/>
      <w:r w:rsidRPr="00117569">
        <w:rPr>
          <w:rFonts w:ascii="Times New Roman" w:eastAsia="Times New Roman" w:hAnsi="Times New Roman" w:cs="Times New Roman"/>
          <w:color w:val="000000"/>
          <w:sz w:val="22"/>
          <w:szCs w:val="22"/>
        </w:rPr>
        <w:t xml:space="preserve">, 2009; </w:t>
      </w:r>
      <w:proofErr w:type="spellStart"/>
      <w:r w:rsidRPr="00117569">
        <w:rPr>
          <w:rFonts w:ascii="Times New Roman" w:eastAsia="Times New Roman" w:hAnsi="Times New Roman" w:cs="Times New Roman"/>
          <w:color w:val="000000"/>
          <w:sz w:val="22"/>
          <w:szCs w:val="22"/>
        </w:rPr>
        <w:t>Trila</w:t>
      </w:r>
      <w:proofErr w:type="spellEnd"/>
      <w:r w:rsidRPr="00117569">
        <w:rPr>
          <w:rFonts w:ascii="Times New Roman" w:eastAsia="Times New Roman" w:hAnsi="Times New Roman" w:cs="Times New Roman"/>
          <w:color w:val="000000"/>
          <w:sz w:val="22"/>
          <w:szCs w:val="22"/>
        </w:rPr>
        <w:t xml:space="preserve"> and Anwar, 2019). Logistics such as classroom size, curriculum type, and seating configuration have been identified as major factors affecting students’ passivity, underscoring the importance of a well-designed classroom that is educationally stimulating, promotes learner well-being, and supports academic processes (Rocca, 2010; Adeyemo, 2012). Recent meta-analyses confirm these effects, showing that innovative seating—like clustered or angled designs—boosts on-task behavior and engagement by up to 25% across diverse subjects (Fernandes et al., 2024).</w:t>
      </w:r>
    </w:p>
    <w:p w14:paraId="6052D4C0" w14:textId="77777777" w:rsidR="00117569" w:rsidRPr="00117569" w:rsidRDefault="00117569" w:rsidP="00B40849">
      <w:pPr>
        <w:spacing w:before="210" w:after="0" w:line="276" w:lineRule="auto"/>
        <w:ind w:firstLine="720"/>
        <w:jc w:val="both"/>
        <w:rPr>
          <w:rFonts w:ascii="Times New Roman" w:eastAsia="Times New Roman" w:hAnsi="Times New Roman" w:cs="Times New Roman"/>
          <w:color w:val="000000"/>
          <w:sz w:val="22"/>
          <w:szCs w:val="22"/>
        </w:rPr>
      </w:pPr>
      <w:r w:rsidRPr="00117569">
        <w:rPr>
          <w:rFonts w:ascii="Times New Roman" w:eastAsia="Times New Roman" w:hAnsi="Times New Roman" w:cs="Times New Roman"/>
          <w:color w:val="000000"/>
          <w:sz w:val="22"/>
          <w:szCs w:val="22"/>
        </w:rPr>
        <w:t>The classroom environment is also a crucial socialization context where learners from diverse socioeconomic backgrounds are educated, and appropriate seating layouts have been linked to better academic performance, on-task behavior, participation, and peer relationships (</w:t>
      </w:r>
      <w:proofErr w:type="spellStart"/>
      <w:r w:rsidRPr="00117569">
        <w:rPr>
          <w:rFonts w:ascii="Times New Roman" w:eastAsia="Times New Roman" w:hAnsi="Times New Roman" w:cs="Times New Roman"/>
          <w:color w:val="000000"/>
          <w:sz w:val="22"/>
          <w:szCs w:val="22"/>
        </w:rPr>
        <w:t>Adesua</w:t>
      </w:r>
      <w:proofErr w:type="spellEnd"/>
      <w:r w:rsidRPr="00117569">
        <w:rPr>
          <w:rFonts w:ascii="Times New Roman" w:eastAsia="Times New Roman" w:hAnsi="Times New Roman" w:cs="Times New Roman"/>
          <w:color w:val="000000"/>
          <w:sz w:val="22"/>
          <w:szCs w:val="22"/>
        </w:rPr>
        <w:t xml:space="preserve">, 2014; </w:t>
      </w:r>
      <w:proofErr w:type="spellStart"/>
      <w:r w:rsidRPr="00117569">
        <w:rPr>
          <w:rFonts w:ascii="Times New Roman" w:eastAsia="Times New Roman" w:hAnsi="Times New Roman" w:cs="Times New Roman"/>
          <w:color w:val="000000"/>
          <w:sz w:val="22"/>
          <w:szCs w:val="22"/>
        </w:rPr>
        <w:t>InnerDrive</w:t>
      </w:r>
      <w:proofErr w:type="spellEnd"/>
      <w:r w:rsidRPr="00117569">
        <w:rPr>
          <w:rFonts w:ascii="Times New Roman" w:eastAsia="Times New Roman" w:hAnsi="Times New Roman" w:cs="Times New Roman"/>
          <w:color w:val="000000"/>
          <w:sz w:val="22"/>
          <w:szCs w:val="22"/>
        </w:rPr>
        <w:t xml:space="preserve"> Ltd., 2022). Participation, defined as students’ involvement in classroom activities, enables them to construct knowledge, demonstrate understanding, and apply learned theories. It can be categorized into active and </w:t>
      </w:r>
      <w:r w:rsidRPr="00117569">
        <w:rPr>
          <w:rFonts w:ascii="Times New Roman" w:eastAsia="Times New Roman" w:hAnsi="Times New Roman" w:cs="Times New Roman"/>
          <w:color w:val="000000"/>
          <w:sz w:val="22"/>
          <w:szCs w:val="22"/>
        </w:rPr>
        <w:lastRenderedPageBreak/>
        <w:t xml:space="preserve">passive forms: active participation includes asking and answering questions and discussing lessons, while passive participation includes listening, note-taking, and quietly observing (Jones, 1999; Abdullah, Abu Bakar, and </w:t>
      </w:r>
      <w:proofErr w:type="spellStart"/>
      <w:r w:rsidRPr="00117569">
        <w:rPr>
          <w:rFonts w:ascii="Times New Roman" w:eastAsia="Times New Roman" w:hAnsi="Times New Roman" w:cs="Times New Roman"/>
          <w:color w:val="000000"/>
          <w:sz w:val="22"/>
          <w:szCs w:val="22"/>
        </w:rPr>
        <w:t>Mahbob</w:t>
      </w:r>
      <w:proofErr w:type="spellEnd"/>
      <w:r w:rsidRPr="00117569">
        <w:rPr>
          <w:rFonts w:ascii="Times New Roman" w:eastAsia="Times New Roman" w:hAnsi="Times New Roman" w:cs="Times New Roman"/>
          <w:color w:val="000000"/>
          <w:sz w:val="22"/>
          <w:szCs w:val="22"/>
        </w:rPr>
        <w:t>, 2021).</w:t>
      </w:r>
    </w:p>
    <w:p w14:paraId="1D066B66" w14:textId="77777777" w:rsidR="00117569" w:rsidRPr="00117569" w:rsidRDefault="00117569" w:rsidP="00B40849">
      <w:pPr>
        <w:spacing w:before="210" w:after="0" w:line="276" w:lineRule="auto"/>
        <w:ind w:firstLine="720"/>
        <w:jc w:val="both"/>
        <w:rPr>
          <w:rFonts w:ascii="Times New Roman" w:eastAsia="Times New Roman" w:hAnsi="Times New Roman" w:cs="Times New Roman"/>
          <w:color w:val="000000"/>
          <w:sz w:val="22"/>
          <w:szCs w:val="22"/>
        </w:rPr>
      </w:pPr>
      <w:r w:rsidRPr="00117569">
        <w:rPr>
          <w:rFonts w:ascii="Times New Roman" w:eastAsia="Times New Roman" w:hAnsi="Times New Roman" w:cs="Times New Roman"/>
          <w:color w:val="000000"/>
          <w:sz w:val="22"/>
          <w:szCs w:val="22"/>
        </w:rPr>
        <w:t xml:space="preserve">Students’ participation is influenced by individual traits and the structural features of the classroom, including seating arrangement; shyness, fear of mistakes, and dislike of the physical environment can reduce motivation and engagement (Weaver &amp; Qi, 2005; Steve &amp; Richard, 2013; </w:t>
      </w:r>
      <w:proofErr w:type="spellStart"/>
      <w:r w:rsidRPr="00117569">
        <w:rPr>
          <w:rFonts w:ascii="Times New Roman" w:eastAsia="Times New Roman" w:hAnsi="Times New Roman" w:cs="Times New Roman"/>
          <w:color w:val="000000"/>
          <w:sz w:val="22"/>
          <w:szCs w:val="22"/>
        </w:rPr>
        <w:t>Asiyai</w:t>
      </w:r>
      <w:proofErr w:type="spellEnd"/>
      <w:r w:rsidRPr="00117569">
        <w:rPr>
          <w:rFonts w:ascii="Times New Roman" w:eastAsia="Times New Roman" w:hAnsi="Times New Roman" w:cs="Times New Roman"/>
          <w:color w:val="000000"/>
          <w:sz w:val="22"/>
          <w:szCs w:val="22"/>
        </w:rPr>
        <w:t>, 2014). Recent research indicates that alternative seating layouts—such as horseshoe and flexible group arrangements—can promote social interaction by opening lines of sight and reducing barriers to peer communication, similar to the effects originally reported for V‑shaped or angled seating (Rogers, 2020). Specifically, the Herringbone arrangement—diagonal rows facing forward—has shown promise in fostering both active discussion and visual access to the teacher, increasing participation by 18–30% in secondary social studies classes compared to traditional grids (</w:t>
      </w:r>
      <w:proofErr w:type="spellStart"/>
      <w:r w:rsidRPr="00117569">
        <w:rPr>
          <w:rFonts w:ascii="Times New Roman" w:eastAsia="Times New Roman" w:hAnsi="Times New Roman" w:cs="Times New Roman"/>
          <w:color w:val="000000"/>
          <w:sz w:val="22"/>
          <w:szCs w:val="22"/>
        </w:rPr>
        <w:t>Wanniarachchi</w:t>
      </w:r>
      <w:proofErr w:type="spellEnd"/>
      <w:r w:rsidRPr="00117569">
        <w:rPr>
          <w:rFonts w:ascii="Times New Roman" w:eastAsia="Times New Roman" w:hAnsi="Times New Roman" w:cs="Times New Roman"/>
          <w:color w:val="000000"/>
          <w:sz w:val="22"/>
          <w:szCs w:val="22"/>
        </w:rPr>
        <w:t xml:space="preserve">, 2022; </w:t>
      </w:r>
      <w:proofErr w:type="spellStart"/>
      <w:r w:rsidRPr="00117569">
        <w:rPr>
          <w:rFonts w:ascii="Times New Roman" w:eastAsia="Times New Roman" w:hAnsi="Times New Roman" w:cs="Times New Roman"/>
          <w:color w:val="000000"/>
          <w:sz w:val="22"/>
          <w:szCs w:val="22"/>
        </w:rPr>
        <w:t>Byiringiro</w:t>
      </w:r>
      <w:proofErr w:type="spellEnd"/>
      <w:r w:rsidRPr="00117569">
        <w:rPr>
          <w:rFonts w:ascii="Times New Roman" w:eastAsia="Times New Roman" w:hAnsi="Times New Roman" w:cs="Times New Roman"/>
          <w:color w:val="000000"/>
          <w:sz w:val="22"/>
          <w:szCs w:val="22"/>
        </w:rPr>
        <w:t>, 2023). This aligns with a 2023 study in economics education, where Herringbone reduced passivity and enhanced collaborative analysis of real-world concepts like supply-demand dynamics (Gómez &amp; Ruiz, 2023). These findings build on Dewey’s (1897) view of learners as social beings whose learning is enhanced by interaction, and with findings that semi‑circular and decentralized configurations increase peer interaction and engagement in school subjects (</w:t>
      </w:r>
      <w:proofErr w:type="spellStart"/>
      <w:r w:rsidRPr="00117569">
        <w:rPr>
          <w:rFonts w:ascii="Times New Roman" w:eastAsia="Times New Roman" w:hAnsi="Times New Roman" w:cs="Times New Roman"/>
          <w:color w:val="000000"/>
          <w:sz w:val="22"/>
          <w:szCs w:val="22"/>
        </w:rPr>
        <w:t>Byiringiro</w:t>
      </w:r>
      <w:proofErr w:type="spellEnd"/>
      <w:r w:rsidRPr="00117569">
        <w:rPr>
          <w:rFonts w:ascii="Times New Roman" w:eastAsia="Times New Roman" w:hAnsi="Times New Roman" w:cs="Times New Roman"/>
          <w:color w:val="000000"/>
          <w:sz w:val="22"/>
          <w:szCs w:val="22"/>
        </w:rPr>
        <w:t>, 2023; Rogers, 2020).</w:t>
      </w:r>
    </w:p>
    <w:p w14:paraId="3E577202" w14:textId="778064CA" w:rsidR="004A2A5B" w:rsidRDefault="00117569" w:rsidP="00B40849">
      <w:pPr>
        <w:spacing w:before="210" w:after="0" w:line="276" w:lineRule="auto"/>
        <w:ind w:firstLine="720"/>
        <w:jc w:val="both"/>
        <w:rPr>
          <w:rFonts w:ascii="Times New Roman" w:eastAsia="Times New Roman" w:hAnsi="Times New Roman" w:cs="Times New Roman"/>
          <w:b/>
          <w:bCs/>
          <w:sz w:val="22"/>
          <w:szCs w:val="22"/>
        </w:rPr>
      </w:pPr>
      <w:r w:rsidRPr="00117569">
        <w:rPr>
          <w:rFonts w:ascii="Times New Roman" w:eastAsia="Times New Roman" w:hAnsi="Times New Roman" w:cs="Times New Roman"/>
          <w:color w:val="000000"/>
          <w:sz w:val="22"/>
          <w:szCs w:val="22"/>
        </w:rPr>
        <w:t xml:space="preserve">In the Philippine context, </w:t>
      </w:r>
      <w:proofErr w:type="spellStart"/>
      <w:r w:rsidRPr="00117569">
        <w:rPr>
          <w:rFonts w:ascii="Times New Roman" w:eastAsia="Times New Roman" w:hAnsi="Times New Roman" w:cs="Times New Roman"/>
          <w:color w:val="000000"/>
          <w:sz w:val="22"/>
          <w:szCs w:val="22"/>
        </w:rPr>
        <w:t>Araling</w:t>
      </w:r>
      <w:proofErr w:type="spellEnd"/>
      <w:r w:rsidRPr="00117569">
        <w:rPr>
          <w:rFonts w:ascii="Times New Roman" w:eastAsia="Times New Roman" w:hAnsi="Times New Roman" w:cs="Times New Roman"/>
          <w:color w:val="000000"/>
          <w:sz w:val="22"/>
          <w:szCs w:val="22"/>
        </w:rPr>
        <w:t xml:space="preserve"> </w:t>
      </w:r>
      <w:proofErr w:type="spellStart"/>
      <w:r w:rsidRPr="00117569">
        <w:rPr>
          <w:rFonts w:ascii="Times New Roman" w:eastAsia="Times New Roman" w:hAnsi="Times New Roman" w:cs="Times New Roman"/>
          <w:color w:val="000000"/>
          <w:sz w:val="22"/>
          <w:szCs w:val="22"/>
        </w:rPr>
        <w:t>Panlipunan</w:t>
      </w:r>
      <w:proofErr w:type="spellEnd"/>
      <w:r w:rsidRPr="00117569">
        <w:rPr>
          <w:rFonts w:ascii="Times New Roman" w:eastAsia="Times New Roman" w:hAnsi="Times New Roman" w:cs="Times New Roman"/>
          <w:color w:val="000000"/>
          <w:sz w:val="22"/>
          <w:szCs w:val="22"/>
        </w:rPr>
        <w:t>, including Economics, is often perceived as uninteresting due to limited engaging methods, few activities, and teacher‑centered strategies, which contribute to student passivity (</w:t>
      </w:r>
      <w:proofErr w:type="spellStart"/>
      <w:r w:rsidRPr="00117569">
        <w:rPr>
          <w:rFonts w:ascii="Times New Roman" w:eastAsia="Times New Roman" w:hAnsi="Times New Roman" w:cs="Times New Roman"/>
          <w:color w:val="000000"/>
          <w:sz w:val="22"/>
          <w:szCs w:val="22"/>
        </w:rPr>
        <w:t>Bual</w:t>
      </w:r>
      <w:proofErr w:type="spellEnd"/>
      <w:r w:rsidRPr="00117569">
        <w:rPr>
          <w:rFonts w:ascii="Times New Roman" w:eastAsia="Times New Roman" w:hAnsi="Times New Roman" w:cs="Times New Roman"/>
          <w:color w:val="000000"/>
          <w:sz w:val="22"/>
          <w:szCs w:val="22"/>
        </w:rPr>
        <w:t xml:space="preserve"> &amp; Madrigal, 2023). Traditional Grid seating exacerbates this by limiting eye contact and group dialogue, making abstract economic topics feel even more disconnected. Although prior research links classroom ecology and seating arrangements to academic activities, empirical evidence on specific configurations such as Herringbone in Philippine junior high school Economics classes remains limited, particularly studies that examine both active and passive participation (</w:t>
      </w:r>
      <w:proofErr w:type="spellStart"/>
      <w:r w:rsidRPr="00117569">
        <w:rPr>
          <w:rFonts w:ascii="Times New Roman" w:eastAsia="Times New Roman" w:hAnsi="Times New Roman" w:cs="Times New Roman"/>
          <w:color w:val="000000"/>
          <w:sz w:val="22"/>
          <w:szCs w:val="22"/>
        </w:rPr>
        <w:t>Trila</w:t>
      </w:r>
      <w:proofErr w:type="spellEnd"/>
      <w:r w:rsidRPr="00117569">
        <w:rPr>
          <w:rFonts w:ascii="Times New Roman" w:eastAsia="Times New Roman" w:hAnsi="Times New Roman" w:cs="Times New Roman"/>
          <w:color w:val="000000"/>
          <w:sz w:val="22"/>
          <w:szCs w:val="22"/>
        </w:rPr>
        <w:t xml:space="preserve"> &amp; Anwar, 2019; Umar, 2017). A 2024 review of Asian classrooms highlights this gap, noting Herringbone's potential for economics but calling for localized action research amid rising demands for interactive pedagogies post-pandemic (Li &amp; Santos, 2024). Addressing this gap, the present classroom‑based action research investigates the effectiveness of the Herringbone seating arrangement, compared with the traditional Grid layout, on the active and passive classroom participation of Grade 9 Economics learners in a Philippine laboratory high school.</w:t>
      </w:r>
    </w:p>
    <w:p w14:paraId="3BBD9D3B" w14:textId="77777777" w:rsidR="004A2A5B" w:rsidRDefault="006623F1">
      <w:pPr>
        <w:spacing w:before="210" w:after="0" w:line="276" w:lineRule="auto"/>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Research Objectives</w:t>
      </w:r>
    </w:p>
    <w:p w14:paraId="7445A67D" w14:textId="77777777" w:rsidR="004A2A5B" w:rsidRDefault="006623F1">
      <w:pPr>
        <w:spacing w:before="210" w:after="0" w:line="276" w:lineRule="auto"/>
        <w:ind w:firstLine="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This paper </w:t>
      </w:r>
      <w:r>
        <w:rPr>
          <w:rFonts w:ascii="Times New Roman" w:eastAsia="Times New Roman" w:hAnsi="Times New Roman" w:cs="Times New Roman"/>
          <w:sz w:val="22"/>
          <w:szCs w:val="22"/>
        </w:rPr>
        <w:t>aimed to determine</w:t>
      </w:r>
      <w:r>
        <w:rPr>
          <w:rFonts w:ascii="Times New Roman" w:eastAsia="Times New Roman" w:hAnsi="Times New Roman" w:cs="Times New Roman"/>
          <w:color w:val="000000"/>
          <w:sz w:val="22"/>
          <w:szCs w:val="22"/>
        </w:rPr>
        <w:t xml:space="preserve"> the effectiveness of the Herringbone seating arrangement in improving the classroom participation of Economics 9 learners, in comparison with the traditional Grid seating arrangement. Specifically, this study sought to answer the following questions:</w:t>
      </w:r>
    </w:p>
    <w:p w14:paraId="2F11033F" w14:textId="77777777" w:rsidR="004A2A5B" w:rsidRDefault="006623F1">
      <w:pPr>
        <w:numPr>
          <w:ilvl w:val="0"/>
          <w:numId w:val="1"/>
        </w:numPr>
        <w:pBdr>
          <w:top w:val="nil"/>
          <w:left w:val="nil"/>
          <w:bottom w:val="nil"/>
          <w:right w:val="nil"/>
          <w:between w:val="nil"/>
        </w:pBdr>
        <w:spacing w:before="210"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What is the predominant form of participation observed in the </w:t>
      </w:r>
      <w:proofErr w:type="spellStart"/>
      <w:r>
        <w:rPr>
          <w:rFonts w:ascii="Times New Roman" w:eastAsia="Times New Roman" w:hAnsi="Times New Roman" w:cs="Times New Roman"/>
          <w:sz w:val="22"/>
          <w:szCs w:val="22"/>
        </w:rPr>
        <w:t>Araling</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Panlipunan</w:t>
      </w:r>
      <w:proofErr w:type="spellEnd"/>
      <w:r>
        <w:rPr>
          <w:rFonts w:ascii="Times New Roman" w:eastAsia="Times New Roman" w:hAnsi="Times New Roman" w:cs="Times New Roman"/>
          <w:color w:val="000000"/>
          <w:sz w:val="22"/>
          <w:szCs w:val="22"/>
        </w:rPr>
        <w:t xml:space="preserve"> class prior to the application of the Herringbone seating arrangement intervention?</w:t>
      </w:r>
    </w:p>
    <w:p w14:paraId="3AB648B3" w14:textId="77777777" w:rsidR="004A2A5B" w:rsidRDefault="006623F1">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What is the predominant form of participation observed among </w:t>
      </w:r>
      <w:proofErr w:type="spellStart"/>
      <w:r>
        <w:rPr>
          <w:rFonts w:ascii="Times New Roman" w:eastAsia="Times New Roman" w:hAnsi="Times New Roman" w:cs="Times New Roman"/>
          <w:sz w:val="22"/>
          <w:szCs w:val="22"/>
        </w:rPr>
        <w:t>Araling</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Panlipunan</w:t>
      </w:r>
      <w:proofErr w:type="spellEnd"/>
      <w:r>
        <w:rPr>
          <w:rFonts w:ascii="Times New Roman" w:eastAsia="Times New Roman" w:hAnsi="Times New Roman" w:cs="Times New Roman"/>
          <w:sz w:val="22"/>
          <w:szCs w:val="22"/>
        </w:rPr>
        <w:t xml:space="preserve"> learners</w:t>
      </w:r>
      <w:r>
        <w:rPr>
          <w:rFonts w:ascii="Times New Roman" w:eastAsia="Times New Roman" w:hAnsi="Times New Roman" w:cs="Times New Roman"/>
          <w:color w:val="000000"/>
          <w:sz w:val="22"/>
          <w:szCs w:val="22"/>
        </w:rPr>
        <w:t xml:space="preserve"> following the implementation of the Herringbone seating arrangement?</w:t>
      </w:r>
    </w:p>
    <w:p w14:paraId="7E0FD96F" w14:textId="77777777" w:rsidR="004A2A5B" w:rsidRDefault="006623F1">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Is there a significant improvement in student participation following the implementation of the Herringbone seating arrangement in the </w:t>
      </w:r>
      <w:proofErr w:type="spellStart"/>
      <w:r>
        <w:rPr>
          <w:rFonts w:ascii="Times New Roman" w:eastAsia="Times New Roman" w:hAnsi="Times New Roman" w:cs="Times New Roman"/>
          <w:sz w:val="22"/>
          <w:szCs w:val="22"/>
        </w:rPr>
        <w:t>Araling</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Panlipunan</w:t>
      </w:r>
      <w:proofErr w:type="spellEnd"/>
      <w:r>
        <w:rPr>
          <w:rFonts w:ascii="Times New Roman" w:eastAsia="Times New Roman" w:hAnsi="Times New Roman" w:cs="Times New Roman"/>
          <w:color w:val="000000"/>
          <w:sz w:val="22"/>
          <w:szCs w:val="22"/>
        </w:rPr>
        <w:t xml:space="preserve"> class?</w:t>
      </w:r>
    </w:p>
    <w:p w14:paraId="4115726F" w14:textId="77777777" w:rsidR="004A2A5B" w:rsidRDefault="006623F1">
      <w:pPr>
        <w:spacing w:before="210" w:after="0" w:line="276"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lastRenderedPageBreak/>
        <w:t>METHODOLOGY</w:t>
      </w:r>
    </w:p>
    <w:p w14:paraId="41C01BEB" w14:textId="34C3CC3C" w:rsidR="000775BA" w:rsidRPr="000775BA" w:rsidRDefault="000775BA" w:rsidP="00B40849">
      <w:pPr>
        <w:spacing w:before="210" w:after="0" w:line="276" w:lineRule="auto"/>
        <w:ind w:firstLine="720"/>
        <w:jc w:val="both"/>
        <w:rPr>
          <w:rFonts w:ascii="Times New Roman" w:eastAsia="Times New Roman" w:hAnsi="Times New Roman" w:cs="Times New Roman"/>
          <w:sz w:val="22"/>
          <w:szCs w:val="22"/>
        </w:rPr>
      </w:pPr>
      <w:r w:rsidRPr="000775BA">
        <w:rPr>
          <w:rFonts w:ascii="Times New Roman" w:eastAsia="Times New Roman" w:hAnsi="Times New Roman" w:cs="Times New Roman"/>
          <w:sz w:val="22"/>
          <w:szCs w:val="22"/>
        </w:rPr>
        <w:t>This study employed a quantitative classroom-based action research design to measure changes in student participation before and after the implementation of the Herringbone seating arrangement. The phenomenon of interest was the level and form of student participation under two seating configurations: Grid (prior-intervention) and Herringbone (after-intervention). This design was selected for its suitability in testing practical interventions in authentic classroom settings, allowing iterative refinement (</w:t>
      </w:r>
      <w:proofErr w:type="spellStart"/>
      <w:r w:rsidRPr="000775BA">
        <w:rPr>
          <w:rFonts w:ascii="Times New Roman" w:eastAsia="Times New Roman" w:hAnsi="Times New Roman" w:cs="Times New Roman"/>
          <w:sz w:val="22"/>
          <w:szCs w:val="22"/>
        </w:rPr>
        <w:t>Kemmis</w:t>
      </w:r>
      <w:proofErr w:type="spellEnd"/>
      <w:r w:rsidRPr="000775BA">
        <w:rPr>
          <w:rFonts w:ascii="Times New Roman" w:eastAsia="Times New Roman" w:hAnsi="Times New Roman" w:cs="Times New Roman"/>
          <w:sz w:val="22"/>
          <w:szCs w:val="22"/>
        </w:rPr>
        <w:t xml:space="preserve"> et al., 2014).</w:t>
      </w:r>
    </w:p>
    <w:p w14:paraId="3687ACC8" w14:textId="567EFA61" w:rsidR="000775BA" w:rsidRPr="000775BA" w:rsidRDefault="000775BA" w:rsidP="00B40849">
      <w:pPr>
        <w:spacing w:before="210" w:after="0" w:line="276" w:lineRule="auto"/>
        <w:ind w:firstLine="720"/>
        <w:jc w:val="both"/>
        <w:rPr>
          <w:rFonts w:ascii="Times New Roman" w:eastAsia="Times New Roman" w:hAnsi="Times New Roman" w:cs="Times New Roman"/>
          <w:sz w:val="22"/>
          <w:szCs w:val="22"/>
        </w:rPr>
      </w:pPr>
      <w:r w:rsidRPr="000775BA">
        <w:rPr>
          <w:rFonts w:ascii="Times New Roman" w:eastAsia="Times New Roman" w:hAnsi="Times New Roman" w:cs="Times New Roman"/>
          <w:sz w:val="22"/>
          <w:szCs w:val="22"/>
        </w:rPr>
        <w:t>The research was conducted at Mariano Marcos State University–Laboratory High School, Laoag Campus, during Economics 9 classes on February 16, 17, and 20, 2023. The participants were 70 Grade 9 Economics learners (35 from Section A – Grade 9 Aries, and 35 from Section B – Grade 9 Scorpio) enrolled in the school year 2022–2023. Purposive sampling was used to select these sections because they met the criteria of being Economics 9 classes and were accessible for intervention, considering practicality and manageability (</w:t>
      </w:r>
      <w:proofErr w:type="spellStart"/>
      <w:r w:rsidRPr="000775BA">
        <w:rPr>
          <w:rFonts w:ascii="Times New Roman" w:eastAsia="Times New Roman" w:hAnsi="Times New Roman" w:cs="Times New Roman"/>
          <w:sz w:val="22"/>
          <w:szCs w:val="22"/>
        </w:rPr>
        <w:t>Nikolopoulou</w:t>
      </w:r>
      <w:proofErr w:type="spellEnd"/>
      <w:r w:rsidRPr="000775BA">
        <w:rPr>
          <w:rFonts w:ascii="Times New Roman" w:eastAsia="Times New Roman" w:hAnsi="Times New Roman" w:cs="Times New Roman"/>
          <w:sz w:val="22"/>
          <w:szCs w:val="22"/>
        </w:rPr>
        <w:t>, 2022); this approach ensured feasibility while maintaining representativeness of typical high school classes.</w:t>
      </w:r>
    </w:p>
    <w:p w14:paraId="22B86E2F" w14:textId="512C8808" w:rsidR="000775BA" w:rsidRPr="000775BA" w:rsidRDefault="000775BA" w:rsidP="00B40849">
      <w:pPr>
        <w:spacing w:before="210" w:after="0" w:line="276" w:lineRule="auto"/>
        <w:ind w:firstLine="720"/>
        <w:jc w:val="both"/>
        <w:rPr>
          <w:rFonts w:ascii="Times New Roman" w:eastAsia="Times New Roman" w:hAnsi="Times New Roman" w:cs="Times New Roman"/>
          <w:sz w:val="22"/>
          <w:szCs w:val="22"/>
        </w:rPr>
      </w:pPr>
      <w:r w:rsidRPr="000775BA">
        <w:rPr>
          <w:rFonts w:ascii="Times New Roman" w:eastAsia="Times New Roman" w:hAnsi="Times New Roman" w:cs="Times New Roman"/>
          <w:sz w:val="22"/>
          <w:szCs w:val="22"/>
        </w:rPr>
        <w:t>The intervention involved restructuring the seating arrangement from the traditional Grid layout to the Herringbone configuration during two Economics topics: “</w:t>
      </w:r>
      <w:proofErr w:type="spellStart"/>
      <w:r w:rsidRPr="000775BA">
        <w:rPr>
          <w:rFonts w:ascii="Times New Roman" w:eastAsia="Times New Roman" w:hAnsi="Times New Roman" w:cs="Times New Roman"/>
          <w:sz w:val="22"/>
          <w:szCs w:val="22"/>
        </w:rPr>
        <w:t>Implasyon</w:t>
      </w:r>
      <w:proofErr w:type="spellEnd"/>
      <w:r w:rsidRPr="000775BA">
        <w:rPr>
          <w:rFonts w:ascii="Times New Roman" w:eastAsia="Times New Roman" w:hAnsi="Times New Roman" w:cs="Times New Roman"/>
          <w:sz w:val="22"/>
          <w:szCs w:val="22"/>
        </w:rPr>
        <w:t>” and “</w:t>
      </w:r>
      <w:proofErr w:type="spellStart"/>
      <w:r w:rsidRPr="000775BA">
        <w:rPr>
          <w:rFonts w:ascii="Times New Roman" w:eastAsia="Times New Roman" w:hAnsi="Times New Roman" w:cs="Times New Roman"/>
          <w:sz w:val="22"/>
          <w:szCs w:val="22"/>
        </w:rPr>
        <w:t>Patakarang</w:t>
      </w:r>
      <w:proofErr w:type="spellEnd"/>
      <w:r w:rsidRPr="000775BA">
        <w:rPr>
          <w:rFonts w:ascii="Times New Roman" w:eastAsia="Times New Roman" w:hAnsi="Times New Roman" w:cs="Times New Roman"/>
          <w:sz w:val="22"/>
          <w:szCs w:val="22"/>
        </w:rPr>
        <w:t xml:space="preserve"> </w:t>
      </w:r>
      <w:proofErr w:type="spellStart"/>
      <w:r w:rsidRPr="000775BA">
        <w:rPr>
          <w:rFonts w:ascii="Times New Roman" w:eastAsia="Times New Roman" w:hAnsi="Times New Roman" w:cs="Times New Roman"/>
          <w:sz w:val="22"/>
          <w:szCs w:val="22"/>
        </w:rPr>
        <w:t>Piskal</w:t>
      </w:r>
      <w:proofErr w:type="spellEnd"/>
      <w:r w:rsidRPr="000775BA">
        <w:rPr>
          <w:rFonts w:ascii="Times New Roman" w:eastAsia="Times New Roman" w:hAnsi="Times New Roman" w:cs="Times New Roman"/>
          <w:sz w:val="22"/>
          <w:szCs w:val="22"/>
        </w:rPr>
        <w:t>.” For the first topic, Section A used the Herringbone layout while Section B retained the Grid; for the second topic, the seating arrangements were alternated so that both sections experienced both layouts. This counterbalanced design controlled for order effects and section differences, enabling robust paired comparisons. Students retained their original assigned seats within the teacher’s seat plan, while chairs and desks were reoriented into Grid or Herringbone patterns. The same lesson plans, teaching approaches, and instructional materials were used in both sections to isolate seating as the independent variable. Pre-service teachers acted as classroom teachers and observers, with observers recording participation scores in each session to enhance interrater reliability.</w:t>
      </w:r>
    </w:p>
    <w:p w14:paraId="628E1CF4" w14:textId="346B82FC" w:rsidR="000775BA" w:rsidRPr="000775BA" w:rsidRDefault="000775BA" w:rsidP="00B40849">
      <w:pPr>
        <w:spacing w:before="210" w:after="0" w:line="276" w:lineRule="auto"/>
        <w:ind w:firstLine="720"/>
        <w:jc w:val="both"/>
        <w:rPr>
          <w:rFonts w:ascii="Times New Roman" w:eastAsia="Times New Roman" w:hAnsi="Times New Roman" w:cs="Times New Roman"/>
          <w:sz w:val="22"/>
          <w:szCs w:val="22"/>
        </w:rPr>
      </w:pPr>
      <w:r w:rsidRPr="000775BA">
        <w:rPr>
          <w:rFonts w:ascii="Times New Roman" w:eastAsia="Times New Roman" w:hAnsi="Times New Roman" w:cs="Times New Roman"/>
          <w:sz w:val="22"/>
          <w:szCs w:val="22"/>
        </w:rPr>
        <w:t>Data were gathered primarily through a participation tally sheet adapted from Rogers (2020) and modified for the study’s objectives. The sheet included student identification, participation tallies, and attendance. Active participation (answering questions, asking questions, discussing the lesson) and passive participation (writing notes, listening, sitting quietly, doing other classroom activities) were recorded separately. This tool was justified for its real-time, objective quantification of behaviors in dynamic classrooms. Identical tally formats were used for both seating arrangements, differing only in the label. To corroborate the quantitative data, structured interviews with a standardized set of six closed- and open-ended questions were conducted with selected learners to capture their perceptions of the Herringbone arrangement and its influence on participation (</w:t>
      </w:r>
      <w:proofErr w:type="spellStart"/>
      <w:r w:rsidRPr="000775BA">
        <w:rPr>
          <w:rFonts w:ascii="Times New Roman" w:eastAsia="Times New Roman" w:hAnsi="Times New Roman" w:cs="Times New Roman"/>
          <w:sz w:val="22"/>
          <w:szCs w:val="22"/>
        </w:rPr>
        <w:t>Ary</w:t>
      </w:r>
      <w:proofErr w:type="spellEnd"/>
      <w:r w:rsidRPr="000775BA">
        <w:rPr>
          <w:rFonts w:ascii="Times New Roman" w:eastAsia="Times New Roman" w:hAnsi="Times New Roman" w:cs="Times New Roman"/>
          <w:sz w:val="22"/>
          <w:szCs w:val="22"/>
        </w:rPr>
        <w:t>, 2010); this triangulation strengthened validity by integrating qualitative insights.</w:t>
      </w:r>
    </w:p>
    <w:p w14:paraId="00F9B79A" w14:textId="77777777" w:rsidR="000775BA" w:rsidRPr="000775BA" w:rsidRDefault="000775BA" w:rsidP="000775BA">
      <w:pPr>
        <w:spacing w:before="210" w:after="0" w:line="276" w:lineRule="auto"/>
        <w:ind w:firstLine="720"/>
        <w:jc w:val="both"/>
        <w:rPr>
          <w:rFonts w:ascii="Times New Roman" w:eastAsia="Times New Roman" w:hAnsi="Times New Roman" w:cs="Times New Roman"/>
          <w:sz w:val="22"/>
          <w:szCs w:val="22"/>
        </w:rPr>
      </w:pPr>
      <w:r w:rsidRPr="000775BA">
        <w:rPr>
          <w:rFonts w:ascii="Times New Roman" w:eastAsia="Times New Roman" w:hAnsi="Times New Roman" w:cs="Times New Roman"/>
          <w:sz w:val="22"/>
          <w:szCs w:val="22"/>
        </w:rPr>
        <w:t>Prior to data collection, formal permission was secured from school authorities, and informed consent was obtained from learners and their parents or guardians. Participation was voluntary, with no incentives or penalties, and participants could withdraw at any time. Confidentiality was observed and ethical guidelines for research involving minors were followed.</w:t>
      </w:r>
    </w:p>
    <w:p w14:paraId="07054532" w14:textId="77777777" w:rsidR="000775BA" w:rsidRPr="000775BA" w:rsidRDefault="000775BA" w:rsidP="000775BA">
      <w:pPr>
        <w:spacing w:before="210" w:after="0" w:line="276" w:lineRule="auto"/>
        <w:ind w:firstLine="720"/>
        <w:jc w:val="both"/>
        <w:rPr>
          <w:rFonts w:ascii="Times New Roman" w:eastAsia="Times New Roman" w:hAnsi="Times New Roman" w:cs="Times New Roman"/>
          <w:sz w:val="22"/>
          <w:szCs w:val="22"/>
        </w:rPr>
      </w:pPr>
    </w:p>
    <w:p w14:paraId="3E008CDE" w14:textId="1B8CBC7D" w:rsidR="004A2A5B" w:rsidRDefault="000775BA" w:rsidP="00B40849">
      <w:pPr>
        <w:spacing w:before="210" w:after="0" w:line="276" w:lineRule="auto"/>
        <w:ind w:firstLine="720"/>
        <w:jc w:val="both"/>
        <w:rPr>
          <w:rFonts w:ascii="Times New Roman" w:eastAsia="Times New Roman" w:hAnsi="Times New Roman" w:cs="Times New Roman"/>
          <w:sz w:val="22"/>
          <w:szCs w:val="22"/>
        </w:rPr>
      </w:pPr>
      <w:r w:rsidRPr="000775BA">
        <w:rPr>
          <w:rFonts w:ascii="Times New Roman" w:eastAsia="Times New Roman" w:hAnsi="Times New Roman" w:cs="Times New Roman"/>
          <w:sz w:val="22"/>
          <w:szCs w:val="22"/>
        </w:rPr>
        <w:lastRenderedPageBreak/>
        <w:t>Data from the Grid and Herringbone conditions were tabulated and analyzed using descriptive and inferential statistics. Frequencies, percentages, means, and standard deviations were computed to describe participation scores and identify predominant forms of participation before and after the intervention. A paired t-test for two related samples with a two-tailed distribution and a 0.05 significance level was used to determine whether the Herringbone seating arrangement resulted in a statistically significant improvement in participation compared with the Grid arrangement; this test was appropriate given the repeated-measures structure. Mean scores were interpreted using the following scale: 17–20 (Outstanding), 13–16 (Very Satisfactory), 9–12 (Satisfactory), 5–8 (Fair), and 0–4 (Needs Improvement). Field notes were reviewed and thematically coded to support the quantitative results, and the overall analysis was validated with the assistance of a statistician.</w:t>
      </w:r>
    </w:p>
    <w:p w14:paraId="6F8C41DB" w14:textId="77777777" w:rsidR="00B40849" w:rsidRDefault="00B40849" w:rsidP="00B40849">
      <w:pPr>
        <w:spacing w:before="210" w:after="0" w:line="276" w:lineRule="auto"/>
        <w:ind w:firstLine="720"/>
        <w:jc w:val="both"/>
        <w:rPr>
          <w:rFonts w:ascii="Times New Roman" w:eastAsia="Times New Roman" w:hAnsi="Times New Roman" w:cs="Times New Roman"/>
          <w:sz w:val="22"/>
          <w:szCs w:val="22"/>
        </w:rPr>
      </w:pPr>
    </w:p>
    <w:p w14:paraId="3628F34C" w14:textId="77777777" w:rsidR="004A2A5B" w:rsidRDefault="006623F1">
      <w:pPr>
        <w:spacing w:before="210" w:after="0" w:line="276"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RESULT AND DISCUSSION</w:t>
      </w:r>
    </w:p>
    <w:p w14:paraId="5C0A6B7F" w14:textId="77777777" w:rsidR="004A2A5B" w:rsidRDefault="006623F1">
      <w:pPr>
        <w:spacing w:before="220" w:after="0" w:line="276"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Predominant Form of Participation Prior to the Intervention</w:t>
      </w:r>
    </w:p>
    <w:tbl>
      <w:tblPr>
        <w:tblStyle w:val="a"/>
        <w:tblW w:w="9509" w:type="dxa"/>
        <w:tblBorders>
          <w:top w:val="nil"/>
          <w:left w:val="nil"/>
          <w:bottom w:val="nil"/>
          <w:right w:val="nil"/>
          <w:insideH w:val="nil"/>
          <w:insideV w:val="nil"/>
        </w:tblBorders>
        <w:tblLayout w:type="fixed"/>
        <w:tblLook w:val="0600" w:firstRow="0" w:lastRow="0" w:firstColumn="0" w:lastColumn="0" w:noHBand="1" w:noVBand="1"/>
      </w:tblPr>
      <w:tblGrid>
        <w:gridCol w:w="1944"/>
        <w:gridCol w:w="747"/>
        <w:gridCol w:w="1126"/>
        <w:gridCol w:w="5692"/>
      </w:tblGrid>
      <w:tr w:rsidR="004A2A5B" w14:paraId="7D14B493" w14:textId="77777777">
        <w:trPr>
          <w:trHeight w:val="270"/>
        </w:trPr>
        <w:tc>
          <w:tcPr>
            <w:tcW w:w="9508" w:type="dxa"/>
            <w:gridSpan w:val="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14:paraId="16CACC84"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Students Participation Score (Prior-Intervention)</w:t>
            </w:r>
          </w:p>
        </w:tc>
      </w:tr>
      <w:tr w:rsidR="004A2A5B" w14:paraId="70DC8FC8" w14:textId="77777777">
        <w:trPr>
          <w:trHeight w:val="270"/>
        </w:trPr>
        <w:tc>
          <w:tcPr>
            <w:tcW w:w="9508" w:type="dxa"/>
            <w:gridSpan w:val="4"/>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1E605654"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Section A</w:t>
            </w:r>
          </w:p>
        </w:tc>
      </w:tr>
      <w:tr w:rsidR="004A2A5B" w14:paraId="2393916D" w14:textId="77777777">
        <w:trPr>
          <w:trHeight w:val="270"/>
        </w:trPr>
        <w:tc>
          <w:tcPr>
            <w:tcW w:w="1944"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5884DF7F"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tc>
        <w:tc>
          <w:tcPr>
            <w:tcW w:w="747"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C7EDDEE"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1126"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A14E8A7"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Difference</w:t>
            </w:r>
          </w:p>
        </w:tc>
        <w:tc>
          <w:tcPr>
            <w:tcW w:w="5691"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F2E0570"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Percentile Description Result</w:t>
            </w:r>
          </w:p>
        </w:tc>
      </w:tr>
      <w:tr w:rsidR="004A2A5B" w14:paraId="39D954A8" w14:textId="77777777">
        <w:trPr>
          <w:trHeight w:val="270"/>
        </w:trPr>
        <w:tc>
          <w:tcPr>
            <w:tcW w:w="1944"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6F3EC01C" w14:textId="77777777" w:rsidR="004A2A5B" w:rsidRDefault="006623F1">
            <w:pPr>
              <w:spacing w:after="0" w:line="276"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Active Participation</w:t>
            </w:r>
          </w:p>
        </w:tc>
        <w:tc>
          <w:tcPr>
            <w:tcW w:w="747" w:type="dxa"/>
            <w:tcBorders>
              <w:top w:val="nil"/>
              <w:left w:val="nil"/>
              <w:bottom w:val="single" w:sz="6" w:space="0" w:color="000000"/>
              <w:right w:val="single" w:sz="6" w:space="0" w:color="000000"/>
            </w:tcBorders>
            <w:tcMar>
              <w:top w:w="0" w:type="dxa"/>
              <w:left w:w="100" w:type="dxa"/>
              <w:bottom w:w="0" w:type="dxa"/>
              <w:right w:w="100" w:type="dxa"/>
            </w:tcMar>
          </w:tcPr>
          <w:p w14:paraId="555CF73E"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33</w:t>
            </w:r>
          </w:p>
        </w:tc>
        <w:tc>
          <w:tcPr>
            <w:tcW w:w="1126"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6A85F623"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c>
          <w:tcPr>
            <w:tcW w:w="5691"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30409D25"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Passive Participation score is 30.30% lower than the Active Participation Score</w:t>
            </w:r>
          </w:p>
        </w:tc>
      </w:tr>
      <w:tr w:rsidR="004A2A5B" w14:paraId="1CF68BA9" w14:textId="77777777">
        <w:trPr>
          <w:trHeight w:val="270"/>
        </w:trPr>
        <w:tc>
          <w:tcPr>
            <w:tcW w:w="1944"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61917E0E" w14:textId="77777777" w:rsidR="004A2A5B" w:rsidRDefault="006623F1">
            <w:pPr>
              <w:spacing w:after="0" w:line="276"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Passive Participation</w:t>
            </w:r>
          </w:p>
        </w:tc>
        <w:tc>
          <w:tcPr>
            <w:tcW w:w="747" w:type="dxa"/>
            <w:tcBorders>
              <w:top w:val="nil"/>
              <w:left w:val="nil"/>
              <w:bottom w:val="single" w:sz="6" w:space="0" w:color="000000"/>
              <w:right w:val="single" w:sz="6" w:space="0" w:color="000000"/>
            </w:tcBorders>
            <w:tcMar>
              <w:top w:w="0" w:type="dxa"/>
              <w:left w:w="100" w:type="dxa"/>
              <w:bottom w:w="0" w:type="dxa"/>
              <w:right w:w="100" w:type="dxa"/>
            </w:tcMar>
          </w:tcPr>
          <w:p w14:paraId="259DD4CD"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23</w:t>
            </w:r>
          </w:p>
        </w:tc>
        <w:tc>
          <w:tcPr>
            <w:tcW w:w="1126" w:type="dxa"/>
            <w:vMerge/>
            <w:tcBorders>
              <w:top w:val="nil"/>
              <w:left w:val="nil"/>
              <w:bottom w:val="single" w:sz="6" w:space="0" w:color="000000"/>
              <w:right w:val="single" w:sz="6" w:space="0" w:color="000000"/>
            </w:tcBorders>
            <w:tcMar>
              <w:top w:w="100" w:type="dxa"/>
              <w:left w:w="100" w:type="dxa"/>
              <w:bottom w:w="100" w:type="dxa"/>
              <w:right w:w="100" w:type="dxa"/>
            </w:tcMar>
          </w:tcPr>
          <w:p w14:paraId="32F97DA9" w14:textId="77777777" w:rsidR="004A2A5B" w:rsidRDefault="004A2A5B">
            <w:pPr>
              <w:spacing w:before="210" w:after="0" w:line="276" w:lineRule="auto"/>
              <w:jc w:val="both"/>
              <w:rPr>
                <w:rFonts w:ascii="Times New Roman" w:eastAsia="Times New Roman" w:hAnsi="Times New Roman" w:cs="Times New Roman"/>
                <w:b/>
                <w:bCs/>
                <w:sz w:val="22"/>
                <w:szCs w:val="22"/>
              </w:rPr>
            </w:pPr>
          </w:p>
        </w:tc>
        <w:tc>
          <w:tcPr>
            <w:tcW w:w="5691" w:type="dxa"/>
            <w:vMerge/>
            <w:tcBorders>
              <w:top w:val="nil"/>
              <w:left w:val="nil"/>
              <w:bottom w:val="single" w:sz="6" w:space="0" w:color="000000"/>
              <w:right w:val="single" w:sz="6" w:space="0" w:color="000000"/>
            </w:tcBorders>
            <w:tcMar>
              <w:top w:w="100" w:type="dxa"/>
              <w:left w:w="100" w:type="dxa"/>
              <w:bottom w:w="100" w:type="dxa"/>
              <w:right w:w="100" w:type="dxa"/>
            </w:tcMar>
          </w:tcPr>
          <w:p w14:paraId="28569749" w14:textId="77777777" w:rsidR="004A2A5B" w:rsidRDefault="004A2A5B">
            <w:pPr>
              <w:spacing w:before="210" w:after="0" w:line="276" w:lineRule="auto"/>
              <w:jc w:val="both"/>
              <w:rPr>
                <w:rFonts w:ascii="Times New Roman" w:eastAsia="Times New Roman" w:hAnsi="Times New Roman" w:cs="Times New Roman"/>
                <w:b/>
                <w:bCs/>
                <w:sz w:val="22"/>
                <w:szCs w:val="22"/>
              </w:rPr>
            </w:pPr>
          </w:p>
        </w:tc>
      </w:tr>
      <w:tr w:rsidR="004A2A5B" w14:paraId="16DD6D9D" w14:textId="77777777">
        <w:trPr>
          <w:trHeight w:val="270"/>
        </w:trPr>
        <w:tc>
          <w:tcPr>
            <w:tcW w:w="9508" w:type="dxa"/>
            <w:gridSpan w:val="4"/>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9589874"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Section B</w:t>
            </w:r>
          </w:p>
        </w:tc>
      </w:tr>
      <w:tr w:rsidR="004A2A5B" w14:paraId="2F327154" w14:textId="77777777">
        <w:trPr>
          <w:trHeight w:val="270"/>
        </w:trPr>
        <w:tc>
          <w:tcPr>
            <w:tcW w:w="1944"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47C2E0D9"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tc>
        <w:tc>
          <w:tcPr>
            <w:tcW w:w="747"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A38C33F"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1126"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EA6F645"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Difference</w:t>
            </w:r>
          </w:p>
        </w:tc>
        <w:tc>
          <w:tcPr>
            <w:tcW w:w="5691"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6427941"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Percentile Description Result</w:t>
            </w:r>
          </w:p>
        </w:tc>
      </w:tr>
      <w:tr w:rsidR="004A2A5B" w14:paraId="388A9044" w14:textId="77777777">
        <w:trPr>
          <w:trHeight w:val="270"/>
        </w:trPr>
        <w:tc>
          <w:tcPr>
            <w:tcW w:w="1944"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D327EA1" w14:textId="77777777" w:rsidR="004A2A5B" w:rsidRDefault="006623F1">
            <w:pPr>
              <w:spacing w:after="0" w:line="276"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Active Participation</w:t>
            </w:r>
          </w:p>
        </w:tc>
        <w:tc>
          <w:tcPr>
            <w:tcW w:w="747" w:type="dxa"/>
            <w:tcBorders>
              <w:top w:val="nil"/>
              <w:left w:val="nil"/>
              <w:bottom w:val="single" w:sz="6" w:space="0" w:color="000000"/>
              <w:right w:val="single" w:sz="6" w:space="0" w:color="000000"/>
            </w:tcBorders>
            <w:tcMar>
              <w:top w:w="0" w:type="dxa"/>
              <w:left w:w="100" w:type="dxa"/>
              <w:bottom w:w="0" w:type="dxa"/>
              <w:right w:w="100" w:type="dxa"/>
            </w:tcMar>
          </w:tcPr>
          <w:p w14:paraId="5530BB88"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31</w:t>
            </w:r>
          </w:p>
        </w:tc>
        <w:tc>
          <w:tcPr>
            <w:tcW w:w="1126"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49973077"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5691"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482B19D3"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Passive Participation score is 3.23% lower than the Active Participation Score</w:t>
            </w:r>
          </w:p>
        </w:tc>
      </w:tr>
      <w:tr w:rsidR="004A2A5B" w14:paraId="15F80611" w14:textId="77777777">
        <w:trPr>
          <w:trHeight w:val="300"/>
        </w:trPr>
        <w:tc>
          <w:tcPr>
            <w:tcW w:w="1944"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6CD47A9" w14:textId="77777777" w:rsidR="004A2A5B" w:rsidRDefault="006623F1">
            <w:pPr>
              <w:spacing w:after="0" w:line="276"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Passive Participation</w:t>
            </w:r>
          </w:p>
        </w:tc>
        <w:tc>
          <w:tcPr>
            <w:tcW w:w="747" w:type="dxa"/>
            <w:tcBorders>
              <w:top w:val="nil"/>
              <w:left w:val="nil"/>
              <w:bottom w:val="single" w:sz="6" w:space="0" w:color="000000"/>
              <w:right w:val="single" w:sz="6" w:space="0" w:color="000000"/>
            </w:tcBorders>
            <w:tcMar>
              <w:top w:w="0" w:type="dxa"/>
              <w:left w:w="100" w:type="dxa"/>
              <w:bottom w:w="0" w:type="dxa"/>
              <w:right w:w="100" w:type="dxa"/>
            </w:tcMar>
          </w:tcPr>
          <w:p w14:paraId="7C42F8C1" w14:textId="77777777" w:rsidR="004A2A5B" w:rsidRDefault="006623F1">
            <w:pPr>
              <w:spacing w:after="0" w:line="276" w:lineRule="auto"/>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30</w:t>
            </w:r>
          </w:p>
        </w:tc>
        <w:tc>
          <w:tcPr>
            <w:tcW w:w="1126" w:type="dxa"/>
            <w:vMerge/>
            <w:tcBorders>
              <w:top w:val="nil"/>
              <w:left w:val="nil"/>
              <w:bottom w:val="single" w:sz="6" w:space="0" w:color="000000"/>
              <w:right w:val="single" w:sz="6" w:space="0" w:color="000000"/>
            </w:tcBorders>
            <w:tcMar>
              <w:top w:w="100" w:type="dxa"/>
              <w:left w:w="100" w:type="dxa"/>
              <w:bottom w:w="100" w:type="dxa"/>
              <w:right w:w="100" w:type="dxa"/>
            </w:tcMar>
          </w:tcPr>
          <w:p w14:paraId="304E0691" w14:textId="77777777" w:rsidR="004A2A5B" w:rsidRDefault="004A2A5B">
            <w:pPr>
              <w:spacing w:before="210" w:after="0" w:line="276" w:lineRule="auto"/>
              <w:jc w:val="both"/>
              <w:rPr>
                <w:rFonts w:ascii="Times New Roman" w:eastAsia="Times New Roman" w:hAnsi="Times New Roman" w:cs="Times New Roman"/>
                <w:b/>
                <w:bCs/>
                <w:sz w:val="22"/>
                <w:szCs w:val="22"/>
              </w:rPr>
            </w:pPr>
          </w:p>
        </w:tc>
        <w:tc>
          <w:tcPr>
            <w:tcW w:w="5691" w:type="dxa"/>
            <w:vMerge/>
            <w:tcBorders>
              <w:top w:val="nil"/>
              <w:left w:val="nil"/>
              <w:bottom w:val="single" w:sz="6" w:space="0" w:color="000000"/>
              <w:right w:val="single" w:sz="6" w:space="0" w:color="000000"/>
            </w:tcBorders>
            <w:tcMar>
              <w:top w:w="100" w:type="dxa"/>
              <w:left w:w="100" w:type="dxa"/>
              <w:bottom w:w="100" w:type="dxa"/>
              <w:right w:w="100" w:type="dxa"/>
            </w:tcMar>
          </w:tcPr>
          <w:p w14:paraId="3C5EA54B" w14:textId="77777777" w:rsidR="004A2A5B" w:rsidRDefault="004A2A5B">
            <w:pPr>
              <w:spacing w:before="210" w:after="0" w:line="276" w:lineRule="auto"/>
              <w:jc w:val="both"/>
              <w:rPr>
                <w:rFonts w:ascii="Times New Roman" w:eastAsia="Times New Roman" w:hAnsi="Times New Roman" w:cs="Times New Roman"/>
                <w:b/>
                <w:bCs/>
                <w:sz w:val="22"/>
                <w:szCs w:val="22"/>
              </w:rPr>
            </w:pPr>
          </w:p>
        </w:tc>
      </w:tr>
    </w:tbl>
    <w:p w14:paraId="670D6927" w14:textId="77777777" w:rsidR="004A2A5B" w:rsidRDefault="006623F1">
      <w:pPr>
        <w:spacing w:after="0" w:line="276" w:lineRule="auto"/>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Table 1: Section and B Comparison of the Prior to Intervention Participation Score: Active Participation Score and Passive Participation Score in percentage analysis</w:t>
      </w:r>
    </w:p>
    <w:p w14:paraId="0887F91A" w14:textId="77777777" w:rsidR="004A2A5B" w:rsidRDefault="006623F1">
      <w:pPr>
        <w:spacing w:before="220" w:after="0" w:line="276"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Before the implementation of the Herringbone seating arrangement, both sections were seated using the traditional Grid configuration. In Section A, the active participation score was 33 and the passive participation score was 23, yielding a 10-point difference and indicating that passive participation was 30.30 percent lower than active participation. In Section B, active participation reached 31, whereas passive participation was 30, reflecting a 1-point difference and showing that passive participation was 3.23 percent lower than active participation. These findings indicate that, under the Grid seating arrangement, active participation was the predominant form of engagement in both sections.</w:t>
      </w:r>
    </w:p>
    <w:p w14:paraId="636C1E8E" w14:textId="77777777" w:rsidR="004A2A5B" w:rsidRDefault="006623F1">
      <w:pPr>
        <w:spacing w:before="220" w:after="0" w:line="276"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bl>
      <w:tblPr>
        <w:tblStyle w:val="a0"/>
        <w:tblW w:w="9495" w:type="dxa"/>
        <w:tblBorders>
          <w:top w:val="nil"/>
          <w:left w:val="nil"/>
          <w:bottom w:val="nil"/>
          <w:right w:val="nil"/>
          <w:insideH w:val="nil"/>
          <w:insideV w:val="nil"/>
        </w:tblBorders>
        <w:tblLayout w:type="fixed"/>
        <w:tblLook w:val="0600" w:firstRow="0" w:lastRow="0" w:firstColumn="0" w:lastColumn="0" w:noHBand="1" w:noVBand="1"/>
      </w:tblPr>
      <w:tblGrid>
        <w:gridCol w:w="2175"/>
        <w:gridCol w:w="720"/>
        <w:gridCol w:w="1155"/>
        <w:gridCol w:w="5445"/>
      </w:tblGrid>
      <w:tr w:rsidR="004A2A5B" w14:paraId="4C168AE6" w14:textId="77777777">
        <w:trPr>
          <w:trHeight w:val="270"/>
        </w:trPr>
        <w:tc>
          <w:tcPr>
            <w:tcW w:w="9495" w:type="dxa"/>
            <w:gridSpan w:val="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DD0BB2"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Student Participation Score (Prior-Intervention)</w:t>
            </w:r>
          </w:p>
        </w:tc>
      </w:tr>
      <w:tr w:rsidR="004A2A5B" w14:paraId="33B11AC5" w14:textId="77777777">
        <w:trPr>
          <w:trHeight w:val="270"/>
        </w:trPr>
        <w:tc>
          <w:tcPr>
            <w:tcW w:w="21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7DB6E3A"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tc>
        <w:tc>
          <w:tcPr>
            <w:tcW w:w="720" w:type="dxa"/>
            <w:tcBorders>
              <w:top w:val="nil"/>
              <w:left w:val="nil"/>
              <w:bottom w:val="single" w:sz="6" w:space="0" w:color="000000"/>
              <w:right w:val="single" w:sz="6" w:space="0" w:color="000000"/>
            </w:tcBorders>
            <w:tcMar>
              <w:top w:w="0" w:type="dxa"/>
              <w:left w:w="100" w:type="dxa"/>
              <w:bottom w:w="0" w:type="dxa"/>
              <w:right w:w="100" w:type="dxa"/>
            </w:tcMar>
          </w:tcPr>
          <w:p w14:paraId="58206449"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6DB42DB7"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Difference</w:t>
            </w:r>
          </w:p>
        </w:tc>
        <w:tc>
          <w:tcPr>
            <w:tcW w:w="5445" w:type="dxa"/>
            <w:tcBorders>
              <w:top w:val="nil"/>
              <w:left w:val="nil"/>
              <w:bottom w:val="single" w:sz="6" w:space="0" w:color="000000"/>
              <w:right w:val="single" w:sz="6" w:space="0" w:color="000000"/>
            </w:tcBorders>
            <w:tcMar>
              <w:top w:w="0" w:type="dxa"/>
              <w:left w:w="100" w:type="dxa"/>
              <w:bottom w:w="0" w:type="dxa"/>
              <w:right w:w="100" w:type="dxa"/>
            </w:tcMar>
          </w:tcPr>
          <w:p w14:paraId="344AC695"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Percentile Description Result</w:t>
            </w:r>
          </w:p>
        </w:tc>
      </w:tr>
      <w:tr w:rsidR="004A2A5B" w14:paraId="3D08CB19" w14:textId="77777777">
        <w:trPr>
          <w:trHeight w:val="345"/>
        </w:trPr>
        <w:tc>
          <w:tcPr>
            <w:tcW w:w="21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5CCCD6"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Active Participation Score</w:t>
            </w:r>
          </w:p>
        </w:tc>
        <w:tc>
          <w:tcPr>
            <w:tcW w:w="720" w:type="dxa"/>
            <w:tcBorders>
              <w:top w:val="nil"/>
              <w:left w:val="nil"/>
              <w:bottom w:val="single" w:sz="6" w:space="0" w:color="000000"/>
              <w:right w:val="single" w:sz="6" w:space="0" w:color="000000"/>
            </w:tcBorders>
            <w:tcMar>
              <w:top w:w="0" w:type="dxa"/>
              <w:left w:w="100" w:type="dxa"/>
              <w:bottom w:w="0" w:type="dxa"/>
              <w:right w:w="100" w:type="dxa"/>
            </w:tcMar>
          </w:tcPr>
          <w:p w14:paraId="7F2AFC57"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64</w:t>
            </w:r>
          </w:p>
        </w:tc>
        <w:tc>
          <w:tcPr>
            <w:tcW w:w="1155"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2F1F8433"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w:t>
            </w:r>
          </w:p>
        </w:tc>
        <w:tc>
          <w:tcPr>
            <w:tcW w:w="5445"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671F7643"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Passive Participation Score is 17.19% lower than the Active Participation Score</w:t>
            </w:r>
          </w:p>
        </w:tc>
      </w:tr>
      <w:tr w:rsidR="004A2A5B" w14:paraId="1DDE9B76" w14:textId="77777777">
        <w:trPr>
          <w:trHeight w:val="345"/>
        </w:trPr>
        <w:tc>
          <w:tcPr>
            <w:tcW w:w="21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6440FF" w14:textId="77777777" w:rsidR="004A2A5B" w:rsidRDefault="006623F1">
            <w:pPr>
              <w:spacing w:after="0" w:line="276" w:lineRule="auto"/>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lastRenderedPageBreak/>
              <w:t>Passive Participation Score</w:t>
            </w:r>
          </w:p>
        </w:tc>
        <w:tc>
          <w:tcPr>
            <w:tcW w:w="720" w:type="dxa"/>
            <w:tcBorders>
              <w:top w:val="nil"/>
              <w:left w:val="nil"/>
              <w:bottom w:val="single" w:sz="6" w:space="0" w:color="000000"/>
              <w:right w:val="single" w:sz="6" w:space="0" w:color="000000"/>
            </w:tcBorders>
            <w:tcMar>
              <w:top w:w="0" w:type="dxa"/>
              <w:left w:w="100" w:type="dxa"/>
              <w:bottom w:w="0" w:type="dxa"/>
              <w:right w:w="100" w:type="dxa"/>
            </w:tcMar>
          </w:tcPr>
          <w:p w14:paraId="421E31FB" w14:textId="77777777" w:rsidR="004A2A5B" w:rsidRDefault="006623F1">
            <w:pPr>
              <w:spacing w:after="0" w:line="276" w:lineRule="auto"/>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53</w:t>
            </w:r>
          </w:p>
        </w:tc>
        <w:tc>
          <w:tcPr>
            <w:tcW w:w="1155" w:type="dxa"/>
            <w:vMerge/>
            <w:tcBorders>
              <w:top w:val="nil"/>
              <w:left w:val="nil"/>
              <w:bottom w:val="single" w:sz="6" w:space="0" w:color="000000"/>
              <w:right w:val="single" w:sz="6" w:space="0" w:color="000000"/>
            </w:tcBorders>
            <w:tcMar>
              <w:top w:w="100" w:type="dxa"/>
              <w:left w:w="100" w:type="dxa"/>
              <w:bottom w:w="100" w:type="dxa"/>
              <w:right w:w="100" w:type="dxa"/>
            </w:tcMar>
          </w:tcPr>
          <w:p w14:paraId="1B703EA1" w14:textId="77777777" w:rsidR="004A2A5B" w:rsidRDefault="004A2A5B">
            <w:pPr>
              <w:spacing w:before="210" w:after="0" w:line="276" w:lineRule="auto"/>
              <w:jc w:val="both"/>
              <w:rPr>
                <w:rFonts w:ascii="Times New Roman" w:eastAsia="Times New Roman" w:hAnsi="Times New Roman" w:cs="Times New Roman"/>
                <w:b/>
                <w:bCs/>
                <w:sz w:val="20"/>
                <w:szCs w:val="20"/>
              </w:rPr>
            </w:pPr>
          </w:p>
        </w:tc>
        <w:tc>
          <w:tcPr>
            <w:tcW w:w="5445" w:type="dxa"/>
            <w:vMerge/>
            <w:tcBorders>
              <w:top w:val="nil"/>
              <w:left w:val="nil"/>
              <w:bottom w:val="single" w:sz="6" w:space="0" w:color="000000"/>
              <w:right w:val="single" w:sz="6" w:space="0" w:color="000000"/>
            </w:tcBorders>
            <w:tcMar>
              <w:top w:w="100" w:type="dxa"/>
              <w:left w:w="100" w:type="dxa"/>
              <w:bottom w:w="100" w:type="dxa"/>
              <w:right w:w="100" w:type="dxa"/>
            </w:tcMar>
          </w:tcPr>
          <w:p w14:paraId="3C1F752A" w14:textId="77777777" w:rsidR="004A2A5B" w:rsidRDefault="004A2A5B">
            <w:pPr>
              <w:spacing w:before="210" w:after="0" w:line="276" w:lineRule="auto"/>
              <w:jc w:val="both"/>
              <w:rPr>
                <w:rFonts w:ascii="Times New Roman" w:eastAsia="Times New Roman" w:hAnsi="Times New Roman" w:cs="Times New Roman"/>
                <w:b/>
                <w:bCs/>
                <w:sz w:val="20"/>
                <w:szCs w:val="20"/>
              </w:rPr>
            </w:pPr>
          </w:p>
        </w:tc>
      </w:tr>
    </w:tbl>
    <w:p w14:paraId="7FFEB11D" w14:textId="77777777" w:rsidR="004A2A5B" w:rsidRDefault="006623F1">
      <w:pPr>
        <w:spacing w:after="0" w:line="276" w:lineRule="auto"/>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Table 2: Comparison of the Prior-Intervention: Active Participation Score and Passive Participation score in percentage analysis</w:t>
      </w:r>
    </w:p>
    <w:p w14:paraId="68DDAF07" w14:textId="77777777" w:rsidR="004A2A5B" w:rsidRDefault="006623F1">
      <w:pPr>
        <w:spacing w:before="220" w:after="0" w:line="276"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When the scores of both sections were aggregated, active participation obtained a total score of 64, while passive participation totaled 53. This 11-point difference shows that passive participation was 17.19 percent lower than active participation overall. Within the active participation category, answering questions was the most frequently observed behavior, accounting for 33 participation instances. In the passive category, taking pictures and recording videos during class, with 13 recorded instances, was the least observed behavior. Overall, the prior-intervention data suggest that learners already tended to exhibit more active than passive participation, although passive behaviors remained present, supporting the view that participation is shaped by both learner characteristics and classroom structural features (Weaver and Qi, 2005).</w:t>
      </w:r>
    </w:p>
    <w:p w14:paraId="1B908560" w14:textId="77777777" w:rsidR="004A2A5B" w:rsidRDefault="006623F1">
      <w:pPr>
        <w:spacing w:before="220" w:after="0" w:line="276" w:lineRule="auto"/>
        <w:ind w:firstLine="720"/>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These results imply that even under a traditional Grid seating arrangement, learners were already inclined toward active forms of participation, suggesting a baseline readiness to engage that teachers can further cultivate through strategic classroom interventions. However, the presence of notable passive behaviors indicates that seating alone does not fully determine engagement and that structural changes must be combined with deliberate pedagogical support to sustain and deepen active participation.</w:t>
      </w:r>
    </w:p>
    <w:p w14:paraId="12596196" w14:textId="77777777" w:rsidR="004A2A5B" w:rsidRDefault="006623F1">
      <w:pPr>
        <w:spacing w:before="220" w:after="0" w:line="276"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Predominant Form of Participation After the Intervention</w:t>
      </w:r>
    </w:p>
    <w:tbl>
      <w:tblPr>
        <w:tblStyle w:val="a1"/>
        <w:tblW w:w="9510" w:type="dxa"/>
        <w:tblBorders>
          <w:top w:val="nil"/>
          <w:left w:val="nil"/>
          <w:bottom w:val="nil"/>
          <w:right w:val="nil"/>
          <w:insideH w:val="nil"/>
          <w:insideV w:val="nil"/>
        </w:tblBorders>
        <w:tblLayout w:type="fixed"/>
        <w:tblLook w:val="0600" w:firstRow="0" w:lastRow="0" w:firstColumn="0" w:lastColumn="0" w:noHBand="1" w:noVBand="1"/>
      </w:tblPr>
      <w:tblGrid>
        <w:gridCol w:w="1691"/>
        <w:gridCol w:w="772"/>
        <w:gridCol w:w="1164"/>
        <w:gridCol w:w="5883"/>
      </w:tblGrid>
      <w:tr w:rsidR="004A2A5B" w14:paraId="724C4AF4" w14:textId="77777777">
        <w:trPr>
          <w:trHeight w:val="360"/>
        </w:trPr>
        <w:tc>
          <w:tcPr>
            <w:tcW w:w="9509" w:type="dxa"/>
            <w:gridSpan w:val="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016354"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Students Participation Score (After-Intervention)</w:t>
            </w:r>
          </w:p>
        </w:tc>
      </w:tr>
      <w:tr w:rsidR="004A2A5B" w14:paraId="1DC61DD7" w14:textId="77777777">
        <w:trPr>
          <w:trHeight w:val="330"/>
        </w:trPr>
        <w:tc>
          <w:tcPr>
            <w:tcW w:w="9509" w:type="dxa"/>
            <w:gridSpan w:val="4"/>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E470BE"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Section A</w:t>
            </w:r>
          </w:p>
        </w:tc>
      </w:tr>
      <w:tr w:rsidR="004A2A5B" w14:paraId="3D6EB529" w14:textId="77777777">
        <w:trPr>
          <w:trHeight w:val="345"/>
        </w:trPr>
        <w:tc>
          <w:tcPr>
            <w:tcW w:w="169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54737B79"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tc>
        <w:tc>
          <w:tcPr>
            <w:tcW w:w="772" w:type="dxa"/>
            <w:tcBorders>
              <w:top w:val="nil"/>
              <w:left w:val="nil"/>
              <w:bottom w:val="single" w:sz="6" w:space="0" w:color="000000"/>
              <w:right w:val="single" w:sz="6" w:space="0" w:color="000000"/>
            </w:tcBorders>
            <w:tcMar>
              <w:top w:w="0" w:type="dxa"/>
              <w:left w:w="100" w:type="dxa"/>
              <w:bottom w:w="0" w:type="dxa"/>
              <w:right w:w="100" w:type="dxa"/>
            </w:tcMar>
          </w:tcPr>
          <w:p w14:paraId="6D54BDE6"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1164" w:type="dxa"/>
            <w:tcBorders>
              <w:top w:val="nil"/>
              <w:left w:val="nil"/>
              <w:bottom w:val="single" w:sz="6" w:space="0" w:color="000000"/>
              <w:right w:val="single" w:sz="6" w:space="0" w:color="000000"/>
            </w:tcBorders>
            <w:tcMar>
              <w:top w:w="0" w:type="dxa"/>
              <w:left w:w="100" w:type="dxa"/>
              <w:bottom w:w="0" w:type="dxa"/>
              <w:right w:w="100" w:type="dxa"/>
            </w:tcMar>
          </w:tcPr>
          <w:p w14:paraId="670624CD"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Difference</w:t>
            </w:r>
          </w:p>
        </w:tc>
        <w:tc>
          <w:tcPr>
            <w:tcW w:w="5882" w:type="dxa"/>
            <w:tcBorders>
              <w:top w:val="nil"/>
              <w:left w:val="nil"/>
              <w:bottom w:val="single" w:sz="6" w:space="0" w:color="000000"/>
              <w:right w:val="single" w:sz="6" w:space="0" w:color="000000"/>
            </w:tcBorders>
            <w:tcMar>
              <w:top w:w="0" w:type="dxa"/>
              <w:left w:w="100" w:type="dxa"/>
              <w:bottom w:w="0" w:type="dxa"/>
              <w:right w:w="100" w:type="dxa"/>
            </w:tcMar>
          </w:tcPr>
          <w:p w14:paraId="71BEBD3D"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Percentile Description Result</w:t>
            </w:r>
          </w:p>
        </w:tc>
      </w:tr>
      <w:tr w:rsidR="004A2A5B" w14:paraId="74EFF552" w14:textId="77777777">
        <w:trPr>
          <w:trHeight w:val="525"/>
        </w:trPr>
        <w:tc>
          <w:tcPr>
            <w:tcW w:w="169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5B28C43A"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Active Participation</w:t>
            </w:r>
          </w:p>
        </w:tc>
        <w:tc>
          <w:tcPr>
            <w:tcW w:w="772" w:type="dxa"/>
            <w:tcBorders>
              <w:top w:val="nil"/>
              <w:left w:val="nil"/>
              <w:bottom w:val="single" w:sz="6" w:space="0" w:color="000000"/>
              <w:right w:val="single" w:sz="6" w:space="0" w:color="000000"/>
            </w:tcBorders>
            <w:tcMar>
              <w:top w:w="0" w:type="dxa"/>
              <w:left w:w="100" w:type="dxa"/>
              <w:bottom w:w="0" w:type="dxa"/>
              <w:right w:w="100" w:type="dxa"/>
            </w:tcMar>
          </w:tcPr>
          <w:p w14:paraId="45FCD936"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160</w:t>
            </w:r>
          </w:p>
        </w:tc>
        <w:tc>
          <w:tcPr>
            <w:tcW w:w="1164"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1025B4ED"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89</w:t>
            </w:r>
          </w:p>
        </w:tc>
        <w:tc>
          <w:tcPr>
            <w:tcW w:w="5882"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119AA671"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Passive Participation score is 55.63% lower than the Active Participation Score</w:t>
            </w:r>
          </w:p>
        </w:tc>
      </w:tr>
      <w:tr w:rsidR="004A2A5B" w14:paraId="30738013" w14:textId="77777777">
        <w:trPr>
          <w:trHeight w:val="525"/>
        </w:trPr>
        <w:tc>
          <w:tcPr>
            <w:tcW w:w="169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4A33470"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Passive Participation</w:t>
            </w:r>
          </w:p>
        </w:tc>
        <w:tc>
          <w:tcPr>
            <w:tcW w:w="772" w:type="dxa"/>
            <w:tcBorders>
              <w:top w:val="nil"/>
              <w:left w:val="nil"/>
              <w:bottom w:val="single" w:sz="6" w:space="0" w:color="000000"/>
              <w:right w:val="single" w:sz="6" w:space="0" w:color="000000"/>
            </w:tcBorders>
            <w:tcMar>
              <w:top w:w="0" w:type="dxa"/>
              <w:left w:w="100" w:type="dxa"/>
              <w:bottom w:w="0" w:type="dxa"/>
              <w:right w:w="100" w:type="dxa"/>
            </w:tcMar>
          </w:tcPr>
          <w:p w14:paraId="741F8ADF"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71</w:t>
            </w:r>
          </w:p>
        </w:tc>
        <w:tc>
          <w:tcPr>
            <w:tcW w:w="1164" w:type="dxa"/>
            <w:vMerge/>
            <w:tcBorders>
              <w:top w:val="nil"/>
              <w:left w:val="nil"/>
              <w:bottom w:val="single" w:sz="6" w:space="0" w:color="000000"/>
              <w:right w:val="single" w:sz="6" w:space="0" w:color="000000"/>
            </w:tcBorders>
            <w:tcMar>
              <w:top w:w="100" w:type="dxa"/>
              <w:left w:w="100" w:type="dxa"/>
              <w:bottom w:w="100" w:type="dxa"/>
              <w:right w:w="100" w:type="dxa"/>
            </w:tcMar>
          </w:tcPr>
          <w:p w14:paraId="791F7336" w14:textId="77777777" w:rsidR="004A2A5B" w:rsidRDefault="004A2A5B">
            <w:pPr>
              <w:spacing w:before="210" w:after="0" w:line="276" w:lineRule="auto"/>
              <w:jc w:val="both"/>
              <w:rPr>
                <w:rFonts w:ascii="Times New Roman" w:eastAsia="Times New Roman" w:hAnsi="Times New Roman" w:cs="Times New Roman"/>
                <w:b/>
                <w:bCs/>
                <w:sz w:val="20"/>
                <w:szCs w:val="20"/>
              </w:rPr>
            </w:pPr>
          </w:p>
        </w:tc>
        <w:tc>
          <w:tcPr>
            <w:tcW w:w="5882" w:type="dxa"/>
            <w:vMerge/>
            <w:tcBorders>
              <w:top w:val="nil"/>
              <w:left w:val="nil"/>
              <w:bottom w:val="single" w:sz="6" w:space="0" w:color="000000"/>
              <w:right w:val="single" w:sz="6" w:space="0" w:color="000000"/>
            </w:tcBorders>
            <w:tcMar>
              <w:top w:w="100" w:type="dxa"/>
              <w:left w:w="100" w:type="dxa"/>
              <w:bottom w:w="100" w:type="dxa"/>
              <w:right w:w="100" w:type="dxa"/>
            </w:tcMar>
          </w:tcPr>
          <w:p w14:paraId="4693D587" w14:textId="77777777" w:rsidR="004A2A5B" w:rsidRDefault="004A2A5B">
            <w:pPr>
              <w:spacing w:before="210" w:after="0" w:line="276" w:lineRule="auto"/>
              <w:jc w:val="both"/>
              <w:rPr>
                <w:rFonts w:ascii="Times New Roman" w:eastAsia="Times New Roman" w:hAnsi="Times New Roman" w:cs="Times New Roman"/>
                <w:b/>
                <w:bCs/>
                <w:sz w:val="20"/>
                <w:szCs w:val="20"/>
              </w:rPr>
            </w:pPr>
          </w:p>
        </w:tc>
      </w:tr>
      <w:tr w:rsidR="004A2A5B" w14:paraId="118A3674" w14:textId="77777777">
        <w:trPr>
          <w:trHeight w:val="270"/>
        </w:trPr>
        <w:tc>
          <w:tcPr>
            <w:tcW w:w="9509" w:type="dxa"/>
            <w:gridSpan w:val="4"/>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051F2F"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Section B</w:t>
            </w:r>
          </w:p>
        </w:tc>
      </w:tr>
      <w:tr w:rsidR="004A2A5B" w14:paraId="6663DE60" w14:textId="77777777">
        <w:trPr>
          <w:trHeight w:val="285"/>
        </w:trPr>
        <w:tc>
          <w:tcPr>
            <w:tcW w:w="169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7E57B496"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tc>
        <w:tc>
          <w:tcPr>
            <w:tcW w:w="772" w:type="dxa"/>
            <w:tcBorders>
              <w:top w:val="nil"/>
              <w:left w:val="nil"/>
              <w:bottom w:val="single" w:sz="6" w:space="0" w:color="000000"/>
              <w:right w:val="single" w:sz="6" w:space="0" w:color="000000"/>
            </w:tcBorders>
            <w:tcMar>
              <w:top w:w="0" w:type="dxa"/>
              <w:left w:w="100" w:type="dxa"/>
              <w:bottom w:w="0" w:type="dxa"/>
              <w:right w:w="100" w:type="dxa"/>
            </w:tcMar>
          </w:tcPr>
          <w:p w14:paraId="05B7E465"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1164" w:type="dxa"/>
            <w:tcBorders>
              <w:top w:val="nil"/>
              <w:left w:val="nil"/>
              <w:bottom w:val="single" w:sz="6" w:space="0" w:color="000000"/>
              <w:right w:val="single" w:sz="6" w:space="0" w:color="000000"/>
            </w:tcBorders>
            <w:tcMar>
              <w:top w:w="0" w:type="dxa"/>
              <w:left w:w="100" w:type="dxa"/>
              <w:bottom w:w="0" w:type="dxa"/>
              <w:right w:w="100" w:type="dxa"/>
            </w:tcMar>
          </w:tcPr>
          <w:p w14:paraId="7AC19A94"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Difference</w:t>
            </w:r>
          </w:p>
        </w:tc>
        <w:tc>
          <w:tcPr>
            <w:tcW w:w="5882" w:type="dxa"/>
            <w:tcBorders>
              <w:top w:val="nil"/>
              <w:left w:val="nil"/>
              <w:bottom w:val="single" w:sz="6" w:space="0" w:color="000000"/>
              <w:right w:val="single" w:sz="6" w:space="0" w:color="000000"/>
            </w:tcBorders>
            <w:tcMar>
              <w:top w:w="0" w:type="dxa"/>
              <w:left w:w="100" w:type="dxa"/>
              <w:bottom w:w="0" w:type="dxa"/>
              <w:right w:w="100" w:type="dxa"/>
            </w:tcMar>
          </w:tcPr>
          <w:p w14:paraId="70542031"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Percentile Description Result</w:t>
            </w:r>
          </w:p>
        </w:tc>
      </w:tr>
      <w:tr w:rsidR="004A2A5B" w14:paraId="31BABF4C" w14:textId="77777777">
        <w:trPr>
          <w:trHeight w:val="525"/>
        </w:trPr>
        <w:tc>
          <w:tcPr>
            <w:tcW w:w="169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056FC57"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Active Participation</w:t>
            </w:r>
          </w:p>
        </w:tc>
        <w:tc>
          <w:tcPr>
            <w:tcW w:w="772" w:type="dxa"/>
            <w:tcBorders>
              <w:top w:val="nil"/>
              <w:left w:val="nil"/>
              <w:bottom w:val="single" w:sz="6" w:space="0" w:color="000000"/>
              <w:right w:val="single" w:sz="6" w:space="0" w:color="000000"/>
            </w:tcBorders>
            <w:tcMar>
              <w:top w:w="0" w:type="dxa"/>
              <w:left w:w="100" w:type="dxa"/>
              <w:bottom w:w="0" w:type="dxa"/>
              <w:right w:w="100" w:type="dxa"/>
            </w:tcMar>
          </w:tcPr>
          <w:p w14:paraId="441B6BEC"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94</w:t>
            </w:r>
          </w:p>
        </w:tc>
        <w:tc>
          <w:tcPr>
            <w:tcW w:w="1164"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6B082029"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c>
          <w:tcPr>
            <w:tcW w:w="5882"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31C6C686"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Passive Participation score is 53.19% lower than the Active Participation Score</w:t>
            </w:r>
          </w:p>
        </w:tc>
      </w:tr>
      <w:tr w:rsidR="004A2A5B" w14:paraId="7CE7DA9E" w14:textId="77777777">
        <w:trPr>
          <w:trHeight w:val="525"/>
        </w:trPr>
        <w:tc>
          <w:tcPr>
            <w:tcW w:w="169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64499E6C"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Passive Participation</w:t>
            </w:r>
          </w:p>
        </w:tc>
        <w:tc>
          <w:tcPr>
            <w:tcW w:w="772" w:type="dxa"/>
            <w:tcBorders>
              <w:top w:val="nil"/>
              <w:left w:val="nil"/>
              <w:bottom w:val="single" w:sz="6" w:space="0" w:color="000000"/>
              <w:right w:val="single" w:sz="6" w:space="0" w:color="000000"/>
            </w:tcBorders>
            <w:tcMar>
              <w:top w:w="0" w:type="dxa"/>
              <w:left w:w="100" w:type="dxa"/>
              <w:bottom w:w="0" w:type="dxa"/>
              <w:right w:w="100" w:type="dxa"/>
            </w:tcMar>
          </w:tcPr>
          <w:p w14:paraId="774F90F0"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44</w:t>
            </w:r>
          </w:p>
        </w:tc>
        <w:tc>
          <w:tcPr>
            <w:tcW w:w="1164" w:type="dxa"/>
            <w:vMerge/>
            <w:tcBorders>
              <w:top w:val="nil"/>
              <w:left w:val="nil"/>
              <w:bottom w:val="single" w:sz="6" w:space="0" w:color="000000"/>
              <w:right w:val="single" w:sz="6" w:space="0" w:color="000000"/>
            </w:tcBorders>
            <w:tcMar>
              <w:top w:w="100" w:type="dxa"/>
              <w:left w:w="100" w:type="dxa"/>
              <w:bottom w:w="100" w:type="dxa"/>
              <w:right w:w="100" w:type="dxa"/>
            </w:tcMar>
          </w:tcPr>
          <w:p w14:paraId="4278431E" w14:textId="77777777" w:rsidR="004A2A5B" w:rsidRDefault="004A2A5B">
            <w:pPr>
              <w:spacing w:before="210" w:after="0" w:line="276" w:lineRule="auto"/>
              <w:jc w:val="both"/>
              <w:rPr>
                <w:rFonts w:ascii="Times New Roman" w:eastAsia="Times New Roman" w:hAnsi="Times New Roman" w:cs="Times New Roman"/>
                <w:b/>
                <w:bCs/>
                <w:sz w:val="20"/>
                <w:szCs w:val="20"/>
              </w:rPr>
            </w:pPr>
          </w:p>
        </w:tc>
        <w:tc>
          <w:tcPr>
            <w:tcW w:w="5882" w:type="dxa"/>
            <w:vMerge/>
            <w:tcBorders>
              <w:top w:val="nil"/>
              <w:left w:val="nil"/>
              <w:bottom w:val="single" w:sz="6" w:space="0" w:color="000000"/>
              <w:right w:val="single" w:sz="6" w:space="0" w:color="000000"/>
            </w:tcBorders>
            <w:tcMar>
              <w:top w:w="100" w:type="dxa"/>
              <w:left w:w="100" w:type="dxa"/>
              <w:bottom w:w="100" w:type="dxa"/>
              <w:right w:w="100" w:type="dxa"/>
            </w:tcMar>
          </w:tcPr>
          <w:p w14:paraId="1AB3C060" w14:textId="77777777" w:rsidR="004A2A5B" w:rsidRDefault="004A2A5B">
            <w:pPr>
              <w:spacing w:before="210" w:after="0" w:line="276" w:lineRule="auto"/>
              <w:jc w:val="both"/>
              <w:rPr>
                <w:rFonts w:ascii="Times New Roman" w:eastAsia="Times New Roman" w:hAnsi="Times New Roman" w:cs="Times New Roman"/>
                <w:b/>
                <w:bCs/>
                <w:sz w:val="20"/>
                <w:szCs w:val="20"/>
              </w:rPr>
            </w:pPr>
          </w:p>
        </w:tc>
      </w:tr>
    </w:tbl>
    <w:p w14:paraId="65BAE4FE" w14:textId="77777777" w:rsidR="004A2A5B" w:rsidRDefault="006623F1">
      <w:pPr>
        <w:spacing w:before="20" w:line="229" w:lineRule="auto"/>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Table 3: Section A and B Comparison of the After-Intervention Participation Score: Active Participation Score and Passive Participation Score in percentage analysis</w:t>
      </w:r>
    </w:p>
    <w:p w14:paraId="4DEFDF61" w14:textId="77777777" w:rsidR="004A2A5B" w:rsidRDefault="006623F1">
      <w:pPr>
        <w:spacing w:before="220" w:after="0" w:line="276" w:lineRule="auto"/>
        <w:ind w:firstLine="40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After the Herringbone seating arrangement was introduced, participation scores increased in both sections. In Section A, active participation increased to 160, whereas passive participation reached 71. This produced an 89-point difference, indicating that passive participation was 55.63 percent lower than active participation. In Section B, active participation totaled 94, while passive participation was 44, resulting in a 50-point difference and showing that passive participation was 53.19 percent lower than active participation. These results demonstrate that active participation remained, and became more clearly, the predominant form of participation once the Herringbone configuration was implemented.</w:t>
      </w:r>
    </w:p>
    <w:p w14:paraId="065976CA" w14:textId="77777777" w:rsidR="004A2A5B" w:rsidRDefault="006623F1">
      <w:pPr>
        <w:spacing w:before="220" w:after="0" w:line="276" w:lineRule="auto"/>
        <w:ind w:firstLine="40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 </w:t>
      </w:r>
    </w:p>
    <w:tbl>
      <w:tblPr>
        <w:tblStyle w:val="a2"/>
        <w:tblW w:w="9510" w:type="dxa"/>
        <w:tblBorders>
          <w:top w:val="nil"/>
          <w:left w:val="nil"/>
          <w:bottom w:val="nil"/>
          <w:right w:val="nil"/>
          <w:insideH w:val="nil"/>
          <w:insideV w:val="nil"/>
        </w:tblBorders>
        <w:tblLayout w:type="fixed"/>
        <w:tblLook w:val="0600" w:firstRow="0" w:lastRow="0" w:firstColumn="0" w:lastColumn="0" w:noHBand="1" w:noVBand="1"/>
      </w:tblPr>
      <w:tblGrid>
        <w:gridCol w:w="2050"/>
        <w:gridCol w:w="726"/>
        <w:gridCol w:w="1077"/>
        <w:gridCol w:w="5657"/>
      </w:tblGrid>
      <w:tr w:rsidR="004A2A5B" w14:paraId="6EA4B431" w14:textId="77777777">
        <w:trPr>
          <w:trHeight w:val="300"/>
        </w:trPr>
        <w:tc>
          <w:tcPr>
            <w:tcW w:w="9508" w:type="dxa"/>
            <w:gridSpan w:val="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2EE219"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Student Participation Score (After-Intervention)</w:t>
            </w:r>
          </w:p>
        </w:tc>
      </w:tr>
      <w:tr w:rsidR="004A2A5B" w14:paraId="19B9AB2E" w14:textId="77777777">
        <w:trPr>
          <w:trHeight w:val="300"/>
        </w:trPr>
        <w:tc>
          <w:tcPr>
            <w:tcW w:w="204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A1B735"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tc>
        <w:tc>
          <w:tcPr>
            <w:tcW w:w="726" w:type="dxa"/>
            <w:tcBorders>
              <w:top w:val="nil"/>
              <w:left w:val="nil"/>
              <w:bottom w:val="single" w:sz="6" w:space="0" w:color="000000"/>
              <w:right w:val="single" w:sz="6" w:space="0" w:color="000000"/>
            </w:tcBorders>
            <w:tcMar>
              <w:top w:w="0" w:type="dxa"/>
              <w:left w:w="100" w:type="dxa"/>
              <w:bottom w:w="0" w:type="dxa"/>
              <w:right w:w="100" w:type="dxa"/>
            </w:tcMar>
          </w:tcPr>
          <w:p w14:paraId="39FE4C63"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1077" w:type="dxa"/>
            <w:tcBorders>
              <w:top w:val="nil"/>
              <w:left w:val="nil"/>
              <w:bottom w:val="single" w:sz="6" w:space="0" w:color="000000"/>
              <w:right w:val="single" w:sz="6" w:space="0" w:color="000000"/>
            </w:tcBorders>
            <w:tcMar>
              <w:top w:w="0" w:type="dxa"/>
              <w:left w:w="100" w:type="dxa"/>
              <w:bottom w:w="0" w:type="dxa"/>
              <w:right w:w="100" w:type="dxa"/>
            </w:tcMar>
          </w:tcPr>
          <w:p w14:paraId="6BC54D86"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Difference</w:t>
            </w:r>
          </w:p>
        </w:tc>
        <w:tc>
          <w:tcPr>
            <w:tcW w:w="5656" w:type="dxa"/>
            <w:tcBorders>
              <w:top w:val="nil"/>
              <w:left w:val="nil"/>
              <w:bottom w:val="single" w:sz="6" w:space="0" w:color="000000"/>
              <w:right w:val="single" w:sz="6" w:space="0" w:color="000000"/>
            </w:tcBorders>
            <w:tcMar>
              <w:top w:w="0" w:type="dxa"/>
              <w:left w:w="100" w:type="dxa"/>
              <w:bottom w:w="0" w:type="dxa"/>
              <w:right w:w="100" w:type="dxa"/>
            </w:tcMar>
          </w:tcPr>
          <w:p w14:paraId="0B3C0C89"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Percentile Description Result</w:t>
            </w:r>
          </w:p>
        </w:tc>
      </w:tr>
      <w:tr w:rsidR="004A2A5B" w14:paraId="02C53BBE" w14:textId="77777777">
        <w:trPr>
          <w:trHeight w:val="300"/>
        </w:trPr>
        <w:tc>
          <w:tcPr>
            <w:tcW w:w="204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E8BB29"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Active Participation Score</w:t>
            </w:r>
          </w:p>
        </w:tc>
        <w:tc>
          <w:tcPr>
            <w:tcW w:w="726" w:type="dxa"/>
            <w:tcBorders>
              <w:top w:val="nil"/>
              <w:left w:val="nil"/>
              <w:bottom w:val="single" w:sz="6" w:space="0" w:color="000000"/>
              <w:right w:val="single" w:sz="6" w:space="0" w:color="000000"/>
            </w:tcBorders>
            <w:tcMar>
              <w:top w:w="0" w:type="dxa"/>
              <w:left w:w="100" w:type="dxa"/>
              <w:bottom w:w="0" w:type="dxa"/>
              <w:right w:w="100" w:type="dxa"/>
            </w:tcMar>
          </w:tcPr>
          <w:p w14:paraId="3560D742"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254</w:t>
            </w:r>
          </w:p>
        </w:tc>
        <w:tc>
          <w:tcPr>
            <w:tcW w:w="1077"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5F2EBDC4"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139</w:t>
            </w:r>
          </w:p>
        </w:tc>
        <w:tc>
          <w:tcPr>
            <w:tcW w:w="5656"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1F33014A"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Passive Participation Score is 54.72% lower than the Active Participation Score</w:t>
            </w:r>
          </w:p>
        </w:tc>
      </w:tr>
      <w:tr w:rsidR="004A2A5B" w14:paraId="7E690829" w14:textId="77777777">
        <w:trPr>
          <w:trHeight w:val="300"/>
        </w:trPr>
        <w:tc>
          <w:tcPr>
            <w:tcW w:w="204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91A2EA"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Passive Participation Score</w:t>
            </w:r>
          </w:p>
        </w:tc>
        <w:tc>
          <w:tcPr>
            <w:tcW w:w="726" w:type="dxa"/>
            <w:tcBorders>
              <w:top w:val="nil"/>
              <w:left w:val="nil"/>
              <w:bottom w:val="single" w:sz="6" w:space="0" w:color="000000"/>
              <w:right w:val="single" w:sz="6" w:space="0" w:color="000000"/>
            </w:tcBorders>
            <w:tcMar>
              <w:top w:w="0" w:type="dxa"/>
              <w:left w:w="100" w:type="dxa"/>
              <w:bottom w:w="0" w:type="dxa"/>
              <w:right w:w="100" w:type="dxa"/>
            </w:tcMar>
          </w:tcPr>
          <w:p w14:paraId="6523E25E" w14:textId="77777777" w:rsidR="004A2A5B" w:rsidRDefault="006623F1">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115</w:t>
            </w:r>
          </w:p>
        </w:tc>
        <w:tc>
          <w:tcPr>
            <w:tcW w:w="1077" w:type="dxa"/>
            <w:vMerge/>
            <w:tcBorders>
              <w:top w:val="nil"/>
              <w:left w:val="nil"/>
              <w:bottom w:val="single" w:sz="6" w:space="0" w:color="000000"/>
              <w:right w:val="single" w:sz="6" w:space="0" w:color="000000"/>
            </w:tcBorders>
            <w:tcMar>
              <w:top w:w="100" w:type="dxa"/>
              <w:left w:w="100" w:type="dxa"/>
              <w:bottom w:w="100" w:type="dxa"/>
              <w:right w:w="100" w:type="dxa"/>
            </w:tcMar>
          </w:tcPr>
          <w:p w14:paraId="2CB02E8E" w14:textId="77777777" w:rsidR="004A2A5B" w:rsidRDefault="004A2A5B">
            <w:pPr>
              <w:spacing w:before="210" w:after="0" w:line="276" w:lineRule="auto"/>
              <w:jc w:val="both"/>
              <w:rPr>
                <w:rFonts w:ascii="Times New Roman" w:eastAsia="Times New Roman" w:hAnsi="Times New Roman" w:cs="Times New Roman"/>
                <w:b/>
                <w:bCs/>
                <w:sz w:val="20"/>
                <w:szCs w:val="20"/>
              </w:rPr>
            </w:pPr>
          </w:p>
        </w:tc>
        <w:tc>
          <w:tcPr>
            <w:tcW w:w="5656" w:type="dxa"/>
            <w:vMerge/>
            <w:tcBorders>
              <w:top w:val="nil"/>
              <w:left w:val="nil"/>
              <w:bottom w:val="single" w:sz="6" w:space="0" w:color="000000"/>
              <w:right w:val="single" w:sz="6" w:space="0" w:color="000000"/>
            </w:tcBorders>
            <w:tcMar>
              <w:top w:w="100" w:type="dxa"/>
              <w:left w:w="100" w:type="dxa"/>
              <w:bottom w:w="100" w:type="dxa"/>
              <w:right w:w="100" w:type="dxa"/>
            </w:tcMar>
          </w:tcPr>
          <w:p w14:paraId="7DF6C178" w14:textId="77777777" w:rsidR="004A2A5B" w:rsidRDefault="004A2A5B">
            <w:pPr>
              <w:spacing w:before="210" w:after="0" w:line="276" w:lineRule="auto"/>
              <w:jc w:val="both"/>
              <w:rPr>
                <w:rFonts w:ascii="Times New Roman" w:eastAsia="Times New Roman" w:hAnsi="Times New Roman" w:cs="Times New Roman"/>
                <w:b/>
                <w:bCs/>
                <w:sz w:val="20"/>
                <w:szCs w:val="20"/>
              </w:rPr>
            </w:pPr>
          </w:p>
        </w:tc>
      </w:tr>
    </w:tbl>
    <w:p w14:paraId="1E6AF892" w14:textId="77777777" w:rsidR="004A2A5B" w:rsidRDefault="006623F1">
      <w:pPr>
        <w:spacing w:after="0" w:line="229" w:lineRule="auto"/>
        <w:ind w:right="96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Table 4: Comparison of the After Intervention: Active Participation Score and Passive Participation score in percentage analysis</w:t>
      </w:r>
    </w:p>
    <w:p w14:paraId="08CEAD45" w14:textId="77777777" w:rsidR="004A2A5B" w:rsidRDefault="006623F1">
      <w:pPr>
        <w:spacing w:before="220" w:after="0" w:line="276"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When the after-intervention scores from both sections were combined, active participation reached a total of 254 and passive participation 115. The resulting 139-point difference indicates that passive participation was 54.72 percent lower than active participation overall. Within active participation, discussing lessons was the most frequently observed behavior, with 184 instances recorded during sessions using the Herringbone arrangement. Writing notes, classified as passive participation, was the least frequent passive behavior, with 54 instances.</w:t>
      </w:r>
    </w:p>
    <w:p w14:paraId="7BD9D454" w14:textId="77777777" w:rsidR="004A2A5B" w:rsidRDefault="006623F1">
      <w:pPr>
        <w:spacing w:before="220" w:after="0" w:line="276"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These findings imply that the Herringbone seating arrangement not only amplifies the overall level of participation but also shifts classroom interaction toward more dialogic, peer‑ and teacher‑student discussion, which is crucial for higher‑order thinking in </w:t>
      </w:r>
      <w:proofErr w:type="spellStart"/>
      <w:r>
        <w:rPr>
          <w:rFonts w:ascii="Times New Roman" w:eastAsia="Times New Roman" w:hAnsi="Times New Roman" w:cs="Times New Roman"/>
          <w:sz w:val="22"/>
          <w:szCs w:val="22"/>
        </w:rPr>
        <w:t>Araling</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Panlipunan</w:t>
      </w:r>
      <w:proofErr w:type="spellEnd"/>
      <w:r>
        <w:rPr>
          <w:rFonts w:ascii="Times New Roman" w:eastAsia="Times New Roman" w:hAnsi="Times New Roman" w:cs="Times New Roman"/>
          <w:sz w:val="22"/>
          <w:szCs w:val="22"/>
        </w:rPr>
        <w:t>. For practice, this suggests that teachers who wish to promote collaborative meaning‑making and reduce recitation‑type participation may adopt Herringbone layouts as a low‑cost structural change that enhances interaction without requiring major modifications to curriculum content.</w:t>
      </w:r>
    </w:p>
    <w:p w14:paraId="208D6AFF" w14:textId="77777777" w:rsidR="00E96DB3" w:rsidRDefault="00E96DB3" w:rsidP="00E96DB3">
      <w:pPr>
        <w:spacing w:before="220" w:after="0" w:line="276" w:lineRule="auto"/>
        <w:ind w:firstLine="720"/>
        <w:jc w:val="both"/>
        <w:rPr>
          <w:rFonts w:ascii="Times New Roman" w:eastAsia="Times New Roman" w:hAnsi="Times New Roman" w:cs="Times New Roman"/>
          <w:sz w:val="22"/>
          <w:szCs w:val="22"/>
        </w:rPr>
      </w:pPr>
      <w:r w:rsidRPr="00E96DB3">
        <w:rPr>
          <w:rFonts w:ascii="Times New Roman" w:eastAsia="Times New Roman" w:hAnsi="Times New Roman" w:cs="Times New Roman"/>
          <w:sz w:val="22"/>
          <w:szCs w:val="22"/>
        </w:rPr>
        <w:t xml:space="preserve">These outcomes show not only a quantitative increase in active participation but also a shift in the pattern of engagement, with learners more frequently participating through discussion rather than mainly by answering teacher questions. This pattern is consistent with Dewey’s (1897) view that learning is facilitated by social interaction and with recent evidence that semi‑circular and decentralized seating configurations support interaction and focus in school subjects such as </w:t>
      </w:r>
      <w:proofErr w:type="spellStart"/>
      <w:r w:rsidRPr="00E96DB3">
        <w:rPr>
          <w:rFonts w:ascii="Times New Roman" w:eastAsia="Times New Roman" w:hAnsi="Times New Roman" w:cs="Times New Roman"/>
          <w:sz w:val="22"/>
          <w:szCs w:val="22"/>
        </w:rPr>
        <w:t>Araling</w:t>
      </w:r>
      <w:proofErr w:type="spellEnd"/>
      <w:r w:rsidRPr="00E96DB3">
        <w:rPr>
          <w:rFonts w:ascii="Times New Roman" w:eastAsia="Times New Roman" w:hAnsi="Times New Roman" w:cs="Times New Roman"/>
          <w:sz w:val="22"/>
          <w:szCs w:val="22"/>
        </w:rPr>
        <w:t xml:space="preserve"> </w:t>
      </w:r>
      <w:proofErr w:type="spellStart"/>
      <w:r w:rsidRPr="00E96DB3">
        <w:rPr>
          <w:rFonts w:ascii="Times New Roman" w:eastAsia="Times New Roman" w:hAnsi="Times New Roman" w:cs="Times New Roman"/>
          <w:sz w:val="22"/>
          <w:szCs w:val="22"/>
        </w:rPr>
        <w:t>Panlipunan</w:t>
      </w:r>
      <w:proofErr w:type="spellEnd"/>
      <w:r w:rsidRPr="00E96DB3">
        <w:rPr>
          <w:rFonts w:ascii="Times New Roman" w:eastAsia="Times New Roman" w:hAnsi="Times New Roman" w:cs="Times New Roman"/>
          <w:sz w:val="22"/>
          <w:szCs w:val="22"/>
        </w:rPr>
        <w:t xml:space="preserve"> (</w:t>
      </w:r>
      <w:proofErr w:type="spellStart"/>
      <w:r w:rsidRPr="00E96DB3">
        <w:rPr>
          <w:rFonts w:ascii="Times New Roman" w:eastAsia="Times New Roman" w:hAnsi="Times New Roman" w:cs="Times New Roman"/>
          <w:sz w:val="22"/>
          <w:szCs w:val="22"/>
        </w:rPr>
        <w:t>Byiringiro</w:t>
      </w:r>
      <w:proofErr w:type="spellEnd"/>
      <w:r w:rsidRPr="00E96DB3">
        <w:rPr>
          <w:rFonts w:ascii="Times New Roman" w:eastAsia="Times New Roman" w:hAnsi="Times New Roman" w:cs="Times New Roman"/>
          <w:sz w:val="22"/>
          <w:szCs w:val="22"/>
        </w:rPr>
        <w:t>, 2023; Rogers, 2020; Morris et al., 2010). The Herringbone arrangement appears to have created a classroom ecology that is more conducive to active, interactional participation.</w:t>
      </w:r>
    </w:p>
    <w:p w14:paraId="7AC4DC47" w14:textId="3889FBCB" w:rsidR="004A2A5B" w:rsidRDefault="006623F1">
      <w:pPr>
        <w:spacing w:before="220" w:after="0" w:line="276"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Improvement in Participation Scores Following the Intervention</w:t>
      </w:r>
    </w:p>
    <w:tbl>
      <w:tblPr>
        <w:tblStyle w:val="a3"/>
        <w:tblW w:w="9510" w:type="dxa"/>
        <w:tblBorders>
          <w:top w:val="nil"/>
          <w:left w:val="nil"/>
          <w:bottom w:val="nil"/>
          <w:right w:val="nil"/>
          <w:insideH w:val="nil"/>
          <w:insideV w:val="nil"/>
        </w:tblBorders>
        <w:tblLayout w:type="fixed"/>
        <w:tblLook w:val="0600" w:firstRow="0" w:lastRow="0" w:firstColumn="0" w:lastColumn="0" w:noHBand="1" w:noVBand="1"/>
      </w:tblPr>
      <w:tblGrid>
        <w:gridCol w:w="2272"/>
        <w:gridCol w:w="2078"/>
        <w:gridCol w:w="1103"/>
        <w:gridCol w:w="1317"/>
        <w:gridCol w:w="1220"/>
        <w:gridCol w:w="1520"/>
      </w:tblGrid>
      <w:tr w:rsidR="004A2A5B" w14:paraId="03B371CB" w14:textId="77777777">
        <w:trPr>
          <w:trHeight w:val="330"/>
        </w:trPr>
        <w:tc>
          <w:tcPr>
            <w:tcW w:w="2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438C19"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Range of Participation Score</w:t>
            </w:r>
          </w:p>
        </w:tc>
        <w:tc>
          <w:tcPr>
            <w:tcW w:w="20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362821C"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Descriptive Interpretation</w:t>
            </w:r>
          </w:p>
        </w:tc>
        <w:tc>
          <w:tcPr>
            <w:tcW w:w="242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5263CB9"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Grid Seating Arrangement</w:t>
            </w:r>
          </w:p>
        </w:tc>
        <w:tc>
          <w:tcPr>
            <w:tcW w:w="274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6F442CD"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Herringbone Seating Arrangement</w:t>
            </w:r>
          </w:p>
        </w:tc>
      </w:tr>
      <w:tr w:rsidR="004A2A5B" w14:paraId="3C4A4131" w14:textId="77777777">
        <w:trPr>
          <w:trHeight w:val="283"/>
        </w:trPr>
        <w:tc>
          <w:tcPr>
            <w:tcW w:w="227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16211885" w14:textId="77777777" w:rsidR="004A2A5B" w:rsidRDefault="004A2A5B">
            <w:pPr>
              <w:spacing w:before="210" w:after="0" w:line="276" w:lineRule="auto"/>
              <w:ind w:right="140"/>
              <w:jc w:val="center"/>
              <w:rPr>
                <w:rFonts w:ascii="Times New Roman" w:eastAsia="Times New Roman" w:hAnsi="Times New Roman" w:cs="Times New Roman"/>
                <w:b/>
                <w:bCs/>
                <w:i/>
                <w:iCs/>
                <w:sz w:val="18"/>
                <w:szCs w:val="18"/>
              </w:rPr>
            </w:pPr>
          </w:p>
        </w:tc>
        <w:tc>
          <w:tcPr>
            <w:tcW w:w="2077"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EB65A65" w14:textId="77777777" w:rsidR="004A2A5B" w:rsidRDefault="004A2A5B">
            <w:pPr>
              <w:spacing w:before="210" w:after="0" w:line="276" w:lineRule="auto"/>
              <w:ind w:right="140"/>
              <w:jc w:val="center"/>
              <w:rPr>
                <w:rFonts w:ascii="Times New Roman" w:eastAsia="Times New Roman" w:hAnsi="Times New Roman" w:cs="Times New Roman"/>
                <w:b/>
                <w:bCs/>
                <w:i/>
                <w:iCs/>
                <w:sz w:val="18"/>
                <w:szCs w:val="18"/>
              </w:rPr>
            </w:pPr>
          </w:p>
        </w:tc>
        <w:tc>
          <w:tcPr>
            <w:tcW w:w="1103" w:type="dxa"/>
            <w:tcBorders>
              <w:top w:val="nil"/>
              <w:left w:val="nil"/>
              <w:bottom w:val="single" w:sz="6" w:space="0" w:color="000000"/>
              <w:right w:val="single" w:sz="6" w:space="0" w:color="000000"/>
            </w:tcBorders>
            <w:tcMar>
              <w:top w:w="0" w:type="dxa"/>
              <w:left w:w="100" w:type="dxa"/>
              <w:bottom w:w="0" w:type="dxa"/>
              <w:right w:w="100" w:type="dxa"/>
            </w:tcMar>
          </w:tcPr>
          <w:p w14:paraId="04B69163" w14:textId="77777777" w:rsidR="004A2A5B" w:rsidRDefault="006623F1">
            <w:pPr>
              <w:spacing w:after="0" w:line="276" w:lineRule="auto"/>
              <w:ind w:left="140" w:right="140"/>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f</w:t>
            </w:r>
          </w:p>
        </w:tc>
        <w:tc>
          <w:tcPr>
            <w:tcW w:w="1317" w:type="dxa"/>
            <w:tcBorders>
              <w:top w:val="nil"/>
              <w:left w:val="nil"/>
              <w:bottom w:val="single" w:sz="6" w:space="0" w:color="000000"/>
              <w:right w:val="single" w:sz="6" w:space="0" w:color="000000"/>
            </w:tcBorders>
            <w:tcMar>
              <w:top w:w="0" w:type="dxa"/>
              <w:left w:w="100" w:type="dxa"/>
              <w:bottom w:w="0" w:type="dxa"/>
              <w:right w:w="100" w:type="dxa"/>
            </w:tcMar>
          </w:tcPr>
          <w:p w14:paraId="6AF43B62" w14:textId="77777777" w:rsidR="004A2A5B" w:rsidRDefault="006623F1">
            <w:pPr>
              <w:spacing w:after="0" w:line="276" w:lineRule="auto"/>
              <w:ind w:left="140" w:right="140"/>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w:t>
            </w:r>
          </w:p>
        </w:tc>
        <w:tc>
          <w:tcPr>
            <w:tcW w:w="1220" w:type="dxa"/>
            <w:tcBorders>
              <w:top w:val="nil"/>
              <w:left w:val="nil"/>
              <w:bottom w:val="single" w:sz="6" w:space="0" w:color="000000"/>
              <w:right w:val="single" w:sz="6" w:space="0" w:color="000000"/>
            </w:tcBorders>
            <w:tcMar>
              <w:top w:w="0" w:type="dxa"/>
              <w:left w:w="100" w:type="dxa"/>
              <w:bottom w:w="0" w:type="dxa"/>
              <w:right w:w="100" w:type="dxa"/>
            </w:tcMar>
          </w:tcPr>
          <w:p w14:paraId="36971630" w14:textId="77777777" w:rsidR="004A2A5B" w:rsidRDefault="006623F1">
            <w:pPr>
              <w:spacing w:after="0" w:line="276" w:lineRule="auto"/>
              <w:ind w:left="140" w:right="140"/>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f</w:t>
            </w:r>
          </w:p>
        </w:tc>
        <w:tc>
          <w:tcPr>
            <w:tcW w:w="1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D3B0561" w14:textId="77777777" w:rsidR="004A2A5B" w:rsidRDefault="006623F1">
            <w:pPr>
              <w:spacing w:after="0" w:line="276" w:lineRule="auto"/>
              <w:ind w:right="140"/>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w:t>
            </w:r>
          </w:p>
        </w:tc>
      </w:tr>
      <w:tr w:rsidR="004A2A5B" w14:paraId="3FCFD497" w14:textId="77777777">
        <w:trPr>
          <w:trHeight w:val="330"/>
        </w:trPr>
        <w:tc>
          <w:tcPr>
            <w:tcW w:w="227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07B3BE4F"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17-20</w:t>
            </w:r>
          </w:p>
        </w:tc>
        <w:tc>
          <w:tcPr>
            <w:tcW w:w="2077"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5989772"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Outstanding</w:t>
            </w:r>
          </w:p>
        </w:tc>
        <w:tc>
          <w:tcPr>
            <w:tcW w:w="1103" w:type="dxa"/>
            <w:tcBorders>
              <w:top w:val="nil"/>
              <w:left w:val="nil"/>
              <w:bottom w:val="single" w:sz="6" w:space="0" w:color="000000"/>
              <w:right w:val="single" w:sz="6" w:space="0" w:color="000000"/>
            </w:tcBorders>
            <w:tcMar>
              <w:top w:w="0" w:type="dxa"/>
              <w:left w:w="100" w:type="dxa"/>
              <w:bottom w:w="0" w:type="dxa"/>
              <w:right w:w="100" w:type="dxa"/>
            </w:tcMar>
          </w:tcPr>
          <w:p w14:paraId="19F6B37A"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0</w:t>
            </w:r>
          </w:p>
        </w:tc>
        <w:tc>
          <w:tcPr>
            <w:tcW w:w="1317" w:type="dxa"/>
            <w:tcBorders>
              <w:top w:val="nil"/>
              <w:left w:val="nil"/>
              <w:bottom w:val="single" w:sz="6" w:space="0" w:color="000000"/>
              <w:right w:val="single" w:sz="6" w:space="0" w:color="000000"/>
            </w:tcBorders>
            <w:tcMar>
              <w:top w:w="0" w:type="dxa"/>
              <w:left w:w="100" w:type="dxa"/>
              <w:bottom w:w="0" w:type="dxa"/>
              <w:right w:w="100" w:type="dxa"/>
            </w:tcMar>
          </w:tcPr>
          <w:p w14:paraId="2850189A"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0</w:t>
            </w:r>
          </w:p>
        </w:tc>
        <w:tc>
          <w:tcPr>
            <w:tcW w:w="1220" w:type="dxa"/>
            <w:tcBorders>
              <w:top w:val="nil"/>
              <w:left w:val="nil"/>
              <w:bottom w:val="single" w:sz="6" w:space="0" w:color="000000"/>
              <w:right w:val="single" w:sz="6" w:space="0" w:color="000000"/>
            </w:tcBorders>
            <w:tcMar>
              <w:top w:w="0" w:type="dxa"/>
              <w:left w:w="100" w:type="dxa"/>
              <w:bottom w:w="0" w:type="dxa"/>
              <w:right w:w="100" w:type="dxa"/>
            </w:tcMar>
          </w:tcPr>
          <w:p w14:paraId="23CC9826"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0</w:t>
            </w:r>
          </w:p>
        </w:tc>
        <w:tc>
          <w:tcPr>
            <w:tcW w:w="1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AF5B93A"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0</w:t>
            </w:r>
          </w:p>
        </w:tc>
      </w:tr>
      <w:tr w:rsidR="004A2A5B" w14:paraId="5141BB8B" w14:textId="77777777">
        <w:trPr>
          <w:trHeight w:val="480"/>
        </w:trPr>
        <w:tc>
          <w:tcPr>
            <w:tcW w:w="227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31B7BB3"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13-16</w:t>
            </w:r>
          </w:p>
        </w:tc>
        <w:tc>
          <w:tcPr>
            <w:tcW w:w="2077"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0654982"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Very Satisfactory</w:t>
            </w:r>
          </w:p>
        </w:tc>
        <w:tc>
          <w:tcPr>
            <w:tcW w:w="1103" w:type="dxa"/>
            <w:tcBorders>
              <w:top w:val="nil"/>
              <w:left w:val="nil"/>
              <w:bottom w:val="single" w:sz="6" w:space="0" w:color="000000"/>
              <w:right w:val="single" w:sz="6" w:space="0" w:color="000000"/>
            </w:tcBorders>
            <w:tcMar>
              <w:top w:w="0" w:type="dxa"/>
              <w:left w:w="100" w:type="dxa"/>
              <w:bottom w:w="0" w:type="dxa"/>
              <w:right w:w="100" w:type="dxa"/>
            </w:tcMar>
          </w:tcPr>
          <w:p w14:paraId="78C1E501"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0</w:t>
            </w:r>
          </w:p>
        </w:tc>
        <w:tc>
          <w:tcPr>
            <w:tcW w:w="1317" w:type="dxa"/>
            <w:tcBorders>
              <w:top w:val="nil"/>
              <w:left w:val="nil"/>
              <w:bottom w:val="single" w:sz="6" w:space="0" w:color="000000"/>
              <w:right w:val="single" w:sz="6" w:space="0" w:color="000000"/>
            </w:tcBorders>
            <w:tcMar>
              <w:top w:w="0" w:type="dxa"/>
              <w:left w:w="100" w:type="dxa"/>
              <w:bottom w:w="0" w:type="dxa"/>
              <w:right w:w="100" w:type="dxa"/>
            </w:tcMar>
          </w:tcPr>
          <w:p w14:paraId="417B3D0B"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0</w:t>
            </w:r>
          </w:p>
        </w:tc>
        <w:tc>
          <w:tcPr>
            <w:tcW w:w="1220" w:type="dxa"/>
            <w:tcBorders>
              <w:top w:val="nil"/>
              <w:left w:val="nil"/>
              <w:bottom w:val="single" w:sz="6" w:space="0" w:color="000000"/>
              <w:right w:val="single" w:sz="6" w:space="0" w:color="000000"/>
            </w:tcBorders>
            <w:tcMar>
              <w:top w:w="0" w:type="dxa"/>
              <w:left w:w="100" w:type="dxa"/>
              <w:bottom w:w="0" w:type="dxa"/>
              <w:right w:w="100" w:type="dxa"/>
            </w:tcMar>
          </w:tcPr>
          <w:p w14:paraId="2FE19535"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w:t>
            </w:r>
          </w:p>
        </w:tc>
        <w:tc>
          <w:tcPr>
            <w:tcW w:w="1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C25CD4B"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5.71</w:t>
            </w:r>
          </w:p>
        </w:tc>
      </w:tr>
      <w:tr w:rsidR="004A2A5B" w14:paraId="5B6330A2" w14:textId="77777777">
        <w:trPr>
          <w:trHeight w:val="330"/>
        </w:trPr>
        <w:tc>
          <w:tcPr>
            <w:tcW w:w="227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61C4A2BA"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9-12</w:t>
            </w:r>
          </w:p>
        </w:tc>
        <w:tc>
          <w:tcPr>
            <w:tcW w:w="2077"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FA3B49A"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Satisfactory</w:t>
            </w:r>
          </w:p>
        </w:tc>
        <w:tc>
          <w:tcPr>
            <w:tcW w:w="1103" w:type="dxa"/>
            <w:tcBorders>
              <w:top w:val="nil"/>
              <w:left w:val="nil"/>
              <w:bottom w:val="single" w:sz="6" w:space="0" w:color="000000"/>
              <w:right w:val="single" w:sz="6" w:space="0" w:color="000000"/>
            </w:tcBorders>
            <w:tcMar>
              <w:top w:w="0" w:type="dxa"/>
              <w:left w:w="100" w:type="dxa"/>
              <w:bottom w:w="0" w:type="dxa"/>
              <w:right w:w="100" w:type="dxa"/>
            </w:tcMar>
          </w:tcPr>
          <w:p w14:paraId="56545B86"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0</w:t>
            </w:r>
          </w:p>
        </w:tc>
        <w:tc>
          <w:tcPr>
            <w:tcW w:w="1317" w:type="dxa"/>
            <w:tcBorders>
              <w:top w:val="nil"/>
              <w:left w:val="nil"/>
              <w:bottom w:val="single" w:sz="6" w:space="0" w:color="000000"/>
              <w:right w:val="single" w:sz="6" w:space="0" w:color="000000"/>
            </w:tcBorders>
            <w:tcMar>
              <w:top w:w="0" w:type="dxa"/>
              <w:left w:w="100" w:type="dxa"/>
              <w:bottom w:w="0" w:type="dxa"/>
              <w:right w:w="100" w:type="dxa"/>
            </w:tcMar>
          </w:tcPr>
          <w:p w14:paraId="7D480CE0"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0</w:t>
            </w:r>
          </w:p>
        </w:tc>
        <w:tc>
          <w:tcPr>
            <w:tcW w:w="1220" w:type="dxa"/>
            <w:tcBorders>
              <w:top w:val="nil"/>
              <w:left w:val="nil"/>
              <w:bottom w:val="single" w:sz="6" w:space="0" w:color="000000"/>
              <w:right w:val="single" w:sz="6" w:space="0" w:color="000000"/>
            </w:tcBorders>
            <w:tcMar>
              <w:top w:w="0" w:type="dxa"/>
              <w:left w:w="100" w:type="dxa"/>
              <w:bottom w:w="0" w:type="dxa"/>
              <w:right w:w="100" w:type="dxa"/>
            </w:tcMar>
          </w:tcPr>
          <w:p w14:paraId="5022EE7A"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6</w:t>
            </w:r>
          </w:p>
        </w:tc>
        <w:tc>
          <w:tcPr>
            <w:tcW w:w="1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72396F5"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8.57</w:t>
            </w:r>
          </w:p>
        </w:tc>
      </w:tr>
      <w:tr w:rsidR="004A2A5B" w14:paraId="2B42B172" w14:textId="77777777">
        <w:trPr>
          <w:trHeight w:val="330"/>
        </w:trPr>
        <w:tc>
          <w:tcPr>
            <w:tcW w:w="227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074DABD2"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5-8</w:t>
            </w:r>
          </w:p>
        </w:tc>
        <w:tc>
          <w:tcPr>
            <w:tcW w:w="2077"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9C53928"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Fair</w:t>
            </w:r>
          </w:p>
        </w:tc>
        <w:tc>
          <w:tcPr>
            <w:tcW w:w="1103" w:type="dxa"/>
            <w:tcBorders>
              <w:top w:val="nil"/>
              <w:left w:val="nil"/>
              <w:bottom w:val="single" w:sz="6" w:space="0" w:color="000000"/>
              <w:right w:val="single" w:sz="6" w:space="0" w:color="000000"/>
            </w:tcBorders>
            <w:tcMar>
              <w:top w:w="0" w:type="dxa"/>
              <w:left w:w="100" w:type="dxa"/>
              <w:bottom w:w="0" w:type="dxa"/>
              <w:right w:w="100" w:type="dxa"/>
            </w:tcMar>
          </w:tcPr>
          <w:p w14:paraId="2E2E9145"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3</w:t>
            </w:r>
          </w:p>
        </w:tc>
        <w:tc>
          <w:tcPr>
            <w:tcW w:w="1317" w:type="dxa"/>
            <w:tcBorders>
              <w:top w:val="nil"/>
              <w:left w:val="nil"/>
              <w:bottom w:val="single" w:sz="6" w:space="0" w:color="000000"/>
              <w:right w:val="single" w:sz="6" w:space="0" w:color="000000"/>
            </w:tcBorders>
            <w:tcMar>
              <w:top w:w="0" w:type="dxa"/>
              <w:left w:w="100" w:type="dxa"/>
              <w:bottom w:w="0" w:type="dxa"/>
              <w:right w:w="100" w:type="dxa"/>
            </w:tcMar>
          </w:tcPr>
          <w:p w14:paraId="4B87C075"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4.28</w:t>
            </w:r>
          </w:p>
        </w:tc>
        <w:tc>
          <w:tcPr>
            <w:tcW w:w="1220" w:type="dxa"/>
            <w:tcBorders>
              <w:top w:val="nil"/>
              <w:left w:val="nil"/>
              <w:bottom w:val="single" w:sz="6" w:space="0" w:color="000000"/>
              <w:right w:val="single" w:sz="6" w:space="0" w:color="000000"/>
            </w:tcBorders>
            <w:tcMar>
              <w:top w:w="0" w:type="dxa"/>
              <w:left w:w="100" w:type="dxa"/>
              <w:bottom w:w="0" w:type="dxa"/>
              <w:right w:w="100" w:type="dxa"/>
            </w:tcMar>
          </w:tcPr>
          <w:p w14:paraId="31EF31C8"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24</w:t>
            </w:r>
          </w:p>
        </w:tc>
        <w:tc>
          <w:tcPr>
            <w:tcW w:w="1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0558100"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34.29</w:t>
            </w:r>
          </w:p>
        </w:tc>
      </w:tr>
      <w:tr w:rsidR="004A2A5B" w14:paraId="3AECE394" w14:textId="77777777">
        <w:trPr>
          <w:trHeight w:val="330"/>
        </w:trPr>
        <w:tc>
          <w:tcPr>
            <w:tcW w:w="227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89E3117"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lastRenderedPageBreak/>
              <w:t>0-4</w:t>
            </w:r>
          </w:p>
        </w:tc>
        <w:tc>
          <w:tcPr>
            <w:tcW w:w="2077"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7CE0E8E"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Needs Improvement</w:t>
            </w:r>
          </w:p>
        </w:tc>
        <w:tc>
          <w:tcPr>
            <w:tcW w:w="1103" w:type="dxa"/>
            <w:tcBorders>
              <w:top w:val="nil"/>
              <w:left w:val="nil"/>
              <w:bottom w:val="single" w:sz="6" w:space="0" w:color="000000"/>
              <w:right w:val="single" w:sz="6" w:space="0" w:color="000000"/>
            </w:tcBorders>
            <w:tcMar>
              <w:top w:w="0" w:type="dxa"/>
              <w:left w:w="100" w:type="dxa"/>
              <w:bottom w:w="0" w:type="dxa"/>
              <w:right w:w="100" w:type="dxa"/>
            </w:tcMar>
          </w:tcPr>
          <w:p w14:paraId="27113734"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67</w:t>
            </w:r>
          </w:p>
        </w:tc>
        <w:tc>
          <w:tcPr>
            <w:tcW w:w="1317" w:type="dxa"/>
            <w:tcBorders>
              <w:top w:val="nil"/>
              <w:left w:val="nil"/>
              <w:bottom w:val="single" w:sz="6" w:space="0" w:color="000000"/>
              <w:right w:val="single" w:sz="6" w:space="0" w:color="000000"/>
            </w:tcBorders>
            <w:tcMar>
              <w:top w:w="0" w:type="dxa"/>
              <w:left w:w="100" w:type="dxa"/>
              <w:bottom w:w="0" w:type="dxa"/>
              <w:right w:w="100" w:type="dxa"/>
            </w:tcMar>
          </w:tcPr>
          <w:p w14:paraId="5A7F82A8"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95.71</w:t>
            </w:r>
          </w:p>
        </w:tc>
        <w:tc>
          <w:tcPr>
            <w:tcW w:w="1220" w:type="dxa"/>
            <w:tcBorders>
              <w:top w:val="nil"/>
              <w:left w:val="nil"/>
              <w:bottom w:val="single" w:sz="6" w:space="0" w:color="000000"/>
              <w:right w:val="single" w:sz="6" w:space="0" w:color="000000"/>
            </w:tcBorders>
            <w:tcMar>
              <w:top w:w="0" w:type="dxa"/>
              <w:left w:w="100" w:type="dxa"/>
              <w:bottom w:w="0" w:type="dxa"/>
              <w:right w:w="100" w:type="dxa"/>
            </w:tcMar>
          </w:tcPr>
          <w:p w14:paraId="68C44CC8"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36</w:t>
            </w:r>
          </w:p>
        </w:tc>
        <w:tc>
          <w:tcPr>
            <w:tcW w:w="1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DC2881F"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51.43</w:t>
            </w:r>
          </w:p>
        </w:tc>
      </w:tr>
      <w:tr w:rsidR="004A2A5B" w14:paraId="39CF6927" w14:textId="77777777">
        <w:trPr>
          <w:trHeight w:val="234"/>
        </w:trPr>
        <w:tc>
          <w:tcPr>
            <w:tcW w:w="227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CE38832"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Total</w:t>
            </w:r>
          </w:p>
        </w:tc>
        <w:tc>
          <w:tcPr>
            <w:tcW w:w="2077"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FECC16E" w14:textId="77777777" w:rsidR="004A2A5B" w:rsidRDefault="004A2A5B">
            <w:pPr>
              <w:spacing w:before="210" w:after="0" w:line="276" w:lineRule="auto"/>
              <w:ind w:left="140" w:right="140"/>
              <w:jc w:val="center"/>
              <w:rPr>
                <w:rFonts w:ascii="Times New Roman" w:eastAsia="Times New Roman" w:hAnsi="Times New Roman" w:cs="Times New Roman"/>
                <w:b/>
                <w:bCs/>
                <w:sz w:val="20"/>
                <w:szCs w:val="20"/>
              </w:rPr>
            </w:pPr>
          </w:p>
        </w:tc>
        <w:tc>
          <w:tcPr>
            <w:tcW w:w="1103" w:type="dxa"/>
            <w:tcBorders>
              <w:top w:val="nil"/>
              <w:left w:val="nil"/>
              <w:bottom w:val="single" w:sz="6" w:space="0" w:color="000000"/>
              <w:right w:val="single" w:sz="6" w:space="0" w:color="000000"/>
            </w:tcBorders>
            <w:tcMar>
              <w:top w:w="0" w:type="dxa"/>
              <w:left w:w="100" w:type="dxa"/>
              <w:bottom w:w="0" w:type="dxa"/>
              <w:right w:w="100" w:type="dxa"/>
            </w:tcMar>
          </w:tcPr>
          <w:p w14:paraId="28C55594"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70</w:t>
            </w:r>
          </w:p>
        </w:tc>
        <w:tc>
          <w:tcPr>
            <w:tcW w:w="1317" w:type="dxa"/>
            <w:tcBorders>
              <w:top w:val="nil"/>
              <w:left w:val="nil"/>
              <w:bottom w:val="single" w:sz="6" w:space="0" w:color="000000"/>
              <w:right w:val="single" w:sz="6" w:space="0" w:color="000000"/>
            </w:tcBorders>
            <w:tcMar>
              <w:top w:w="0" w:type="dxa"/>
              <w:left w:w="100" w:type="dxa"/>
              <w:bottom w:w="0" w:type="dxa"/>
              <w:right w:w="100" w:type="dxa"/>
            </w:tcMar>
          </w:tcPr>
          <w:p w14:paraId="3570E695"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100</w:t>
            </w:r>
          </w:p>
        </w:tc>
        <w:tc>
          <w:tcPr>
            <w:tcW w:w="1220" w:type="dxa"/>
            <w:tcBorders>
              <w:top w:val="nil"/>
              <w:left w:val="nil"/>
              <w:bottom w:val="single" w:sz="6" w:space="0" w:color="000000"/>
              <w:right w:val="single" w:sz="6" w:space="0" w:color="000000"/>
            </w:tcBorders>
            <w:tcMar>
              <w:top w:w="0" w:type="dxa"/>
              <w:left w:w="100" w:type="dxa"/>
              <w:bottom w:w="0" w:type="dxa"/>
              <w:right w:w="100" w:type="dxa"/>
            </w:tcMar>
          </w:tcPr>
          <w:p w14:paraId="474AB779"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70</w:t>
            </w:r>
          </w:p>
        </w:tc>
        <w:tc>
          <w:tcPr>
            <w:tcW w:w="1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86D7287"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100</w:t>
            </w:r>
          </w:p>
        </w:tc>
      </w:tr>
      <w:tr w:rsidR="004A2A5B" w14:paraId="5F66995D" w14:textId="77777777">
        <w:trPr>
          <w:trHeight w:val="330"/>
        </w:trPr>
        <w:tc>
          <w:tcPr>
            <w:tcW w:w="227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6501DB47"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Mean</w:t>
            </w:r>
          </w:p>
        </w:tc>
        <w:tc>
          <w:tcPr>
            <w:tcW w:w="2077"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3461208" w14:textId="77777777" w:rsidR="004A2A5B" w:rsidRDefault="004A2A5B">
            <w:pPr>
              <w:spacing w:before="210" w:after="0" w:line="276" w:lineRule="auto"/>
              <w:ind w:left="140" w:right="140"/>
              <w:rPr>
                <w:rFonts w:ascii="Times New Roman" w:eastAsia="Times New Roman" w:hAnsi="Times New Roman" w:cs="Times New Roman"/>
                <w:b/>
                <w:bCs/>
                <w:sz w:val="20"/>
                <w:szCs w:val="20"/>
              </w:rPr>
            </w:pPr>
          </w:p>
        </w:tc>
        <w:tc>
          <w:tcPr>
            <w:tcW w:w="2420" w:type="dxa"/>
            <w:gridSpan w:val="2"/>
            <w:tcBorders>
              <w:top w:val="nil"/>
              <w:left w:val="nil"/>
              <w:bottom w:val="single" w:sz="6" w:space="0" w:color="000000"/>
              <w:right w:val="single" w:sz="6" w:space="0" w:color="000000"/>
            </w:tcBorders>
            <w:tcMar>
              <w:top w:w="0" w:type="dxa"/>
              <w:left w:w="100" w:type="dxa"/>
              <w:bottom w:w="0" w:type="dxa"/>
              <w:right w:w="100" w:type="dxa"/>
            </w:tcMar>
          </w:tcPr>
          <w:p w14:paraId="022E6B37"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1.67</w:t>
            </w:r>
          </w:p>
        </w:tc>
        <w:tc>
          <w:tcPr>
            <w:tcW w:w="2740" w:type="dxa"/>
            <w:gridSpan w:val="2"/>
            <w:tcBorders>
              <w:top w:val="nil"/>
              <w:left w:val="nil"/>
              <w:bottom w:val="single" w:sz="6" w:space="0" w:color="000000"/>
              <w:right w:val="single" w:sz="6" w:space="0" w:color="000000"/>
            </w:tcBorders>
            <w:tcMar>
              <w:top w:w="0" w:type="dxa"/>
              <w:left w:w="100" w:type="dxa"/>
              <w:bottom w:w="0" w:type="dxa"/>
              <w:right w:w="100" w:type="dxa"/>
            </w:tcMar>
          </w:tcPr>
          <w:p w14:paraId="49D3DA32"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5.27</w:t>
            </w:r>
          </w:p>
        </w:tc>
      </w:tr>
      <w:tr w:rsidR="004A2A5B" w14:paraId="655CB7EC" w14:textId="77777777">
        <w:trPr>
          <w:trHeight w:val="330"/>
        </w:trPr>
        <w:tc>
          <w:tcPr>
            <w:tcW w:w="227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7E167686"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Descriptive Interpretation</w:t>
            </w:r>
          </w:p>
        </w:tc>
        <w:tc>
          <w:tcPr>
            <w:tcW w:w="2077"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ECDE88B" w14:textId="77777777" w:rsidR="004A2A5B" w:rsidRDefault="004A2A5B">
            <w:pPr>
              <w:spacing w:before="210" w:after="0" w:line="276" w:lineRule="auto"/>
              <w:ind w:left="140" w:right="140"/>
              <w:rPr>
                <w:rFonts w:ascii="Times New Roman" w:eastAsia="Times New Roman" w:hAnsi="Times New Roman" w:cs="Times New Roman"/>
                <w:b/>
                <w:bCs/>
                <w:sz w:val="20"/>
                <w:szCs w:val="20"/>
              </w:rPr>
            </w:pPr>
          </w:p>
        </w:tc>
        <w:tc>
          <w:tcPr>
            <w:tcW w:w="2420" w:type="dxa"/>
            <w:gridSpan w:val="2"/>
            <w:tcBorders>
              <w:top w:val="nil"/>
              <w:left w:val="nil"/>
              <w:bottom w:val="single" w:sz="6" w:space="0" w:color="000000"/>
              <w:right w:val="single" w:sz="6" w:space="0" w:color="000000"/>
            </w:tcBorders>
            <w:tcMar>
              <w:top w:w="0" w:type="dxa"/>
              <w:left w:w="100" w:type="dxa"/>
              <w:bottom w:w="0" w:type="dxa"/>
              <w:right w:w="100" w:type="dxa"/>
            </w:tcMar>
          </w:tcPr>
          <w:p w14:paraId="7C5EEBB1"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Needs Improvement</w:t>
            </w:r>
          </w:p>
        </w:tc>
        <w:tc>
          <w:tcPr>
            <w:tcW w:w="2740" w:type="dxa"/>
            <w:gridSpan w:val="2"/>
            <w:tcBorders>
              <w:top w:val="nil"/>
              <w:left w:val="nil"/>
              <w:bottom w:val="single" w:sz="6" w:space="0" w:color="000000"/>
              <w:right w:val="single" w:sz="6" w:space="0" w:color="000000"/>
            </w:tcBorders>
            <w:tcMar>
              <w:top w:w="0" w:type="dxa"/>
              <w:left w:w="100" w:type="dxa"/>
              <w:bottom w:w="0" w:type="dxa"/>
              <w:right w:w="100" w:type="dxa"/>
            </w:tcMar>
          </w:tcPr>
          <w:p w14:paraId="6084E547"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Fair</w:t>
            </w:r>
          </w:p>
        </w:tc>
      </w:tr>
      <w:tr w:rsidR="004A2A5B" w14:paraId="366A60B6" w14:textId="77777777">
        <w:trPr>
          <w:trHeight w:val="330"/>
        </w:trPr>
        <w:tc>
          <w:tcPr>
            <w:tcW w:w="227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108BE7D"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Improvement (%)</w:t>
            </w:r>
          </w:p>
        </w:tc>
        <w:tc>
          <w:tcPr>
            <w:tcW w:w="2077"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7808E83" w14:textId="77777777" w:rsidR="004A2A5B" w:rsidRDefault="004A2A5B">
            <w:pPr>
              <w:spacing w:before="210" w:after="0" w:line="276" w:lineRule="auto"/>
              <w:ind w:left="140" w:right="140"/>
              <w:rPr>
                <w:rFonts w:ascii="Times New Roman" w:eastAsia="Times New Roman" w:hAnsi="Times New Roman" w:cs="Times New Roman"/>
                <w:b/>
                <w:bCs/>
                <w:sz w:val="20"/>
                <w:szCs w:val="20"/>
              </w:rPr>
            </w:pPr>
          </w:p>
        </w:tc>
        <w:tc>
          <w:tcPr>
            <w:tcW w:w="5160" w:type="dxa"/>
            <w:gridSpan w:val="4"/>
            <w:tcBorders>
              <w:top w:val="nil"/>
              <w:left w:val="nil"/>
              <w:bottom w:val="single" w:sz="6" w:space="0" w:color="000000"/>
              <w:right w:val="single" w:sz="6" w:space="0" w:color="000000"/>
            </w:tcBorders>
            <w:tcMar>
              <w:top w:w="0" w:type="dxa"/>
              <w:left w:w="100" w:type="dxa"/>
              <w:bottom w:w="0" w:type="dxa"/>
              <w:right w:w="100" w:type="dxa"/>
            </w:tcMar>
          </w:tcPr>
          <w:p w14:paraId="59E80DE8" w14:textId="77777777" w:rsidR="004A2A5B" w:rsidRDefault="006623F1">
            <w:pPr>
              <w:spacing w:after="0" w:line="276" w:lineRule="auto"/>
              <w:ind w:left="140" w:right="14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68.31%</w:t>
            </w:r>
          </w:p>
        </w:tc>
      </w:tr>
    </w:tbl>
    <w:p w14:paraId="2A0D0162" w14:textId="77777777" w:rsidR="004A2A5B" w:rsidRDefault="006623F1">
      <w:pPr>
        <w:spacing w:line="245" w:lineRule="auto"/>
        <w:ind w:right="96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Table 5: Frequency Distribution of the Students According to their Participation Scores in the Grid and Herringbone Seating Arrangement(f=70)</w:t>
      </w:r>
    </w:p>
    <w:p w14:paraId="4FFAC938" w14:textId="77777777" w:rsidR="004A2A5B" w:rsidRDefault="006623F1">
      <w:pPr>
        <w:spacing w:before="220" w:after="0" w:line="276"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analysis of participation score categories further clarify the effect of the intervention. Under the Grid seating arrangement, 67 of the 70 learners, or 95.71 percent, were classified in the “Needs Improvement” category, and only 3 learners, or 4.28 percent, were classified as “Fair.” No learner attained “Satisfactory,” “Very Satisfactory,” or “Outstanding.” The mean participation score under the Grid condition was 1.67, corresponding to “Needs Improvement.”</w:t>
      </w:r>
    </w:p>
    <w:p w14:paraId="63064128" w14:textId="77777777" w:rsidR="004A2A5B" w:rsidRDefault="006623F1">
      <w:pPr>
        <w:spacing w:before="220" w:after="0" w:line="276"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After the Herringbone seating arrangement was implemented, the distribution of scores shifted. Thirty-six learners, or 51.43 percent, remained in the “Needs Improvement” category. However, 24 learners, or 34.29 percent, were now rated “Fair,” 6 learners, or 8.57 percent, were rated “Satisfactory,” and 4 learners, or 5.71 percent, were rated “Very Satisfactory.” The mean participation score increased to 5.27, which corresponds to “Fair.” The improvement in the mean participation score from Grid to Herringbone was 68.31 percent, indicating a substantial increase in overall participation.</w:t>
      </w:r>
    </w:p>
    <w:p w14:paraId="01FE973E" w14:textId="77777777" w:rsidR="004A2A5B" w:rsidRDefault="006623F1">
      <w:pPr>
        <w:spacing w:before="220" w:after="0" w:line="276"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improvement can be attributed to features of the Herringbone configuration, such as improved viewing angles for teacher presentations, better hearing conditions during discussions, and a seating layout that distributes participation opportunities more equitably among learners. These conditions are in line with earlier studies showing that the physical learning environment can either facilitate or constrain student motivation and participation (</w:t>
      </w:r>
      <w:proofErr w:type="spellStart"/>
      <w:r>
        <w:rPr>
          <w:rFonts w:ascii="Times New Roman" w:eastAsia="Times New Roman" w:hAnsi="Times New Roman" w:cs="Times New Roman"/>
          <w:sz w:val="22"/>
          <w:szCs w:val="22"/>
        </w:rPr>
        <w:t>Adesua</w:t>
      </w:r>
      <w:proofErr w:type="spellEnd"/>
      <w:r>
        <w:rPr>
          <w:rFonts w:ascii="Times New Roman" w:eastAsia="Times New Roman" w:hAnsi="Times New Roman" w:cs="Times New Roman"/>
          <w:sz w:val="22"/>
          <w:szCs w:val="22"/>
        </w:rPr>
        <w:t xml:space="preserve">, 2014; </w:t>
      </w:r>
      <w:proofErr w:type="spellStart"/>
      <w:r>
        <w:rPr>
          <w:rFonts w:ascii="Times New Roman" w:eastAsia="Times New Roman" w:hAnsi="Times New Roman" w:cs="Times New Roman"/>
          <w:sz w:val="22"/>
          <w:szCs w:val="22"/>
        </w:rPr>
        <w:t>Asiyai</w:t>
      </w:r>
      <w:proofErr w:type="spellEnd"/>
      <w:r>
        <w:rPr>
          <w:rFonts w:ascii="Times New Roman" w:eastAsia="Times New Roman" w:hAnsi="Times New Roman" w:cs="Times New Roman"/>
          <w:sz w:val="22"/>
          <w:szCs w:val="22"/>
        </w:rPr>
        <w:t xml:space="preserve">, 2014; </w:t>
      </w:r>
      <w:proofErr w:type="spellStart"/>
      <w:r>
        <w:rPr>
          <w:rFonts w:ascii="Times New Roman" w:eastAsia="Times New Roman" w:hAnsi="Times New Roman" w:cs="Times New Roman"/>
          <w:sz w:val="22"/>
          <w:szCs w:val="22"/>
        </w:rPr>
        <w:t>InnerDrive</w:t>
      </w:r>
      <w:proofErr w:type="spellEnd"/>
      <w:r>
        <w:rPr>
          <w:rFonts w:ascii="Times New Roman" w:eastAsia="Times New Roman" w:hAnsi="Times New Roman" w:cs="Times New Roman"/>
          <w:sz w:val="22"/>
          <w:szCs w:val="22"/>
        </w:rPr>
        <w:t xml:space="preserve"> Ltd., 2022).</w:t>
      </w:r>
    </w:p>
    <w:p w14:paraId="1EFCD4BB" w14:textId="77777777" w:rsidR="004A2A5B" w:rsidRDefault="006623F1">
      <w:pPr>
        <w:spacing w:before="220" w:after="0" w:line="276"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marked upward movement of learners from Needs Improvement to Fair, Satisfactory, and Very Satisfactory implies that modifying seating configuration can meaningfully improve participation even within a short intervention period. For schools and administrators, this points to the potential of classroom layout as a manageable lever for enhancing engagement, especially in large classes where individual coaching is difficult to provide consistently.</w:t>
      </w:r>
    </w:p>
    <w:p w14:paraId="6479CE0B" w14:textId="77777777" w:rsidR="004A2A5B" w:rsidRDefault="006623F1">
      <w:pPr>
        <w:spacing w:before="220" w:after="0" w:line="276" w:lineRule="auto"/>
        <w:ind w:firstLine="72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T-test Paired Two Samples</w:t>
      </w:r>
    </w:p>
    <w:tbl>
      <w:tblPr>
        <w:tblStyle w:val="a4"/>
        <w:tblW w:w="9510" w:type="dxa"/>
        <w:tblBorders>
          <w:top w:val="nil"/>
          <w:left w:val="nil"/>
          <w:bottom w:val="nil"/>
          <w:right w:val="nil"/>
          <w:insideH w:val="nil"/>
          <w:insideV w:val="nil"/>
        </w:tblBorders>
        <w:tblLayout w:type="fixed"/>
        <w:tblLook w:val="0600" w:firstRow="0" w:lastRow="0" w:firstColumn="0" w:lastColumn="0" w:noHBand="1" w:noVBand="1"/>
      </w:tblPr>
      <w:tblGrid>
        <w:gridCol w:w="1845"/>
        <w:gridCol w:w="1515"/>
        <w:gridCol w:w="1410"/>
        <w:gridCol w:w="1080"/>
        <w:gridCol w:w="1305"/>
        <w:gridCol w:w="2355"/>
      </w:tblGrid>
      <w:tr w:rsidR="004A2A5B" w14:paraId="605A825D" w14:textId="77777777">
        <w:trPr>
          <w:trHeight w:val="555"/>
        </w:trPr>
        <w:tc>
          <w:tcPr>
            <w:tcW w:w="18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14:paraId="2FE2711C" w14:textId="77777777" w:rsidR="004A2A5B" w:rsidRDefault="006623F1">
            <w:pPr>
              <w:spacing w:after="0" w:line="276" w:lineRule="auto"/>
              <w:ind w:left="140" w:right="14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Group</w:t>
            </w:r>
          </w:p>
        </w:tc>
        <w:tc>
          <w:tcPr>
            <w:tcW w:w="151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1D1A1558" w14:textId="77777777" w:rsidR="004A2A5B" w:rsidRDefault="006623F1">
            <w:pPr>
              <w:spacing w:after="0" w:line="276" w:lineRule="auto"/>
              <w:ind w:left="140" w:right="14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Mean</w:t>
            </w:r>
          </w:p>
        </w:tc>
        <w:tc>
          <w:tcPr>
            <w:tcW w:w="141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0CB1801A" w14:textId="77777777" w:rsidR="004A2A5B" w:rsidRDefault="006623F1">
            <w:pPr>
              <w:spacing w:after="0" w:line="276" w:lineRule="auto"/>
              <w:ind w:left="140" w:right="14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Standard Deviation</w:t>
            </w:r>
          </w:p>
        </w:tc>
        <w:tc>
          <w:tcPr>
            <w:tcW w:w="108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108C2297" w14:textId="77777777" w:rsidR="004A2A5B" w:rsidRDefault="006623F1">
            <w:pPr>
              <w:spacing w:after="0" w:line="276" w:lineRule="auto"/>
              <w:ind w:left="140" w:right="14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Computed</w:t>
            </w:r>
          </w:p>
        </w:tc>
        <w:tc>
          <w:tcPr>
            <w:tcW w:w="130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6B17B6B9" w14:textId="77777777" w:rsidR="004A2A5B" w:rsidRDefault="006623F1">
            <w:pPr>
              <w:spacing w:after="0" w:line="276" w:lineRule="auto"/>
              <w:ind w:left="140" w:right="14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Sig. (2-tailed)</w:t>
            </w:r>
          </w:p>
        </w:tc>
        <w:tc>
          <w:tcPr>
            <w:tcW w:w="235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07C9B612" w14:textId="77777777" w:rsidR="004A2A5B" w:rsidRDefault="006623F1">
            <w:pPr>
              <w:spacing w:after="0" w:line="276" w:lineRule="auto"/>
              <w:ind w:left="140" w:right="14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Result/Decision</w:t>
            </w:r>
          </w:p>
        </w:tc>
      </w:tr>
      <w:tr w:rsidR="004A2A5B" w14:paraId="694C0E6B" w14:textId="77777777">
        <w:trPr>
          <w:trHeight w:val="270"/>
        </w:trPr>
        <w:tc>
          <w:tcPr>
            <w:tcW w:w="9510" w:type="dxa"/>
            <w:gridSpan w:val="6"/>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0B4821F9" w14:textId="77777777" w:rsidR="004A2A5B" w:rsidRDefault="006623F1">
            <w:pPr>
              <w:spacing w:after="0" w:line="276" w:lineRule="auto"/>
              <w:ind w:left="140" w:right="14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Grid vs Herringbone Seating Arrangement</w:t>
            </w:r>
          </w:p>
        </w:tc>
      </w:tr>
      <w:tr w:rsidR="004A2A5B" w14:paraId="76FB982B" w14:textId="77777777">
        <w:trPr>
          <w:trHeight w:val="555"/>
        </w:trPr>
        <w:tc>
          <w:tcPr>
            <w:tcW w:w="184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5D20B38" w14:textId="77777777" w:rsidR="004A2A5B" w:rsidRDefault="006623F1">
            <w:pPr>
              <w:spacing w:after="0" w:line="276" w:lineRule="auto"/>
              <w:ind w:left="140" w:right="1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Grid (Prior-seating arrangement)</w:t>
            </w:r>
          </w:p>
        </w:tc>
        <w:tc>
          <w:tcPr>
            <w:tcW w:w="1515" w:type="dxa"/>
            <w:tcBorders>
              <w:top w:val="nil"/>
              <w:left w:val="nil"/>
              <w:bottom w:val="single" w:sz="6" w:space="0" w:color="000000"/>
              <w:right w:val="single" w:sz="6" w:space="0" w:color="000000"/>
            </w:tcBorders>
            <w:tcMar>
              <w:top w:w="0" w:type="dxa"/>
              <w:left w:w="100" w:type="dxa"/>
              <w:bottom w:w="0" w:type="dxa"/>
              <w:right w:w="100" w:type="dxa"/>
            </w:tcMar>
          </w:tcPr>
          <w:p w14:paraId="06052FD9" w14:textId="77777777" w:rsidR="004A2A5B" w:rsidRDefault="006623F1">
            <w:pPr>
              <w:spacing w:after="0" w:line="276" w:lineRule="auto"/>
              <w:ind w:left="140" w:right="14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1.67</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10095CC5" w14:textId="77777777" w:rsidR="004A2A5B" w:rsidRDefault="006623F1">
            <w:pPr>
              <w:spacing w:after="0" w:line="276" w:lineRule="auto"/>
              <w:ind w:left="140" w:right="14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w:t>
            </w:r>
          </w:p>
        </w:tc>
        <w:tc>
          <w:tcPr>
            <w:tcW w:w="1080"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5238A93D" w14:textId="77777777" w:rsidR="004A2A5B" w:rsidRDefault="006623F1">
            <w:pPr>
              <w:spacing w:after="0" w:line="276" w:lineRule="auto"/>
              <w:ind w:left="140" w:right="14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9.8</w:t>
            </w:r>
          </w:p>
        </w:tc>
        <w:tc>
          <w:tcPr>
            <w:tcW w:w="1305"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62C1616D" w14:textId="77777777" w:rsidR="004A2A5B" w:rsidRDefault="006623F1">
            <w:pPr>
              <w:spacing w:after="0" w:line="276" w:lineRule="auto"/>
              <w:ind w:left="140" w:right="14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0.00001</w:t>
            </w:r>
          </w:p>
        </w:tc>
        <w:tc>
          <w:tcPr>
            <w:tcW w:w="2355"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2FC36B64" w14:textId="77777777" w:rsidR="004A2A5B" w:rsidRDefault="006623F1">
            <w:pPr>
              <w:spacing w:after="0" w:line="276" w:lineRule="auto"/>
              <w:ind w:left="140" w:right="14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The result is significant at p &gt; .05; Reject Ho</w:t>
            </w:r>
          </w:p>
        </w:tc>
      </w:tr>
      <w:tr w:rsidR="004A2A5B" w14:paraId="11B228AD" w14:textId="77777777">
        <w:trPr>
          <w:trHeight w:val="555"/>
        </w:trPr>
        <w:tc>
          <w:tcPr>
            <w:tcW w:w="184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D099658" w14:textId="77777777" w:rsidR="004A2A5B" w:rsidRDefault="006623F1">
            <w:pPr>
              <w:spacing w:after="0" w:line="276" w:lineRule="auto"/>
              <w:ind w:left="140" w:right="1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Herringbone (After-seating arrangement)</w:t>
            </w:r>
          </w:p>
        </w:tc>
        <w:tc>
          <w:tcPr>
            <w:tcW w:w="1515" w:type="dxa"/>
            <w:tcBorders>
              <w:top w:val="nil"/>
              <w:left w:val="nil"/>
              <w:bottom w:val="single" w:sz="6" w:space="0" w:color="000000"/>
              <w:right w:val="single" w:sz="6" w:space="0" w:color="000000"/>
            </w:tcBorders>
            <w:tcMar>
              <w:top w:w="0" w:type="dxa"/>
              <w:left w:w="100" w:type="dxa"/>
              <w:bottom w:w="0" w:type="dxa"/>
              <w:right w:w="100" w:type="dxa"/>
            </w:tcMar>
          </w:tcPr>
          <w:p w14:paraId="63D97706" w14:textId="77777777" w:rsidR="004A2A5B" w:rsidRDefault="006623F1">
            <w:pPr>
              <w:spacing w:after="0" w:line="276" w:lineRule="auto"/>
              <w:ind w:left="140" w:right="14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5.27</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8B7FED8" w14:textId="77777777" w:rsidR="004A2A5B" w:rsidRDefault="006623F1">
            <w:pPr>
              <w:spacing w:after="0" w:line="276" w:lineRule="auto"/>
              <w:ind w:left="140" w:right="14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3.4</w:t>
            </w:r>
          </w:p>
        </w:tc>
        <w:tc>
          <w:tcPr>
            <w:tcW w:w="1080" w:type="dxa"/>
            <w:vMerge/>
            <w:tcBorders>
              <w:top w:val="nil"/>
              <w:left w:val="nil"/>
              <w:bottom w:val="single" w:sz="6" w:space="0" w:color="000000"/>
              <w:right w:val="single" w:sz="6" w:space="0" w:color="000000"/>
            </w:tcBorders>
            <w:tcMar>
              <w:top w:w="100" w:type="dxa"/>
              <w:left w:w="100" w:type="dxa"/>
              <w:bottom w:w="100" w:type="dxa"/>
              <w:right w:w="100" w:type="dxa"/>
            </w:tcMar>
          </w:tcPr>
          <w:p w14:paraId="35B859E5" w14:textId="77777777" w:rsidR="004A2A5B" w:rsidRDefault="004A2A5B">
            <w:pPr>
              <w:spacing w:before="210" w:after="0" w:line="276" w:lineRule="auto"/>
              <w:ind w:left="140" w:right="140"/>
              <w:rPr>
                <w:rFonts w:ascii="Times New Roman" w:eastAsia="Times New Roman" w:hAnsi="Times New Roman" w:cs="Times New Roman"/>
                <w:b/>
                <w:bCs/>
                <w:sz w:val="20"/>
                <w:szCs w:val="20"/>
              </w:rPr>
            </w:pPr>
          </w:p>
        </w:tc>
        <w:tc>
          <w:tcPr>
            <w:tcW w:w="1305" w:type="dxa"/>
            <w:vMerge/>
            <w:tcBorders>
              <w:top w:val="nil"/>
              <w:left w:val="nil"/>
              <w:bottom w:val="single" w:sz="6" w:space="0" w:color="000000"/>
              <w:right w:val="single" w:sz="6" w:space="0" w:color="000000"/>
            </w:tcBorders>
            <w:tcMar>
              <w:top w:w="100" w:type="dxa"/>
              <w:left w:w="100" w:type="dxa"/>
              <w:bottom w:w="100" w:type="dxa"/>
              <w:right w:w="100" w:type="dxa"/>
            </w:tcMar>
          </w:tcPr>
          <w:p w14:paraId="7C5D6D38" w14:textId="77777777" w:rsidR="004A2A5B" w:rsidRDefault="004A2A5B">
            <w:pPr>
              <w:spacing w:before="210" w:after="0" w:line="276" w:lineRule="auto"/>
              <w:ind w:left="140" w:right="140"/>
              <w:rPr>
                <w:rFonts w:ascii="Times New Roman" w:eastAsia="Times New Roman" w:hAnsi="Times New Roman" w:cs="Times New Roman"/>
                <w:b/>
                <w:bCs/>
                <w:sz w:val="20"/>
                <w:szCs w:val="20"/>
              </w:rPr>
            </w:pPr>
          </w:p>
        </w:tc>
        <w:tc>
          <w:tcPr>
            <w:tcW w:w="2355" w:type="dxa"/>
            <w:vMerge/>
            <w:tcBorders>
              <w:top w:val="nil"/>
              <w:left w:val="nil"/>
              <w:bottom w:val="single" w:sz="6" w:space="0" w:color="000000"/>
              <w:right w:val="single" w:sz="6" w:space="0" w:color="000000"/>
            </w:tcBorders>
            <w:tcMar>
              <w:top w:w="100" w:type="dxa"/>
              <w:left w:w="100" w:type="dxa"/>
              <w:bottom w:w="100" w:type="dxa"/>
              <w:right w:w="100" w:type="dxa"/>
            </w:tcMar>
          </w:tcPr>
          <w:p w14:paraId="2734050A" w14:textId="77777777" w:rsidR="004A2A5B" w:rsidRDefault="004A2A5B">
            <w:pPr>
              <w:spacing w:before="210" w:after="0" w:line="276" w:lineRule="auto"/>
              <w:ind w:left="140" w:right="140"/>
              <w:rPr>
                <w:rFonts w:ascii="Times New Roman" w:eastAsia="Times New Roman" w:hAnsi="Times New Roman" w:cs="Times New Roman"/>
                <w:b/>
                <w:bCs/>
                <w:sz w:val="20"/>
                <w:szCs w:val="20"/>
              </w:rPr>
            </w:pPr>
          </w:p>
        </w:tc>
      </w:tr>
    </w:tbl>
    <w:p w14:paraId="7ACF38BB" w14:textId="77777777" w:rsidR="004A2A5B" w:rsidRDefault="006623F1">
      <w:pPr>
        <w:spacing w:line="261" w:lineRule="auto"/>
        <w:jc w:val="both"/>
        <w:rPr>
          <w:rFonts w:ascii="Times New Roman" w:eastAsia="Times New Roman" w:hAnsi="Times New Roman" w:cs="Times New Roman"/>
          <w:i/>
          <w:iCs/>
          <w:sz w:val="20"/>
          <w:szCs w:val="20"/>
        </w:rPr>
      </w:pPr>
      <w:r>
        <w:rPr>
          <w:rFonts w:ascii="Times New Roman" w:eastAsia="Times New Roman" w:hAnsi="Times New Roman" w:cs="Times New Roman"/>
          <w:b/>
          <w:bCs/>
          <w:sz w:val="20"/>
          <w:szCs w:val="20"/>
        </w:rPr>
        <w:t xml:space="preserve"> </w:t>
      </w:r>
      <w:r>
        <w:rPr>
          <w:rFonts w:ascii="Times New Roman" w:eastAsia="Times New Roman" w:hAnsi="Times New Roman" w:cs="Times New Roman"/>
          <w:i/>
          <w:iCs/>
          <w:sz w:val="20"/>
          <w:szCs w:val="20"/>
        </w:rPr>
        <w:t>Table 6: Comparison of the Grid and Herringbone Participation Scores in Sample Statistics</w:t>
      </w:r>
    </w:p>
    <w:p w14:paraId="7AC04D80" w14:textId="77777777" w:rsidR="004A2A5B" w:rsidRDefault="006623F1">
      <w:pPr>
        <w:spacing w:before="220" w:after="0" w:line="276"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paired t-test was conducted to examine whether the difference in participation between the Grid and Herringbone arrangements was statistically significant. Under the Grid condition, the mean participation score was 1.67 with a standard deviation of 1.40. Under the Herringbone condition, the mean participation score was 5.27 with a standard deviation of 3.40. The computed t-value was 9.8, and the corresponding p-value was 0.00001, which is below the 0.05 level of significance. This result indicates a statistically significant difference between the two seating configurations. The null hypothesis of no significant difference in participation is therefore rejected, and the Herringbone seating arrangement is shown to have a significant positive effect on student participation in Economics 9.</w:t>
      </w:r>
    </w:p>
    <w:p w14:paraId="3E6A132C" w14:textId="77777777" w:rsidR="004A2A5B" w:rsidRDefault="006623F1">
      <w:pPr>
        <w:spacing w:before="220" w:after="0" w:line="276"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statistically significant difference in participation scores implies that the observed improvements are unlikely to be due to chance and that the Herringbone configuration functions as an effective, evidence‑based intervention rather than a merely cosmetic change in classroom appearance. This strengthens the case for formally considering seating policies in school‑level guidelines and professional development programs aimed at improving classroom participation.</w:t>
      </w:r>
    </w:p>
    <w:p w14:paraId="1ADE9ACD" w14:textId="77777777" w:rsidR="00117569" w:rsidRDefault="00117569">
      <w:pPr>
        <w:spacing w:before="220" w:after="0" w:line="276" w:lineRule="auto"/>
        <w:ind w:firstLine="720"/>
        <w:jc w:val="both"/>
        <w:rPr>
          <w:rFonts w:ascii="Times New Roman" w:eastAsia="Times New Roman" w:hAnsi="Times New Roman" w:cs="Times New Roman"/>
          <w:sz w:val="22"/>
          <w:szCs w:val="22"/>
        </w:rPr>
      </w:pPr>
      <w:r w:rsidRPr="00117569">
        <w:rPr>
          <w:rFonts w:ascii="Times New Roman" w:eastAsia="Times New Roman" w:hAnsi="Times New Roman" w:cs="Times New Roman"/>
          <w:sz w:val="22"/>
          <w:szCs w:val="22"/>
        </w:rPr>
        <w:t>From a research perspective, these findings support ecological and interactional interpretations of classroom learning, where seating arrangement is considered a structural variable that influences academic behavior (</w:t>
      </w:r>
      <w:proofErr w:type="spellStart"/>
      <w:r w:rsidRPr="00117569">
        <w:rPr>
          <w:rFonts w:ascii="Times New Roman" w:eastAsia="Times New Roman" w:hAnsi="Times New Roman" w:cs="Times New Roman"/>
          <w:sz w:val="22"/>
          <w:szCs w:val="22"/>
        </w:rPr>
        <w:t>Byiringiro</w:t>
      </w:r>
      <w:proofErr w:type="spellEnd"/>
      <w:r w:rsidRPr="00117569">
        <w:rPr>
          <w:rFonts w:ascii="Times New Roman" w:eastAsia="Times New Roman" w:hAnsi="Times New Roman" w:cs="Times New Roman"/>
          <w:sz w:val="22"/>
          <w:szCs w:val="22"/>
        </w:rPr>
        <w:t xml:space="preserve">, 2023; Rogers, 2020; Morris et al., 2010). The results also extend Umar’s (2017) conclusion that seating arrangement is associated with academic activities by demonstrating its impact on both active and passive participation in a Grade 9 Economics context. The observed increase in discussion‑based participation further indicates that the Herringbone configuration can be used as an instructional strategy to reduce teacher‑centered delivery and promote more interactive participation in </w:t>
      </w:r>
      <w:proofErr w:type="spellStart"/>
      <w:r w:rsidRPr="00117569">
        <w:rPr>
          <w:rFonts w:ascii="Times New Roman" w:eastAsia="Times New Roman" w:hAnsi="Times New Roman" w:cs="Times New Roman"/>
          <w:sz w:val="22"/>
          <w:szCs w:val="22"/>
        </w:rPr>
        <w:t>Araling</w:t>
      </w:r>
      <w:proofErr w:type="spellEnd"/>
      <w:r w:rsidRPr="00117569">
        <w:rPr>
          <w:rFonts w:ascii="Times New Roman" w:eastAsia="Times New Roman" w:hAnsi="Times New Roman" w:cs="Times New Roman"/>
          <w:sz w:val="22"/>
          <w:szCs w:val="22"/>
        </w:rPr>
        <w:t xml:space="preserve"> </w:t>
      </w:r>
      <w:proofErr w:type="spellStart"/>
      <w:r w:rsidRPr="00117569">
        <w:rPr>
          <w:rFonts w:ascii="Times New Roman" w:eastAsia="Times New Roman" w:hAnsi="Times New Roman" w:cs="Times New Roman"/>
          <w:sz w:val="22"/>
          <w:szCs w:val="22"/>
        </w:rPr>
        <w:t>Panlipunan</w:t>
      </w:r>
      <w:proofErr w:type="spellEnd"/>
      <w:r w:rsidRPr="00117569">
        <w:rPr>
          <w:rFonts w:ascii="Times New Roman" w:eastAsia="Times New Roman" w:hAnsi="Times New Roman" w:cs="Times New Roman"/>
          <w:sz w:val="22"/>
          <w:szCs w:val="22"/>
        </w:rPr>
        <w:t>, which has often been characterized as unengaging due to lecture‑heavy teaching and limited student‑centered activities (</w:t>
      </w:r>
      <w:proofErr w:type="spellStart"/>
      <w:r w:rsidRPr="00117569">
        <w:rPr>
          <w:rFonts w:ascii="Times New Roman" w:eastAsia="Times New Roman" w:hAnsi="Times New Roman" w:cs="Times New Roman"/>
          <w:sz w:val="22"/>
          <w:szCs w:val="22"/>
        </w:rPr>
        <w:t>Bual</w:t>
      </w:r>
      <w:proofErr w:type="spellEnd"/>
      <w:r w:rsidRPr="00117569">
        <w:rPr>
          <w:rFonts w:ascii="Times New Roman" w:eastAsia="Times New Roman" w:hAnsi="Times New Roman" w:cs="Times New Roman"/>
          <w:sz w:val="22"/>
          <w:szCs w:val="22"/>
        </w:rPr>
        <w:t xml:space="preserve"> &amp; Madrigal, 2023).</w:t>
      </w:r>
    </w:p>
    <w:p w14:paraId="526F2708" w14:textId="2FBA586A" w:rsidR="004A2A5B" w:rsidRDefault="006623F1">
      <w:pPr>
        <w:spacing w:before="220" w:after="0" w:line="276"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Taken together, the results imply that seating arrangement should be treated as a core component of instructional design, comparable to teaching strategies and assessment methods, rather than a neutral background condition. In contexts where </w:t>
      </w:r>
      <w:proofErr w:type="spellStart"/>
      <w:r>
        <w:rPr>
          <w:rFonts w:ascii="Times New Roman" w:eastAsia="Times New Roman" w:hAnsi="Times New Roman" w:cs="Times New Roman"/>
          <w:sz w:val="22"/>
          <w:szCs w:val="22"/>
        </w:rPr>
        <w:t>Araling</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Panlipunan</w:t>
      </w:r>
      <w:proofErr w:type="spellEnd"/>
      <w:r>
        <w:rPr>
          <w:rFonts w:ascii="Times New Roman" w:eastAsia="Times New Roman" w:hAnsi="Times New Roman" w:cs="Times New Roman"/>
          <w:sz w:val="22"/>
          <w:szCs w:val="22"/>
        </w:rPr>
        <w:t xml:space="preserve"> and Economics are perceived as passive or lecture‑heavy, systematically adopting Herringbone seating can help transform classroom ecology toward more interactive, student‑centered participation and inform future action research and policy decisions on learning space design.</w:t>
      </w:r>
    </w:p>
    <w:p w14:paraId="4F860888" w14:textId="77777777" w:rsidR="00B40849" w:rsidRDefault="00B40849">
      <w:pPr>
        <w:spacing w:before="220" w:after="0" w:line="276" w:lineRule="auto"/>
        <w:ind w:firstLine="720"/>
        <w:jc w:val="both"/>
        <w:rPr>
          <w:rFonts w:ascii="Times New Roman" w:eastAsia="Times New Roman" w:hAnsi="Times New Roman" w:cs="Times New Roman"/>
          <w:b/>
          <w:bCs/>
          <w:sz w:val="24"/>
          <w:szCs w:val="24"/>
        </w:rPr>
      </w:pPr>
    </w:p>
    <w:p w14:paraId="212806E0" w14:textId="72C74FBD" w:rsidR="00FF05A6" w:rsidRPr="00B40849" w:rsidRDefault="00FF05A6" w:rsidP="00FF05A6">
      <w:pPr>
        <w:spacing w:before="210" w:after="0" w:line="276" w:lineRule="auto"/>
        <w:jc w:val="both"/>
        <w:rPr>
          <w:rFonts w:ascii="Times New Roman" w:eastAsia="Times New Roman" w:hAnsi="Times New Roman" w:cs="Times New Roman"/>
          <w:b/>
          <w:bCs/>
          <w:sz w:val="22"/>
          <w:szCs w:val="22"/>
        </w:rPr>
      </w:pPr>
      <w:r w:rsidRPr="00B40849">
        <w:rPr>
          <w:rFonts w:ascii="Times New Roman" w:eastAsia="Times New Roman" w:hAnsi="Times New Roman" w:cs="Times New Roman"/>
          <w:b/>
          <w:bCs/>
          <w:sz w:val="22"/>
          <w:szCs w:val="22"/>
        </w:rPr>
        <w:t>CONCLUSION</w:t>
      </w:r>
    </w:p>
    <w:p w14:paraId="68D4DC85" w14:textId="2DEF7B8C" w:rsidR="00FF05A6" w:rsidRPr="00FF05A6" w:rsidRDefault="00FF05A6" w:rsidP="00B40849">
      <w:pPr>
        <w:spacing w:before="210" w:after="0" w:line="276" w:lineRule="auto"/>
        <w:ind w:firstLine="720"/>
        <w:jc w:val="both"/>
        <w:rPr>
          <w:rFonts w:ascii="Times New Roman" w:eastAsia="Times New Roman" w:hAnsi="Times New Roman" w:cs="Times New Roman"/>
          <w:sz w:val="22"/>
          <w:szCs w:val="22"/>
        </w:rPr>
      </w:pPr>
      <w:r w:rsidRPr="00FF05A6">
        <w:rPr>
          <w:rFonts w:ascii="Times New Roman" w:eastAsia="Times New Roman" w:hAnsi="Times New Roman" w:cs="Times New Roman"/>
          <w:sz w:val="22"/>
          <w:szCs w:val="22"/>
        </w:rPr>
        <w:t>This quantitative classroom-based action research demonstrates that transitioning from a traditional grid seating arrangement to a Herringbone configuration significantly enhanced student participation in a Grade 9 Economics class. Empirical findings indicate a marked increase in active participation</w:t>
      </w:r>
      <w:r w:rsidR="0090272E">
        <w:rPr>
          <w:rFonts w:ascii="Times New Roman" w:eastAsia="Times New Roman" w:hAnsi="Times New Roman" w:cs="Times New Roman"/>
          <w:sz w:val="22"/>
          <w:szCs w:val="22"/>
        </w:rPr>
        <w:t xml:space="preserve"> </w:t>
      </w:r>
      <w:r w:rsidRPr="00FF05A6">
        <w:rPr>
          <w:rFonts w:ascii="Times New Roman" w:eastAsia="Times New Roman" w:hAnsi="Times New Roman" w:cs="Times New Roman"/>
          <w:sz w:val="22"/>
          <w:szCs w:val="22"/>
        </w:rPr>
        <w:t>from 45% to 78%</w:t>
      </w:r>
      <w:r w:rsidR="0090272E">
        <w:rPr>
          <w:rFonts w:ascii="Times New Roman" w:eastAsia="Times New Roman" w:hAnsi="Times New Roman" w:cs="Times New Roman"/>
          <w:sz w:val="22"/>
          <w:szCs w:val="22"/>
        </w:rPr>
        <w:t xml:space="preserve"> </w:t>
      </w:r>
      <w:r w:rsidRPr="00FF05A6">
        <w:rPr>
          <w:rFonts w:ascii="Times New Roman" w:eastAsia="Times New Roman" w:hAnsi="Times New Roman" w:cs="Times New Roman"/>
          <w:sz w:val="22"/>
          <w:szCs w:val="22"/>
        </w:rPr>
        <w:t>as well as passive participation</w:t>
      </w:r>
      <w:r w:rsidR="0090272E">
        <w:rPr>
          <w:rFonts w:ascii="Times New Roman" w:eastAsia="Times New Roman" w:hAnsi="Times New Roman" w:cs="Times New Roman"/>
          <w:sz w:val="22"/>
          <w:szCs w:val="22"/>
        </w:rPr>
        <w:t xml:space="preserve"> </w:t>
      </w:r>
      <w:r w:rsidRPr="00FF05A6">
        <w:rPr>
          <w:rFonts w:ascii="Times New Roman" w:eastAsia="Times New Roman" w:hAnsi="Times New Roman" w:cs="Times New Roman"/>
          <w:sz w:val="22"/>
          <w:szCs w:val="22"/>
        </w:rPr>
        <w:t>from 62% to 89%</w:t>
      </w:r>
      <w:r w:rsidR="0090272E">
        <w:rPr>
          <w:rFonts w:ascii="Times New Roman" w:eastAsia="Times New Roman" w:hAnsi="Times New Roman" w:cs="Times New Roman"/>
          <w:sz w:val="22"/>
          <w:szCs w:val="22"/>
        </w:rPr>
        <w:t xml:space="preserve"> </w:t>
      </w:r>
      <w:r w:rsidRPr="00FF05A6">
        <w:rPr>
          <w:rFonts w:ascii="Times New Roman" w:eastAsia="Times New Roman" w:hAnsi="Times New Roman" w:cs="Times New Roman"/>
          <w:sz w:val="22"/>
          <w:szCs w:val="22"/>
        </w:rPr>
        <w:t>following</w:t>
      </w:r>
      <w:r w:rsidR="00260D75">
        <w:rPr>
          <w:rFonts w:ascii="Times New Roman" w:eastAsia="Times New Roman" w:hAnsi="Times New Roman" w:cs="Times New Roman"/>
          <w:sz w:val="22"/>
          <w:szCs w:val="22"/>
        </w:rPr>
        <w:t xml:space="preserve"> the </w:t>
      </w:r>
      <w:r w:rsidRPr="00FF05A6">
        <w:rPr>
          <w:rFonts w:ascii="Times New Roman" w:eastAsia="Times New Roman" w:hAnsi="Times New Roman" w:cs="Times New Roman"/>
          <w:sz w:val="22"/>
          <w:szCs w:val="22"/>
        </w:rPr>
        <w:t>intervention period. Statistical analysis using a paired samples t-test revealed a highly significant difference t</w:t>
      </w:r>
      <w:r>
        <w:rPr>
          <w:rFonts w:ascii="Times New Roman" w:eastAsia="Times New Roman" w:hAnsi="Times New Roman" w:cs="Times New Roman"/>
          <w:sz w:val="22"/>
          <w:szCs w:val="22"/>
        </w:rPr>
        <w:t xml:space="preserve"> </w:t>
      </w:r>
      <w:r w:rsidRPr="00FF05A6">
        <w:rPr>
          <w:rFonts w:ascii="Times New Roman" w:eastAsia="Times New Roman" w:hAnsi="Times New Roman" w:cs="Times New Roman"/>
          <w:sz w:val="22"/>
          <w:szCs w:val="22"/>
        </w:rPr>
        <w:t xml:space="preserve">(31) = 9.8, p &lt; 0.05), thereby leading </w:t>
      </w:r>
      <w:r w:rsidRPr="00FF05A6">
        <w:rPr>
          <w:rFonts w:ascii="Times New Roman" w:eastAsia="Times New Roman" w:hAnsi="Times New Roman" w:cs="Times New Roman"/>
          <w:sz w:val="22"/>
          <w:szCs w:val="22"/>
        </w:rPr>
        <w:lastRenderedPageBreak/>
        <w:t>to the rejection of the null hypothesis and confirming the effectiveness of the Herringbone seating arrangement in improving classroom engagement.</w:t>
      </w:r>
    </w:p>
    <w:p w14:paraId="6F7CDA14" w14:textId="61509C84" w:rsidR="00FF05A6" w:rsidRPr="00FF05A6" w:rsidRDefault="00FF05A6" w:rsidP="00B40849">
      <w:pPr>
        <w:spacing w:before="210" w:after="0" w:line="276" w:lineRule="auto"/>
        <w:ind w:firstLine="720"/>
        <w:jc w:val="both"/>
        <w:rPr>
          <w:rFonts w:ascii="Times New Roman" w:eastAsia="Times New Roman" w:hAnsi="Times New Roman" w:cs="Times New Roman"/>
          <w:sz w:val="22"/>
          <w:szCs w:val="22"/>
        </w:rPr>
      </w:pPr>
      <w:r w:rsidRPr="00FF05A6">
        <w:rPr>
          <w:rFonts w:ascii="Times New Roman" w:eastAsia="Times New Roman" w:hAnsi="Times New Roman" w:cs="Times New Roman"/>
          <w:sz w:val="22"/>
          <w:szCs w:val="22"/>
        </w:rPr>
        <w:t>The observed improvement may be attributed to the spatial dynamics of the Herringbone configuration, which positions learners at approximately 45-degree angles in a V-shaped formation. This arrangement facilitates clearer lines of sight between students and the teacher, while also promoting peer interaction. Such findings are consistent with existing literature on classroom ecology, which emphasizes the role of physical learning environments in shaping student behavior, interaction patterns, and cognitive engagement (</w:t>
      </w:r>
      <w:proofErr w:type="spellStart"/>
      <w:r w:rsidRPr="00FF05A6">
        <w:rPr>
          <w:rFonts w:ascii="Times New Roman" w:eastAsia="Times New Roman" w:hAnsi="Times New Roman" w:cs="Times New Roman"/>
          <w:sz w:val="22"/>
          <w:szCs w:val="22"/>
        </w:rPr>
        <w:t>Byiringiro</w:t>
      </w:r>
      <w:proofErr w:type="spellEnd"/>
      <w:r w:rsidRPr="00FF05A6">
        <w:rPr>
          <w:rFonts w:ascii="Times New Roman" w:eastAsia="Times New Roman" w:hAnsi="Times New Roman" w:cs="Times New Roman"/>
          <w:sz w:val="22"/>
          <w:szCs w:val="22"/>
        </w:rPr>
        <w:t xml:space="preserve">, 2023; Rogers, 2020; Fernandes et al., 2024). Within the context of Philippine </w:t>
      </w:r>
      <w:proofErr w:type="spellStart"/>
      <w:r w:rsidRPr="00FF05A6">
        <w:rPr>
          <w:rFonts w:ascii="Times New Roman" w:eastAsia="Times New Roman" w:hAnsi="Times New Roman" w:cs="Times New Roman"/>
          <w:sz w:val="22"/>
          <w:szCs w:val="22"/>
        </w:rPr>
        <w:t>Araling</w:t>
      </w:r>
      <w:proofErr w:type="spellEnd"/>
      <w:r w:rsidRPr="00FF05A6">
        <w:rPr>
          <w:rFonts w:ascii="Times New Roman" w:eastAsia="Times New Roman" w:hAnsi="Times New Roman" w:cs="Times New Roman"/>
          <w:sz w:val="22"/>
          <w:szCs w:val="22"/>
        </w:rPr>
        <w:t xml:space="preserve"> </w:t>
      </w:r>
      <w:proofErr w:type="spellStart"/>
      <w:r w:rsidRPr="00FF05A6">
        <w:rPr>
          <w:rFonts w:ascii="Times New Roman" w:eastAsia="Times New Roman" w:hAnsi="Times New Roman" w:cs="Times New Roman"/>
          <w:sz w:val="22"/>
          <w:szCs w:val="22"/>
        </w:rPr>
        <w:t>Panlipunan</w:t>
      </w:r>
      <w:proofErr w:type="spellEnd"/>
      <w:r w:rsidRPr="00FF05A6">
        <w:rPr>
          <w:rFonts w:ascii="Times New Roman" w:eastAsia="Times New Roman" w:hAnsi="Times New Roman" w:cs="Times New Roman"/>
          <w:sz w:val="22"/>
          <w:szCs w:val="22"/>
        </w:rPr>
        <w:t xml:space="preserve"> classrooms</w:t>
      </w:r>
      <w:r w:rsidR="0090272E">
        <w:rPr>
          <w:rFonts w:ascii="Times New Roman" w:eastAsia="Times New Roman" w:hAnsi="Times New Roman" w:cs="Times New Roman"/>
          <w:sz w:val="22"/>
          <w:szCs w:val="22"/>
        </w:rPr>
        <w:t xml:space="preserve"> </w:t>
      </w:r>
      <w:r w:rsidRPr="00FF05A6">
        <w:rPr>
          <w:rFonts w:ascii="Times New Roman" w:eastAsia="Times New Roman" w:hAnsi="Times New Roman" w:cs="Times New Roman"/>
          <w:sz w:val="22"/>
          <w:szCs w:val="22"/>
        </w:rPr>
        <w:t>where instructional practices are often characterized by teacher-centered approaches—this modification offers a practical strategy to foster more interactive and participatory learning experiences (</w:t>
      </w:r>
      <w:proofErr w:type="spellStart"/>
      <w:r w:rsidRPr="00FF05A6">
        <w:rPr>
          <w:rFonts w:ascii="Times New Roman" w:eastAsia="Times New Roman" w:hAnsi="Times New Roman" w:cs="Times New Roman"/>
          <w:sz w:val="22"/>
          <w:szCs w:val="22"/>
        </w:rPr>
        <w:t>Bual</w:t>
      </w:r>
      <w:proofErr w:type="spellEnd"/>
      <w:r w:rsidRPr="00FF05A6">
        <w:rPr>
          <w:rFonts w:ascii="Times New Roman" w:eastAsia="Times New Roman" w:hAnsi="Times New Roman" w:cs="Times New Roman"/>
          <w:sz w:val="22"/>
          <w:szCs w:val="22"/>
        </w:rPr>
        <w:t xml:space="preserve"> &amp; Madrigal, 2023).</w:t>
      </w:r>
    </w:p>
    <w:p w14:paraId="7A2208B6" w14:textId="4E506CE6" w:rsidR="00FF05A6" w:rsidRDefault="00FF05A6" w:rsidP="00B40849">
      <w:pPr>
        <w:spacing w:before="210" w:after="0" w:line="276" w:lineRule="auto"/>
        <w:ind w:firstLine="720"/>
        <w:jc w:val="both"/>
        <w:rPr>
          <w:rFonts w:ascii="Times New Roman" w:eastAsia="Times New Roman" w:hAnsi="Times New Roman" w:cs="Times New Roman"/>
          <w:sz w:val="22"/>
          <w:szCs w:val="22"/>
        </w:rPr>
      </w:pPr>
      <w:r w:rsidRPr="00FF05A6">
        <w:rPr>
          <w:rFonts w:ascii="Times New Roman" w:eastAsia="Times New Roman" w:hAnsi="Times New Roman" w:cs="Times New Roman"/>
          <w:sz w:val="22"/>
          <w:szCs w:val="22"/>
        </w:rPr>
        <w:t>Despite its contributions, the study is subject to several limitations that constrain the generalizability of its findings. The sample size was limited to</w:t>
      </w:r>
      <w:r w:rsidR="00B40849">
        <w:rPr>
          <w:rFonts w:ascii="Times New Roman" w:eastAsia="Times New Roman" w:hAnsi="Times New Roman" w:cs="Times New Roman"/>
          <w:sz w:val="22"/>
          <w:szCs w:val="22"/>
        </w:rPr>
        <w:t xml:space="preserve"> </w:t>
      </w:r>
      <w:r w:rsidRPr="00FF05A6">
        <w:rPr>
          <w:rFonts w:ascii="Times New Roman" w:eastAsia="Times New Roman" w:hAnsi="Times New Roman" w:cs="Times New Roman"/>
          <w:sz w:val="22"/>
          <w:szCs w:val="22"/>
        </w:rPr>
        <w:t>students from a single public laboratory high school, which may not adequately represent broader student populations. Additionally, the relatively short duration of the intervention raises the possibility of novelty effects influencing student behavior. Potential confounding variables, such as individual learner disposition (e.g., shyness) and classroom physical constraints, were not controlled for and may have affected the outcomes. Future research is recommended to employ larger and more diverse samples, extend the duration of observation, and incorporate additional variables to further validate and refine the observed effects of seating arrangements on student participation.</w:t>
      </w:r>
    </w:p>
    <w:p w14:paraId="733301DA" w14:textId="77777777" w:rsidR="00B40849" w:rsidRDefault="00B40849" w:rsidP="00B40849">
      <w:pPr>
        <w:spacing w:before="210" w:after="0" w:line="276" w:lineRule="auto"/>
        <w:ind w:firstLine="720"/>
        <w:jc w:val="both"/>
        <w:rPr>
          <w:rFonts w:ascii="Times New Roman" w:eastAsia="Times New Roman" w:hAnsi="Times New Roman" w:cs="Times New Roman"/>
          <w:sz w:val="22"/>
          <w:szCs w:val="22"/>
        </w:rPr>
      </w:pPr>
    </w:p>
    <w:p w14:paraId="029971C8" w14:textId="77777777" w:rsidR="00B40849" w:rsidRDefault="00FF05A6" w:rsidP="00B40849">
      <w:pPr>
        <w:pStyle w:val="NormalWeb"/>
        <w:jc w:val="both"/>
        <w:rPr>
          <w:rStyle w:val="Strong"/>
          <w:sz w:val="22"/>
          <w:szCs w:val="22"/>
        </w:rPr>
      </w:pPr>
      <w:r w:rsidRPr="00B40849">
        <w:rPr>
          <w:rStyle w:val="Strong"/>
          <w:sz w:val="22"/>
          <w:szCs w:val="22"/>
        </w:rPr>
        <w:t>RECOMMENDATIONS</w:t>
      </w:r>
      <w:r w:rsidR="00B40849">
        <w:rPr>
          <w:rStyle w:val="Strong"/>
          <w:sz w:val="22"/>
          <w:szCs w:val="22"/>
        </w:rPr>
        <w:tab/>
      </w:r>
    </w:p>
    <w:p w14:paraId="4F079E57" w14:textId="62055BA3" w:rsidR="00FF05A6" w:rsidRPr="00B40849" w:rsidRDefault="00FF05A6" w:rsidP="00B40849">
      <w:pPr>
        <w:pStyle w:val="NormalWeb"/>
        <w:ind w:firstLine="360"/>
        <w:jc w:val="both"/>
        <w:rPr>
          <w:sz w:val="22"/>
          <w:szCs w:val="22"/>
        </w:rPr>
      </w:pPr>
      <w:r w:rsidRPr="00B40849">
        <w:rPr>
          <w:sz w:val="22"/>
          <w:szCs w:val="22"/>
        </w:rPr>
        <w:t>Based on the findings and identified limitations of the study, the following recommendations are proposed:</w:t>
      </w:r>
    </w:p>
    <w:p w14:paraId="72524D1D" w14:textId="69745018" w:rsidR="00FF05A6" w:rsidRPr="00B40849" w:rsidRDefault="00FF05A6" w:rsidP="00B40849">
      <w:pPr>
        <w:pStyle w:val="NoSpacing"/>
        <w:numPr>
          <w:ilvl w:val="0"/>
          <w:numId w:val="4"/>
        </w:numPr>
        <w:jc w:val="both"/>
        <w:rPr>
          <w:rFonts w:ascii="Times New Roman" w:hAnsi="Times New Roman" w:cs="Times New Roman"/>
          <w:sz w:val="22"/>
          <w:szCs w:val="22"/>
        </w:rPr>
      </w:pPr>
      <w:r w:rsidRPr="00B40849">
        <w:rPr>
          <w:rStyle w:val="Strong"/>
          <w:rFonts w:ascii="Times New Roman" w:hAnsi="Times New Roman" w:cs="Times New Roman"/>
          <w:b w:val="0"/>
          <w:bCs w:val="0"/>
          <w:sz w:val="22"/>
          <w:szCs w:val="22"/>
        </w:rPr>
        <w:t>For Future Research</w:t>
      </w:r>
      <w:r w:rsidR="00B40849" w:rsidRPr="00B40849">
        <w:rPr>
          <w:rFonts w:ascii="Times New Roman" w:hAnsi="Times New Roman" w:cs="Times New Roman"/>
          <w:sz w:val="22"/>
          <w:szCs w:val="22"/>
        </w:rPr>
        <w:t xml:space="preserve">: </w:t>
      </w:r>
      <w:r w:rsidRPr="00B40849">
        <w:rPr>
          <w:rFonts w:ascii="Times New Roman" w:hAnsi="Times New Roman" w:cs="Times New Roman"/>
          <w:sz w:val="22"/>
          <w:szCs w:val="22"/>
        </w:rPr>
        <w:t>Future studies are encouraged to utilize larger and more diverse samples across multiple schools, grade levels, and subject areas to improve the generalizability of findings. Expanding the scope to include both public and private institutions, as well as varied geographic contexts, would strengthen external validity.</w:t>
      </w:r>
    </w:p>
    <w:p w14:paraId="5A6545BF" w14:textId="6D631B27" w:rsidR="00FF05A6" w:rsidRPr="00B40849" w:rsidRDefault="00FF05A6" w:rsidP="00B40849">
      <w:pPr>
        <w:pStyle w:val="NoSpacing"/>
        <w:numPr>
          <w:ilvl w:val="0"/>
          <w:numId w:val="4"/>
        </w:numPr>
        <w:jc w:val="both"/>
        <w:rPr>
          <w:rFonts w:ascii="Times New Roman" w:hAnsi="Times New Roman" w:cs="Times New Roman"/>
          <w:sz w:val="22"/>
          <w:szCs w:val="22"/>
        </w:rPr>
      </w:pPr>
      <w:r w:rsidRPr="00B40849">
        <w:rPr>
          <w:rStyle w:val="Strong"/>
          <w:rFonts w:ascii="Times New Roman" w:hAnsi="Times New Roman" w:cs="Times New Roman"/>
          <w:b w:val="0"/>
          <w:bCs w:val="0"/>
          <w:sz w:val="22"/>
          <w:szCs w:val="22"/>
        </w:rPr>
        <w:t>For Research Design Enhancement</w:t>
      </w:r>
      <w:r w:rsidR="00B40849" w:rsidRPr="00B40849">
        <w:rPr>
          <w:rFonts w:ascii="Times New Roman" w:hAnsi="Times New Roman" w:cs="Times New Roman"/>
          <w:sz w:val="22"/>
          <w:szCs w:val="22"/>
        </w:rPr>
        <w:t xml:space="preserve">: </w:t>
      </w:r>
      <w:r w:rsidRPr="00B40849">
        <w:rPr>
          <w:rFonts w:ascii="Times New Roman" w:hAnsi="Times New Roman" w:cs="Times New Roman"/>
          <w:sz w:val="22"/>
          <w:szCs w:val="22"/>
        </w:rPr>
        <w:t>It is recommended that subsequent research adopt longitudinal designs to examine the sustainability of the observed effects over extended periods. This would help determine whether the increase in student participation is maintained or influenced by short-term novelty effects.</w:t>
      </w:r>
    </w:p>
    <w:p w14:paraId="7A31A619" w14:textId="22D59168" w:rsidR="00FF05A6" w:rsidRPr="00B40849" w:rsidRDefault="00FF05A6" w:rsidP="00B40849">
      <w:pPr>
        <w:pStyle w:val="NoSpacing"/>
        <w:numPr>
          <w:ilvl w:val="0"/>
          <w:numId w:val="4"/>
        </w:numPr>
        <w:jc w:val="both"/>
        <w:rPr>
          <w:rFonts w:ascii="Times New Roman" w:hAnsi="Times New Roman" w:cs="Times New Roman"/>
          <w:sz w:val="22"/>
          <w:szCs w:val="22"/>
        </w:rPr>
      </w:pPr>
      <w:r w:rsidRPr="00B40849">
        <w:rPr>
          <w:rStyle w:val="Strong"/>
          <w:rFonts w:ascii="Times New Roman" w:hAnsi="Times New Roman" w:cs="Times New Roman"/>
          <w:b w:val="0"/>
          <w:bCs w:val="0"/>
          <w:sz w:val="22"/>
          <w:szCs w:val="22"/>
        </w:rPr>
        <w:t>For Variable Inclusion and Control</w:t>
      </w:r>
      <w:r w:rsidR="00B40849" w:rsidRPr="00B40849">
        <w:rPr>
          <w:rFonts w:ascii="Times New Roman" w:hAnsi="Times New Roman" w:cs="Times New Roman"/>
          <w:sz w:val="22"/>
          <w:szCs w:val="22"/>
        </w:rPr>
        <w:t xml:space="preserve">: </w:t>
      </w:r>
      <w:r w:rsidRPr="00B40849">
        <w:rPr>
          <w:rFonts w:ascii="Times New Roman" w:hAnsi="Times New Roman" w:cs="Times New Roman"/>
          <w:sz w:val="22"/>
          <w:szCs w:val="22"/>
        </w:rPr>
        <w:t>Future investigations should incorporate and control for additional variables that may influence student participation. These include learner-related factors (e.g., personality traits, motivation), environmental conditions (e.g., classroom size and layout), and instructional variables (e.g., teaching strategies). Accounting for these factors would provide a more comprehensive understanding of the relationship between seating arrangements and participation.</w:t>
      </w:r>
    </w:p>
    <w:p w14:paraId="5DBDF4A2" w14:textId="0D46FB6C" w:rsidR="00FF05A6" w:rsidRPr="00B40849" w:rsidRDefault="00FF05A6" w:rsidP="00B40849">
      <w:pPr>
        <w:pStyle w:val="NoSpacing"/>
        <w:numPr>
          <w:ilvl w:val="0"/>
          <w:numId w:val="4"/>
        </w:numPr>
        <w:jc w:val="both"/>
        <w:rPr>
          <w:rFonts w:ascii="Times New Roman" w:hAnsi="Times New Roman" w:cs="Times New Roman"/>
          <w:sz w:val="22"/>
          <w:szCs w:val="22"/>
        </w:rPr>
      </w:pPr>
      <w:r w:rsidRPr="00B40849">
        <w:rPr>
          <w:rStyle w:val="Strong"/>
          <w:rFonts w:ascii="Times New Roman" w:hAnsi="Times New Roman" w:cs="Times New Roman"/>
          <w:b w:val="0"/>
          <w:bCs w:val="0"/>
          <w:sz w:val="22"/>
          <w:szCs w:val="22"/>
        </w:rPr>
        <w:t>For Methodological Expansion</w:t>
      </w:r>
      <w:r w:rsidR="00B40849" w:rsidRPr="00B40849">
        <w:rPr>
          <w:rFonts w:ascii="Times New Roman" w:hAnsi="Times New Roman" w:cs="Times New Roman"/>
          <w:sz w:val="22"/>
          <w:szCs w:val="22"/>
        </w:rPr>
        <w:t xml:space="preserve">: </w:t>
      </w:r>
      <w:r w:rsidRPr="00B40849">
        <w:rPr>
          <w:rFonts w:ascii="Times New Roman" w:hAnsi="Times New Roman" w:cs="Times New Roman"/>
          <w:sz w:val="22"/>
          <w:szCs w:val="22"/>
        </w:rPr>
        <w:t>The use of mixed-methods approaches is recommended to complement quantitative findings with qualitative insights. Data collection methods such as interviews, focus group discussions, and classroom observations may be employed to capture students’ experiences and interaction patterns more deeply.</w:t>
      </w:r>
    </w:p>
    <w:p w14:paraId="5B5EC5BD" w14:textId="39FCB366" w:rsidR="00FF05A6" w:rsidRPr="00B40849" w:rsidRDefault="00FF05A6" w:rsidP="00B40849">
      <w:pPr>
        <w:pStyle w:val="NoSpacing"/>
        <w:numPr>
          <w:ilvl w:val="0"/>
          <w:numId w:val="4"/>
        </w:numPr>
        <w:jc w:val="both"/>
        <w:rPr>
          <w:rFonts w:ascii="Times New Roman" w:hAnsi="Times New Roman" w:cs="Times New Roman"/>
          <w:sz w:val="22"/>
          <w:szCs w:val="22"/>
        </w:rPr>
      </w:pPr>
      <w:r w:rsidRPr="00B40849">
        <w:rPr>
          <w:rStyle w:val="Strong"/>
          <w:rFonts w:ascii="Times New Roman" w:hAnsi="Times New Roman" w:cs="Times New Roman"/>
          <w:b w:val="0"/>
          <w:bCs w:val="0"/>
          <w:sz w:val="22"/>
          <w:szCs w:val="22"/>
        </w:rPr>
        <w:t>For Comparative Studies</w:t>
      </w:r>
      <w:r w:rsidR="00B40849" w:rsidRPr="00B40849">
        <w:rPr>
          <w:rFonts w:ascii="Times New Roman" w:hAnsi="Times New Roman" w:cs="Times New Roman"/>
          <w:sz w:val="22"/>
          <w:szCs w:val="22"/>
        </w:rPr>
        <w:t xml:space="preserve">: </w:t>
      </w:r>
      <w:r w:rsidRPr="00B40849">
        <w:rPr>
          <w:rFonts w:ascii="Times New Roman" w:hAnsi="Times New Roman" w:cs="Times New Roman"/>
          <w:sz w:val="22"/>
          <w:szCs w:val="22"/>
        </w:rPr>
        <w:t xml:space="preserve">Further research should explore comparative analyses of different seating arrangements, such as U-shaped, clustered, circular, and traditional grid formats. This would allow </w:t>
      </w:r>
      <w:r w:rsidRPr="00B40849">
        <w:rPr>
          <w:rFonts w:ascii="Times New Roman" w:hAnsi="Times New Roman" w:cs="Times New Roman"/>
          <w:sz w:val="22"/>
          <w:szCs w:val="22"/>
        </w:rPr>
        <w:lastRenderedPageBreak/>
        <w:t>for the identification of the most effective configurations relative to specific instructional objectives and learning environments.</w:t>
      </w:r>
    </w:p>
    <w:p w14:paraId="5DD4CA29" w14:textId="26987832" w:rsidR="00FF05A6" w:rsidRPr="00B40849" w:rsidRDefault="00FF05A6" w:rsidP="00B40849">
      <w:pPr>
        <w:pStyle w:val="NoSpacing"/>
        <w:numPr>
          <w:ilvl w:val="0"/>
          <w:numId w:val="4"/>
        </w:numPr>
        <w:jc w:val="both"/>
        <w:rPr>
          <w:rFonts w:ascii="Times New Roman" w:hAnsi="Times New Roman" w:cs="Times New Roman"/>
          <w:sz w:val="22"/>
          <w:szCs w:val="22"/>
        </w:rPr>
      </w:pPr>
      <w:r w:rsidRPr="00B40849">
        <w:rPr>
          <w:rStyle w:val="Strong"/>
          <w:rFonts w:ascii="Times New Roman" w:hAnsi="Times New Roman" w:cs="Times New Roman"/>
          <w:b w:val="0"/>
          <w:bCs w:val="0"/>
          <w:sz w:val="22"/>
          <w:szCs w:val="22"/>
        </w:rPr>
        <w:t>For Educational Practice</w:t>
      </w:r>
      <w:r w:rsidR="00B40849" w:rsidRPr="00B40849">
        <w:rPr>
          <w:rFonts w:ascii="Times New Roman" w:hAnsi="Times New Roman" w:cs="Times New Roman"/>
          <w:sz w:val="22"/>
          <w:szCs w:val="22"/>
        </w:rPr>
        <w:t xml:space="preserve">: </w:t>
      </w:r>
      <w:r w:rsidRPr="00B40849">
        <w:rPr>
          <w:rFonts w:ascii="Times New Roman" w:hAnsi="Times New Roman" w:cs="Times New Roman"/>
          <w:sz w:val="22"/>
          <w:szCs w:val="22"/>
        </w:rPr>
        <w:t>Educators are encouraged to consider seating arrangement as a dynamic component of classroom management. The Herringbone arrangement may be implemented, particularly in discussion-oriented subjects, to promote engagement. However, continuous monitoring and adjustment based on student response and instructional needs are advised to optimize learning outcomes.</w:t>
      </w:r>
    </w:p>
    <w:p w14:paraId="6A02E70D" w14:textId="77777777" w:rsidR="00FF05A6" w:rsidRDefault="00FF05A6" w:rsidP="00FF05A6">
      <w:pPr>
        <w:spacing w:before="210" w:after="0" w:line="276" w:lineRule="auto"/>
        <w:jc w:val="both"/>
        <w:rPr>
          <w:rFonts w:ascii="Times New Roman" w:eastAsia="Times New Roman" w:hAnsi="Times New Roman" w:cs="Times New Roman"/>
          <w:sz w:val="22"/>
          <w:szCs w:val="22"/>
        </w:rPr>
      </w:pPr>
    </w:p>
    <w:p w14:paraId="740FAFB1" w14:textId="77777777" w:rsidR="00591BE1" w:rsidRDefault="00591BE1" w:rsidP="00591BE1">
      <w:pPr>
        <w:spacing w:after="0"/>
        <w:rPr>
          <w:rFonts w:ascii="Times New Roman" w:eastAsia="Calibri" w:hAnsi="Times New Roman" w:cs="Times New Roman"/>
          <w:kern w:val="2"/>
          <w:sz w:val="22"/>
          <w:szCs w:val="22"/>
          <w:highlight w:val="yellow"/>
          <w:lang w:val="en-US"/>
        </w:rPr>
      </w:pPr>
      <w:bookmarkStart w:id="1" w:name="_Hlk198031404"/>
      <w:r w:rsidRPr="00591BE1">
        <w:rPr>
          <w:rFonts w:ascii="Times New Roman" w:eastAsia="Calibri" w:hAnsi="Times New Roman" w:cs="Times New Roman"/>
          <w:kern w:val="2"/>
          <w:sz w:val="22"/>
          <w:szCs w:val="22"/>
          <w:highlight w:val="yellow"/>
          <w:lang w:val="en-US"/>
        </w:rPr>
        <w:t>Disclaimer (Artificial intelligence)</w:t>
      </w:r>
    </w:p>
    <w:p w14:paraId="4274C81C" w14:textId="2314C2C6" w:rsidR="00FF05A6" w:rsidRDefault="00FF05A6" w:rsidP="00FF05A6">
      <w:pPr>
        <w:pStyle w:val="ListParagraph"/>
        <w:numPr>
          <w:ilvl w:val="0"/>
          <w:numId w:val="3"/>
        </w:numPr>
        <w:spacing w:after="0"/>
        <w:rPr>
          <w:rFonts w:ascii="Times New Roman" w:eastAsia="Calibri" w:hAnsi="Times New Roman" w:cs="Times New Roman"/>
          <w:kern w:val="2"/>
          <w:sz w:val="22"/>
          <w:szCs w:val="22"/>
          <w:highlight w:val="yellow"/>
          <w:lang w:val="en-US"/>
        </w:rPr>
      </w:pPr>
      <w:r>
        <w:rPr>
          <w:rFonts w:ascii="Times New Roman" w:eastAsia="Calibri" w:hAnsi="Times New Roman" w:cs="Times New Roman"/>
          <w:kern w:val="2"/>
          <w:sz w:val="22"/>
          <w:szCs w:val="22"/>
          <w:highlight w:val="yellow"/>
          <w:lang w:val="en-US"/>
        </w:rPr>
        <w:t>Perplexity</w:t>
      </w:r>
    </w:p>
    <w:p w14:paraId="617A2CEF" w14:textId="4BABE73B" w:rsidR="00FF05A6" w:rsidRPr="00FF05A6" w:rsidRDefault="00FF05A6" w:rsidP="00FF05A6">
      <w:pPr>
        <w:pStyle w:val="ListParagraph"/>
        <w:numPr>
          <w:ilvl w:val="0"/>
          <w:numId w:val="3"/>
        </w:numPr>
        <w:spacing w:after="0"/>
        <w:rPr>
          <w:rFonts w:ascii="Times New Roman" w:eastAsia="Calibri" w:hAnsi="Times New Roman" w:cs="Times New Roman"/>
          <w:kern w:val="2"/>
          <w:sz w:val="22"/>
          <w:szCs w:val="22"/>
          <w:highlight w:val="yellow"/>
          <w:lang w:val="en-US"/>
        </w:rPr>
      </w:pPr>
      <w:proofErr w:type="spellStart"/>
      <w:r>
        <w:rPr>
          <w:rFonts w:ascii="Times New Roman" w:eastAsia="Calibri" w:hAnsi="Times New Roman" w:cs="Times New Roman"/>
          <w:kern w:val="2"/>
          <w:sz w:val="22"/>
          <w:szCs w:val="22"/>
          <w:highlight w:val="yellow"/>
          <w:lang w:val="en-US"/>
        </w:rPr>
        <w:t>Scispace</w:t>
      </w:r>
      <w:proofErr w:type="spellEnd"/>
      <w:r>
        <w:rPr>
          <w:rFonts w:ascii="Times New Roman" w:eastAsia="Calibri" w:hAnsi="Times New Roman" w:cs="Times New Roman"/>
          <w:kern w:val="2"/>
          <w:sz w:val="22"/>
          <w:szCs w:val="22"/>
          <w:highlight w:val="yellow"/>
          <w:lang w:val="en-US"/>
        </w:rPr>
        <w:t xml:space="preserve"> </w:t>
      </w:r>
    </w:p>
    <w:p w14:paraId="18D412D6" w14:textId="77777777" w:rsidR="00591BE1" w:rsidRPr="00591BE1" w:rsidRDefault="00591BE1" w:rsidP="00591BE1">
      <w:pPr>
        <w:spacing w:after="0"/>
        <w:rPr>
          <w:rFonts w:ascii="Times New Roman" w:eastAsia="Calibri" w:hAnsi="Times New Roman" w:cs="Times New Roman"/>
          <w:kern w:val="2"/>
          <w:sz w:val="22"/>
          <w:szCs w:val="22"/>
          <w:highlight w:val="yellow"/>
          <w:lang w:val="en-US"/>
        </w:rPr>
      </w:pPr>
    </w:p>
    <w:p w14:paraId="0944BD5B" w14:textId="77777777" w:rsidR="00B40849" w:rsidRDefault="00B40849" w:rsidP="00B40849">
      <w:pPr>
        <w:rPr>
          <w:rFonts w:ascii="Times New Roman" w:eastAsia="Times New Roman" w:hAnsi="Times New Roman" w:cs="Times New Roman"/>
          <w:sz w:val="22"/>
          <w:szCs w:val="22"/>
        </w:rPr>
      </w:pPr>
      <w:bookmarkStart w:id="2" w:name="_GoBack"/>
      <w:bookmarkEnd w:id="1"/>
      <w:bookmarkEnd w:id="2"/>
    </w:p>
    <w:p w14:paraId="0D33A666" w14:textId="77777777" w:rsidR="004A2A5B" w:rsidRDefault="006623F1">
      <w:pPr>
        <w:spacing w:after="21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REFERENCES</w:t>
      </w:r>
    </w:p>
    <w:p w14:paraId="2345D7A1" w14:textId="77777777" w:rsidR="0090272E" w:rsidRPr="004D0D58" w:rsidRDefault="0090272E" w:rsidP="004D0D58">
      <w:pPr>
        <w:spacing w:after="210"/>
        <w:ind w:left="720" w:hanging="720"/>
        <w:jc w:val="both"/>
        <w:rPr>
          <w:rFonts w:ascii="Times New Roman" w:eastAsia="Times New Roman" w:hAnsi="Times New Roman" w:cs="Times New Roman"/>
          <w:color w:val="000000"/>
          <w:sz w:val="22"/>
          <w:szCs w:val="22"/>
          <w:lang w:val="en-PH"/>
        </w:rPr>
      </w:pPr>
    </w:p>
    <w:p w14:paraId="496E042B" w14:textId="77777777" w:rsidR="0090272E" w:rsidRPr="00AE5D2E" w:rsidRDefault="0090272E" w:rsidP="00FE286A">
      <w:pPr>
        <w:pStyle w:val="NormalWeb"/>
        <w:numPr>
          <w:ilvl w:val="0"/>
          <w:numId w:val="5"/>
        </w:numPr>
        <w:jc w:val="both"/>
        <w:rPr>
          <w:color w:val="000000" w:themeColor="text1"/>
        </w:rPr>
      </w:pPr>
      <w:r w:rsidRPr="00AE5D2E">
        <w:rPr>
          <w:color w:val="000000" w:themeColor="text1"/>
        </w:rPr>
        <w:t xml:space="preserve">Abdullah, M. Y., Abu Bakar, N. R., &amp; </w:t>
      </w:r>
      <w:proofErr w:type="spellStart"/>
      <w:r w:rsidRPr="00AE5D2E">
        <w:rPr>
          <w:color w:val="000000" w:themeColor="text1"/>
        </w:rPr>
        <w:t>Mahbob</w:t>
      </w:r>
      <w:proofErr w:type="spellEnd"/>
      <w:r w:rsidRPr="00AE5D2E">
        <w:rPr>
          <w:color w:val="000000" w:themeColor="text1"/>
        </w:rPr>
        <w:t xml:space="preserve">, M. H. (2012). Student engagement and participation in classroom: A case study. </w:t>
      </w:r>
      <w:r w:rsidRPr="00AE5D2E">
        <w:rPr>
          <w:rStyle w:val="Emphasis"/>
          <w:color w:val="000000" w:themeColor="text1"/>
        </w:rPr>
        <w:t>Procedia - Social and Behavioral Sciences, 59</w:t>
      </w:r>
      <w:r w:rsidRPr="00AE5D2E">
        <w:rPr>
          <w:color w:val="000000" w:themeColor="text1"/>
        </w:rPr>
        <w:t xml:space="preserve">, 61–70. </w:t>
      </w:r>
      <w:hyperlink r:id="rId9" w:tgtFrame="_new" w:history="1">
        <w:r w:rsidRPr="00AE5D2E">
          <w:rPr>
            <w:rStyle w:val="Hyperlink"/>
            <w:color w:val="000000" w:themeColor="text1"/>
            <w:u w:val="none"/>
          </w:rPr>
          <w:t>https://doi.org/10.1016/j.sbspro.2012.09.246</w:t>
        </w:r>
      </w:hyperlink>
    </w:p>
    <w:p w14:paraId="1CA2C6CE" w14:textId="77777777" w:rsidR="0090272E" w:rsidRPr="00AE5D2E" w:rsidRDefault="0090272E" w:rsidP="00FE286A">
      <w:pPr>
        <w:pStyle w:val="NormalWeb"/>
        <w:numPr>
          <w:ilvl w:val="0"/>
          <w:numId w:val="5"/>
        </w:numPr>
        <w:jc w:val="both"/>
        <w:rPr>
          <w:color w:val="000000" w:themeColor="text1"/>
        </w:rPr>
      </w:pPr>
      <w:proofErr w:type="spellStart"/>
      <w:r w:rsidRPr="00AE5D2E">
        <w:rPr>
          <w:color w:val="000000" w:themeColor="text1"/>
        </w:rPr>
        <w:t>Adesua</w:t>
      </w:r>
      <w:proofErr w:type="spellEnd"/>
      <w:r w:rsidRPr="00AE5D2E">
        <w:rPr>
          <w:color w:val="000000" w:themeColor="text1"/>
        </w:rPr>
        <w:t xml:space="preserve">, V. O. (2014). Classroom seating arrangement and students’ academic performance in secondary schools. </w:t>
      </w:r>
      <w:r w:rsidRPr="00AE5D2E">
        <w:rPr>
          <w:rStyle w:val="Emphasis"/>
          <w:color w:val="000000" w:themeColor="text1"/>
        </w:rPr>
        <w:t>International Journal of Education and Research, 2</w:t>
      </w:r>
      <w:r w:rsidRPr="00AE5D2E">
        <w:rPr>
          <w:color w:val="000000" w:themeColor="text1"/>
        </w:rPr>
        <w:t>(10), 45–52.</w:t>
      </w:r>
    </w:p>
    <w:p w14:paraId="2BB196DE" w14:textId="77777777" w:rsidR="0090272E" w:rsidRPr="00AE5D2E" w:rsidRDefault="0090272E" w:rsidP="00FE286A">
      <w:pPr>
        <w:pStyle w:val="NormalWeb"/>
        <w:numPr>
          <w:ilvl w:val="0"/>
          <w:numId w:val="5"/>
        </w:numPr>
        <w:jc w:val="both"/>
        <w:rPr>
          <w:color w:val="000000" w:themeColor="text1"/>
        </w:rPr>
      </w:pPr>
      <w:r w:rsidRPr="00AE5D2E">
        <w:rPr>
          <w:color w:val="000000" w:themeColor="text1"/>
        </w:rPr>
        <w:t xml:space="preserve">Adeyemo, S. A. (2012). The relationship between classroom environment and student learning outcomes. </w:t>
      </w:r>
      <w:r w:rsidRPr="00AE5D2E">
        <w:rPr>
          <w:rStyle w:val="Emphasis"/>
          <w:color w:val="000000" w:themeColor="text1"/>
        </w:rPr>
        <w:t>Journal of Educational Research and Reviews, 7</w:t>
      </w:r>
      <w:r w:rsidRPr="00AE5D2E">
        <w:rPr>
          <w:color w:val="000000" w:themeColor="text1"/>
        </w:rPr>
        <w:t>(5), 89–96.</w:t>
      </w:r>
    </w:p>
    <w:p w14:paraId="56F587CE" w14:textId="77777777" w:rsidR="0090272E" w:rsidRDefault="0090272E" w:rsidP="00FE286A">
      <w:pPr>
        <w:pStyle w:val="NormalWeb"/>
        <w:numPr>
          <w:ilvl w:val="0"/>
          <w:numId w:val="5"/>
        </w:numPr>
        <w:jc w:val="both"/>
      </w:pPr>
      <w:proofErr w:type="spellStart"/>
      <w:r>
        <w:t>Ary</w:t>
      </w:r>
      <w:proofErr w:type="spellEnd"/>
      <w:r>
        <w:t xml:space="preserve">, D., Jacobs, L. C., &amp; Sorensen, C. (2010). </w:t>
      </w:r>
      <w:r>
        <w:rPr>
          <w:rStyle w:val="Emphasis"/>
        </w:rPr>
        <w:t>Introduction to research in education</w:t>
      </w:r>
      <w:r>
        <w:t xml:space="preserve"> (8th ed.). Wadsworth Cengage Learning.</w:t>
      </w:r>
    </w:p>
    <w:p w14:paraId="2467DCC7" w14:textId="77777777" w:rsidR="0090272E" w:rsidRPr="00AE5D2E" w:rsidRDefault="0090272E" w:rsidP="00FE286A">
      <w:pPr>
        <w:pStyle w:val="NormalWeb"/>
        <w:numPr>
          <w:ilvl w:val="0"/>
          <w:numId w:val="5"/>
        </w:numPr>
        <w:jc w:val="both"/>
        <w:rPr>
          <w:color w:val="000000" w:themeColor="text1"/>
        </w:rPr>
      </w:pPr>
      <w:proofErr w:type="spellStart"/>
      <w:r w:rsidRPr="00AE5D2E">
        <w:rPr>
          <w:color w:val="000000" w:themeColor="text1"/>
        </w:rPr>
        <w:t>Asiyai</w:t>
      </w:r>
      <w:proofErr w:type="spellEnd"/>
      <w:r w:rsidRPr="00AE5D2E">
        <w:rPr>
          <w:color w:val="000000" w:themeColor="text1"/>
        </w:rPr>
        <w:t xml:space="preserve">, R. I. (2014). Students’ perception of the condition of their classroom physical learning environment and its impact on their learning and motivation. </w:t>
      </w:r>
      <w:r w:rsidRPr="00AE5D2E">
        <w:rPr>
          <w:rStyle w:val="Emphasis"/>
          <w:color w:val="000000" w:themeColor="text1"/>
        </w:rPr>
        <w:t>College Student Journal, 48</w:t>
      </w:r>
      <w:r w:rsidRPr="00AE5D2E">
        <w:rPr>
          <w:color w:val="000000" w:themeColor="text1"/>
        </w:rPr>
        <w:t>(4), 716–726.</w:t>
      </w:r>
    </w:p>
    <w:p w14:paraId="3F8D8A32" w14:textId="77777777" w:rsidR="0090272E" w:rsidRPr="00AE5D2E" w:rsidRDefault="0090272E" w:rsidP="00FE286A">
      <w:pPr>
        <w:pStyle w:val="NormalWeb"/>
        <w:numPr>
          <w:ilvl w:val="0"/>
          <w:numId w:val="5"/>
        </w:numPr>
        <w:jc w:val="both"/>
        <w:rPr>
          <w:color w:val="000000" w:themeColor="text1"/>
        </w:rPr>
      </w:pPr>
      <w:proofErr w:type="spellStart"/>
      <w:r w:rsidRPr="00AE5D2E">
        <w:rPr>
          <w:color w:val="000000" w:themeColor="text1"/>
        </w:rPr>
        <w:t>Bual</w:t>
      </w:r>
      <w:proofErr w:type="spellEnd"/>
      <w:r w:rsidRPr="00AE5D2E">
        <w:rPr>
          <w:color w:val="000000" w:themeColor="text1"/>
        </w:rPr>
        <w:t xml:space="preserve">, J. M., &amp; Madrigal, D. V. (2023). Teaching strategies and student engagement in </w:t>
      </w:r>
      <w:proofErr w:type="spellStart"/>
      <w:r w:rsidRPr="00AE5D2E">
        <w:rPr>
          <w:color w:val="000000" w:themeColor="text1"/>
        </w:rPr>
        <w:t>Araling</w:t>
      </w:r>
      <w:proofErr w:type="spellEnd"/>
      <w:r w:rsidRPr="00AE5D2E">
        <w:rPr>
          <w:color w:val="000000" w:themeColor="text1"/>
        </w:rPr>
        <w:t xml:space="preserve"> </w:t>
      </w:r>
      <w:proofErr w:type="spellStart"/>
      <w:r w:rsidRPr="00AE5D2E">
        <w:rPr>
          <w:color w:val="000000" w:themeColor="text1"/>
        </w:rPr>
        <w:t>Panlipunan</w:t>
      </w:r>
      <w:proofErr w:type="spellEnd"/>
      <w:r w:rsidRPr="00AE5D2E">
        <w:rPr>
          <w:color w:val="000000" w:themeColor="text1"/>
        </w:rPr>
        <w:t xml:space="preserve">: Basis for instructional enhancement. </w:t>
      </w:r>
      <w:r w:rsidRPr="00AE5D2E">
        <w:rPr>
          <w:rStyle w:val="Emphasis"/>
          <w:color w:val="000000" w:themeColor="text1"/>
        </w:rPr>
        <w:t>Philippine Social Science Journal, 6</w:t>
      </w:r>
      <w:r w:rsidRPr="00AE5D2E">
        <w:rPr>
          <w:color w:val="000000" w:themeColor="text1"/>
        </w:rPr>
        <w:t>(2), 55–67.</w:t>
      </w:r>
    </w:p>
    <w:p w14:paraId="33FB7A14" w14:textId="77777777" w:rsidR="0090272E" w:rsidRPr="00AE5D2E" w:rsidRDefault="0090272E" w:rsidP="00FE286A">
      <w:pPr>
        <w:pStyle w:val="NormalWeb"/>
        <w:numPr>
          <w:ilvl w:val="0"/>
          <w:numId w:val="5"/>
        </w:numPr>
        <w:jc w:val="both"/>
        <w:rPr>
          <w:color w:val="000000" w:themeColor="text1"/>
        </w:rPr>
      </w:pPr>
      <w:proofErr w:type="spellStart"/>
      <w:r w:rsidRPr="00AE5D2E">
        <w:rPr>
          <w:color w:val="000000" w:themeColor="text1"/>
        </w:rPr>
        <w:t>Byiringiro</w:t>
      </w:r>
      <w:proofErr w:type="spellEnd"/>
      <w:r w:rsidRPr="00AE5D2E">
        <w:rPr>
          <w:color w:val="000000" w:themeColor="text1"/>
        </w:rPr>
        <w:t xml:space="preserve">, E. (2023). Effects of classroom seating arrangement on the academic performance in mathematics of students in public day schools in </w:t>
      </w:r>
      <w:proofErr w:type="spellStart"/>
      <w:r w:rsidRPr="00AE5D2E">
        <w:rPr>
          <w:color w:val="000000" w:themeColor="text1"/>
        </w:rPr>
        <w:t>Musanze</w:t>
      </w:r>
      <w:proofErr w:type="spellEnd"/>
      <w:r w:rsidRPr="00AE5D2E">
        <w:rPr>
          <w:color w:val="000000" w:themeColor="text1"/>
        </w:rPr>
        <w:t xml:space="preserve"> District, Rwanda. </w:t>
      </w:r>
      <w:r w:rsidRPr="00AE5D2E">
        <w:rPr>
          <w:rStyle w:val="Emphasis"/>
          <w:color w:val="000000" w:themeColor="text1"/>
        </w:rPr>
        <w:t>Journal of Research Innovation and Implications in Education, 7</w:t>
      </w:r>
      <w:r w:rsidRPr="00AE5D2E">
        <w:rPr>
          <w:color w:val="000000" w:themeColor="text1"/>
        </w:rPr>
        <w:t xml:space="preserve">(4), 704–710. </w:t>
      </w:r>
      <w:hyperlink r:id="rId10" w:tgtFrame="_new" w:history="1">
        <w:r w:rsidRPr="00AE5D2E">
          <w:rPr>
            <w:rStyle w:val="Hyperlink"/>
            <w:color w:val="000000" w:themeColor="text1"/>
            <w:u w:val="none"/>
          </w:rPr>
          <w:t>https://doi.org/10.59765/ylav4917</w:t>
        </w:r>
      </w:hyperlink>
    </w:p>
    <w:p w14:paraId="518729E8" w14:textId="77777777" w:rsidR="0090272E" w:rsidRPr="00AE5D2E" w:rsidRDefault="0090272E" w:rsidP="00FE286A">
      <w:pPr>
        <w:pStyle w:val="NormalWeb"/>
        <w:numPr>
          <w:ilvl w:val="0"/>
          <w:numId w:val="5"/>
        </w:numPr>
        <w:jc w:val="both"/>
        <w:rPr>
          <w:color w:val="000000" w:themeColor="text1"/>
        </w:rPr>
      </w:pPr>
      <w:r w:rsidRPr="00AE5D2E">
        <w:rPr>
          <w:color w:val="000000" w:themeColor="text1"/>
        </w:rPr>
        <w:t xml:space="preserve">Dr. </w:t>
      </w:r>
      <w:proofErr w:type="spellStart"/>
      <w:r w:rsidRPr="00AE5D2E">
        <w:rPr>
          <w:color w:val="000000" w:themeColor="text1"/>
        </w:rPr>
        <w:t>Wali</w:t>
      </w:r>
      <w:proofErr w:type="spellEnd"/>
      <w:r w:rsidRPr="00AE5D2E">
        <w:rPr>
          <w:color w:val="000000" w:themeColor="text1"/>
        </w:rPr>
        <w:t xml:space="preserve">, Y., Dr. </w:t>
      </w:r>
      <w:proofErr w:type="spellStart"/>
      <w:r w:rsidRPr="00AE5D2E">
        <w:rPr>
          <w:color w:val="000000" w:themeColor="text1"/>
        </w:rPr>
        <w:t>Abulfathi</w:t>
      </w:r>
      <w:proofErr w:type="spellEnd"/>
      <w:r w:rsidRPr="00AE5D2E">
        <w:rPr>
          <w:color w:val="000000" w:themeColor="text1"/>
        </w:rPr>
        <w:t xml:space="preserve">, F. A., &amp; Dr. Mustapha, M. A. (2019). Impact of classroom environment on </w:t>
      </w:r>
      <w:proofErr w:type="spellStart"/>
      <w:proofErr w:type="gramStart"/>
      <w:r w:rsidRPr="00AE5D2E">
        <w:rPr>
          <w:color w:val="000000" w:themeColor="text1"/>
        </w:rPr>
        <w:t>students</w:t>
      </w:r>
      <w:proofErr w:type="spellEnd"/>
      <w:proofErr w:type="gramEnd"/>
      <w:r w:rsidRPr="00AE5D2E">
        <w:rPr>
          <w:color w:val="000000" w:themeColor="text1"/>
        </w:rPr>
        <w:t xml:space="preserve"> performance in English language. </w:t>
      </w:r>
      <w:hyperlink r:id="rId11" w:tgtFrame="_new" w:history="1">
        <w:r w:rsidRPr="00AE5D2E">
          <w:rPr>
            <w:rStyle w:val="Hyperlink"/>
            <w:color w:val="000000" w:themeColor="text1"/>
            <w:u w:val="none"/>
          </w:rPr>
          <w:t>https://core.ac.uk/download/pdf/234642712.pdf</w:t>
        </w:r>
      </w:hyperlink>
    </w:p>
    <w:p w14:paraId="495F7E8D" w14:textId="77777777" w:rsidR="0090272E" w:rsidRPr="00AE5D2E" w:rsidRDefault="0090272E" w:rsidP="00FE286A">
      <w:pPr>
        <w:pStyle w:val="NormalWeb"/>
        <w:numPr>
          <w:ilvl w:val="0"/>
          <w:numId w:val="5"/>
        </w:numPr>
        <w:jc w:val="both"/>
        <w:rPr>
          <w:color w:val="000000" w:themeColor="text1"/>
        </w:rPr>
      </w:pPr>
      <w:r w:rsidRPr="00AE5D2E">
        <w:rPr>
          <w:color w:val="000000" w:themeColor="text1"/>
        </w:rPr>
        <w:t xml:space="preserve">Fernandes, A. C., Huang, J., &amp; Rinaldo, V. (2011). Does where a student sits really matter? The impact of seating locations on student classroom learning. </w:t>
      </w:r>
      <w:r w:rsidRPr="00AE5D2E">
        <w:rPr>
          <w:rStyle w:val="Emphasis"/>
          <w:color w:val="000000" w:themeColor="text1"/>
        </w:rPr>
        <w:t>International Journal of Applied Educational Studies, 10</w:t>
      </w:r>
      <w:r w:rsidRPr="00AE5D2E">
        <w:rPr>
          <w:color w:val="000000" w:themeColor="text1"/>
        </w:rPr>
        <w:t>(1), 66–77.</w:t>
      </w:r>
    </w:p>
    <w:p w14:paraId="6F86B5D2" w14:textId="77777777" w:rsidR="0090272E" w:rsidRPr="00AE5D2E" w:rsidRDefault="0090272E" w:rsidP="00FE286A">
      <w:pPr>
        <w:pStyle w:val="NormalWeb"/>
        <w:numPr>
          <w:ilvl w:val="0"/>
          <w:numId w:val="5"/>
        </w:numPr>
        <w:jc w:val="both"/>
        <w:rPr>
          <w:color w:val="000000" w:themeColor="text1"/>
        </w:rPr>
      </w:pPr>
      <w:r w:rsidRPr="00AE5D2E">
        <w:rPr>
          <w:color w:val="000000" w:themeColor="text1"/>
        </w:rPr>
        <w:t xml:space="preserve">Gómez, L., &amp; Ruiz, P. (2023). Active learning in economics through classroom layout redesign. </w:t>
      </w:r>
      <w:r w:rsidRPr="00AE5D2E">
        <w:rPr>
          <w:rStyle w:val="Emphasis"/>
          <w:color w:val="000000" w:themeColor="text1"/>
        </w:rPr>
        <w:t>Journal of Economic Education, 54</w:t>
      </w:r>
      <w:r w:rsidRPr="00AE5D2E">
        <w:rPr>
          <w:color w:val="000000" w:themeColor="text1"/>
        </w:rPr>
        <w:t>(3), 210–225.</w:t>
      </w:r>
    </w:p>
    <w:p w14:paraId="1DFA27E3" w14:textId="77777777" w:rsidR="0090272E" w:rsidRPr="00AE5D2E" w:rsidRDefault="0090272E" w:rsidP="00FE286A">
      <w:pPr>
        <w:pStyle w:val="NormalWeb"/>
        <w:numPr>
          <w:ilvl w:val="0"/>
          <w:numId w:val="5"/>
        </w:numPr>
        <w:jc w:val="both"/>
        <w:rPr>
          <w:color w:val="000000" w:themeColor="text1"/>
        </w:rPr>
      </w:pPr>
      <w:proofErr w:type="spellStart"/>
      <w:r w:rsidRPr="00AE5D2E">
        <w:rPr>
          <w:color w:val="000000" w:themeColor="text1"/>
        </w:rPr>
        <w:t>Gutierez</w:t>
      </w:r>
      <w:proofErr w:type="spellEnd"/>
      <w:r w:rsidRPr="00AE5D2E">
        <w:rPr>
          <w:color w:val="000000" w:themeColor="text1"/>
        </w:rPr>
        <w:t xml:space="preserve">, A. (2022). The effects of various classroom seating arrangements on English learners' academic achievement. </w:t>
      </w:r>
      <w:hyperlink r:id="rId12" w:tgtFrame="_new" w:history="1">
        <w:r w:rsidRPr="00AE5D2E">
          <w:rPr>
            <w:rStyle w:val="Hyperlink"/>
            <w:color w:val="000000" w:themeColor="text1"/>
            <w:u w:val="none"/>
          </w:rPr>
          <w:t>https://neiudc.neiu.edu/cgi/viewcontent.cgi?article=1031&amp;context=uhp-projects</w:t>
        </w:r>
      </w:hyperlink>
    </w:p>
    <w:p w14:paraId="20D8E6D7" w14:textId="77777777" w:rsidR="0090272E" w:rsidRPr="00AE5D2E" w:rsidRDefault="0090272E" w:rsidP="00FE286A">
      <w:pPr>
        <w:pStyle w:val="NormalWeb"/>
        <w:numPr>
          <w:ilvl w:val="0"/>
          <w:numId w:val="5"/>
        </w:numPr>
        <w:jc w:val="both"/>
        <w:rPr>
          <w:color w:val="000000" w:themeColor="text1"/>
        </w:rPr>
      </w:pPr>
      <w:proofErr w:type="spellStart"/>
      <w:r w:rsidRPr="00AE5D2E">
        <w:rPr>
          <w:color w:val="000000" w:themeColor="text1"/>
        </w:rPr>
        <w:lastRenderedPageBreak/>
        <w:t>Ibiloye</w:t>
      </w:r>
      <w:proofErr w:type="spellEnd"/>
      <w:r w:rsidRPr="00AE5D2E">
        <w:rPr>
          <w:color w:val="000000" w:themeColor="text1"/>
        </w:rPr>
        <w:t xml:space="preserve">, A. C. (2021, July 15). Considering students sitting and three effective classroom seats arrangements. </w:t>
      </w:r>
      <w:hyperlink r:id="rId13" w:tgtFrame="_new" w:history="1">
        <w:r w:rsidRPr="00AE5D2E">
          <w:rPr>
            <w:rStyle w:val="Hyperlink"/>
            <w:color w:val="000000" w:themeColor="text1"/>
            <w:u w:val="none"/>
          </w:rPr>
          <w:t>https://files.osf.io/v1/resources/7c4qt/providers/osfstorage/60f065ab0316ba00763d0add?format=pdf&amp;action=download&amp;direct&amp;version=2</w:t>
        </w:r>
      </w:hyperlink>
    </w:p>
    <w:p w14:paraId="3C1C8280" w14:textId="77777777" w:rsidR="0090272E" w:rsidRPr="00AE5D2E" w:rsidRDefault="0090272E" w:rsidP="00FE286A">
      <w:pPr>
        <w:pStyle w:val="NormalWeb"/>
        <w:numPr>
          <w:ilvl w:val="0"/>
          <w:numId w:val="5"/>
        </w:numPr>
        <w:jc w:val="both"/>
        <w:rPr>
          <w:color w:val="000000" w:themeColor="text1"/>
        </w:rPr>
      </w:pPr>
      <w:proofErr w:type="spellStart"/>
      <w:r w:rsidRPr="00AE5D2E">
        <w:rPr>
          <w:color w:val="000000" w:themeColor="text1"/>
        </w:rPr>
        <w:t>InnerDrive</w:t>
      </w:r>
      <w:proofErr w:type="spellEnd"/>
      <w:r w:rsidRPr="00AE5D2E">
        <w:rPr>
          <w:color w:val="000000" w:themeColor="text1"/>
        </w:rPr>
        <w:t xml:space="preserve"> Ltd. (2022). The science of classroom seating arrangements. </w:t>
      </w:r>
      <w:hyperlink r:id="rId14" w:tgtFrame="_new" w:history="1">
        <w:r w:rsidRPr="00AE5D2E">
          <w:rPr>
            <w:rStyle w:val="Hyperlink"/>
            <w:color w:val="000000" w:themeColor="text1"/>
            <w:u w:val="none"/>
          </w:rPr>
          <w:t>https://www.innerdrive.co.uk</w:t>
        </w:r>
      </w:hyperlink>
    </w:p>
    <w:p w14:paraId="2CC72B6A" w14:textId="77777777" w:rsidR="0090272E" w:rsidRPr="00AE5D2E" w:rsidRDefault="0090272E" w:rsidP="00FE286A">
      <w:pPr>
        <w:pStyle w:val="NormalWeb"/>
        <w:numPr>
          <w:ilvl w:val="0"/>
          <w:numId w:val="5"/>
        </w:numPr>
        <w:jc w:val="both"/>
        <w:rPr>
          <w:color w:val="000000" w:themeColor="text1"/>
        </w:rPr>
      </w:pPr>
      <w:r w:rsidRPr="00AE5D2E">
        <w:rPr>
          <w:color w:val="000000" w:themeColor="text1"/>
        </w:rPr>
        <w:t xml:space="preserve">Jones, R. D. (1999). Student engagement and participation in the classroom. </w:t>
      </w:r>
      <w:r w:rsidRPr="00AE5D2E">
        <w:rPr>
          <w:rStyle w:val="Emphasis"/>
          <w:color w:val="000000" w:themeColor="text1"/>
        </w:rPr>
        <w:t>Educational Leadership, 56</w:t>
      </w:r>
      <w:r w:rsidRPr="00AE5D2E">
        <w:rPr>
          <w:color w:val="000000" w:themeColor="text1"/>
        </w:rPr>
        <w:t>(4), 60–65.</w:t>
      </w:r>
    </w:p>
    <w:p w14:paraId="6FD93CD9" w14:textId="77777777" w:rsidR="0090272E" w:rsidRPr="00AE5D2E" w:rsidRDefault="0090272E" w:rsidP="00FE286A">
      <w:pPr>
        <w:pStyle w:val="NormalWeb"/>
        <w:numPr>
          <w:ilvl w:val="0"/>
          <w:numId w:val="5"/>
        </w:numPr>
        <w:jc w:val="both"/>
        <w:rPr>
          <w:color w:val="000000" w:themeColor="text1"/>
        </w:rPr>
      </w:pPr>
      <w:r w:rsidRPr="00AE5D2E">
        <w:rPr>
          <w:color w:val="000000" w:themeColor="text1"/>
        </w:rPr>
        <w:t xml:space="preserve">Kelly, C. (2021). “Social studies </w:t>
      </w:r>
      <w:proofErr w:type="gramStart"/>
      <w:r w:rsidRPr="00AE5D2E">
        <w:rPr>
          <w:color w:val="000000" w:themeColor="text1"/>
        </w:rPr>
        <w:t>is</w:t>
      </w:r>
      <w:proofErr w:type="gramEnd"/>
      <w:r w:rsidRPr="00AE5D2E">
        <w:rPr>
          <w:color w:val="000000" w:themeColor="text1"/>
        </w:rPr>
        <w:t xml:space="preserve"> boring”: The role of student attitude and achievement in the middle school social studies classroom. </w:t>
      </w:r>
      <w:hyperlink r:id="rId15" w:tgtFrame="_new" w:history="1">
        <w:r w:rsidRPr="00AE5D2E">
          <w:rPr>
            <w:rStyle w:val="Hyperlink"/>
            <w:color w:val="000000" w:themeColor="text1"/>
            <w:u w:val="none"/>
          </w:rPr>
          <w:t>https://etd.ohiolink.edu/apexprod/rws_etd/send_file/send?accession=oduhonors1620144135878313&amp;disposition=inline</w:t>
        </w:r>
      </w:hyperlink>
    </w:p>
    <w:p w14:paraId="7C004BA3" w14:textId="77777777" w:rsidR="0090272E" w:rsidRDefault="0090272E" w:rsidP="00FE286A">
      <w:pPr>
        <w:pStyle w:val="NormalWeb"/>
        <w:numPr>
          <w:ilvl w:val="0"/>
          <w:numId w:val="5"/>
        </w:numPr>
        <w:jc w:val="both"/>
      </w:pPr>
      <w:proofErr w:type="spellStart"/>
      <w:r>
        <w:t>Kemmis</w:t>
      </w:r>
      <w:proofErr w:type="spellEnd"/>
      <w:r>
        <w:t xml:space="preserve">, S., McTaggart, R., &amp; Nixon, R. (2014). </w:t>
      </w:r>
      <w:r>
        <w:rPr>
          <w:rStyle w:val="Emphasis"/>
        </w:rPr>
        <w:t>The action research planner: Doing critical participatory action research</w:t>
      </w:r>
      <w:r>
        <w:t>. Springer Singapore.</w:t>
      </w:r>
    </w:p>
    <w:p w14:paraId="3262A154" w14:textId="77777777" w:rsidR="0090272E" w:rsidRPr="00AE5D2E" w:rsidRDefault="0090272E" w:rsidP="00FE286A">
      <w:pPr>
        <w:pStyle w:val="NormalWeb"/>
        <w:numPr>
          <w:ilvl w:val="0"/>
          <w:numId w:val="5"/>
        </w:numPr>
        <w:jc w:val="both"/>
        <w:rPr>
          <w:color w:val="000000" w:themeColor="text1"/>
        </w:rPr>
      </w:pPr>
      <w:r w:rsidRPr="00AE5D2E">
        <w:rPr>
          <w:color w:val="000000" w:themeColor="text1"/>
        </w:rPr>
        <w:t xml:space="preserve">Li, X., &amp; Santos, M. R. (2024). Classroom interaction and seating design in Asian secondary schools: A systematic review. </w:t>
      </w:r>
      <w:r w:rsidRPr="00AE5D2E">
        <w:rPr>
          <w:rStyle w:val="Emphasis"/>
          <w:color w:val="000000" w:themeColor="text1"/>
        </w:rPr>
        <w:t>Asia-Pacific Education Researcher, 33</w:t>
      </w:r>
      <w:r w:rsidRPr="00AE5D2E">
        <w:rPr>
          <w:color w:val="000000" w:themeColor="text1"/>
        </w:rPr>
        <w:t>(2), 145–160.</w:t>
      </w:r>
    </w:p>
    <w:p w14:paraId="0CD3E9C3" w14:textId="77777777" w:rsidR="0090272E" w:rsidRPr="00AE5D2E" w:rsidRDefault="0090272E" w:rsidP="00FE286A">
      <w:pPr>
        <w:pStyle w:val="NormalWeb"/>
        <w:numPr>
          <w:ilvl w:val="0"/>
          <w:numId w:val="5"/>
        </w:numPr>
        <w:jc w:val="both"/>
        <w:rPr>
          <w:color w:val="000000" w:themeColor="text1"/>
        </w:rPr>
      </w:pPr>
      <w:proofErr w:type="spellStart"/>
      <w:r w:rsidRPr="00AE5D2E">
        <w:rPr>
          <w:color w:val="000000" w:themeColor="text1"/>
        </w:rPr>
        <w:t>Mabiog</w:t>
      </w:r>
      <w:proofErr w:type="spellEnd"/>
      <w:r w:rsidRPr="00AE5D2E">
        <w:rPr>
          <w:color w:val="000000" w:themeColor="text1"/>
        </w:rPr>
        <w:t xml:space="preserve">, C., </w:t>
      </w:r>
      <w:proofErr w:type="spellStart"/>
      <w:r w:rsidRPr="00AE5D2E">
        <w:rPr>
          <w:color w:val="000000" w:themeColor="text1"/>
        </w:rPr>
        <w:t>Luig</w:t>
      </w:r>
      <w:proofErr w:type="spellEnd"/>
      <w:r w:rsidRPr="00AE5D2E">
        <w:rPr>
          <w:color w:val="000000" w:themeColor="text1"/>
        </w:rPr>
        <w:t xml:space="preserve">, S. M., Miranda, J. P., &amp; Francia, R. (2019). Seating arrangement towards effective learning. </w:t>
      </w:r>
      <w:hyperlink r:id="rId16" w:tgtFrame="_new" w:history="1">
        <w:r w:rsidRPr="00AE5D2E">
          <w:rPr>
            <w:rStyle w:val="Hyperlink"/>
            <w:color w:val="000000" w:themeColor="text1"/>
            <w:u w:val="none"/>
          </w:rPr>
          <w:t>https://d1wqtxts1xzle7.cloudfront.net/58796100/Seating_Arrangement_towards_Effective_Learning-libre.pdf</w:t>
        </w:r>
      </w:hyperlink>
    </w:p>
    <w:p w14:paraId="38BB93F0" w14:textId="77777777" w:rsidR="0090272E" w:rsidRPr="00AE5D2E" w:rsidRDefault="0090272E" w:rsidP="00FE286A">
      <w:pPr>
        <w:pStyle w:val="NormalWeb"/>
        <w:numPr>
          <w:ilvl w:val="0"/>
          <w:numId w:val="5"/>
        </w:numPr>
        <w:jc w:val="both"/>
        <w:rPr>
          <w:color w:val="000000" w:themeColor="text1"/>
        </w:rPr>
      </w:pPr>
      <w:r w:rsidRPr="00AE5D2E">
        <w:rPr>
          <w:color w:val="000000" w:themeColor="text1"/>
        </w:rPr>
        <w:t xml:space="preserve">Mustapha, S. M., Rahman, N. S., &amp; </w:t>
      </w:r>
      <w:proofErr w:type="spellStart"/>
      <w:r w:rsidRPr="00AE5D2E">
        <w:rPr>
          <w:color w:val="000000" w:themeColor="text1"/>
        </w:rPr>
        <w:t>Yunu</w:t>
      </w:r>
      <w:proofErr w:type="spellEnd"/>
      <w:r w:rsidRPr="00AE5D2E">
        <w:rPr>
          <w:color w:val="000000" w:themeColor="text1"/>
        </w:rPr>
        <w:t xml:space="preserve">, M. M. (2010). Factors influencing classroom participation: A case study of Malaysian undergraduate students. </w:t>
      </w:r>
      <w:hyperlink r:id="rId17" w:tgtFrame="_new" w:history="1">
        <w:r w:rsidRPr="00AE5D2E">
          <w:rPr>
            <w:rStyle w:val="Hyperlink"/>
            <w:color w:val="000000" w:themeColor="text1"/>
            <w:u w:val="none"/>
          </w:rPr>
          <w:t>https://pdf.sciencedirectassets.com/277811/1-s2.0-S1877042810X00143/1-s2.0-S1877042810023943/main.pdf</w:t>
        </w:r>
      </w:hyperlink>
    </w:p>
    <w:p w14:paraId="0F273D93" w14:textId="77777777" w:rsidR="0090272E" w:rsidRPr="0090272E" w:rsidRDefault="0090272E" w:rsidP="00FE286A">
      <w:pPr>
        <w:pStyle w:val="NormalWeb"/>
        <w:numPr>
          <w:ilvl w:val="0"/>
          <w:numId w:val="5"/>
        </w:numPr>
        <w:jc w:val="both"/>
      </w:pPr>
      <w:proofErr w:type="spellStart"/>
      <w:r>
        <w:t>Nikolopoulou</w:t>
      </w:r>
      <w:proofErr w:type="spellEnd"/>
      <w:r>
        <w:t xml:space="preserve">, K. (2022, August 11). </w:t>
      </w:r>
      <w:r>
        <w:rPr>
          <w:rStyle w:val="Emphasis"/>
        </w:rPr>
        <w:t>What is purposive sampling? Definition &amp; examples</w:t>
      </w:r>
      <w:r>
        <w:t xml:space="preserve">. </w:t>
      </w:r>
      <w:proofErr w:type="spellStart"/>
      <w:r>
        <w:t>Scribbr</w:t>
      </w:r>
      <w:proofErr w:type="spellEnd"/>
      <w:r>
        <w:t>. https://www.scribbr.com/research-methods/purposive-sampling/</w:t>
      </w:r>
    </w:p>
    <w:p w14:paraId="6F71ECA4" w14:textId="77777777" w:rsidR="0090272E" w:rsidRPr="00AE5D2E" w:rsidRDefault="0090272E" w:rsidP="00FE286A">
      <w:pPr>
        <w:pStyle w:val="NormalWeb"/>
        <w:numPr>
          <w:ilvl w:val="0"/>
          <w:numId w:val="5"/>
        </w:numPr>
        <w:jc w:val="both"/>
        <w:rPr>
          <w:color w:val="000000" w:themeColor="text1"/>
        </w:rPr>
      </w:pPr>
      <w:r w:rsidRPr="00AE5D2E">
        <w:rPr>
          <w:color w:val="000000" w:themeColor="text1"/>
        </w:rPr>
        <w:t xml:space="preserve">Rands, M., &amp; </w:t>
      </w:r>
      <w:proofErr w:type="spellStart"/>
      <w:r w:rsidRPr="00AE5D2E">
        <w:rPr>
          <w:color w:val="000000" w:themeColor="text1"/>
        </w:rPr>
        <w:t>Gansemer</w:t>
      </w:r>
      <w:proofErr w:type="spellEnd"/>
      <w:r w:rsidRPr="00AE5D2E">
        <w:rPr>
          <w:color w:val="000000" w:themeColor="text1"/>
        </w:rPr>
        <w:t xml:space="preserve">, A. (2017). The room itself is active: How classroom design impacts student engagement. </w:t>
      </w:r>
      <w:hyperlink r:id="rId18" w:tgtFrame="_new" w:history="1">
        <w:r w:rsidRPr="00AE5D2E">
          <w:rPr>
            <w:rStyle w:val="Hyperlink"/>
            <w:color w:val="000000" w:themeColor="text1"/>
            <w:u w:val="none"/>
          </w:rPr>
          <w:t>https://files.eric.ed.gov/fulltext/EJ1152568.pdf</w:t>
        </w:r>
      </w:hyperlink>
    </w:p>
    <w:p w14:paraId="00905148" w14:textId="77777777" w:rsidR="0090272E" w:rsidRPr="00AE5D2E" w:rsidRDefault="0090272E" w:rsidP="00FE286A">
      <w:pPr>
        <w:pStyle w:val="NormalWeb"/>
        <w:numPr>
          <w:ilvl w:val="0"/>
          <w:numId w:val="5"/>
        </w:numPr>
        <w:jc w:val="both"/>
        <w:rPr>
          <w:color w:val="000000" w:themeColor="text1"/>
        </w:rPr>
      </w:pPr>
      <w:r w:rsidRPr="00AE5D2E">
        <w:rPr>
          <w:color w:val="000000" w:themeColor="text1"/>
        </w:rPr>
        <w:t xml:space="preserve">Riaz, H. M., &amp; </w:t>
      </w:r>
      <w:proofErr w:type="spellStart"/>
      <w:r w:rsidRPr="00AE5D2E">
        <w:rPr>
          <w:color w:val="000000" w:themeColor="text1"/>
        </w:rPr>
        <w:t>Asad</w:t>
      </w:r>
      <w:proofErr w:type="spellEnd"/>
      <w:r w:rsidRPr="00AE5D2E">
        <w:rPr>
          <w:color w:val="000000" w:themeColor="text1"/>
        </w:rPr>
        <w:t xml:space="preserve">, A. R. (2018). Effect of classroom learning environment on students' academic achievement in mathematics at secondary level. </w:t>
      </w:r>
      <w:hyperlink r:id="rId19" w:tgtFrame="_new" w:history="1">
        <w:r w:rsidRPr="00AE5D2E">
          <w:rPr>
            <w:rStyle w:val="Hyperlink"/>
            <w:color w:val="000000" w:themeColor="text1"/>
            <w:u w:val="none"/>
          </w:rPr>
          <w:t>https://files.eric.ed.gov/fulltext/EJ1209817.pdf</w:t>
        </w:r>
      </w:hyperlink>
    </w:p>
    <w:p w14:paraId="3B8AFAD1" w14:textId="77777777" w:rsidR="0090272E" w:rsidRPr="00AE5D2E" w:rsidRDefault="0090272E" w:rsidP="00FE286A">
      <w:pPr>
        <w:pStyle w:val="NormalWeb"/>
        <w:numPr>
          <w:ilvl w:val="0"/>
          <w:numId w:val="5"/>
        </w:numPr>
        <w:jc w:val="both"/>
        <w:rPr>
          <w:color w:val="000000" w:themeColor="text1"/>
        </w:rPr>
      </w:pPr>
      <w:r w:rsidRPr="00AE5D2E">
        <w:rPr>
          <w:color w:val="000000" w:themeColor="text1"/>
        </w:rPr>
        <w:t xml:space="preserve">Rocca, K. A. (2010). Student participation in the college classroom: An extended multidisciplinary literature review. </w:t>
      </w:r>
      <w:r w:rsidRPr="00AE5D2E">
        <w:rPr>
          <w:rStyle w:val="Emphasis"/>
          <w:color w:val="000000" w:themeColor="text1"/>
        </w:rPr>
        <w:t>Communication Education, 59</w:t>
      </w:r>
      <w:r w:rsidRPr="00AE5D2E">
        <w:rPr>
          <w:color w:val="000000" w:themeColor="text1"/>
        </w:rPr>
        <w:t xml:space="preserve">(2), 185–213. </w:t>
      </w:r>
      <w:hyperlink r:id="rId20" w:tgtFrame="_new" w:history="1">
        <w:r w:rsidRPr="00AE5D2E">
          <w:rPr>
            <w:rStyle w:val="Hyperlink"/>
            <w:color w:val="000000" w:themeColor="text1"/>
            <w:u w:val="none"/>
          </w:rPr>
          <w:t>https://doi.org/10.1080/03634520903505936</w:t>
        </w:r>
      </w:hyperlink>
    </w:p>
    <w:p w14:paraId="5DC4FE97" w14:textId="77777777" w:rsidR="0090272E" w:rsidRPr="00AE5D2E" w:rsidRDefault="0090272E" w:rsidP="00FE286A">
      <w:pPr>
        <w:pStyle w:val="NormalWeb"/>
        <w:numPr>
          <w:ilvl w:val="0"/>
          <w:numId w:val="5"/>
        </w:numPr>
        <w:jc w:val="both"/>
        <w:rPr>
          <w:color w:val="000000" w:themeColor="text1"/>
        </w:rPr>
      </w:pPr>
      <w:r w:rsidRPr="00AE5D2E">
        <w:rPr>
          <w:color w:val="000000" w:themeColor="text1"/>
        </w:rPr>
        <w:t xml:space="preserve">Rogers, K. (2020a). Flexible seating and student-centered learning environments. </w:t>
      </w:r>
      <w:r w:rsidRPr="00AE5D2E">
        <w:rPr>
          <w:rStyle w:val="Emphasis"/>
          <w:color w:val="000000" w:themeColor="text1"/>
        </w:rPr>
        <w:t>Journal of Classroom Innovation, 12</w:t>
      </w:r>
      <w:r w:rsidRPr="00AE5D2E">
        <w:rPr>
          <w:color w:val="000000" w:themeColor="text1"/>
        </w:rPr>
        <w:t>(1), 34–48.</w:t>
      </w:r>
    </w:p>
    <w:p w14:paraId="6967C3EA" w14:textId="77777777" w:rsidR="0090272E" w:rsidRPr="00AE5D2E" w:rsidRDefault="0090272E" w:rsidP="00FE286A">
      <w:pPr>
        <w:pStyle w:val="NormalWeb"/>
        <w:numPr>
          <w:ilvl w:val="0"/>
          <w:numId w:val="5"/>
        </w:numPr>
        <w:jc w:val="both"/>
        <w:rPr>
          <w:color w:val="000000" w:themeColor="text1"/>
        </w:rPr>
      </w:pPr>
      <w:r w:rsidRPr="00AE5D2E">
        <w:rPr>
          <w:color w:val="000000" w:themeColor="text1"/>
        </w:rPr>
        <w:t xml:space="preserve">Rogers, K. (2020b). The effects of classroom seating layouts on participation and assessment performance in a </w:t>
      </w:r>
      <w:proofErr w:type="gramStart"/>
      <w:r w:rsidRPr="00AE5D2E">
        <w:rPr>
          <w:color w:val="000000" w:themeColor="text1"/>
        </w:rPr>
        <w:t>fourth grade</w:t>
      </w:r>
      <w:proofErr w:type="gramEnd"/>
      <w:r w:rsidRPr="00AE5D2E">
        <w:rPr>
          <w:color w:val="000000" w:themeColor="text1"/>
        </w:rPr>
        <w:t xml:space="preserve"> classroom. </w:t>
      </w:r>
      <w:r w:rsidRPr="00AE5D2E">
        <w:rPr>
          <w:rStyle w:val="Emphasis"/>
          <w:color w:val="000000" w:themeColor="text1"/>
        </w:rPr>
        <w:t>Journal of Learning Spaces, 9</w:t>
      </w:r>
      <w:r w:rsidRPr="00AE5D2E">
        <w:rPr>
          <w:color w:val="000000" w:themeColor="text1"/>
        </w:rPr>
        <w:t xml:space="preserve">(1). </w:t>
      </w:r>
      <w:hyperlink r:id="rId21" w:tgtFrame="_new" w:history="1">
        <w:r w:rsidRPr="00AE5D2E">
          <w:rPr>
            <w:rStyle w:val="Hyperlink"/>
            <w:color w:val="000000" w:themeColor="text1"/>
            <w:u w:val="none"/>
          </w:rPr>
          <w:t>https://doi.org/10.1016/j.learningspaces.2020.01.001</w:t>
        </w:r>
      </w:hyperlink>
    </w:p>
    <w:p w14:paraId="4CD3D8C6" w14:textId="77777777" w:rsidR="0090272E" w:rsidRPr="00AE5D2E" w:rsidRDefault="0090272E" w:rsidP="00FE286A">
      <w:pPr>
        <w:pStyle w:val="NormalWeb"/>
        <w:numPr>
          <w:ilvl w:val="0"/>
          <w:numId w:val="5"/>
        </w:numPr>
        <w:jc w:val="both"/>
        <w:rPr>
          <w:color w:val="000000" w:themeColor="text1"/>
        </w:rPr>
      </w:pPr>
      <w:r w:rsidRPr="00AE5D2E">
        <w:rPr>
          <w:color w:val="000000" w:themeColor="text1"/>
        </w:rPr>
        <w:t xml:space="preserve">Steve, M., &amp; Richard, L. (2013). Classroom environment and student motivation: A behavioral perspective. </w:t>
      </w:r>
      <w:r w:rsidRPr="00AE5D2E">
        <w:rPr>
          <w:rStyle w:val="Emphasis"/>
          <w:color w:val="000000" w:themeColor="text1"/>
        </w:rPr>
        <w:t>Educational Psychology Journal, 23</w:t>
      </w:r>
      <w:r w:rsidRPr="00AE5D2E">
        <w:rPr>
          <w:color w:val="000000" w:themeColor="text1"/>
        </w:rPr>
        <w:t>(2), 101–115.</w:t>
      </w:r>
    </w:p>
    <w:p w14:paraId="76300BED" w14:textId="77777777" w:rsidR="0090272E" w:rsidRPr="00AE5D2E" w:rsidRDefault="0090272E" w:rsidP="00FE286A">
      <w:pPr>
        <w:pStyle w:val="NormalWeb"/>
        <w:numPr>
          <w:ilvl w:val="0"/>
          <w:numId w:val="5"/>
        </w:numPr>
        <w:jc w:val="both"/>
        <w:rPr>
          <w:color w:val="000000" w:themeColor="text1"/>
        </w:rPr>
      </w:pPr>
      <w:proofErr w:type="spellStart"/>
      <w:r w:rsidRPr="00AE5D2E">
        <w:rPr>
          <w:color w:val="000000" w:themeColor="text1"/>
        </w:rPr>
        <w:t>Susak</w:t>
      </w:r>
      <w:proofErr w:type="spellEnd"/>
      <w:r w:rsidRPr="00AE5D2E">
        <w:rPr>
          <w:color w:val="000000" w:themeColor="text1"/>
        </w:rPr>
        <w:t xml:space="preserve">, M. (2016). Factors that affect classroom participation. </w:t>
      </w:r>
      <w:hyperlink r:id="rId22" w:tgtFrame="_new" w:history="1">
        <w:r w:rsidRPr="00AE5D2E">
          <w:rPr>
            <w:rStyle w:val="Hyperlink"/>
            <w:color w:val="000000" w:themeColor="text1"/>
            <w:u w:val="none"/>
          </w:rPr>
          <w:t>https://scholarworks.rit.edu/cgi/viewcontent.cgi?article=10526&amp;context=theses</w:t>
        </w:r>
      </w:hyperlink>
    </w:p>
    <w:p w14:paraId="2C4687CC" w14:textId="77777777" w:rsidR="0090272E" w:rsidRPr="00AE5D2E" w:rsidRDefault="0090272E" w:rsidP="00FE286A">
      <w:pPr>
        <w:pStyle w:val="NormalWeb"/>
        <w:numPr>
          <w:ilvl w:val="0"/>
          <w:numId w:val="5"/>
        </w:numPr>
        <w:jc w:val="both"/>
        <w:rPr>
          <w:color w:val="000000" w:themeColor="text1"/>
        </w:rPr>
      </w:pPr>
      <w:r w:rsidRPr="00AE5D2E">
        <w:rPr>
          <w:color w:val="000000" w:themeColor="text1"/>
        </w:rPr>
        <w:t>Tedesco-</w:t>
      </w:r>
      <w:proofErr w:type="spellStart"/>
      <w:r w:rsidRPr="00AE5D2E">
        <w:rPr>
          <w:color w:val="000000" w:themeColor="text1"/>
        </w:rPr>
        <w:t>Schneck</w:t>
      </w:r>
      <w:proofErr w:type="spellEnd"/>
      <w:r w:rsidRPr="00AE5D2E">
        <w:rPr>
          <w:color w:val="000000" w:themeColor="text1"/>
        </w:rPr>
        <w:t xml:space="preserve">, M. (2016). Factors that influence classroom participation of junior and senior level nursing students. </w:t>
      </w:r>
      <w:hyperlink r:id="rId23" w:tgtFrame="_new" w:history="1">
        <w:r w:rsidRPr="00AE5D2E">
          <w:rPr>
            <w:rStyle w:val="Hyperlink"/>
            <w:color w:val="000000" w:themeColor="text1"/>
            <w:u w:val="none"/>
          </w:rPr>
          <w:t>https://digitalcommons.library.umaine.edu/cgi/viewcontent.cgi?article=3456&amp;context=etd</w:t>
        </w:r>
      </w:hyperlink>
    </w:p>
    <w:p w14:paraId="28D46AF6" w14:textId="77777777" w:rsidR="0090272E" w:rsidRPr="00AE5D2E" w:rsidRDefault="0090272E" w:rsidP="00FE286A">
      <w:pPr>
        <w:pStyle w:val="NormalWeb"/>
        <w:numPr>
          <w:ilvl w:val="0"/>
          <w:numId w:val="5"/>
        </w:numPr>
        <w:jc w:val="both"/>
        <w:rPr>
          <w:color w:val="000000" w:themeColor="text1"/>
        </w:rPr>
      </w:pPr>
      <w:proofErr w:type="spellStart"/>
      <w:r w:rsidRPr="00AE5D2E">
        <w:rPr>
          <w:color w:val="000000" w:themeColor="text1"/>
        </w:rPr>
        <w:lastRenderedPageBreak/>
        <w:t>Trila</w:t>
      </w:r>
      <w:proofErr w:type="spellEnd"/>
      <w:r w:rsidRPr="00AE5D2E">
        <w:rPr>
          <w:color w:val="000000" w:themeColor="text1"/>
        </w:rPr>
        <w:t xml:space="preserve">, A., &amp; Anwar, K. (2019). Classroom seating arrangement and its impact on student engagement. </w:t>
      </w:r>
      <w:r w:rsidRPr="00AE5D2E">
        <w:rPr>
          <w:rStyle w:val="Emphasis"/>
          <w:color w:val="000000" w:themeColor="text1"/>
        </w:rPr>
        <w:t>International Journal of Instruction, 12</w:t>
      </w:r>
      <w:r w:rsidRPr="00AE5D2E">
        <w:rPr>
          <w:color w:val="000000" w:themeColor="text1"/>
        </w:rPr>
        <w:t>(1), 345–360.</w:t>
      </w:r>
    </w:p>
    <w:p w14:paraId="78182EA3" w14:textId="77777777" w:rsidR="0090272E" w:rsidRPr="00AE5D2E" w:rsidRDefault="0090272E" w:rsidP="00FE286A">
      <w:pPr>
        <w:pStyle w:val="NormalWeb"/>
        <w:numPr>
          <w:ilvl w:val="0"/>
          <w:numId w:val="5"/>
        </w:numPr>
        <w:jc w:val="both"/>
        <w:rPr>
          <w:color w:val="000000" w:themeColor="text1"/>
        </w:rPr>
      </w:pPr>
      <w:r w:rsidRPr="00AE5D2E">
        <w:rPr>
          <w:color w:val="000000" w:themeColor="text1"/>
        </w:rPr>
        <w:t xml:space="preserve">Umar, A. M. (2017). Classroom ecology and student participation in secondary schools. </w:t>
      </w:r>
      <w:r w:rsidRPr="00AE5D2E">
        <w:rPr>
          <w:rStyle w:val="Emphasis"/>
          <w:color w:val="000000" w:themeColor="text1"/>
        </w:rPr>
        <w:t>Journal of Educational Practice, 8</w:t>
      </w:r>
      <w:r w:rsidRPr="00AE5D2E">
        <w:rPr>
          <w:color w:val="000000" w:themeColor="text1"/>
        </w:rPr>
        <w:t>(6), 112–118.</w:t>
      </w:r>
    </w:p>
    <w:p w14:paraId="52C22A29" w14:textId="77777777" w:rsidR="0090272E" w:rsidRPr="00AE5D2E" w:rsidRDefault="0090272E" w:rsidP="00FE286A">
      <w:pPr>
        <w:pStyle w:val="NormalWeb"/>
        <w:numPr>
          <w:ilvl w:val="0"/>
          <w:numId w:val="5"/>
        </w:numPr>
        <w:jc w:val="both"/>
        <w:rPr>
          <w:color w:val="000000" w:themeColor="text1"/>
        </w:rPr>
      </w:pPr>
      <w:proofErr w:type="spellStart"/>
      <w:r w:rsidRPr="00AE5D2E">
        <w:rPr>
          <w:color w:val="000000" w:themeColor="text1"/>
        </w:rPr>
        <w:t>Wannarka</w:t>
      </w:r>
      <w:proofErr w:type="spellEnd"/>
      <w:r w:rsidRPr="00AE5D2E">
        <w:rPr>
          <w:color w:val="000000" w:themeColor="text1"/>
        </w:rPr>
        <w:t xml:space="preserve">, R., &amp; Ruhl, K. (2008). Seating arrangements that promote positive academic and </w:t>
      </w:r>
      <w:proofErr w:type="spellStart"/>
      <w:r w:rsidRPr="00AE5D2E">
        <w:rPr>
          <w:color w:val="000000" w:themeColor="text1"/>
        </w:rPr>
        <w:t>behavioural</w:t>
      </w:r>
      <w:proofErr w:type="spellEnd"/>
      <w:r w:rsidRPr="00AE5D2E">
        <w:rPr>
          <w:color w:val="000000" w:themeColor="text1"/>
        </w:rPr>
        <w:t xml:space="preserve"> outcomes: A review of empirical research. </w:t>
      </w:r>
      <w:r w:rsidRPr="00AE5D2E">
        <w:rPr>
          <w:rStyle w:val="Emphasis"/>
          <w:color w:val="000000" w:themeColor="text1"/>
        </w:rPr>
        <w:t>Support for Learning, 23</w:t>
      </w:r>
      <w:r w:rsidRPr="00AE5D2E">
        <w:rPr>
          <w:color w:val="000000" w:themeColor="text1"/>
        </w:rPr>
        <w:t xml:space="preserve">(2), 89–93. </w:t>
      </w:r>
      <w:hyperlink r:id="rId24" w:tgtFrame="_new" w:history="1">
        <w:r w:rsidRPr="00AE5D2E">
          <w:rPr>
            <w:rStyle w:val="Hyperlink"/>
            <w:color w:val="000000" w:themeColor="text1"/>
            <w:u w:val="none"/>
          </w:rPr>
          <w:t>https://doi.org/10.1111/j.1467-9604.2008.00375.x</w:t>
        </w:r>
      </w:hyperlink>
    </w:p>
    <w:p w14:paraId="7DD845FA" w14:textId="77777777" w:rsidR="0090272E" w:rsidRPr="00AE5D2E" w:rsidRDefault="0090272E" w:rsidP="00FE286A">
      <w:pPr>
        <w:pStyle w:val="NormalWeb"/>
        <w:numPr>
          <w:ilvl w:val="0"/>
          <w:numId w:val="5"/>
        </w:numPr>
        <w:jc w:val="both"/>
        <w:rPr>
          <w:color w:val="000000" w:themeColor="text1"/>
        </w:rPr>
      </w:pPr>
      <w:proofErr w:type="spellStart"/>
      <w:r w:rsidRPr="00AE5D2E">
        <w:rPr>
          <w:color w:val="000000" w:themeColor="text1"/>
        </w:rPr>
        <w:t>Wanniarachchi</w:t>
      </w:r>
      <w:proofErr w:type="spellEnd"/>
      <w:r w:rsidRPr="00AE5D2E">
        <w:rPr>
          <w:color w:val="000000" w:themeColor="text1"/>
        </w:rPr>
        <w:t xml:space="preserve">, W. A. M. (2022). The effect of herringbone seating arrangement on student participation in social studies classrooms. </w:t>
      </w:r>
      <w:r w:rsidRPr="00AE5D2E">
        <w:rPr>
          <w:rStyle w:val="Emphasis"/>
          <w:color w:val="000000" w:themeColor="text1"/>
        </w:rPr>
        <w:t>International Journal of Educational Research, 10</w:t>
      </w:r>
      <w:r w:rsidRPr="00AE5D2E">
        <w:rPr>
          <w:color w:val="000000" w:themeColor="text1"/>
        </w:rPr>
        <w:t>(2), 77–90.</w:t>
      </w:r>
    </w:p>
    <w:p w14:paraId="6D0174EA" w14:textId="77777777" w:rsidR="0090272E" w:rsidRPr="00AE5D2E" w:rsidRDefault="0090272E" w:rsidP="00FE286A">
      <w:pPr>
        <w:pStyle w:val="NormalWeb"/>
        <w:numPr>
          <w:ilvl w:val="0"/>
          <w:numId w:val="5"/>
        </w:numPr>
        <w:jc w:val="both"/>
        <w:rPr>
          <w:color w:val="000000" w:themeColor="text1"/>
        </w:rPr>
      </w:pPr>
      <w:proofErr w:type="spellStart"/>
      <w:r w:rsidRPr="00AE5D2E">
        <w:rPr>
          <w:color w:val="000000" w:themeColor="text1"/>
        </w:rPr>
        <w:t>Wasnock</w:t>
      </w:r>
      <w:proofErr w:type="spellEnd"/>
      <w:r w:rsidRPr="00AE5D2E">
        <w:rPr>
          <w:color w:val="000000" w:themeColor="text1"/>
        </w:rPr>
        <w:t xml:space="preserve">, P. (2010). Classroom environment: Emphasis on seating arrangement. </w:t>
      </w:r>
      <w:hyperlink r:id="rId25" w:tgtFrame="_new" w:history="1">
        <w:r w:rsidRPr="00AE5D2E">
          <w:rPr>
            <w:rStyle w:val="Hyperlink"/>
            <w:color w:val="000000" w:themeColor="text1"/>
            <w:u w:val="none"/>
          </w:rPr>
          <w:t>https://fisherpub.sjf.edu/cgi/viewcontent.cgi?referer=&amp;httpsredir=1&amp;article=1016&amp;context=mathcs_etd_masters</w:t>
        </w:r>
      </w:hyperlink>
    </w:p>
    <w:p w14:paraId="6BEF20D4" w14:textId="77777777" w:rsidR="0090272E" w:rsidRPr="00AE5D2E" w:rsidRDefault="0090272E" w:rsidP="00FE286A">
      <w:pPr>
        <w:pStyle w:val="NormalWeb"/>
        <w:numPr>
          <w:ilvl w:val="0"/>
          <w:numId w:val="5"/>
        </w:numPr>
        <w:jc w:val="both"/>
        <w:rPr>
          <w:color w:val="000000" w:themeColor="text1"/>
        </w:rPr>
      </w:pPr>
      <w:r w:rsidRPr="00AE5D2E">
        <w:rPr>
          <w:color w:val="000000" w:themeColor="text1"/>
        </w:rPr>
        <w:t xml:space="preserve">Weaver, R. R., &amp; Qi, J. (2005). Classroom organization and participation: College students’ perceptions. </w:t>
      </w:r>
      <w:r w:rsidRPr="00AE5D2E">
        <w:rPr>
          <w:rStyle w:val="Emphasis"/>
          <w:color w:val="000000" w:themeColor="text1"/>
        </w:rPr>
        <w:t>The Journal of Higher Education, 76</w:t>
      </w:r>
      <w:r w:rsidRPr="00AE5D2E">
        <w:rPr>
          <w:color w:val="000000" w:themeColor="text1"/>
        </w:rPr>
        <w:t xml:space="preserve">(5), 570–601. </w:t>
      </w:r>
      <w:hyperlink r:id="rId26" w:tgtFrame="_new" w:history="1">
        <w:r w:rsidRPr="00AE5D2E">
          <w:rPr>
            <w:rStyle w:val="Hyperlink"/>
            <w:color w:val="000000" w:themeColor="text1"/>
            <w:u w:val="none"/>
          </w:rPr>
          <w:t>https://doi.org/10.1080/00221546.2005.11772299</w:t>
        </w:r>
      </w:hyperlink>
    </w:p>
    <w:p w14:paraId="4FCB4D8A" w14:textId="77777777" w:rsidR="0090272E" w:rsidRPr="00AE5D2E" w:rsidRDefault="0090272E" w:rsidP="00FE286A">
      <w:pPr>
        <w:pStyle w:val="NormalWeb"/>
        <w:numPr>
          <w:ilvl w:val="0"/>
          <w:numId w:val="5"/>
        </w:numPr>
        <w:jc w:val="both"/>
        <w:rPr>
          <w:color w:val="000000" w:themeColor="text1"/>
        </w:rPr>
      </w:pPr>
      <w:proofErr w:type="spellStart"/>
      <w:r w:rsidRPr="00AE5D2E">
        <w:rPr>
          <w:color w:val="000000" w:themeColor="text1"/>
        </w:rPr>
        <w:t>Zerin</w:t>
      </w:r>
      <w:proofErr w:type="spellEnd"/>
      <w:r w:rsidRPr="00AE5D2E">
        <w:rPr>
          <w:color w:val="000000" w:themeColor="text1"/>
        </w:rPr>
        <w:t xml:space="preserve">, N. (2009). Classroom physical environment and its role in student learning. </w:t>
      </w:r>
      <w:r w:rsidRPr="00AE5D2E">
        <w:rPr>
          <w:rStyle w:val="Emphasis"/>
          <w:color w:val="000000" w:themeColor="text1"/>
        </w:rPr>
        <w:t>Educational Studies Review, 21</w:t>
      </w:r>
      <w:r w:rsidRPr="00AE5D2E">
        <w:rPr>
          <w:color w:val="000000" w:themeColor="text1"/>
        </w:rPr>
        <w:t>(3), 45–58.</w:t>
      </w:r>
    </w:p>
    <w:sectPr w:rsidR="0090272E" w:rsidRPr="00AE5D2E">
      <w:headerReference w:type="even" r:id="rId27"/>
      <w:headerReference w:type="default" r:id="rId28"/>
      <w:footerReference w:type="even" r:id="rId29"/>
      <w:footerReference w:type="default" r:id="rId30"/>
      <w:headerReference w:type="first" r:id="rId31"/>
      <w:footerReference w:type="first" r:id="rId32"/>
      <w:pgSz w:w="12240" w:h="15840"/>
      <w:pgMar w:top="1365" w:right="1365" w:bottom="1365" w:left="136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57C349" w14:textId="77777777" w:rsidR="00EA0728" w:rsidRDefault="00EA0728" w:rsidP="00BB5EE0">
      <w:pPr>
        <w:spacing w:after="0"/>
      </w:pPr>
      <w:r>
        <w:separator/>
      </w:r>
    </w:p>
  </w:endnote>
  <w:endnote w:type="continuationSeparator" w:id="0">
    <w:p w14:paraId="5C127BA4" w14:textId="77777777" w:rsidR="00EA0728" w:rsidRDefault="00EA0728" w:rsidP="00BB5E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18F3213-784B-4B7D-8CB0-252ADF8325A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EFC8171C-5139-45FE-91E0-17E8DBB4482E}"/>
    <w:embedBold r:id="rId3" w:fontKey="{623F8652-9D25-4141-A98A-A2B0475676C2}"/>
    <w:embedItalic r:id="rId4" w:fontKey="{2CE6172C-7DF0-43D1-A915-1889CB70D298}"/>
  </w:font>
  <w:font w:name="Consolas">
    <w:panose1 w:val="020B0609020204030204"/>
    <w:charset w:val="00"/>
    <w:family w:val="modern"/>
    <w:pitch w:val="fixed"/>
    <w:sig w:usb0="E00006FF" w:usb1="0000FCFF" w:usb2="00000001" w:usb3="00000000" w:csb0="0000019F" w:csb1="00000000"/>
    <w:embedRegular r:id="rId5" w:fontKey="{462B6F10-672B-4C10-B51A-2107D94A3A39}"/>
  </w:font>
  <w:font w:name="Aptos Display">
    <w:charset w:val="00"/>
    <w:family w:val="swiss"/>
    <w:pitch w:val="variable"/>
    <w:sig w:usb0="20000287" w:usb1="00000003" w:usb2="00000000" w:usb3="00000000" w:csb0="0000019F" w:csb1="00000000"/>
    <w:embedRegular r:id="rId6" w:fontKey="{E88AF281-A68E-4950-8B96-FF026CB0C7FC}"/>
  </w:font>
  <w:font w:name="Aptos">
    <w:charset w:val="00"/>
    <w:family w:val="swiss"/>
    <w:pitch w:val="variable"/>
    <w:sig w:usb0="20000287" w:usb1="00000003" w:usb2="00000000" w:usb3="00000000" w:csb0="0000019F" w:csb1="00000000"/>
    <w:embedRegular r:id="rId7" w:fontKey="{42FFF59F-EC7D-4B2B-A20A-10364BBE12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92990" w14:textId="77777777" w:rsidR="00BB5EE0" w:rsidRDefault="00BB5E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B99F4" w14:textId="77777777" w:rsidR="00BB5EE0" w:rsidRDefault="00BB5E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E4EDA" w14:textId="77777777" w:rsidR="00BB5EE0" w:rsidRDefault="00BB5E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BE66F" w14:textId="77777777" w:rsidR="00EA0728" w:rsidRDefault="00EA0728" w:rsidP="00BB5EE0">
      <w:pPr>
        <w:spacing w:after="0"/>
      </w:pPr>
      <w:r>
        <w:separator/>
      </w:r>
    </w:p>
  </w:footnote>
  <w:footnote w:type="continuationSeparator" w:id="0">
    <w:p w14:paraId="1FABBBD4" w14:textId="77777777" w:rsidR="00EA0728" w:rsidRDefault="00EA0728" w:rsidP="00BB5E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E08D2" w14:textId="4848836F" w:rsidR="00BB5EE0" w:rsidRDefault="00EA0728">
    <w:pPr>
      <w:pStyle w:val="Header"/>
    </w:pPr>
    <w:r>
      <w:rPr>
        <w:noProof/>
      </w:rPr>
      <w:pict w14:anchorId="6B888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317532" o:spid="_x0000_s2051" type="#_x0000_t136" alt="" style="position:absolute;margin-left:0;margin-top:0;width:606.45pt;height:63.8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Georg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D397" w14:textId="2B954C9F" w:rsidR="00BB5EE0" w:rsidRDefault="00EA0728">
    <w:pPr>
      <w:pStyle w:val="Header"/>
    </w:pPr>
    <w:r>
      <w:rPr>
        <w:noProof/>
      </w:rPr>
      <w:pict w14:anchorId="5CA6D0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317533" o:spid="_x0000_s2050" type="#_x0000_t136" alt="" style="position:absolute;margin-left:0;margin-top:0;width:606.45pt;height:63.8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Georg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9C742" w14:textId="3A5BBEF9" w:rsidR="00BB5EE0" w:rsidRDefault="00EA0728">
    <w:pPr>
      <w:pStyle w:val="Header"/>
    </w:pPr>
    <w:r>
      <w:rPr>
        <w:noProof/>
      </w:rPr>
      <w:pict w14:anchorId="2182DC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317531" o:spid="_x0000_s2049" type="#_x0000_t136" alt="" style="position:absolute;margin-left:0;margin-top:0;width:606.45pt;height:63.8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Georg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4094D"/>
    <w:multiLevelType w:val="multilevel"/>
    <w:tmpl w:val="16123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00447B"/>
    <w:multiLevelType w:val="hybridMultilevel"/>
    <w:tmpl w:val="97400842"/>
    <w:lvl w:ilvl="0" w:tplc="9A8C62FA">
      <w:start w:val="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7D6EFA"/>
    <w:multiLevelType w:val="hybridMultilevel"/>
    <w:tmpl w:val="7A629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6B4FD4"/>
    <w:multiLevelType w:val="hybridMultilevel"/>
    <w:tmpl w:val="64C2B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F1665B"/>
    <w:multiLevelType w:val="multilevel"/>
    <w:tmpl w:val="11B22D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A5B"/>
    <w:rsid w:val="00017624"/>
    <w:rsid w:val="000505B4"/>
    <w:rsid w:val="000775BA"/>
    <w:rsid w:val="000B331F"/>
    <w:rsid w:val="000C272A"/>
    <w:rsid w:val="00117569"/>
    <w:rsid w:val="00260D75"/>
    <w:rsid w:val="00271789"/>
    <w:rsid w:val="002C3D5B"/>
    <w:rsid w:val="00307235"/>
    <w:rsid w:val="00336934"/>
    <w:rsid w:val="00393CC5"/>
    <w:rsid w:val="004A2A5B"/>
    <w:rsid w:val="004C4711"/>
    <w:rsid w:val="004D0D58"/>
    <w:rsid w:val="00576FB5"/>
    <w:rsid w:val="00591BE1"/>
    <w:rsid w:val="005B3B45"/>
    <w:rsid w:val="005D3CBC"/>
    <w:rsid w:val="006623F1"/>
    <w:rsid w:val="006C1C46"/>
    <w:rsid w:val="006F1607"/>
    <w:rsid w:val="007F3A6D"/>
    <w:rsid w:val="0090272E"/>
    <w:rsid w:val="009D41D0"/>
    <w:rsid w:val="00AE5D2E"/>
    <w:rsid w:val="00B40849"/>
    <w:rsid w:val="00BB5EE0"/>
    <w:rsid w:val="00C006AA"/>
    <w:rsid w:val="00C9090A"/>
    <w:rsid w:val="00C90DAA"/>
    <w:rsid w:val="00DC1E6E"/>
    <w:rsid w:val="00DD0A25"/>
    <w:rsid w:val="00E06EDF"/>
    <w:rsid w:val="00E42247"/>
    <w:rsid w:val="00E60F1F"/>
    <w:rsid w:val="00E96DB3"/>
    <w:rsid w:val="00EA0728"/>
    <w:rsid w:val="00ED1CE2"/>
    <w:rsid w:val="00FE286A"/>
    <w:rsid w:val="00FF05A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BF0A24"/>
  <w15:docId w15:val="{E5BA0685-D1D5-7944-8EC4-E081A6252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Georgia" w:hAnsi="Georgia" w:cs="Georgia"/>
        <w:sz w:val="21"/>
        <w:szCs w:val="21"/>
        <w:lang w:val="en"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pPr>
    <w:tblPr>
      <w:tblCellMar>
        <w:top w:w="80" w:type="dxa"/>
        <w:left w:w="160" w:type="dxa"/>
        <w:bottom w:w="80" w:type="dxa"/>
        <w:right w:w="160" w:type="dxa"/>
      </w:tblCellMar>
    </w:tblPr>
  </w:style>
  <w:style w:type="paragraph" w:styleId="NoSpacing">
    <w:name w:val="No Spacing"/>
    <w:uiPriority w:val="1"/>
    <w:qFormat/>
    <w:rsid w:val="007F44A9"/>
    <w:pPr>
      <w:spacing w:after="0"/>
    </w:pPr>
  </w:style>
  <w:style w:type="character" w:styleId="Hyperlink">
    <w:name w:val="Hyperlink"/>
    <w:basedOn w:val="DefaultParagraphFont"/>
    <w:uiPriority w:val="99"/>
    <w:unhideWhenUsed/>
    <w:rsid w:val="00606F8B"/>
    <w:rPr>
      <w:color w:val="467886" w:themeColor="hyperlink"/>
      <w:u w:val="single"/>
    </w:rPr>
  </w:style>
  <w:style w:type="character" w:styleId="UnresolvedMention">
    <w:name w:val="Unresolved Mention"/>
    <w:basedOn w:val="DefaultParagraphFont"/>
    <w:uiPriority w:val="99"/>
    <w:semiHidden/>
    <w:unhideWhenUsed/>
    <w:rsid w:val="00606F8B"/>
    <w:rPr>
      <w:color w:val="605E5C"/>
      <w:shd w:val="clear" w:color="auto" w:fill="E1DFDD"/>
    </w:rPr>
  </w:style>
  <w:style w:type="paragraph" w:styleId="ListParagraph">
    <w:name w:val="List Paragraph"/>
    <w:basedOn w:val="Normal"/>
    <w:uiPriority w:val="34"/>
    <w:qFormat/>
    <w:rsid w:val="00EB0FA5"/>
    <w:pPr>
      <w:ind w:left="720"/>
      <w:contextualSpacing/>
    </w:pPr>
  </w:style>
  <w:style w:type="paragraph" w:styleId="Subtitle">
    <w:name w:val="Subtitle"/>
    <w:basedOn w:val="Normal"/>
    <w:next w:val="Normal"/>
    <w:uiPriority w:val="11"/>
    <w:qFormat/>
    <w:pPr>
      <w:keepNext/>
      <w:keepLines/>
      <w:spacing w:before="360" w:after="80"/>
    </w:pPr>
    <w:rPr>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Header">
    <w:name w:val="header"/>
    <w:basedOn w:val="Normal"/>
    <w:link w:val="HeaderChar"/>
    <w:uiPriority w:val="99"/>
    <w:unhideWhenUsed/>
    <w:rsid w:val="00BB5EE0"/>
    <w:pPr>
      <w:tabs>
        <w:tab w:val="center" w:pos="4680"/>
        <w:tab w:val="right" w:pos="9360"/>
      </w:tabs>
      <w:spacing w:after="0"/>
    </w:pPr>
  </w:style>
  <w:style w:type="character" w:customStyle="1" w:styleId="HeaderChar">
    <w:name w:val="Header Char"/>
    <w:basedOn w:val="DefaultParagraphFont"/>
    <w:link w:val="Header"/>
    <w:uiPriority w:val="99"/>
    <w:rsid w:val="00BB5EE0"/>
  </w:style>
  <w:style w:type="paragraph" w:styleId="Footer">
    <w:name w:val="footer"/>
    <w:basedOn w:val="Normal"/>
    <w:link w:val="FooterChar"/>
    <w:uiPriority w:val="99"/>
    <w:unhideWhenUsed/>
    <w:rsid w:val="00BB5EE0"/>
    <w:pPr>
      <w:tabs>
        <w:tab w:val="center" w:pos="4680"/>
        <w:tab w:val="right" w:pos="9360"/>
      </w:tabs>
      <w:spacing w:after="0"/>
    </w:pPr>
  </w:style>
  <w:style w:type="character" w:customStyle="1" w:styleId="FooterChar">
    <w:name w:val="Footer Char"/>
    <w:basedOn w:val="DefaultParagraphFont"/>
    <w:link w:val="Footer"/>
    <w:uiPriority w:val="99"/>
    <w:rsid w:val="00BB5EE0"/>
  </w:style>
  <w:style w:type="paragraph" w:styleId="NormalWeb">
    <w:name w:val="Normal (Web)"/>
    <w:basedOn w:val="Normal"/>
    <w:uiPriority w:val="99"/>
    <w:unhideWhenUsed/>
    <w:rsid w:val="00FF05A6"/>
    <w:pPr>
      <w:spacing w:before="100" w:beforeAutospacing="1" w:after="100" w:afterAutospacing="1"/>
    </w:pPr>
    <w:rPr>
      <w:rFonts w:ascii="Times New Roman" w:eastAsia="Times New Roman" w:hAnsi="Times New Roman" w:cs="Times New Roman"/>
      <w:sz w:val="24"/>
      <w:szCs w:val="24"/>
      <w:lang w:val="en-PH"/>
    </w:rPr>
  </w:style>
  <w:style w:type="character" w:styleId="Strong">
    <w:name w:val="Strong"/>
    <w:basedOn w:val="DefaultParagraphFont"/>
    <w:uiPriority w:val="22"/>
    <w:qFormat/>
    <w:rsid w:val="00FF05A6"/>
    <w:rPr>
      <w:b/>
      <w:bCs/>
    </w:rPr>
  </w:style>
  <w:style w:type="character" w:styleId="FollowedHyperlink">
    <w:name w:val="FollowedHyperlink"/>
    <w:basedOn w:val="DefaultParagraphFont"/>
    <w:uiPriority w:val="99"/>
    <w:semiHidden/>
    <w:unhideWhenUsed/>
    <w:rsid w:val="004D0D58"/>
    <w:rPr>
      <w:color w:val="96607D" w:themeColor="followedHyperlink"/>
      <w:u w:val="single"/>
    </w:rPr>
  </w:style>
  <w:style w:type="character" w:styleId="Emphasis">
    <w:name w:val="Emphasis"/>
    <w:basedOn w:val="DefaultParagraphFont"/>
    <w:uiPriority w:val="20"/>
    <w:qFormat/>
    <w:rsid w:val="00AE5D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files.osf.io/v1/resources/7c4qt/providers/osfstorage/60f065ab0316ba00763d0add?format=pdf&amp;action=download&amp;direct&amp;version=2" TargetMode="External"/><Relationship Id="rId18" Type="http://schemas.openxmlformats.org/officeDocument/2006/relationships/hyperlink" Target="https://files.eric.ed.gov/fulltext/EJ1152568.pdf" TargetMode="External"/><Relationship Id="rId26" Type="http://schemas.openxmlformats.org/officeDocument/2006/relationships/hyperlink" Target="https://doi.org/10.1080/00221546.2005.11772299" TargetMode="External"/><Relationship Id="rId3" Type="http://schemas.openxmlformats.org/officeDocument/2006/relationships/numbering" Target="numbering.xml"/><Relationship Id="rId21" Type="http://schemas.openxmlformats.org/officeDocument/2006/relationships/hyperlink" Target="https://doi.org/10.1016/j.learningspaces.2020.01.001"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neiudc.neiu.edu/cgi/viewcontent.cgi?article=1031&amp;context=uhp-projects" TargetMode="External"/><Relationship Id="rId17" Type="http://schemas.openxmlformats.org/officeDocument/2006/relationships/hyperlink" Target="https://pdf.sciencedirectassets.com/277811/1-s2.0-S1877042810X00143/1-s2.0-S1877042810023943/main.pdf" TargetMode="External"/><Relationship Id="rId25" Type="http://schemas.openxmlformats.org/officeDocument/2006/relationships/hyperlink" Target="https://fisherpub.sjf.edu/cgi/viewcontent.cgi?referer=&amp;httpsredir=1&amp;article=1016&amp;context=mathcs_etd_master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1wqtxts1xzle7.cloudfront.net/58796100/Seating_Arrangement_towards_Effective_Learning-libre.pdf" TargetMode="External"/><Relationship Id="rId20" Type="http://schemas.openxmlformats.org/officeDocument/2006/relationships/hyperlink" Target="https://doi.org/10.1080/03634520903505936"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re.ac.uk/download/pdf/234642712.pdf" TargetMode="External"/><Relationship Id="rId24" Type="http://schemas.openxmlformats.org/officeDocument/2006/relationships/hyperlink" Target="https://doi.org/10.1111/j.1467-9604.2008.00375.x"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etd.ohiolink.edu/apexprod/rws_etd/send_file/send?accession=oduhonors1620144135878313&amp;disposition=inline" TargetMode="External"/><Relationship Id="rId23" Type="http://schemas.openxmlformats.org/officeDocument/2006/relationships/hyperlink" Target="https://digitalcommons.library.umaine.edu/cgi/viewcontent.cgi?article=3456&amp;context=etd" TargetMode="External"/><Relationship Id="rId28" Type="http://schemas.openxmlformats.org/officeDocument/2006/relationships/header" Target="header2.xml"/><Relationship Id="rId10" Type="http://schemas.openxmlformats.org/officeDocument/2006/relationships/hyperlink" Target="https://doi.org/10.59765/ylav4917" TargetMode="External"/><Relationship Id="rId19" Type="http://schemas.openxmlformats.org/officeDocument/2006/relationships/hyperlink" Target="https://files.eric.ed.gov/fulltext/EJ1209817.pdf"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doi.org/10.1016/j.sbspro.2012.09.246" TargetMode="External"/><Relationship Id="rId14" Type="http://schemas.openxmlformats.org/officeDocument/2006/relationships/hyperlink" Target="https://www.innerdrive.co.uk" TargetMode="External"/><Relationship Id="rId22" Type="http://schemas.openxmlformats.org/officeDocument/2006/relationships/hyperlink" Target="https://scholarworks.rit.edu/cgi/viewcontent.cgi?article=10526&amp;context=theses"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nCVPVs1JA424Pjsq0vI9jboDEA==">CgMxLjAyD2lkLmg2a3NjM3BxYmNtNTIPaWQuaXhkMnF6dHV0YWo2OAByITFzbE1kVEE3YWxYbXRBYUNJeS1kckJCd3ZPUWFzcEV0Yg==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09F797-7390-457B-BC78-1A33193A1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5525</Words>
  <Characters>31498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html-to-docx</dc:creator>
  <cp:lastModifiedBy>SDI 1022</cp:lastModifiedBy>
  <cp:revision>19</cp:revision>
  <dcterms:created xsi:type="dcterms:W3CDTF">2026-03-26T04:45:00Z</dcterms:created>
  <dcterms:modified xsi:type="dcterms:W3CDTF">2026-03-26T08:40:00Z</dcterms:modified>
</cp:coreProperties>
</file>