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33BA7" w14:textId="667AE7FE" w:rsidR="00516F59" w:rsidRDefault="00516F59" w:rsidP="00516F59">
      <w:pPr>
        <w:spacing w:line="360" w:lineRule="auto"/>
        <w:jc w:val="both"/>
        <w:rPr>
          <w:rFonts w:asciiTheme="majorBidi" w:hAnsiTheme="majorBidi" w:cstheme="majorBidi"/>
          <w:b/>
          <w:bCs/>
        </w:rPr>
      </w:pPr>
      <w:r w:rsidRPr="00516F59">
        <w:rPr>
          <w:rFonts w:asciiTheme="majorBidi" w:hAnsiTheme="majorBidi" w:cstheme="majorBidi"/>
          <w:b/>
          <w:bCs/>
        </w:rPr>
        <w:t>Household Water Consumption and Water Security in a Rur</w:t>
      </w:r>
      <w:r>
        <w:rPr>
          <w:rFonts w:asciiTheme="majorBidi" w:hAnsiTheme="majorBidi" w:cstheme="majorBidi"/>
          <w:b/>
          <w:bCs/>
        </w:rPr>
        <w:t>al</w:t>
      </w:r>
      <w:r w:rsidRPr="00516F59">
        <w:rPr>
          <w:rFonts w:asciiTheme="majorBidi" w:hAnsiTheme="majorBidi" w:cstheme="majorBidi"/>
          <w:b/>
          <w:bCs/>
        </w:rPr>
        <w:t xml:space="preserve"> Village: A Case Study of </w:t>
      </w:r>
      <w:proofErr w:type="spellStart"/>
      <w:r w:rsidRPr="00516F59">
        <w:rPr>
          <w:rFonts w:asciiTheme="majorBidi" w:hAnsiTheme="majorBidi" w:cstheme="majorBidi"/>
          <w:b/>
          <w:bCs/>
        </w:rPr>
        <w:t>Mawlyndep</w:t>
      </w:r>
      <w:proofErr w:type="spellEnd"/>
      <w:r w:rsidRPr="00516F59">
        <w:rPr>
          <w:rFonts w:asciiTheme="majorBidi" w:hAnsiTheme="majorBidi" w:cstheme="majorBidi"/>
          <w:b/>
          <w:bCs/>
        </w:rPr>
        <w:t>, Meghalaya</w:t>
      </w:r>
      <w:r w:rsidR="00B41952">
        <w:rPr>
          <w:rFonts w:asciiTheme="majorBidi" w:hAnsiTheme="majorBidi" w:cstheme="majorBidi"/>
          <w:b/>
          <w:bCs/>
        </w:rPr>
        <w:t>, India</w:t>
      </w:r>
    </w:p>
    <w:p w14:paraId="01532580" w14:textId="77777777" w:rsidR="00A52C1B" w:rsidRDefault="00A52C1B" w:rsidP="00516F59">
      <w:pPr>
        <w:spacing w:line="360" w:lineRule="auto"/>
        <w:jc w:val="both"/>
        <w:rPr>
          <w:rFonts w:asciiTheme="majorBidi" w:hAnsiTheme="majorBidi" w:cstheme="majorBidi"/>
          <w:b/>
          <w:bCs/>
        </w:rPr>
      </w:pPr>
    </w:p>
    <w:p w14:paraId="0F85E966" w14:textId="79D8BE28" w:rsidR="00672C78" w:rsidRDefault="00672C78" w:rsidP="00516F59">
      <w:pPr>
        <w:spacing w:line="360" w:lineRule="auto"/>
        <w:jc w:val="both"/>
        <w:rPr>
          <w:rFonts w:asciiTheme="majorBidi" w:hAnsiTheme="majorBidi" w:cstheme="majorBidi"/>
          <w:b/>
          <w:bCs/>
        </w:rPr>
      </w:pPr>
      <w:r>
        <w:rPr>
          <w:rFonts w:asciiTheme="majorBidi" w:hAnsiTheme="majorBidi" w:cstheme="majorBidi"/>
          <w:b/>
          <w:bCs/>
        </w:rPr>
        <w:t>Abstract</w:t>
      </w:r>
    </w:p>
    <w:p w14:paraId="2ADB4A74"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 xml:space="preserve">Water is an important resource for life, livelihood, and development, especially in rural areas where access is often limited. This study examines household water consumption and water security in </w:t>
      </w:r>
      <w:proofErr w:type="spellStart"/>
      <w:r w:rsidRPr="00672C78">
        <w:rPr>
          <w:rFonts w:asciiTheme="majorBidi" w:hAnsiTheme="majorBidi" w:cstheme="majorBidi"/>
        </w:rPr>
        <w:t>Mawlyndep</w:t>
      </w:r>
      <w:proofErr w:type="spellEnd"/>
      <w:r w:rsidRPr="00672C78">
        <w:rPr>
          <w:rFonts w:asciiTheme="majorBidi" w:hAnsiTheme="majorBidi" w:cstheme="majorBidi"/>
        </w:rPr>
        <w:t xml:space="preserve"> village, Ri-</w:t>
      </w:r>
      <w:proofErr w:type="spellStart"/>
      <w:r w:rsidRPr="00672C78">
        <w:rPr>
          <w:rFonts w:asciiTheme="majorBidi" w:hAnsiTheme="majorBidi" w:cstheme="majorBidi"/>
        </w:rPr>
        <w:t>Bhoi</w:t>
      </w:r>
      <w:proofErr w:type="spellEnd"/>
      <w:r w:rsidRPr="00672C78">
        <w:rPr>
          <w:rFonts w:asciiTheme="majorBidi" w:hAnsiTheme="majorBidi" w:cstheme="majorBidi"/>
        </w:rPr>
        <w:t xml:space="preserve"> district of Meghalaya, based on primary data from 79 households selected through random sampling.</w:t>
      </w:r>
    </w:p>
    <w:p w14:paraId="39C400D5" w14:textId="7F3DEE11" w:rsid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 xml:space="preserve">The results show that households use different water sources, with </w:t>
      </w:r>
      <w:r w:rsidR="002C0D97" w:rsidRPr="004A6E7A">
        <w:rPr>
          <w:rFonts w:asciiTheme="majorBidi" w:hAnsiTheme="majorBidi" w:cstheme="majorBidi"/>
          <w:highlight w:val="yellow"/>
        </w:rPr>
        <w:t>P</w:t>
      </w:r>
      <w:r w:rsidR="002C0D97">
        <w:rPr>
          <w:rFonts w:asciiTheme="majorBidi" w:hAnsiTheme="majorBidi" w:cstheme="majorBidi"/>
          <w:highlight w:val="yellow"/>
        </w:rPr>
        <w:t xml:space="preserve">ublic </w:t>
      </w:r>
      <w:r w:rsidR="002C0D97" w:rsidRPr="004A6E7A">
        <w:rPr>
          <w:rFonts w:asciiTheme="majorBidi" w:hAnsiTheme="majorBidi" w:cstheme="majorBidi"/>
          <w:highlight w:val="yellow"/>
        </w:rPr>
        <w:t>H</w:t>
      </w:r>
      <w:r w:rsidR="002C0D97">
        <w:rPr>
          <w:rFonts w:asciiTheme="majorBidi" w:hAnsiTheme="majorBidi" w:cstheme="majorBidi"/>
          <w:highlight w:val="yellow"/>
        </w:rPr>
        <w:t xml:space="preserve">ealth </w:t>
      </w:r>
      <w:r w:rsidR="002C0D97" w:rsidRPr="004A6E7A">
        <w:rPr>
          <w:rFonts w:asciiTheme="majorBidi" w:hAnsiTheme="majorBidi" w:cstheme="majorBidi"/>
          <w:highlight w:val="yellow"/>
        </w:rPr>
        <w:t>E</w:t>
      </w:r>
      <w:r w:rsidR="002C0D97">
        <w:rPr>
          <w:rFonts w:asciiTheme="majorBidi" w:hAnsiTheme="majorBidi" w:cstheme="majorBidi"/>
        </w:rPr>
        <w:t>ngineering (</w:t>
      </w:r>
      <w:r w:rsidRPr="00672C78">
        <w:rPr>
          <w:rFonts w:asciiTheme="majorBidi" w:hAnsiTheme="majorBidi" w:cstheme="majorBidi"/>
        </w:rPr>
        <w:t>PHE</w:t>
      </w:r>
      <w:r w:rsidR="002C0D97">
        <w:rPr>
          <w:rFonts w:asciiTheme="majorBidi" w:hAnsiTheme="majorBidi" w:cstheme="majorBidi"/>
        </w:rPr>
        <w:t>)</w:t>
      </w:r>
      <w:r w:rsidRPr="00672C78">
        <w:rPr>
          <w:rFonts w:asciiTheme="majorBidi" w:hAnsiTheme="majorBidi" w:cstheme="majorBidi"/>
        </w:rPr>
        <w:t xml:space="preserve"> as the main one, though its supply is only moderately reliable. Other sources like wells and tankers are more regular. The average water use is 70.23 litres per person per day, but many households still face shortages, along with some issues related to infrastructure and quality.</w:t>
      </w:r>
    </w:p>
    <w:p w14:paraId="527FD3D2" w14:textId="7F08383B" w:rsidR="00C55FCF" w:rsidRPr="00672C78" w:rsidRDefault="00C55FCF" w:rsidP="00C55FCF">
      <w:pPr>
        <w:spacing w:line="360" w:lineRule="auto"/>
        <w:jc w:val="both"/>
        <w:rPr>
          <w:rFonts w:asciiTheme="majorBidi" w:hAnsiTheme="majorBidi" w:cstheme="majorBidi"/>
        </w:rPr>
      </w:pPr>
      <w:r w:rsidRPr="00C55FCF">
        <w:rPr>
          <w:rFonts w:asciiTheme="majorBidi" w:hAnsiTheme="majorBidi" w:cstheme="majorBidi"/>
        </w:rPr>
        <w:t>The study further highlights that water is used not only for domestic purposes but also for livelihood activities such as agriculture and gardening, thereby increasing overall demand. Water consumption is strongly influenced by household size, with larger households requiring greater quantities of water. Although awareness regarding water conservation is relatively high among households, the actual adoption of water-saving practices remains limited, suggesting a gap between knowledge and behaviour.</w:t>
      </w:r>
    </w:p>
    <w:p w14:paraId="2F387E7B" w14:textId="77777777"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rPr>
        <w:t>To manage irregular supply, households store water and use multiple sources. Overall, water conditions in the village depend on supply stability, infrastructure, and household needs. The study suggests improving supply systems, encouraging practical conservation, and strengthening community involvement.</w:t>
      </w:r>
    </w:p>
    <w:p w14:paraId="146F0435" w14:textId="6D3497B1" w:rsidR="00672C78" w:rsidRPr="00672C78" w:rsidRDefault="00672C78" w:rsidP="00672C78">
      <w:pPr>
        <w:spacing w:line="360" w:lineRule="auto"/>
        <w:jc w:val="both"/>
        <w:rPr>
          <w:rFonts w:asciiTheme="majorBidi" w:hAnsiTheme="majorBidi" w:cstheme="majorBidi"/>
        </w:rPr>
      </w:pPr>
      <w:r w:rsidRPr="00672C78">
        <w:rPr>
          <w:rFonts w:asciiTheme="majorBidi" w:hAnsiTheme="majorBidi" w:cstheme="majorBidi"/>
          <w:b/>
          <w:bCs/>
        </w:rPr>
        <w:t xml:space="preserve">Keywords: </w:t>
      </w:r>
      <w:r w:rsidRPr="00672C78">
        <w:rPr>
          <w:rFonts w:asciiTheme="majorBidi" w:hAnsiTheme="majorBidi" w:cstheme="majorBidi"/>
        </w:rPr>
        <w:t>Water consumption, Water security, Household level, Rural Meghalaya, Water storage, Infrastructure, Livelihood</w:t>
      </w:r>
    </w:p>
    <w:p w14:paraId="2FD584BD" w14:textId="404A5534" w:rsidR="00DD3CAD" w:rsidRPr="00C06214" w:rsidRDefault="00DD3CAD"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Introduction</w:t>
      </w:r>
    </w:p>
    <w:p w14:paraId="45AF0777"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t xml:space="preserve">Water is one of the most important natural resources for human life and development. It is required for drinking, cooking, sanitation, farming, and many daily activities. Without </w:t>
      </w:r>
      <w:r w:rsidRPr="002C0D97">
        <w:rPr>
          <w:rFonts w:asciiTheme="majorBidi" w:hAnsiTheme="majorBidi" w:cstheme="majorBidi"/>
          <w:highlight w:val="yellow"/>
        </w:rPr>
        <w:t>adequate</w:t>
      </w:r>
      <w:r w:rsidRPr="002C0D97">
        <w:rPr>
          <w:rFonts w:asciiTheme="majorBidi" w:hAnsiTheme="majorBidi" w:cstheme="majorBidi"/>
        </w:rPr>
        <w:t xml:space="preserve"> water, it becomes difficult to maintain health, secure livelihoods, and a decent quality of life. Therefore, water is not just a physical resource but it is also closely linked to broader social and economic development processes (Martínez-Santos, 2017).</w:t>
      </w:r>
    </w:p>
    <w:p w14:paraId="66BE411C"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lastRenderedPageBreak/>
        <w:t xml:space="preserve">In recent years, water-related problems have become more serious due to increasing population pressure, rapid urbanization, and changing climate conditions. Although water from sources such as rivers, springs, and dug-out ponds is generally safe, pollution and seasonal changes can affect its quality, making regular monitoring and better management necessary (Clemente et al., 2026). Many regions across the world are now facing water scarcity and irregular supply. Even today, a large number of people do not have access to safe and dependable sources of drinking water, which negatively affects their health, productivity, and overall quality of life (Halim </w:t>
      </w:r>
      <w:r w:rsidRPr="002C0D97">
        <w:rPr>
          <w:rFonts w:asciiTheme="majorBidi" w:hAnsiTheme="majorBidi" w:cstheme="majorBidi"/>
          <w:i/>
          <w:iCs/>
          <w:highlight w:val="yellow"/>
        </w:rPr>
        <w:t>et al</w:t>
      </w:r>
      <w:r w:rsidRPr="002C0D97">
        <w:rPr>
          <w:rFonts w:asciiTheme="majorBidi" w:hAnsiTheme="majorBidi" w:cstheme="majorBidi"/>
          <w:highlight w:val="yellow"/>
        </w:rPr>
        <w:t>.,</w:t>
      </w:r>
      <w:r w:rsidRPr="002C0D97">
        <w:rPr>
          <w:rFonts w:asciiTheme="majorBidi" w:hAnsiTheme="majorBidi" w:cstheme="majorBidi"/>
        </w:rPr>
        <w:t xml:space="preserve"> 2025). Because of this, it is important to understand how water is used, distributed, and managed, particularly at the household level. Water consumption refers to the amount of water utilized by individuals or households for different purposes such as drinking, cooking, washing, and sometimes for livelihood activities like farming. Studying water consumption is important because it helps us understand the actual demand for water and the pressure on available resources. It also </w:t>
      </w:r>
      <w:proofErr w:type="gramStart"/>
      <w:r w:rsidRPr="002C0D97">
        <w:rPr>
          <w:rFonts w:asciiTheme="majorBidi" w:hAnsiTheme="majorBidi" w:cstheme="majorBidi"/>
        </w:rPr>
        <w:t>support</w:t>
      </w:r>
      <w:proofErr w:type="gramEnd"/>
      <w:r w:rsidRPr="002C0D97">
        <w:rPr>
          <w:rFonts w:asciiTheme="majorBidi" w:hAnsiTheme="majorBidi" w:cstheme="majorBidi"/>
        </w:rPr>
        <w:t xml:space="preserve"> better planning of water supply systems and more efficient management practices.</w:t>
      </w:r>
    </w:p>
    <w:p w14:paraId="2BD4CA0E"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t xml:space="preserve">However, water use is not uniform everywhere, people use different types of water for different purposes (Prole </w:t>
      </w:r>
      <w:r w:rsidRPr="002C0D97">
        <w:rPr>
          <w:rFonts w:asciiTheme="majorBidi" w:hAnsiTheme="majorBidi" w:cstheme="majorBidi"/>
          <w:i/>
          <w:iCs/>
        </w:rPr>
        <w:t>et al</w:t>
      </w:r>
      <w:r w:rsidRPr="002C0D97">
        <w:rPr>
          <w:rFonts w:asciiTheme="majorBidi" w:hAnsiTheme="majorBidi" w:cstheme="majorBidi"/>
        </w:rPr>
        <w:t xml:space="preserve">., 2026). Water consumption varies across regions depending on factors such as household size, distance from water sources, availability of infrastructure, and socio-economic conditions. It is also influenced by seasonal changes, lifestyle, and access to water supply, which together affect how much water people use. (Bandari and Sadhukhan, 2025 Basu </w:t>
      </w:r>
      <w:r w:rsidRPr="002C0D97">
        <w:rPr>
          <w:rFonts w:asciiTheme="majorBidi" w:hAnsiTheme="majorBidi" w:cstheme="majorBidi"/>
          <w:i/>
          <w:iCs/>
          <w:highlight w:val="yellow"/>
        </w:rPr>
        <w:t>et al</w:t>
      </w:r>
      <w:r w:rsidRPr="002C0D97">
        <w:rPr>
          <w:rFonts w:asciiTheme="majorBidi" w:hAnsiTheme="majorBidi" w:cstheme="majorBidi"/>
          <w:highlight w:val="yellow"/>
        </w:rPr>
        <w:t>.,</w:t>
      </w:r>
      <w:r w:rsidRPr="002C0D97">
        <w:rPr>
          <w:rFonts w:asciiTheme="majorBidi" w:hAnsiTheme="majorBidi" w:cstheme="majorBidi"/>
        </w:rPr>
        <w:t xml:space="preserve"> 2017). In rural areas, the situation is often more challenging. Water use is generally lower than the required, not because people need less water, but because access is limited. Long distances to water sources, time required for collection, and irregular supply reduce how much water households can use (Basu </w:t>
      </w:r>
      <w:r w:rsidRPr="002C0D97">
        <w:rPr>
          <w:rFonts w:asciiTheme="majorBidi" w:hAnsiTheme="majorBidi" w:cstheme="majorBidi"/>
          <w:i/>
          <w:iCs/>
          <w:highlight w:val="yellow"/>
        </w:rPr>
        <w:t>et al</w:t>
      </w:r>
      <w:r w:rsidRPr="002C0D97">
        <w:rPr>
          <w:rFonts w:asciiTheme="majorBidi" w:hAnsiTheme="majorBidi" w:cstheme="majorBidi"/>
          <w:highlight w:val="yellow"/>
        </w:rPr>
        <w:t>.,</w:t>
      </w:r>
      <w:r w:rsidRPr="002C0D97">
        <w:rPr>
          <w:rFonts w:asciiTheme="majorBidi" w:hAnsiTheme="majorBidi" w:cstheme="majorBidi"/>
        </w:rPr>
        <w:t xml:space="preserve"> 2017). At the same time, water is also required for activities such as agriculture and livestock which increases overall demand. Thus, water in rural areas is essential for both household use and livelihood.</w:t>
      </w:r>
    </w:p>
    <w:p w14:paraId="1D5850BB"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t>The concept of water security is closely related to water consumption. Water security is a broader concept that includes not only the availability of water but also ease of access, safety and long-term reliability of supply. In simple terms, water security means having sufficient and safe water for daily needs and livelihoods, along with protection from risk such as shortage or contamination (</w:t>
      </w:r>
      <w:proofErr w:type="spellStart"/>
      <w:r w:rsidRPr="002C0D97">
        <w:rPr>
          <w:rFonts w:asciiTheme="majorBidi" w:hAnsiTheme="majorBidi" w:cstheme="majorBidi"/>
        </w:rPr>
        <w:t>Apraku</w:t>
      </w:r>
      <w:proofErr w:type="spellEnd"/>
      <w:r w:rsidRPr="002C0D97">
        <w:rPr>
          <w:rFonts w:asciiTheme="majorBidi" w:hAnsiTheme="majorBidi" w:cstheme="majorBidi"/>
        </w:rPr>
        <w:t xml:space="preserve"> </w:t>
      </w:r>
      <w:r w:rsidRPr="002C0D97">
        <w:rPr>
          <w:rFonts w:asciiTheme="majorBidi" w:hAnsiTheme="majorBidi" w:cstheme="majorBidi"/>
          <w:i/>
          <w:iCs/>
          <w:highlight w:val="yellow"/>
        </w:rPr>
        <w:t>et al</w:t>
      </w:r>
      <w:r w:rsidRPr="002C0D97">
        <w:rPr>
          <w:rFonts w:asciiTheme="majorBidi" w:hAnsiTheme="majorBidi" w:cstheme="majorBidi"/>
          <w:highlight w:val="yellow"/>
        </w:rPr>
        <w:t>.,</w:t>
      </w:r>
      <w:r w:rsidRPr="002C0D97">
        <w:rPr>
          <w:rFonts w:asciiTheme="majorBidi" w:hAnsiTheme="majorBidi" w:cstheme="majorBidi"/>
        </w:rPr>
        <w:t xml:space="preserve"> 2023).</w:t>
      </w:r>
    </w:p>
    <w:p w14:paraId="601DE103"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t xml:space="preserve">Several studies suggest that water security is not determined solely by availability. It also influenced by infrastructure, governance, and social conditions. For instance, even when water </w:t>
      </w:r>
      <w:r w:rsidRPr="002C0D97">
        <w:rPr>
          <w:rFonts w:asciiTheme="majorBidi" w:hAnsiTheme="majorBidi" w:cstheme="majorBidi"/>
        </w:rPr>
        <w:lastRenderedPageBreak/>
        <w:t xml:space="preserve">physically available, poor management can limit access (Penn </w:t>
      </w:r>
      <w:r w:rsidRPr="002C0D97">
        <w:rPr>
          <w:rFonts w:asciiTheme="majorBidi" w:hAnsiTheme="majorBidi" w:cstheme="majorBidi"/>
          <w:i/>
          <w:iCs/>
          <w:highlight w:val="yellow"/>
        </w:rPr>
        <w:t>et al</w:t>
      </w:r>
      <w:r w:rsidRPr="002C0D97">
        <w:rPr>
          <w:rFonts w:asciiTheme="majorBidi" w:hAnsiTheme="majorBidi" w:cstheme="majorBidi"/>
        </w:rPr>
        <w:t>., 2017). In addition, climate variability and environmental changes further affect water availability and increase uncertainty.</w:t>
      </w:r>
    </w:p>
    <w:p w14:paraId="754E0A13"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t xml:space="preserve">Water consumption and water security are therefore interrelated. Rising demand due to population growth and development can put pressure on water resources and lead to scarcity (Zhang </w:t>
      </w:r>
      <w:r w:rsidRPr="002C0D97">
        <w:rPr>
          <w:rFonts w:asciiTheme="majorBidi" w:hAnsiTheme="majorBidi" w:cstheme="majorBidi"/>
          <w:i/>
          <w:iCs/>
          <w:highlight w:val="yellow"/>
        </w:rPr>
        <w:t>et al</w:t>
      </w:r>
      <w:r w:rsidRPr="002C0D97">
        <w:rPr>
          <w:rFonts w:asciiTheme="majorBidi" w:hAnsiTheme="majorBidi" w:cstheme="majorBidi"/>
        </w:rPr>
        <w:t>., 2026). On the other hand, when water access is limited, household may use less water than required, which can affect their health and livelihoods. This indicates that water use is influenced not only by availability but also by issues of access, distribution and inequality.</w:t>
      </w:r>
    </w:p>
    <w:p w14:paraId="4DE580E0"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t xml:space="preserve">There is also a clear difference in water use between rural and urban areas. Urban areas often have better water supply because of improved infrastructure, while rural areas face shortages and irregular services. This creates inequality in access to water and affects consumption patterns, which has an impact on development and sustainability (Liu </w:t>
      </w:r>
      <w:r w:rsidRPr="002C0D97">
        <w:rPr>
          <w:rFonts w:asciiTheme="majorBidi" w:hAnsiTheme="majorBidi" w:cstheme="majorBidi"/>
          <w:i/>
          <w:iCs/>
          <w:highlight w:val="yellow"/>
        </w:rPr>
        <w:t>et al</w:t>
      </w:r>
      <w:r w:rsidRPr="002C0D97">
        <w:rPr>
          <w:rFonts w:asciiTheme="majorBidi" w:hAnsiTheme="majorBidi" w:cstheme="majorBidi"/>
          <w:highlight w:val="yellow"/>
        </w:rPr>
        <w:t>.,</w:t>
      </w:r>
      <w:r w:rsidRPr="002C0D97">
        <w:rPr>
          <w:rFonts w:asciiTheme="majorBidi" w:hAnsiTheme="majorBidi" w:cstheme="majorBidi"/>
        </w:rPr>
        <w:t xml:space="preserve"> 2025).</w:t>
      </w:r>
    </w:p>
    <w:p w14:paraId="788DE285" w14:textId="77777777" w:rsidR="002C0D97" w:rsidRPr="002C0D97" w:rsidRDefault="002C0D97" w:rsidP="002C0D97">
      <w:pPr>
        <w:spacing w:line="360" w:lineRule="auto"/>
        <w:jc w:val="both"/>
        <w:rPr>
          <w:rFonts w:asciiTheme="majorBidi" w:hAnsiTheme="majorBidi" w:cstheme="majorBidi"/>
        </w:rPr>
      </w:pPr>
      <w:r w:rsidRPr="002C0D97">
        <w:rPr>
          <w:rFonts w:asciiTheme="majorBidi" w:hAnsiTheme="majorBidi" w:cstheme="majorBidi"/>
        </w:rPr>
        <w:t>Therefore, it is important to study water consumption along with water security, especially at the household level. Understanding how much water people use, what factors affect their usage, and what challenges they face can help identify gaps in water access and management. This is particularly important in rural areas, where water-related problems are often more serious and less studied.</w:t>
      </w:r>
    </w:p>
    <w:p w14:paraId="60DEAA52" w14:textId="4DB53BE9" w:rsidR="007B1C00" w:rsidRPr="00C06214" w:rsidRDefault="007B1C00"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Theoretical Framework</w:t>
      </w:r>
    </w:p>
    <w:p w14:paraId="5938EC38" w14:textId="615226D5"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present study examines household water security using the conceptual framework developed by David Grey and Claudia W. Sadoff. Their work is important because it explains water not only as a physical resource, but also as something </w:t>
      </w:r>
      <w:r w:rsidR="00C0103A">
        <w:rPr>
          <w:rFonts w:asciiTheme="majorBidi" w:hAnsiTheme="majorBidi" w:cstheme="majorBidi"/>
        </w:rPr>
        <w:t xml:space="preserve">closely </w:t>
      </w:r>
      <w:r w:rsidRPr="007B1C00">
        <w:rPr>
          <w:rFonts w:asciiTheme="majorBidi" w:hAnsiTheme="majorBidi" w:cstheme="majorBidi"/>
        </w:rPr>
        <w:t xml:space="preserve">connected with development, livelihood, risk and everyday life. Instead of </w:t>
      </w:r>
      <w:r w:rsidR="00C0103A">
        <w:rPr>
          <w:rFonts w:asciiTheme="majorBidi" w:hAnsiTheme="majorBidi" w:cstheme="majorBidi"/>
        </w:rPr>
        <w:t xml:space="preserve">viewing </w:t>
      </w:r>
      <w:r w:rsidRPr="007B1C00">
        <w:rPr>
          <w:rFonts w:asciiTheme="majorBidi" w:hAnsiTheme="majorBidi" w:cstheme="majorBidi"/>
        </w:rPr>
        <w:t xml:space="preserve">water problem only </w:t>
      </w:r>
      <w:r w:rsidR="00C0103A">
        <w:rPr>
          <w:rFonts w:asciiTheme="majorBidi" w:hAnsiTheme="majorBidi" w:cstheme="majorBidi"/>
        </w:rPr>
        <w:t>in term of s</w:t>
      </w:r>
      <w:r w:rsidRPr="007B1C00">
        <w:rPr>
          <w:rFonts w:asciiTheme="majorBidi" w:hAnsiTheme="majorBidi" w:cstheme="majorBidi"/>
        </w:rPr>
        <w:t>carcity, this framework shows that water security depends on availability, quality, infrastructure, management and uncertainty.</w:t>
      </w:r>
    </w:p>
    <w:p w14:paraId="799E11A9" w14:textId="30FD90A8" w:rsidR="007B1C00" w:rsidRPr="00C0103A" w:rsidRDefault="007B1C00" w:rsidP="007B1C00">
      <w:pPr>
        <w:tabs>
          <w:tab w:val="num" w:pos="720"/>
        </w:tabs>
        <w:spacing w:line="360" w:lineRule="auto"/>
        <w:jc w:val="both"/>
        <w:rPr>
          <w:rFonts w:asciiTheme="majorBidi" w:hAnsiTheme="majorBidi" w:cstheme="majorBidi"/>
        </w:rPr>
      </w:pPr>
      <w:r w:rsidRPr="007B1C00">
        <w:rPr>
          <w:rFonts w:asciiTheme="majorBidi" w:hAnsiTheme="majorBidi" w:cstheme="majorBidi"/>
        </w:rPr>
        <w:t xml:space="preserve">Grey and Sadoff define water security as the availability of acceptable quantity and quality of water for health, livelihoods, ecosystems and production, together with an acceptable level of water-related risks (Grey &amp; Sadoff, 2007). This definition is important because it </w:t>
      </w:r>
      <w:r w:rsidR="00C0103A">
        <w:rPr>
          <w:rFonts w:asciiTheme="majorBidi" w:hAnsiTheme="majorBidi" w:cstheme="majorBidi"/>
        </w:rPr>
        <w:t xml:space="preserve">highlight both aspect of water </w:t>
      </w:r>
      <w:r>
        <w:rPr>
          <w:rFonts w:asciiTheme="majorBidi" w:hAnsiTheme="majorBidi" w:cstheme="majorBidi"/>
        </w:rPr>
        <w:t xml:space="preserve">as </w:t>
      </w:r>
      <w:r w:rsidRPr="007B1C00">
        <w:rPr>
          <w:rFonts w:asciiTheme="majorBidi" w:hAnsiTheme="majorBidi" w:cstheme="majorBidi"/>
        </w:rPr>
        <w:t xml:space="preserve">a </w:t>
      </w:r>
      <w:r w:rsidRPr="00C0103A">
        <w:rPr>
          <w:rFonts w:asciiTheme="majorBidi" w:hAnsiTheme="majorBidi" w:cstheme="majorBidi"/>
        </w:rPr>
        <w:t>useful resource and as a potential</w:t>
      </w:r>
      <w:r w:rsidR="00C0103A" w:rsidRPr="00C0103A">
        <w:rPr>
          <w:rFonts w:asciiTheme="majorBidi" w:hAnsiTheme="majorBidi" w:cstheme="majorBidi"/>
        </w:rPr>
        <w:t xml:space="preserve"> source of</w:t>
      </w:r>
      <w:r w:rsidRPr="00C0103A">
        <w:rPr>
          <w:rFonts w:asciiTheme="majorBidi" w:hAnsiTheme="majorBidi" w:cstheme="majorBidi"/>
        </w:rPr>
        <w:t xml:space="preserve"> risk</w:t>
      </w:r>
      <w:r w:rsidR="00C0103A" w:rsidRPr="00C0103A">
        <w:rPr>
          <w:rFonts w:asciiTheme="majorBidi" w:hAnsiTheme="majorBidi" w:cstheme="majorBidi"/>
        </w:rPr>
        <w:t xml:space="preserve"> that requires careful management</w:t>
      </w:r>
      <w:r w:rsidRPr="00C0103A">
        <w:rPr>
          <w:rFonts w:asciiTheme="majorBidi" w:hAnsiTheme="majorBidi" w:cstheme="majorBidi"/>
        </w:rPr>
        <w:t xml:space="preserve"> </w:t>
      </w:r>
    </w:p>
    <w:p w14:paraId="058630B7" w14:textId="5345D5BA"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framework is also supported by broader approaches </w:t>
      </w:r>
      <w:r w:rsidR="00C0103A">
        <w:rPr>
          <w:rFonts w:asciiTheme="majorBidi" w:hAnsiTheme="majorBidi" w:cstheme="majorBidi"/>
        </w:rPr>
        <w:t xml:space="preserve">such as </w:t>
      </w:r>
      <w:r w:rsidRPr="007B1C00">
        <w:rPr>
          <w:rFonts w:asciiTheme="majorBidi" w:hAnsiTheme="majorBidi" w:cstheme="majorBidi"/>
        </w:rPr>
        <w:t xml:space="preserve">Integrated Water Resources Management (IWRM), which </w:t>
      </w:r>
      <w:r w:rsidR="00C0103A">
        <w:rPr>
          <w:rFonts w:asciiTheme="majorBidi" w:hAnsiTheme="majorBidi" w:cstheme="majorBidi"/>
        </w:rPr>
        <w:t xml:space="preserve">emphasizes </w:t>
      </w:r>
      <w:r w:rsidRPr="007B1C00">
        <w:rPr>
          <w:rFonts w:asciiTheme="majorBidi" w:hAnsiTheme="majorBidi" w:cstheme="majorBidi"/>
        </w:rPr>
        <w:t>that water, land and related resources should be managed in an integrated way to ensure sustainability and equity (GWP, 2000). Similarly, UN-</w:t>
      </w:r>
      <w:r w:rsidRPr="007B1C00">
        <w:rPr>
          <w:rFonts w:asciiTheme="majorBidi" w:hAnsiTheme="majorBidi" w:cstheme="majorBidi"/>
        </w:rPr>
        <w:lastRenderedPageBreak/>
        <w:t xml:space="preserve">Water also explains water security as access to adequate quantity and quality of water along with protection from risks and support for livelihoods and ecosystems (UN-Water, 2013). These </w:t>
      </w:r>
      <w:r w:rsidR="00C0103A">
        <w:rPr>
          <w:rFonts w:asciiTheme="majorBidi" w:hAnsiTheme="majorBidi" w:cstheme="majorBidi"/>
        </w:rPr>
        <w:t>perspectives indicate</w:t>
      </w:r>
      <w:r w:rsidRPr="007B1C00">
        <w:rPr>
          <w:rFonts w:asciiTheme="majorBidi" w:hAnsiTheme="majorBidi" w:cstheme="majorBidi"/>
        </w:rPr>
        <w:t xml:space="preserve"> that water security is a </w:t>
      </w:r>
      <w:r w:rsidRPr="00C0103A">
        <w:rPr>
          <w:rFonts w:asciiTheme="majorBidi" w:hAnsiTheme="majorBidi" w:cstheme="majorBidi"/>
        </w:rPr>
        <w:t>multi-dimensional</w:t>
      </w:r>
      <w:r w:rsidR="00C0103A" w:rsidRPr="00C0103A">
        <w:rPr>
          <w:rFonts w:asciiTheme="majorBidi" w:hAnsiTheme="majorBidi" w:cstheme="majorBidi"/>
        </w:rPr>
        <w:t xml:space="preserve"> and interconnected</w:t>
      </w:r>
      <w:r w:rsidRPr="00C0103A">
        <w:rPr>
          <w:rFonts w:asciiTheme="majorBidi" w:hAnsiTheme="majorBidi" w:cstheme="majorBidi"/>
        </w:rPr>
        <w:t xml:space="preserve"> concept</w:t>
      </w:r>
      <w:r w:rsidRPr="007B1C00">
        <w:rPr>
          <w:rFonts w:asciiTheme="majorBidi" w:hAnsiTheme="majorBidi" w:cstheme="majorBidi"/>
        </w:rPr>
        <w:t>.</w:t>
      </w:r>
    </w:p>
    <w:p w14:paraId="27FBFB37"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Core Principles of the Framework</w:t>
      </w:r>
    </w:p>
    <w:p w14:paraId="458C1648"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First Principle: Availability and Adequacy of Water</w:t>
      </w:r>
    </w:p>
    <w:p w14:paraId="2A3F9256" w14:textId="70E1FE24"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The first principle explains that water security requires sufficient quantity of water for domestic and livelihood needs. However, it is not only about presence of water, but whether the available </w:t>
      </w:r>
      <w:r w:rsidR="000F7F5F">
        <w:rPr>
          <w:rFonts w:asciiTheme="majorBidi" w:hAnsiTheme="majorBidi" w:cstheme="majorBidi"/>
        </w:rPr>
        <w:t>supply is adequate in relation to household demand</w:t>
      </w:r>
      <w:r w:rsidRPr="007B1C00">
        <w:rPr>
          <w:rFonts w:asciiTheme="majorBidi" w:hAnsiTheme="majorBidi" w:cstheme="majorBidi"/>
        </w:rPr>
        <w:t>.</w:t>
      </w:r>
    </w:p>
    <w:p w14:paraId="63DDC056" w14:textId="47D6561B"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Grey and Sadoff (2007) point out that many regions may have water physically available, but still </w:t>
      </w:r>
      <w:r w:rsidR="000F7F5F">
        <w:rPr>
          <w:rFonts w:asciiTheme="majorBidi" w:hAnsiTheme="majorBidi" w:cstheme="majorBidi"/>
        </w:rPr>
        <w:t xml:space="preserve">experience </w:t>
      </w:r>
      <w:r w:rsidRPr="007B1C00">
        <w:rPr>
          <w:rFonts w:asciiTheme="majorBidi" w:hAnsiTheme="majorBidi" w:cstheme="majorBidi"/>
        </w:rPr>
        <w:t xml:space="preserve">insecurity due to increasing demand and unequal distribution. </w:t>
      </w:r>
      <w:r w:rsidR="000F7F5F">
        <w:rPr>
          <w:rFonts w:asciiTheme="majorBidi" w:hAnsiTheme="majorBidi" w:cstheme="majorBidi"/>
        </w:rPr>
        <w:t xml:space="preserve">Therefore, </w:t>
      </w:r>
      <w:r w:rsidRPr="007B1C00">
        <w:rPr>
          <w:rFonts w:asciiTheme="majorBidi" w:hAnsiTheme="majorBidi" w:cstheme="majorBidi"/>
        </w:rPr>
        <w:t>availability must be understood together with consumption</w:t>
      </w:r>
      <w:r w:rsidR="000F7F5F">
        <w:rPr>
          <w:rFonts w:asciiTheme="majorBidi" w:hAnsiTheme="majorBidi" w:cstheme="majorBidi"/>
        </w:rPr>
        <w:t xml:space="preserve"> pattern</w:t>
      </w:r>
      <w:r w:rsidRPr="007B1C00">
        <w:rPr>
          <w:rFonts w:asciiTheme="majorBidi" w:hAnsiTheme="majorBidi" w:cstheme="majorBidi"/>
        </w:rPr>
        <w:t xml:space="preserve">, household size and usage </w:t>
      </w:r>
      <w:r w:rsidR="000F7F5F">
        <w:rPr>
          <w:rFonts w:asciiTheme="majorBidi" w:hAnsiTheme="majorBidi" w:cstheme="majorBidi"/>
        </w:rPr>
        <w:t>behaviour</w:t>
      </w:r>
      <w:r w:rsidRPr="007B1C00">
        <w:rPr>
          <w:rFonts w:asciiTheme="majorBidi" w:hAnsiTheme="majorBidi" w:cstheme="majorBidi"/>
        </w:rPr>
        <w:t>.</w:t>
      </w:r>
    </w:p>
    <w:p w14:paraId="4D288DF1"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useful for analysing how much water households actually receive and whether it is sufficient for daily life.</w:t>
      </w:r>
    </w:p>
    <w:p w14:paraId="768554C2"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Second Principle: Water Quality and Safety</w:t>
      </w:r>
    </w:p>
    <w:p w14:paraId="741192A1"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The second principle states that water must be of acceptable quality. Water that is unsafe or polluted cannot be considered secure, even if it is available.</w:t>
      </w:r>
    </w:p>
    <w:p w14:paraId="613329F1" w14:textId="65F77818"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According to UN-Water (2013), water security includes protection from water-borne diseases and pollution, which directly affect human health. Poor quality water reduces usability and increases vulnerability</w:t>
      </w:r>
      <w:r w:rsidR="000F7F5F">
        <w:rPr>
          <w:rFonts w:asciiTheme="majorBidi" w:hAnsiTheme="majorBidi" w:cstheme="majorBidi"/>
        </w:rPr>
        <w:t xml:space="preserve"> to health risks</w:t>
      </w:r>
      <w:r w:rsidRPr="007B1C00">
        <w:rPr>
          <w:rFonts w:asciiTheme="majorBidi" w:hAnsiTheme="majorBidi" w:cstheme="majorBidi"/>
        </w:rPr>
        <w:t>.</w:t>
      </w:r>
    </w:p>
    <w:p w14:paraId="02DCDB58"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understand people’s perception of water quality and the problems related to unsafe sources.</w:t>
      </w:r>
    </w:p>
    <w:p w14:paraId="7EB5A0EB"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Third Principle: Water for Livelihood and Production</w:t>
      </w:r>
    </w:p>
    <w:p w14:paraId="18EB5DB8"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The third principle highlights that water is essential not only for domestic use but also for livelihood activities such as agriculture, gardening and small-scale economic work.</w:t>
      </w:r>
    </w:p>
    <w:p w14:paraId="1877298C" w14:textId="1B175812"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Grey and Sadoff (2007) emphasize that water plays a central role in economic growth and poverty reduction, especially in developing regions. Lack of water directly affects productivity and income</w:t>
      </w:r>
      <w:r w:rsidR="000F7F5F">
        <w:rPr>
          <w:rFonts w:asciiTheme="majorBidi" w:hAnsiTheme="majorBidi" w:cstheme="majorBidi"/>
        </w:rPr>
        <w:t xml:space="preserve"> generation</w:t>
      </w:r>
      <w:r w:rsidRPr="007B1C00">
        <w:rPr>
          <w:rFonts w:asciiTheme="majorBidi" w:hAnsiTheme="majorBidi" w:cstheme="majorBidi"/>
        </w:rPr>
        <w:t>.</w:t>
      </w:r>
    </w:p>
    <w:p w14:paraId="2E81A133"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lastRenderedPageBreak/>
        <w:t>This principle is important in rural areas where water is closely linked with livelihood and survival.</w:t>
      </w:r>
    </w:p>
    <w:p w14:paraId="4F643F2B"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Fourth Principle: Risk, Variability and Reliability</w:t>
      </w:r>
    </w:p>
    <w:p w14:paraId="53D841CA" w14:textId="4D038410"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One of the key contributions of the framework is the inclusion of risk. Water availability is not always stable</w:t>
      </w:r>
      <w:r w:rsidR="000F7F5F">
        <w:rPr>
          <w:rFonts w:asciiTheme="majorBidi" w:hAnsiTheme="majorBidi" w:cstheme="majorBidi"/>
        </w:rPr>
        <w:t xml:space="preserve"> and varies across </w:t>
      </w:r>
      <w:r w:rsidRPr="007B1C00">
        <w:rPr>
          <w:rFonts w:asciiTheme="majorBidi" w:hAnsiTheme="majorBidi" w:cstheme="majorBidi"/>
        </w:rPr>
        <w:t xml:space="preserve">seasons, climate </w:t>
      </w:r>
      <w:r w:rsidR="00E32516">
        <w:rPr>
          <w:rFonts w:asciiTheme="majorBidi" w:hAnsiTheme="majorBidi" w:cstheme="majorBidi"/>
        </w:rPr>
        <w:t xml:space="preserve">conditions </w:t>
      </w:r>
      <w:r w:rsidRPr="007B1C00">
        <w:rPr>
          <w:rFonts w:asciiTheme="majorBidi" w:hAnsiTheme="majorBidi" w:cstheme="majorBidi"/>
        </w:rPr>
        <w:t xml:space="preserve">and infrastructure </w:t>
      </w:r>
      <w:r w:rsidR="00E32516">
        <w:rPr>
          <w:rFonts w:asciiTheme="majorBidi" w:hAnsiTheme="majorBidi" w:cstheme="majorBidi"/>
        </w:rPr>
        <w:t>performance</w:t>
      </w:r>
      <w:r w:rsidRPr="007B1C00">
        <w:rPr>
          <w:rFonts w:asciiTheme="majorBidi" w:hAnsiTheme="majorBidi" w:cstheme="majorBidi"/>
        </w:rPr>
        <w:t>.</w:t>
      </w:r>
    </w:p>
    <w:p w14:paraId="2A60D52D" w14:textId="73F6F304"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 xml:space="preserve">Grey and Sadoff (2007) explain that water has both productive and destructive </w:t>
      </w:r>
      <w:r w:rsidR="00E32516">
        <w:rPr>
          <w:rFonts w:asciiTheme="majorBidi" w:hAnsiTheme="majorBidi" w:cstheme="majorBidi"/>
        </w:rPr>
        <w:t xml:space="preserve">aspects and managing this dual nature is essential for achieving water security. </w:t>
      </w:r>
      <w:r w:rsidRPr="007B1C00">
        <w:rPr>
          <w:rFonts w:asciiTheme="majorBidi" w:hAnsiTheme="majorBidi" w:cstheme="majorBidi"/>
        </w:rPr>
        <w:t>Therefore, reliability of supply is as important as availability.</w:t>
      </w:r>
    </w:p>
    <w:p w14:paraId="5FDEDD50"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understand irregular supply, seasonal shortages and infrastructure-related problems.</w:t>
      </w:r>
    </w:p>
    <w:p w14:paraId="565CC43C"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Fifth Principle: Adaptation and Coping Mechanism</w:t>
      </w:r>
    </w:p>
    <w:p w14:paraId="37E7199F" w14:textId="71E15936" w:rsidR="007B1C00" w:rsidRPr="007B1C00" w:rsidRDefault="007B1C00" w:rsidP="00E32516">
      <w:pPr>
        <w:spacing w:line="360" w:lineRule="auto"/>
        <w:jc w:val="both"/>
        <w:rPr>
          <w:rFonts w:asciiTheme="majorBidi" w:hAnsiTheme="majorBidi" w:cstheme="majorBidi"/>
        </w:rPr>
      </w:pPr>
      <w:r w:rsidRPr="007B1C00">
        <w:rPr>
          <w:rFonts w:asciiTheme="majorBidi" w:hAnsiTheme="majorBidi" w:cstheme="majorBidi"/>
        </w:rPr>
        <w:t xml:space="preserve">The framework also recognizes that people respond to water </w:t>
      </w:r>
      <w:r w:rsidR="00E32516">
        <w:rPr>
          <w:rFonts w:asciiTheme="majorBidi" w:hAnsiTheme="majorBidi" w:cstheme="majorBidi"/>
        </w:rPr>
        <w:t xml:space="preserve">related challenges </w:t>
      </w:r>
      <w:r w:rsidRPr="007B1C00">
        <w:rPr>
          <w:rFonts w:asciiTheme="majorBidi" w:hAnsiTheme="majorBidi" w:cstheme="majorBidi"/>
        </w:rPr>
        <w:t xml:space="preserve">through </w:t>
      </w:r>
      <w:r w:rsidR="00E32516">
        <w:rPr>
          <w:rFonts w:asciiTheme="majorBidi" w:hAnsiTheme="majorBidi" w:cstheme="majorBidi"/>
        </w:rPr>
        <w:t>various</w:t>
      </w:r>
      <w:r w:rsidRPr="007B1C00">
        <w:rPr>
          <w:rFonts w:asciiTheme="majorBidi" w:hAnsiTheme="majorBidi" w:cstheme="majorBidi"/>
        </w:rPr>
        <w:t xml:space="preserve"> coping strategies such as storing water, using multiple sources and adjusting consumption</w:t>
      </w:r>
      <w:r w:rsidR="00E32516">
        <w:rPr>
          <w:rFonts w:asciiTheme="majorBidi" w:hAnsiTheme="majorBidi" w:cstheme="majorBidi"/>
        </w:rPr>
        <w:t xml:space="preserve"> pattern</w:t>
      </w:r>
      <w:r w:rsidRPr="007B1C00">
        <w:rPr>
          <w:rFonts w:asciiTheme="majorBidi" w:hAnsiTheme="majorBidi" w:cstheme="majorBidi"/>
        </w:rPr>
        <w:t>.</w:t>
      </w:r>
      <w:r w:rsidR="00E32516">
        <w:rPr>
          <w:rFonts w:asciiTheme="majorBidi" w:hAnsiTheme="majorBidi" w:cstheme="majorBidi"/>
        </w:rPr>
        <w:t xml:space="preserve"> </w:t>
      </w:r>
      <w:r w:rsidRPr="007B1C00">
        <w:rPr>
          <w:rFonts w:asciiTheme="majorBidi" w:hAnsiTheme="majorBidi" w:cstheme="majorBidi"/>
        </w:rPr>
        <w:t xml:space="preserve">Jepson et al. (2017) argue that water security should be seen as a relational and dynamic process shaped by everyday practices and social conditions. </w:t>
      </w:r>
      <w:r w:rsidR="00E32516">
        <w:rPr>
          <w:rFonts w:asciiTheme="majorBidi" w:hAnsiTheme="majorBidi" w:cstheme="majorBidi"/>
        </w:rPr>
        <w:t>H</w:t>
      </w:r>
      <w:r w:rsidRPr="007B1C00">
        <w:rPr>
          <w:rFonts w:asciiTheme="majorBidi" w:hAnsiTheme="majorBidi" w:cstheme="majorBidi"/>
        </w:rPr>
        <w:t>ouseholds are</w:t>
      </w:r>
      <w:r w:rsidR="00E32516">
        <w:rPr>
          <w:rFonts w:asciiTheme="majorBidi" w:hAnsiTheme="majorBidi" w:cstheme="majorBidi"/>
        </w:rPr>
        <w:t xml:space="preserve"> therefore active agents in managing water stress rather </w:t>
      </w:r>
      <w:r w:rsidRPr="007B1C00">
        <w:rPr>
          <w:rFonts w:asciiTheme="majorBidi" w:hAnsiTheme="majorBidi" w:cstheme="majorBidi"/>
        </w:rPr>
        <w:t>passive users.</w:t>
      </w:r>
    </w:p>
    <w:p w14:paraId="37CEAD3F"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is useful for understanding how people manage water insecurity at the local level.</w:t>
      </w:r>
    </w:p>
    <w:p w14:paraId="3B5926F3"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Sixth Principle: Institutional and Governance Dimension</w:t>
      </w:r>
    </w:p>
    <w:p w14:paraId="0F9D6044" w14:textId="75D146A8" w:rsidR="007B1C00" w:rsidRPr="007B1C00" w:rsidRDefault="007B1C00" w:rsidP="00E32516">
      <w:pPr>
        <w:spacing w:line="360" w:lineRule="auto"/>
        <w:jc w:val="both"/>
        <w:rPr>
          <w:rFonts w:asciiTheme="majorBidi" w:hAnsiTheme="majorBidi" w:cstheme="majorBidi"/>
        </w:rPr>
      </w:pPr>
      <w:r w:rsidRPr="007B1C00">
        <w:rPr>
          <w:rFonts w:asciiTheme="majorBidi" w:hAnsiTheme="majorBidi" w:cstheme="majorBidi"/>
        </w:rPr>
        <w:t>Water security depends on effective institutions and governance systems. Poor infrastructure, weak service delivery and lack of coordination can create water insecurity even when water resources are available.</w:t>
      </w:r>
      <w:r w:rsidR="00E32516">
        <w:rPr>
          <w:rFonts w:asciiTheme="majorBidi" w:hAnsiTheme="majorBidi" w:cstheme="majorBidi"/>
        </w:rPr>
        <w:t xml:space="preserve"> </w:t>
      </w:r>
      <w:r w:rsidRPr="007B1C00">
        <w:rPr>
          <w:rFonts w:asciiTheme="majorBidi" w:hAnsiTheme="majorBidi" w:cstheme="majorBidi"/>
        </w:rPr>
        <w:t xml:space="preserve">The IWRM approach highlights the </w:t>
      </w:r>
      <w:r w:rsidR="00E32516">
        <w:rPr>
          <w:rFonts w:asciiTheme="majorBidi" w:hAnsiTheme="majorBidi" w:cstheme="majorBidi"/>
        </w:rPr>
        <w:t xml:space="preserve">importance of effective governance, service delivery and community participation in </w:t>
      </w:r>
      <w:proofErr w:type="gramStart"/>
      <w:r w:rsidR="00E32516">
        <w:rPr>
          <w:rFonts w:asciiTheme="majorBidi" w:hAnsiTheme="majorBidi" w:cstheme="majorBidi"/>
        </w:rPr>
        <w:t xml:space="preserve">ensuring </w:t>
      </w:r>
      <w:r w:rsidRPr="007B1C00">
        <w:rPr>
          <w:rFonts w:asciiTheme="majorBidi" w:hAnsiTheme="majorBidi" w:cstheme="majorBidi"/>
        </w:rPr>
        <w:t xml:space="preserve"> sustainable</w:t>
      </w:r>
      <w:proofErr w:type="gramEnd"/>
      <w:r w:rsidRPr="007B1C00">
        <w:rPr>
          <w:rFonts w:asciiTheme="majorBidi" w:hAnsiTheme="majorBidi" w:cstheme="majorBidi"/>
        </w:rPr>
        <w:t xml:space="preserve"> water use (GWP, 2000).</w:t>
      </w:r>
    </w:p>
    <w:p w14:paraId="2382B93E" w14:textId="77777777" w:rsidR="007B1C00" w:rsidRPr="007B1C00" w:rsidRDefault="007B1C00" w:rsidP="007B1C00">
      <w:pPr>
        <w:spacing w:line="360" w:lineRule="auto"/>
        <w:jc w:val="both"/>
        <w:rPr>
          <w:rFonts w:asciiTheme="majorBidi" w:hAnsiTheme="majorBidi" w:cstheme="majorBidi"/>
        </w:rPr>
      </w:pPr>
      <w:r w:rsidRPr="007B1C00">
        <w:rPr>
          <w:rFonts w:asciiTheme="majorBidi" w:hAnsiTheme="majorBidi" w:cstheme="majorBidi"/>
        </w:rPr>
        <w:t>This principle helps to analyse the role of government supply systems, infrastructure and community participation.</w:t>
      </w:r>
    </w:p>
    <w:p w14:paraId="228026F5" w14:textId="77777777" w:rsidR="007B1C00" w:rsidRPr="007B1C00" w:rsidRDefault="007B1C00" w:rsidP="007B1C00">
      <w:pPr>
        <w:spacing w:line="360" w:lineRule="auto"/>
        <w:jc w:val="both"/>
        <w:rPr>
          <w:rFonts w:asciiTheme="majorBidi" w:hAnsiTheme="majorBidi" w:cstheme="majorBidi"/>
          <w:b/>
          <w:bCs/>
        </w:rPr>
      </w:pPr>
      <w:r w:rsidRPr="007B1C00">
        <w:rPr>
          <w:rFonts w:asciiTheme="majorBidi" w:hAnsiTheme="majorBidi" w:cstheme="majorBidi"/>
          <w:b/>
          <w:bCs/>
        </w:rPr>
        <w:t>Seventh Principle: Holism and Integrated Approach</w:t>
      </w:r>
    </w:p>
    <w:p w14:paraId="600A2661" w14:textId="2BA8E620" w:rsidR="007B1C00" w:rsidRDefault="007B1C00" w:rsidP="00112D85">
      <w:pPr>
        <w:spacing w:line="360" w:lineRule="auto"/>
        <w:jc w:val="both"/>
        <w:rPr>
          <w:rFonts w:asciiTheme="majorBidi" w:hAnsiTheme="majorBidi" w:cstheme="majorBidi"/>
        </w:rPr>
      </w:pPr>
      <w:r w:rsidRPr="007B1C00">
        <w:rPr>
          <w:rFonts w:asciiTheme="majorBidi" w:hAnsiTheme="majorBidi" w:cstheme="majorBidi"/>
        </w:rPr>
        <w:t>The final principle states that water security is holistic in nature. It includes physical, social, economic and institutional dimensions.</w:t>
      </w:r>
      <w:r w:rsidR="00112D85">
        <w:rPr>
          <w:rFonts w:asciiTheme="majorBidi" w:hAnsiTheme="majorBidi" w:cstheme="majorBidi"/>
        </w:rPr>
        <w:t xml:space="preserve"> </w:t>
      </w:r>
      <w:r w:rsidRPr="007B1C00">
        <w:rPr>
          <w:rFonts w:asciiTheme="majorBidi" w:hAnsiTheme="majorBidi" w:cstheme="majorBidi"/>
        </w:rPr>
        <w:t xml:space="preserve">Cook and Bakker (2012) argue that water security </w:t>
      </w:r>
      <w:r w:rsidRPr="007B1C00">
        <w:rPr>
          <w:rFonts w:asciiTheme="majorBidi" w:hAnsiTheme="majorBidi" w:cstheme="majorBidi"/>
        </w:rPr>
        <w:lastRenderedPageBreak/>
        <w:t xml:space="preserve">should be understood as an integrated concept across multiple disciplines and scales. This means water </w:t>
      </w:r>
      <w:r w:rsidR="00112D85">
        <w:rPr>
          <w:rFonts w:asciiTheme="majorBidi" w:hAnsiTheme="majorBidi" w:cstheme="majorBidi"/>
        </w:rPr>
        <w:t xml:space="preserve">issues </w:t>
      </w:r>
      <w:r w:rsidRPr="007B1C00">
        <w:rPr>
          <w:rFonts w:asciiTheme="majorBidi" w:hAnsiTheme="majorBidi" w:cstheme="majorBidi"/>
        </w:rPr>
        <w:t xml:space="preserve">cannot be studied </w:t>
      </w:r>
      <w:r w:rsidR="00112D85">
        <w:rPr>
          <w:rFonts w:asciiTheme="majorBidi" w:hAnsiTheme="majorBidi" w:cstheme="majorBidi"/>
        </w:rPr>
        <w:t xml:space="preserve">in isolation but must be understood in relation to broader and societal systems. </w:t>
      </w:r>
    </w:p>
    <w:p w14:paraId="06C26C05" w14:textId="75A510DD" w:rsidR="00F717E8" w:rsidRPr="00C06214" w:rsidRDefault="00F717E8" w:rsidP="00C06214">
      <w:pPr>
        <w:pStyle w:val="ListParagraph"/>
        <w:numPr>
          <w:ilvl w:val="0"/>
          <w:numId w:val="4"/>
        </w:numPr>
        <w:spacing w:line="360" w:lineRule="auto"/>
        <w:ind w:left="426"/>
        <w:jc w:val="both"/>
        <w:rPr>
          <w:rFonts w:asciiTheme="majorBidi" w:hAnsiTheme="majorBidi" w:cstheme="majorBidi"/>
        </w:rPr>
      </w:pPr>
      <w:r w:rsidRPr="00C06214">
        <w:rPr>
          <w:rFonts w:asciiTheme="majorBidi" w:hAnsiTheme="majorBidi" w:cstheme="majorBidi"/>
          <w:b/>
          <w:bCs/>
        </w:rPr>
        <w:t>METHODOLOGY</w:t>
      </w:r>
    </w:p>
    <w:p w14:paraId="6BB6A147" w14:textId="1438235E"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 xml:space="preserve">The present study is based on primary data collected </w:t>
      </w:r>
      <w:r w:rsidR="00112D85">
        <w:rPr>
          <w:rFonts w:asciiTheme="majorBidi" w:hAnsiTheme="majorBidi" w:cstheme="majorBidi"/>
        </w:rPr>
        <w:t xml:space="preserve">directly </w:t>
      </w:r>
      <w:r w:rsidRPr="00F717E8">
        <w:rPr>
          <w:rFonts w:asciiTheme="majorBidi" w:hAnsiTheme="majorBidi" w:cstheme="majorBidi"/>
        </w:rPr>
        <w:t xml:space="preserve">from households in </w:t>
      </w:r>
      <w:proofErr w:type="spellStart"/>
      <w:r w:rsidRPr="00F717E8">
        <w:rPr>
          <w:rFonts w:asciiTheme="majorBidi" w:hAnsiTheme="majorBidi" w:cstheme="majorBidi"/>
        </w:rPr>
        <w:t>Mawlyndep</w:t>
      </w:r>
      <w:proofErr w:type="spellEnd"/>
      <w:r w:rsidRPr="00F717E8">
        <w:rPr>
          <w:rFonts w:asciiTheme="majorBidi" w:hAnsiTheme="majorBidi" w:cstheme="majorBidi"/>
        </w:rPr>
        <w:t xml:space="preserve"> village. The main aim of this methodology is to understand water consumption patterns and water security at the household level.</w:t>
      </w:r>
    </w:p>
    <w:p w14:paraId="7A343447" w14:textId="1A4F04E8" w:rsidR="00F717E8" w:rsidRPr="00C06214" w:rsidRDefault="00F717E8" w:rsidP="00C06214">
      <w:pPr>
        <w:pStyle w:val="ListParagraph"/>
        <w:numPr>
          <w:ilvl w:val="1"/>
          <w:numId w:val="4"/>
        </w:numPr>
        <w:spacing w:line="360" w:lineRule="auto"/>
        <w:ind w:left="426"/>
        <w:jc w:val="both"/>
        <w:rPr>
          <w:rFonts w:asciiTheme="majorBidi" w:hAnsiTheme="majorBidi" w:cstheme="majorBidi"/>
        </w:rPr>
      </w:pPr>
      <w:r w:rsidRPr="00C06214">
        <w:rPr>
          <w:rFonts w:asciiTheme="majorBidi" w:hAnsiTheme="majorBidi" w:cstheme="majorBidi"/>
          <w:b/>
          <w:bCs/>
        </w:rPr>
        <w:t>Data Collection</w:t>
      </w:r>
    </w:p>
    <w:p w14:paraId="1263DD4B" w14:textId="1D3B0F1C"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 xml:space="preserve">The study </w:t>
      </w:r>
      <w:r w:rsidR="00112D85">
        <w:rPr>
          <w:rFonts w:asciiTheme="majorBidi" w:hAnsiTheme="majorBidi" w:cstheme="majorBidi"/>
        </w:rPr>
        <w:t xml:space="preserve">primarily relies on </w:t>
      </w:r>
      <w:r w:rsidRPr="00F717E8">
        <w:rPr>
          <w:rFonts w:asciiTheme="majorBidi" w:hAnsiTheme="majorBidi" w:cstheme="majorBidi"/>
        </w:rPr>
        <w:t xml:space="preserve">primary data </w:t>
      </w:r>
      <w:r w:rsidR="00112D85">
        <w:rPr>
          <w:rFonts w:asciiTheme="majorBidi" w:hAnsiTheme="majorBidi" w:cstheme="majorBidi"/>
        </w:rPr>
        <w:t xml:space="preserve">gathered </w:t>
      </w:r>
      <w:r w:rsidRPr="00F717E8">
        <w:rPr>
          <w:rFonts w:asciiTheme="majorBidi" w:hAnsiTheme="majorBidi" w:cstheme="majorBidi"/>
        </w:rPr>
        <w:t>through a household survey. A structured questionnaire was prepared to gather information on</w:t>
      </w:r>
      <w:r>
        <w:rPr>
          <w:rFonts w:asciiTheme="majorBidi" w:hAnsiTheme="majorBidi" w:cstheme="majorBidi"/>
        </w:rPr>
        <w:t xml:space="preserve">, </w:t>
      </w:r>
      <w:r w:rsidRPr="00F717E8">
        <w:rPr>
          <w:rFonts w:asciiTheme="majorBidi" w:hAnsiTheme="majorBidi" w:cstheme="majorBidi"/>
        </w:rPr>
        <w:t>household characteristics</w:t>
      </w:r>
      <w:r>
        <w:rPr>
          <w:rFonts w:asciiTheme="majorBidi" w:hAnsiTheme="majorBidi" w:cstheme="majorBidi"/>
        </w:rPr>
        <w:t xml:space="preserve">, </w:t>
      </w:r>
      <w:r w:rsidRPr="00F717E8">
        <w:rPr>
          <w:rFonts w:asciiTheme="majorBidi" w:hAnsiTheme="majorBidi" w:cstheme="majorBidi"/>
        </w:rPr>
        <w:t>sources of water</w:t>
      </w:r>
      <w:r>
        <w:rPr>
          <w:rFonts w:asciiTheme="majorBidi" w:hAnsiTheme="majorBidi" w:cstheme="majorBidi"/>
        </w:rPr>
        <w:t xml:space="preserve">, </w:t>
      </w:r>
      <w:r w:rsidRPr="00F717E8">
        <w:rPr>
          <w:rFonts w:asciiTheme="majorBidi" w:hAnsiTheme="majorBidi" w:cstheme="majorBidi"/>
        </w:rPr>
        <w:t>water consumption</w:t>
      </w:r>
      <w:r>
        <w:rPr>
          <w:rFonts w:asciiTheme="majorBidi" w:hAnsiTheme="majorBidi" w:cstheme="majorBidi"/>
        </w:rPr>
        <w:t xml:space="preserve">, </w:t>
      </w:r>
      <w:r w:rsidRPr="00F717E8">
        <w:rPr>
          <w:rFonts w:asciiTheme="majorBidi" w:hAnsiTheme="majorBidi" w:cstheme="majorBidi"/>
        </w:rPr>
        <w:t xml:space="preserve">water-related problems </w:t>
      </w:r>
      <w:r>
        <w:rPr>
          <w:rFonts w:asciiTheme="majorBidi" w:hAnsiTheme="majorBidi" w:cstheme="majorBidi"/>
        </w:rPr>
        <w:t xml:space="preserve">and </w:t>
      </w:r>
      <w:r w:rsidRPr="00F717E8">
        <w:rPr>
          <w:rFonts w:asciiTheme="majorBidi" w:hAnsiTheme="majorBidi" w:cstheme="majorBidi"/>
        </w:rPr>
        <w:t xml:space="preserve">awareness and practices related to water use </w:t>
      </w:r>
    </w:p>
    <w:p w14:paraId="1081C38F" w14:textId="2D0DDFB9" w:rsidR="00F717E8" w:rsidRPr="00F717E8" w:rsidRDefault="00112D85" w:rsidP="00F717E8">
      <w:pPr>
        <w:spacing w:line="360" w:lineRule="auto"/>
        <w:jc w:val="both"/>
        <w:rPr>
          <w:rFonts w:asciiTheme="majorBidi" w:hAnsiTheme="majorBidi" w:cstheme="majorBidi"/>
        </w:rPr>
      </w:pPr>
      <w:r>
        <w:rPr>
          <w:rFonts w:asciiTheme="majorBidi" w:hAnsiTheme="majorBidi" w:cstheme="majorBidi"/>
        </w:rPr>
        <w:t xml:space="preserve">In addition to primary data, supporting </w:t>
      </w:r>
      <w:r w:rsidRPr="00F717E8">
        <w:rPr>
          <w:rFonts w:asciiTheme="majorBidi" w:hAnsiTheme="majorBidi" w:cstheme="majorBidi"/>
        </w:rPr>
        <w:t>secondary</w:t>
      </w:r>
      <w:r>
        <w:rPr>
          <w:rFonts w:asciiTheme="majorBidi" w:hAnsiTheme="majorBidi" w:cstheme="majorBidi"/>
        </w:rPr>
        <w:t xml:space="preserve"> information</w:t>
      </w:r>
      <w:r w:rsidR="00F717E8" w:rsidRPr="00F717E8">
        <w:rPr>
          <w:rFonts w:asciiTheme="majorBidi" w:hAnsiTheme="majorBidi" w:cstheme="majorBidi"/>
        </w:rPr>
        <w:t xml:space="preserve"> such as population and household details were collected from Census reports</w:t>
      </w:r>
      <w:r>
        <w:rPr>
          <w:rFonts w:asciiTheme="majorBidi" w:hAnsiTheme="majorBidi" w:cstheme="majorBidi"/>
        </w:rPr>
        <w:t xml:space="preserve"> and other available sources</w:t>
      </w:r>
      <w:r w:rsidR="00F717E8">
        <w:rPr>
          <w:rFonts w:asciiTheme="majorBidi" w:hAnsiTheme="majorBidi" w:cstheme="majorBidi"/>
        </w:rPr>
        <w:t>.</w:t>
      </w:r>
      <w:r w:rsidR="00F717E8" w:rsidRPr="00F717E8">
        <w:rPr>
          <w:rFonts w:asciiTheme="majorBidi" w:hAnsiTheme="majorBidi" w:cstheme="majorBidi"/>
        </w:rPr>
        <w:t xml:space="preserve"> </w:t>
      </w:r>
    </w:p>
    <w:p w14:paraId="49EB809E" w14:textId="7AF87A14" w:rsidR="00F717E8" w:rsidRPr="00C06214" w:rsidRDefault="00F717E8" w:rsidP="00C06214">
      <w:pPr>
        <w:pStyle w:val="ListParagraph"/>
        <w:numPr>
          <w:ilvl w:val="1"/>
          <w:numId w:val="4"/>
        </w:numPr>
        <w:spacing w:line="360" w:lineRule="auto"/>
        <w:ind w:left="426"/>
        <w:jc w:val="both"/>
        <w:rPr>
          <w:rFonts w:asciiTheme="majorBidi" w:hAnsiTheme="majorBidi" w:cstheme="majorBidi"/>
        </w:rPr>
      </w:pPr>
      <w:r w:rsidRPr="00C06214">
        <w:rPr>
          <w:rFonts w:asciiTheme="majorBidi" w:hAnsiTheme="majorBidi" w:cstheme="majorBidi"/>
          <w:b/>
          <w:bCs/>
        </w:rPr>
        <w:t>Sampling Technique</w:t>
      </w:r>
    </w:p>
    <w:p w14:paraId="6AB21B8A" w14:textId="77777777"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In this study, a random sampling method was used to select households from the village. First, the total number of households in the village was identified. Then, households were selected randomly to avoid any bias.</w:t>
      </w:r>
    </w:p>
    <w:p w14:paraId="4DD77DC9" w14:textId="77777777" w:rsidR="00F717E8" w:rsidRPr="00F717E8" w:rsidRDefault="00F717E8" w:rsidP="00F717E8">
      <w:pPr>
        <w:spacing w:line="360" w:lineRule="auto"/>
        <w:jc w:val="both"/>
        <w:rPr>
          <w:rFonts w:asciiTheme="majorBidi" w:hAnsiTheme="majorBidi" w:cstheme="majorBidi"/>
        </w:rPr>
      </w:pPr>
      <w:r w:rsidRPr="00F717E8">
        <w:rPr>
          <w:rFonts w:asciiTheme="majorBidi" w:hAnsiTheme="majorBidi" w:cstheme="majorBidi"/>
        </w:rPr>
        <w:t>A total of 79 households were surveyed. Random sampling was used because it gives equal chance to every household to be selected and helps in representing the overall situation of the village more fairly.</w:t>
      </w:r>
    </w:p>
    <w:p w14:paraId="525EEEBE" w14:textId="5FE95E0D" w:rsidR="00F717E8" w:rsidRPr="00C06214" w:rsidRDefault="00F717E8" w:rsidP="00C06214">
      <w:pPr>
        <w:pStyle w:val="ListParagraph"/>
        <w:numPr>
          <w:ilvl w:val="1"/>
          <w:numId w:val="4"/>
        </w:numPr>
        <w:spacing w:line="360" w:lineRule="auto"/>
        <w:ind w:left="426" w:hanging="426"/>
        <w:jc w:val="both"/>
        <w:rPr>
          <w:rFonts w:asciiTheme="majorBidi" w:hAnsiTheme="majorBidi" w:cstheme="majorBidi"/>
        </w:rPr>
      </w:pPr>
      <w:r w:rsidRPr="00C06214">
        <w:rPr>
          <w:rFonts w:asciiTheme="majorBidi" w:hAnsiTheme="majorBidi" w:cstheme="majorBidi"/>
          <w:b/>
          <w:bCs/>
        </w:rPr>
        <w:t>Data Processing and Analysis</w:t>
      </w:r>
    </w:p>
    <w:p w14:paraId="6B2EE126" w14:textId="77777777" w:rsidR="00203C2E" w:rsidRDefault="00F717E8" w:rsidP="00203C2E">
      <w:pPr>
        <w:spacing w:line="360" w:lineRule="auto"/>
        <w:jc w:val="both"/>
        <w:rPr>
          <w:rFonts w:asciiTheme="majorBidi" w:hAnsiTheme="majorBidi" w:cstheme="majorBidi"/>
        </w:rPr>
      </w:pPr>
      <w:r w:rsidRPr="00F717E8">
        <w:rPr>
          <w:rFonts w:asciiTheme="majorBidi" w:hAnsiTheme="majorBidi" w:cstheme="majorBidi"/>
        </w:rPr>
        <w:t>After collecting the data, all responses were carefully checked, organized, and arranged in tables. The data was then analysed using simple statistical methods, as the main aim of the study is to understand patterns and relationships</w:t>
      </w:r>
      <w:r>
        <w:rPr>
          <w:rFonts w:asciiTheme="majorBidi" w:hAnsiTheme="majorBidi" w:cstheme="majorBidi"/>
        </w:rPr>
        <w:t>.</w:t>
      </w:r>
    </w:p>
    <w:p w14:paraId="0296FB72" w14:textId="77777777" w:rsidR="00203C2E" w:rsidRDefault="00203C2E" w:rsidP="00203C2E">
      <w:pPr>
        <w:pStyle w:val="ListParagraph"/>
        <w:numPr>
          <w:ilvl w:val="1"/>
          <w:numId w:val="4"/>
        </w:numPr>
        <w:spacing w:line="360" w:lineRule="auto"/>
        <w:ind w:left="426"/>
        <w:jc w:val="both"/>
        <w:rPr>
          <w:rFonts w:asciiTheme="majorBidi" w:hAnsiTheme="majorBidi" w:cstheme="majorBidi"/>
        </w:rPr>
      </w:pPr>
      <w:r w:rsidRPr="00203C2E">
        <w:rPr>
          <w:rFonts w:asciiTheme="majorBidi" w:hAnsiTheme="majorBidi" w:cstheme="majorBidi"/>
        </w:rPr>
        <w:t>Limitation of the study</w:t>
      </w:r>
    </w:p>
    <w:p w14:paraId="2125CA14" w14:textId="31E3934F" w:rsidR="00203C2E" w:rsidRPr="00203C2E" w:rsidRDefault="00203C2E" w:rsidP="00203C2E">
      <w:pPr>
        <w:spacing w:line="360" w:lineRule="auto"/>
        <w:ind w:left="66"/>
        <w:jc w:val="both"/>
        <w:rPr>
          <w:rFonts w:asciiTheme="majorBidi" w:hAnsiTheme="majorBidi" w:cstheme="majorBidi"/>
        </w:rPr>
      </w:pPr>
      <w:r w:rsidRPr="00203C2E">
        <w:rPr>
          <w:rFonts w:asciiTheme="majorBidi" w:hAnsiTheme="majorBidi" w:cstheme="majorBidi"/>
        </w:rPr>
        <w:t>As no funding was received, the study sample was limited to 79 households out of 139, which may reduce the level of confidence and generalizability of the results.</w:t>
      </w:r>
    </w:p>
    <w:p w14:paraId="5D69059C" w14:textId="5B7ED43A" w:rsidR="000E113E" w:rsidRPr="00C06214" w:rsidRDefault="000E113E"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Study area:</w:t>
      </w:r>
    </w:p>
    <w:p w14:paraId="560A39FC" w14:textId="77777777" w:rsidR="000E113E" w:rsidRPr="000E113E" w:rsidRDefault="000E113E" w:rsidP="000E113E">
      <w:pPr>
        <w:spacing w:line="360" w:lineRule="auto"/>
        <w:jc w:val="both"/>
        <w:rPr>
          <w:rFonts w:asciiTheme="majorBidi" w:hAnsiTheme="majorBidi" w:cstheme="majorBidi"/>
        </w:rPr>
      </w:pPr>
      <w:proofErr w:type="spellStart"/>
      <w:r w:rsidRPr="000E113E">
        <w:rPr>
          <w:rFonts w:asciiTheme="majorBidi" w:hAnsiTheme="majorBidi" w:cstheme="majorBidi"/>
        </w:rPr>
        <w:lastRenderedPageBreak/>
        <w:t>Mawlyndep</w:t>
      </w:r>
      <w:proofErr w:type="spellEnd"/>
      <w:r w:rsidRPr="000E113E">
        <w:rPr>
          <w:rFonts w:asciiTheme="majorBidi" w:hAnsiTheme="majorBidi" w:cstheme="majorBidi"/>
        </w:rPr>
        <w:t xml:space="preserve"> Village is located in the Ri-Bhoi District of Meghalaya, India. Administratively, it falls under the </w:t>
      </w:r>
      <w:proofErr w:type="spellStart"/>
      <w:r w:rsidRPr="000E113E">
        <w:rPr>
          <w:rFonts w:asciiTheme="majorBidi" w:hAnsiTheme="majorBidi" w:cstheme="majorBidi"/>
        </w:rPr>
        <w:t>Umsning</w:t>
      </w:r>
      <w:proofErr w:type="spellEnd"/>
      <w:r w:rsidRPr="000E113E">
        <w:rPr>
          <w:rFonts w:asciiTheme="majorBidi" w:hAnsiTheme="majorBidi" w:cstheme="majorBidi"/>
        </w:rPr>
        <w:t xml:space="preserve"> Community and Rural Development (C&amp;RD) Block. Geographically, the village is situated at about 25°39'5.05" N latitude and 91°51'13.06" E longitude, to the northeast of Shillong, the state capital.</w:t>
      </w:r>
    </w:p>
    <w:p w14:paraId="615F5CB9" w14:textId="77777777" w:rsidR="000E113E" w:rsidRDefault="000E113E" w:rsidP="000E113E">
      <w:pPr>
        <w:spacing w:line="360" w:lineRule="auto"/>
        <w:jc w:val="both"/>
        <w:rPr>
          <w:rFonts w:asciiTheme="majorBidi" w:hAnsiTheme="majorBidi" w:cstheme="majorBidi"/>
        </w:rPr>
      </w:pPr>
      <w:r w:rsidRPr="000E113E">
        <w:rPr>
          <w:rFonts w:asciiTheme="majorBidi" w:hAnsiTheme="majorBidi" w:cstheme="majorBidi"/>
        </w:rPr>
        <w:t xml:space="preserve">The physical landscape of </w:t>
      </w:r>
      <w:proofErr w:type="spellStart"/>
      <w:r w:rsidRPr="000E113E">
        <w:rPr>
          <w:rFonts w:asciiTheme="majorBidi" w:hAnsiTheme="majorBidi" w:cstheme="majorBidi"/>
        </w:rPr>
        <w:t>Mawlyndep</w:t>
      </w:r>
      <w:proofErr w:type="spellEnd"/>
      <w:r w:rsidRPr="000E113E">
        <w:rPr>
          <w:rFonts w:asciiTheme="majorBidi" w:hAnsiTheme="majorBidi" w:cstheme="majorBidi"/>
        </w:rPr>
        <w:t xml:space="preserve"> is undulating to moderately hilly, which is typical of the central plateau region of Meghalaya. The elevation increases gradually towards the northwest and slopes down towards the southeast, where lower areas and water bodies such as Umiam Lake are present. This area acts as a transition zone between upland hills and valley plains, which influences both settlement patterns and access to water resources.</w:t>
      </w:r>
    </w:p>
    <w:p w14:paraId="580D92BE" w14:textId="77777777" w:rsidR="00A27202" w:rsidRDefault="00A27202" w:rsidP="00A27202">
      <w:pPr>
        <w:keepNext/>
        <w:spacing w:line="360" w:lineRule="auto"/>
        <w:jc w:val="both"/>
      </w:pPr>
      <w:r>
        <w:rPr>
          <w:noProof/>
        </w:rPr>
        <w:drawing>
          <wp:inline distT="0" distB="0" distL="0" distR="0" wp14:anchorId="1C782E2B" wp14:editId="15A11CDE">
            <wp:extent cx="5731510" cy="4050030"/>
            <wp:effectExtent l="0" t="0" r="2540" b="7620"/>
            <wp:docPr id="1679397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050030"/>
                    </a:xfrm>
                    <a:prstGeom prst="rect">
                      <a:avLst/>
                    </a:prstGeom>
                    <a:noFill/>
                    <a:ln>
                      <a:noFill/>
                    </a:ln>
                  </pic:spPr>
                </pic:pic>
              </a:graphicData>
            </a:graphic>
          </wp:inline>
        </w:drawing>
      </w:r>
    </w:p>
    <w:p w14:paraId="7652D3EB" w14:textId="38A9A0D4" w:rsidR="00A27202" w:rsidRPr="00A27202" w:rsidRDefault="00A27202" w:rsidP="00A27202">
      <w:pPr>
        <w:pStyle w:val="Caption"/>
        <w:jc w:val="center"/>
        <w:rPr>
          <w:rFonts w:asciiTheme="majorBidi" w:hAnsiTheme="majorBidi" w:cstheme="majorBidi"/>
          <w:b/>
          <w:bCs/>
        </w:rPr>
      </w:pPr>
      <w:r w:rsidRPr="00A27202">
        <w:rPr>
          <w:rFonts w:asciiTheme="majorBidi" w:hAnsiTheme="majorBidi" w:cstheme="majorBidi"/>
          <w:b/>
          <w:bCs/>
        </w:rPr>
        <w:t xml:space="preserve">Figure </w:t>
      </w:r>
      <w:r w:rsidRPr="00A27202">
        <w:rPr>
          <w:rFonts w:asciiTheme="majorBidi" w:hAnsiTheme="majorBidi" w:cstheme="majorBidi"/>
          <w:b/>
          <w:bCs/>
        </w:rPr>
        <w:fldChar w:fldCharType="begin"/>
      </w:r>
      <w:r w:rsidRPr="00A27202">
        <w:rPr>
          <w:rFonts w:asciiTheme="majorBidi" w:hAnsiTheme="majorBidi" w:cstheme="majorBidi"/>
          <w:b/>
          <w:bCs/>
        </w:rPr>
        <w:instrText xml:space="preserve"> SEQ Figure \* ARABIC </w:instrText>
      </w:r>
      <w:r w:rsidRPr="00A27202">
        <w:rPr>
          <w:rFonts w:asciiTheme="majorBidi" w:hAnsiTheme="majorBidi" w:cstheme="majorBidi"/>
          <w:b/>
          <w:bCs/>
        </w:rPr>
        <w:fldChar w:fldCharType="separate"/>
      </w:r>
      <w:r w:rsidRPr="00A27202">
        <w:rPr>
          <w:rFonts w:asciiTheme="majorBidi" w:hAnsiTheme="majorBidi" w:cstheme="majorBidi"/>
          <w:b/>
          <w:bCs/>
          <w:noProof/>
        </w:rPr>
        <w:t>1</w:t>
      </w:r>
      <w:r w:rsidRPr="00A27202">
        <w:rPr>
          <w:rFonts w:asciiTheme="majorBidi" w:hAnsiTheme="majorBidi" w:cstheme="majorBidi"/>
          <w:b/>
          <w:bCs/>
        </w:rPr>
        <w:fldChar w:fldCharType="end"/>
      </w:r>
      <w:r w:rsidRPr="00A27202">
        <w:rPr>
          <w:rFonts w:asciiTheme="majorBidi" w:hAnsiTheme="majorBidi" w:cstheme="majorBidi"/>
          <w:b/>
          <w:bCs/>
          <w:lang w:val="en-US"/>
        </w:rPr>
        <w:t xml:space="preserve">  Map</w:t>
      </w:r>
      <w:r w:rsidR="0040253C">
        <w:rPr>
          <w:rFonts w:asciiTheme="majorBidi" w:hAnsiTheme="majorBidi" w:cstheme="majorBidi"/>
          <w:b/>
          <w:bCs/>
          <w:lang w:val="en-US"/>
        </w:rPr>
        <w:t xml:space="preserve"> of study area</w:t>
      </w:r>
    </w:p>
    <w:p w14:paraId="3ED3F04C" w14:textId="77777777" w:rsidR="00A27202" w:rsidRDefault="00A27202" w:rsidP="00FB7C26">
      <w:pPr>
        <w:pStyle w:val="Caption"/>
        <w:keepNext/>
        <w:jc w:val="center"/>
        <w:rPr>
          <w:rFonts w:asciiTheme="majorBidi" w:hAnsiTheme="majorBidi" w:cstheme="majorBidi"/>
        </w:rPr>
      </w:pPr>
    </w:p>
    <w:p w14:paraId="100FEAFB" w14:textId="5CD23492" w:rsidR="00FB7C26" w:rsidRPr="00FB7C26" w:rsidRDefault="00FB7C26" w:rsidP="00FB7C26">
      <w:pPr>
        <w:pStyle w:val="Caption"/>
        <w:keepNext/>
        <w:jc w:val="center"/>
        <w:rPr>
          <w:rFonts w:asciiTheme="majorBidi" w:hAnsiTheme="majorBidi" w:cstheme="majorBidi"/>
        </w:rPr>
      </w:pPr>
      <w:r w:rsidRPr="00FB7C26">
        <w:rPr>
          <w:rFonts w:asciiTheme="majorBidi" w:hAnsiTheme="majorBidi" w:cstheme="majorBidi"/>
        </w:rPr>
        <w:t xml:space="preserve">Table </w:t>
      </w:r>
      <w:r w:rsidRPr="00FB7C26">
        <w:rPr>
          <w:rFonts w:asciiTheme="majorBidi" w:hAnsiTheme="majorBidi" w:cstheme="majorBidi"/>
        </w:rPr>
        <w:fldChar w:fldCharType="begin"/>
      </w:r>
      <w:r w:rsidRPr="00FB7C26">
        <w:rPr>
          <w:rFonts w:asciiTheme="majorBidi" w:hAnsiTheme="majorBidi" w:cstheme="majorBidi"/>
        </w:rPr>
        <w:instrText xml:space="preserve"> SEQ Table \* ARABIC </w:instrText>
      </w:r>
      <w:r w:rsidRPr="00FB7C26">
        <w:rPr>
          <w:rFonts w:asciiTheme="majorBidi" w:hAnsiTheme="majorBidi" w:cstheme="majorBidi"/>
        </w:rPr>
        <w:fldChar w:fldCharType="separate"/>
      </w:r>
      <w:r w:rsidR="00FE087B">
        <w:rPr>
          <w:rFonts w:asciiTheme="majorBidi" w:hAnsiTheme="majorBidi" w:cstheme="majorBidi"/>
          <w:noProof/>
        </w:rPr>
        <w:t>1</w:t>
      </w:r>
      <w:r w:rsidRPr="00FB7C26">
        <w:rPr>
          <w:rFonts w:asciiTheme="majorBidi" w:hAnsiTheme="majorBidi" w:cstheme="majorBidi"/>
        </w:rPr>
        <w:fldChar w:fldCharType="end"/>
      </w:r>
      <w:r w:rsidRPr="00FB7C26">
        <w:rPr>
          <w:rFonts w:asciiTheme="majorBidi" w:hAnsiTheme="majorBidi" w:cstheme="majorBidi"/>
        </w:rPr>
        <w:t xml:space="preserve"> Demographic Profile</w:t>
      </w:r>
      <w:r w:rsidR="0040253C">
        <w:rPr>
          <w:rFonts w:asciiTheme="majorBidi" w:hAnsiTheme="majorBidi" w:cstheme="majorBidi"/>
        </w:rPr>
        <w:t xml:space="preserve"> of </w:t>
      </w:r>
      <w:r w:rsidR="0040253C" w:rsidRPr="0040253C">
        <w:rPr>
          <w:rFonts w:asciiTheme="majorBidi" w:hAnsiTheme="majorBidi" w:cstheme="majorBidi"/>
        </w:rPr>
        <w:t>respondents</w:t>
      </w:r>
    </w:p>
    <w:tbl>
      <w:tblPr>
        <w:tblStyle w:val="TableGrid"/>
        <w:tblpPr w:leftFromText="180" w:rightFromText="180" w:vertAnchor="text" w:horzAnchor="page" w:tblpXSpec="center" w:tblpY="386"/>
        <w:tblW w:w="0" w:type="auto"/>
        <w:tblLook w:val="04A0" w:firstRow="1" w:lastRow="0" w:firstColumn="1" w:lastColumn="0" w:noHBand="0" w:noVBand="1"/>
      </w:tblPr>
      <w:tblGrid>
        <w:gridCol w:w="1927"/>
        <w:gridCol w:w="1759"/>
        <w:gridCol w:w="1824"/>
        <w:gridCol w:w="1778"/>
        <w:gridCol w:w="1728"/>
      </w:tblGrid>
      <w:tr w:rsidR="00FB7C26" w:rsidRPr="00166B49" w14:paraId="35251F3F" w14:textId="77777777" w:rsidTr="00FB7C26">
        <w:tc>
          <w:tcPr>
            <w:tcW w:w="1927" w:type="dxa"/>
            <w:vAlign w:val="center"/>
          </w:tcPr>
          <w:p w14:paraId="48C2347E"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Household Details</w:t>
            </w:r>
          </w:p>
        </w:tc>
        <w:tc>
          <w:tcPr>
            <w:tcW w:w="1759" w:type="dxa"/>
            <w:vAlign w:val="center"/>
          </w:tcPr>
          <w:p w14:paraId="5D64A395"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Male</w:t>
            </w:r>
          </w:p>
        </w:tc>
        <w:tc>
          <w:tcPr>
            <w:tcW w:w="1824" w:type="dxa"/>
            <w:vAlign w:val="center"/>
          </w:tcPr>
          <w:p w14:paraId="78E474D9"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Female</w:t>
            </w:r>
          </w:p>
        </w:tc>
        <w:tc>
          <w:tcPr>
            <w:tcW w:w="1778" w:type="dxa"/>
            <w:vAlign w:val="center"/>
          </w:tcPr>
          <w:p w14:paraId="6F63B459"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Total Population</w:t>
            </w:r>
          </w:p>
        </w:tc>
        <w:tc>
          <w:tcPr>
            <w:tcW w:w="1728" w:type="dxa"/>
          </w:tcPr>
          <w:p w14:paraId="5F0A9C90" w14:textId="77777777" w:rsidR="00FB7C26" w:rsidRPr="0058453A" w:rsidRDefault="00FB7C26" w:rsidP="006C5ECB">
            <w:pPr>
              <w:spacing w:line="360" w:lineRule="auto"/>
              <w:jc w:val="center"/>
              <w:rPr>
                <w:rFonts w:ascii="Times New Roman" w:hAnsi="Times New Roman" w:cs="Times New Roman"/>
                <w:b/>
                <w:bCs/>
                <w:sz w:val="20"/>
                <w:szCs w:val="20"/>
              </w:rPr>
            </w:pPr>
            <w:r w:rsidRPr="0058453A">
              <w:rPr>
                <w:rFonts w:ascii="Times New Roman" w:hAnsi="Times New Roman" w:cs="Times New Roman"/>
                <w:b/>
                <w:bCs/>
                <w:sz w:val="20"/>
                <w:szCs w:val="20"/>
              </w:rPr>
              <w:t>No. of Households</w:t>
            </w:r>
          </w:p>
        </w:tc>
      </w:tr>
      <w:tr w:rsidR="00FB7C26" w:rsidRPr="00166B49" w14:paraId="60C4A0C2" w14:textId="77777777" w:rsidTr="00FB7C26">
        <w:tc>
          <w:tcPr>
            <w:tcW w:w="1927" w:type="dxa"/>
            <w:vAlign w:val="center"/>
          </w:tcPr>
          <w:p w14:paraId="6C2C930B" w14:textId="77777777" w:rsidR="00FB7C26" w:rsidRPr="00166B49" w:rsidRDefault="00FB7C26" w:rsidP="006C5ECB">
            <w:pPr>
              <w:spacing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Mawlyndep</w:t>
            </w:r>
            <w:proofErr w:type="spellEnd"/>
            <w:r>
              <w:rPr>
                <w:rFonts w:ascii="Times New Roman" w:hAnsi="Times New Roman" w:cs="Times New Roman"/>
                <w:sz w:val="20"/>
                <w:szCs w:val="20"/>
              </w:rPr>
              <w:t xml:space="preserve"> Village</w:t>
            </w:r>
          </w:p>
        </w:tc>
        <w:tc>
          <w:tcPr>
            <w:tcW w:w="1759" w:type="dxa"/>
            <w:vAlign w:val="center"/>
          </w:tcPr>
          <w:p w14:paraId="05120110" w14:textId="77777777" w:rsidR="00FB7C26" w:rsidRPr="00166B49"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379</w:t>
            </w:r>
          </w:p>
        </w:tc>
        <w:tc>
          <w:tcPr>
            <w:tcW w:w="1824" w:type="dxa"/>
            <w:vAlign w:val="center"/>
          </w:tcPr>
          <w:p w14:paraId="1EBF843A" w14:textId="77777777" w:rsidR="00FB7C26" w:rsidRPr="00166B49"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337</w:t>
            </w:r>
          </w:p>
        </w:tc>
        <w:tc>
          <w:tcPr>
            <w:tcW w:w="1778" w:type="dxa"/>
            <w:vAlign w:val="center"/>
          </w:tcPr>
          <w:p w14:paraId="34406E80" w14:textId="77777777" w:rsidR="00FB7C26" w:rsidRPr="00166B49"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716</w:t>
            </w:r>
          </w:p>
        </w:tc>
        <w:tc>
          <w:tcPr>
            <w:tcW w:w="1728" w:type="dxa"/>
          </w:tcPr>
          <w:p w14:paraId="26DBFEA4" w14:textId="77777777" w:rsidR="00FB7C26" w:rsidRDefault="00FB7C26" w:rsidP="006C5ECB">
            <w:pPr>
              <w:spacing w:line="360" w:lineRule="auto"/>
              <w:jc w:val="center"/>
              <w:rPr>
                <w:rFonts w:ascii="Times New Roman" w:hAnsi="Times New Roman" w:cs="Times New Roman"/>
                <w:sz w:val="20"/>
                <w:szCs w:val="20"/>
              </w:rPr>
            </w:pPr>
            <w:r>
              <w:rPr>
                <w:rFonts w:ascii="Times New Roman" w:hAnsi="Times New Roman" w:cs="Times New Roman"/>
                <w:sz w:val="20"/>
                <w:szCs w:val="20"/>
              </w:rPr>
              <w:t>138</w:t>
            </w:r>
          </w:p>
        </w:tc>
      </w:tr>
    </w:tbl>
    <w:p w14:paraId="6023640D" w14:textId="77777777" w:rsidR="00FB7C26" w:rsidRPr="000E113E" w:rsidRDefault="00FB7C26" w:rsidP="000E113E">
      <w:pPr>
        <w:spacing w:line="360" w:lineRule="auto"/>
        <w:jc w:val="both"/>
        <w:rPr>
          <w:rFonts w:asciiTheme="majorBidi" w:hAnsiTheme="majorBidi" w:cstheme="majorBidi"/>
        </w:rPr>
      </w:pPr>
    </w:p>
    <w:p w14:paraId="03749E11" w14:textId="3889F99A" w:rsidR="007B4E38" w:rsidRPr="007B4E38" w:rsidRDefault="007B4E38" w:rsidP="007B1C00">
      <w:pPr>
        <w:spacing w:line="360" w:lineRule="auto"/>
        <w:jc w:val="both"/>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18427AD" w14:textId="5CC4663E" w:rsidR="007B4E38" w:rsidRPr="007B4E38" w:rsidRDefault="007B4E38" w:rsidP="007B4E38">
      <w:pPr>
        <w:pStyle w:val="Caption"/>
        <w:keepNext/>
        <w:jc w:val="center"/>
        <w:rPr>
          <w:rFonts w:asciiTheme="majorBidi" w:hAnsiTheme="majorBidi" w:cstheme="majorBidi"/>
        </w:rPr>
      </w:pPr>
      <w:r w:rsidRPr="007B4E38">
        <w:rPr>
          <w:rFonts w:asciiTheme="majorBidi" w:hAnsiTheme="majorBidi" w:cstheme="majorBidi"/>
        </w:rPr>
        <w:lastRenderedPageBreak/>
        <w:t xml:space="preserve">Table </w:t>
      </w:r>
      <w:r w:rsidRPr="007B4E38">
        <w:rPr>
          <w:rFonts w:asciiTheme="majorBidi" w:hAnsiTheme="majorBidi" w:cstheme="majorBidi"/>
        </w:rPr>
        <w:fldChar w:fldCharType="begin"/>
      </w:r>
      <w:r w:rsidRPr="007B4E38">
        <w:rPr>
          <w:rFonts w:asciiTheme="majorBidi" w:hAnsiTheme="majorBidi" w:cstheme="majorBidi"/>
        </w:rPr>
        <w:instrText xml:space="preserve"> SEQ Table \* ARABIC </w:instrText>
      </w:r>
      <w:r w:rsidRPr="007B4E38">
        <w:rPr>
          <w:rFonts w:asciiTheme="majorBidi" w:hAnsiTheme="majorBidi" w:cstheme="majorBidi"/>
        </w:rPr>
        <w:fldChar w:fldCharType="separate"/>
      </w:r>
      <w:r w:rsidR="00FE087B">
        <w:rPr>
          <w:rFonts w:asciiTheme="majorBidi" w:hAnsiTheme="majorBidi" w:cstheme="majorBidi"/>
          <w:noProof/>
        </w:rPr>
        <w:t>2</w:t>
      </w:r>
      <w:r w:rsidRPr="007B4E38">
        <w:rPr>
          <w:rFonts w:asciiTheme="majorBidi" w:hAnsiTheme="majorBidi" w:cstheme="majorBidi"/>
        </w:rPr>
        <w:fldChar w:fldCharType="end"/>
      </w:r>
      <w:r w:rsidRPr="007B4E38">
        <w:rPr>
          <w:rFonts w:asciiTheme="majorBidi" w:hAnsiTheme="majorBidi" w:cstheme="majorBidi"/>
        </w:rPr>
        <w:t xml:space="preserve"> Demographic Characteristics</w:t>
      </w:r>
      <w:r w:rsidR="0040253C">
        <w:rPr>
          <w:rFonts w:asciiTheme="majorBidi" w:hAnsiTheme="majorBidi" w:cstheme="majorBidi"/>
        </w:rPr>
        <w:t xml:space="preserve"> of </w:t>
      </w:r>
      <w:r w:rsidR="0040253C" w:rsidRPr="0040253C">
        <w:rPr>
          <w:rFonts w:asciiTheme="majorBidi" w:hAnsiTheme="majorBidi" w:cstheme="majorBidi"/>
        </w:rPr>
        <w:t>respondents</w:t>
      </w:r>
    </w:p>
    <w:tbl>
      <w:tblPr>
        <w:tblW w:w="4906" w:type="dxa"/>
        <w:jc w:val="center"/>
        <w:tblLook w:val="04A0" w:firstRow="1" w:lastRow="0" w:firstColumn="1" w:lastColumn="0" w:noHBand="0" w:noVBand="1"/>
      </w:tblPr>
      <w:tblGrid>
        <w:gridCol w:w="1927"/>
        <w:gridCol w:w="1499"/>
        <w:gridCol w:w="1480"/>
      </w:tblGrid>
      <w:tr w:rsidR="007B4E38" w:rsidRPr="00AB5C53" w14:paraId="53A0CB92" w14:textId="77777777" w:rsidTr="008F6B4C">
        <w:trPr>
          <w:trHeight w:val="290"/>
          <w:jc w:val="center"/>
        </w:trPr>
        <w:tc>
          <w:tcPr>
            <w:tcW w:w="1927" w:type="dxa"/>
            <w:tcBorders>
              <w:top w:val="single" w:sz="4" w:space="0" w:color="auto"/>
              <w:left w:val="single" w:sz="4" w:space="0" w:color="auto"/>
              <w:bottom w:val="single" w:sz="4" w:space="0" w:color="auto"/>
              <w:right w:val="single" w:sz="4" w:space="0" w:color="auto"/>
            </w:tcBorders>
            <w:noWrap/>
            <w:vAlign w:val="bottom"/>
            <w:hideMark/>
          </w:tcPr>
          <w:p w14:paraId="5290B718"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Particulars</w:t>
            </w:r>
          </w:p>
        </w:tc>
        <w:tc>
          <w:tcPr>
            <w:tcW w:w="1499" w:type="dxa"/>
            <w:tcBorders>
              <w:top w:val="single" w:sz="4" w:space="0" w:color="auto"/>
              <w:left w:val="nil"/>
              <w:bottom w:val="single" w:sz="4" w:space="0" w:color="auto"/>
              <w:right w:val="single" w:sz="4" w:space="0" w:color="auto"/>
            </w:tcBorders>
            <w:vAlign w:val="center"/>
          </w:tcPr>
          <w:p w14:paraId="14CCE7CB" w14:textId="0C714635"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p>
        </w:tc>
        <w:tc>
          <w:tcPr>
            <w:tcW w:w="1480" w:type="dxa"/>
            <w:tcBorders>
              <w:top w:val="single" w:sz="4" w:space="0" w:color="auto"/>
              <w:left w:val="nil"/>
              <w:bottom w:val="single" w:sz="4" w:space="0" w:color="auto"/>
              <w:right w:val="single" w:sz="4" w:space="0" w:color="auto"/>
            </w:tcBorders>
            <w:vAlign w:val="center"/>
            <w:hideMark/>
          </w:tcPr>
          <w:p w14:paraId="13E50295"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Percentage (%)</w:t>
            </w:r>
          </w:p>
        </w:tc>
      </w:tr>
      <w:tr w:rsidR="007B4E38" w:rsidRPr="00AB5C53" w14:paraId="72360207" w14:textId="77777777" w:rsidTr="007B4E38">
        <w:trPr>
          <w:trHeight w:val="290"/>
          <w:jc w:val="center"/>
        </w:trPr>
        <w:tc>
          <w:tcPr>
            <w:tcW w:w="4906" w:type="dxa"/>
            <w:gridSpan w:val="3"/>
            <w:tcBorders>
              <w:top w:val="single" w:sz="4" w:space="0" w:color="auto"/>
              <w:left w:val="single" w:sz="4" w:space="0" w:color="auto"/>
              <w:bottom w:val="single" w:sz="4" w:space="0" w:color="auto"/>
              <w:right w:val="single" w:sz="4" w:space="0" w:color="auto"/>
            </w:tcBorders>
            <w:noWrap/>
            <w:vAlign w:val="bottom"/>
            <w:hideMark/>
          </w:tcPr>
          <w:p w14:paraId="5AAE77C7"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Gender</w:t>
            </w:r>
          </w:p>
        </w:tc>
      </w:tr>
      <w:tr w:rsidR="007B4E38" w:rsidRPr="00AB5C53" w14:paraId="6D691ED0"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1CF8C69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Female</w:t>
            </w:r>
          </w:p>
        </w:tc>
        <w:tc>
          <w:tcPr>
            <w:tcW w:w="1499" w:type="dxa"/>
            <w:tcBorders>
              <w:top w:val="nil"/>
              <w:left w:val="nil"/>
              <w:bottom w:val="single" w:sz="4" w:space="0" w:color="auto"/>
              <w:right w:val="single" w:sz="4" w:space="0" w:color="auto"/>
            </w:tcBorders>
            <w:noWrap/>
            <w:vAlign w:val="center"/>
            <w:hideMark/>
          </w:tcPr>
          <w:p w14:paraId="0EE79F65"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62</w:t>
            </w:r>
          </w:p>
        </w:tc>
        <w:tc>
          <w:tcPr>
            <w:tcW w:w="1480" w:type="dxa"/>
            <w:tcBorders>
              <w:top w:val="nil"/>
              <w:left w:val="nil"/>
              <w:bottom w:val="single" w:sz="4" w:space="0" w:color="auto"/>
              <w:right w:val="single" w:sz="4" w:space="0" w:color="auto"/>
            </w:tcBorders>
            <w:noWrap/>
            <w:vAlign w:val="center"/>
            <w:hideMark/>
          </w:tcPr>
          <w:p w14:paraId="66DAA7ED"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78.48</w:t>
            </w:r>
          </w:p>
        </w:tc>
      </w:tr>
      <w:tr w:rsidR="007B4E38" w:rsidRPr="00AB5C53" w14:paraId="37B2861C"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74D00B18"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Male</w:t>
            </w:r>
          </w:p>
        </w:tc>
        <w:tc>
          <w:tcPr>
            <w:tcW w:w="1499" w:type="dxa"/>
            <w:tcBorders>
              <w:top w:val="nil"/>
              <w:left w:val="nil"/>
              <w:bottom w:val="single" w:sz="4" w:space="0" w:color="auto"/>
              <w:right w:val="single" w:sz="4" w:space="0" w:color="auto"/>
            </w:tcBorders>
            <w:noWrap/>
            <w:vAlign w:val="center"/>
            <w:hideMark/>
          </w:tcPr>
          <w:p w14:paraId="6C468988"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17</w:t>
            </w:r>
          </w:p>
        </w:tc>
        <w:tc>
          <w:tcPr>
            <w:tcW w:w="1480" w:type="dxa"/>
            <w:tcBorders>
              <w:top w:val="nil"/>
              <w:left w:val="nil"/>
              <w:bottom w:val="single" w:sz="4" w:space="0" w:color="auto"/>
              <w:right w:val="single" w:sz="4" w:space="0" w:color="auto"/>
            </w:tcBorders>
            <w:noWrap/>
            <w:vAlign w:val="center"/>
            <w:hideMark/>
          </w:tcPr>
          <w:p w14:paraId="6917234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21.52</w:t>
            </w:r>
          </w:p>
        </w:tc>
      </w:tr>
      <w:tr w:rsidR="007B4E38" w:rsidRPr="00AB5C53" w14:paraId="173A9AEA" w14:textId="77777777" w:rsidTr="007B4E38">
        <w:trPr>
          <w:trHeight w:val="290"/>
          <w:jc w:val="center"/>
        </w:trPr>
        <w:tc>
          <w:tcPr>
            <w:tcW w:w="1927" w:type="dxa"/>
            <w:tcBorders>
              <w:top w:val="nil"/>
              <w:left w:val="single" w:sz="4" w:space="0" w:color="auto"/>
              <w:bottom w:val="single" w:sz="4" w:space="0" w:color="auto"/>
              <w:right w:val="single" w:sz="4" w:space="0" w:color="auto"/>
            </w:tcBorders>
            <w:noWrap/>
            <w:vAlign w:val="bottom"/>
            <w:hideMark/>
          </w:tcPr>
          <w:p w14:paraId="56CFB60A"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noWrap/>
            <w:vAlign w:val="center"/>
            <w:hideMark/>
          </w:tcPr>
          <w:p w14:paraId="79877D9D"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noWrap/>
            <w:vAlign w:val="center"/>
            <w:hideMark/>
          </w:tcPr>
          <w:p w14:paraId="5DEAE406"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w:t>
            </w:r>
          </w:p>
        </w:tc>
      </w:tr>
      <w:tr w:rsidR="007B4E38" w:rsidRPr="00AB5C53" w14:paraId="7C2383BD" w14:textId="77777777" w:rsidTr="007B4E38">
        <w:trPr>
          <w:trHeight w:val="290"/>
          <w:jc w:val="center"/>
        </w:trPr>
        <w:tc>
          <w:tcPr>
            <w:tcW w:w="4906" w:type="dxa"/>
            <w:gridSpan w:val="3"/>
            <w:tcBorders>
              <w:top w:val="single" w:sz="4" w:space="0" w:color="auto"/>
              <w:left w:val="single" w:sz="4" w:space="0" w:color="auto"/>
              <w:bottom w:val="single" w:sz="4" w:space="0" w:color="auto"/>
              <w:right w:val="single" w:sz="4" w:space="0" w:color="auto"/>
            </w:tcBorders>
            <w:vAlign w:val="center"/>
            <w:hideMark/>
          </w:tcPr>
          <w:p w14:paraId="3E55C997"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Occupation</w:t>
            </w:r>
          </w:p>
        </w:tc>
      </w:tr>
      <w:tr w:rsidR="007B4E38" w:rsidRPr="00AB5C53" w14:paraId="26E07AD1"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7981DA5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Housewife</w:t>
            </w:r>
          </w:p>
        </w:tc>
        <w:tc>
          <w:tcPr>
            <w:tcW w:w="1499" w:type="dxa"/>
            <w:tcBorders>
              <w:top w:val="nil"/>
              <w:left w:val="nil"/>
              <w:bottom w:val="single" w:sz="4" w:space="0" w:color="auto"/>
              <w:right w:val="single" w:sz="4" w:space="0" w:color="auto"/>
            </w:tcBorders>
            <w:vAlign w:val="center"/>
            <w:hideMark/>
          </w:tcPr>
          <w:p w14:paraId="05A28FBB"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22</w:t>
            </w:r>
          </w:p>
        </w:tc>
        <w:tc>
          <w:tcPr>
            <w:tcW w:w="1480" w:type="dxa"/>
            <w:tcBorders>
              <w:top w:val="nil"/>
              <w:left w:val="nil"/>
              <w:bottom w:val="single" w:sz="4" w:space="0" w:color="auto"/>
              <w:right w:val="single" w:sz="4" w:space="0" w:color="auto"/>
            </w:tcBorders>
            <w:vAlign w:val="center"/>
            <w:hideMark/>
          </w:tcPr>
          <w:p w14:paraId="4870B5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27.85</w:t>
            </w:r>
          </w:p>
        </w:tc>
      </w:tr>
      <w:tr w:rsidR="007B4E38" w:rsidRPr="00AB5C53" w14:paraId="52FCFF5C"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0CD46BA3"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Labour</w:t>
            </w:r>
          </w:p>
        </w:tc>
        <w:tc>
          <w:tcPr>
            <w:tcW w:w="1499" w:type="dxa"/>
            <w:tcBorders>
              <w:top w:val="nil"/>
              <w:left w:val="nil"/>
              <w:bottom w:val="single" w:sz="4" w:space="0" w:color="auto"/>
              <w:right w:val="single" w:sz="4" w:space="0" w:color="auto"/>
            </w:tcBorders>
            <w:vAlign w:val="center"/>
            <w:hideMark/>
          </w:tcPr>
          <w:p w14:paraId="4C31F92C"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16</w:t>
            </w:r>
          </w:p>
        </w:tc>
        <w:tc>
          <w:tcPr>
            <w:tcW w:w="1480" w:type="dxa"/>
            <w:tcBorders>
              <w:top w:val="nil"/>
              <w:left w:val="nil"/>
              <w:bottom w:val="single" w:sz="4" w:space="0" w:color="auto"/>
              <w:right w:val="single" w:sz="4" w:space="0" w:color="auto"/>
            </w:tcBorders>
            <w:vAlign w:val="center"/>
            <w:hideMark/>
          </w:tcPr>
          <w:p w14:paraId="3430E63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20.25</w:t>
            </w:r>
          </w:p>
        </w:tc>
      </w:tr>
      <w:tr w:rsidR="007B4E38" w:rsidRPr="00AB5C53" w14:paraId="4B5C8318"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4EDD406A"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Farmer</w:t>
            </w:r>
          </w:p>
        </w:tc>
        <w:tc>
          <w:tcPr>
            <w:tcW w:w="1499" w:type="dxa"/>
            <w:tcBorders>
              <w:top w:val="nil"/>
              <w:left w:val="nil"/>
              <w:bottom w:val="single" w:sz="4" w:space="0" w:color="auto"/>
              <w:right w:val="single" w:sz="4" w:space="0" w:color="auto"/>
            </w:tcBorders>
            <w:vAlign w:val="center"/>
            <w:hideMark/>
          </w:tcPr>
          <w:p w14:paraId="18FD14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12</w:t>
            </w:r>
          </w:p>
        </w:tc>
        <w:tc>
          <w:tcPr>
            <w:tcW w:w="1480" w:type="dxa"/>
            <w:tcBorders>
              <w:top w:val="nil"/>
              <w:left w:val="nil"/>
              <w:bottom w:val="single" w:sz="4" w:space="0" w:color="auto"/>
              <w:right w:val="single" w:sz="4" w:space="0" w:color="auto"/>
            </w:tcBorders>
            <w:vAlign w:val="center"/>
            <w:hideMark/>
          </w:tcPr>
          <w:p w14:paraId="3FF8EB02"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15.19</w:t>
            </w:r>
          </w:p>
        </w:tc>
      </w:tr>
      <w:tr w:rsidR="007B4E38" w:rsidRPr="00AB5C53" w14:paraId="187EEDE7"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71E019E"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Teacher</w:t>
            </w:r>
          </w:p>
        </w:tc>
        <w:tc>
          <w:tcPr>
            <w:tcW w:w="1499" w:type="dxa"/>
            <w:tcBorders>
              <w:top w:val="nil"/>
              <w:left w:val="nil"/>
              <w:bottom w:val="single" w:sz="4" w:space="0" w:color="auto"/>
              <w:right w:val="single" w:sz="4" w:space="0" w:color="auto"/>
            </w:tcBorders>
            <w:vAlign w:val="center"/>
            <w:hideMark/>
          </w:tcPr>
          <w:p w14:paraId="1530D255"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w:t>
            </w:r>
          </w:p>
        </w:tc>
        <w:tc>
          <w:tcPr>
            <w:tcW w:w="1480" w:type="dxa"/>
            <w:tcBorders>
              <w:top w:val="nil"/>
              <w:left w:val="nil"/>
              <w:bottom w:val="single" w:sz="4" w:space="0" w:color="auto"/>
              <w:right w:val="single" w:sz="4" w:space="0" w:color="auto"/>
            </w:tcBorders>
            <w:vAlign w:val="center"/>
            <w:hideMark/>
          </w:tcPr>
          <w:p w14:paraId="0D01C8B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8.86</w:t>
            </w:r>
          </w:p>
        </w:tc>
      </w:tr>
      <w:tr w:rsidR="007B4E38" w:rsidRPr="00AB5C53" w14:paraId="3E5C7D4A"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58797854"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Student</w:t>
            </w:r>
          </w:p>
        </w:tc>
        <w:tc>
          <w:tcPr>
            <w:tcW w:w="1499" w:type="dxa"/>
            <w:tcBorders>
              <w:top w:val="nil"/>
              <w:left w:val="nil"/>
              <w:bottom w:val="single" w:sz="4" w:space="0" w:color="auto"/>
              <w:right w:val="single" w:sz="4" w:space="0" w:color="auto"/>
            </w:tcBorders>
            <w:vAlign w:val="center"/>
            <w:hideMark/>
          </w:tcPr>
          <w:p w14:paraId="470A1E4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w:t>
            </w:r>
          </w:p>
        </w:tc>
        <w:tc>
          <w:tcPr>
            <w:tcW w:w="1480" w:type="dxa"/>
            <w:tcBorders>
              <w:top w:val="nil"/>
              <w:left w:val="nil"/>
              <w:bottom w:val="single" w:sz="4" w:space="0" w:color="auto"/>
              <w:right w:val="single" w:sz="4" w:space="0" w:color="auto"/>
            </w:tcBorders>
            <w:vAlign w:val="center"/>
            <w:hideMark/>
          </w:tcPr>
          <w:p w14:paraId="6A3996D6"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8.86</w:t>
            </w:r>
          </w:p>
        </w:tc>
      </w:tr>
      <w:tr w:rsidR="007B4E38" w:rsidRPr="00AB5C53" w14:paraId="7C9EB676" w14:textId="77777777" w:rsidTr="007B4E38">
        <w:trPr>
          <w:trHeight w:val="520"/>
          <w:jc w:val="center"/>
        </w:trPr>
        <w:tc>
          <w:tcPr>
            <w:tcW w:w="1927" w:type="dxa"/>
            <w:tcBorders>
              <w:top w:val="nil"/>
              <w:left w:val="single" w:sz="4" w:space="0" w:color="auto"/>
              <w:bottom w:val="single" w:sz="4" w:space="0" w:color="auto"/>
              <w:right w:val="single" w:sz="4" w:space="0" w:color="auto"/>
            </w:tcBorders>
            <w:vAlign w:val="center"/>
            <w:hideMark/>
          </w:tcPr>
          <w:p w14:paraId="7D3F48C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Business/Shopkeeper</w:t>
            </w:r>
          </w:p>
        </w:tc>
        <w:tc>
          <w:tcPr>
            <w:tcW w:w="1499" w:type="dxa"/>
            <w:tcBorders>
              <w:top w:val="nil"/>
              <w:left w:val="nil"/>
              <w:bottom w:val="single" w:sz="4" w:space="0" w:color="auto"/>
              <w:right w:val="single" w:sz="4" w:space="0" w:color="auto"/>
            </w:tcBorders>
            <w:vAlign w:val="center"/>
            <w:hideMark/>
          </w:tcPr>
          <w:p w14:paraId="7FD83D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w:t>
            </w:r>
          </w:p>
        </w:tc>
        <w:tc>
          <w:tcPr>
            <w:tcW w:w="1480" w:type="dxa"/>
            <w:tcBorders>
              <w:top w:val="nil"/>
              <w:left w:val="nil"/>
              <w:bottom w:val="single" w:sz="4" w:space="0" w:color="auto"/>
              <w:right w:val="single" w:sz="4" w:space="0" w:color="auto"/>
            </w:tcBorders>
            <w:vAlign w:val="center"/>
            <w:hideMark/>
          </w:tcPr>
          <w:p w14:paraId="25AD18D7"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6.33</w:t>
            </w:r>
          </w:p>
        </w:tc>
      </w:tr>
      <w:tr w:rsidR="007B4E38" w:rsidRPr="00AB5C53" w14:paraId="49AC82FB"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6FCABC35"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Self-employed</w:t>
            </w:r>
          </w:p>
        </w:tc>
        <w:tc>
          <w:tcPr>
            <w:tcW w:w="1499" w:type="dxa"/>
            <w:tcBorders>
              <w:top w:val="nil"/>
              <w:left w:val="nil"/>
              <w:bottom w:val="single" w:sz="4" w:space="0" w:color="auto"/>
              <w:right w:val="single" w:sz="4" w:space="0" w:color="auto"/>
            </w:tcBorders>
            <w:vAlign w:val="center"/>
            <w:hideMark/>
          </w:tcPr>
          <w:p w14:paraId="4FA33A75"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4</w:t>
            </w:r>
          </w:p>
        </w:tc>
        <w:tc>
          <w:tcPr>
            <w:tcW w:w="1480" w:type="dxa"/>
            <w:tcBorders>
              <w:top w:val="nil"/>
              <w:left w:val="nil"/>
              <w:bottom w:val="single" w:sz="4" w:space="0" w:color="auto"/>
              <w:right w:val="single" w:sz="4" w:space="0" w:color="auto"/>
            </w:tcBorders>
            <w:vAlign w:val="center"/>
            <w:hideMark/>
          </w:tcPr>
          <w:p w14:paraId="4406886C"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5.06</w:t>
            </w:r>
          </w:p>
        </w:tc>
      </w:tr>
      <w:tr w:rsidR="007B4E38" w:rsidRPr="00AB5C53" w14:paraId="4BA45566" w14:textId="77777777" w:rsidTr="007B4E38">
        <w:trPr>
          <w:trHeight w:val="520"/>
          <w:jc w:val="center"/>
        </w:trPr>
        <w:tc>
          <w:tcPr>
            <w:tcW w:w="1927" w:type="dxa"/>
            <w:tcBorders>
              <w:top w:val="nil"/>
              <w:left w:val="single" w:sz="4" w:space="0" w:color="auto"/>
              <w:bottom w:val="single" w:sz="4" w:space="0" w:color="auto"/>
              <w:right w:val="single" w:sz="4" w:space="0" w:color="auto"/>
            </w:tcBorders>
            <w:vAlign w:val="center"/>
            <w:hideMark/>
          </w:tcPr>
          <w:p w14:paraId="7A29B8A9"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Service (Govt./Private)</w:t>
            </w:r>
          </w:p>
        </w:tc>
        <w:tc>
          <w:tcPr>
            <w:tcW w:w="1499" w:type="dxa"/>
            <w:tcBorders>
              <w:top w:val="nil"/>
              <w:left w:val="nil"/>
              <w:bottom w:val="single" w:sz="4" w:space="0" w:color="auto"/>
              <w:right w:val="single" w:sz="4" w:space="0" w:color="auto"/>
            </w:tcBorders>
            <w:vAlign w:val="center"/>
            <w:hideMark/>
          </w:tcPr>
          <w:p w14:paraId="2D9E37A9"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29CA296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1E3B730F"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7A6D0E3B"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Others</w:t>
            </w:r>
          </w:p>
        </w:tc>
        <w:tc>
          <w:tcPr>
            <w:tcW w:w="1499" w:type="dxa"/>
            <w:tcBorders>
              <w:top w:val="nil"/>
              <w:left w:val="nil"/>
              <w:bottom w:val="single" w:sz="4" w:space="0" w:color="auto"/>
              <w:right w:val="single" w:sz="4" w:space="0" w:color="auto"/>
            </w:tcBorders>
            <w:vAlign w:val="center"/>
            <w:hideMark/>
          </w:tcPr>
          <w:p w14:paraId="44C7E804"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441CC196"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1F086195"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69B9B893"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vAlign w:val="center"/>
            <w:hideMark/>
          </w:tcPr>
          <w:p w14:paraId="14EACD1A"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vAlign w:val="center"/>
            <w:hideMark/>
          </w:tcPr>
          <w:p w14:paraId="0ECB0EED"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100.00</w:t>
            </w:r>
          </w:p>
        </w:tc>
      </w:tr>
      <w:tr w:rsidR="007B4E38" w:rsidRPr="00AB5C53" w14:paraId="17BC6D1A" w14:textId="77777777" w:rsidTr="007B4E38">
        <w:trPr>
          <w:trHeight w:val="580"/>
          <w:jc w:val="center"/>
        </w:trPr>
        <w:tc>
          <w:tcPr>
            <w:tcW w:w="4906" w:type="dxa"/>
            <w:gridSpan w:val="3"/>
            <w:tcBorders>
              <w:top w:val="single" w:sz="4" w:space="0" w:color="auto"/>
              <w:left w:val="single" w:sz="4" w:space="0" w:color="auto"/>
              <w:bottom w:val="single" w:sz="4" w:space="0" w:color="auto"/>
              <w:right w:val="single" w:sz="4" w:space="0" w:color="auto"/>
            </w:tcBorders>
            <w:vAlign w:val="center"/>
            <w:hideMark/>
          </w:tcPr>
          <w:p w14:paraId="1F944F8C"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Household Size (No. of Members)</w:t>
            </w:r>
          </w:p>
        </w:tc>
      </w:tr>
      <w:tr w:rsidR="007B4E38" w:rsidRPr="00AB5C53" w14:paraId="42AD74EB"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2B23D9C"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1–3 members</w:t>
            </w:r>
          </w:p>
        </w:tc>
        <w:tc>
          <w:tcPr>
            <w:tcW w:w="1499" w:type="dxa"/>
            <w:tcBorders>
              <w:top w:val="nil"/>
              <w:left w:val="nil"/>
              <w:bottom w:val="single" w:sz="4" w:space="0" w:color="auto"/>
              <w:right w:val="single" w:sz="4" w:space="0" w:color="auto"/>
            </w:tcBorders>
            <w:vAlign w:val="center"/>
            <w:hideMark/>
          </w:tcPr>
          <w:p w14:paraId="7AF2683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5</w:t>
            </w:r>
          </w:p>
        </w:tc>
        <w:tc>
          <w:tcPr>
            <w:tcW w:w="1480" w:type="dxa"/>
            <w:tcBorders>
              <w:top w:val="nil"/>
              <w:left w:val="nil"/>
              <w:bottom w:val="single" w:sz="4" w:space="0" w:color="auto"/>
              <w:right w:val="single" w:sz="4" w:space="0" w:color="auto"/>
            </w:tcBorders>
            <w:vAlign w:val="center"/>
            <w:hideMark/>
          </w:tcPr>
          <w:p w14:paraId="4095821D"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6.33</w:t>
            </w:r>
          </w:p>
        </w:tc>
      </w:tr>
      <w:tr w:rsidR="007B4E38" w:rsidRPr="00AB5C53" w14:paraId="06245124"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136B21CF"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4–6 members</w:t>
            </w:r>
          </w:p>
        </w:tc>
        <w:tc>
          <w:tcPr>
            <w:tcW w:w="1499" w:type="dxa"/>
            <w:tcBorders>
              <w:top w:val="nil"/>
              <w:left w:val="nil"/>
              <w:bottom w:val="single" w:sz="4" w:space="0" w:color="auto"/>
              <w:right w:val="single" w:sz="4" w:space="0" w:color="auto"/>
            </w:tcBorders>
            <w:vAlign w:val="center"/>
            <w:hideMark/>
          </w:tcPr>
          <w:p w14:paraId="0FFCABC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31</w:t>
            </w:r>
          </w:p>
        </w:tc>
        <w:tc>
          <w:tcPr>
            <w:tcW w:w="1480" w:type="dxa"/>
            <w:tcBorders>
              <w:top w:val="nil"/>
              <w:left w:val="nil"/>
              <w:bottom w:val="single" w:sz="4" w:space="0" w:color="auto"/>
              <w:right w:val="single" w:sz="4" w:space="0" w:color="auto"/>
            </w:tcBorders>
            <w:vAlign w:val="center"/>
            <w:hideMark/>
          </w:tcPr>
          <w:p w14:paraId="6B571097"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39.24</w:t>
            </w:r>
          </w:p>
        </w:tc>
      </w:tr>
      <w:tr w:rsidR="007B4E38" w:rsidRPr="00AB5C53" w14:paraId="5A9791F4"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A49954A"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7–9 members</w:t>
            </w:r>
          </w:p>
        </w:tc>
        <w:tc>
          <w:tcPr>
            <w:tcW w:w="1499" w:type="dxa"/>
            <w:tcBorders>
              <w:top w:val="nil"/>
              <w:left w:val="nil"/>
              <w:bottom w:val="single" w:sz="4" w:space="0" w:color="auto"/>
              <w:right w:val="single" w:sz="4" w:space="0" w:color="auto"/>
            </w:tcBorders>
            <w:vAlign w:val="center"/>
            <w:hideMark/>
          </w:tcPr>
          <w:p w14:paraId="33F10F1A"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27</w:t>
            </w:r>
          </w:p>
        </w:tc>
        <w:tc>
          <w:tcPr>
            <w:tcW w:w="1480" w:type="dxa"/>
            <w:tcBorders>
              <w:top w:val="nil"/>
              <w:left w:val="nil"/>
              <w:bottom w:val="single" w:sz="4" w:space="0" w:color="auto"/>
              <w:right w:val="single" w:sz="4" w:space="0" w:color="auto"/>
            </w:tcBorders>
            <w:vAlign w:val="center"/>
            <w:hideMark/>
          </w:tcPr>
          <w:p w14:paraId="41DD1C68"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34.18</w:t>
            </w:r>
          </w:p>
        </w:tc>
      </w:tr>
      <w:tr w:rsidR="007B4E38" w:rsidRPr="00AB5C53" w14:paraId="6A0ACDE7"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03C7251F"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10–12 members</w:t>
            </w:r>
          </w:p>
        </w:tc>
        <w:tc>
          <w:tcPr>
            <w:tcW w:w="1499" w:type="dxa"/>
            <w:tcBorders>
              <w:top w:val="nil"/>
              <w:left w:val="nil"/>
              <w:bottom w:val="single" w:sz="4" w:space="0" w:color="auto"/>
              <w:right w:val="single" w:sz="4" w:space="0" w:color="auto"/>
            </w:tcBorders>
            <w:vAlign w:val="center"/>
            <w:hideMark/>
          </w:tcPr>
          <w:p w14:paraId="09E7C3D2"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13</w:t>
            </w:r>
          </w:p>
        </w:tc>
        <w:tc>
          <w:tcPr>
            <w:tcW w:w="1480" w:type="dxa"/>
            <w:tcBorders>
              <w:top w:val="nil"/>
              <w:left w:val="nil"/>
              <w:bottom w:val="single" w:sz="4" w:space="0" w:color="auto"/>
              <w:right w:val="single" w:sz="4" w:space="0" w:color="auto"/>
            </w:tcBorders>
            <w:vAlign w:val="center"/>
            <w:hideMark/>
          </w:tcPr>
          <w:p w14:paraId="1B50138D"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16.46</w:t>
            </w:r>
          </w:p>
        </w:tc>
      </w:tr>
      <w:tr w:rsidR="007B4E38" w:rsidRPr="00AB5C53" w14:paraId="6728FF80"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3B8A1446" w14:textId="77777777" w:rsidR="007B4E38" w:rsidRPr="00AB5C53" w:rsidRDefault="007B4E38" w:rsidP="006C5ECB">
            <w:pPr>
              <w:spacing w:after="0" w:line="360" w:lineRule="auto"/>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Above 12 members</w:t>
            </w:r>
          </w:p>
        </w:tc>
        <w:tc>
          <w:tcPr>
            <w:tcW w:w="1499" w:type="dxa"/>
            <w:tcBorders>
              <w:top w:val="nil"/>
              <w:left w:val="nil"/>
              <w:bottom w:val="single" w:sz="4" w:space="0" w:color="auto"/>
              <w:right w:val="single" w:sz="4" w:space="0" w:color="auto"/>
            </w:tcBorders>
            <w:vAlign w:val="center"/>
            <w:hideMark/>
          </w:tcPr>
          <w:p w14:paraId="3B3896D9"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w:t>
            </w:r>
          </w:p>
        </w:tc>
        <w:tc>
          <w:tcPr>
            <w:tcW w:w="1480" w:type="dxa"/>
            <w:tcBorders>
              <w:top w:val="nil"/>
              <w:left w:val="nil"/>
              <w:bottom w:val="single" w:sz="4" w:space="0" w:color="auto"/>
              <w:right w:val="single" w:sz="4" w:space="0" w:color="auto"/>
            </w:tcBorders>
            <w:vAlign w:val="center"/>
            <w:hideMark/>
          </w:tcPr>
          <w:p w14:paraId="04FFDF5F" w14:textId="77777777" w:rsidR="007B4E38" w:rsidRPr="00AB5C53" w:rsidRDefault="007B4E38" w:rsidP="006C5ECB">
            <w:pPr>
              <w:spacing w:after="0" w:line="360" w:lineRule="auto"/>
              <w:jc w:val="center"/>
              <w:rPr>
                <w:rFonts w:asciiTheme="majorBidi" w:eastAsia="Times New Roman" w:hAnsiTheme="majorBidi" w:cstheme="majorBidi"/>
                <w:color w:val="000000"/>
                <w:kern w:val="0"/>
                <w:sz w:val="20"/>
                <w:szCs w:val="20"/>
                <w:lang w:eastAsia="en-IN"/>
                <w14:ligatures w14:val="none"/>
              </w:rPr>
            </w:pPr>
            <w:r w:rsidRPr="00AB5C53">
              <w:rPr>
                <w:rFonts w:asciiTheme="majorBidi" w:eastAsia="Times New Roman" w:hAnsiTheme="majorBidi" w:cstheme="majorBidi"/>
                <w:color w:val="000000"/>
                <w:kern w:val="0"/>
                <w:sz w:val="20"/>
                <w:szCs w:val="20"/>
                <w:lang w:eastAsia="en-IN"/>
                <w14:ligatures w14:val="none"/>
              </w:rPr>
              <w:t>3.80</w:t>
            </w:r>
          </w:p>
        </w:tc>
      </w:tr>
      <w:tr w:rsidR="007B4E38" w:rsidRPr="00AB5C53" w14:paraId="3B92F8DF" w14:textId="77777777" w:rsidTr="007B4E38">
        <w:trPr>
          <w:trHeight w:val="290"/>
          <w:jc w:val="center"/>
        </w:trPr>
        <w:tc>
          <w:tcPr>
            <w:tcW w:w="1927" w:type="dxa"/>
            <w:tcBorders>
              <w:top w:val="nil"/>
              <w:left w:val="single" w:sz="4" w:space="0" w:color="auto"/>
              <w:bottom w:val="single" w:sz="4" w:space="0" w:color="auto"/>
              <w:right w:val="single" w:sz="4" w:space="0" w:color="auto"/>
            </w:tcBorders>
            <w:vAlign w:val="center"/>
            <w:hideMark/>
          </w:tcPr>
          <w:p w14:paraId="2ADEAFFC" w14:textId="77777777" w:rsidR="007B4E38" w:rsidRPr="00AB5C53" w:rsidRDefault="007B4E38" w:rsidP="006C5ECB">
            <w:pPr>
              <w:spacing w:after="0" w:line="360" w:lineRule="auto"/>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Total</w:t>
            </w:r>
          </w:p>
        </w:tc>
        <w:tc>
          <w:tcPr>
            <w:tcW w:w="1499" w:type="dxa"/>
            <w:tcBorders>
              <w:top w:val="nil"/>
              <w:left w:val="nil"/>
              <w:bottom w:val="single" w:sz="4" w:space="0" w:color="auto"/>
              <w:right w:val="single" w:sz="4" w:space="0" w:color="auto"/>
            </w:tcBorders>
            <w:vAlign w:val="center"/>
            <w:hideMark/>
          </w:tcPr>
          <w:p w14:paraId="3C123242"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79</w:t>
            </w:r>
          </w:p>
        </w:tc>
        <w:tc>
          <w:tcPr>
            <w:tcW w:w="1480" w:type="dxa"/>
            <w:tcBorders>
              <w:top w:val="nil"/>
              <w:left w:val="nil"/>
              <w:bottom w:val="single" w:sz="4" w:space="0" w:color="auto"/>
              <w:right w:val="single" w:sz="4" w:space="0" w:color="auto"/>
            </w:tcBorders>
            <w:vAlign w:val="center"/>
            <w:hideMark/>
          </w:tcPr>
          <w:p w14:paraId="211EF468" w14:textId="77777777" w:rsidR="007B4E38" w:rsidRPr="00AB5C53" w:rsidRDefault="007B4E38" w:rsidP="006C5ECB">
            <w:pPr>
              <w:spacing w:after="0" w:line="360" w:lineRule="auto"/>
              <w:jc w:val="center"/>
              <w:rPr>
                <w:rFonts w:asciiTheme="majorBidi" w:eastAsia="Times New Roman" w:hAnsiTheme="majorBidi" w:cstheme="majorBidi"/>
                <w:b/>
                <w:bCs/>
                <w:color w:val="000000"/>
                <w:kern w:val="0"/>
                <w:sz w:val="20"/>
                <w:szCs w:val="20"/>
                <w:lang w:eastAsia="en-IN"/>
                <w14:ligatures w14:val="none"/>
              </w:rPr>
            </w:pPr>
            <w:r w:rsidRPr="00AB5C53">
              <w:rPr>
                <w:rFonts w:asciiTheme="majorBidi" w:eastAsia="Times New Roman" w:hAnsiTheme="majorBidi" w:cstheme="majorBidi"/>
                <w:b/>
                <w:bCs/>
                <w:color w:val="000000"/>
                <w:kern w:val="0"/>
                <w:sz w:val="20"/>
                <w:szCs w:val="20"/>
                <w:lang w:eastAsia="en-IN"/>
                <w14:ligatures w14:val="none"/>
              </w:rPr>
              <w:t>100.00</w:t>
            </w:r>
          </w:p>
        </w:tc>
      </w:tr>
    </w:tbl>
    <w:p w14:paraId="0390C236" w14:textId="77777777" w:rsidR="007B4E38" w:rsidRPr="007B4E38" w:rsidRDefault="007B4E38" w:rsidP="007B4E38">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CA67710" w14:textId="3E1A09F4"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 xml:space="preserve">The total population of </w:t>
      </w:r>
      <w:proofErr w:type="spellStart"/>
      <w:r w:rsidRPr="00751AB7">
        <w:rPr>
          <w:rFonts w:asciiTheme="majorBidi" w:hAnsiTheme="majorBidi" w:cstheme="majorBidi"/>
        </w:rPr>
        <w:t>Mawlyndep</w:t>
      </w:r>
      <w:proofErr w:type="spellEnd"/>
      <w:r w:rsidRPr="00751AB7">
        <w:rPr>
          <w:rFonts w:asciiTheme="majorBidi" w:hAnsiTheme="majorBidi" w:cstheme="majorBidi"/>
        </w:rPr>
        <w:t xml:space="preserve"> village is 716, consisting of 379 males and 337 females, distributed across 138 households</w:t>
      </w:r>
      <w:r>
        <w:rPr>
          <w:rFonts w:asciiTheme="majorBidi" w:hAnsiTheme="majorBidi" w:cstheme="majorBidi"/>
        </w:rPr>
        <w:t xml:space="preserve"> (Table 1)</w:t>
      </w:r>
      <w:r w:rsidRPr="00751AB7">
        <w:rPr>
          <w:rFonts w:asciiTheme="majorBidi" w:hAnsiTheme="majorBidi" w:cstheme="majorBidi"/>
        </w:rPr>
        <w:t>. From the sampled households, most respondents were female (78.48%), indicating that women are more involved in water-related activities at the household level.</w:t>
      </w:r>
    </w:p>
    <w:p w14:paraId="69326465" w14:textId="77777777"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t>In terms of occupation, a large proportion of respondents were housewives (27.85%), followed by labourers (20.25%) and farmers (15.19%). This shows that the village has a mixed livelihood structure with dependence on both domestic and manual work.</w:t>
      </w:r>
    </w:p>
    <w:p w14:paraId="4D4270C0" w14:textId="68B4F632" w:rsidR="00751AB7" w:rsidRPr="00751AB7" w:rsidRDefault="00751AB7" w:rsidP="00751AB7">
      <w:pPr>
        <w:spacing w:line="360" w:lineRule="auto"/>
        <w:jc w:val="both"/>
        <w:rPr>
          <w:rFonts w:asciiTheme="majorBidi" w:hAnsiTheme="majorBidi" w:cstheme="majorBidi"/>
        </w:rPr>
      </w:pPr>
      <w:r w:rsidRPr="00751AB7">
        <w:rPr>
          <w:rFonts w:asciiTheme="majorBidi" w:hAnsiTheme="majorBidi" w:cstheme="majorBidi"/>
        </w:rPr>
        <w:lastRenderedPageBreak/>
        <w:t>Most households have medium to large family sizes, with the majority falling in the range of 4–6 members (39.24%) and 7–9 members (34.18%). This indicates higher water demand at the household level</w:t>
      </w:r>
      <w:r>
        <w:rPr>
          <w:rFonts w:asciiTheme="majorBidi" w:hAnsiTheme="majorBidi" w:cstheme="majorBidi"/>
        </w:rPr>
        <w:t xml:space="preserve"> (Table 2)</w:t>
      </w:r>
      <w:r w:rsidRPr="00751AB7">
        <w:rPr>
          <w:rFonts w:asciiTheme="majorBidi" w:hAnsiTheme="majorBidi" w:cstheme="majorBidi"/>
        </w:rPr>
        <w:t>.</w:t>
      </w:r>
    </w:p>
    <w:p w14:paraId="6592FA14" w14:textId="77777777" w:rsidR="007B4E38" w:rsidRDefault="007B4E38" w:rsidP="00751AB7">
      <w:pPr>
        <w:spacing w:line="360" w:lineRule="auto"/>
        <w:rPr>
          <w:rFonts w:asciiTheme="majorBidi" w:hAnsiTheme="majorBidi" w:cstheme="majorBidi"/>
          <w:b/>
          <w:bCs/>
        </w:rPr>
      </w:pPr>
    </w:p>
    <w:p w14:paraId="1DBE8852" w14:textId="0D4E53D6" w:rsidR="00C06214" w:rsidRPr="00C06214" w:rsidRDefault="0040253C" w:rsidP="00C06214">
      <w:pPr>
        <w:pStyle w:val="ListParagraph"/>
        <w:numPr>
          <w:ilvl w:val="0"/>
          <w:numId w:val="4"/>
        </w:numPr>
        <w:spacing w:line="360" w:lineRule="auto"/>
        <w:ind w:left="426"/>
        <w:jc w:val="both"/>
        <w:rPr>
          <w:rFonts w:asciiTheme="majorBidi" w:hAnsiTheme="majorBidi" w:cstheme="majorBidi"/>
          <w:b/>
          <w:bCs/>
        </w:rPr>
      </w:pPr>
      <w:r>
        <w:rPr>
          <w:rFonts w:asciiTheme="majorBidi" w:hAnsiTheme="majorBidi" w:cstheme="majorBidi"/>
          <w:b/>
          <w:bCs/>
        </w:rPr>
        <w:t>Result</w:t>
      </w:r>
      <w:r w:rsidR="00FB7C26" w:rsidRPr="00C06214">
        <w:rPr>
          <w:rFonts w:asciiTheme="majorBidi" w:hAnsiTheme="majorBidi" w:cstheme="majorBidi"/>
          <w:b/>
          <w:bCs/>
        </w:rPr>
        <w:t>s:</w:t>
      </w:r>
    </w:p>
    <w:p w14:paraId="79AE935C" w14:textId="76650D5C" w:rsidR="00D46116" w:rsidRPr="00C06214" w:rsidRDefault="00D46116"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Sources and Availability</w:t>
      </w:r>
    </w:p>
    <w:p w14:paraId="39581D85" w14:textId="77777777" w:rsidR="00D46116" w:rsidRPr="00D46116" w:rsidRDefault="00D46116" w:rsidP="00D46116">
      <w:pPr>
        <w:spacing w:line="360" w:lineRule="auto"/>
        <w:jc w:val="both"/>
        <w:rPr>
          <w:rFonts w:asciiTheme="majorBidi" w:hAnsiTheme="majorBidi" w:cstheme="majorBidi"/>
        </w:rPr>
      </w:pPr>
      <w:r w:rsidRPr="00D46116">
        <w:rPr>
          <w:rFonts w:asciiTheme="majorBidi" w:hAnsiTheme="majorBidi" w:cstheme="majorBidi"/>
        </w:rPr>
        <w:t>Households depend on multiple water sources, with PHE (government tap) being the main source used by most households. However, its reliability is only moderate (mean score 3.54).</w:t>
      </w:r>
    </w:p>
    <w:p w14:paraId="04713CC7" w14:textId="6AF55870" w:rsidR="00D46116" w:rsidRPr="00D46116" w:rsidRDefault="00D46116" w:rsidP="00D46116">
      <w:pPr>
        <w:spacing w:line="360" w:lineRule="auto"/>
        <w:jc w:val="both"/>
        <w:rPr>
          <w:rFonts w:asciiTheme="majorBidi" w:hAnsiTheme="majorBidi" w:cstheme="majorBidi"/>
        </w:rPr>
      </w:pPr>
      <w:r w:rsidRPr="00D46116">
        <w:rPr>
          <w:rFonts w:asciiTheme="majorBidi" w:hAnsiTheme="majorBidi" w:cstheme="majorBidi"/>
        </w:rPr>
        <w:t xml:space="preserve">Other sources such as wells, tanker supply, borewell and streams show higher reliability, with most having a mean score of 4 (daily availability) </w:t>
      </w:r>
      <w:r>
        <w:rPr>
          <w:rFonts w:asciiTheme="majorBidi" w:hAnsiTheme="majorBidi" w:cstheme="majorBidi"/>
        </w:rPr>
        <w:t>(Table 3)</w:t>
      </w:r>
      <w:r w:rsidRPr="00D46116">
        <w:rPr>
          <w:rFonts w:asciiTheme="majorBidi" w:hAnsiTheme="majorBidi" w:cstheme="majorBidi"/>
        </w:rPr>
        <w:t>. This indicates that households often rely on alternative sources due to inconsistency in government supply.</w:t>
      </w:r>
    </w:p>
    <w:p w14:paraId="07356062" w14:textId="0C1EF99D" w:rsidR="00D46116" w:rsidRDefault="00D46116" w:rsidP="00D46116">
      <w:pPr>
        <w:spacing w:line="360" w:lineRule="auto"/>
        <w:jc w:val="both"/>
        <w:rPr>
          <w:rFonts w:asciiTheme="majorBidi" w:hAnsiTheme="majorBidi" w:cstheme="majorBidi"/>
        </w:rPr>
      </w:pPr>
      <w:r w:rsidRPr="00D46116">
        <w:rPr>
          <w:rFonts w:asciiTheme="majorBidi" w:hAnsiTheme="majorBidi" w:cstheme="majorBidi"/>
        </w:rPr>
        <w:t>Water storage is also common among households. A significant proportion stores between 401</w:t>
      </w:r>
      <w:r w:rsidR="009E6FAE">
        <w:rPr>
          <w:rFonts w:asciiTheme="majorBidi" w:hAnsiTheme="majorBidi" w:cstheme="majorBidi"/>
        </w:rPr>
        <w:t>-</w:t>
      </w:r>
      <w:r w:rsidRPr="00D46116">
        <w:rPr>
          <w:rFonts w:asciiTheme="majorBidi" w:hAnsiTheme="majorBidi" w:cstheme="majorBidi"/>
        </w:rPr>
        <w:t>600 litres (36.7%), followed by 200</w:t>
      </w:r>
      <w:r w:rsidR="009E6FAE">
        <w:rPr>
          <w:rFonts w:asciiTheme="majorBidi" w:hAnsiTheme="majorBidi" w:cstheme="majorBidi"/>
        </w:rPr>
        <w:t>-</w:t>
      </w:r>
      <w:r w:rsidRPr="00D46116">
        <w:rPr>
          <w:rFonts w:asciiTheme="majorBidi" w:hAnsiTheme="majorBidi" w:cstheme="majorBidi"/>
        </w:rPr>
        <w:t>400 litres (30.37%), showing that people store water to manage irregular supply.</w:t>
      </w:r>
    </w:p>
    <w:p w14:paraId="2E97FEC9" w14:textId="29ACFA01" w:rsidR="00D46116" w:rsidRPr="00D46116" w:rsidRDefault="00D46116" w:rsidP="00D46116">
      <w:pPr>
        <w:pStyle w:val="Caption"/>
        <w:keepNext/>
        <w:jc w:val="center"/>
        <w:rPr>
          <w:rFonts w:asciiTheme="majorBidi" w:hAnsiTheme="majorBidi" w:cstheme="majorBidi"/>
        </w:rPr>
      </w:pPr>
      <w:r w:rsidRPr="00D46116">
        <w:rPr>
          <w:rFonts w:asciiTheme="majorBidi" w:hAnsiTheme="majorBidi" w:cstheme="majorBidi"/>
        </w:rPr>
        <w:t xml:space="preserve">Table </w:t>
      </w:r>
      <w:r w:rsidRPr="00D46116">
        <w:rPr>
          <w:rFonts w:asciiTheme="majorBidi" w:hAnsiTheme="majorBidi" w:cstheme="majorBidi"/>
        </w:rPr>
        <w:fldChar w:fldCharType="begin"/>
      </w:r>
      <w:r w:rsidRPr="00D46116">
        <w:rPr>
          <w:rFonts w:asciiTheme="majorBidi" w:hAnsiTheme="majorBidi" w:cstheme="majorBidi"/>
        </w:rPr>
        <w:instrText xml:space="preserve"> SEQ Table \* ARABIC </w:instrText>
      </w:r>
      <w:r w:rsidRPr="00D46116">
        <w:rPr>
          <w:rFonts w:asciiTheme="majorBidi" w:hAnsiTheme="majorBidi" w:cstheme="majorBidi"/>
        </w:rPr>
        <w:fldChar w:fldCharType="separate"/>
      </w:r>
      <w:r w:rsidR="00FE087B">
        <w:rPr>
          <w:rFonts w:asciiTheme="majorBidi" w:hAnsiTheme="majorBidi" w:cstheme="majorBidi"/>
          <w:noProof/>
        </w:rPr>
        <w:t>3</w:t>
      </w:r>
      <w:r w:rsidRPr="00D46116">
        <w:rPr>
          <w:rFonts w:asciiTheme="majorBidi" w:hAnsiTheme="majorBidi" w:cstheme="majorBidi"/>
        </w:rPr>
        <w:fldChar w:fldCharType="end"/>
      </w:r>
      <w:r w:rsidRPr="00D46116">
        <w:rPr>
          <w:rFonts w:asciiTheme="majorBidi" w:hAnsiTheme="majorBidi" w:cstheme="majorBidi"/>
        </w:rPr>
        <w:t xml:space="preserve"> Mean regularity score by source of water</w:t>
      </w:r>
    </w:p>
    <w:tbl>
      <w:tblPr>
        <w:tblW w:w="7080" w:type="dxa"/>
        <w:jc w:val="center"/>
        <w:tblLook w:val="04A0" w:firstRow="1" w:lastRow="0" w:firstColumn="1" w:lastColumn="0" w:noHBand="0" w:noVBand="1"/>
      </w:tblPr>
      <w:tblGrid>
        <w:gridCol w:w="1980"/>
        <w:gridCol w:w="1820"/>
        <w:gridCol w:w="1520"/>
        <w:gridCol w:w="1760"/>
      </w:tblGrid>
      <w:tr w:rsidR="00D46116" w:rsidRPr="00455EE8" w14:paraId="688B3AAB" w14:textId="77777777" w:rsidTr="006C5ECB">
        <w:trPr>
          <w:trHeight w:val="54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CCBFADF"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Source of Water</w:t>
            </w:r>
          </w:p>
        </w:tc>
        <w:tc>
          <w:tcPr>
            <w:tcW w:w="1820" w:type="dxa"/>
            <w:tcBorders>
              <w:top w:val="single" w:sz="4" w:space="0" w:color="auto"/>
              <w:left w:val="nil"/>
              <w:bottom w:val="single" w:sz="4" w:space="0" w:color="auto"/>
              <w:right w:val="single" w:sz="4" w:space="0" w:color="auto"/>
            </w:tcBorders>
            <w:vAlign w:val="center"/>
            <w:hideMark/>
          </w:tcPr>
          <w:p w14:paraId="1864276A"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Total Households (n)</w:t>
            </w:r>
          </w:p>
        </w:tc>
        <w:tc>
          <w:tcPr>
            <w:tcW w:w="1520" w:type="dxa"/>
            <w:tcBorders>
              <w:top w:val="single" w:sz="4" w:space="0" w:color="auto"/>
              <w:left w:val="nil"/>
              <w:bottom w:val="single" w:sz="4" w:space="0" w:color="auto"/>
              <w:right w:val="single" w:sz="4" w:space="0" w:color="auto"/>
            </w:tcBorders>
            <w:vAlign w:val="center"/>
            <w:hideMark/>
          </w:tcPr>
          <w:p w14:paraId="5548BE49"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Regularity Score (Mean)</w:t>
            </w:r>
          </w:p>
        </w:tc>
        <w:tc>
          <w:tcPr>
            <w:tcW w:w="1760" w:type="dxa"/>
            <w:tcBorders>
              <w:top w:val="single" w:sz="4" w:space="0" w:color="auto"/>
              <w:left w:val="nil"/>
              <w:bottom w:val="single" w:sz="4" w:space="0" w:color="auto"/>
              <w:right w:val="single" w:sz="4" w:space="0" w:color="auto"/>
            </w:tcBorders>
            <w:vAlign w:val="center"/>
            <w:hideMark/>
          </w:tcPr>
          <w:p w14:paraId="62B8D9DF" w14:textId="77777777" w:rsidR="00D46116" w:rsidRPr="00455EE8" w:rsidRDefault="00D46116"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455EE8">
              <w:rPr>
                <w:rFonts w:ascii="Times New Roman" w:eastAsia="Times New Roman" w:hAnsi="Times New Roman" w:cs="Times New Roman"/>
                <w:b/>
                <w:bCs/>
                <w:color w:val="000000"/>
                <w:kern w:val="0"/>
                <w:sz w:val="20"/>
                <w:szCs w:val="20"/>
                <w:lang w:eastAsia="en-IN"/>
                <w14:ligatures w14:val="none"/>
              </w:rPr>
              <w:t>Interpretation</w:t>
            </w:r>
          </w:p>
        </w:tc>
      </w:tr>
      <w:tr w:rsidR="00D46116" w:rsidRPr="00455EE8" w14:paraId="184174D9"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40569939"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PHE (Govt. Tap)</w:t>
            </w:r>
          </w:p>
        </w:tc>
        <w:tc>
          <w:tcPr>
            <w:tcW w:w="1820" w:type="dxa"/>
            <w:tcBorders>
              <w:top w:val="nil"/>
              <w:left w:val="nil"/>
              <w:bottom w:val="single" w:sz="4" w:space="0" w:color="auto"/>
              <w:right w:val="single" w:sz="4" w:space="0" w:color="auto"/>
            </w:tcBorders>
            <w:vAlign w:val="center"/>
            <w:hideMark/>
          </w:tcPr>
          <w:p w14:paraId="5540F726"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56</w:t>
            </w:r>
          </w:p>
        </w:tc>
        <w:tc>
          <w:tcPr>
            <w:tcW w:w="1520" w:type="dxa"/>
            <w:tcBorders>
              <w:top w:val="nil"/>
              <w:left w:val="nil"/>
              <w:bottom w:val="single" w:sz="4" w:space="0" w:color="auto"/>
              <w:right w:val="single" w:sz="4" w:space="0" w:color="auto"/>
            </w:tcBorders>
            <w:vAlign w:val="center"/>
            <w:hideMark/>
          </w:tcPr>
          <w:p w14:paraId="385645A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3.54</w:t>
            </w:r>
          </w:p>
        </w:tc>
        <w:tc>
          <w:tcPr>
            <w:tcW w:w="1760" w:type="dxa"/>
            <w:tcBorders>
              <w:top w:val="nil"/>
              <w:left w:val="nil"/>
              <w:bottom w:val="single" w:sz="4" w:space="0" w:color="auto"/>
              <w:right w:val="single" w:sz="4" w:space="0" w:color="auto"/>
            </w:tcBorders>
            <w:vAlign w:val="center"/>
            <w:hideMark/>
          </w:tcPr>
          <w:p w14:paraId="60BB9B4B"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Moderately regular</w:t>
            </w:r>
          </w:p>
        </w:tc>
      </w:tr>
      <w:tr w:rsidR="00D46116" w:rsidRPr="00455EE8" w14:paraId="08851BF2"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222C7230"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Well</w:t>
            </w:r>
          </w:p>
        </w:tc>
        <w:tc>
          <w:tcPr>
            <w:tcW w:w="1820" w:type="dxa"/>
            <w:tcBorders>
              <w:top w:val="nil"/>
              <w:left w:val="nil"/>
              <w:bottom w:val="single" w:sz="4" w:space="0" w:color="auto"/>
              <w:right w:val="single" w:sz="4" w:space="0" w:color="auto"/>
            </w:tcBorders>
            <w:vAlign w:val="center"/>
            <w:hideMark/>
          </w:tcPr>
          <w:p w14:paraId="1E256E9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9</w:t>
            </w:r>
          </w:p>
        </w:tc>
        <w:tc>
          <w:tcPr>
            <w:tcW w:w="1520" w:type="dxa"/>
            <w:tcBorders>
              <w:top w:val="nil"/>
              <w:left w:val="nil"/>
              <w:bottom w:val="single" w:sz="4" w:space="0" w:color="auto"/>
              <w:right w:val="single" w:sz="4" w:space="0" w:color="auto"/>
            </w:tcBorders>
            <w:vAlign w:val="center"/>
            <w:hideMark/>
          </w:tcPr>
          <w:p w14:paraId="1D1121FA"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3.67</w:t>
            </w:r>
          </w:p>
        </w:tc>
        <w:tc>
          <w:tcPr>
            <w:tcW w:w="1760" w:type="dxa"/>
            <w:tcBorders>
              <w:top w:val="nil"/>
              <w:left w:val="nil"/>
              <w:bottom w:val="single" w:sz="4" w:space="0" w:color="auto"/>
              <w:right w:val="single" w:sz="4" w:space="0" w:color="auto"/>
            </w:tcBorders>
            <w:vAlign w:val="center"/>
            <w:hideMark/>
          </w:tcPr>
          <w:p w14:paraId="35513C5A"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Regular</w:t>
            </w:r>
          </w:p>
        </w:tc>
      </w:tr>
      <w:tr w:rsidR="00D46116" w:rsidRPr="00455EE8" w14:paraId="5336F3F6"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758DBED2"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Borewell</w:t>
            </w:r>
          </w:p>
        </w:tc>
        <w:tc>
          <w:tcPr>
            <w:tcW w:w="1820" w:type="dxa"/>
            <w:tcBorders>
              <w:top w:val="nil"/>
              <w:left w:val="nil"/>
              <w:bottom w:val="single" w:sz="4" w:space="0" w:color="auto"/>
              <w:right w:val="single" w:sz="4" w:space="0" w:color="auto"/>
            </w:tcBorders>
            <w:vAlign w:val="center"/>
            <w:hideMark/>
          </w:tcPr>
          <w:p w14:paraId="59DE6910"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1</w:t>
            </w:r>
          </w:p>
        </w:tc>
        <w:tc>
          <w:tcPr>
            <w:tcW w:w="1520" w:type="dxa"/>
            <w:tcBorders>
              <w:top w:val="nil"/>
              <w:left w:val="nil"/>
              <w:bottom w:val="single" w:sz="4" w:space="0" w:color="auto"/>
              <w:right w:val="single" w:sz="4" w:space="0" w:color="auto"/>
            </w:tcBorders>
            <w:vAlign w:val="center"/>
            <w:hideMark/>
          </w:tcPr>
          <w:p w14:paraId="44715E82"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4C4376F2"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6B0DFE4D"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7E39FA3B"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River/Stream</w:t>
            </w:r>
          </w:p>
        </w:tc>
        <w:tc>
          <w:tcPr>
            <w:tcW w:w="1820" w:type="dxa"/>
            <w:tcBorders>
              <w:top w:val="nil"/>
              <w:left w:val="nil"/>
              <w:bottom w:val="single" w:sz="4" w:space="0" w:color="auto"/>
              <w:right w:val="single" w:sz="4" w:space="0" w:color="auto"/>
            </w:tcBorders>
            <w:vAlign w:val="center"/>
            <w:hideMark/>
          </w:tcPr>
          <w:p w14:paraId="1141AFC8"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1</w:t>
            </w:r>
          </w:p>
        </w:tc>
        <w:tc>
          <w:tcPr>
            <w:tcW w:w="1520" w:type="dxa"/>
            <w:tcBorders>
              <w:top w:val="nil"/>
              <w:left w:val="nil"/>
              <w:bottom w:val="single" w:sz="4" w:space="0" w:color="auto"/>
              <w:right w:val="single" w:sz="4" w:space="0" w:color="auto"/>
            </w:tcBorders>
            <w:vAlign w:val="center"/>
            <w:hideMark/>
          </w:tcPr>
          <w:p w14:paraId="2001595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6ECDDFC2"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08E72B99"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12E1AE4F"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Water Tanker</w:t>
            </w:r>
          </w:p>
        </w:tc>
        <w:tc>
          <w:tcPr>
            <w:tcW w:w="1820" w:type="dxa"/>
            <w:tcBorders>
              <w:top w:val="nil"/>
              <w:left w:val="nil"/>
              <w:bottom w:val="single" w:sz="4" w:space="0" w:color="auto"/>
              <w:right w:val="single" w:sz="4" w:space="0" w:color="auto"/>
            </w:tcBorders>
            <w:vAlign w:val="center"/>
            <w:hideMark/>
          </w:tcPr>
          <w:p w14:paraId="76E8DA8C"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7</w:t>
            </w:r>
          </w:p>
        </w:tc>
        <w:tc>
          <w:tcPr>
            <w:tcW w:w="1520" w:type="dxa"/>
            <w:tcBorders>
              <w:top w:val="nil"/>
              <w:left w:val="nil"/>
              <w:bottom w:val="single" w:sz="4" w:space="0" w:color="auto"/>
              <w:right w:val="single" w:sz="4" w:space="0" w:color="auto"/>
            </w:tcBorders>
            <w:vAlign w:val="center"/>
            <w:hideMark/>
          </w:tcPr>
          <w:p w14:paraId="5E15227F"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6BD942DE"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5E60A07A" w14:textId="77777777" w:rsidTr="006C5ECB">
        <w:trPr>
          <w:trHeight w:val="370"/>
          <w:jc w:val="center"/>
        </w:trPr>
        <w:tc>
          <w:tcPr>
            <w:tcW w:w="1980" w:type="dxa"/>
            <w:tcBorders>
              <w:top w:val="nil"/>
              <w:left w:val="single" w:sz="4" w:space="0" w:color="auto"/>
              <w:bottom w:val="single" w:sz="4" w:space="0" w:color="auto"/>
              <w:right w:val="single" w:sz="4" w:space="0" w:color="auto"/>
            </w:tcBorders>
            <w:vAlign w:val="center"/>
            <w:hideMark/>
          </w:tcPr>
          <w:p w14:paraId="27804441"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Others</w:t>
            </w:r>
          </w:p>
        </w:tc>
        <w:tc>
          <w:tcPr>
            <w:tcW w:w="1820" w:type="dxa"/>
            <w:tcBorders>
              <w:top w:val="nil"/>
              <w:left w:val="nil"/>
              <w:bottom w:val="single" w:sz="4" w:space="0" w:color="auto"/>
              <w:right w:val="single" w:sz="4" w:space="0" w:color="auto"/>
            </w:tcBorders>
            <w:vAlign w:val="center"/>
            <w:hideMark/>
          </w:tcPr>
          <w:p w14:paraId="7EC749E0"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5</w:t>
            </w:r>
          </w:p>
        </w:tc>
        <w:tc>
          <w:tcPr>
            <w:tcW w:w="1520" w:type="dxa"/>
            <w:tcBorders>
              <w:top w:val="nil"/>
              <w:left w:val="nil"/>
              <w:bottom w:val="single" w:sz="4" w:space="0" w:color="auto"/>
              <w:right w:val="single" w:sz="4" w:space="0" w:color="auto"/>
            </w:tcBorders>
            <w:vAlign w:val="center"/>
            <w:hideMark/>
          </w:tcPr>
          <w:p w14:paraId="3E6A1587"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4</w:t>
            </w:r>
          </w:p>
        </w:tc>
        <w:tc>
          <w:tcPr>
            <w:tcW w:w="1760" w:type="dxa"/>
            <w:tcBorders>
              <w:top w:val="nil"/>
              <w:left w:val="nil"/>
              <w:bottom w:val="single" w:sz="4" w:space="0" w:color="auto"/>
              <w:right w:val="single" w:sz="4" w:space="0" w:color="auto"/>
            </w:tcBorders>
            <w:vAlign w:val="center"/>
            <w:hideMark/>
          </w:tcPr>
          <w:p w14:paraId="06C8BF54" w14:textId="77777777" w:rsidR="00D46116" w:rsidRPr="00455EE8" w:rsidRDefault="00D46116"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Highly regular</w:t>
            </w:r>
          </w:p>
        </w:tc>
      </w:tr>
      <w:tr w:rsidR="00D46116" w:rsidRPr="00455EE8" w14:paraId="6706D290" w14:textId="77777777" w:rsidTr="006C5ECB">
        <w:trPr>
          <w:trHeight w:val="290"/>
          <w:jc w:val="center"/>
        </w:trPr>
        <w:tc>
          <w:tcPr>
            <w:tcW w:w="7080" w:type="dxa"/>
            <w:gridSpan w:val="4"/>
            <w:tcBorders>
              <w:top w:val="single" w:sz="4" w:space="0" w:color="auto"/>
              <w:left w:val="single" w:sz="4" w:space="0" w:color="auto"/>
              <w:bottom w:val="single" w:sz="4" w:space="0" w:color="auto"/>
              <w:right w:val="single" w:sz="4" w:space="0" w:color="auto"/>
            </w:tcBorders>
            <w:noWrap/>
            <w:vAlign w:val="bottom"/>
            <w:hideMark/>
          </w:tcPr>
          <w:p w14:paraId="3BF9538B" w14:textId="77777777" w:rsidR="00D46116" w:rsidRPr="00455EE8" w:rsidRDefault="00D46116"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455EE8">
              <w:rPr>
                <w:rFonts w:ascii="Times New Roman" w:eastAsia="Times New Roman" w:hAnsi="Times New Roman" w:cs="Times New Roman"/>
                <w:color w:val="000000"/>
                <w:kern w:val="0"/>
                <w:sz w:val="20"/>
                <w:szCs w:val="20"/>
                <w:lang w:eastAsia="en-IN"/>
                <w14:ligatures w14:val="none"/>
              </w:rPr>
              <w:t>(Score scale: 1 = Irregular, 2 = Weekly, 3 = Alternate days, 4 = Daily)</w:t>
            </w:r>
          </w:p>
        </w:tc>
      </w:tr>
    </w:tbl>
    <w:p w14:paraId="3C37D7E0"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5F8718B7" w14:textId="77777777" w:rsidR="00D46116" w:rsidRPr="00D46116" w:rsidRDefault="00D46116" w:rsidP="00D46116">
      <w:pPr>
        <w:spacing w:line="360" w:lineRule="auto"/>
        <w:jc w:val="both"/>
        <w:rPr>
          <w:rFonts w:asciiTheme="majorBidi" w:hAnsiTheme="majorBidi" w:cstheme="majorBidi"/>
        </w:rPr>
      </w:pPr>
    </w:p>
    <w:p w14:paraId="5A877BDE" w14:textId="41AA30AF"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Consumption Pattern</w:t>
      </w:r>
    </w:p>
    <w:p w14:paraId="140243B8" w14:textId="57598A0A"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Water is used for both domestic and livelihood purposes. Among different activities</w:t>
      </w:r>
      <w:r>
        <w:rPr>
          <w:rFonts w:asciiTheme="majorBidi" w:hAnsiTheme="majorBidi" w:cstheme="majorBidi"/>
        </w:rPr>
        <w:t>, w</w:t>
      </w:r>
      <w:r w:rsidRPr="00FE087B">
        <w:rPr>
          <w:rFonts w:asciiTheme="majorBidi" w:hAnsiTheme="majorBidi" w:cstheme="majorBidi"/>
        </w:rPr>
        <w:t>ashing clothes (119.73 L/day) uses the highest amount of water</w:t>
      </w:r>
      <w:r>
        <w:rPr>
          <w:rFonts w:asciiTheme="majorBidi" w:hAnsiTheme="majorBidi" w:cstheme="majorBidi"/>
        </w:rPr>
        <w:t>, f</w:t>
      </w:r>
      <w:r w:rsidRPr="00FE087B">
        <w:rPr>
          <w:rFonts w:asciiTheme="majorBidi" w:hAnsiTheme="majorBidi" w:cstheme="majorBidi"/>
        </w:rPr>
        <w:t xml:space="preserve">ollowed by gardening/farming (73.61 L/day) </w:t>
      </w:r>
      <w:r>
        <w:rPr>
          <w:rFonts w:asciiTheme="majorBidi" w:hAnsiTheme="majorBidi" w:cstheme="majorBidi"/>
        </w:rPr>
        <w:t>and b</w:t>
      </w:r>
      <w:r w:rsidRPr="00FE087B">
        <w:rPr>
          <w:rFonts w:asciiTheme="majorBidi" w:hAnsiTheme="majorBidi" w:cstheme="majorBidi"/>
        </w:rPr>
        <w:t>athing (68.57 L/day) and other uses (60.55 L/day) also consume considerable amounts</w:t>
      </w:r>
      <w:r>
        <w:rPr>
          <w:rFonts w:asciiTheme="majorBidi" w:hAnsiTheme="majorBidi" w:cstheme="majorBidi"/>
        </w:rPr>
        <w:t xml:space="preserve">. </w:t>
      </w:r>
      <w:r w:rsidRPr="00FE087B">
        <w:rPr>
          <w:rFonts w:asciiTheme="majorBidi" w:hAnsiTheme="majorBidi" w:cstheme="majorBidi"/>
        </w:rPr>
        <w:t>Water use for drinking and cooking is relatively low compared to other activities.</w:t>
      </w:r>
      <w:r>
        <w:rPr>
          <w:rFonts w:asciiTheme="majorBidi" w:hAnsiTheme="majorBidi" w:cstheme="majorBidi"/>
        </w:rPr>
        <w:t xml:space="preserve"> </w:t>
      </w:r>
      <w:r w:rsidRPr="00FE087B">
        <w:rPr>
          <w:rFonts w:asciiTheme="majorBidi" w:hAnsiTheme="majorBidi" w:cstheme="majorBidi"/>
        </w:rPr>
        <w:t xml:space="preserve">The </w:t>
      </w:r>
      <w:r w:rsidRPr="00FE087B">
        <w:rPr>
          <w:rFonts w:asciiTheme="majorBidi" w:hAnsiTheme="majorBidi" w:cstheme="majorBidi"/>
        </w:rPr>
        <w:lastRenderedPageBreak/>
        <w:t>average per capita water consumption is 70.23 litres per day, which indicates moderate water use at the household level</w:t>
      </w:r>
      <w:r>
        <w:rPr>
          <w:rFonts w:asciiTheme="majorBidi" w:hAnsiTheme="majorBidi" w:cstheme="majorBidi"/>
        </w:rPr>
        <w:t xml:space="preserve"> (Table 4)</w:t>
      </w:r>
    </w:p>
    <w:p w14:paraId="0D4AF550" w14:textId="6BA80DCD"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4</w:t>
      </w:r>
      <w:r w:rsidRPr="00FE087B">
        <w:rPr>
          <w:rFonts w:asciiTheme="majorBidi" w:hAnsiTheme="majorBidi" w:cstheme="majorBidi"/>
        </w:rPr>
        <w:fldChar w:fldCharType="end"/>
      </w:r>
      <w:r w:rsidRPr="00FE087B">
        <w:rPr>
          <w:rFonts w:asciiTheme="majorBidi" w:hAnsiTheme="majorBidi" w:cstheme="majorBidi"/>
        </w:rPr>
        <w:t xml:space="preserve"> Daily Water Consumption</w:t>
      </w:r>
    </w:p>
    <w:tbl>
      <w:tblPr>
        <w:tblW w:w="4140" w:type="dxa"/>
        <w:jc w:val="center"/>
        <w:tblLook w:val="04A0" w:firstRow="1" w:lastRow="0" w:firstColumn="1" w:lastColumn="0" w:noHBand="0" w:noVBand="1"/>
      </w:tblPr>
      <w:tblGrid>
        <w:gridCol w:w="2840"/>
        <w:gridCol w:w="1300"/>
      </w:tblGrid>
      <w:tr w:rsidR="00FE087B" w:rsidRPr="00521E34" w14:paraId="5BD2F590" w14:textId="77777777" w:rsidTr="006C5ECB">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1ACBA3F7" w14:textId="77777777" w:rsidR="00FE087B" w:rsidRPr="00521E34"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Activity</w:t>
            </w:r>
          </w:p>
        </w:tc>
        <w:tc>
          <w:tcPr>
            <w:tcW w:w="1300" w:type="dxa"/>
            <w:tcBorders>
              <w:top w:val="single" w:sz="4" w:space="0" w:color="auto"/>
              <w:left w:val="nil"/>
              <w:bottom w:val="single" w:sz="4" w:space="0" w:color="auto"/>
              <w:right w:val="single" w:sz="4" w:space="0" w:color="auto"/>
            </w:tcBorders>
            <w:vAlign w:val="center"/>
            <w:hideMark/>
          </w:tcPr>
          <w:p w14:paraId="115DF028" w14:textId="77777777" w:rsidR="00FE087B" w:rsidRPr="00521E34"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Mean water use (L/day)</w:t>
            </w:r>
          </w:p>
        </w:tc>
      </w:tr>
      <w:tr w:rsidR="00FE087B" w:rsidRPr="00521E34" w14:paraId="1E50FA90"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72376A5"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Drinking</w:t>
            </w:r>
          </w:p>
        </w:tc>
        <w:tc>
          <w:tcPr>
            <w:tcW w:w="1300" w:type="dxa"/>
            <w:tcBorders>
              <w:top w:val="nil"/>
              <w:left w:val="nil"/>
              <w:bottom w:val="single" w:sz="4" w:space="0" w:color="auto"/>
              <w:right w:val="single" w:sz="4" w:space="0" w:color="auto"/>
            </w:tcBorders>
            <w:vAlign w:val="center"/>
            <w:hideMark/>
          </w:tcPr>
          <w:p w14:paraId="368B6FE8"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15.55</w:t>
            </w:r>
          </w:p>
        </w:tc>
      </w:tr>
      <w:tr w:rsidR="00FE087B" w:rsidRPr="00521E34" w14:paraId="7A3EA2C0"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3A933A4"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Cooking</w:t>
            </w:r>
          </w:p>
        </w:tc>
        <w:tc>
          <w:tcPr>
            <w:tcW w:w="1300" w:type="dxa"/>
            <w:tcBorders>
              <w:top w:val="nil"/>
              <w:left w:val="nil"/>
              <w:bottom w:val="single" w:sz="4" w:space="0" w:color="auto"/>
              <w:right w:val="single" w:sz="4" w:space="0" w:color="auto"/>
            </w:tcBorders>
            <w:vAlign w:val="center"/>
            <w:hideMark/>
          </w:tcPr>
          <w:p w14:paraId="2D2EDF70"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24</w:t>
            </w:r>
          </w:p>
        </w:tc>
      </w:tr>
      <w:tr w:rsidR="00FE087B" w:rsidRPr="00521E34" w14:paraId="72F8379A"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FF6A280"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Bathing</w:t>
            </w:r>
          </w:p>
        </w:tc>
        <w:tc>
          <w:tcPr>
            <w:tcW w:w="1300" w:type="dxa"/>
            <w:tcBorders>
              <w:top w:val="nil"/>
              <w:left w:val="nil"/>
              <w:bottom w:val="single" w:sz="4" w:space="0" w:color="auto"/>
              <w:right w:val="single" w:sz="4" w:space="0" w:color="auto"/>
            </w:tcBorders>
            <w:vAlign w:val="center"/>
            <w:hideMark/>
          </w:tcPr>
          <w:p w14:paraId="43C4E0FE"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68.57</w:t>
            </w:r>
          </w:p>
        </w:tc>
      </w:tr>
      <w:tr w:rsidR="00FE087B" w:rsidRPr="00521E34" w14:paraId="5235D3F4"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77A0C27"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Washing clothes</w:t>
            </w:r>
          </w:p>
        </w:tc>
        <w:tc>
          <w:tcPr>
            <w:tcW w:w="1300" w:type="dxa"/>
            <w:tcBorders>
              <w:top w:val="nil"/>
              <w:left w:val="nil"/>
              <w:bottom w:val="single" w:sz="4" w:space="0" w:color="auto"/>
              <w:right w:val="single" w:sz="4" w:space="0" w:color="auto"/>
            </w:tcBorders>
            <w:vAlign w:val="center"/>
            <w:hideMark/>
          </w:tcPr>
          <w:p w14:paraId="6030FBB9"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119.73</w:t>
            </w:r>
          </w:p>
        </w:tc>
      </w:tr>
      <w:tr w:rsidR="00FE087B" w:rsidRPr="00521E34" w14:paraId="04F6464D"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611191F"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Cleaning utensils</w:t>
            </w:r>
          </w:p>
        </w:tc>
        <w:tc>
          <w:tcPr>
            <w:tcW w:w="1300" w:type="dxa"/>
            <w:tcBorders>
              <w:top w:val="nil"/>
              <w:left w:val="nil"/>
              <w:bottom w:val="single" w:sz="4" w:space="0" w:color="auto"/>
              <w:right w:val="single" w:sz="4" w:space="0" w:color="auto"/>
            </w:tcBorders>
            <w:vAlign w:val="center"/>
            <w:hideMark/>
          </w:tcPr>
          <w:p w14:paraId="08FDA02B"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36.21</w:t>
            </w:r>
          </w:p>
        </w:tc>
      </w:tr>
      <w:tr w:rsidR="00FE087B" w:rsidRPr="00521E34" w14:paraId="29582069"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6F39FAE"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Toilet use</w:t>
            </w:r>
          </w:p>
        </w:tc>
        <w:tc>
          <w:tcPr>
            <w:tcW w:w="1300" w:type="dxa"/>
            <w:tcBorders>
              <w:top w:val="nil"/>
              <w:left w:val="nil"/>
              <w:bottom w:val="single" w:sz="4" w:space="0" w:color="auto"/>
              <w:right w:val="single" w:sz="4" w:space="0" w:color="auto"/>
            </w:tcBorders>
            <w:vAlign w:val="center"/>
            <w:hideMark/>
          </w:tcPr>
          <w:p w14:paraId="7B41E0C0"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32.98</w:t>
            </w:r>
          </w:p>
        </w:tc>
      </w:tr>
      <w:tr w:rsidR="00FE087B" w:rsidRPr="00521E34" w14:paraId="34DFD441"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4E01CF5"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Gardening/Farming</w:t>
            </w:r>
          </w:p>
        </w:tc>
        <w:tc>
          <w:tcPr>
            <w:tcW w:w="1300" w:type="dxa"/>
            <w:tcBorders>
              <w:top w:val="nil"/>
              <w:left w:val="nil"/>
              <w:bottom w:val="single" w:sz="4" w:space="0" w:color="auto"/>
              <w:right w:val="single" w:sz="4" w:space="0" w:color="auto"/>
            </w:tcBorders>
            <w:vAlign w:val="center"/>
            <w:hideMark/>
          </w:tcPr>
          <w:p w14:paraId="14C3C16B"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73.61</w:t>
            </w:r>
          </w:p>
        </w:tc>
      </w:tr>
      <w:tr w:rsidR="00FE087B" w:rsidRPr="00521E34" w14:paraId="306FB48D"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09DE85CD" w14:textId="77777777" w:rsidR="00FE087B" w:rsidRPr="00521E34"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Others</w:t>
            </w:r>
          </w:p>
        </w:tc>
        <w:tc>
          <w:tcPr>
            <w:tcW w:w="1300" w:type="dxa"/>
            <w:tcBorders>
              <w:top w:val="nil"/>
              <w:left w:val="nil"/>
              <w:bottom w:val="single" w:sz="4" w:space="0" w:color="auto"/>
              <w:right w:val="single" w:sz="4" w:space="0" w:color="auto"/>
            </w:tcBorders>
            <w:vAlign w:val="center"/>
            <w:hideMark/>
          </w:tcPr>
          <w:p w14:paraId="38BFC830"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60.55</w:t>
            </w:r>
          </w:p>
        </w:tc>
      </w:tr>
      <w:tr w:rsidR="00FE087B" w:rsidRPr="00521E34" w14:paraId="5C01876F"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486E5A44" w14:textId="77777777" w:rsidR="00FE087B" w:rsidRPr="00521E34" w:rsidRDefault="00FE087B"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521E34">
              <w:rPr>
                <w:rFonts w:ascii="Times New Roman" w:eastAsia="Times New Roman" w:hAnsi="Times New Roman" w:cs="Times New Roman"/>
                <w:b/>
                <w:bCs/>
                <w:color w:val="000000"/>
                <w:kern w:val="0"/>
                <w:sz w:val="20"/>
                <w:szCs w:val="20"/>
                <w:lang w:eastAsia="en-IN"/>
                <w14:ligatures w14:val="none"/>
              </w:rPr>
              <w:t>Per capita use (L/day/person)</w:t>
            </w:r>
          </w:p>
        </w:tc>
        <w:tc>
          <w:tcPr>
            <w:tcW w:w="1300" w:type="dxa"/>
            <w:tcBorders>
              <w:top w:val="nil"/>
              <w:left w:val="nil"/>
              <w:bottom w:val="single" w:sz="4" w:space="0" w:color="auto"/>
              <w:right w:val="single" w:sz="4" w:space="0" w:color="auto"/>
            </w:tcBorders>
            <w:vAlign w:val="center"/>
            <w:hideMark/>
          </w:tcPr>
          <w:p w14:paraId="4C89C2C3" w14:textId="77777777" w:rsidR="00FE087B" w:rsidRPr="00521E34"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521E34">
              <w:rPr>
                <w:rFonts w:ascii="Times New Roman" w:eastAsia="Times New Roman" w:hAnsi="Times New Roman" w:cs="Times New Roman"/>
                <w:color w:val="000000"/>
                <w:kern w:val="0"/>
                <w:sz w:val="20"/>
                <w:szCs w:val="20"/>
                <w:lang w:eastAsia="en-IN"/>
                <w14:ligatures w14:val="none"/>
              </w:rPr>
              <w:t>70.23</w:t>
            </w:r>
          </w:p>
        </w:tc>
      </w:tr>
    </w:tbl>
    <w:p w14:paraId="456186AA"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20C0B6F9" w14:textId="3422375E"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Awareness and Water Conservation Practices</w:t>
      </w:r>
    </w:p>
    <w:p w14:paraId="31F60E6D" w14:textId="723A7E84"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Most respondents (87.34%) are aware of the need for water conservation. However, only 43.04% actually practice water-saving methods, while more than half (56.96%) do not follow conservation practices</w:t>
      </w:r>
      <w:r>
        <w:rPr>
          <w:rFonts w:asciiTheme="majorBidi" w:hAnsiTheme="majorBidi" w:cstheme="majorBidi"/>
        </w:rPr>
        <w:t xml:space="preserve"> (table 5)</w:t>
      </w:r>
      <w:r w:rsidRPr="00FE087B">
        <w:rPr>
          <w:rFonts w:asciiTheme="majorBidi" w:hAnsiTheme="majorBidi" w:cstheme="majorBidi"/>
        </w:rPr>
        <w:t>.</w:t>
      </w:r>
      <w:r>
        <w:rPr>
          <w:rFonts w:asciiTheme="majorBidi" w:hAnsiTheme="majorBidi" w:cstheme="majorBidi"/>
        </w:rPr>
        <w:t xml:space="preserve"> </w:t>
      </w:r>
      <w:r w:rsidRPr="00FE087B">
        <w:rPr>
          <w:rFonts w:asciiTheme="majorBidi" w:hAnsiTheme="majorBidi" w:cstheme="majorBidi"/>
        </w:rPr>
        <w:t>This shows a clear gap between awareness and actual behaviour.</w:t>
      </w:r>
    </w:p>
    <w:p w14:paraId="1EBC79ED" w14:textId="709E4EC0"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5</w:t>
      </w:r>
      <w:r w:rsidRPr="00FE087B">
        <w:rPr>
          <w:rFonts w:asciiTheme="majorBidi" w:hAnsiTheme="majorBidi" w:cstheme="majorBidi"/>
        </w:rPr>
        <w:fldChar w:fldCharType="end"/>
      </w:r>
      <w:r w:rsidRPr="00FE087B">
        <w:rPr>
          <w:rFonts w:asciiTheme="majorBidi" w:hAnsiTheme="majorBidi" w:cstheme="majorBidi"/>
        </w:rPr>
        <w:t xml:space="preserve"> Awareness and practice of water conservation</w:t>
      </w:r>
    </w:p>
    <w:tbl>
      <w:tblPr>
        <w:tblW w:w="7120" w:type="dxa"/>
        <w:jc w:val="center"/>
        <w:tblLook w:val="04A0" w:firstRow="1" w:lastRow="0" w:firstColumn="1" w:lastColumn="0" w:noHBand="0" w:noVBand="1"/>
      </w:tblPr>
      <w:tblGrid>
        <w:gridCol w:w="3539"/>
        <w:gridCol w:w="992"/>
        <w:gridCol w:w="769"/>
        <w:gridCol w:w="932"/>
        <w:gridCol w:w="888"/>
      </w:tblGrid>
      <w:tr w:rsidR="00DB19E3" w:rsidRPr="003867F6" w14:paraId="4DF67248" w14:textId="77777777" w:rsidTr="00DB19E3">
        <w:trPr>
          <w:trHeight w:val="520"/>
          <w:jc w:val="center"/>
        </w:trPr>
        <w:tc>
          <w:tcPr>
            <w:tcW w:w="3539" w:type="dxa"/>
            <w:vMerge w:val="restart"/>
            <w:tcBorders>
              <w:top w:val="single" w:sz="4" w:space="0" w:color="auto"/>
              <w:left w:val="single" w:sz="4" w:space="0" w:color="auto"/>
              <w:right w:val="single" w:sz="4" w:space="0" w:color="auto"/>
            </w:tcBorders>
            <w:vAlign w:val="center"/>
            <w:hideMark/>
          </w:tcPr>
          <w:p w14:paraId="45DB7F8D" w14:textId="77777777" w:rsidR="00DB19E3" w:rsidRPr="003867F6" w:rsidRDefault="00DB19E3"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Variable</w:t>
            </w:r>
          </w:p>
        </w:tc>
        <w:tc>
          <w:tcPr>
            <w:tcW w:w="1761" w:type="dxa"/>
            <w:gridSpan w:val="2"/>
            <w:tcBorders>
              <w:top w:val="single" w:sz="4" w:space="0" w:color="auto"/>
              <w:left w:val="nil"/>
              <w:bottom w:val="single" w:sz="4" w:space="0" w:color="auto"/>
              <w:right w:val="single" w:sz="4" w:space="0" w:color="auto"/>
            </w:tcBorders>
            <w:vAlign w:val="center"/>
            <w:hideMark/>
          </w:tcPr>
          <w:p w14:paraId="1DA416E3" w14:textId="58F9531D" w:rsidR="00DB19E3" w:rsidRPr="003867F6" w:rsidRDefault="00DB19E3"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Frequency</w:t>
            </w:r>
          </w:p>
        </w:tc>
        <w:tc>
          <w:tcPr>
            <w:tcW w:w="1820" w:type="dxa"/>
            <w:gridSpan w:val="2"/>
            <w:tcBorders>
              <w:top w:val="single" w:sz="4" w:space="0" w:color="auto"/>
              <w:left w:val="single" w:sz="4" w:space="0" w:color="auto"/>
              <w:bottom w:val="single" w:sz="4" w:space="0" w:color="auto"/>
              <w:right w:val="single" w:sz="4" w:space="0" w:color="auto"/>
            </w:tcBorders>
            <w:vAlign w:val="center"/>
            <w:hideMark/>
          </w:tcPr>
          <w:p w14:paraId="2D66707F" w14:textId="77777777" w:rsidR="00DB19E3" w:rsidRPr="003867F6" w:rsidRDefault="00DB19E3"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3867F6">
              <w:rPr>
                <w:rFonts w:ascii="Times New Roman" w:eastAsia="Times New Roman" w:hAnsi="Times New Roman" w:cs="Times New Roman"/>
                <w:b/>
                <w:bCs/>
                <w:color w:val="000000"/>
                <w:kern w:val="0"/>
                <w:sz w:val="20"/>
                <w:szCs w:val="20"/>
                <w:lang w:eastAsia="en-IN"/>
                <w14:ligatures w14:val="none"/>
              </w:rPr>
              <w:t>Percentage (%)</w:t>
            </w:r>
          </w:p>
        </w:tc>
      </w:tr>
      <w:tr w:rsidR="00DB19E3" w:rsidRPr="003867F6" w14:paraId="07185101" w14:textId="77777777" w:rsidTr="00DB19E3">
        <w:trPr>
          <w:trHeight w:val="520"/>
          <w:jc w:val="center"/>
        </w:trPr>
        <w:tc>
          <w:tcPr>
            <w:tcW w:w="3539" w:type="dxa"/>
            <w:vMerge/>
            <w:tcBorders>
              <w:left w:val="single" w:sz="4" w:space="0" w:color="auto"/>
              <w:bottom w:val="single" w:sz="4" w:space="0" w:color="auto"/>
              <w:right w:val="single" w:sz="4" w:space="0" w:color="auto"/>
            </w:tcBorders>
            <w:vAlign w:val="center"/>
          </w:tcPr>
          <w:p w14:paraId="647FB2DC" w14:textId="77777777" w:rsidR="00DB19E3" w:rsidRPr="003867F6" w:rsidRDefault="00DB19E3" w:rsidP="00DB19E3">
            <w:pPr>
              <w:spacing w:after="0" w:line="360" w:lineRule="auto"/>
              <w:rPr>
                <w:rFonts w:ascii="Times New Roman" w:eastAsia="Times New Roman" w:hAnsi="Times New Roman" w:cs="Times New Roman"/>
                <w:b/>
                <w:bCs/>
                <w:color w:val="000000"/>
                <w:kern w:val="0"/>
                <w:sz w:val="20"/>
                <w:szCs w:val="20"/>
                <w:lang w:eastAsia="en-IN"/>
                <w14:ligatures w14:val="none"/>
              </w:rPr>
            </w:pPr>
          </w:p>
        </w:tc>
        <w:tc>
          <w:tcPr>
            <w:tcW w:w="992" w:type="dxa"/>
            <w:tcBorders>
              <w:top w:val="single" w:sz="4" w:space="0" w:color="auto"/>
              <w:left w:val="nil"/>
              <w:bottom w:val="single" w:sz="4" w:space="0" w:color="auto"/>
              <w:right w:val="single" w:sz="4" w:space="0" w:color="auto"/>
            </w:tcBorders>
            <w:vAlign w:val="center"/>
          </w:tcPr>
          <w:p w14:paraId="11FD904B" w14:textId="338580B1" w:rsidR="00DB19E3" w:rsidRPr="003867F6" w:rsidRDefault="00DB19E3" w:rsidP="00DB19E3">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Pr>
                <w:rFonts w:ascii="Times New Roman" w:eastAsia="Times New Roman" w:hAnsi="Times New Roman" w:cs="Times New Roman"/>
                <w:b/>
                <w:bCs/>
                <w:color w:val="000000"/>
                <w:kern w:val="0"/>
                <w:sz w:val="20"/>
                <w:szCs w:val="20"/>
                <w:lang w:eastAsia="en-IN"/>
                <w14:ligatures w14:val="none"/>
              </w:rPr>
              <w:t>Yes</w:t>
            </w:r>
          </w:p>
        </w:tc>
        <w:tc>
          <w:tcPr>
            <w:tcW w:w="769" w:type="dxa"/>
            <w:tcBorders>
              <w:top w:val="single" w:sz="4" w:space="0" w:color="auto"/>
              <w:left w:val="single" w:sz="4" w:space="0" w:color="auto"/>
              <w:bottom w:val="single" w:sz="4" w:space="0" w:color="auto"/>
              <w:right w:val="single" w:sz="4" w:space="0" w:color="auto"/>
            </w:tcBorders>
            <w:vAlign w:val="center"/>
          </w:tcPr>
          <w:p w14:paraId="47955614" w14:textId="5519A96E" w:rsidR="00DB19E3" w:rsidRPr="003867F6" w:rsidRDefault="00DB19E3" w:rsidP="00DB19E3">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Pr>
                <w:rFonts w:ascii="Times New Roman" w:eastAsia="Times New Roman" w:hAnsi="Times New Roman" w:cs="Times New Roman"/>
                <w:b/>
                <w:bCs/>
                <w:color w:val="000000"/>
                <w:kern w:val="0"/>
                <w:sz w:val="20"/>
                <w:szCs w:val="20"/>
                <w:lang w:eastAsia="en-IN"/>
                <w14:ligatures w14:val="none"/>
              </w:rPr>
              <w:t>No</w:t>
            </w:r>
          </w:p>
        </w:tc>
        <w:tc>
          <w:tcPr>
            <w:tcW w:w="932" w:type="dxa"/>
            <w:tcBorders>
              <w:top w:val="single" w:sz="4" w:space="0" w:color="auto"/>
              <w:left w:val="single" w:sz="4" w:space="0" w:color="auto"/>
              <w:bottom w:val="single" w:sz="4" w:space="0" w:color="auto"/>
              <w:right w:val="single" w:sz="4" w:space="0" w:color="auto"/>
            </w:tcBorders>
            <w:vAlign w:val="center"/>
          </w:tcPr>
          <w:p w14:paraId="47140605" w14:textId="231B3A0B" w:rsidR="00DB19E3" w:rsidRPr="003867F6" w:rsidRDefault="00DB19E3" w:rsidP="00DB19E3">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Pr>
                <w:rFonts w:ascii="Times New Roman" w:eastAsia="Times New Roman" w:hAnsi="Times New Roman" w:cs="Times New Roman"/>
                <w:b/>
                <w:bCs/>
                <w:color w:val="000000"/>
                <w:kern w:val="0"/>
                <w:sz w:val="20"/>
                <w:szCs w:val="20"/>
                <w:lang w:eastAsia="en-IN"/>
                <w14:ligatures w14:val="none"/>
              </w:rPr>
              <w:t>Yes</w:t>
            </w:r>
          </w:p>
        </w:tc>
        <w:tc>
          <w:tcPr>
            <w:tcW w:w="888" w:type="dxa"/>
            <w:tcBorders>
              <w:top w:val="single" w:sz="4" w:space="0" w:color="auto"/>
              <w:left w:val="single" w:sz="4" w:space="0" w:color="auto"/>
              <w:bottom w:val="single" w:sz="4" w:space="0" w:color="auto"/>
              <w:right w:val="single" w:sz="4" w:space="0" w:color="auto"/>
            </w:tcBorders>
            <w:vAlign w:val="center"/>
          </w:tcPr>
          <w:p w14:paraId="6637D5F7" w14:textId="668E7330" w:rsidR="00DB19E3" w:rsidRPr="003867F6" w:rsidRDefault="00DB19E3" w:rsidP="00DB19E3">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Pr>
                <w:rFonts w:ascii="Times New Roman" w:eastAsia="Times New Roman" w:hAnsi="Times New Roman" w:cs="Times New Roman"/>
                <w:b/>
                <w:bCs/>
                <w:color w:val="000000"/>
                <w:kern w:val="0"/>
                <w:sz w:val="20"/>
                <w:szCs w:val="20"/>
                <w:lang w:eastAsia="en-IN"/>
                <w14:ligatures w14:val="none"/>
              </w:rPr>
              <w:t>No</w:t>
            </w:r>
          </w:p>
        </w:tc>
      </w:tr>
      <w:tr w:rsidR="00DB19E3" w:rsidRPr="003867F6" w14:paraId="323A9C53" w14:textId="77777777" w:rsidTr="00DB19E3">
        <w:trPr>
          <w:trHeight w:val="520"/>
          <w:jc w:val="center"/>
        </w:trPr>
        <w:tc>
          <w:tcPr>
            <w:tcW w:w="3539" w:type="dxa"/>
            <w:tcBorders>
              <w:top w:val="nil"/>
              <w:left w:val="single" w:sz="4" w:space="0" w:color="auto"/>
              <w:bottom w:val="single" w:sz="4" w:space="0" w:color="auto"/>
              <w:right w:val="single" w:sz="4" w:space="0" w:color="auto"/>
            </w:tcBorders>
            <w:vAlign w:val="center"/>
            <w:hideMark/>
          </w:tcPr>
          <w:p w14:paraId="028B0C33" w14:textId="77777777" w:rsidR="00DB19E3" w:rsidRPr="003867F6" w:rsidRDefault="00DB19E3"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Awareness of need for conservation</w:t>
            </w:r>
          </w:p>
        </w:tc>
        <w:tc>
          <w:tcPr>
            <w:tcW w:w="992" w:type="dxa"/>
            <w:tcBorders>
              <w:top w:val="single" w:sz="4" w:space="0" w:color="auto"/>
              <w:left w:val="nil"/>
              <w:bottom w:val="single" w:sz="4" w:space="0" w:color="auto"/>
              <w:right w:val="single" w:sz="4" w:space="0" w:color="auto"/>
            </w:tcBorders>
            <w:vAlign w:val="center"/>
            <w:hideMark/>
          </w:tcPr>
          <w:p w14:paraId="2B5FC46A" w14:textId="00F66F19"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69</w:t>
            </w:r>
          </w:p>
        </w:tc>
        <w:tc>
          <w:tcPr>
            <w:tcW w:w="769" w:type="dxa"/>
            <w:tcBorders>
              <w:top w:val="single" w:sz="4" w:space="0" w:color="auto"/>
              <w:left w:val="single" w:sz="4" w:space="0" w:color="auto"/>
              <w:bottom w:val="single" w:sz="4" w:space="0" w:color="auto"/>
              <w:right w:val="single" w:sz="4" w:space="0" w:color="auto"/>
            </w:tcBorders>
            <w:vAlign w:val="center"/>
          </w:tcPr>
          <w:p w14:paraId="40E4D383" w14:textId="65497BAB"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932" w:type="dxa"/>
            <w:tcBorders>
              <w:top w:val="single" w:sz="4" w:space="0" w:color="auto"/>
              <w:left w:val="single" w:sz="4" w:space="0" w:color="auto"/>
              <w:bottom w:val="single" w:sz="4" w:space="0" w:color="auto"/>
              <w:right w:val="single" w:sz="4" w:space="0" w:color="auto"/>
            </w:tcBorders>
            <w:vAlign w:val="center"/>
            <w:hideMark/>
          </w:tcPr>
          <w:p w14:paraId="13FEDFB8" w14:textId="562E797E"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87.34</w:t>
            </w:r>
          </w:p>
        </w:tc>
        <w:tc>
          <w:tcPr>
            <w:tcW w:w="888" w:type="dxa"/>
            <w:tcBorders>
              <w:top w:val="single" w:sz="4" w:space="0" w:color="auto"/>
              <w:left w:val="single" w:sz="4" w:space="0" w:color="auto"/>
              <w:bottom w:val="single" w:sz="4" w:space="0" w:color="auto"/>
              <w:right w:val="single" w:sz="4" w:space="0" w:color="auto"/>
            </w:tcBorders>
            <w:vAlign w:val="center"/>
            <w:hideMark/>
          </w:tcPr>
          <w:p w14:paraId="33D94BB8" w14:textId="5C9E2F21"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12.66</w:t>
            </w:r>
          </w:p>
        </w:tc>
      </w:tr>
      <w:tr w:rsidR="00DB19E3" w:rsidRPr="003867F6" w14:paraId="4C748C5B" w14:textId="77777777" w:rsidTr="00DB19E3">
        <w:trPr>
          <w:trHeight w:val="290"/>
          <w:jc w:val="center"/>
        </w:trPr>
        <w:tc>
          <w:tcPr>
            <w:tcW w:w="3539" w:type="dxa"/>
            <w:tcBorders>
              <w:top w:val="nil"/>
              <w:left w:val="single" w:sz="4" w:space="0" w:color="auto"/>
              <w:bottom w:val="single" w:sz="4" w:space="0" w:color="auto"/>
              <w:right w:val="single" w:sz="4" w:space="0" w:color="auto"/>
            </w:tcBorders>
            <w:vAlign w:val="center"/>
            <w:hideMark/>
          </w:tcPr>
          <w:p w14:paraId="55591CAC" w14:textId="77777777" w:rsidR="00DB19E3" w:rsidRPr="003867F6" w:rsidRDefault="00DB19E3"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Practice water-saving methods</w:t>
            </w:r>
          </w:p>
        </w:tc>
        <w:tc>
          <w:tcPr>
            <w:tcW w:w="992" w:type="dxa"/>
            <w:tcBorders>
              <w:top w:val="single" w:sz="4" w:space="0" w:color="auto"/>
              <w:left w:val="nil"/>
              <w:bottom w:val="single" w:sz="4" w:space="0" w:color="auto"/>
              <w:right w:val="single" w:sz="4" w:space="0" w:color="auto"/>
            </w:tcBorders>
            <w:vAlign w:val="center"/>
            <w:hideMark/>
          </w:tcPr>
          <w:p w14:paraId="56ADCA86" w14:textId="78E4595F"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34</w:t>
            </w:r>
          </w:p>
        </w:tc>
        <w:tc>
          <w:tcPr>
            <w:tcW w:w="769" w:type="dxa"/>
            <w:tcBorders>
              <w:top w:val="single" w:sz="4" w:space="0" w:color="auto"/>
              <w:left w:val="single" w:sz="4" w:space="0" w:color="auto"/>
              <w:bottom w:val="single" w:sz="4" w:space="0" w:color="auto"/>
              <w:right w:val="single" w:sz="4" w:space="0" w:color="auto"/>
            </w:tcBorders>
            <w:vAlign w:val="center"/>
          </w:tcPr>
          <w:p w14:paraId="7B136658" w14:textId="647E6779"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45</w:t>
            </w:r>
          </w:p>
        </w:tc>
        <w:tc>
          <w:tcPr>
            <w:tcW w:w="932" w:type="dxa"/>
            <w:tcBorders>
              <w:top w:val="single" w:sz="4" w:space="0" w:color="auto"/>
              <w:left w:val="single" w:sz="4" w:space="0" w:color="auto"/>
              <w:bottom w:val="single" w:sz="4" w:space="0" w:color="auto"/>
              <w:right w:val="single" w:sz="4" w:space="0" w:color="auto"/>
            </w:tcBorders>
            <w:vAlign w:val="center"/>
            <w:hideMark/>
          </w:tcPr>
          <w:p w14:paraId="643F60ED" w14:textId="1DB87A0F"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43.04</w:t>
            </w:r>
          </w:p>
        </w:tc>
        <w:tc>
          <w:tcPr>
            <w:tcW w:w="888" w:type="dxa"/>
            <w:tcBorders>
              <w:top w:val="single" w:sz="4" w:space="0" w:color="auto"/>
              <w:left w:val="single" w:sz="4" w:space="0" w:color="auto"/>
              <w:bottom w:val="single" w:sz="4" w:space="0" w:color="auto"/>
              <w:right w:val="single" w:sz="4" w:space="0" w:color="auto"/>
            </w:tcBorders>
            <w:vAlign w:val="center"/>
            <w:hideMark/>
          </w:tcPr>
          <w:p w14:paraId="6E7653AA" w14:textId="569B7F7E" w:rsidR="00DB19E3" w:rsidRPr="003867F6" w:rsidRDefault="00DB19E3"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3867F6">
              <w:rPr>
                <w:rFonts w:ascii="Times New Roman" w:eastAsia="Times New Roman" w:hAnsi="Times New Roman" w:cs="Times New Roman"/>
                <w:color w:val="000000"/>
                <w:kern w:val="0"/>
                <w:sz w:val="20"/>
                <w:szCs w:val="20"/>
                <w:lang w:eastAsia="en-IN"/>
                <w14:ligatures w14:val="none"/>
              </w:rPr>
              <w:t>56.96</w:t>
            </w:r>
          </w:p>
        </w:tc>
      </w:tr>
    </w:tbl>
    <w:p w14:paraId="2D8D6A75"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6BEB885E" w14:textId="77777777" w:rsidR="00FE087B" w:rsidRPr="00FE087B" w:rsidRDefault="00FE087B" w:rsidP="00FE087B">
      <w:pPr>
        <w:spacing w:line="360" w:lineRule="auto"/>
        <w:jc w:val="both"/>
        <w:rPr>
          <w:rFonts w:asciiTheme="majorBidi" w:hAnsiTheme="majorBidi" w:cstheme="majorBidi"/>
        </w:rPr>
      </w:pPr>
    </w:p>
    <w:p w14:paraId="6A07E4EB" w14:textId="39F9D940"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Water-Related Problems</w:t>
      </w:r>
    </w:p>
    <w:p w14:paraId="4BE60C79" w14:textId="5F538565" w:rsidR="00FE087B" w:rsidRPr="00FE087B" w:rsidRDefault="00FE087B" w:rsidP="00FE087B">
      <w:pPr>
        <w:spacing w:line="360" w:lineRule="auto"/>
        <w:jc w:val="both"/>
        <w:rPr>
          <w:rFonts w:asciiTheme="majorBidi" w:hAnsiTheme="majorBidi" w:cstheme="majorBidi"/>
        </w:rPr>
      </w:pPr>
      <w:r w:rsidRPr="00FE087B">
        <w:rPr>
          <w:rFonts w:asciiTheme="majorBidi" w:hAnsiTheme="majorBidi" w:cstheme="majorBidi"/>
        </w:rPr>
        <w:t>Households face several water-related problems. The most common issue is insufficient quantity (38.89%), followed by infrastructure issues (25%) and poor water quality (16.67%). Some households also reported irregular supply (13.89%)</w:t>
      </w:r>
      <w:r>
        <w:rPr>
          <w:rFonts w:asciiTheme="majorBidi" w:hAnsiTheme="majorBidi" w:cstheme="majorBidi"/>
        </w:rPr>
        <w:t xml:space="preserve"> (Table 6)</w:t>
      </w:r>
      <w:r w:rsidRPr="00FE087B">
        <w:rPr>
          <w:rFonts w:asciiTheme="majorBidi" w:hAnsiTheme="majorBidi" w:cstheme="majorBidi"/>
        </w:rPr>
        <w:t>.</w:t>
      </w:r>
    </w:p>
    <w:p w14:paraId="53795685" w14:textId="77777777" w:rsidR="00FE087B" w:rsidRDefault="00FE087B" w:rsidP="00FE087B">
      <w:pPr>
        <w:spacing w:line="360" w:lineRule="auto"/>
        <w:jc w:val="both"/>
        <w:rPr>
          <w:rFonts w:asciiTheme="majorBidi" w:hAnsiTheme="majorBidi" w:cstheme="majorBidi"/>
        </w:rPr>
      </w:pPr>
      <w:r w:rsidRPr="00FE087B">
        <w:rPr>
          <w:rFonts w:asciiTheme="majorBidi" w:hAnsiTheme="majorBidi" w:cstheme="majorBidi"/>
        </w:rPr>
        <w:lastRenderedPageBreak/>
        <w:t>This indicates that water problems are not limited to availability but also related to infrastructure and service delivery.</w:t>
      </w:r>
    </w:p>
    <w:p w14:paraId="42D6B11E" w14:textId="0D52764D"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Pr>
          <w:rFonts w:asciiTheme="majorBidi" w:hAnsiTheme="majorBidi" w:cstheme="majorBidi"/>
          <w:noProof/>
        </w:rPr>
        <w:t>6</w:t>
      </w:r>
      <w:r w:rsidRPr="00FE087B">
        <w:rPr>
          <w:rFonts w:asciiTheme="majorBidi" w:hAnsiTheme="majorBidi" w:cstheme="majorBidi"/>
        </w:rPr>
        <w:fldChar w:fldCharType="end"/>
      </w:r>
      <w:r w:rsidRPr="00FE087B">
        <w:rPr>
          <w:rFonts w:asciiTheme="majorBidi" w:hAnsiTheme="majorBidi" w:cstheme="majorBidi"/>
        </w:rPr>
        <w:t xml:space="preserve"> Water related problem</w:t>
      </w:r>
    </w:p>
    <w:tbl>
      <w:tblPr>
        <w:tblW w:w="5300" w:type="dxa"/>
        <w:jc w:val="center"/>
        <w:tblLook w:val="04A0" w:firstRow="1" w:lastRow="0" w:firstColumn="1" w:lastColumn="0" w:noHBand="0" w:noVBand="1"/>
      </w:tblPr>
      <w:tblGrid>
        <w:gridCol w:w="2840"/>
        <w:gridCol w:w="1300"/>
        <w:gridCol w:w="1160"/>
      </w:tblGrid>
      <w:tr w:rsidR="00FE087B" w:rsidRPr="006F2AB2" w14:paraId="07FA92D9" w14:textId="77777777" w:rsidTr="006C5ECB">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5D588545" w14:textId="77777777" w:rsidR="00FE087B" w:rsidRPr="006F2AB2"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Problem Type</w:t>
            </w:r>
          </w:p>
        </w:tc>
        <w:tc>
          <w:tcPr>
            <w:tcW w:w="1300" w:type="dxa"/>
            <w:tcBorders>
              <w:top w:val="single" w:sz="4" w:space="0" w:color="auto"/>
              <w:left w:val="nil"/>
              <w:bottom w:val="single" w:sz="4" w:space="0" w:color="auto"/>
              <w:right w:val="single" w:sz="4" w:space="0" w:color="auto"/>
            </w:tcBorders>
            <w:vAlign w:val="center"/>
            <w:hideMark/>
          </w:tcPr>
          <w:p w14:paraId="27FD8834" w14:textId="77777777" w:rsidR="00FE087B" w:rsidRPr="006F2AB2"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Frequency</w:t>
            </w:r>
          </w:p>
        </w:tc>
        <w:tc>
          <w:tcPr>
            <w:tcW w:w="1160" w:type="dxa"/>
            <w:tcBorders>
              <w:top w:val="single" w:sz="4" w:space="0" w:color="auto"/>
              <w:left w:val="nil"/>
              <w:bottom w:val="single" w:sz="4" w:space="0" w:color="auto"/>
              <w:right w:val="single" w:sz="4" w:space="0" w:color="auto"/>
            </w:tcBorders>
            <w:vAlign w:val="center"/>
            <w:hideMark/>
          </w:tcPr>
          <w:p w14:paraId="445EE817" w14:textId="77777777" w:rsidR="00FE087B" w:rsidRPr="006F2AB2"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6F2AB2">
              <w:rPr>
                <w:rFonts w:ascii="Times New Roman" w:eastAsia="Times New Roman" w:hAnsi="Times New Roman" w:cs="Times New Roman"/>
                <w:b/>
                <w:bCs/>
                <w:color w:val="000000"/>
                <w:kern w:val="0"/>
                <w:sz w:val="20"/>
                <w:szCs w:val="20"/>
                <w:lang w:eastAsia="en-IN"/>
                <w14:ligatures w14:val="none"/>
              </w:rPr>
              <w:t>Percentage (%)</w:t>
            </w:r>
          </w:p>
        </w:tc>
      </w:tr>
      <w:tr w:rsidR="00FE087B" w:rsidRPr="006F2AB2" w14:paraId="4D7844E0"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2E0562A"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Irregular supply</w:t>
            </w:r>
          </w:p>
        </w:tc>
        <w:tc>
          <w:tcPr>
            <w:tcW w:w="1300" w:type="dxa"/>
            <w:tcBorders>
              <w:top w:val="nil"/>
              <w:left w:val="nil"/>
              <w:bottom w:val="single" w:sz="4" w:space="0" w:color="auto"/>
              <w:right w:val="single" w:sz="4" w:space="0" w:color="auto"/>
            </w:tcBorders>
            <w:vAlign w:val="center"/>
            <w:hideMark/>
          </w:tcPr>
          <w:p w14:paraId="63566019"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10</w:t>
            </w:r>
          </w:p>
        </w:tc>
        <w:tc>
          <w:tcPr>
            <w:tcW w:w="1160" w:type="dxa"/>
            <w:tcBorders>
              <w:top w:val="nil"/>
              <w:left w:val="nil"/>
              <w:bottom w:val="single" w:sz="4" w:space="0" w:color="auto"/>
              <w:right w:val="single" w:sz="4" w:space="0" w:color="auto"/>
            </w:tcBorders>
            <w:vAlign w:val="center"/>
            <w:hideMark/>
          </w:tcPr>
          <w:p w14:paraId="03B18CEE"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13.89</w:t>
            </w:r>
          </w:p>
        </w:tc>
      </w:tr>
      <w:tr w:rsidR="00FE087B" w:rsidRPr="006F2AB2" w14:paraId="3C85FF82"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19F72AFB"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Poor quality</w:t>
            </w:r>
          </w:p>
        </w:tc>
        <w:tc>
          <w:tcPr>
            <w:tcW w:w="1300" w:type="dxa"/>
            <w:tcBorders>
              <w:top w:val="nil"/>
              <w:left w:val="nil"/>
              <w:bottom w:val="single" w:sz="4" w:space="0" w:color="auto"/>
              <w:right w:val="single" w:sz="4" w:space="0" w:color="auto"/>
            </w:tcBorders>
            <w:vAlign w:val="center"/>
            <w:hideMark/>
          </w:tcPr>
          <w:p w14:paraId="3A389E59"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12</w:t>
            </w:r>
          </w:p>
        </w:tc>
        <w:tc>
          <w:tcPr>
            <w:tcW w:w="1160" w:type="dxa"/>
            <w:tcBorders>
              <w:top w:val="nil"/>
              <w:left w:val="nil"/>
              <w:bottom w:val="single" w:sz="4" w:space="0" w:color="auto"/>
              <w:right w:val="single" w:sz="4" w:space="0" w:color="auto"/>
            </w:tcBorders>
            <w:vAlign w:val="center"/>
            <w:hideMark/>
          </w:tcPr>
          <w:p w14:paraId="291F9AE5"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16.67</w:t>
            </w:r>
          </w:p>
        </w:tc>
      </w:tr>
      <w:tr w:rsidR="00FE087B" w:rsidRPr="006F2AB2" w14:paraId="30F7A2CB"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7BA80087"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Insufficient quantity</w:t>
            </w:r>
          </w:p>
        </w:tc>
        <w:tc>
          <w:tcPr>
            <w:tcW w:w="1300" w:type="dxa"/>
            <w:tcBorders>
              <w:top w:val="nil"/>
              <w:left w:val="nil"/>
              <w:bottom w:val="single" w:sz="4" w:space="0" w:color="auto"/>
              <w:right w:val="single" w:sz="4" w:space="0" w:color="auto"/>
            </w:tcBorders>
            <w:vAlign w:val="center"/>
            <w:hideMark/>
          </w:tcPr>
          <w:p w14:paraId="7729473B"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28</w:t>
            </w:r>
          </w:p>
        </w:tc>
        <w:tc>
          <w:tcPr>
            <w:tcW w:w="1160" w:type="dxa"/>
            <w:tcBorders>
              <w:top w:val="nil"/>
              <w:left w:val="nil"/>
              <w:bottom w:val="single" w:sz="4" w:space="0" w:color="auto"/>
              <w:right w:val="single" w:sz="4" w:space="0" w:color="auto"/>
            </w:tcBorders>
            <w:vAlign w:val="center"/>
            <w:hideMark/>
          </w:tcPr>
          <w:p w14:paraId="059E9CF2"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38.89</w:t>
            </w:r>
          </w:p>
        </w:tc>
      </w:tr>
      <w:tr w:rsidR="00FE087B" w:rsidRPr="006F2AB2" w14:paraId="06B73464"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272D0609"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Infrastructure issues</w:t>
            </w:r>
          </w:p>
        </w:tc>
        <w:tc>
          <w:tcPr>
            <w:tcW w:w="1300" w:type="dxa"/>
            <w:tcBorders>
              <w:top w:val="nil"/>
              <w:left w:val="nil"/>
              <w:bottom w:val="single" w:sz="4" w:space="0" w:color="auto"/>
              <w:right w:val="single" w:sz="4" w:space="0" w:color="auto"/>
            </w:tcBorders>
            <w:vAlign w:val="center"/>
            <w:hideMark/>
          </w:tcPr>
          <w:p w14:paraId="054D5B45"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18</w:t>
            </w:r>
          </w:p>
        </w:tc>
        <w:tc>
          <w:tcPr>
            <w:tcW w:w="1160" w:type="dxa"/>
            <w:tcBorders>
              <w:top w:val="nil"/>
              <w:left w:val="nil"/>
              <w:bottom w:val="single" w:sz="4" w:space="0" w:color="auto"/>
              <w:right w:val="single" w:sz="4" w:space="0" w:color="auto"/>
            </w:tcBorders>
            <w:vAlign w:val="center"/>
            <w:hideMark/>
          </w:tcPr>
          <w:p w14:paraId="03B30AEF"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25.00</w:t>
            </w:r>
          </w:p>
        </w:tc>
      </w:tr>
      <w:tr w:rsidR="00FE087B" w:rsidRPr="006F2AB2" w14:paraId="5281B7EE"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3D619155"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All of the above</w:t>
            </w:r>
          </w:p>
        </w:tc>
        <w:tc>
          <w:tcPr>
            <w:tcW w:w="1300" w:type="dxa"/>
            <w:tcBorders>
              <w:top w:val="nil"/>
              <w:left w:val="nil"/>
              <w:bottom w:val="single" w:sz="4" w:space="0" w:color="auto"/>
              <w:right w:val="single" w:sz="4" w:space="0" w:color="auto"/>
            </w:tcBorders>
            <w:vAlign w:val="center"/>
            <w:hideMark/>
          </w:tcPr>
          <w:p w14:paraId="63113BC6"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w:t>
            </w:r>
          </w:p>
        </w:tc>
        <w:tc>
          <w:tcPr>
            <w:tcW w:w="1160" w:type="dxa"/>
            <w:tcBorders>
              <w:top w:val="nil"/>
              <w:left w:val="nil"/>
              <w:bottom w:val="single" w:sz="4" w:space="0" w:color="auto"/>
              <w:right w:val="single" w:sz="4" w:space="0" w:color="auto"/>
            </w:tcBorders>
            <w:vAlign w:val="center"/>
            <w:hideMark/>
          </w:tcPr>
          <w:p w14:paraId="272F093A"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1.39</w:t>
            </w:r>
          </w:p>
        </w:tc>
      </w:tr>
      <w:tr w:rsidR="00FE087B" w:rsidRPr="006F2AB2" w14:paraId="378894D8" w14:textId="77777777" w:rsidTr="006C5ECB">
        <w:trPr>
          <w:trHeight w:val="290"/>
          <w:jc w:val="center"/>
        </w:trPr>
        <w:tc>
          <w:tcPr>
            <w:tcW w:w="2840" w:type="dxa"/>
            <w:tcBorders>
              <w:top w:val="nil"/>
              <w:left w:val="single" w:sz="4" w:space="0" w:color="auto"/>
              <w:bottom w:val="single" w:sz="4" w:space="0" w:color="auto"/>
              <w:right w:val="single" w:sz="4" w:space="0" w:color="auto"/>
            </w:tcBorders>
            <w:vAlign w:val="center"/>
            <w:hideMark/>
          </w:tcPr>
          <w:p w14:paraId="557A18B3" w14:textId="77777777" w:rsidR="00FE087B" w:rsidRPr="006F2AB2"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Others</w:t>
            </w:r>
          </w:p>
        </w:tc>
        <w:tc>
          <w:tcPr>
            <w:tcW w:w="1300" w:type="dxa"/>
            <w:tcBorders>
              <w:top w:val="nil"/>
              <w:left w:val="nil"/>
              <w:bottom w:val="single" w:sz="4" w:space="0" w:color="auto"/>
              <w:right w:val="single" w:sz="4" w:space="0" w:color="auto"/>
            </w:tcBorders>
            <w:vAlign w:val="center"/>
            <w:hideMark/>
          </w:tcPr>
          <w:p w14:paraId="481272CE"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3</w:t>
            </w:r>
          </w:p>
        </w:tc>
        <w:tc>
          <w:tcPr>
            <w:tcW w:w="1160" w:type="dxa"/>
            <w:tcBorders>
              <w:top w:val="nil"/>
              <w:left w:val="nil"/>
              <w:bottom w:val="single" w:sz="4" w:space="0" w:color="auto"/>
              <w:right w:val="single" w:sz="4" w:space="0" w:color="auto"/>
            </w:tcBorders>
            <w:vAlign w:val="center"/>
            <w:hideMark/>
          </w:tcPr>
          <w:p w14:paraId="06CB1245" w14:textId="77777777" w:rsidR="00FE087B" w:rsidRPr="006F2AB2"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6F2AB2">
              <w:rPr>
                <w:rFonts w:ascii="Times New Roman" w:eastAsia="Times New Roman" w:hAnsi="Times New Roman" w:cs="Times New Roman"/>
                <w:color w:val="000000"/>
                <w:kern w:val="0"/>
                <w:sz w:val="20"/>
                <w:szCs w:val="20"/>
                <w:lang w:eastAsia="en-IN"/>
                <w14:ligatures w14:val="none"/>
              </w:rPr>
              <w:t>4.17</w:t>
            </w:r>
          </w:p>
        </w:tc>
      </w:tr>
    </w:tbl>
    <w:p w14:paraId="2539E29F"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0838844D" w14:textId="0643263C" w:rsidR="00FE087B" w:rsidRPr="00C06214" w:rsidRDefault="00FE08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Satisfaction and Community Participation</w:t>
      </w:r>
    </w:p>
    <w:p w14:paraId="7B383D22" w14:textId="77777777" w:rsidR="00FE087B" w:rsidRPr="00F37FE9" w:rsidRDefault="00FE087B" w:rsidP="00FE087B">
      <w:pPr>
        <w:spacing w:line="360" w:lineRule="auto"/>
        <w:jc w:val="both"/>
        <w:rPr>
          <w:rFonts w:asciiTheme="majorBidi" w:hAnsiTheme="majorBidi" w:cstheme="majorBidi"/>
        </w:rPr>
      </w:pPr>
      <w:r w:rsidRPr="00F37FE9">
        <w:rPr>
          <w:rFonts w:asciiTheme="majorBidi" w:hAnsiTheme="majorBidi" w:cstheme="majorBidi"/>
        </w:rPr>
        <w:t>Most households are either satisfied (46.67%) or neutral (33.33%) regarding water availability. Only a small percentage reported dissatisfaction.</w:t>
      </w:r>
    </w:p>
    <w:p w14:paraId="378E4646" w14:textId="77777777" w:rsidR="00FE087B" w:rsidRPr="00FE087B" w:rsidRDefault="00FE087B" w:rsidP="00FE087B">
      <w:pPr>
        <w:spacing w:line="360" w:lineRule="auto"/>
        <w:jc w:val="both"/>
        <w:rPr>
          <w:rFonts w:asciiTheme="majorBidi" w:hAnsiTheme="majorBidi" w:cstheme="majorBidi"/>
        </w:rPr>
      </w:pPr>
      <w:r w:rsidRPr="00F37FE9">
        <w:rPr>
          <w:rFonts w:asciiTheme="majorBidi" w:hAnsiTheme="majorBidi" w:cstheme="majorBidi"/>
        </w:rPr>
        <w:t>At the same time, a large majority (78.67%) support awareness programmes related to</w:t>
      </w:r>
      <w:r w:rsidRPr="00FE087B">
        <w:rPr>
          <w:rFonts w:asciiTheme="majorBidi" w:hAnsiTheme="majorBidi" w:cstheme="majorBidi"/>
        </w:rPr>
        <w:t xml:space="preserve"> water conservation. This shows that the community is willing to participate in improving water management.</w:t>
      </w:r>
    </w:p>
    <w:p w14:paraId="0362BEA3" w14:textId="205A6BA7" w:rsidR="00FE087B" w:rsidRPr="00FE087B" w:rsidRDefault="00FE087B" w:rsidP="00FE087B">
      <w:pPr>
        <w:pStyle w:val="Caption"/>
        <w:keepNext/>
        <w:jc w:val="center"/>
        <w:rPr>
          <w:rFonts w:asciiTheme="majorBidi" w:hAnsiTheme="majorBidi" w:cstheme="majorBidi"/>
        </w:rPr>
      </w:pPr>
      <w:r w:rsidRPr="00FE087B">
        <w:rPr>
          <w:rFonts w:asciiTheme="majorBidi" w:hAnsiTheme="majorBidi" w:cstheme="majorBidi"/>
        </w:rPr>
        <w:t xml:space="preserve">Table </w:t>
      </w:r>
      <w:r w:rsidRPr="00FE087B">
        <w:rPr>
          <w:rFonts w:asciiTheme="majorBidi" w:hAnsiTheme="majorBidi" w:cstheme="majorBidi"/>
        </w:rPr>
        <w:fldChar w:fldCharType="begin"/>
      </w:r>
      <w:r w:rsidRPr="00FE087B">
        <w:rPr>
          <w:rFonts w:asciiTheme="majorBidi" w:hAnsiTheme="majorBidi" w:cstheme="majorBidi"/>
        </w:rPr>
        <w:instrText xml:space="preserve"> SEQ Table \* ARABIC </w:instrText>
      </w:r>
      <w:r w:rsidRPr="00FE087B">
        <w:rPr>
          <w:rFonts w:asciiTheme="majorBidi" w:hAnsiTheme="majorBidi" w:cstheme="majorBidi"/>
        </w:rPr>
        <w:fldChar w:fldCharType="separate"/>
      </w:r>
      <w:r w:rsidRPr="00FE087B">
        <w:rPr>
          <w:rFonts w:asciiTheme="majorBidi" w:hAnsiTheme="majorBidi" w:cstheme="majorBidi"/>
          <w:noProof/>
        </w:rPr>
        <w:t>7</w:t>
      </w:r>
      <w:r w:rsidRPr="00FE087B">
        <w:rPr>
          <w:rFonts w:asciiTheme="majorBidi" w:hAnsiTheme="majorBidi" w:cstheme="majorBidi"/>
        </w:rPr>
        <w:fldChar w:fldCharType="end"/>
      </w:r>
      <w:r w:rsidRPr="00FE087B">
        <w:rPr>
          <w:rFonts w:asciiTheme="majorBidi" w:hAnsiTheme="majorBidi" w:cstheme="majorBidi"/>
        </w:rPr>
        <w:t xml:space="preserve"> Satisfaction and community participation</w:t>
      </w:r>
    </w:p>
    <w:tbl>
      <w:tblPr>
        <w:tblW w:w="6580" w:type="dxa"/>
        <w:jc w:val="center"/>
        <w:tblLook w:val="04A0" w:firstRow="1" w:lastRow="0" w:firstColumn="1" w:lastColumn="0" w:noHBand="0" w:noVBand="1"/>
      </w:tblPr>
      <w:tblGrid>
        <w:gridCol w:w="2840"/>
        <w:gridCol w:w="1300"/>
        <w:gridCol w:w="1160"/>
        <w:gridCol w:w="1280"/>
      </w:tblGrid>
      <w:tr w:rsidR="00FE087B" w:rsidRPr="00C4615D" w14:paraId="298FC3F6" w14:textId="77777777" w:rsidTr="006C5ECB">
        <w:trPr>
          <w:trHeight w:val="520"/>
          <w:jc w:val="center"/>
        </w:trPr>
        <w:tc>
          <w:tcPr>
            <w:tcW w:w="2840" w:type="dxa"/>
            <w:tcBorders>
              <w:top w:val="single" w:sz="4" w:space="0" w:color="auto"/>
              <w:left w:val="single" w:sz="4" w:space="0" w:color="auto"/>
              <w:bottom w:val="single" w:sz="4" w:space="0" w:color="auto"/>
              <w:right w:val="single" w:sz="4" w:space="0" w:color="auto"/>
            </w:tcBorders>
            <w:vAlign w:val="center"/>
            <w:hideMark/>
          </w:tcPr>
          <w:p w14:paraId="7C92A43E"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Variable</w:t>
            </w:r>
          </w:p>
        </w:tc>
        <w:tc>
          <w:tcPr>
            <w:tcW w:w="1300" w:type="dxa"/>
            <w:tcBorders>
              <w:top w:val="single" w:sz="4" w:space="0" w:color="auto"/>
              <w:left w:val="nil"/>
              <w:bottom w:val="single" w:sz="4" w:space="0" w:color="auto"/>
              <w:right w:val="single" w:sz="4" w:space="0" w:color="auto"/>
            </w:tcBorders>
            <w:vAlign w:val="center"/>
            <w:hideMark/>
          </w:tcPr>
          <w:p w14:paraId="20B3CC85"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Category</w:t>
            </w:r>
          </w:p>
        </w:tc>
        <w:tc>
          <w:tcPr>
            <w:tcW w:w="1160" w:type="dxa"/>
            <w:tcBorders>
              <w:top w:val="single" w:sz="4" w:space="0" w:color="auto"/>
              <w:left w:val="nil"/>
              <w:bottom w:val="single" w:sz="4" w:space="0" w:color="auto"/>
              <w:right w:val="single" w:sz="4" w:space="0" w:color="auto"/>
            </w:tcBorders>
            <w:vAlign w:val="center"/>
            <w:hideMark/>
          </w:tcPr>
          <w:p w14:paraId="2CB9D6AB"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Frequency</w:t>
            </w:r>
          </w:p>
        </w:tc>
        <w:tc>
          <w:tcPr>
            <w:tcW w:w="1280" w:type="dxa"/>
            <w:tcBorders>
              <w:top w:val="single" w:sz="4" w:space="0" w:color="auto"/>
              <w:left w:val="nil"/>
              <w:bottom w:val="single" w:sz="4" w:space="0" w:color="auto"/>
              <w:right w:val="single" w:sz="4" w:space="0" w:color="auto"/>
            </w:tcBorders>
            <w:vAlign w:val="center"/>
            <w:hideMark/>
          </w:tcPr>
          <w:p w14:paraId="706D3B7B" w14:textId="77777777" w:rsidR="00FE087B" w:rsidRPr="00C4615D" w:rsidRDefault="00FE087B" w:rsidP="006C5ECB">
            <w:pPr>
              <w:spacing w:after="0" w:line="360" w:lineRule="auto"/>
              <w:jc w:val="center"/>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Percentage (%)</w:t>
            </w:r>
          </w:p>
        </w:tc>
      </w:tr>
      <w:tr w:rsidR="00FE087B" w:rsidRPr="00C4615D" w14:paraId="1E337DE6" w14:textId="77777777" w:rsidTr="006C5ECB">
        <w:trPr>
          <w:trHeight w:val="520"/>
          <w:jc w:val="center"/>
        </w:trPr>
        <w:tc>
          <w:tcPr>
            <w:tcW w:w="2840" w:type="dxa"/>
            <w:vMerge w:val="restart"/>
            <w:tcBorders>
              <w:top w:val="nil"/>
              <w:left w:val="single" w:sz="4" w:space="0" w:color="auto"/>
              <w:right w:val="single" w:sz="4" w:space="0" w:color="auto"/>
            </w:tcBorders>
            <w:vAlign w:val="center"/>
            <w:hideMark/>
          </w:tcPr>
          <w:p w14:paraId="0B5D8BF6" w14:textId="77777777" w:rsidR="00FE087B" w:rsidRPr="00C4615D" w:rsidRDefault="00FE087B"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Satisfaction with water availability</w:t>
            </w:r>
          </w:p>
        </w:tc>
        <w:tc>
          <w:tcPr>
            <w:tcW w:w="1300" w:type="dxa"/>
            <w:tcBorders>
              <w:top w:val="nil"/>
              <w:left w:val="nil"/>
              <w:bottom w:val="single" w:sz="4" w:space="0" w:color="auto"/>
              <w:right w:val="single" w:sz="4" w:space="0" w:color="auto"/>
            </w:tcBorders>
            <w:vAlign w:val="center"/>
            <w:hideMark/>
          </w:tcPr>
          <w:p w14:paraId="1ECF1CCF"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Very satisfied</w:t>
            </w:r>
          </w:p>
        </w:tc>
        <w:tc>
          <w:tcPr>
            <w:tcW w:w="1160" w:type="dxa"/>
            <w:tcBorders>
              <w:top w:val="nil"/>
              <w:left w:val="nil"/>
              <w:bottom w:val="single" w:sz="4" w:space="0" w:color="auto"/>
              <w:right w:val="single" w:sz="4" w:space="0" w:color="auto"/>
            </w:tcBorders>
            <w:vAlign w:val="center"/>
            <w:hideMark/>
          </w:tcPr>
          <w:p w14:paraId="0A90ECC5"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9</w:t>
            </w:r>
          </w:p>
        </w:tc>
        <w:tc>
          <w:tcPr>
            <w:tcW w:w="1280" w:type="dxa"/>
            <w:tcBorders>
              <w:top w:val="nil"/>
              <w:left w:val="nil"/>
              <w:bottom w:val="single" w:sz="4" w:space="0" w:color="auto"/>
              <w:right w:val="single" w:sz="4" w:space="0" w:color="auto"/>
            </w:tcBorders>
            <w:vAlign w:val="center"/>
            <w:hideMark/>
          </w:tcPr>
          <w:p w14:paraId="74D8048D"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12.00</w:t>
            </w:r>
          </w:p>
        </w:tc>
      </w:tr>
      <w:tr w:rsidR="00FE087B" w:rsidRPr="00C4615D" w14:paraId="2B24FD89" w14:textId="77777777" w:rsidTr="006C5ECB">
        <w:trPr>
          <w:trHeight w:val="290"/>
          <w:jc w:val="center"/>
        </w:trPr>
        <w:tc>
          <w:tcPr>
            <w:tcW w:w="2840" w:type="dxa"/>
            <w:vMerge/>
            <w:tcBorders>
              <w:left w:val="single" w:sz="4" w:space="0" w:color="auto"/>
              <w:right w:val="single" w:sz="4" w:space="0" w:color="auto"/>
            </w:tcBorders>
            <w:vAlign w:val="center"/>
            <w:hideMark/>
          </w:tcPr>
          <w:p w14:paraId="3871B0F4"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7C9E56A8"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Satisfied</w:t>
            </w:r>
          </w:p>
        </w:tc>
        <w:tc>
          <w:tcPr>
            <w:tcW w:w="1160" w:type="dxa"/>
            <w:tcBorders>
              <w:top w:val="nil"/>
              <w:left w:val="nil"/>
              <w:bottom w:val="single" w:sz="4" w:space="0" w:color="auto"/>
              <w:right w:val="single" w:sz="4" w:space="0" w:color="auto"/>
            </w:tcBorders>
            <w:vAlign w:val="center"/>
            <w:hideMark/>
          </w:tcPr>
          <w:p w14:paraId="616F58F3"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35</w:t>
            </w:r>
          </w:p>
        </w:tc>
        <w:tc>
          <w:tcPr>
            <w:tcW w:w="1280" w:type="dxa"/>
            <w:tcBorders>
              <w:top w:val="nil"/>
              <w:left w:val="nil"/>
              <w:bottom w:val="single" w:sz="4" w:space="0" w:color="auto"/>
              <w:right w:val="single" w:sz="4" w:space="0" w:color="auto"/>
            </w:tcBorders>
            <w:vAlign w:val="center"/>
            <w:hideMark/>
          </w:tcPr>
          <w:p w14:paraId="07B44E1A"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46.67</w:t>
            </w:r>
          </w:p>
        </w:tc>
      </w:tr>
      <w:tr w:rsidR="00FE087B" w:rsidRPr="00C4615D" w14:paraId="644F6C3E" w14:textId="77777777" w:rsidTr="006C5ECB">
        <w:trPr>
          <w:trHeight w:val="290"/>
          <w:jc w:val="center"/>
        </w:trPr>
        <w:tc>
          <w:tcPr>
            <w:tcW w:w="2840" w:type="dxa"/>
            <w:vMerge/>
            <w:tcBorders>
              <w:left w:val="single" w:sz="4" w:space="0" w:color="auto"/>
              <w:right w:val="single" w:sz="4" w:space="0" w:color="auto"/>
            </w:tcBorders>
            <w:vAlign w:val="center"/>
            <w:hideMark/>
          </w:tcPr>
          <w:p w14:paraId="451F2C30"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57EF08D9"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Neutral</w:t>
            </w:r>
          </w:p>
        </w:tc>
        <w:tc>
          <w:tcPr>
            <w:tcW w:w="1160" w:type="dxa"/>
            <w:tcBorders>
              <w:top w:val="nil"/>
              <w:left w:val="nil"/>
              <w:bottom w:val="single" w:sz="4" w:space="0" w:color="auto"/>
              <w:right w:val="single" w:sz="4" w:space="0" w:color="auto"/>
            </w:tcBorders>
            <w:vAlign w:val="center"/>
            <w:hideMark/>
          </w:tcPr>
          <w:p w14:paraId="08335DC1"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25</w:t>
            </w:r>
          </w:p>
        </w:tc>
        <w:tc>
          <w:tcPr>
            <w:tcW w:w="1280" w:type="dxa"/>
            <w:tcBorders>
              <w:top w:val="nil"/>
              <w:left w:val="nil"/>
              <w:bottom w:val="single" w:sz="4" w:space="0" w:color="auto"/>
              <w:right w:val="single" w:sz="4" w:space="0" w:color="auto"/>
            </w:tcBorders>
            <w:vAlign w:val="center"/>
            <w:hideMark/>
          </w:tcPr>
          <w:p w14:paraId="35A05E53"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33.33</w:t>
            </w:r>
          </w:p>
        </w:tc>
      </w:tr>
      <w:tr w:rsidR="00FE087B" w:rsidRPr="00C4615D" w14:paraId="09D019E9" w14:textId="77777777" w:rsidTr="006C5ECB">
        <w:trPr>
          <w:trHeight w:val="290"/>
          <w:jc w:val="center"/>
        </w:trPr>
        <w:tc>
          <w:tcPr>
            <w:tcW w:w="2840" w:type="dxa"/>
            <w:vMerge/>
            <w:tcBorders>
              <w:left w:val="single" w:sz="4" w:space="0" w:color="auto"/>
              <w:right w:val="single" w:sz="4" w:space="0" w:color="auto"/>
            </w:tcBorders>
            <w:vAlign w:val="center"/>
            <w:hideMark/>
          </w:tcPr>
          <w:p w14:paraId="55F87B69"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38A352C5"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Dissatisfied</w:t>
            </w:r>
          </w:p>
        </w:tc>
        <w:tc>
          <w:tcPr>
            <w:tcW w:w="1160" w:type="dxa"/>
            <w:tcBorders>
              <w:top w:val="nil"/>
              <w:left w:val="nil"/>
              <w:bottom w:val="single" w:sz="4" w:space="0" w:color="auto"/>
              <w:right w:val="single" w:sz="4" w:space="0" w:color="auto"/>
            </w:tcBorders>
            <w:vAlign w:val="center"/>
            <w:hideMark/>
          </w:tcPr>
          <w:p w14:paraId="6CAB316C"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w:t>
            </w:r>
          </w:p>
        </w:tc>
        <w:tc>
          <w:tcPr>
            <w:tcW w:w="1280" w:type="dxa"/>
            <w:tcBorders>
              <w:top w:val="nil"/>
              <w:left w:val="nil"/>
              <w:bottom w:val="single" w:sz="4" w:space="0" w:color="auto"/>
              <w:right w:val="single" w:sz="4" w:space="0" w:color="auto"/>
            </w:tcBorders>
            <w:vAlign w:val="center"/>
            <w:hideMark/>
          </w:tcPr>
          <w:p w14:paraId="7E93DE9D"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2.67</w:t>
            </w:r>
          </w:p>
        </w:tc>
      </w:tr>
      <w:tr w:rsidR="00FE087B" w:rsidRPr="00C4615D" w14:paraId="20560C23" w14:textId="77777777" w:rsidTr="006C5ECB">
        <w:trPr>
          <w:trHeight w:val="520"/>
          <w:jc w:val="center"/>
        </w:trPr>
        <w:tc>
          <w:tcPr>
            <w:tcW w:w="2840" w:type="dxa"/>
            <w:vMerge/>
            <w:tcBorders>
              <w:left w:val="single" w:sz="4" w:space="0" w:color="auto"/>
              <w:bottom w:val="single" w:sz="4" w:space="0" w:color="auto"/>
              <w:right w:val="single" w:sz="4" w:space="0" w:color="auto"/>
            </w:tcBorders>
            <w:vAlign w:val="center"/>
            <w:hideMark/>
          </w:tcPr>
          <w:p w14:paraId="0F7EB047"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0A3D42DA"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Very dissatisfied</w:t>
            </w:r>
          </w:p>
        </w:tc>
        <w:tc>
          <w:tcPr>
            <w:tcW w:w="1160" w:type="dxa"/>
            <w:tcBorders>
              <w:top w:val="nil"/>
              <w:left w:val="nil"/>
              <w:bottom w:val="single" w:sz="4" w:space="0" w:color="auto"/>
              <w:right w:val="single" w:sz="4" w:space="0" w:color="auto"/>
            </w:tcBorders>
            <w:vAlign w:val="center"/>
            <w:hideMark/>
          </w:tcPr>
          <w:p w14:paraId="6B3A5B5E"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4</w:t>
            </w:r>
          </w:p>
        </w:tc>
        <w:tc>
          <w:tcPr>
            <w:tcW w:w="1280" w:type="dxa"/>
            <w:tcBorders>
              <w:top w:val="nil"/>
              <w:left w:val="nil"/>
              <w:bottom w:val="single" w:sz="4" w:space="0" w:color="auto"/>
              <w:right w:val="single" w:sz="4" w:space="0" w:color="auto"/>
            </w:tcBorders>
            <w:vAlign w:val="center"/>
            <w:hideMark/>
          </w:tcPr>
          <w:p w14:paraId="38D00B80"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5.33</w:t>
            </w:r>
          </w:p>
        </w:tc>
      </w:tr>
      <w:tr w:rsidR="00FE087B" w:rsidRPr="00C4615D" w14:paraId="28175E90" w14:textId="77777777" w:rsidTr="006C5ECB">
        <w:trPr>
          <w:trHeight w:val="520"/>
          <w:jc w:val="center"/>
        </w:trPr>
        <w:tc>
          <w:tcPr>
            <w:tcW w:w="2840" w:type="dxa"/>
            <w:vMerge w:val="restart"/>
            <w:tcBorders>
              <w:top w:val="nil"/>
              <w:left w:val="single" w:sz="4" w:space="0" w:color="auto"/>
              <w:right w:val="single" w:sz="4" w:space="0" w:color="auto"/>
            </w:tcBorders>
            <w:vAlign w:val="center"/>
            <w:hideMark/>
          </w:tcPr>
          <w:p w14:paraId="201C5E01" w14:textId="77777777" w:rsidR="00FE087B" w:rsidRPr="00C4615D" w:rsidRDefault="00FE087B" w:rsidP="006C5ECB">
            <w:pPr>
              <w:spacing w:after="0" w:line="360" w:lineRule="auto"/>
              <w:rPr>
                <w:rFonts w:ascii="Times New Roman" w:eastAsia="Times New Roman" w:hAnsi="Times New Roman" w:cs="Times New Roman"/>
                <w:b/>
                <w:bCs/>
                <w:color w:val="000000"/>
                <w:kern w:val="0"/>
                <w:sz w:val="20"/>
                <w:szCs w:val="20"/>
                <w:lang w:eastAsia="en-IN"/>
                <w14:ligatures w14:val="none"/>
              </w:rPr>
            </w:pPr>
            <w:r w:rsidRPr="00C4615D">
              <w:rPr>
                <w:rFonts w:ascii="Times New Roman" w:eastAsia="Times New Roman" w:hAnsi="Times New Roman" w:cs="Times New Roman"/>
                <w:b/>
                <w:bCs/>
                <w:color w:val="000000"/>
                <w:kern w:val="0"/>
                <w:sz w:val="20"/>
                <w:szCs w:val="20"/>
                <w:lang w:eastAsia="en-IN"/>
                <w14:ligatures w14:val="none"/>
              </w:rPr>
              <w:t>Support for awareness</w:t>
            </w:r>
          </w:p>
        </w:tc>
        <w:tc>
          <w:tcPr>
            <w:tcW w:w="1300" w:type="dxa"/>
            <w:tcBorders>
              <w:top w:val="nil"/>
              <w:left w:val="nil"/>
              <w:bottom w:val="single" w:sz="4" w:space="0" w:color="auto"/>
              <w:right w:val="single" w:sz="4" w:space="0" w:color="auto"/>
            </w:tcBorders>
            <w:vAlign w:val="center"/>
            <w:hideMark/>
          </w:tcPr>
          <w:p w14:paraId="7B4F042E"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Yes</w:t>
            </w:r>
          </w:p>
        </w:tc>
        <w:tc>
          <w:tcPr>
            <w:tcW w:w="1160" w:type="dxa"/>
            <w:tcBorders>
              <w:top w:val="nil"/>
              <w:left w:val="nil"/>
              <w:bottom w:val="single" w:sz="4" w:space="0" w:color="auto"/>
              <w:right w:val="single" w:sz="4" w:space="0" w:color="auto"/>
            </w:tcBorders>
            <w:vAlign w:val="center"/>
            <w:hideMark/>
          </w:tcPr>
          <w:p w14:paraId="21606547"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59</w:t>
            </w:r>
          </w:p>
        </w:tc>
        <w:tc>
          <w:tcPr>
            <w:tcW w:w="1280" w:type="dxa"/>
            <w:tcBorders>
              <w:top w:val="nil"/>
              <w:left w:val="nil"/>
              <w:bottom w:val="single" w:sz="4" w:space="0" w:color="auto"/>
              <w:right w:val="single" w:sz="4" w:space="0" w:color="auto"/>
            </w:tcBorders>
            <w:vAlign w:val="center"/>
            <w:hideMark/>
          </w:tcPr>
          <w:p w14:paraId="0A1A2558"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78.67</w:t>
            </w:r>
          </w:p>
        </w:tc>
      </w:tr>
      <w:tr w:rsidR="00FE087B" w:rsidRPr="00C4615D" w14:paraId="226502C9" w14:textId="77777777" w:rsidTr="006C5ECB">
        <w:trPr>
          <w:trHeight w:val="290"/>
          <w:jc w:val="center"/>
        </w:trPr>
        <w:tc>
          <w:tcPr>
            <w:tcW w:w="2840" w:type="dxa"/>
            <w:vMerge/>
            <w:tcBorders>
              <w:left w:val="single" w:sz="4" w:space="0" w:color="auto"/>
              <w:right w:val="single" w:sz="4" w:space="0" w:color="auto"/>
            </w:tcBorders>
            <w:vAlign w:val="center"/>
            <w:hideMark/>
          </w:tcPr>
          <w:p w14:paraId="239379A1"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6BADDB9E"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No</w:t>
            </w:r>
          </w:p>
        </w:tc>
        <w:tc>
          <w:tcPr>
            <w:tcW w:w="1160" w:type="dxa"/>
            <w:tcBorders>
              <w:top w:val="nil"/>
              <w:left w:val="nil"/>
              <w:bottom w:val="single" w:sz="4" w:space="0" w:color="auto"/>
              <w:right w:val="single" w:sz="4" w:space="0" w:color="auto"/>
            </w:tcBorders>
            <w:vAlign w:val="center"/>
            <w:hideMark/>
          </w:tcPr>
          <w:p w14:paraId="07CF3D34"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w:t>
            </w:r>
          </w:p>
        </w:tc>
        <w:tc>
          <w:tcPr>
            <w:tcW w:w="1280" w:type="dxa"/>
            <w:tcBorders>
              <w:top w:val="nil"/>
              <w:left w:val="nil"/>
              <w:bottom w:val="single" w:sz="4" w:space="0" w:color="auto"/>
              <w:right w:val="single" w:sz="4" w:space="0" w:color="auto"/>
            </w:tcBorders>
            <w:vAlign w:val="center"/>
            <w:hideMark/>
          </w:tcPr>
          <w:p w14:paraId="346BB0A9"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2.67</w:t>
            </w:r>
          </w:p>
        </w:tc>
      </w:tr>
      <w:tr w:rsidR="00FE087B" w:rsidRPr="00C4615D" w14:paraId="3C35D394" w14:textId="77777777" w:rsidTr="006C5ECB">
        <w:trPr>
          <w:trHeight w:val="290"/>
          <w:jc w:val="center"/>
        </w:trPr>
        <w:tc>
          <w:tcPr>
            <w:tcW w:w="2840" w:type="dxa"/>
            <w:vMerge/>
            <w:tcBorders>
              <w:left w:val="single" w:sz="4" w:space="0" w:color="auto"/>
              <w:bottom w:val="single" w:sz="4" w:space="0" w:color="auto"/>
              <w:right w:val="single" w:sz="4" w:space="0" w:color="auto"/>
            </w:tcBorders>
            <w:vAlign w:val="center"/>
            <w:hideMark/>
          </w:tcPr>
          <w:p w14:paraId="1828A620"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p>
        </w:tc>
        <w:tc>
          <w:tcPr>
            <w:tcW w:w="1300" w:type="dxa"/>
            <w:tcBorders>
              <w:top w:val="nil"/>
              <w:left w:val="nil"/>
              <w:bottom w:val="single" w:sz="4" w:space="0" w:color="auto"/>
              <w:right w:val="single" w:sz="4" w:space="0" w:color="auto"/>
            </w:tcBorders>
            <w:vAlign w:val="center"/>
            <w:hideMark/>
          </w:tcPr>
          <w:p w14:paraId="6A79C994" w14:textId="77777777" w:rsidR="00FE087B" w:rsidRPr="00C4615D" w:rsidRDefault="00FE087B" w:rsidP="006C5ECB">
            <w:pPr>
              <w:spacing w:after="0" w:line="360" w:lineRule="auto"/>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Maybe</w:t>
            </w:r>
          </w:p>
        </w:tc>
        <w:tc>
          <w:tcPr>
            <w:tcW w:w="1160" w:type="dxa"/>
            <w:tcBorders>
              <w:top w:val="nil"/>
              <w:left w:val="nil"/>
              <w:bottom w:val="single" w:sz="4" w:space="0" w:color="auto"/>
              <w:right w:val="single" w:sz="4" w:space="0" w:color="auto"/>
            </w:tcBorders>
            <w:vAlign w:val="center"/>
            <w:hideMark/>
          </w:tcPr>
          <w:p w14:paraId="5D371632" w14:textId="77777777" w:rsidR="00FE087B" w:rsidRPr="00C4615D" w:rsidRDefault="00FE087B" w:rsidP="006C5ECB">
            <w:pPr>
              <w:spacing w:after="0" w:line="360" w:lineRule="auto"/>
              <w:jc w:val="center"/>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14</w:t>
            </w:r>
          </w:p>
        </w:tc>
        <w:tc>
          <w:tcPr>
            <w:tcW w:w="1280" w:type="dxa"/>
            <w:tcBorders>
              <w:top w:val="nil"/>
              <w:left w:val="nil"/>
              <w:bottom w:val="single" w:sz="4" w:space="0" w:color="auto"/>
              <w:right w:val="single" w:sz="4" w:space="0" w:color="auto"/>
            </w:tcBorders>
            <w:vAlign w:val="center"/>
            <w:hideMark/>
          </w:tcPr>
          <w:p w14:paraId="255B576E" w14:textId="77777777" w:rsidR="00FE087B" w:rsidRPr="00C4615D" w:rsidRDefault="00FE087B" w:rsidP="006C5ECB">
            <w:pPr>
              <w:spacing w:after="0" w:line="360" w:lineRule="auto"/>
              <w:jc w:val="right"/>
              <w:rPr>
                <w:rFonts w:ascii="Times New Roman" w:eastAsia="Times New Roman" w:hAnsi="Times New Roman" w:cs="Times New Roman"/>
                <w:color w:val="000000"/>
                <w:kern w:val="0"/>
                <w:sz w:val="20"/>
                <w:szCs w:val="20"/>
                <w:lang w:eastAsia="en-IN"/>
                <w14:ligatures w14:val="none"/>
              </w:rPr>
            </w:pPr>
            <w:r w:rsidRPr="00C4615D">
              <w:rPr>
                <w:rFonts w:ascii="Times New Roman" w:eastAsia="Times New Roman" w:hAnsi="Times New Roman" w:cs="Times New Roman"/>
                <w:color w:val="000000"/>
                <w:kern w:val="0"/>
                <w:sz w:val="20"/>
                <w:szCs w:val="20"/>
                <w:lang w:eastAsia="en-IN"/>
                <w14:ligatures w14:val="none"/>
              </w:rPr>
              <w:t>18.67</w:t>
            </w:r>
          </w:p>
        </w:tc>
      </w:tr>
    </w:tbl>
    <w:p w14:paraId="18478397" w14:textId="77777777" w:rsidR="00FE087B" w:rsidRPr="007B4E38" w:rsidRDefault="00FE087B" w:rsidP="00FE087B">
      <w:pPr>
        <w:spacing w:line="360" w:lineRule="auto"/>
        <w:jc w:val="center"/>
        <w:rPr>
          <w:rFonts w:asciiTheme="majorBidi" w:hAnsiTheme="majorBidi" w:cstheme="majorBidi"/>
          <w:b/>
          <w:bCs/>
          <w:sz w:val="20"/>
          <w:szCs w:val="20"/>
        </w:rPr>
      </w:pPr>
      <w:r w:rsidRPr="007B4E38">
        <w:rPr>
          <w:rFonts w:asciiTheme="majorBidi" w:hAnsiTheme="majorBidi" w:cstheme="majorBidi"/>
          <w:b/>
          <w:bCs/>
          <w:sz w:val="20"/>
          <w:szCs w:val="20"/>
        </w:rPr>
        <w:t>Source: Field Survey, 2025</w:t>
      </w:r>
    </w:p>
    <w:p w14:paraId="7A8BB981" w14:textId="2150CBC5" w:rsidR="00FE087B" w:rsidRPr="00C06214" w:rsidRDefault="00C903D6" w:rsidP="00C06214">
      <w:pPr>
        <w:pStyle w:val="ListParagraph"/>
        <w:numPr>
          <w:ilvl w:val="1"/>
          <w:numId w:val="4"/>
        </w:numPr>
        <w:spacing w:line="360" w:lineRule="auto"/>
        <w:ind w:left="426" w:hanging="426"/>
        <w:jc w:val="both"/>
        <w:rPr>
          <w:rFonts w:asciiTheme="majorBidi" w:hAnsiTheme="majorBidi" w:cstheme="majorBidi"/>
          <w:b/>
          <w:bCs/>
        </w:rPr>
      </w:pPr>
      <w:r w:rsidRPr="00C06214">
        <w:rPr>
          <w:rFonts w:asciiTheme="majorBidi" w:hAnsiTheme="majorBidi" w:cstheme="majorBidi"/>
          <w:b/>
          <w:bCs/>
        </w:rPr>
        <w:t>Household Water Storage</w:t>
      </w:r>
    </w:p>
    <w:p w14:paraId="11A74076" w14:textId="27C92B1C" w:rsidR="00C903D6" w:rsidRPr="00F37FE9" w:rsidRDefault="00C903D6" w:rsidP="00C903D6">
      <w:pPr>
        <w:spacing w:line="360" w:lineRule="auto"/>
        <w:jc w:val="both"/>
        <w:rPr>
          <w:rFonts w:asciiTheme="majorBidi" w:hAnsiTheme="majorBidi" w:cstheme="majorBidi"/>
        </w:rPr>
      </w:pPr>
      <w:r w:rsidRPr="00F37FE9">
        <w:rPr>
          <w:rFonts w:asciiTheme="majorBidi" w:hAnsiTheme="majorBidi" w:cstheme="majorBidi"/>
        </w:rPr>
        <w:lastRenderedPageBreak/>
        <w:t xml:space="preserve">A majority of households (36.7%) store between 401–600 litres of water. This is followed by 30.37% of households storing 200–400 litres. A smaller proportion of households store more than 600 litres (18.99%), while only 13.92% store less than 200 litres </w:t>
      </w:r>
      <w:r w:rsidR="00AA007B" w:rsidRPr="00F37FE9">
        <w:rPr>
          <w:rFonts w:asciiTheme="majorBidi" w:hAnsiTheme="majorBidi" w:cstheme="majorBidi"/>
        </w:rPr>
        <w:t>(Figure 1)</w:t>
      </w:r>
      <w:r w:rsidRPr="00F37FE9">
        <w:rPr>
          <w:rFonts w:asciiTheme="majorBidi" w:hAnsiTheme="majorBidi" w:cstheme="majorBidi"/>
        </w:rPr>
        <w:t>.</w:t>
      </w:r>
    </w:p>
    <w:p w14:paraId="5860B227" w14:textId="77777777" w:rsidR="00C903D6" w:rsidRDefault="00C903D6" w:rsidP="00C903D6">
      <w:pPr>
        <w:spacing w:line="360" w:lineRule="auto"/>
        <w:jc w:val="both"/>
        <w:rPr>
          <w:rFonts w:asciiTheme="majorBidi" w:hAnsiTheme="majorBidi" w:cstheme="majorBidi"/>
        </w:rPr>
      </w:pPr>
      <w:r w:rsidRPr="00C903D6">
        <w:rPr>
          <w:rFonts w:asciiTheme="majorBidi" w:hAnsiTheme="majorBidi" w:cstheme="majorBidi"/>
        </w:rPr>
        <w:t>This pattern indicates that households try to maintain a buffer stock of water, especially where supply is not fully reliable. The higher proportion of households storing medium to large quantities of water suggests that storage plays an important role in coping with irregular supply and meeting daily consumption needs.</w:t>
      </w:r>
    </w:p>
    <w:p w14:paraId="6E73ECCF" w14:textId="52E323F7" w:rsidR="00AA007B" w:rsidRDefault="00AA007B" w:rsidP="00AA007B">
      <w:pPr>
        <w:pStyle w:val="Caption"/>
        <w:keepNext/>
        <w:jc w:val="center"/>
      </w:pPr>
      <w:r>
        <w:t xml:space="preserve">Figure </w:t>
      </w:r>
      <w:r w:rsidR="00AF0FF7">
        <w:fldChar w:fldCharType="begin"/>
      </w:r>
      <w:r w:rsidR="00AF0FF7">
        <w:instrText xml:space="preserve"> SEQ Figure \* ARABIC </w:instrText>
      </w:r>
      <w:r w:rsidR="00AF0FF7">
        <w:fldChar w:fldCharType="separate"/>
      </w:r>
      <w:r w:rsidR="00A27202">
        <w:rPr>
          <w:noProof/>
        </w:rPr>
        <w:t>2</w:t>
      </w:r>
      <w:r w:rsidR="00AF0FF7">
        <w:rPr>
          <w:noProof/>
        </w:rPr>
        <w:fldChar w:fldCharType="end"/>
      </w:r>
      <w:r>
        <w:t xml:space="preserve"> </w:t>
      </w:r>
      <w:r w:rsidR="0040253C" w:rsidRPr="0040253C">
        <w:t xml:space="preserve">Household water storage </w:t>
      </w:r>
    </w:p>
    <w:p w14:paraId="10141AC6" w14:textId="77777777" w:rsidR="00AA007B" w:rsidRDefault="00C903D6" w:rsidP="00AA007B">
      <w:pPr>
        <w:keepNext/>
        <w:spacing w:line="360" w:lineRule="auto"/>
        <w:jc w:val="center"/>
      </w:pPr>
      <w:r>
        <w:rPr>
          <w:noProof/>
        </w:rPr>
        <w:drawing>
          <wp:inline distT="0" distB="0" distL="0" distR="0" wp14:anchorId="7884AE99" wp14:editId="451176AC">
            <wp:extent cx="4000500" cy="2381250"/>
            <wp:effectExtent l="0" t="0" r="6350" b="0"/>
            <wp:docPr id="1408860393" name="Chart 1">
              <a:extLst xmlns:a="http://schemas.openxmlformats.org/drawingml/2006/main">
                <a:ext uri="{FF2B5EF4-FFF2-40B4-BE49-F238E27FC236}">
                  <a16:creationId xmlns:a16="http://schemas.microsoft.com/office/drawing/2014/main" id="{18000AD8-6941-0EF5-F08A-92647A5B1A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57D8E2" w14:textId="46C26AED" w:rsidR="00AA007B" w:rsidRPr="00C06214" w:rsidRDefault="00AA007B"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Household size and water consumption</w:t>
      </w:r>
    </w:p>
    <w:p w14:paraId="10961680" w14:textId="556B02D0" w:rsidR="00D46116" w:rsidRDefault="00AA007B" w:rsidP="00AA007B">
      <w:pPr>
        <w:spacing w:line="360" w:lineRule="auto"/>
        <w:jc w:val="both"/>
        <w:rPr>
          <w:rFonts w:asciiTheme="majorBidi" w:hAnsiTheme="majorBidi" w:cstheme="majorBidi"/>
        </w:rPr>
      </w:pPr>
      <w:r w:rsidRPr="00AA007B">
        <w:rPr>
          <w:rFonts w:asciiTheme="majorBidi" w:hAnsiTheme="majorBidi" w:cstheme="majorBidi"/>
        </w:rPr>
        <w:t>The regression result indicates that household size has a direct influence on water consumption. There is a clear positive trend, where larger households consume more water compared to smaller households. This suggests that population at the household level plays a key role in determining water demand.</w:t>
      </w:r>
    </w:p>
    <w:p w14:paraId="299191ED" w14:textId="68D1DDA5" w:rsidR="00AA007B" w:rsidRDefault="00AA007B" w:rsidP="00AA007B">
      <w:pPr>
        <w:pStyle w:val="Caption"/>
        <w:keepNext/>
        <w:jc w:val="center"/>
      </w:pPr>
      <w:r>
        <w:lastRenderedPageBreak/>
        <w:t xml:space="preserve">Figure </w:t>
      </w:r>
      <w:r w:rsidR="00AF0FF7">
        <w:fldChar w:fldCharType="begin"/>
      </w:r>
      <w:r w:rsidR="00AF0FF7">
        <w:instrText xml:space="preserve"> SEQ Figure \* ARABIC </w:instrText>
      </w:r>
      <w:r w:rsidR="00AF0FF7">
        <w:fldChar w:fldCharType="separate"/>
      </w:r>
      <w:r w:rsidR="00A27202">
        <w:rPr>
          <w:noProof/>
        </w:rPr>
        <w:t>3</w:t>
      </w:r>
      <w:r w:rsidR="00AF0FF7">
        <w:rPr>
          <w:noProof/>
        </w:rPr>
        <w:fldChar w:fldCharType="end"/>
      </w:r>
      <w:r>
        <w:t xml:space="preserve"> Household size and water consumption</w:t>
      </w:r>
    </w:p>
    <w:p w14:paraId="34284965" w14:textId="77777777" w:rsidR="00AA007B" w:rsidRDefault="00AA007B" w:rsidP="00AA007B">
      <w:pPr>
        <w:keepNext/>
        <w:spacing w:line="360" w:lineRule="auto"/>
        <w:jc w:val="center"/>
      </w:pPr>
      <w:r>
        <w:rPr>
          <w:noProof/>
        </w:rPr>
        <w:drawing>
          <wp:inline distT="0" distB="0" distL="0" distR="0" wp14:anchorId="6817D671" wp14:editId="758A8E01">
            <wp:extent cx="5400000" cy="2700000"/>
            <wp:effectExtent l="0" t="0" r="10795" b="5715"/>
            <wp:docPr id="1849225769"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A3DAAD" w14:textId="7D6FF697" w:rsidR="00E8235C" w:rsidRPr="00C06214" w:rsidRDefault="00E8235C" w:rsidP="00C06214">
      <w:pPr>
        <w:pStyle w:val="ListParagraph"/>
        <w:numPr>
          <w:ilvl w:val="0"/>
          <w:numId w:val="4"/>
        </w:numPr>
        <w:spacing w:line="360" w:lineRule="auto"/>
        <w:ind w:left="426"/>
        <w:jc w:val="both"/>
        <w:rPr>
          <w:rFonts w:asciiTheme="majorBidi" w:hAnsiTheme="majorBidi" w:cstheme="majorBidi"/>
          <w:b/>
          <w:bCs/>
        </w:rPr>
      </w:pPr>
      <w:r w:rsidRPr="00C06214">
        <w:rPr>
          <w:rFonts w:asciiTheme="majorBidi" w:hAnsiTheme="majorBidi" w:cstheme="majorBidi"/>
          <w:b/>
          <w:bCs/>
        </w:rPr>
        <w:t>Discussion</w:t>
      </w:r>
    </w:p>
    <w:p w14:paraId="7F3C34E2" w14:textId="4A8C233E"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The findings of the study can be better understood when viewed through the water security framework developed by David Grey and Claudia W. Sadoff, which explains water security as a combination of availability, quality, reliability, livelihood use and risk. The results from </w:t>
      </w:r>
      <w:proofErr w:type="spellStart"/>
      <w:r w:rsidRPr="00E8235C">
        <w:rPr>
          <w:rFonts w:asciiTheme="majorBidi" w:hAnsiTheme="majorBidi" w:cstheme="majorBidi"/>
        </w:rPr>
        <w:t>Mawlyndep</w:t>
      </w:r>
      <w:proofErr w:type="spellEnd"/>
      <w:r w:rsidRPr="00E8235C">
        <w:rPr>
          <w:rFonts w:asciiTheme="majorBidi" w:hAnsiTheme="majorBidi" w:cstheme="majorBidi"/>
        </w:rPr>
        <w:t xml:space="preserve"> village </w:t>
      </w:r>
      <w:r w:rsidR="00112D85">
        <w:rPr>
          <w:rFonts w:asciiTheme="majorBidi" w:hAnsiTheme="majorBidi" w:cstheme="majorBidi"/>
        </w:rPr>
        <w:t xml:space="preserve">indicate that </w:t>
      </w:r>
      <w:r w:rsidRPr="00E8235C">
        <w:rPr>
          <w:rFonts w:asciiTheme="majorBidi" w:hAnsiTheme="majorBidi" w:cstheme="majorBidi"/>
        </w:rPr>
        <w:t xml:space="preserve">water security is not a single </w:t>
      </w:r>
      <w:r w:rsidR="00112D85">
        <w:rPr>
          <w:rFonts w:asciiTheme="majorBidi" w:hAnsiTheme="majorBidi" w:cstheme="majorBidi"/>
        </w:rPr>
        <w:t xml:space="preserve">dimensional </w:t>
      </w:r>
      <w:r w:rsidRPr="00E8235C">
        <w:rPr>
          <w:rFonts w:asciiTheme="majorBidi" w:hAnsiTheme="majorBidi" w:cstheme="majorBidi"/>
        </w:rPr>
        <w:t xml:space="preserve">issue but a combination of </w:t>
      </w:r>
      <w:r w:rsidR="00112D85">
        <w:rPr>
          <w:rFonts w:asciiTheme="majorBidi" w:hAnsiTheme="majorBidi" w:cstheme="majorBidi"/>
        </w:rPr>
        <w:t xml:space="preserve">multiple interrelated </w:t>
      </w:r>
      <w:r w:rsidR="00D33516">
        <w:rPr>
          <w:rFonts w:asciiTheme="majorBidi" w:hAnsiTheme="majorBidi" w:cstheme="majorBidi"/>
        </w:rPr>
        <w:t>fa</w:t>
      </w:r>
      <w:r w:rsidRPr="00E8235C">
        <w:rPr>
          <w:rFonts w:asciiTheme="majorBidi" w:hAnsiTheme="majorBidi" w:cstheme="majorBidi"/>
        </w:rPr>
        <w:t>ctors.</w:t>
      </w:r>
    </w:p>
    <w:p w14:paraId="39FF4DC8" w14:textId="3C169A3A"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Availability and Adequacy of Water</w:t>
      </w:r>
    </w:p>
    <w:p w14:paraId="1257BEC3" w14:textId="35FE10CB"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first principle focuses on availability and adequacy. In the study area, water is available through multiple sources such as PHE supply, wells, tanker and others. However, the findings show that availability does not</w:t>
      </w:r>
      <w:r w:rsidR="00D33516">
        <w:rPr>
          <w:rFonts w:asciiTheme="majorBidi" w:hAnsiTheme="majorBidi" w:cstheme="majorBidi"/>
        </w:rPr>
        <w:t xml:space="preserve"> necessarily ensure</w:t>
      </w:r>
      <w:r w:rsidRPr="00E8235C">
        <w:rPr>
          <w:rFonts w:asciiTheme="majorBidi" w:hAnsiTheme="majorBidi" w:cstheme="majorBidi"/>
        </w:rPr>
        <w:t xml:space="preserve"> sufficiency. A </w:t>
      </w:r>
      <w:r w:rsidR="00D33516">
        <w:rPr>
          <w:rFonts w:asciiTheme="majorBidi" w:hAnsiTheme="majorBidi" w:cstheme="majorBidi"/>
        </w:rPr>
        <w:t>significant proportion of h</w:t>
      </w:r>
      <w:r w:rsidRPr="00E8235C">
        <w:rPr>
          <w:rFonts w:asciiTheme="majorBidi" w:hAnsiTheme="majorBidi" w:cstheme="majorBidi"/>
        </w:rPr>
        <w:t>ouseholds reported in</w:t>
      </w:r>
      <w:r w:rsidR="00D33516">
        <w:rPr>
          <w:rFonts w:asciiTheme="majorBidi" w:hAnsiTheme="majorBidi" w:cstheme="majorBidi"/>
        </w:rPr>
        <w:t xml:space="preserve">adequate water </w:t>
      </w:r>
      <w:r w:rsidRPr="00E8235C">
        <w:rPr>
          <w:rFonts w:asciiTheme="majorBidi" w:hAnsiTheme="majorBidi" w:cstheme="majorBidi"/>
        </w:rPr>
        <w:t>quantity (38.89%).</w:t>
      </w:r>
    </w:p>
    <w:p w14:paraId="45DF2A9C" w14:textId="09E9C32D" w:rsidR="00E8235C" w:rsidRPr="00E8235C" w:rsidRDefault="00E8235C" w:rsidP="00E8235C">
      <w:pPr>
        <w:spacing w:line="360" w:lineRule="auto"/>
        <w:jc w:val="both"/>
        <w:rPr>
          <w:rFonts w:asciiTheme="majorBidi" w:hAnsiTheme="majorBidi" w:cstheme="majorBidi"/>
          <w:b/>
          <w:bCs/>
        </w:rPr>
      </w:pPr>
      <w:r w:rsidRPr="00E8235C">
        <w:rPr>
          <w:rFonts w:asciiTheme="majorBidi" w:hAnsiTheme="majorBidi" w:cstheme="majorBidi"/>
        </w:rPr>
        <w:t xml:space="preserve">The </w:t>
      </w:r>
      <w:r w:rsidR="00D33516">
        <w:rPr>
          <w:rFonts w:asciiTheme="majorBidi" w:hAnsiTheme="majorBidi" w:cstheme="majorBidi"/>
        </w:rPr>
        <w:t xml:space="preserve">average </w:t>
      </w:r>
      <w:r w:rsidRPr="00E8235C">
        <w:rPr>
          <w:rFonts w:asciiTheme="majorBidi" w:hAnsiTheme="majorBidi" w:cstheme="majorBidi"/>
        </w:rPr>
        <w:t xml:space="preserve">per capita water consumption of about 70.23 litres per day </w:t>
      </w:r>
      <w:r w:rsidR="00D33516">
        <w:rPr>
          <w:rFonts w:asciiTheme="majorBidi" w:hAnsiTheme="majorBidi" w:cstheme="majorBidi"/>
        </w:rPr>
        <w:t xml:space="preserve">suggest </w:t>
      </w:r>
      <w:r w:rsidRPr="00E8235C">
        <w:rPr>
          <w:rFonts w:asciiTheme="majorBidi" w:hAnsiTheme="majorBidi" w:cstheme="majorBidi"/>
        </w:rPr>
        <w:t xml:space="preserve">moderate </w:t>
      </w:r>
      <w:r w:rsidR="00D33516">
        <w:rPr>
          <w:rFonts w:asciiTheme="majorBidi" w:hAnsiTheme="majorBidi" w:cstheme="majorBidi"/>
        </w:rPr>
        <w:t xml:space="preserve">but not fully adequate </w:t>
      </w:r>
      <w:r w:rsidRPr="00E8235C">
        <w:rPr>
          <w:rFonts w:asciiTheme="majorBidi" w:hAnsiTheme="majorBidi" w:cstheme="majorBidi"/>
        </w:rPr>
        <w:t xml:space="preserve">availability. </w:t>
      </w:r>
      <w:r w:rsidR="00D33516">
        <w:rPr>
          <w:rFonts w:asciiTheme="majorBidi" w:hAnsiTheme="majorBidi" w:cstheme="majorBidi"/>
        </w:rPr>
        <w:t>L</w:t>
      </w:r>
      <w:r w:rsidRPr="00E8235C">
        <w:rPr>
          <w:rFonts w:asciiTheme="majorBidi" w:hAnsiTheme="majorBidi" w:cstheme="majorBidi"/>
        </w:rPr>
        <w:t>arger household size further increases the pressure on available water, showing that adequacy depends on both supply and demand conditions.</w:t>
      </w:r>
    </w:p>
    <w:p w14:paraId="4D7E2F7C" w14:textId="362CEE0E"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Quality and Safety</w:t>
      </w:r>
    </w:p>
    <w:p w14:paraId="7CF07D63"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second principle relates to water quality. In the study, 16.67% of households reported poor water quality, which shows that not all water sources are safe for use. Even if water is available, poor quality reduces its usability and affects health.</w:t>
      </w:r>
    </w:p>
    <w:p w14:paraId="7D6B4DD0" w14:textId="40578D80"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lastRenderedPageBreak/>
        <w:t xml:space="preserve">This </w:t>
      </w:r>
      <w:r w:rsidR="00D33516">
        <w:rPr>
          <w:rFonts w:asciiTheme="majorBidi" w:hAnsiTheme="majorBidi" w:cstheme="majorBidi"/>
        </w:rPr>
        <w:t>suggest</w:t>
      </w:r>
      <w:r w:rsidRPr="00E8235C">
        <w:rPr>
          <w:rFonts w:asciiTheme="majorBidi" w:hAnsiTheme="majorBidi" w:cstheme="majorBidi"/>
        </w:rPr>
        <w:t xml:space="preserve"> that water security is not only about quantity but also about safety. </w:t>
      </w:r>
      <w:r w:rsidR="00D33516">
        <w:rPr>
          <w:rFonts w:asciiTheme="majorBidi" w:hAnsiTheme="majorBidi" w:cstheme="majorBidi"/>
        </w:rPr>
        <w:t>D</w:t>
      </w:r>
      <w:r w:rsidRPr="00E8235C">
        <w:rPr>
          <w:rFonts w:asciiTheme="majorBidi" w:hAnsiTheme="majorBidi" w:cstheme="majorBidi"/>
        </w:rPr>
        <w:t xml:space="preserve">ependence on multiple sources like wells and streams may increase the risk of contamination, </w:t>
      </w:r>
      <w:r w:rsidR="00D33516">
        <w:rPr>
          <w:rFonts w:asciiTheme="majorBidi" w:hAnsiTheme="majorBidi" w:cstheme="majorBidi"/>
        </w:rPr>
        <w:t>particularly</w:t>
      </w:r>
      <w:r w:rsidRPr="00E8235C">
        <w:rPr>
          <w:rFonts w:asciiTheme="majorBidi" w:hAnsiTheme="majorBidi" w:cstheme="majorBidi"/>
        </w:rPr>
        <w:t xml:space="preserve"> in rural areas where treatment facilities are limited.</w:t>
      </w:r>
    </w:p>
    <w:p w14:paraId="29AB07D1" w14:textId="0804C4A4"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Water for Livelihood and Production</w:t>
      </w:r>
    </w:p>
    <w:p w14:paraId="38B8A0AB" w14:textId="4BA86CFD"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findings clearly show that water is used not only for domestic purposes but also for gardening and farming (73.61 L/day). This indicates that water plays an important role in sustaining rural livelihoods.</w:t>
      </w:r>
    </w:p>
    <w:p w14:paraId="61744F5D" w14:textId="5EB95A45"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This </w:t>
      </w:r>
      <w:r w:rsidR="00D33516">
        <w:rPr>
          <w:rFonts w:asciiTheme="majorBidi" w:hAnsiTheme="majorBidi" w:cstheme="majorBidi"/>
        </w:rPr>
        <w:t>highlights the importance of water in sustaining rural livelihood</w:t>
      </w:r>
      <w:r w:rsidRPr="00E8235C">
        <w:rPr>
          <w:rFonts w:asciiTheme="majorBidi" w:hAnsiTheme="majorBidi" w:cstheme="majorBidi"/>
        </w:rPr>
        <w:t xml:space="preserve">. </w:t>
      </w:r>
      <w:r w:rsidR="00D33516">
        <w:rPr>
          <w:rFonts w:asciiTheme="majorBidi" w:hAnsiTheme="majorBidi" w:cstheme="majorBidi"/>
        </w:rPr>
        <w:t>L</w:t>
      </w:r>
      <w:r w:rsidRPr="00E8235C">
        <w:rPr>
          <w:rFonts w:asciiTheme="majorBidi" w:hAnsiTheme="majorBidi" w:cstheme="majorBidi"/>
        </w:rPr>
        <w:t xml:space="preserve">imited water availability can </w:t>
      </w:r>
      <w:r w:rsidR="00D33516">
        <w:rPr>
          <w:rFonts w:asciiTheme="majorBidi" w:hAnsiTheme="majorBidi" w:cstheme="majorBidi"/>
        </w:rPr>
        <w:t xml:space="preserve">therefore </w:t>
      </w:r>
      <w:r w:rsidRPr="00E8235C">
        <w:rPr>
          <w:rFonts w:asciiTheme="majorBidi" w:hAnsiTheme="majorBidi" w:cstheme="majorBidi"/>
        </w:rPr>
        <w:t>affect both household needs and livelihood activities.</w:t>
      </w:r>
    </w:p>
    <w:p w14:paraId="4135797A" w14:textId="5ABD7DE4"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Risk, Variability and Reliability</w:t>
      </w:r>
    </w:p>
    <w:p w14:paraId="0AF59818" w14:textId="5ACBE8CA"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findings</w:t>
      </w:r>
      <w:r w:rsidR="00D33516">
        <w:rPr>
          <w:rFonts w:asciiTheme="majorBidi" w:hAnsiTheme="majorBidi" w:cstheme="majorBidi"/>
        </w:rPr>
        <w:t xml:space="preserve"> indicates that</w:t>
      </w:r>
      <w:r w:rsidRPr="00E8235C">
        <w:rPr>
          <w:rFonts w:asciiTheme="majorBidi" w:hAnsiTheme="majorBidi" w:cstheme="majorBidi"/>
        </w:rPr>
        <w:t xml:space="preserve"> PHE water supply is only moderately re</w:t>
      </w:r>
      <w:r w:rsidR="00D33516">
        <w:rPr>
          <w:rFonts w:asciiTheme="majorBidi" w:hAnsiTheme="majorBidi" w:cstheme="majorBidi"/>
        </w:rPr>
        <w:t xml:space="preserve">liable </w:t>
      </w:r>
      <w:r w:rsidRPr="00E8235C">
        <w:rPr>
          <w:rFonts w:asciiTheme="majorBidi" w:hAnsiTheme="majorBidi" w:cstheme="majorBidi"/>
        </w:rPr>
        <w:t>(mean score 3.54), while other sources are more regular.</w:t>
      </w:r>
    </w:p>
    <w:p w14:paraId="2E546F59"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This indicates that water supply is not fully reliable, and households face uncertainty in access. The presence of problems such as irregular supply (13.89%) and infrastructure issues (25%) further highlights the role of risk and variability.</w:t>
      </w:r>
    </w:p>
    <w:p w14:paraId="5B5CFE87" w14:textId="17388C1E"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These </w:t>
      </w:r>
      <w:r w:rsidR="00D33516">
        <w:rPr>
          <w:rFonts w:asciiTheme="majorBidi" w:hAnsiTheme="majorBidi" w:cstheme="majorBidi"/>
        </w:rPr>
        <w:t>reflects the presence of uncertainty in water availability. Issues such as irregular suppl</w:t>
      </w:r>
      <w:r w:rsidR="00370A4E">
        <w:rPr>
          <w:rFonts w:asciiTheme="majorBidi" w:hAnsiTheme="majorBidi" w:cstheme="majorBidi"/>
        </w:rPr>
        <w:t>y</w:t>
      </w:r>
      <w:r w:rsidR="00D33516">
        <w:rPr>
          <w:rFonts w:asciiTheme="majorBidi" w:hAnsiTheme="majorBidi" w:cstheme="majorBidi"/>
        </w:rPr>
        <w:t xml:space="preserve"> and infrastructure constraints highlight the role of variability and system </w:t>
      </w:r>
      <w:r w:rsidR="00370A4E">
        <w:rPr>
          <w:rFonts w:asciiTheme="majorBidi" w:hAnsiTheme="majorBidi" w:cstheme="majorBidi"/>
        </w:rPr>
        <w:t xml:space="preserve">reliability in shaping </w:t>
      </w:r>
      <w:r w:rsidRPr="00E8235C">
        <w:rPr>
          <w:rFonts w:asciiTheme="majorBidi" w:hAnsiTheme="majorBidi" w:cstheme="majorBidi"/>
        </w:rPr>
        <w:t>water security.</w:t>
      </w:r>
    </w:p>
    <w:p w14:paraId="4954AC7E" w14:textId="2AD08DD6" w:rsidR="00E8235C" w:rsidRPr="00C06214" w:rsidRDefault="00E8235C" w:rsidP="00C06214">
      <w:pPr>
        <w:pStyle w:val="ListParagraph"/>
        <w:numPr>
          <w:ilvl w:val="1"/>
          <w:numId w:val="4"/>
        </w:numPr>
        <w:spacing w:line="360" w:lineRule="auto"/>
        <w:ind w:left="426"/>
        <w:jc w:val="both"/>
        <w:rPr>
          <w:rFonts w:asciiTheme="majorBidi" w:hAnsiTheme="majorBidi" w:cstheme="majorBidi"/>
          <w:b/>
          <w:bCs/>
        </w:rPr>
      </w:pPr>
      <w:r w:rsidRPr="00C06214">
        <w:rPr>
          <w:rFonts w:asciiTheme="majorBidi" w:hAnsiTheme="majorBidi" w:cstheme="majorBidi"/>
          <w:b/>
          <w:bCs/>
        </w:rPr>
        <w:t>Adaptation and Coping Mechanism</w:t>
      </w:r>
    </w:p>
    <w:p w14:paraId="1457A58F"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study shows that households actively respond to water problems through different coping strategies. One of the main strategies is water storage, where most households store between 401–600 litres of water.</w:t>
      </w:r>
    </w:p>
    <w:p w14:paraId="731EB7BA" w14:textId="64350B3F"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However, there is a gap between awareness and practice</w:t>
      </w:r>
      <w:r w:rsidR="00370A4E">
        <w:rPr>
          <w:rFonts w:asciiTheme="majorBidi" w:hAnsiTheme="majorBidi" w:cstheme="majorBidi"/>
        </w:rPr>
        <w:t xml:space="preserve"> of conservation</w:t>
      </w:r>
      <w:r w:rsidRPr="00E8235C">
        <w:rPr>
          <w:rFonts w:asciiTheme="majorBidi" w:hAnsiTheme="majorBidi" w:cstheme="majorBidi"/>
        </w:rPr>
        <w:t xml:space="preserve">. This </w:t>
      </w:r>
      <w:r w:rsidR="00370A4E">
        <w:rPr>
          <w:rFonts w:asciiTheme="majorBidi" w:hAnsiTheme="majorBidi" w:cstheme="majorBidi"/>
        </w:rPr>
        <w:t xml:space="preserve">indicates that while </w:t>
      </w:r>
      <w:r w:rsidRPr="00E8235C">
        <w:rPr>
          <w:rFonts w:asciiTheme="majorBidi" w:hAnsiTheme="majorBidi" w:cstheme="majorBidi"/>
        </w:rPr>
        <w:t xml:space="preserve">adaptation </w:t>
      </w:r>
      <w:r w:rsidR="00370A4E">
        <w:rPr>
          <w:rFonts w:asciiTheme="majorBidi" w:hAnsiTheme="majorBidi" w:cstheme="majorBidi"/>
        </w:rPr>
        <w:t xml:space="preserve">exists </w:t>
      </w:r>
      <w:r w:rsidRPr="00E8235C">
        <w:rPr>
          <w:rFonts w:asciiTheme="majorBidi" w:hAnsiTheme="majorBidi" w:cstheme="majorBidi"/>
        </w:rPr>
        <w:t>it is not fully effective</w:t>
      </w:r>
      <w:r w:rsidR="00370A4E">
        <w:rPr>
          <w:rFonts w:asciiTheme="majorBidi" w:hAnsiTheme="majorBidi" w:cstheme="majorBidi"/>
        </w:rPr>
        <w:t xml:space="preserve"> and practiced across households</w:t>
      </w:r>
      <w:r w:rsidRPr="00E8235C">
        <w:rPr>
          <w:rFonts w:asciiTheme="majorBidi" w:hAnsiTheme="majorBidi" w:cstheme="majorBidi"/>
        </w:rPr>
        <w:t>.</w:t>
      </w:r>
    </w:p>
    <w:p w14:paraId="24B9CC27" w14:textId="61FD49F3" w:rsidR="00E8235C" w:rsidRPr="00C06214" w:rsidRDefault="00370A4E" w:rsidP="00C06214">
      <w:pPr>
        <w:pStyle w:val="ListParagraph"/>
        <w:numPr>
          <w:ilvl w:val="1"/>
          <w:numId w:val="4"/>
        </w:numPr>
        <w:spacing w:line="360" w:lineRule="auto"/>
        <w:ind w:left="426"/>
        <w:jc w:val="both"/>
        <w:rPr>
          <w:rFonts w:asciiTheme="majorBidi" w:hAnsiTheme="majorBidi" w:cstheme="majorBidi"/>
          <w:b/>
          <w:bCs/>
        </w:rPr>
      </w:pPr>
      <w:r>
        <w:rPr>
          <w:rFonts w:asciiTheme="majorBidi" w:hAnsiTheme="majorBidi" w:cstheme="majorBidi"/>
          <w:b/>
          <w:bCs/>
        </w:rPr>
        <w:t xml:space="preserve"> </w:t>
      </w:r>
      <w:r w:rsidR="00E8235C" w:rsidRPr="00C06214">
        <w:rPr>
          <w:rFonts w:asciiTheme="majorBidi" w:hAnsiTheme="majorBidi" w:cstheme="majorBidi"/>
          <w:b/>
          <w:bCs/>
        </w:rPr>
        <w:t>Institutional and Governance Dimension</w:t>
      </w:r>
    </w:p>
    <w:p w14:paraId="68EFA05E" w14:textId="77777777"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The framework also emphasizes the role of institutions and governance. In the study area, the moderate reliability of PHE supply and the presence of infrastructure issues indicate weaknesses in water management systems.</w:t>
      </w:r>
    </w:p>
    <w:p w14:paraId="6AED4970" w14:textId="77777777" w:rsidR="00370A4E" w:rsidRDefault="00E8235C" w:rsidP="00370A4E">
      <w:pPr>
        <w:spacing w:line="360" w:lineRule="auto"/>
        <w:jc w:val="both"/>
        <w:rPr>
          <w:rFonts w:asciiTheme="majorBidi" w:hAnsiTheme="majorBidi" w:cstheme="majorBidi"/>
        </w:rPr>
      </w:pPr>
      <w:r w:rsidRPr="00E8235C">
        <w:rPr>
          <w:rFonts w:asciiTheme="majorBidi" w:hAnsiTheme="majorBidi" w:cstheme="majorBidi"/>
        </w:rPr>
        <w:lastRenderedPageBreak/>
        <w:t xml:space="preserve">At the same time, </w:t>
      </w:r>
      <w:r w:rsidR="00370A4E">
        <w:rPr>
          <w:rFonts w:asciiTheme="majorBidi" w:hAnsiTheme="majorBidi" w:cstheme="majorBidi"/>
        </w:rPr>
        <w:t xml:space="preserve">strong community support for awareness programmes indicates potential for improved participation and local governance </w:t>
      </w:r>
    </w:p>
    <w:p w14:paraId="758BDCF4" w14:textId="0AA3045C" w:rsidR="00E8235C" w:rsidRPr="00370A4E" w:rsidRDefault="00E8235C" w:rsidP="00370A4E">
      <w:pPr>
        <w:pStyle w:val="ListParagraph"/>
        <w:numPr>
          <w:ilvl w:val="1"/>
          <w:numId w:val="4"/>
        </w:numPr>
        <w:spacing w:line="360" w:lineRule="auto"/>
        <w:ind w:left="426"/>
        <w:jc w:val="both"/>
        <w:rPr>
          <w:rFonts w:asciiTheme="majorBidi" w:hAnsiTheme="majorBidi" w:cstheme="majorBidi"/>
          <w:b/>
          <w:bCs/>
        </w:rPr>
      </w:pPr>
      <w:r w:rsidRPr="00370A4E">
        <w:rPr>
          <w:rFonts w:asciiTheme="majorBidi" w:hAnsiTheme="majorBidi" w:cstheme="majorBidi"/>
          <w:b/>
          <w:bCs/>
        </w:rPr>
        <w:t>Link with Household Size and Water Demand</w:t>
      </w:r>
    </w:p>
    <w:p w14:paraId="08FAEE83" w14:textId="4A5681DD" w:rsidR="00E8235C" w:rsidRPr="00E8235C" w:rsidRDefault="00E8235C" w:rsidP="00E8235C">
      <w:pPr>
        <w:spacing w:line="360" w:lineRule="auto"/>
        <w:jc w:val="both"/>
        <w:rPr>
          <w:rFonts w:asciiTheme="majorBidi" w:hAnsiTheme="majorBidi" w:cstheme="majorBidi"/>
        </w:rPr>
      </w:pPr>
      <w:r w:rsidRPr="00E8235C">
        <w:rPr>
          <w:rFonts w:asciiTheme="majorBidi" w:hAnsiTheme="majorBidi" w:cstheme="majorBidi"/>
        </w:rPr>
        <w:t xml:space="preserve">The regression </w:t>
      </w:r>
      <w:r w:rsidR="00370A4E">
        <w:rPr>
          <w:rFonts w:asciiTheme="majorBidi" w:hAnsiTheme="majorBidi" w:cstheme="majorBidi"/>
        </w:rPr>
        <w:t>analysis shows that the household size has a direct influence on water consumption</w:t>
      </w:r>
      <w:r w:rsidRPr="00E8235C">
        <w:rPr>
          <w:rFonts w:asciiTheme="majorBidi" w:hAnsiTheme="majorBidi" w:cstheme="majorBidi"/>
        </w:rPr>
        <w:t xml:space="preserve">. Larger households </w:t>
      </w:r>
      <w:r w:rsidR="00370A4E">
        <w:rPr>
          <w:rFonts w:asciiTheme="majorBidi" w:hAnsiTheme="majorBidi" w:cstheme="majorBidi"/>
        </w:rPr>
        <w:t>require</w:t>
      </w:r>
      <w:r w:rsidRPr="00E8235C">
        <w:rPr>
          <w:rFonts w:asciiTheme="majorBidi" w:hAnsiTheme="majorBidi" w:cstheme="majorBidi"/>
        </w:rPr>
        <w:t xml:space="preserve"> more water, which increases </w:t>
      </w:r>
      <w:r w:rsidR="00370A4E">
        <w:rPr>
          <w:rFonts w:asciiTheme="majorBidi" w:hAnsiTheme="majorBidi" w:cstheme="majorBidi"/>
        </w:rPr>
        <w:t>overall demand</w:t>
      </w:r>
    </w:p>
    <w:p w14:paraId="7EE75294" w14:textId="77777777" w:rsidR="00370A4E" w:rsidRDefault="00370A4E" w:rsidP="00370A4E">
      <w:pPr>
        <w:spacing w:line="360" w:lineRule="auto"/>
        <w:jc w:val="both"/>
        <w:rPr>
          <w:rFonts w:asciiTheme="majorBidi" w:hAnsiTheme="majorBidi" w:cstheme="majorBidi"/>
        </w:rPr>
      </w:pPr>
      <w:r w:rsidRPr="00370A4E">
        <w:rPr>
          <w:rFonts w:asciiTheme="majorBidi" w:hAnsiTheme="majorBidi" w:cstheme="majorBidi"/>
        </w:rPr>
        <w:t>This highlights that water security is shaped not only by physical availability but also by demographic and socio-economic factors at the household level.</w:t>
      </w:r>
    </w:p>
    <w:p w14:paraId="1A47A704" w14:textId="7DE2BFDC" w:rsidR="00F7634C" w:rsidRPr="00370A4E" w:rsidRDefault="00F7634C" w:rsidP="00370A4E">
      <w:pPr>
        <w:spacing w:line="360" w:lineRule="auto"/>
        <w:jc w:val="both"/>
        <w:rPr>
          <w:rFonts w:asciiTheme="majorBidi" w:hAnsiTheme="majorBidi" w:cstheme="majorBidi"/>
        </w:rPr>
      </w:pPr>
      <w:r w:rsidRPr="00370A4E">
        <w:rPr>
          <w:rFonts w:asciiTheme="majorBidi" w:hAnsiTheme="majorBidi" w:cstheme="majorBidi"/>
          <w:b/>
          <w:bCs/>
        </w:rPr>
        <w:t xml:space="preserve">Conclusion </w:t>
      </w:r>
    </w:p>
    <w:p w14:paraId="78F85AC4" w14:textId="7AF10773" w:rsidR="00F7634C" w:rsidRDefault="00F7634C" w:rsidP="00F7634C">
      <w:pPr>
        <w:spacing w:line="360" w:lineRule="auto"/>
        <w:jc w:val="both"/>
        <w:rPr>
          <w:rFonts w:asciiTheme="majorBidi" w:hAnsiTheme="majorBidi" w:cstheme="majorBidi"/>
        </w:rPr>
      </w:pPr>
      <w:r w:rsidRPr="00F7634C">
        <w:rPr>
          <w:rFonts w:asciiTheme="majorBidi" w:hAnsiTheme="majorBidi" w:cstheme="majorBidi"/>
        </w:rPr>
        <w:t xml:space="preserve">This study shows that although water exists in </w:t>
      </w:r>
      <w:proofErr w:type="spellStart"/>
      <w:r w:rsidRPr="00F7634C">
        <w:rPr>
          <w:rFonts w:asciiTheme="majorBidi" w:hAnsiTheme="majorBidi" w:cstheme="majorBidi"/>
        </w:rPr>
        <w:t>Mawlyndep</w:t>
      </w:r>
      <w:proofErr w:type="spellEnd"/>
      <w:r w:rsidRPr="00F7634C">
        <w:rPr>
          <w:rFonts w:asciiTheme="majorBidi" w:hAnsiTheme="majorBidi" w:cstheme="majorBidi"/>
        </w:rPr>
        <w:t xml:space="preserve"> village, many households do not get a steady or sufficient supply. Problems related to infrastructure and quality are also present.</w:t>
      </w:r>
      <w:r>
        <w:rPr>
          <w:rFonts w:asciiTheme="majorBidi" w:hAnsiTheme="majorBidi" w:cstheme="majorBidi"/>
        </w:rPr>
        <w:t xml:space="preserve"> </w:t>
      </w:r>
      <w:r w:rsidRPr="00F7634C">
        <w:rPr>
          <w:rFonts w:asciiTheme="majorBidi" w:hAnsiTheme="majorBidi" w:cstheme="majorBidi"/>
        </w:rPr>
        <w:t>Water use increases with family size and daily needs, including farming and gardening. While people understand the importance of saving water, this is not always practiced.</w:t>
      </w:r>
      <w:r>
        <w:rPr>
          <w:rFonts w:asciiTheme="majorBidi" w:hAnsiTheme="majorBidi" w:cstheme="majorBidi"/>
        </w:rPr>
        <w:t xml:space="preserve"> </w:t>
      </w:r>
      <w:r w:rsidRPr="00F7634C">
        <w:rPr>
          <w:rFonts w:asciiTheme="majorBidi" w:hAnsiTheme="majorBidi" w:cstheme="majorBidi"/>
        </w:rPr>
        <w:t>Because the supply is uncertain, households depend on storage and different sources to meet their needs.</w:t>
      </w:r>
      <w:r>
        <w:rPr>
          <w:rFonts w:asciiTheme="majorBidi" w:hAnsiTheme="majorBidi" w:cstheme="majorBidi"/>
        </w:rPr>
        <w:t xml:space="preserve"> </w:t>
      </w:r>
      <w:r w:rsidRPr="00F7634C">
        <w:rPr>
          <w:rFonts w:asciiTheme="majorBidi" w:hAnsiTheme="majorBidi" w:cstheme="majorBidi"/>
        </w:rPr>
        <w:t>Overall, improving water conditions requires better facilities, more dependable supply, and practical conservation efforts with support from the community.</w:t>
      </w:r>
    </w:p>
    <w:p w14:paraId="66353156" w14:textId="77777777" w:rsidR="0040253C" w:rsidRPr="0040253C" w:rsidRDefault="0040253C" w:rsidP="0040253C">
      <w:pPr>
        <w:spacing w:line="360" w:lineRule="auto"/>
        <w:jc w:val="both"/>
        <w:rPr>
          <w:rFonts w:asciiTheme="majorBidi" w:hAnsiTheme="majorBidi" w:cstheme="majorBidi"/>
          <w:b/>
        </w:rPr>
      </w:pPr>
      <w:bookmarkStart w:id="0" w:name="_GoBack"/>
      <w:r w:rsidRPr="0040253C">
        <w:rPr>
          <w:rFonts w:asciiTheme="majorBidi" w:hAnsiTheme="majorBidi" w:cstheme="majorBidi"/>
          <w:b/>
        </w:rPr>
        <w:t xml:space="preserve">Consent </w:t>
      </w:r>
    </w:p>
    <w:bookmarkEnd w:id="0"/>
    <w:p w14:paraId="0BB7C7CF" w14:textId="21B2AAFA" w:rsidR="0040253C" w:rsidRPr="00F7634C" w:rsidRDefault="0040253C" w:rsidP="0040253C">
      <w:pPr>
        <w:spacing w:line="360" w:lineRule="auto"/>
        <w:jc w:val="both"/>
        <w:rPr>
          <w:rFonts w:asciiTheme="majorBidi" w:hAnsiTheme="majorBidi" w:cstheme="majorBidi"/>
        </w:rPr>
      </w:pPr>
      <w:r w:rsidRPr="0040253C">
        <w:rPr>
          <w:rFonts w:asciiTheme="majorBidi" w:hAnsiTheme="majorBidi" w:cstheme="majorBidi"/>
        </w:rPr>
        <w:t>As per international standards or university standards, respondents’ written consent has been collected and preserved by the author(s).</w:t>
      </w:r>
    </w:p>
    <w:p w14:paraId="7C5C715E" w14:textId="77777777" w:rsidR="00E73035" w:rsidRPr="006C4689" w:rsidRDefault="00E73035" w:rsidP="00E73035">
      <w:pPr>
        <w:rPr>
          <w:rFonts w:asciiTheme="majorBidi" w:hAnsiTheme="majorBidi" w:cstheme="majorBidi"/>
          <w:b/>
          <w:highlight w:val="yellow"/>
        </w:rPr>
      </w:pPr>
      <w:r w:rsidRPr="006C4689">
        <w:rPr>
          <w:rFonts w:asciiTheme="majorBidi" w:hAnsiTheme="majorBidi" w:cstheme="majorBidi"/>
          <w:b/>
          <w:highlight w:val="yellow"/>
        </w:rPr>
        <w:t>Disclaimer (Artificial intelligence)</w:t>
      </w:r>
    </w:p>
    <w:p w14:paraId="017616B1" w14:textId="77777777" w:rsidR="00E73035" w:rsidRPr="006C4689" w:rsidRDefault="00E73035" w:rsidP="00E73035">
      <w:pPr>
        <w:rPr>
          <w:rFonts w:asciiTheme="majorBidi" w:hAnsiTheme="majorBidi" w:cstheme="majorBidi"/>
          <w:highlight w:val="yellow"/>
        </w:rPr>
      </w:pPr>
      <w:r w:rsidRPr="006C4689">
        <w:rPr>
          <w:rFonts w:asciiTheme="majorBidi" w:hAnsiTheme="majorBidi" w:cstheme="majorBidi"/>
          <w:highlight w:val="yellow"/>
        </w:rPr>
        <w:t xml:space="preserve">Author(s) hereby declare that NO generative AI technologies such as Large Language Models (ChatGPT, COPILOT, etc.) and text-to-image generators have been used during the writing or editing of this manuscript. </w:t>
      </w:r>
    </w:p>
    <w:p w14:paraId="36CC2941" w14:textId="77777777" w:rsidR="00A52C1B" w:rsidRDefault="00A52C1B" w:rsidP="007B1C00">
      <w:pPr>
        <w:spacing w:line="360" w:lineRule="auto"/>
        <w:jc w:val="both"/>
        <w:rPr>
          <w:rFonts w:asciiTheme="majorBidi" w:hAnsiTheme="majorBidi" w:cstheme="majorBidi"/>
          <w:b/>
          <w:bCs/>
        </w:rPr>
      </w:pPr>
    </w:p>
    <w:p w14:paraId="7CC12EB6" w14:textId="6DD245C9" w:rsidR="00210FE8" w:rsidRPr="00547CA0" w:rsidRDefault="00210FE8" w:rsidP="007B1C00">
      <w:pPr>
        <w:spacing w:line="360" w:lineRule="auto"/>
        <w:jc w:val="both"/>
        <w:rPr>
          <w:rFonts w:asciiTheme="majorBidi" w:hAnsiTheme="majorBidi" w:cstheme="majorBidi"/>
          <w:b/>
          <w:bCs/>
        </w:rPr>
      </w:pPr>
      <w:r w:rsidRPr="00547CA0">
        <w:rPr>
          <w:rFonts w:asciiTheme="majorBidi" w:hAnsiTheme="majorBidi" w:cstheme="majorBidi"/>
          <w:b/>
          <w:bCs/>
        </w:rPr>
        <w:t>Reference:</w:t>
      </w:r>
    </w:p>
    <w:p w14:paraId="142DD6A0" w14:textId="77777777" w:rsidR="00ED5434" w:rsidRDefault="00ED5434" w:rsidP="0040253C">
      <w:pPr>
        <w:pStyle w:val="ListParagraph"/>
        <w:numPr>
          <w:ilvl w:val="0"/>
          <w:numId w:val="6"/>
        </w:numPr>
        <w:spacing w:line="360" w:lineRule="auto"/>
        <w:jc w:val="both"/>
      </w:pPr>
      <w:proofErr w:type="spellStart"/>
      <w:r w:rsidRPr="0040253C">
        <w:rPr>
          <w:rFonts w:asciiTheme="majorBidi" w:hAnsiTheme="majorBidi" w:cstheme="majorBidi"/>
        </w:rPr>
        <w:t>Apraku</w:t>
      </w:r>
      <w:proofErr w:type="spellEnd"/>
      <w:r w:rsidRPr="0040253C">
        <w:rPr>
          <w:rFonts w:asciiTheme="majorBidi" w:hAnsiTheme="majorBidi" w:cstheme="majorBidi"/>
        </w:rPr>
        <w:t xml:space="preserve">, A., </w:t>
      </w:r>
      <w:proofErr w:type="spellStart"/>
      <w:r w:rsidRPr="0040253C">
        <w:rPr>
          <w:rFonts w:asciiTheme="majorBidi" w:hAnsiTheme="majorBidi" w:cstheme="majorBidi"/>
        </w:rPr>
        <w:t>Gyampoh</w:t>
      </w:r>
      <w:proofErr w:type="spellEnd"/>
      <w:r w:rsidRPr="0040253C">
        <w:rPr>
          <w:rFonts w:asciiTheme="majorBidi" w:hAnsiTheme="majorBidi" w:cstheme="majorBidi"/>
        </w:rPr>
        <w:t xml:space="preserve">, B., Morton, J., &amp; Karikari, A. </w:t>
      </w:r>
      <w:r w:rsidRPr="0040253C">
        <w:rPr>
          <w:rFonts w:asciiTheme="majorBidi" w:hAnsiTheme="majorBidi" w:cstheme="majorBidi"/>
          <w:highlight w:val="yellow"/>
        </w:rPr>
        <w:t xml:space="preserve">(2023). </w:t>
      </w:r>
      <w:r w:rsidRPr="0040253C">
        <w:rPr>
          <w:rFonts w:asciiTheme="majorBidi" w:hAnsiTheme="majorBidi" w:cstheme="majorBidi"/>
        </w:rPr>
        <w:t xml:space="preserve">Water security in rural Eastern Cape, South Africa: Interrogating the impacts of politics and climate change. </w:t>
      </w:r>
      <w:r w:rsidRPr="0040253C">
        <w:rPr>
          <w:rFonts w:asciiTheme="majorBidi" w:hAnsiTheme="majorBidi" w:cstheme="majorBidi"/>
          <w:i/>
          <w:iCs/>
        </w:rPr>
        <w:t>Scientific African, 19</w:t>
      </w:r>
      <w:r w:rsidRPr="0040253C">
        <w:rPr>
          <w:rFonts w:asciiTheme="majorBidi" w:hAnsiTheme="majorBidi" w:cstheme="majorBidi"/>
        </w:rPr>
        <w:t xml:space="preserve">, e01493. </w:t>
      </w:r>
      <w:hyperlink r:id="rId11" w:tgtFrame="_new" w:history="1">
        <w:r w:rsidRPr="0040253C">
          <w:rPr>
            <w:rStyle w:val="Hyperlink"/>
            <w:rFonts w:asciiTheme="majorBidi" w:hAnsiTheme="majorBidi" w:cstheme="majorBidi"/>
          </w:rPr>
          <w:t>https://doi.org/10.1016/j.sciaf.2022.e01493</w:t>
        </w:r>
      </w:hyperlink>
    </w:p>
    <w:p w14:paraId="3D8F7F75"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Bandari, A., &amp; Sadhukhan, S. (2025). Variations in domestic water consumption in Hyderabad, India. </w:t>
      </w:r>
      <w:r w:rsidRPr="0040253C">
        <w:rPr>
          <w:rFonts w:asciiTheme="majorBidi" w:hAnsiTheme="majorBidi" w:cstheme="majorBidi"/>
          <w:i/>
          <w:iCs/>
        </w:rPr>
        <w:t>Utilities Policy, 96</w:t>
      </w:r>
      <w:r w:rsidRPr="0040253C">
        <w:rPr>
          <w:rFonts w:asciiTheme="majorBidi" w:hAnsiTheme="majorBidi" w:cstheme="majorBidi"/>
        </w:rPr>
        <w:t xml:space="preserve">, 102017. </w:t>
      </w:r>
      <w:hyperlink r:id="rId12" w:tgtFrame="_new" w:history="1">
        <w:r w:rsidRPr="0040253C">
          <w:rPr>
            <w:rStyle w:val="Hyperlink"/>
            <w:rFonts w:asciiTheme="majorBidi" w:hAnsiTheme="majorBidi" w:cstheme="majorBidi"/>
          </w:rPr>
          <w:t>https://doi.org/10.1016/j.jup.2025.102017</w:t>
        </w:r>
      </w:hyperlink>
    </w:p>
    <w:p w14:paraId="45198259"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highlight w:val="yellow"/>
        </w:rPr>
        <w:lastRenderedPageBreak/>
        <w:t xml:space="preserve">Basu, M., </w:t>
      </w:r>
      <w:r w:rsidRPr="0040253C">
        <w:rPr>
          <w:rFonts w:asciiTheme="majorBidi" w:hAnsiTheme="majorBidi" w:cstheme="majorBidi"/>
          <w:color w:val="222222"/>
          <w:shd w:val="clear" w:color="auto" w:fill="FFFFFF"/>
        </w:rPr>
        <w:t>Hoshino, S.,</w:t>
      </w:r>
      <w:r w:rsidRPr="0040253C">
        <w:rPr>
          <w:rFonts w:ascii="Arial" w:hAnsi="Arial" w:cs="Arial"/>
          <w:color w:val="222222"/>
          <w:shd w:val="clear" w:color="auto" w:fill="FFFFFF"/>
        </w:rPr>
        <w:t xml:space="preserve"> </w:t>
      </w:r>
      <w:r w:rsidRPr="0040253C">
        <w:rPr>
          <w:rFonts w:asciiTheme="majorBidi" w:hAnsiTheme="majorBidi" w:cstheme="majorBidi"/>
          <w:highlight w:val="yellow"/>
        </w:rPr>
        <w:t xml:space="preserve">Hashimoto, S., &amp; Dasgupta, R. (2017). Determinants of water consumption: A cross-sectional household study in drought-prone rural India. </w:t>
      </w:r>
      <w:r w:rsidRPr="0040253C">
        <w:rPr>
          <w:rFonts w:asciiTheme="majorBidi" w:hAnsiTheme="majorBidi" w:cstheme="majorBidi"/>
          <w:i/>
          <w:iCs/>
          <w:highlight w:val="yellow"/>
        </w:rPr>
        <w:t>International Journal of Disaster Risk Reduction, 24</w:t>
      </w:r>
      <w:r w:rsidRPr="0040253C">
        <w:rPr>
          <w:rFonts w:asciiTheme="majorBidi" w:hAnsiTheme="majorBidi" w:cstheme="majorBidi"/>
          <w:highlight w:val="yellow"/>
        </w:rPr>
        <w:t xml:space="preserve">, 518–528. </w:t>
      </w:r>
      <w:hyperlink r:id="rId13" w:history="1">
        <w:r w:rsidRPr="0040253C">
          <w:rPr>
            <w:rStyle w:val="Hyperlink"/>
            <w:rFonts w:asciiTheme="majorBidi" w:hAnsiTheme="majorBidi" w:cstheme="majorBidi"/>
            <w:highlight w:val="yellow"/>
          </w:rPr>
          <w:t>https://doi.org/10.1016/j.ijdrr.2017.06.026</w:t>
        </w:r>
      </w:hyperlink>
    </w:p>
    <w:p w14:paraId="7EAA57CF"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Clemente, M. H., </w:t>
      </w:r>
      <w:proofErr w:type="spellStart"/>
      <w:r w:rsidRPr="0040253C">
        <w:rPr>
          <w:rFonts w:asciiTheme="majorBidi" w:hAnsiTheme="majorBidi" w:cstheme="majorBidi"/>
        </w:rPr>
        <w:t>Amwele</w:t>
      </w:r>
      <w:proofErr w:type="spellEnd"/>
      <w:r w:rsidRPr="0040253C">
        <w:rPr>
          <w:rFonts w:asciiTheme="majorBidi" w:hAnsiTheme="majorBidi" w:cstheme="majorBidi"/>
        </w:rPr>
        <w:t xml:space="preserve">, H. R., </w:t>
      </w:r>
      <w:proofErr w:type="spellStart"/>
      <w:r w:rsidRPr="0040253C">
        <w:rPr>
          <w:rFonts w:asciiTheme="majorBidi" w:hAnsiTheme="majorBidi" w:cstheme="majorBidi"/>
        </w:rPr>
        <w:t>Fohrer</w:t>
      </w:r>
      <w:proofErr w:type="spellEnd"/>
      <w:r w:rsidRPr="0040253C">
        <w:rPr>
          <w:rFonts w:asciiTheme="majorBidi" w:hAnsiTheme="majorBidi" w:cstheme="majorBidi"/>
        </w:rPr>
        <w:t xml:space="preserve">, N., Smit, E., Jacobs, F., </w:t>
      </w:r>
      <w:proofErr w:type="spellStart"/>
      <w:r w:rsidRPr="0040253C">
        <w:rPr>
          <w:rFonts w:asciiTheme="majorBidi" w:hAnsiTheme="majorBidi" w:cstheme="majorBidi"/>
        </w:rPr>
        <w:t>Muacahila</w:t>
      </w:r>
      <w:proofErr w:type="spellEnd"/>
      <w:r w:rsidRPr="0040253C">
        <w:rPr>
          <w:rFonts w:asciiTheme="majorBidi" w:hAnsiTheme="majorBidi" w:cstheme="majorBidi"/>
        </w:rPr>
        <w:t xml:space="preserve">, A. N. S., &amp; Ajayi, O. G. (2026). Suitability assessment of water for human consumption using water quality index along the </w:t>
      </w:r>
      <w:proofErr w:type="spellStart"/>
      <w:r w:rsidRPr="0040253C">
        <w:rPr>
          <w:rFonts w:asciiTheme="majorBidi" w:hAnsiTheme="majorBidi" w:cstheme="majorBidi"/>
        </w:rPr>
        <w:t>Cubango-Kavango</w:t>
      </w:r>
      <w:proofErr w:type="spellEnd"/>
      <w:r w:rsidRPr="0040253C">
        <w:rPr>
          <w:rFonts w:asciiTheme="majorBidi" w:hAnsiTheme="majorBidi" w:cstheme="majorBidi"/>
        </w:rPr>
        <w:t xml:space="preserve"> River, in Angola and Namibia. </w:t>
      </w:r>
      <w:r w:rsidRPr="0040253C">
        <w:rPr>
          <w:rFonts w:asciiTheme="majorBidi" w:hAnsiTheme="majorBidi" w:cstheme="majorBidi"/>
          <w:i/>
          <w:iCs/>
        </w:rPr>
        <w:t>Physics and Chemistry of the Earth, 143</w:t>
      </w:r>
      <w:r w:rsidRPr="0040253C">
        <w:rPr>
          <w:rFonts w:asciiTheme="majorBidi" w:hAnsiTheme="majorBidi" w:cstheme="majorBidi"/>
        </w:rPr>
        <w:t xml:space="preserve">, 104320. </w:t>
      </w:r>
      <w:hyperlink r:id="rId14" w:tgtFrame="_new" w:history="1">
        <w:r w:rsidRPr="0040253C">
          <w:rPr>
            <w:rStyle w:val="Hyperlink"/>
            <w:rFonts w:asciiTheme="majorBidi" w:hAnsiTheme="majorBidi" w:cstheme="majorBidi"/>
          </w:rPr>
          <w:t>https://doi.org/10.1016/j.pce.2026.104320</w:t>
        </w:r>
      </w:hyperlink>
    </w:p>
    <w:p w14:paraId="67F7AB57"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Halim, A., Anang, Z., Kamaludin, M., Alipiah, R., &amp; Rashid, N. (2025). Analysis of household water security attributes in Johor: A choice </w:t>
      </w:r>
      <w:proofErr w:type="spellStart"/>
      <w:r w:rsidRPr="0040253C">
        <w:rPr>
          <w:rFonts w:asciiTheme="majorBidi" w:hAnsiTheme="majorBidi" w:cstheme="majorBidi"/>
        </w:rPr>
        <w:t>modeling</w:t>
      </w:r>
      <w:proofErr w:type="spellEnd"/>
      <w:r w:rsidRPr="0040253C">
        <w:rPr>
          <w:rFonts w:asciiTheme="majorBidi" w:hAnsiTheme="majorBidi" w:cstheme="majorBidi"/>
        </w:rPr>
        <w:t xml:space="preserve"> approach. </w:t>
      </w:r>
      <w:r w:rsidRPr="0040253C">
        <w:rPr>
          <w:rFonts w:asciiTheme="majorBidi" w:hAnsiTheme="majorBidi" w:cstheme="majorBidi"/>
          <w:i/>
          <w:iCs/>
        </w:rPr>
        <w:t>World Development Sustainability, 8</w:t>
      </w:r>
      <w:r w:rsidRPr="0040253C">
        <w:rPr>
          <w:rFonts w:asciiTheme="majorBidi" w:hAnsiTheme="majorBidi" w:cstheme="majorBidi"/>
        </w:rPr>
        <w:t>, 100266. https://doi.org/10.1016/j.wds.2025.100266</w:t>
      </w:r>
    </w:p>
    <w:p w14:paraId="23750E49"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Liu, M., Fang, C., Bai, Y., &amp; Liu, Z. (2025). </w:t>
      </w:r>
      <w:proofErr w:type="spellStart"/>
      <w:r w:rsidRPr="0040253C">
        <w:rPr>
          <w:rFonts w:asciiTheme="majorBidi" w:hAnsiTheme="majorBidi" w:cstheme="majorBidi"/>
        </w:rPr>
        <w:t>Unraveling</w:t>
      </w:r>
      <w:proofErr w:type="spellEnd"/>
      <w:r w:rsidRPr="0040253C">
        <w:rPr>
          <w:rFonts w:asciiTheme="majorBidi" w:hAnsiTheme="majorBidi" w:cstheme="majorBidi"/>
        </w:rPr>
        <w:t xml:space="preserve"> patterns and drivers of urban–rural gap in water consumption sufficiency and efficiency: Evidence from city-level China during 1990–2022. </w:t>
      </w:r>
      <w:r w:rsidRPr="0040253C">
        <w:rPr>
          <w:rFonts w:asciiTheme="majorBidi" w:hAnsiTheme="majorBidi" w:cstheme="majorBidi"/>
          <w:i/>
          <w:iCs/>
        </w:rPr>
        <w:t>Water Research, 282</w:t>
      </w:r>
      <w:r w:rsidRPr="0040253C">
        <w:rPr>
          <w:rFonts w:asciiTheme="majorBidi" w:hAnsiTheme="majorBidi" w:cstheme="majorBidi"/>
        </w:rPr>
        <w:t>, 123737. https://doi.org/10.1016/j.watres.2025.123737</w:t>
      </w:r>
    </w:p>
    <w:p w14:paraId="5CB1CCA7"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Martinez-Santos, P. (2017). Determinants for water consumption from improved sources in rural villages of southern Mali. </w:t>
      </w:r>
      <w:r w:rsidRPr="0040253C">
        <w:rPr>
          <w:rFonts w:asciiTheme="majorBidi" w:hAnsiTheme="majorBidi" w:cstheme="majorBidi"/>
          <w:i/>
          <w:iCs/>
        </w:rPr>
        <w:t>Applied Geography, 85</w:t>
      </w:r>
      <w:r w:rsidRPr="0040253C">
        <w:rPr>
          <w:rFonts w:asciiTheme="majorBidi" w:hAnsiTheme="majorBidi" w:cstheme="majorBidi"/>
        </w:rPr>
        <w:t>, 113–125. https://doi.org/10.1016/j.apgeog.2017.06.006</w:t>
      </w:r>
    </w:p>
    <w:p w14:paraId="2C04FD1C"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Penn, H., Loring, P., &amp; Schnabel, W. (2017). Diagnosing water security in the rural North with an environmental security framework. </w:t>
      </w:r>
      <w:r w:rsidRPr="0040253C">
        <w:rPr>
          <w:rFonts w:asciiTheme="majorBidi" w:hAnsiTheme="majorBidi" w:cstheme="majorBidi"/>
          <w:i/>
          <w:iCs/>
        </w:rPr>
        <w:t>Journal of Environmental Management, 199</w:t>
      </w:r>
      <w:r w:rsidRPr="0040253C">
        <w:rPr>
          <w:rFonts w:asciiTheme="majorBidi" w:hAnsiTheme="majorBidi" w:cstheme="majorBidi"/>
        </w:rPr>
        <w:t>, 91–98. https://doi.org/10.1016/j.jenvman.2017.04.088</w:t>
      </w:r>
    </w:p>
    <w:p w14:paraId="566ED7DD"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Zhang, B., Yang, M., Li, M., Ji, Y., Zhu, Q., Zhang, Y., &amp; Yang, K. (2026). Assessing the impact of tiered water pricing policy on residential water consumption in China: A national evaluation and spatial heterogeneity analysis. </w:t>
      </w:r>
      <w:r w:rsidRPr="0040253C">
        <w:rPr>
          <w:rFonts w:asciiTheme="majorBidi" w:hAnsiTheme="majorBidi" w:cstheme="majorBidi"/>
          <w:i/>
          <w:iCs/>
        </w:rPr>
        <w:t>Environmental Impact Assessment Review, 119</w:t>
      </w:r>
      <w:r w:rsidRPr="0040253C">
        <w:rPr>
          <w:rFonts w:asciiTheme="majorBidi" w:hAnsiTheme="majorBidi" w:cstheme="majorBidi"/>
        </w:rPr>
        <w:t xml:space="preserve">, 108395. </w:t>
      </w:r>
      <w:hyperlink r:id="rId15" w:tgtFrame="_new" w:history="1">
        <w:r w:rsidRPr="0040253C">
          <w:rPr>
            <w:rStyle w:val="Hyperlink"/>
            <w:rFonts w:asciiTheme="majorBidi" w:hAnsiTheme="majorBidi" w:cstheme="majorBidi"/>
          </w:rPr>
          <w:t>https://doi.org/10.1016/j.eiar.2026.108395</w:t>
        </w:r>
      </w:hyperlink>
    </w:p>
    <w:p w14:paraId="755C1811"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Cook, C., &amp; Bakker, K. (2012). Water security: Debating an emerging paradigm. </w:t>
      </w:r>
      <w:r w:rsidRPr="0040253C">
        <w:rPr>
          <w:rFonts w:asciiTheme="majorBidi" w:hAnsiTheme="majorBidi" w:cstheme="majorBidi"/>
          <w:i/>
          <w:iCs/>
        </w:rPr>
        <w:t>Global Environmental Change, 22</w:t>
      </w:r>
      <w:r w:rsidRPr="0040253C">
        <w:rPr>
          <w:rFonts w:asciiTheme="majorBidi" w:hAnsiTheme="majorBidi" w:cstheme="majorBidi"/>
        </w:rPr>
        <w:t xml:space="preserve">(1), 94–102. </w:t>
      </w:r>
      <w:hyperlink r:id="rId16" w:tgtFrame="_new" w:history="1">
        <w:r w:rsidRPr="0040253C">
          <w:rPr>
            <w:rStyle w:val="Hyperlink"/>
            <w:rFonts w:asciiTheme="majorBidi" w:hAnsiTheme="majorBidi" w:cstheme="majorBidi"/>
          </w:rPr>
          <w:t>https://doi.org/10.1016/j.gloenvcha.2011.10.011</w:t>
        </w:r>
      </w:hyperlink>
    </w:p>
    <w:p w14:paraId="69143BC2"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Grey, D., &amp; Sadoff, C. (2007). Sink or swim? Water security for growth and development. </w:t>
      </w:r>
      <w:r w:rsidRPr="0040253C">
        <w:rPr>
          <w:rFonts w:asciiTheme="majorBidi" w:hAnsiTheme="majorBidi" w:cstheme="majorBidi"/>
          <w:i/>
          <w:iCs/>
        </w:rPr>
        <w:t>Water Policy, 9</w:t>
      </w:r>
      <w:r w:rsidRPr="0040253C">
        <w:rPr>
          <w:rFonts w:asciiTheme="majorBidi" w:hAnsiTheme="majorBidi" w:cstheme="majorBidi"/>
        </w:rPr>
        <w:t xml:space="preserve">(6), 545–571. </w:t>
      </w:r>
      <w:hyperlink r:id="rId17" w:history="1">
        <w:r w:rsidRPr="0040253C">
          <w:rPr>
            <w:rStyle w:val="Hyperlink"/>
            <w:rFonts w:asciiTheme="majorBidi" w:hAnsiTheme="majorBidi" w:cstheme="majorBidi"/>
          </w:rPr>
          <w:t>https://doi.org/10.2166/wp.2007.021</w:t>
        </w:r>
      </w:hyperlink>
    </w:p>
    <w:p w14:paraId="48457DC8"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Global Water Partnership. (2000). </w:t>
      </w:r>
      <w:r w:rsidRPr="0040253C">
        <w:rPr>
          <w:rFonts w:asciiTheme="majorBidi" w:hAnsiTheme="majorBidi" w:cstheme="majorBidi"/>
          <w:i/>
          <w:iCs/>
        </w:rPr>
        <w:t>Integrated water resources management</w:t>
      </w:r>
      <w:r w:rsidRPr="0040253C">
        <w:rPr>
          <w:rFonts w:asciiTheme="majorBidi" w:hAnsiTheme="majorBidi" w:cstheme="majorBidi"/>
        </w:rPr>
        <w:t xml:space="preserve"> (TAC Background Papers No. 4). Global Water Partnership. </w:t>
      </w:r>
    </w:p>
    <w:p w14:paraId="2CF7489C"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Jepson, W., Budds, J., Eichelberger, L., Harris, L., Norman, E., O’Reilly, K., Pearson, A., Shah, S., Shinn, J., Staddon, C., Stoler, J., </w:t>
      </w:r>
      <w:proofErr w:type="spellStart"/>
      <w:r w:rsidRPr="0040253C">
        <w:rPr>
          <w:rFonts w:asciiTheme="majorBidi" w:hAnsiTheme="majorBidi" w:cstheme="majorBidi"/>
        </w:rPr>
        <w:t>Wutich</w:t>
      </w:r>
      <w:proofErr w:type="spellEnd"/>
      <w:r w:rsidRPr="0040253C">
        <w:rPr>
          <w:rFonts w:asciiTheme="majorBidi" w:hAnsiTheme="majorBidi" w:cstheme="majorBidi"/>
        </w:rPr>
        <w:t xml:space="preserve">, A., &amp; Young, S. (2017). </w:t>
      </w:r>
      <w:r w:rsidRPr="0040253C">
        <w:rPr>
          <w:rFonts w:asciiTheme="majorBidi" w:hAnsiTheme="majorBidi" w:cstheme="majorBidi"/>
        </w:rPr>
        <w:lastRenderedPageBreak/>
        <w:t xml:space="preserve">Advancing human capabilities for water security: A relational approach. </w:t>
      </w:r>
      <w:r w:rsidRPr="0040253C">
        <w:rPr>
          <w:rFonts w:asciiTheme="majorBidi" w:hAnsiTheme="majorBidi" w:cstheme="majorBidi"/>
          <w:i/>
          <w:iCs/>
        </w:rPr>
        <w:t>Water Security, 1</w:t>
      </w:r>
      <w:r w:rsidRPr="0040253C">
        <w:rPr>
          <w:rFonts w:asciiTheme="majorBidi" w:hAnsiTheme="majorBidi" w:cstheme="majorBidi"/>
        </w:rPr>
        <w:t xml:space="preserve">, 46–52. </w:t>
      </w:r>
      <w:hyperlink r:id="rId18" w:history="1">
        <w:r w:rsidRPr="0040253C">
          <w:rPr>
            <w:rStyle w:val="Hyperlink"/>
            <w:rFonts w:asciiTheme="majorBidi" w:hAnsiTheme="majorBidi" w:cstheme="majorBidi"/>
          </w:rPr>
          <w:t>https://doi.org/10.1016/j.wasec.2017.07.001</w:t>
        </w:r>
      </w:hyperlink>
    </w:p>
    <w:p w14:paraId="25A9522E"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Prole, B., McCarthy, V., Beretsou, V. G., Karekla, M., Fatta-Kassinos, D., Donat-Vargas, C., </w:t>
      </w:r>
      <w:proofErr w:type="spellStart"/>
      <w:r w:rsidRPr="0040253C">
        <w:rPr>
          <w:rFonts w:asciiTheme="majorBidi" w:hAnsiTheme="majorBidi" w:cstheme="majorBidi"/>
        </w:rPr>
        <w:t>Vallbona-Vistós</w:t>
      </w:r>
      <w:proofErr w:type="spellEnd"/>
      <w:r w:rsidRPr="0040253C">
        <w:rPr>
          <w:rFonts w:asciiTheme="majorBidi" w:hAnsiTheme="majorBidi" w:cstheme="majorBidi"/>
        </w:rPr>
        <w:t xml:space="preserve">, M., Farré, M. J., &amp; Villanueva, C. M. (2026). Understanding the drivers of water consumption patterns in Europe: A cross-sectional study of household water choices in Barcelona, Cyprus, and Ireland. </w:t>
      </w:r>
      <w:r w:rsidRPr="0040253C">
        <w:rPr>
          <w:rFonts w:asciiTheme="majorBidi" w:hAnsiTheme="majorBidi" w:cstheme="majorBidi"/>
          <w:i/>
          <w:iCs/>
        </w:rPr>
        <w:t>Environmental and Sustainability Indicators, 29</w:t>
      </w:r>
      <w:r w:rsidRPr="0040253C">
        <w:rPr>
          <w:rFonts w:asciiTheme="majorBidi" w:hAnsiTheme="majorBidi" w:cstheme="majorBidi"/>
        </w:rPr>
        <w:t xml:space="preserve">, 101099. </w:t>
      </w:r>
      <w:hyperlink r:id="rId19" w:tgtFrame="_new" w:history="1">
        <w:r w:rsidRPr="0040253C">
          <w:rPr>
            <w:rStyle w:val="Hyperlink"/>
            <w:rFonts w:asciiTheme="majorBidi" w:hAnsiTheme="majorBidi" w:cstheme="majorBidi"/>
          </w:rPr>
          <w:t>https://doi.org/10.1016/j.indic.2025.101099</w:t>
        </w:r>
      </w:hyperlink>
    </w:p>
    <w:p w14:paraId="6BC26974" w14:textId="77777777" w:rsidR="00ED5434" w:rsidRPr="0040253C" w:rsidRDefault="00ED5434" w:rsidP="0040253C">
      <w:pPr>
        <w:pStyle w:val="ListParagraph"/>
        <w:numPr>
          <w:ilvl w:val="0"/>
          <w:numId w:val="6"/>
        </w:numPr>
        <w:spacing w:line="360" w:lineRule="auto"/>
        <w:jc w:val="both"/>
        <w:rPr>
          <w:rFonts w:asciiTheme="majorBidi" w:hAnsiTheme="majorBidi" w:cstheme="majorBidi"/>
        </w:rPr>
      </w:pPr>
      <w:r w:rsidRPr="0040253C">
        <w:rPr>
          <w:rFonts w:asciiTheme="majorBidi" w:hAnsiTheme="majorBidi" w:cstheme="majorBidi"/>
        </w:rPr>
        <w:t xml:space="preserve">UN-Water. (2013). </w:t>
      </w:r>
      <w:r w:rsidRPr="0040253C">
        <w:rPr>
          <w:rFonts w:asciiTheme="majorBidi" w:hAnsiTheme="majorBidi" w:cstheme="majorBidi"/>
          <w:i/>
          <w:iCs/>
        </w:rPr>
        <w:t xml:space="preserve">Water security and the global water agenda: </w:t>
      </w:r>
      <w:proofErr w:type="gramStart"/>
      <w:r w:rsidRPr="0040253C">
        <w:rPr>
          <w:rFonts w:asciiTheme="majorBidi" w:hAnsiTheme="majorBidi" w:cstheme="majorBidi"/>
          <w:i/>
          <w:iCs/>
        </w:rPr>
        <w:t>A</w:t>
      </w:r>
      <w:proofErr w:type="gramEnd"/>
      <w:r w:rsidRPr="0040253C">
        <w:rPr>
          <w:rFonts w:asciiTheme="majorBidi" w:hAnsiTheme="majorBidi" w:cstheme="majorBidi"/>
          <w:i/>
          <w:iCs/>
        </w:rPr>
        <w:t xml:space="preserve"> UN-Water analytical brief</w:t>
      </w:r>
      <w:r w:rsidRPr="0040253C">
        <w:rPr>
          <w:rFonts w:asciiTheme="majorBidi" w:hAnsiTheme="majorBidi" w:cstheme="majorBidi"/>
        </w:rPr>
        <w:t xml:space="preserve">. United Nations University. </w:t>
      </w:r>
      <w:hyperlink r:id="rId20" w:tgtFrame="_new" w:history="1">
        <w:r w:rsidRPr="0040253C">
          <w:rPr>
            <w:rStyle w:val="Hyperlink"/>
            <w:rFonts w:asciiTheme="majorBidi" w:hAnsiTheme="majorBidi" w:cstheme="majorBidi"/>
          </w:rPr>
          <w:t>https://hdl.handle.net/20.500.12870/4206</w:t>
        </w:r>
      </w:hyperlink>
    </w:p>
    <w:p w14:paraId="66E275B5" w14:textId="77777777" w:rsidR="00853BDA" w:rsidRPr="007B1C00" w:rsidRDefault="00853BDA" w:rsidP="007B1C00">
      <w:pPr>
        <w:spacing w:line="360" w:lineRule="auto"/>
        <w:jc w:val="both"/>
        <w:rPr>
          <w:rFonts w:asciiTheme="majorBidi" w:hAnsiTheme="majorBidi" w:cstheme="majorBidi"/>
        </w:rPr>
      </w:pPr>
    </w:p>
    <w:sectPr w:rsidR="00853BDA" w:rsidRPr="007B1C0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EB9FB" w14:textId="77777777" w:rsidR="00AF0FF7" w:rsidRDefault="00AF0FF7" w:rsidP="0088175A">
      <w:pPr>
        <w:spacing w:after="0" w:line="240" w:lineRule="auto"/>
      </w:pPr>
      <w:r>
        <w:separator/>
      </w:r>
    </w:p>
  </w:endnote>
  <w:endnote w:type="continuationSeparator" w:id="0">
    <w:p w14:paraId="110BC6E2" w14:textId="77777777" w:rsidR="00AF0FF7" w:rsidRDefault="00AF0FF7" w:rsidP="0088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7F0A" w14:textId="77777777" w:rsidR="00A52C1B" w:rsidRDefault="00A52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7AFA" w14:textId="77777777" w:rsidR="00A52C1B" w:rsidRDefault="00A52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75A8" w14:textId="77777777" w:rsidR="00A52C1B" w:rsidRDefault="00A52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5927" w14:textId="77777777" w:rsidR="00AF0FF7" w:rsidRDefault="00AF0FF7" w:rsidP="0088175A">
      <w:pPr>
        <w:spacing w:after="0" w:line="240" w:lineRule="auto"/>
      </w:pPr>
      <w:r>
        <w:separator/>
      </w:r>
    </w:p>
  </w:footnote>
  <w:footnote w:type="continuationSeparator" w:id="0">
    <w:p w14:paraId="5B1C8C5F" w14:textId="77777777" w:rsidR="00AF0FF7" w:rsidRDefault="00AF0FF7" w:rsidP="00881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DB2E2" w14:textId="111D081D" w:rsidR="00A52C1B" w:rsidRDefault="00AF0FF7">
    <w:pPr>
      <w:pStyle w:val="Header"/>
    </w:pPr>
    <w:r>
      <w:rPr>
        <w:noProof/>
      </w:rPr>
      <w:pict w14:anchorId="384A2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9E25" w14:textId="389D7C33" w:rsidR="00A52C1B" w:rsidRDefault="00AF0FF7">
    <w:pPr>
      <w:pStyle w:val="Header"/>
    </w:pPr>
    <w:r>
      <w:rPr>
        <w:noProof/>
      </w:rPr>
      <w:pict w14:anchorId="0C8A8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7943" w14:textId="7E4E39D9" w:rsidR="00A52C1B" w:rsidRDefault="00AF0FF7">
    <w:pPr>
      <w:pStyle w:val="Header"/>
    </w:pPr>
    <w:r>
      <w:rPr>
        <w:noProof/>
      </w:rPr>
      <w:pict w14:anchorId="4D277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699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860"/>
    <w:multiLevelType w:val="multilevel"/>
    <w:tmpl w:val="8C7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A7DD3"/>
    <w:multiLevelType w:val="multilevel"/>
    <w:tmpl w:val="BAE0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2512B"/>
    <w:multiLevelType w:val="hybridMultilevel"/>
    <w:tmpl w:val="532AD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870AC"/>
    <w:multiLevelType w:val="multilevel"/>
    <w:tmpl w:val="A09A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008D0"/>
    <w:multiLevelType w:val="multilevel"/>
    <w:tmpl w:val="B7D282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9BB6CF9"/>
    <w:multiLevelType w:val="multilevel"/>
    <w:tmpl w:val="4B98861A"/>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00"/>
    <w:rsid w:val="000418A9"/>
    <w:rsid w:val="000E113E"/>
    <w:rsid w:val="000E69A5"/>
    <w:rsid w:val="000F7F5F"/>
    <w:rsid w:val="00112D85"/>
    <w:rsid w:val="001E1AF7"/>
    <w:rsid w:val="00203C2E"/>
    <w:rsid w:val="00210FE8"/>
    <w:rsid w:val="00220CF1"/>
    <w:rsid w:val="00272442"/>
    <w:rsid w:val="002C0D97"/>
    <w:rsid w:val="00370A4E"/>
    <w:rsid w:val="00382A21"/>
    <w:rsid w:val="0040253C"/>
    <w:rsid w:val="00516F59"/>
    <w:rsid w:val="00542973"/>
    <w:rsid w:val="00547CA0"/>
    <w:rsid w:val="00561DC9"/>
    <w:rsid w:val="005C3134"/>
    <w:rsid w:val="005D1526"/>
    <w:rsid w:val="00672C78"/>
    <w:rsid w:val="006B2DFE"/>
    <w:rsid w:val="006C4689"/>
    <w:rsid w:val="006D2B27"/>
    <w:rsid w:val="00732047"/>
    <w:rsid w:val="00751AB7"/>
    <w:rsid w:val="00785A52"/>
    <w:rsid w:val="007B1C00"/>
    <w:rsid w:val="007B4E38"/>
    <w:rsid w:val="00827A10"/>
    <w:rsid w:val="00853BDA"/>
    <w:rsid w:val="0088175A"/>
    <w:rsid w:val="00894566"/>
    <w:rsid w:val="008F6B4C"/>
    <w:rsid w:val="00926A1A"/>
    <w:rsid w:val="00932E14"/>
    <w:rsid w:val="0094573C"/>
    <w:rsid w:val="0098088B"/>
    <w:rsid w:val="009A011F"/>
    <w:rsid w:val="009D32EF"/>
    <w:rsid w:val="009E6FAE"/>
    <w:rsid w:val="00A14100"/>
    <w:rsid w:val="00A27202"/>
    <w:rsid w:val="00A504E5"/>
    <w:rsid w:val="00A52C1B"/>
    <w:rsid w:val="00A957F3"/>
    <w:rsid w:val="00AA007B"/>
    <w:rsid w:val="00AA7DA6"/>
    <w:rsid w:val="00AE0346"/>
    <w:rsid w:val="00AF0FF7"/>
    <w:rsid w:val="00B05A14"/>
    <w:rsid w:val="00B41952"/>
    <w:rsid w:val="00B6334C"/>
    <w:rsid w:val="00BD2F75"/>
    <w:rsid w:val="00C0103A"/>
    <w:rsid w:val="00C06214"/>
    <w:rsid w:val="00C55FCF"/>
    <w:rsid w:val="00C75033"/>
    <w:rsid w:val="00C903D6"/>
    <w:rsid w:val="00CA089A"/>
    <w:rsid w:val="00D05530"/>
    <w:rsid w:val="00D15F77"/>
    <w:rsid w:val="00D33516"/>
    <w:rsid w:val="00D46116"/>
    <w:rsid w:val="00D46D32"/>
    <w:rsid w:val="00DB19E3"/>
    <w:rsid w:val="00DC1C79"/>
    <w:rsid w:val="00DC4B49"/>
    <w:rsid w:val="00DD3CAD"/>
    <w:rsid w:val="00E11A27"/>
    <w:rsid w:val="00E23325"/>
    <w:rsid w:val="00E32516"/>
    <w:rsid w:val="00E35BD9"/>
    <w:rsid w:val="00E47420"/>
    <w:rsid w:val="00E55CD8"/>
    <w:rsid w:val="00E60367"/>
    <w:rsid w:val="00E73035"/>
    <w:rsid w:val="00E8235C"/>
    <w:rsid w:val="00ED5434"/>
    <w:rsid w:val="00EF3401"/>
    <w:rsid w:val="00EF4BD0"/>
    <w:rsid w:val="00F37707"/>
    <w:rsid w:val="00F37FE9"/>
    <w:rsid w:val="00F62078"/>
    <w:rsid w:val="00F717E8"/>
    <w:rsid w:val="00F74031"/>
    <w:rsid w:val="00F7634C"/>
    <w:rsid w:val="00FB7C26"/>
    <w:rsid w:val="00FE087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2C17B0"/>
  <w15:chartTrackingRefBased/>
  <w15:docId w15:val="{F4C0B8AC-FB0E-418B-9E37-BF95DE7E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C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C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C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C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C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C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C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C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C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C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C00"/>
    <w:rPr>
      <w:rFonts w:eastAsiaTheme="majorEastAsia" w:cstheme="majorBidi"/>
      <w:color w:val="272727" w:themeColor="text1" w:themeTint="D8"/>
    </w:rPr>
  </w:style>
  <w:style w:type="paragraph" w:styleId="Title">
    <w:name w:val="Title"/>
    <w:basedOn w:val="Normal"/>
    <w:next w:val="Normal"/>
    <w:link w:val="TitleChar"/>
    <w:uiPriority w:val="10"/>
    <w:qFormat/>
    <w:rsid w:val="007B1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C00"/>
    <w:pPr>
      <w:spacing w:before="160"/>
      <w:jc w:val="center"/>
    </w:pPr>
    <w:rPr>
      <w:i/>
      <w:iCs/>
      <w:color w:val="404040" w:themeColor="text1" w:themeTint="BF"/>
    </w:rPr>
  </w:style>
  <w:style w:type="character" w:customStyle="1" w:styleId="QuoteChar">
    <w:name w:val="Quote Char"/>
    <w:basedOn w:val="DefaultParagraphFont"/>
    <w:link w:val="Quote"/>
    <w:uiPriority w:val="29"/>
    <w:rsid w:val="007B1C00"/>
    <w:rPr>
      <w:i/>
      <w:iCs/>
      <w:color w:val="404040" w:themeColor="text1" w:themeTint="BF"/>
    </w:rPr>
  </w:style>
  <w:style w:type="paragraph" w:styleId="ListParagraph">
    <w:name w:val="List Paragraph"/>
    <w:basedOn w:val="Normal"/>
    <w:uiPriority w:val="34"/>
    <w:qFormat/>
    <w:rsid w:val="007B1C00"/>
    <w:pPr>
      <w:ind w:left="720"/>
      <w:contextualSpacing/>
    </w:pPr>
  </w:style>
  <w:style w:type="character" w:styleId="IntenseEmphasis">
    <w:name w:val="Intense Emphasis"/>
    <w:basedOn w:val="DefaultParagraphFont"/>
    <w:uiPriority w:val="21"/>
    <w:qFormat/>
    <w:rsid w:val="007B1C00"/>
    <w:rPr>
      <w:i/>
      <w:iCs/>
      <w:color w:val="2F5496" w:themeColor="accent1" w:themeShade="BF"/>
    </w:rPr>
  </w:style>
  <w:style w:type="paragraph" w:styleId="IntenseQuote">
    <w:name w:val="Intense Quote"/>
    <w:basedOn w:val="Normal"/>
    <w:next w:val="Normal"/>
    <w:link w:val="IntenseQuoteChar"/>
    <w:uiPriority w:val="30"/>
    <w:qFormat/>
    <w:rsid w:val="007B1C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C00"/>
    <w:rPr>
      <w:i/>
      <w:iCs/>
      <w:color w:val="2F5496" w:themeColor="accent1" w:themeShade="BF"/>
    </w:rPr>
  </w:style>
  <w:style w:type="character" w:styleId="IntenseReference">
    <w:name w:val="Intense Reference"/>
    <w:basedOn w:val="DefaultParagraphFont"/>
    <w:uiPriority w:val="32"/>
    <w:qFormat/>
    <w:rsid w:val="007B1C00"/>
    <w:rPr>
      <w:b/>
      <w:bCs/>
      <w:smallCaps/>
      <w:color w:val="2F5496" w:themeColor="accent1" w:themeShade="BF"/>
      <w:spacing w:val="5"/>
    </w:rPr>
  </w:style>
  <w:style w:type="character" w:styleId="Hyperlink">
    <w:name w:val="Hyperlink"/>
    <w:basedOn w:val="DefaultParagraphFont"/>
    <w:uiPriority w:val="99"/>
    <w:unhideWhenUsed/>
    <w:rsid w:val="00A504E5"/>
    <w:rPr>
      <w:color w:val="0563C1" w:themeColor="hyperlink"/>
      <w:u w:val="single"/>
    </w:rPr>
  </w:style>
  <w:style w:type="character" w:styleId="UnresolvedMention">
    <w:name w:val="Unresolved Mention"/>
    <w:basedOn w:val="DefaultParagraphFont"/>
    <w:uiPriority w:val="99"/>
    <w:semiHidden/>
    <w:unhideWhenUsed/>
    <w:rsid w:val="00A504E5"/>
    <w:rPr>
      <w:color w:val="605E5C"/>
      <w:shd w:val="clear" w:color="auto" w:fill="E1DFDD"/>
    </w:rPr>
  </w:style>
  <w:style w:type="table" w:styleId="TableGrid">
    <w:name w:val="Table Grid"/>
    <w:basedOn w:val="TableNormal"/>
    <w:uiPriority w:val="59"/>
    <w:rsid w:val="00FB7C2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B7C26"/>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8817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75A"/>
    <w:rPr>
      <w:sz w:val="20"/>
      <w:szCs w:val="20"/>
    </w:rPr>
  </w:style>
  <w:style w:type="character" w:styleId="FootnoteReference">
    <w:name w:val="footnote reference"/>
    <w:basedOn w:val="DefaultParagraphFont"/>
    <w:uiPriority w:val="99"/>
    <w:semiHidden/>
    <w:unhideWhenUsed/>
    <w:rsid w:val="0088175A"/>
    <w:rPr>
      <w:vertAlign w:val="superscript"/>
    </w:rPr>
  </w:style>
  <w:style w:type="paragraph" w:styleId="Header">
    <w:name w:val="header"/>
    <w:basedOn w:val="Normal"/>
    <w:link w:val="HeaderChar"/>
    <w:uiPriority w:val="99"/>
    <w:unhideWhenUsed/>
    <w:rsid w:val="00A52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C1B"/>
  </w:style>
  <w:style w:type="paragraph" w:styleId="Footer">
    <w:name w:val="footer"/>
    <w:basedOn w:val="Normal"/>
    <w:link w:val="FooterChar"/>
    <w:uiPriority w:val="99"/>
    <w:unhideWhenUsed/>
    <w:rsid w:val="00A52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C1B"/>
  </w:style>
  <w:style w:type="character" w:styleId="CommentReference">
    <w:name w:val="annotation reference"/>
    <w:basedOn w:val="DefaultParagraphFont"/>
    <w:uiPriority w:val="99"/>
    <w:semiHidden/>
    <w:unhideWhenUsed/>
    <w:rsid w:val="002C0D97"/>
    <w:rPr>
      <w:sz w:val="16"/>
      <w:szCs w:val="16"/>
    </w:rPr>
  </w:style>
  <w:style w:type="paragraph" w:styleId="CommentText">
    <w:name w:val="annotation text"/>
    <w:basedOn w:val="Normal"/>
    <w:link w:val="CommentTextChar"/>
    <w:uiPriority w:val="99"/>
    <w:semiHidden/>
    <w:unhideWhenUsed/>
    <w:rsid w:val="002C0D97"/>
    <w:pPr>
      <w:spacing w:line="240" w:lineRule="auto"/>
    </w:pPr>
    <w:rPr>
      <w:sz w:val="20"/>
      <w:szCs w:val="20"/>
    </w:rPr>
  </w:style>
  <w:style w:type="character" w:customStyle="1" w:styleId="CommentTextChar">
    <w:name w:val="Comment Text Char"/>
    <w:basedOn w:val="DefaultParagraphFont"/>
    <w:link w:val="CommentText"/>
    <w:uiPriority w:val="99"/>
    <w:semiHidden/>
    <w:rsid w:val="002C0D9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ijdrr.2017.06.026" TargetMode="External"/><Relationship Id="rId18" Type="http://schemas.openxmlformats.org/officeDocument/2006/relationships/hyperlink" Target="https://doi.org/10.1016/j.wasec.2017.07.00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jup.2025.102017" TargetMode="External"/><Relationship Id="rId17" Type="http://schemas.openxmlformats.org/officeDocument/2006/relationships/hyperlink" Target="https://doi.org/10.2166/wp.2007.021"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gloenvcha.2011.10.011" TargetMode="External"/><Relationship Id="rId20" Type="http://schemas.openxmlformats.org/officeDocument/2006/relationships/hyperlink" Target="https://hdl.handle.net/20.500.12870/42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ciaf.2022.e01493"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eiar.2026.10839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doi.org/10.1016/j.indic.2025.10109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pce.2026.104320"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025\Internship\Confirmed%20Topics\Water%20Consumption\Water%20Consumption%20Mawlynd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Household_Size_Water_Consumption_Analysis_with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Household water storage </a:t>
            </a:r>
          </a:p>
        </c:rich>
      </c:tx>
      <c:overlay val="0"/>
      <c:spPr>
        <a:noFill/>
        <a:ln>
          <a:noFill/>
        </a:ln>
        <a:effectLst/>
      </c:spPr>
      <c:txPr>
        <a:bodyPr rot="0" spcFirstLastPara="1" vertOverflow="ellipsis" vert="horz" wrap="square" anchor="ctr" anchorCtr="1"/>
        <a:lstStyle/>
        <a:p>
          <a:pPr>
            <a:defRPr sz="1000" b="0"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Sheet2!$E$42</c:f>
              <c:strCache>
                <c:ptCount val="1"/>
                <c:pt idx="0">
                  <c:v>Percentage (%) </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Sheet2!$C$43:$C$46</c:f>
              <c:strCache>
                <c:ptCount val="4"/>
                <c:pt idx="0">
                  <c:v>&lt;200</c:v>
                </c:pt>
                <c:pt idx="1">
                  <c:v>200–400</c:v>
                </c:pt>
                <c:pt idx="2">
                  <c:v>401–600</c:v>
                </c:pt>
                <c:pt idx="3">
                  <c:v>&gt;600</c:v>
                </c:pt>
              </c:strCache>
            </c:strRef>
          </c:cat>
          <c:val>
            <c:numRef>
              <c:f>Sheet2!$E$43:$E$46</c:f>
              <c:numCache>
                <c:formatCode>0.00</c:formatCode>
                <c:ptCount val="4"/>
                <c:pt idx="0">
                  <c:v>13.924050632911392</c:v>
                </c:pt>
                <c:pt idx="1">
                  <c:v>30.37974683544304</c:v>
                </c:pt>
                <c:pt idx="2">
                  <c:v>36.708860759493675</c:v>
                </c:pt>
                <c:pt idx="3">
                  <c:v>18.9873417721519</c:v>
                </c:pt>
              </c:numCache>
            </c:numRef>
          </c:val>
          <c:smooth val="0"/>
          <c:extLst>
            <c:ext xmlns:c16="http://schemas.microsoft.com/office/drawing/2014/chart" uri="{C3380CC4-5D6E-409C-BE32-E72D297353CC}">
              <c16:uniqueId val="{00000000-65A0-4437-A939-52CA35FCE836}"/>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294113440"/>
        <c:axId val="1294102880"/>
      </c:lineChart>
      <c:catAx>
        <c:axId val="1294113440"/>
        <c:scaling>
          <c:orientation val="minMax"/>
        </c:scaling>
        <c:delete val="0"/>
        <c:axPos val="b"/>
        <c:title>
          <c:tx>
            <c:rich>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litres</a:t>
                </a:r>
              </a:p>
            </c:rich>
          </c:tx>
          <c:overlay val="0"/>
          <c:spPr>
            <a:noFill/>
            <a:ln>
              <a:noFill/>
            </a:ln>
            <a:effectLst/>
          </c:spPr>
          <c:txPr>
            <a:bodyPr rot="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94102880"/>
        <c:crosses val="autoZero"/>
        <c:auto val="1"/>
        <c:lblAlgn val="ctr"/>
        <c:lblOffset val="100"/>
        <c:noMultiLvlLbl val="0"/>
      </c:catAx>
      <c:valAx>
        <c:axId val="1294102880"/>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0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9411344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Household Size vs Total Water Consumption</a:t>
            </a:r>
          </a:p>
        </c:rich>
      </c:tx>
      <c:overlay val="0"/>
    </c:title>
    <c:autoTitleDeleted val="0"/>
    <c:plotArea>
      <c:layout/>
      <c:scatterChart>
        <c:scatterStyle val="lineMarker"/>
        <c:varyColors val="0"/>
        <c:ser>
          <c:idx val="0"/>
          <c:order val="0"/>
          <c:spPr>
            <a:ln w="28575">
              <a:noFill/>
            </a:ln>
          </c:spPr>
          <c:marker>
            <c:spPr>
              <a:ln>
                <a:prstDash val="solid"/>
              </a:ln>
            </c:spPr>
          </c:marker>
          <c:trendline>
            <c:trendlineType val="linear"/>
            <c:intercept val="0"/>
            <c:dispRSqr val="1"/>
            <c:dispEq val="1"/>
            <c:trendlineLbl>
              <c:layout>
                <c:manualLayout>
                  <c:x val="0.18281777777777769"/>
                  <c:y val="-0.20131666666666667"/>
                </c:manualLayout>
              </c:layout>
              <c:numFmt formatCode="General" sourceLinked="0"/>
            </c:trendlineLbl>
          </c:trendline>
          <c:xVal>
            <c:numRef>
              <c:f>Data!$A$2:$A$31</c:f>
              <c:numCache>
                <c:formatCode>General</c:formatCode>
                <c:ptCount val="30"/>
                <c:pt idx="0">
                  <c:v>12</c:v>
                </c:pt>
                <c:pt idx="1">
                  <c:v>6</c:v>
                </c:pt>
                <c:pt idx="2">
                  <c:v>6</c:v>
                </c:pt>
                <c:pt idx="3">
                  <c:v>10</c:v>
                </c:pt>
                <c:pt idx="4">
                  <c:v>8</c:v>
                </c:pt>
                <c:pt idx="5">
                  <c:v>10</c:v>
                </c:pt>
                <c:pt idx="6">
                  <c:v>4</c:v>
                </c:pt>
                <c:pt idx="7">
                  <c:v>3</c:v>
                </c:pt>
                <c:pt idx="8">
                  <c:v>6</c:v>
                </c:pt>
                <c:pt idx="9">
                  <c:v>6</c:v>
                </c:pt>
                <c:pt idx="10">
                  <c:v>9</c:v>
                </c:pt>
                <c:pt idx="11">
                  <c:v>5</c:v>
                </c:pt>
                <c:pt idx="12">
                  <c:v>7</c:v>
                </c:pt>
                <c:pt idx="13">
                  <c:v>8</c:v>
                </c:pt>
                <c:pt idx="14">
                  <c:v>5</c:v>
                </c:pt>
                <c:pt idx="15">
                  <c:v>11</c:v>
                </c:pt>
                <c:pt idx="16">
                  <c:v>5</c:v>
                </c:pt>
                <c:pt idx="17">
                  <c:v>9</c:v>
                </c:pt>
                <c:pt idx="18">
                  <c:v>1</c:v>
                </c:pt>
                <c:pt idx="19">
                  <c:v>7</c:v>
                </c:pt>
                <c:pt idx="20">
                  <c:v>5</c:v>
                </c:pt>
                <c:pt idx="21">
                  <c:v>9</c:v>
                </c:pt>
                <c:pt idx="22">
                  <c:v>8</c:v>
                </c:pt>
                <c:pt idx="23">
                  <c:v>10</c:v>
                </c:pt>
                <c:pt idx="24">
                  <c:v>8</c:v>
                </c:pt>
                <c:pt idx="25">
                  <c:v>6</c:v>
                </c:pt>
                <c:pt idx="26">
                  <c:v>5</c:v>
                </c:pt>
                <c:pt idx="27">
                  <c:v>8</c:v>
                </c:pt>
                <c:pt idx="28">
                  <c:v>5</c:v>
                </c:pt>
                <c:pt idx="29">
                  <c:v>9</c:v>
                </c:pt>
              </c:numCache>
            </c:numRef>
          </c:xVal>
          <c:yVal>
            <c:numRef>
              <c:f>Data!$J$2:$J$31</c:f>
              <c:numCache>
                <c:formatCode>General</c:formatCode>
                <c:ptCount val="30"/>
                <c:pt idx="0">
                  <c:v>233</c:v>
                </c:pt>
                <c:pt idx="1">
                  <c:v>125</c:v>
                </c:pt>
                <c:pt idx="2">
                  <c:v>290</c:v>
                </c:pt>
                <c:pt idx="3">
                  <c:v>625</c:v>
                </c:pt>
                <c:pt idx="4">
                  <c:v>88</c:v>
                </c:pt>
                <c:pt idx="5">
                  <c:v>200</c:v>
                </c:pt>
                <c:pt idx="6">
                  <c:v>200</c:v>
                </c:pt>
                <c:pt idx="7">
                  <c:v>100</c:v>
                </c:pt>
                <c:pt idx="8">
                  <c:v>500</c:v>
                </c:pt>
                <c:pt idx="9">
                  <c:v>200</c:v>
                </c:pt>
                <c:pt idx="10">
                  <c:v>1050</c:v>
                </c:pt>
                <c:pt idx="11">
                  <c:v>500</c:v>
                </c:pt>
                <c:pt idx="12">
                  <c:v>160</c:v>
                </c:pt>
                <c:pt idx="13">
                  <c:v>500</c:v>
                </c:pt>
                <c:pt idx="14">
                  <c:v>200</c:v>
                </c:pt>
                <c:pt idx="15">
                  <c:v>800</c:v>
                </c:pt>
                <c:pt idx="16">
                  <c:v>256</c:v>
                </c:pt>
                <c:pt idx="17">
                  <c:v>103</c:v>
                </c:pt>
                <c:pt idx="18">
                  <c:v>160</c:v>
                </c:pt>
                <c:pt idx="19">
                  <c:v>67</c:v>
                </c:pt>
                <c:pt idx="20">
                  <c:v>790</c:v>
                </c:pt>
                <c:pt idx="21">
                  <c:v>84</c:v>
                </c:pt>
                <c:pt idx="22">
                  <c:v>101</c:v>
                </c:pt>
                <c:pt idx="23">
                  <c:v>190</c:v>
                </c:pt>
                <c:pt idx="24">
                  <c:v>168</c:v>
                </c:pt>
                <c:pt idx="25">
                  <c:v>655</c:v>
                </c:pt>
                <c:pt idx="26">
                  <c:v>210</c:v>
                </c:pt>
                <c:pt idx="27">
                  <c:v>88</c:v>
                </c:pt>
                <c:pt idx="28">
                  <c:v>265</c:v>
                </c:pt>
                <c:pt idx="29">
                  <c:v>70</c:v>
                </c:pt>
              </c:numCache>
            </c:numRef>
          </c:yVal>
          <c:smooth val="0"/>
          <c:extLst>
            <c:ext xmlns:c16="http://schemas.microsoft.com/office/drawing/2014/chart" uri="{C3380CC4-5D6E-409C-BE32-E72D297353CC}">
              <c16:uniqueId val="{00000001-4EBB-4E7F-9B79-BA84F54E9929}"/>
            </c:ext>
          </c:extLst>
        </c:ser>
        <c:dLbls>
          <c:showLegendKey val="0"/>
          <c:showVal val="0"/>
          <c:showCatName val="0"/>
          <c:showSerName val="0"/>
          <c:showPercent val="0"/>
          <c:showBubbleSize val="0"/>
        </c:dLbls>
        <c:axId val="10"/>
        <c:axId val="20"/>
      </c:scatterChart>
      <c:valAx>
        <c:axId val="10"/>
        <c:scaling>
          <c:orientation val="minMax"/>
          <c:max val="12"/>
          <c:min val="2"/>
        </c:scaling>
        <c:delete val="0"/>
        <c:axPos val="b"/>
        <c:majorGridlines/>
        <c:title>
          <c:tx>
            <c:rich>
              <a:bodyPr/>
              <a:lstStyle/>
              <a:p>
                <a:pPr>
                  <a:defRPr/>
                </a:pPr>
                <a:r>
                  <a:rPr lang="en-IN"/>
                  <a:t>Household Size (Members)</a:t>
                </a:r>
              </a:p>
            </c:rich>
          </c:tx>
          <c:overlay val="0"/>
        </c:title>
        <c:numFmt formatCode="General" sourceLinked="1"/>
        <c:majorTickMark val="none"/>
        <c:minorTickMark val="none"/>
        <c:tickLblPos val="nextTo"/>
        <c:crossAx val="20"/>
        <c:crosses val="autoZero"/>
        <c:crossBetween val="midCat"/>
      </c:valAx>
      <c:valAx>
        <c:axId val="20"/>
        <c:scaling>
          <c:orientation val="minMax"/>
          <c:min val="60"/>
        </c:scaling>
        <c:delete val="0"/>
        <c:axPos val="l"/>
        <c:majorGridlines/>
        <c:title>
          <c:tx>
            <c:rich>
              <a:bodyPr/>
              <a:lstStyle/>
              <a:p>
                <a:pPr>
                  <a:defRPr/>
                </a:pPr>
                <a:r>
                  <a:rPr lang="en-IN"/>
                  <a:t>Total Water Consumption (Litres)</a:t>
                </a:r>
              </a:p>
            </c:rich>
          </c:tx>
          <c:layout>
            <c:manualLayout>
              <c:xMode val="edge"/>
              <c:yMode val="edge"/>
              <c:x val="2.5873221216041398E-2"/>
              <c:y val="0.13361561985415196"/>
            </c:manualLayout>
          </c:layout>
          <c:overlay val="0"/>
        </c:title>
        <c:numFmt formatCode="General" sourceLinked="1"/>
        <c:majorTickMark val="none"/>
        <c:minorTickMark val="none"/>
        <c:tickLblPos val="nextTo"/>
        <c:crossAx val="10"/>
        <c:crosses val="autoZero"/>
        <c:crossBetween val="midCat"/>
      </c:valAx>
    </c:plotArea>
    <c:legend>
      <c:legendPos val="r"/>
      <c:legendEntry>
        <c:idx val="0"/>
        <c:delete val="1"/>
      </c:legendEntry>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B996CF-7D7B-4517-A539-661A7A6F265B}">
  <we:reference id="wa104382081" version="1.55.1.0" store="en-US" storeType="OMEX"/>
  <we:alternateReferences>
    <we:reference id="WA104382081" version="1.55.1.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9BDB5-60F9-4E9C-AE9E-257CF89A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17</Pages>
  <Words>4470</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Jonestar Nonglait</dc:creator>
  <cp:keywords/>
  <dc:description/>
  <cp:lastModifiedBy>Editor-1183</cp:lastModifiedBy>
  <cp:revision>55</cp:revision>
  <dcterms:created xsi:type="dcterms:W3CDTF">2026-03-25T08:29:00Z</dcterms:created>
  <dcterms:modified xsi:type="dcterms:W3CDTF">2026-04-16T10:07:00Z</dcterms:modified>
</cp:coreProperties>
</file>