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A5FC9" w14:textId="37462F4D" w:rsidR="00111314" w:rsidRDefault="00D3621B" w:rsidP="00111314">
      <w:pPr>
        <w:spacing w:after="0" w:line="360" w:lineRule="auto"/>
        <w:jc w:val="both"/>
        <w:rPr>
          <w:rFonts w:ascii="Times New Roman" w:hAnsi="Times New Roman" w:cs="Times New Roman"/>
          <w:b/>
          <w:bCs/>
          <w:color w:val="000000" w:themeColor="text1"/>
          <w:sz w:val="24"/>
          <w:szCs w:val="24"/>
        </w:rPr>
      </w:pPr>
      <w:r w:rsidRPr="00892D64">
        <w:rPr>
          <w:rFonts w:ascii="Times New Roman" w:hAnsi="Times New Roman" w:cs="Times New Roman"/>
          <w:b/>
          <w:bCs/>
          <w:color w:val="000000" w:themeColor="text1"/>
          <w:sz w:val="24"/>
          <w:szCs w:val="24"/>
        </w:rPr>
        <w:t>A preliminary report on the soil toxicity assessment of Bangalore and its adjoining areas: impli</w:t>
      </w:r>
      <w:r w:rsidR="00892D64">
        <w:rPr>
          <w:rFonts w:ascii="Times New Roman" w:hAnsi="Times New Roman" w:cs="Times New Roman"/>
          <w:b/>
          <w:bCs/>
          <w:color w:val="000000" w:themeColor="text1"/>
          <w:sz w:val="24"/>
          <w:szCs w:val="24"/>
        </w:rPr>
        <w:t>cations for health and toxicity</w:t>
      </w:r>
    </w:p>
    <w:p w14:paraId="6627DB93" w14:textId="77777777" w:rsidR="005A7381" w:rsidRPr="003F3AEC" w:rsidRDefault="005A7381" w:rsidP="005C081B">
      <w:pPr>
        <w:spacing w:after="0" w:line="360" w:lineRule="auto"/>
        <w:jc w:val="both"/>
        <w:rPr>
          <w:rFonts w:ascii="Times New Roman" w:eastAsia="Times New Roman" w:hAnsi="Times New Roman" w:cs="Times New Roman"/>
          <w:color w:val="000000" w:themeColor="text1"/>
          <w:sz w:val="24"/>
          <w:szCs w:val="24"/>
        </w:rPr>
      </w:pPr>
    </w:p>
    <w:p w14:paraId="6D44C6DD" w14:textId="72CE16FE" w:rsidR="00926D96" w:rsidRPr="004D0CC2" w:rsidRDefault="00926D96" w:rsidP="005C081B">
      <w:pPr>
        <w:spacing w:after="0" w:line="360" w:lineRule="auto"/>
        <w:jc w:val="both"/>
        <w:rPr>
          <w:rFonts w:ascii="Times New Roman" w:eastAsia="Times New Roman" w:hAnsi="Times New Roman" w:cs="Times New Roman"/>
          <w:b/>
          <w:bCs/>
          <w:color w:val="000000" w:themeColor="text1"/>
          <w:sz w:val="24"/>
          <w:szCs w:val="24"/>
        </w:rPr>
      </w:pPr>
      <w:r w:rsidRPr="004D0CC2">
        <w:rPr>
          <w:rFonts w:ascii="Times New Roman" w:eastAsia="Times New Roman" w:hAnsi="Times New Roman" w:cs="Times New Roman"/>
          <w:b/>
          <w:bCs/>
          <w:color w:val="000000" w:themeColor="text1"/>
          <w:sz w:val="24"/>
          <w:szCs w:val="24"/>
        </w:rPr>
        <w:t>Abstract</w:t>
      </w:r>
    </w:p>
    <w:p w14:paraId="74FF9818" w14:textId="77777777" w:rsidR="00055E8A" w:rsidRPr="009B124E" w:rsidRDefault="00055E8A" w:rsidP="0041227B">
      <w:pPr>
        <w:spacing w:line="360" w:lineRule="auto"/>
        <w:jc w:val="both"/>
        <w:rPr>
          <w:rFonts w:ascii="Times New Roman" w:eastAsia="Times New Roman" w:hAnsi="Times New Roman" w:cs="Times New Roman"/>
          <w:sz w:val="24"/>
          <w:szCs w:val="24"/>
        </w:rPr>
      </w:pPr>
      <w:r w:rsidRPr="00B15DBD">
        <w:rPr>
          <w:rFonts w:ascii="Times New Roman" w:eastAsia="Times New Roman" w:hAnsi="Times New Roman" w:cs="Times New Roman"/>
          <w:sz w:val="24"/>
          <w:szCs w:val="24"/>
        </w:rPr>
        <w:t>Anthropogenic land use alterations of soil, which are among the most significant and persistent agents of change in the structure of landscapes, are primarily caused by urbanization, agricultural expansion, deforestation, industrial growth, and infrastructure expansion. The ecological, functional, and aesthetic aspects of landscapes all around the world are significantly impacted by these changes. Healthy soil is essential for agriculture, human health, and achieving the Sustainable Development Goals (SDGs). Soil samples from four sites in and around Bangalore were examined for acidity and macro and micronutrients in the current study. The results indicate that the pH levels of soils in residential areas and rubbish dumps are higher. Higher nitrogen amounts (0.20% and 0.14%, respectively) were found in the soil from the residential and industrial regions. Phosphorus levels are higher in residential and waste dump locations (0.04% and 0.06%, respectively).</w:t>
      </w:r>
      <w:r w:rsidRPr="009B124E">
        <w:rPr>
          <w:rFonts w:ascii="Times New Roman" w:eastAsia="Times New Roman" w:hAnsi="Times New Roman" w:cs="Times New Roman"/>
          <w:sz w:val="24"/>
          <w:szCs w:val="24"/>
        </w:rPr>
        <w:t xml:space="preserve"> Potassium levels were higher (0.08%) in the waste-deposited area. Furthermore, the area where garbage was released showed higher calcium levels (0.04%). Finally, the magnesium concentration of the agricultural land was higher (0.03%). Bengaluru's Magadi Road residential sector (63.98 ppm) and garbage disposal area (77.54 ppm) had higher zinc concentrations. Agricultural fields have higher mercury levels (less than 0.1 ppm). The soil in the industrial region had a lot of copper (62.61 ppm). The iron content was greater in Bengaluru's Industrial Town (0.01) and Waste Dumped Area (0.02).</w:t>
      </w:r>
      <w:r>
        <w:rPr>
          <w:rFonts w:ascii="Times New Roman" w:eastAsia="Times New Roman" w:hAnsi="Times New Roman" w:cs="Times New Roman"/>
          <w:sz w:val="24"/>
          <w:szCs w:val="24"/>
        </w:rPr>
        <w:t xml:space="preserve"> </w:t>
      </w:r>
      <w:r w:rsidRPr="009B124E">
        <w:rPr>
          <w:rFonts w:ascii="Times New Roman" w:eastAsia="Times New Roman" w:hAnsi="Times New Roman" w:cs="Times New Roman"/>
          <w:sz w:val="24"/>
          <w:szCs w:val="24"/>
        </w:rPr>
        <w:t>The maximum acidity was found in agricultural fields (0.03%), followed by the industrial Rajajinagar area (0.01%). To guarantee food quality and nutritional security, land use planning and sustainable soil management are essential. The study is important because soil contamination is becoming more widespread, which has an impact on human health and plant health.</w:t>
      </w:r>
    </w:p>
    <w:p w14:paraId="789494F1" w14:textId="4FC8DF32" w:rsidR="00F26B31" w:rsidRPr="00DA7BDF" w:rsidRDefault="00BE5D53" w:rsidP="005C081B">
      <w:pPr>
        <w:spacing w:after="0" w:line="360" w:lineRule="auto"/>
        <w:jc w:val="both"/>
        <w:rPr>
          <w:rFonts w:ascii="Times New Roman" w:eastAsia="Times New Roman" w:hAnsi="Times New Roman" w:cs="Times New Roman"/>
          <w:b/>
          <w:bCs/>
          <w:i/>
          <w:iCs/>
          <w:color w:val="000000" w:themeColor="text1"/>
          <w:sz w:val="24"/>
          <w:szCs w:val="24"/>
        </w:rPr>
      </w:pPr>
      <w:r w:rsidRPr="00DA7BDF">
        <w:rPr>
          <w:rFonts w:ascii="Times New Roman" w:eastAsia="Times New Roman" w:hAnsi="Times New Roman" w:cs="Times New Roman"/>
          <w:b/>
          <w:bCs/>
          <w:i/>
          <w:iCs/>
          <w:color w:val="000000" w:themeColor="text1"/>
          <w:sz w:val="24"/>
          <w:szCs w:val="24"/>
        </w:rPr>
        <w:t>Key words:</w:t>
      </w:r>
      <w:r w:rsidRPr="004D0CC2">
        <w:rPr>
          <w:rFonts w:ascii="Times New Roman" w:eastAsia="Times New Roman" w:hAnsi="Times New Roman" w:cs="Times New Roman"/>
          <w:b/>
          <w:bCs/>
          <w:color w:val="000000" w:themeColor="text1"/>
          <w:sz w:val="24"/>
          <w:szCs w:val="24"/>
        </w:rPr>
        <w:t xml:space="preserve"> </w:t>
      </w:r>
      <w:r w:rsidR="00D3621B">
        <w:rPr>
          <w:rFonts w:ascii="Times New Roman" w:eastAsia="Times New Roman" w:hAnsi="Times New Roman" w:cs="Times New Roman"/>
          <w:b/>
          <w:bCs/>
          <w:color w:val="000000" w:themeColor="text1"/>
          <w:sz w:val="24"/>
          <w:szCs w:val="24"/>
        </w:rPr>
        <w:t xml:space="preserve"> </w:t>
      </w:r>
      <w:r w:rsidR="00055E8A" w:rsidRPr="00DA7BDF">
        <w:rPr>
          <w:rFonts w:ascii="Times New Roman" w:eastAsia="Times New Roman" w:hAnsi="Times New Roman"/>
          <w:i/>
          <w:iCs/>
          <w:color w:val="000000" w:themeColor="text1"/>
        </w:rPr>
        <w:t xml:space="preserve">Soil </w:t>
      </w:r>
      <w:r w:rsidR="00E9175E" w:rsidRPr="00DA7BDF">
        <w:rPr>
          <w:rFonts w:ascii="Times New Roman" w:eastAsia="Times New Roman" w:hAnsi="Times New Roman"/>
          <w:i/>
          <w:iCs/>
          <w:color w:val="000000" w:themeColor="text1"/>
        </w:rPr>
        <w:t>toxicity</w:t>
      </w:r>
      <w:r w:rsidR="00E9175E" w:rsidRPr="00DA7BDF">
        <w:rPr>
          <w:rFonts w:ascii="Times New Roman" w:eastAsia="Times New Roman" w:hAnsi="Times New Roman" w:cs="Times New Roman"/>
          <w:i/>
          <w:iCs/>
          <w:color w:val="000000" w:themeColor="text1"/>
          <w:sz w:val="24"/>
          <w:szCs w:val="24"/>
        </w:rPr>
        <w:t>; Chemical</w:t>
      </w:r>
      <w:r w:rsidR="00D3621B" w:rsidRPr="00DA7BDF">
        <w:rPr>
          <w:rFonts w:ascii="Times New Roman" w:eastAsia="Times New Roman" w:hAnsi="Times New Roman" w:cs="Times New Roman"/>
          <w:i/>
          <w:iCs/>
          <w:color w:val="000000" w:themeColor="text1"/>
          <w:sz w:val="24"/>
          <w:szCs w:val="24"/>
        </w:rPr>
        <w:t xml:space="preserve"> and biological weathering; </w:t>
      </w:r>
      <w:r w:rsidR="00D3621B" w:rsidRPr="00DA7BDF">
        <w:rPr>
          <w:rFonts w:ascii="Times New Roman" w:eastAsia="Times New Roman" w:hAnsi="Times New Roman"/>
          <w:i/>
          <w:iCs/>
          <w:color w:val="000000" w:themeColor="text1"/>
        </w:rPr>
        <w:t>Heavy metal contamination; Industrial pollution;</w:t>
      </w:r>
      <w:r w:rsidR="00D3621B" w:rsidRPr="00DA7BDF">
        <w:rPr>
          <w:rFonts w:ascii="Times New Roman" w:hAnsi="Times New Roman" w:cs="Times New Roman"/>
          <w:bCs/>
          <w:i/>
          <w:iCs/>
          <w:color w:val="000000" w:themeColor="text1"/>
          <w:sz w:val="24"/>
          <w:szCs w:val="24"/>
          <w:shd w:val="clear" w:color="auto" w:fill="FFFFFF"/>
        </w:rPr>
        <w:t xml:space="preserve"> </w:t>
      </w:r>
      <w:r w:rsidR="0041227B" w:rsidRPr="00DA7BDF">
        <w:rPr>
          <w:rFonts w:ascii="Times New Roman" w:hAnsi="Times New Roman" w:cs="Times New Roman"/>
          <w:bCs/>
          <w:i/>
          <w:iCs/>
          <w:color w:val="000000" w:themeColor="text1"/>
          <w:sz w:val="24"/>
          <w:szCs w:val="24"/>
          <w:shd w:val="clear" w:color="auto" w:fill="FFFFFF"/>
        </w:rPr>
        <w:t>G</w:t>
      </w:r>
      <w:r w:rsidR="00D3621B" w:rsidRPr="00DA7BDF">
        <w:rPr>
          <w:rFonts w:ascii="Times New Roman" w:hAnsi="Times New Roman" w:cs="Times New Roman"/>
          <w:bCs/>
          <w:i/>
          <w:iCs/>
          <w:color w:val="000000" w:themeColor="text1"/>
          <w:sz w:val="24"/>
          <w:szCs w:val="24"/>
          <w:shd w:val="clear" w:color="auto" w:fill="FFFFFF"/>
        </w:rPr>
        <w:t>lobal Sustainable Development Goals.</w:t>
      </w:r>
    </w:p>
    <w:p w14:paraId="7026E4AB" w14:textId="77777777" w:rsidR="00926D96" w:rsidRPr="004D0CC2" w:rsidRDefault="00926D96" w:rsidP="005C081B">
      <w:pPr>
        <w:spacing w:after="0" w:line="360" w:lineRule="auto"/>
        <w:jc w:val="both"/>
        <w:rPr>
          <w:rFonts w:ascii="Times New Roman" w:eastAsia="Times New Roman" w:hAnsi="Times New Roman" w:cs="Times New Roman"/>
          <w:color w:val="000000" w:themeColor="text1"/>
          <w:sz w:val="24"/>
          <w:szCs w:val="24"/>
        </w:rPr>
      </w:pPr>
      <w:bookmarkStart w:id="0" w:name="_GoBack"/>
      <w:bookmarkEnd w:id="0"/>
    </w:p>
    <w:p w14:paraId="1F1F5874" w14:textId="77777777" w:rsidR="00926D96" w:rsidRPr="004D0CC2" w:rsidRDefault="00926D96" w:rsidP="005C081B">
      <w:pPr>
        <w:spacing w:after="0" w:line="360" w:lineRule="auto"/>
        <w:jc w:val="both"/>
        <w:rPr>
          <w:rFonts w:ascii="Times New Roman" w:eastAsia="Times New Roman" w:hAnsi="Times New Roman" w:cs="Times New Roman"/>
          <w:b/>
          <w:bCs/>
          <w:color w:val="000000" w:themeColor="text1"/>
          <w:sz w:val="24"/>
          <w:szCs w:val="24"/>
        </w:rPr>
      </w:pPr>
      <w:r w:rsidRPr="004D0CC2">
        <w:rPr>
          <w:rFonts w:ascii="Times New Roman" w:eastAsia="Times New Roman" w:hAnsi="Times New Roman" w:cs="Times New Roman"/>
          <w:b/>
          <w:bCs/>
          <w:color w:val="000000" w:themeColor="text1"/>
          <w:sz w:val="24"/>
          <w:szCs w:val="24"/>
        </w:rPr>
        <w:t>Introduction</w:t>
      </w:r>
    </w:p>
    <w:p w14:paraId="0E430666" w14:textId="0646695A" w:rsidR="00926D96" w:rsidRPr="004D0CC2" w:rsidRDefault="00926D96" w:rsidP="005C081B">
      <w:pPr>
        <w:spacing w:line="360" w:lineRule="auto"/>
        <w:jc w:val="both"/>
        <w:rPr>
          <w:rFonts w:ascii="Times New Roman" w:hAnsi="Times New Roman" w:cs="Times New Roman"/>
          <w:color w:val="000000" w:themeColor="text1"/>
          <w:sz w:val="24"/>
          <w:szCs w:val="24"/>
        </w:rPr>
      </w:pPr>
      <w:r w:rsidRPr="004D0CC2">
        <w:rPr>
          <w:rFonts w:ascii="Times New Roman" w:eastAsia="Times New Roman" w:hAnsi="Times New Roman" w:cs="Times New Roman"/>
          <w:color w:val="000000" w:themeColor="text1"/>
          <w:sz w:val="24"/>
          <w:szCs w:val="24"/>
        </w:rPr>
        <w:t>Along with water and air, soil is one of the three main natural resources. It is one of nature's wonderful creations, without which life would not exist</w:t>
      </w:r>
      <w:r w:rsidR="00F4125E" w:rsidRPr="004D0CC2">
        <w:rPr>
          <w:rFonts w:ascii="Times New Roman" w:eastAsia="Times New Roman" w:hAnsi="Times New Roman" w:cs="Times New Roman"/>
          <w:color w:val="000000" w:themeColor="text1"/>
          <w:sz w:val="24"/>
          <w:szCs w:val="24"/>
        </w:rPr>
        <w:t xml:space="preserve"> </w:t>
      </w:r>
      <w:r w:rsidR="00F83E9C" w:rsidRPr="004D0CC2">
        <w:rPr>
          <w:rFonts w:ascii="Times New Roman" w:eastAsia="Times New Roman" w:hAnsi="Times New Roman" w:cs="Times New Roman"/>
          <w:color w:val="000000" w:themeColor="text1"/>
          <w:sz w:val="24"/>
          <w:szCs w:val="24"/>
        </w:rPr>
        <w:t>(</w:t>
      </w:r>
      <w:r w:rsidR="0078065C" w:rsidRPr="004D0CC2">
        <w:rPr>
          <w:rFonts w:ascii="Times New Roman" w:hAnsi="Times New Roman" w:cs="Times New Roman"/>
          <w:color w:val="000000" w:themeColor="text1"/>
          <w:sz w:val="24"/>
          <w:szCs w:val="24"/>
        </w:rPr>
        <w:t>Burns,</w:t>
      </w:r>
      <w:r w:rsidR="00F4125E" w:rsidRPr="004D0CC2">
        <w:rPr>
          <w:rFonts w:ascii="Times New Roman" w:hAnsi="Times New Roman" w:cs="Times New Roman"/>
          <w:color w:val="000000" w:themeColor="text1"/>
          <w:sz w:val="24"/>
          <w:szCs w:val="24"/>
        </w:rPr>
        <w:t xml:space="preserve"> </w:t>
      </w:r>
      <w:r w:rsidR="0078065C" w:rsidRPr="004D0CC2">
        <w:rPr>
          <w:rFonts w:ascii="Times New Roman" w:eastAsia="Times New Roman" w:hAnsi="Times New Roman" w:cs="Times New Roman"/>
          <w:color w:val="000000" w:themeColor="text1"/>
          <w:sz w:val="24"/>
          <w:szCs w:val="24"/>
        </w:rPr>
        <w:t>20</w:t>
      </w:r>
      <w:r w:rsidR="00ED6E03" w:rsidRPr="004D0CC2">
        <w:rPr>
          <w:rFonts w:ascii="Times New Roman" w:eastAsia="Times New Roman" w:hAnsi="Times New Roman" w:cs="Times New Roman"/>
          <w:color w:val="000000" w:themeColor="text1"/>
          <w:sz w:val="24"/>
          <w:szCs w:val="24"/>
        </w:rPr>
        <w:t>05</w:t>
      </w:r>
      <w:r w:rsidR="00F83E9C"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 xml:space="preserve">. Agricultural productivity stems from healthy soil, which then leads to food. The three primary components of soil are the various living </w:t>
      </w:r>
      <w:r w:rsidRPr="004D0CC2">
        <w:rPr>
          <w:rFonts w:ascii="Times New Roman" w:eastAsia="Times New Roman" w:hAnsi="Times New Roman" w:cs="Times New Roman"/>
          <w:color w:val="000000" w:themeColor="text1"/>
          <w:sz w:val="24"/>
          <w:szCs w:val="24"/>
        </w:rPr>
        <w:lastRenderedPageBreak/>
        <w:t>species that live there, organic matter, which includes the remains of plants and animals, and minerals that come from nearby or beneath rocks</w:t>
      </w:r>
      <w:r w:rsidR="00E5749A" w:rsidRPr="004D0CC2">
        <w:rPr>
          <w:rFonts w:ascii="Times New Roman" w:eastAsia="Times New Roman" w:hAnsi="Times New Roman" w:cs="Times New Roman"/>
          <w:color w:val="000000" w:themeColor="text1"/>
          <w:sz w:val="24"/>
          <w:szCs w:val="24"/>
        </w:rPr>
        <w:t xml:space="preserve"> </w:t>
      </w:r>
      <w:r w:rsidR="00F83E9C" w:rsidRPr="004D0CC2">
        <w:rPr>
          <w:rFonts w:ascii="Times New Roman" w:eastAsia="Times New Roman" w:hAnsi="Times New Roman" w:cs="Times New Roman"/>
          <w:color w:val="000000" w:themeColor="text1"/>
          <w:sz w:val="24"/>
          <w:szCs w:val="24"/>
        </w:rPr>
        <w:t>(</w:t>
      </w:r>
      <w:r w:rsidR="0078065C" w:rsidRPr="004D0CC2">
        <w:rPr>
          <w:rStyle w:val="bold"/>
          <w:rFonts w:ascii="Times New Roman" w:hAnsi="Times New Roman" w:cs="Times New Roman"/>
          <w:color w:val="000000" w:themeColor="text1"/>
          <w:sz w:val="24"/>
          <w:szCs w:val="24"/>
          <w:bdr w:val="none" w:sz="0" w:space="0" w:color="auto" w:frame="1"/>
          <w:shd w:val="clear" w:color="auto" w:fill="FFFFFF"/>
        </w:rPr>
        <w:t>Needelman</w:t>
      </w:r>
      <w:r w:rsidR="00B15DBD">
        <w:rPr>
          <w:rStyle w:val="bold"/>
          <w:rFonts w:ascii="Times New Roman" w:hAnsi="Times New Roman" w:cs="Times New Roman"/>
          <w:color w:val="000000" w:themeColor="text1"/>
          <w:sz w:val="24"/>
          <w:szCs w:val="24"/>
          <w:bdr w:val="none" w:sz="0" w:space="0" w:color="auto" w:frame="1"/>
          <w:shd w:val="clear" w:color="auto" w:fill="FFFFFF"/>
        </w:rPr>
        <w:t>,</w:t>
      </w:r>
      <w:r w:rsidR="00D3621B">
        <w:rPr>
          <w:rStyle w:val="bold"/>
          <w:rFonts w:ascii="Times New Roman" w:hAnsi="Times New Roman" w:cs="Times New Roman"/>
          <w:color w:val="000000" w:themeColor="text1"/>
          <w:sz w:val="24"/>
          <w:szCs w:val="24"/>
          <w:bdr w:val="none" w:sz="0" w:space="0" w:color="auto" w:frame="1"/>
          <w:shd w:val="clear" w:color="auto" w:fill="FFFFFF"/>
        </w:rPr>
        <w:t xml:space="preserve"> </w:t>
      </w:r>
      <w:r w:rsidR="0078065C" w:rsidRPr="004D0CC2">
        <w:rPr>
          <w:rStyle w:val="bold"/>
          <w:rFonts w:ascii="Times New Roman" w:hAnsi="Times New Roman" w:cs="Times New Roman"/>
          <w:color w:val="000000" w:themeColor="text1"/>
          <w:sz w:val="24"/>
          <w:szCs w:val="24"/>
          <w:bdr w:val="none" w:sz="0" w:space="0" w:color="auto" w:frame="1"/>
          <w:shd w:val="clear" w:color="auto" w:fill="FFFFFF"/>
        </w:rPr>
        <w:t>2013</w:t>
      </w:r>
      <w:r w:rsidR="00F83E9C"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 The kind of soil is determined by the ratio of each of these</w:t>
      </w:r>
      <w:r w:rsidR="0078065C" w:rsidRPr="004D0CC2">
        <w:rPr>
          <w:rFonts w:ascii="Times New Roman" w:eastAsia="Times New Roman" w:hAnsi="Times New Roman" w:cs="Times New Roman"/>
          <w:color w:val="000000" w:themeColor="text1"/>
          <w:sz w:val="24"/>
          <w:szCs w:val="24"/>
        </w:rPr>
        <w:t xml:space="preserve"> components</w:t>
      </w:r>
      <w:r w:rsidRPr="004D0CC2">
        <w:rPr>
          <w:rFonts w:ascii="Times New Roman" w:eastAsia="Times New Roman" w:hAnsi="Times New Roman" w:cs="Times New Roman"/>
          <w:color w:val="000000" w:themeColor="text1"/>
          <w:sz w:val="24"/>
          <w:szCs w:val="24"/>
        </w:rPr>
        <w:t>. The formation of soil and the varieties of soil found in a given area are influenced by a variety of factors, including climate, vegetation, time, terrain, and human activities like farming, grazing, and gardening</w:t>
      </w:r>
      <w:r w:rsidR="00E5749A" w:rsidRPr="004D0CC2">
        <w:rPr>
          <w:rFonts w:ascii="Times New Roman" w:eastAsia="Times New Roman" w:hAnsi="Times New Roman" w:cs="Times New Roman"/>
          <w:color w:val="000000" w:themeColor="text1"/>
          <w:sz w:val="24"/>
          <w:szCs w:val="24"/>
        </w:rPr>
        <w:t xml:space="preserve"> </w:t>
      </w:r>
      <w:r w:rsidR="00F83E9C" w:rsidRPr="004D0CC2">
        <w:rPr>
          <w:rFonts w:ascii="Times New Roman" w:eastAsia="Times New Roman" w:hAnsi="Times New Roman" w:cs="Times New Roman"/>
          <w:color w:val="000000" w:themeColor="text1"/>
          <w:sz w:val="24"/>
          <w:szCs w:val="24"/>
        </w:rPr>
        <w:t>(</w:t>
      </w:r>
      <w:r w:rsidR="0078065C" w:rsidRPr="004D0CC2">
        <w:rPr>
          <w:rFonts w:ascii="Times New Roman" w:hAnsi="Times New Roman" w:cs="Times New Roman"/>
          <w:color w:val="000000" w:themeColor="text1"/>
          <w:sz w:val="24"/>
          <w:szCs w:val="24"/>
        </w:rPr>
        <w:t xml:space="preserve">Raymond </w:t>
      </w:r>
      <w:r w:rsidR="00D3621B">
        <w:rPr>
          <w:rFonts w:ascii="Times New Roman" w:hAnsi="Times New Roman" w:cs="Times New Roman"/>
          <w:color w:val="000000" w:themeColor="text1"/>
          <w:sz w:val="24"/>
          <w:szCs w:val="24"/>
        </w:rPr>
        <w:t xml:space="preserve">and </w:t>
      </w:r>
      <w:r w:rsidR="0078065C" w:rsidRPr="004D0CC2">
        <w:rPr>
          <w:rFonts w:ascii="Times New Roman" w:hAnsi="Times New Roman" w:cs="Times New Roman"/>
          <w:color w:val="000000" w:themeColor="text1"/>
          <w:sz w:val="24"/>
          <w:szCs w:val="24"/>
        </w:rPr>
        <w:t>Nyle</w:t>
      </w:r>
      <w:r w:rsidR="0043601A">
        <w:rPr>
          <w:rFonts w:ascii="Times New Roman" w:hAnsi="Times New Roman" w:cs="Times New Roman"/>
          <w:color w:val="000000" w:themeColor="text1"/>
          <w:sz w:val="24"/>
          <w:szCs w:val="24"/>
        </w:rPr>
        <w:t>,</w:t>
      </w:r>
      <w:r w:rsidR="00F56D7B" w:rsidRPr="004D0CC2">
        <w:rPr>
          <w:rFonts w:ascii="Times New Roman" w:hAnsi="Times New Roman" w:cs="Times New Roman"/>
          <w:color w:val="000000" w:themeColor="text1"/>
          <w:sz w:val="24"/>
          <w:szCs w:val="24"/>
        </w:rPr>
        <w:t xml:space="preserve"> 2017</w:t>
      </w:r>
      <w:r w:rsidR="00F83E9C"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 Water or wind could transport soil. One example of soil carried by wind is the dust storms that occur on the American Great Plains</w:t>
      </w:r>
      <w:r w:rsidR="00E5749A" w:rsidRPr="004D0CC2">
        <w:rPr>
          <w:rFonts w:ascii="Times New Roman" w:eastAsia="Times New Roman" w:hAnsi="Times New Roman" w:cs="Times New Roman"/>
          <w:color w:val="000000" w:themeColor="text1"/>
          <w:sz w:val="24"/>
          <w:szCs w:val="24"/>
        </w:rPr>
        <w:t xml:space="preserve"> </w:t>
      </w:r>
      <w:r w:rsidR="00F83E9C" w:rsidRPr="004D0CC2">
        <w:rPr>
          <w:rFonts w:ascii="Times New Roman" w:eastAsia="Times New Roman" w:hAnsi="Times New Roman" w:cs="Times New Roman"/>
          <w:color w:val="000000" w:themeColor="text1"/>
          <w:sz w:val="24"/>
          <w:szCs w:val="24"/>
        </w:rPr>
        <w:t>(</w:t>
      </w:r>
      <w:r w:rsidR="00F20413" w:rsidRPr="004D0CC2">
        <w:rPr>
          <w:rFonts w:ascii="Times New Roman" w:hAnsi="Times New Roman" w:cs="Times New Roman"/>
          <w:color w:val="000000" w:themeColor="text1"/>
          <w:sz w:val="24"/>
          <w:szCs w:val="24"/>
          <w:shd w:val="clear" w:color="auto" w:fill="FFFFFF"/>
          <w:lang w:val="en-IN"/>
        </w:rPr>
        <w:t xml:space="preserve">Lee </w:t>
      </w:r>
      <w:r w:rsidR="00D3621B">
        <w:rPr>
          <w:rFonts w:ascii="Times New Roman" w:hAnsi="Times New Roman" w:cs="Times New Roman"/>
          <w:color w:val="000000" w:themeColor="text1"/>
          <w:sz w:val="24"/>
          <w:szCs w:val="24"/>
          <w:shd w:val="clear" w:color="auto" w:fill="FFFFFF"/>
          <w:lang w:val="en-IN"/>
        </w:rPr>
        <w:t>and Gill</w:t>
      </w:r>
      <w:r w:rsidR="0073670C">
        <w:rPr>
          <w:rFonts w:ascii="Times New Roman" w:hAnsi="Times New Roman" w:cs="Times New Roman"/>
          <w:color w:val="000000" w:themeColor="text1"/>
          <w:sz w:val="24"/>
          <w:szCs w:val="24"/>
          <w:shd w:val="clear" w:color="auto" w:fill="FFFFFF"/>
          <w:lang w:val="en-IN"/>
        </w:rPr>
        <w:t>,</w:t>
      </w:r>
      <w:r w:rsidR="00D3621B">
        <w:rPr>
          <w:rFonts w:ascii="Times New Roman" w:hAnsi="Times New Roman" w:cs="Times New Roman"/>
          <w:color w:val="000000" w:themeColor="text1"/>
          <w:sz w:val="24"/>
          <w:szCs w:val="24"/>
          <w:shd w:val="clear" w:color="auto" w:fill="FFFFFF"/>
          <w:lang w:val="en-IN"/>
        </w:rPr>
        <w:t xml:space="preserve"> </w:t>
      </w:r>
      <w:r w:rsidR="00F20413" w:rsidRPr="004D0CC2">
        <w:rPr>
          <w:rFonts w:ascii="Times New Roman" w:hAnsi="Times New Roman" w:cs="Times New Roman"/>
          <w:color w:val="000000" w:themeColor="text1"/>
          <w:sz w:val="24"/>
          <w:szCs w:val="24"/>
          <w:shd w:val="clear" w:color="auto" w:fill="FFFFFF"/>
          <w:lang w:val="en-IN"/>
        </w:rPr>
        <w:t>2015</w:t>
      </w:r>
      <w:r w:rsidR="00F83E9C"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w:t>
      </w:r>
      <w:r w:rsidR="00F20413" w:rsidRPr="004D0CC2">
        <w:rPr>
          <w:rFonts w:ascii="Times New Roman" w:eastAsia="Times New Roman" w:hAnsi="Times New Roman" w:cs="Times New Roman"/>
          <w:color w:val="000000" w:themeColor="text1"/>
          <w:sz w:val="24"/>
          <w:szCs w:val="24"/>
        </w:rPr>
        <w:t xml:space="preserve"> </w:t>
      </w:r>
      <w:r w:rsidRPr="004D0CC2">
        <w:rPr>
          <w:rFonts w:ascii="Times New Roman" w:eastAsia="Times New Roman" w:hAnsi="Times New Roman" w:cs="Times New Roman"/>
          <w:color w:val="000000" w:themeColor="text1"/>
          <w:sz w:val="24"/>
          <w:szCs w:val="24"/>
        </w:rPr>
        <w:t>Along with degrading and storing materials, it also filters and purifies water</w:t>
      </w:r>
      <w:r w:rsidR="00455FF7" w:rsidRPr="004D0CC2">
        <w:rPr>
          <w:rFonts w:ascii="Times New Roman" w:eastAsia="Times New Roman" w:hAnsi="Times New Roman" w:cs="Times New Roman"/>
          <w:color w:val="000000" w:themeColor="text1"/>
          <w:sz w:val="24"/>
          <w:szCs w:val="24"/>
        </w:rPr>
        <w:t xml:space="preserve"> </w:t>
      </w:r>
      <w:r w:rsidR="00CE507B" w:rsidRPr="004D0CC2">
        <w:rPr>
          <w:rFonts w:ascii="Times New Roman" w:eastAsia="Times New Roman" w:hAnsi="Times New Roman" w:cs="Times New Roman"/>
          <w:color w:val="000000" w:themeColor="text1"/>
          <w:sz w:val="24"/>
          <w:szCs w:val="24"/>
        </w:rPr>
        <w:t>(</w:t>
      </w:r>
      <w:r w:rsidR="00CE507B" w:rsidRPr="004D0CC2">
        <w:rPr>
          <w:rFonts w:ascii="Times New Roman" w:hAnsi="Times New Roman" w:cs="Times New Roman"/>
          <w:color w:val="000000" w:themeColor="text1"/>
          <w:sz w:val="24"/>
          <w:szCs w:val="24"/>
        </w:rPr>
        <w:t>Keesstra et al., 2012</w:t>
      </w:r>
      <w:r w:rsidR="00CE507B"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 Fe, Mn, Ni, Co, Zn, Cu, Cr, V, Ti, Cd, Hg, Mo, and other trace metals like Se and F are found naturally in soils</w:t>
      </w:r>
      <w:r w:rsidR="006741A9" w:rsidRPr="004D0CC2">
        <w:rPr>
          <w:rFonts w:ascii="Times New Roman" w:eastAsia="Times New Roman" w:hAnsi="Times New Roman" w:cs="Times New Roman"/>
          <w:color w:val="000000" w:themeColor="text1"/>
          <w:sz w:val="24"/>
          <w:szCs w:val="24"/>
        </w:rPr>
        <w:t xml:space="preserve"> </w:t>
      </w:r>
      <w:r w:rsidR="00047CE9" w:rsidRPr="004D0CC2">
        <w:rPr>
          <w:rFonts w:ascii="Times New Roman" w:eastAsia="Times New Roman" w:hAnsi="Times New Roman" w:cs="Times New Roman"/>
          <w:color w:val="000000" w:themeColor="text1"/>
          <w:sz w:val="24"/>
          <w:szCs w:val="24"/>
        </w:rPr>
        <w:t>(</w:t>
      </w:r>
      <w:r w:rsidR="00D3621B">
        <w:rPr>
          <w:rFonts w:ascii="Times New Roman" w:hAnsi="Times New Roman" w:cs="Times New Roman"/>
          <w:color w:val="000000" w:themeColor="text1"/>
          <w:sz w:val="24"/>
          <w:szCs w:val="24"/>
        </w:rPr>
        <w:t>Khudhair and Mazin</w:t>
      </w:r>
      <w:r w:rsidR="001917C6">
        <w:rPr>
          <w:rFonts w:ascii="Times New Roman" w:hAnsi="Times New Roman" w:cs="Times New Roman"/>
          <w:color w:val="000000" w:themeColor="text1"/>
          <w:sz w:val="24"/>
          <w:szCs w:val="24"/>
        </w:rPr>
        <w:t>,</w:t>
      </w:r>
      <w:r w:rsidR="00047CE9" w:rsidRPr="004D0CC2">
        <w:rPr>
          <w:rFonts w:ascii="Times New Roman" w:hAnsi="Times New Roman" w:cs="Times New Roman"/>
          <w:color w:val="000000" w:themeColor="text1"/>
          <w:sz w:val="24"/>
          <w:szCs w:val="24"/>
        </w:rPr>
        <w:t xml:space="preserve"> 2018</w:t>
      </w:r>
      <w:r w:rsidR="00047CE9" w:rsidRPr="004D0CC2">
        <w:rPr>
          <w:rFonts w:ascii="Times New Roman" w:eastAsia="Times New Roman" w:hAnsi="Times New Roman" w:cs="Times New Roman"/>
          <w:color w:val="000000" w:themeColor="text1"/>
          <w:sz w:val="24"/>
          <w:szCs w:val="24"/>
        </w:rPr>
        <w:t>)</w:t>
      </w:r>
      <w:r w:rsidR="00F56D7B" w:rsidRPr="004D0CC2">
        <w:rPr>
          <w:rFonts w:ascii="Times New Roman" w:eastAsia="Times New Roman" w:hAnsi="Times New Roman" w:cs="Times New Roman"/>
          <w:color w:val="000000" w:themeColor="text1"/>
          <w:sz w:val="24"/>
          <w:szCs w:val="24"/>
        </w:rPr>
        <w:t xml:space="preserve">. Soil is </w:t>
      </w:r>
      <w:r w:rsidRPr="004D0CC2">
        <w:rPr>
          <w:rFonts w:ascii="Times New Roman" w:eastAsia="Times New Roman" w:hAnsi="Times New Roman" w:cs="Times New Roman"/>
          <w:color w:val="000000" w:themeColor="text1"/>
          <w:sz w:val="24"/>
          <w:szCs w:val="24"/>
        </w:rPr>
        <w:t>created by geological processes including modification and erosion of the geological subsurface components</w:t>
      </w:r>
      <w:r w:rsidR="00E5749A" w:rsidRPr="004D0CC2">
        <w:rPr>
          <w:rFonts w:ascii="Times New Roman" w:eastAsia="Times New Roman" w:hAnsi="Times New Roman" w:cs="Times New Roman"/>
          <w:color w:val="000000" w:themeColor="text1"/>
          <w:sz w:val="24"/>
          <w:szCs w:val="24"/>
        </w:rPr>
        <w:t xml:space="preserve"> </w:t>
      </w:r>
      <w:r w:rsidR="00F83E9C" w:rsidRPr="004D0CC2">
        <w:rPr>
          <w:rFonts w:ascii="Times New Roman" w:eastAsia="Times New Roman" w:hAnsi="Times New Roman" w:cs="Times New Roman"/>
          <w:color w:val="000000" w:themeColor="text1"/>
          <w:sz w:val="24"/>
          <w:szCs w:val="24"/>
        </w:rPr>
        <w:t>(</w:t>
      </w:r>
      <w:r w:rsidR="00F56D7B" w:rsidRPr="004D0CC2">
        <w:rPr>
          <w:rFonts w:ascii="Times New Roman" w:hAnsi="Times New Roman" w:cs="Times New Roman"/>
          <w:color w:val="000000" w:themeColor="text1"/>
          <w:sz w:val="24"/>
          <w:szCs w:val="24"/>
        </w:rPr>
        <w:t>Lucke,</w:t>
      </w:r>
      <w:r w:rsidR="00F56D7B" w:rsidRPr="004D0CC2">
        <w:rPr>
          <w:rFonts w:ascii="Times New Roman" w:eastAsia="Times New Roman" w:hAnsi="Times New Roman" w:cs="Times New Roman"/>
          <w:color w:val="000000" w:themeColor="text1"/>
          <w:sz w:val="24"/>
          <w:szCs w:val="24"/>
        </w:rPr>
        <w:t xml:space="preserve"> 2023</w:t>
      </w:r>
      <w:r w:rsidR="00F83E9C"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w:t>
      </w:r>
      <w:r w:rsidR="00E5749A" w:rsidRPr="004D0CC2">
        <w:rPr>
          <w:rFonts w:ascii="Times New Roman" w:eastAsia="Times New Roman" w:hAnsi="Times New Roman" w:cs="Times New Roman"/>
          <w:color w:val="000000" w:themeColor="text1"/>
          <w:sz w:val="24"/>
          <w:szCs w:val="24"/>
        </w:rPr>
        <w:t xml:space="preserve"> </w:t>
      </w:r>
      <w:r w:rsidRPr="004D0CC2">
        <w:rPr>
          <w:rFonts w:ascii="Times New Roman" w:eastAsia="Times New Roman" w:hAnsi="Times New Roman" w:cs="Times New Roman"/>
          <w:color w:val="000000" w:themeColor="text1"/>
          <w:sz w:val="24"/>
          <w:szCs w:val="24"/>
        </w:rPr>
        <w:t>Generally, soil has a net release of carbon dioxide and nitrous oxide and a net absorption of oxygen and methane</w:t>
      </w:r>
      <w:r w:rsidR="00CF5A47" w:rsidRPr="004D0CC2">
        <w:rPr>
          <w:rFonts w:ascii="Times New Roman" w:eastAsia="Times New Roman" w:hAnsi="Times New Roman" w:cs="Times New Roman"/>
          <w:color w:val="000000" w:themeColor="text1"/>
          <w:sz w:val="24"/>
          <w:szCs w:val="24"/>
        </w:rPr>
        <w:t xml:space="preserve"> </w:t>
      </w:r>
      <w:r w:rsidR="00F83E9C" w:rsidRPr="004D0CC2">
        <w:rPr>
          <w:rFonts w:ascii="Times New Roman" w:eastAsia="Times New Roman" w:hAnsi="Times New Roman" w:cs="Times New Roman"/>
          <w:color w:val="000000" w:themeColor="text1"/>
          <w:sz w:val="24"/>
          <w:szCs w:val="24"/>
        </w:rPr>
        <w:t>(</w:t>
      </w:r>
      <w:r w:rsidR="00047CE9" w:rsidRPr="004D0CC2">
        <w:rPr>
          <w:rFonts w:ascii="Times New Roman" w:hAnsi="Times New Roman" w:cs="Times New Roman"/>
          <w:color w:val="000000" w:themeColor="text1"/>
          <w:sz w:val="24"/>
          <w:szCs w:val="24"/>
        </w:rPr>
        <w:t>Zhu</w:t>
      </w:r>
      <w:r w:rsidR="001C5E0C" w:rsidRPr="004D0CC2">
        <w:rPr>
          <w:rFonts w:ascii="Times New Roman" w:hAnsi="Times New Roman" w:cs="Times New Roman"/>
          <w:color w:val="000000" w:themeColor="text1"/>
          <w:sz w:val="24"/>
          <w:szCs w:val="24"/>
        </w:rPr>
        <w:t xml:space="preserve"> et </w:t>
      </w:r>
      <w:r w:rsidR="00055BC0" w:rsidRPr="004D0CC2">
        <w:rPr>
          <w:rFonts w:ascii="Times New Roman" w:hAnsi="Times New Roman" w:cs="Times New Roman"/>
          <w:color w:val="000000" w:themeColor="text1"/>
          <w:sz w:val="24"/>
          <w:szCs w:val="24"/>
        </w:rPr>
        <w:t>al.</w:t>
      </w:r>
      <w:r w:rsidR="004D0CC2" w:rsidRPr="004D0CC2">
        <w:rPr>
          <w:rFonts w:ascii="Times New Roman" w:hAnsi="Times New Roman" w:cs="Times New Roman"/>
          <w:color w:val="000000" w:themeColor="text1"/>
          <w:sz w:val="24"/>
          <w:szCs w:val="24"/>
        </w:rPr>
        <w:t>, 2020</w:t>
      </w:r>
      <w:r w:rsidR="00047CE9" w:rsidRPr="004D0CC2">
        <w:rPr>
          <w:rFonts w:ascii="Times New Roman" w:hAnsi="Times New Roman" w:cs="Times New Roman"/>
          <w:color w:val="000000" w:themeColor="text1"/>
          <w:sz w:val="24"/>
          <w:szCs w:val="24"/>
        </w:rPr>
        <w:t xml:space="preserve">; Bergh </w:t>
      </w:r>
      <w:r w:rsidR="00785987" w:rsidRPr="004D0CC2">
        <w:rPr>
          <w:rFonts w:ascii="Times New Roman" w:hAnsi="Times New Roman" w:cs="Times New Roman"/>
          <w:color w:val="000000" w:themeColor="text1"/>
          <w:sz w:val="24"/>
          <w:szCs w:val="24"/>
        </w:rPr>
        <w:t xml:space="preserve">et al., </w:t>
      </w:r>
      <w:r w:rsidR="00047CE9" w:rsidRPr="004D0CC2">
        <w:rPr>
          <w:rFonts w:ascii="Times New Roman" w:hAnsi="Times New Roman" w:cs="Times New Roman"/>
          <w:color w:val="000000" w:themeColor="text1"/>
          <w:sz w:val="24"/>
          <w:szCs w:val="24"/>
        </w:rPr>
        <w:t>2024</w:t>
      </w:r>
      <w:r w:rsidR="00F83E9C"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 In addition to providing plants with nutrients, air, water, temperature regulation, and physical support, soil also shields them from contaminants</w:t>
      </w:r>
      <w:r w:rsidR="00E5749A" w:rsidRPr="004D0CC2">
        <w:rPr>
          <w:rFonts w:ascii="Times New Roman" w:eastAsia="Times New Roman" w:hAnsi="Times New Roman" w:cs="Times New Roman"/>
          <w:color w:val="000000" w:themeColor="text1"/>
          <w:sz w:val="24"/>
          <w:szCs w:val="24"/>
        </w:rPr>
        <w:t xml:space="preserve"> </w:t>
      </w:r>
      <w:r w:rsidR="00F83E9C" w:rsidRPr="004D0CC2">
        <w:rPr>
          <w:rFonts w:ascii="Times New Roman" w:eastAsia="Times New Roman" w:hAnsi="Times New Roman" w:cs="Times New Roman"/>
          <w:color w:val="000000" w:themeColor="text1"/>
          <w:sz w:val="24"/>
          <w:szCs w:val="24"/>
        </w:rPr>
        <w:t>(</w:t>
      </w:r>
      <w:r w:rsidR="00047CE9" w:rsidRPr="004D0CC2">
        <w:rPr>
          <w:rFonts w:ascii="Times New Roman" w:hAnsi="Times New Roman" w:cs="Times New Roman"/>
          <w:color w:val="000000" w:themeColor="text1"/>
          <w:sz w:val="24"/>
          <w:szCs w:val="24"/>
          <w:shd w:val="clear" w:color="auto" w:fill="FFFFFF"/>
        </w:rPr>
        <w:t>Horel</w:t>
      </w:r>
      <w:r w:rsidR="007C034B">
        <w:rPr>
          <w:rFonts w:ascii="Times New Roman" w:hAnsi="Times New Roman" w:cs="Times New Roman"/>
          <w:color w:val="000000" w:themeColor="text1"/>
          <w:sz w:val="24"/>
          <w:szCs w:val="24"/>
          <w:shd w:val="clear" w:color="auto" w:fill="FFFFFF"/>
        </w:rPr>
        <w:t>,</w:t>
      </w:r>
      <w:r w:rsidR="00047CE9" w:rsidRPr="004D0CC2">
        <w:rPr>
          <w:rFonts w:ascii="Times New Roman" w:hAnsi="Times New Roman" w:cs="Times New Roman"/>
          <w:color w:val="000000" w:themeColor="text1"/>
          <w:sz w:val="24"/>
          <w:szCs w:val="24"/>
          <w:shd w:val="clear" w:color="auto" w:fill="FFFFFF"/>
        </w:rPr>
        <w:t xml:space="preserve"> 2024;</w:t>
      </w:r>
      <w:r w:rsidR="00E5749A" w:rsidRPr="004D0CC2">
        <w:rPr>
          <w:rFonts w:ascii="Times New Roman" w:hAnsi="Times New Roman" w:cs="Times New Roman"/>
          <w:color w:val="000000" w:themeColor="text1"/>
          <w:sz w:val="24"/>
          <w:szCs w:val="24"/>
          <w:shd w:val="clear" w:color="auto" w:fill="FFFFFF"/>
        </w:rPr>
        <w:t xml:space="preserve"> </w:t>
      </w:r>
      <w:r w:rsidR="00047CE9" w:rsidRPr="004D0CC2">
        <w:rPr>
          <w:rFonts w:ascii="Times New Roman" w:hAnsi="Times New Roman" w:cs="Times New Roman"/>
          <w:color w:val="000000" w:themeColor="text1"/>
          <w:sz w:val="24"/>
          <w:szCs w:val="24"/>
        </w:rPr>
        <w:t>Sharma</w:t>
      </w:r>
      <w:r w:rsidR="001A6DDA" w:rsidRPr="004D0CC2">
        <w:rPr>
          <w:rFonts w:ascii="Times New Roman" w:hAnsi="Times New Roman" w:cs="Times New Roman"/>
          <w:color w:val="000000" w:themeColor="text1"/>
          <w:sz w:val="24"/>
          <w:szCs w:val="24"/>
        </w:rPr>
        <w:t xml:space="preserve"> et al.</w:t>
      </w:r>
      <w:r w:rsidR="00047CE9" w:rsidRPr="004D0CC2">
        <w:rPr>
          <w:rFonts w:ascii="Times New Roman" w:hAnsi="Times New Roman" w:cs="Times New Roman"/>
          <w:color w:val="000000" w:themeColor="text1"/>
          <w:sz w:val="24"/>
          <w:szCs w:val="24"/>
        </w:rPr>
        <w:t>, 2025</w:t>
      </w:r>
      <w:r w:rsidR="00F83E9C"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 Soil has the ability to transform dead organic materials into different types of nutrients</w:t>
      </w:r>
      <w:r w:rsidR="00E5749A" w:rsidRPr="004D0CC2">
        <w:rPr>
          <w:rFonts w:ascii="Times New Roman" w:eastAsia="Times New Roman" w:hAnsi="Times New Roman" w:cs="Times New Roman"/>
          <w:color w:val="000000" w:themeColor="text1"/>
          <w:sz w:val="24"/>
          <w:szCs w:val="24"/>
        </w:rPr>
        <w:t xml:space="preserve"> </w:t>
      </w:r>
      <w:r w:rsidR="00F83E9C" w:rsidRPr="004D0CC2">
        <w:rPr>
          <w:rFonts w:ascii="Times New Roman" w:eastAsia="Times New Roman" w:hAnsi="Times New Roman" w:cs="Times New Roman"/>
          <w:color w:val="000000" w:themeColor="text1"/>
          <w:sz w:val="24"/>
          <w:szCs w:val="24"/>
        </w:rPr>
        <w:t>(</w:t>
      </w:r>
      <w:r w:rsidR="00047CE9" w:rsidRPr="004D0CC2">
        <w:rPr>
          <w:rFonts w:ascii="Times New Roman" w:hAnsi="Times New Roman" w:cs="Times New Roman"/>
          <w:color w:val="000000" w:themeColor="text1"/>
          <w:sz w:val="24"/>
          <w:szCs w:val="24"/>
          <w:shd w:val="clear" w:color="auto" w:fill="FFFFFF"/>
        </w:rPr>
        <w:t>Silver et al., 2021</w:t>
      </w:r>
      <w:r w:rsidR="00F83E9C"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 Depending on the different iron minerals, soil mineralogy is the main factor influencing soil color</w:t>
      </w:r>
      <w:r w:rsidR="00E5749A" w:rsidRPr="004D0CC2">
        <w:rPr>
          <w:rFonts w:ascii="Times New Roman" w:eastAsia="Times New Roman" w:hAnsi="Times New Roman" w:cs="Times New Roman"/>
          <w:color w:val="000000" w:themeColor="text1"/>
          <w:sz w:val="24"/>
          <w:szCs w:val="24"/>
        </w:rPr>
        <w:t xml:space="preserve"> </w:t>
      </w:r>
      <w:r w:rsidR="00F83E9C" w:rsidRPr="004D0CC2">
        <w:rPr>
          <w:rFonts w:ascii="Times New Roman" w:eastAsia="Times New Roman" w:hAnsi="Times New Roman" w:cs="Times New Roman"/>
          <w:color w:val="000000" w:themeColor="text1"/>
          <w:sz w:val="24"/>
          <w:szCs w:val="24"/>
        </w:rPr>
        <w:t>(</w:t>
      </w:r>
      <w:r w:rsidR="00D3621B">
        <w:rPr>
          <w:rFonts w:ascii="Times New Roman" w:hAnsi="Times New Roman" w:cs="Times New Roman"/>
          <w:color w:val="000000" w:themeColor="text1"/>
          <w:sz w:val="24"/>
          <w:szCs w:val="24"/>
          <w:shd w:val="clear" w:color="auto" w:fill="FFFFFF"/>
        </w:rPr>
        <w:t xml:space="preserve">Sirisathitkul and </w:t>
      </w:r>
      <w:r w:rsidR="00047CE9" w:rsidRPr="004D0CC2">
        <w:rPr>
          <w:rFonts w:ascii="Times New Roman" w:hAnsi="Times New Roman" w:cs="Times New Roman"/>
          <w:color w:val="000000" w:themeColor="text1"/>
          <w:sz w:val="24"/>
          <w:szCs w:val="24"/>
          <w:shd w:val="clear" w:color="auto" w:fill="FFFFFF"/>
        </w:rPr>
        <w:t>Sirisathitkul</w:t>
      </w:r>
      <w:r w:rsidR="00B15DBD">
        <w:rPr>
          <w:rFonts w:ascii="Times New Roman" w:hAnsi="Times New Roman" w:cs="Times New Roman"/>
          <w:color w:val="000000" w:themeColor="text1"/>
          <w:sz w:val="24"/>
          <w:szCs w:val="24"/>
          <w:shd w:val="clear" w:color="auto" w:fill="FFFFFF"/>
        </w:rPr>
        <w:t xml:space="preserve">, </w:t>
      </w:r>
      <w:r w:rsidR="00047CE9" w:rsidRPr="004D0CC2">
        <w:rPr>
          <w:rFonts w:ascii="Times New Roman" w:hAnsi="Times New Roman" w:cs="Times New Roman"/>
          <w:color w:val="000000" w:themeColor="text1"/>
          <w:sz w:val="24"/>
          <w:szCs w:val="24"/>
          <w:shd w:val="clear" w:color="auto" w:fill="FFFFFF"/>
        </w:rPr>
        <w:t>2025</w:t>
      </w:r>
      <w:r w:rsidR="00F83E9C"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 Chemical and biological weathering, particularly redox processes, are responsible for the formation and dispersion of color in a soil profile. The elements interact to form new, colorful compounds as the main minerals in the soil parent material weather</w:t>
      </w:r>
      <w:r w:rsidR="00E5749A" w:rsidRPr="004D0CC2">
        <w:rPr>
          <w:rFonts w:ascii="Times New Roman" w:eastAsia="Times New Roman" w:hAnsi="Times New Roman" w:cs="Times New Roman"/>
          <w:color w:val="000000" w:themeColor="text1"/>
          <w:sz w:val="24"/>
          <w:szCs w:val="24"/>
        </w:rPr>
        <w:t xml:space="preserve"> </w:t>
      </w:r>
      <w:r w:rsidR="00F83E9C" w:rsidRPr="004D0CC2">
        <w:rPr>
          <w:rFonts w:ascii="Times New Roman" w:eastAsia="Times New Roman" w:hAnsi="Times New Roman" w:cs="Times New Roman"/>
          <w:color w:val="000000" w:themeColor="text1"/>
          <w:sz w:val="24"/>
          <w:szCs w:val="24"/>
        </w:rPr>
        <w:t>(</w:t>
      </w:r>
      <w:r w:rsidR="00047CE9" w:rsidRPr="004D0CC2">
        <w:rPr>
          <w:rFonts w:ascii="Times New Roman" w:hAnsi="Times New Roman" w:cs="Times New Roman"/>
          <w:color w:val="000000" w:themeColor="text1"/>
          <w:sz w:val="24"/>
          <w:szCs w:val="24"/>
        </w:rPr>
        <w:t>Vyshnavi</w:t>
      </w:r>
      <w:r w:rsidR="00D3621B">
        <w:rPr>
          <w:rFonts w:ascii="Times New Roman" w:hAnsi="Times New Roman" w:cs="Times New Roman"/>
          <w:color w:val="000000" w:themeColor="text1"/>
          <w:sz w:val="24"/>
          <w:szCs w:val="24"/>
        </w:rPr>
        <w:t xml:space="preserve"> </w:t>
      </w:r>
      <w:r w:rsidR="00047CE9" w:rsidRPr="000C0E62">
        <w:rPr>
          <w:rFonts w:ascii="Times New Roman" w:hAnsi="Times New Roman" w:cs="Times New Roman"/>
          <w:color w:val="000000" w:themeColor="text1"/>
          <w:sz w:val="24"/>
          <w:szCs w:val="24"/>
        </w:rPr>
        <w:t>et al.,</w:t>
      </w:r>
      <w:r w:rsidR="00047CE9" w:rsidRPr="004D0CC2">
        <w:rPr>
          <w:rFonts w:ascii="Times New Roman" w:hAnsi="Times New Roman" w:cs="Times New Roman"/>
          <w:color w:val="000000" w:themeColor="text1"/>
          <w:sz w:val="24"/>
          <w:szCs w:val="24"/>
        </w:rPr>
        <w:t xml:space="preserve"> 2015</w:t>
      </w:r>
      <w:r w:rsidR="00F83E9C" w:rsidRPr="004D0CC2">
        <w:rPr>
          <w:rFonts w:ascii="Times New Roman" w:eastAsia="Times New Roman" w:hAnsi="Times New Roman" w:cs="Times New Roman"/>
          <w:color w:val="000000" w:themeColor="text1"/>
          <w:sz w:val="24"/>
          <w:szCs w:val="24"/>
        </w:rPr>
        <w:t>)</w:t>
      </w:r>
      <w:r w:rsidRPr="004D0CC2">
        <w:rPr>
          <w:rFonts w:ascii="Times New Roman" w:eastAsia="Times New Roman" w:hAnsi="Times New Roman" w:cs="Times New Roman"/>
          <w:color w:val="000000" w:themeColor="text1"/>
          <w:sz w:val="24"/>
          <w:szCs w:val="24"/>
        </w:rPr>
        <w:t xml:space="preserve">. </w:t>
      </w:r>
    </w:p>
    <w:p w14:paraId="068241BA" w14:textId="1BE2C825" w:rsidR="009801E8" w:rsidRPr="004D0CC2" w:rsidRDefault="00926D96" w:rsidP="00503ACC">
      <w:pPr>
        <w:pStyle w:val="footer"/>
        <w:spacing w:line="360" w:lineRule="auto"/>
        <w:jc w:val="both"/>
        <w:rPr>
          <w:rFonts w:ascii="Times New Roman" w:eastAsia="Times New Roman" w:hAnsi="Times New Roman"/>
          <w:color w:val="000000" w:themeColor="text1"/>
        </w:rPr>
      </w:pPr>
      <w:r w:rsidRPr="004D0CC2">
        <w:rPr>
          <w:rFonts w:ascii="Times New Roman" w:hAnsi="Times New Roman"/>
          <w:color w:val="000000" w:themeColor="text1"/>
        </w:rPr>
        <w:t>Iron forms secondary minerals of a yellow or red color, organic matter decomposes into black and brown humic compounds, and manganese and sulfur can form black mineral deposits</w:t>
      </w:r>
      <w:r w:rsidR="00E5749A" w:rsidRPr="004D0CC2">
        <w:rPr>
          <w:rFonts w:ascii="Times New Roman" w:hAnsi="Times New Roman"/>
          <w:color w:val="000000" w:themeColor="text1"/>
        </w:rPr>
        <w:t xml:space="preserve"> </w:t>
      </w:r>
      <w:r w:rsidR="00F83E9C" w:rsidRPr="004D0CC2">
        <w:rPr>
          <w:rFonts w:ascii="Times New Roman" w:hAnsi="Times New Roman"/>
          <w:color w:val="000000" w:themeColor="text1"/>
        </w:rPr>
        <w:t>(</w:t>
      </w:r>
      <w:r w:rsidR="001A78BD" w:rsidRPr="004D0CC2">
        <w:rPr>
          <w:rFonts w:ascii="Times New Roman" w:hAnsi="Times New Roman"/>
          <w:color w:val="000000" w:themeColor="text1"/>
          <w:shd w:val="clear" w:color="auto" w:fill="FFFFFF"/>
        </w:rPr>
        <w:t xml:space="preserve">Magnucka </w:t>
      </w:r>
      <w:r w:rsidR="00C552EB" w:rsidRPr="004D0CC2">
        <w:rPr>
          <w:rFonts w:ascii="Times New Roman" w:hAnsi="Times New Roman"/>
          <w:color w:val="000000" w:themeColor="text1"/>
          <w:shd w:val="clear" w:color="auto" w:fill="FFFFFF"/>
        </w:rPr>
        <w:t xml:space="preserve">et al., </w:t>
      </w:r>
      <w:r w:rsidR="001A78BD" w:rsidRPr="004D0CC2">
        <w:rPr>
          <w:rFonts w:ascii="Times New Roman" w:hAnsi="Times New Roman"/>
          <w:color w:val="000000" w:themeColor="text1"/>
          <w:shd w:val="clear" w:color="auto" w:fill="FFFFFF"/>
        </w:rPr>
        <w:t>2023</w:t>
      </w:r>
      <w:r w:rsidR="00F83E9C" w:rsidRPr="004D0CC2">
        <w:rPr>
          <w:rFonts w:ascii="Times New Roman" w:hAnsi="Times New Roman"/>
          <w:color w:val="000000" w:themeColor="text1"/>
        </w:rPr>
        <w:t>)</w:t>
      </w:r>
      <w:r w:rsidRPr="004D0CC2">
        <w:rPr>
          <w:rFonts w:ascii="Times New Roman" w:hAnsi="Times New Roman"/>
          <w:color w:val="000000" w:themeColor="text1"/>
        </w:rPr>
        <w:t xml:space="preserve">. These pigments can produce various color patterns within the soil. </w:t>
      </w:r>
      <w:r w:rsidRPr="004D0CC2">
        <w:rPr>
          <w:rFonts w:ascii="Times New Roman" w:eastAsia="Times New Roman" w:hAnsi="Times New Roman"/>
          <w:color w:val="000000" w:themeColor="text1"/>
        </w:rPr>
        <w:t>Natural attenuation is the process by which soil efficiently eliminates pollutants, eliminates disease-causing compounds, and breaks down pollutants</w:t>
      </w:r>
      <w:r w:rsidR="00E5749A" w:rsidRPr="004D0CC2">
        <w:rPr>
          <w:rFonts w:ascii="Times New Roman" w:eastAsia="Times New Roman" w:hAnsi="Times New Roman"/>
          <w:color w:val="000000" w:themeColor="text1"/>
        </w:rPr>
        <w:t xml:space="preserve"> </w:t>
      </w:r>
      <w:r w:rsidR="00F83E9C" w:rsidRPr="004D0CC2">
        <w:rPr>
          <w:rFonts w:ascii="Times New Roman" w:eastAsia="Times New Roman" w:hAnsi="Times New Roman"/>
          <w:color w:val="000000" w:themeColor="text1"/>
        </w:rPr>
        <w:t>(</w:t>
      </w:r>
      <w:r w:rsidR="001A78BD" w:rsidRPr="004D0CC2">
        <w:rPr>
          <w:rFonts w:ascii="Times New Roman" w:hAnsi="Times New Roman"/>
          <w:color w:val="000000" w:themeColor="text1"/>
        </w:rPr>
        <w:t>Balland-Bolou-Bi et al., 2022</w:t>
      </w:r>
      <w:r w:rsidR="00F83E9C" w:rsidRPr="004D0CC2">
        <w:rPr>
          <w:rFonts w:ascii="Times New Roman" w:eastAsia="Times New Roman" w:hAnsi="Times New Roman"/>
          <w:color w:val="000000" w:themeColor="text1"/>
        </w:rPr>
        <w:t>)</w:t>
      </w:r>
      <w:r w:rsidRPr="004D0CC2">
        <w:rPr>
          <w:rFonts w:ascii="Times New Roman" w:eastAsia="Times New Roman" w:hAnsi="Times New Roman"/>
          <w:color w:val="000000" w:themeColor="text1"/>
        </w:rPr>
        <w:t xml:space="preserve">. </w:t>
      </w:r>
      <w:r w:rsidRPr="004D0CC2">
        <w:rPr>
          <w:rFonts w:ascii="Times New Roman" w:eastAsia="Times New Roman" w:hAnsi="Times New Roman"/>
          <w:color w:val="000000" w:themeColor="text1"/>
        </w:rPr>
        <w:br/>
        <w:t>The fast expansion of the human population and the rising demand for various goods are the primary causes of the exponential rise in environmental issues in recent decades</w:t>
      </w:r>
      <w:r w:rsidR="00E5749A" w:rsidRPr="004D0CC2">
        <w:rPr>
          <w:rFonts w:ascii="Times New Roman" w:eastAsia="Times New Roman" w:hAnsi="Times New Roman"/>
          <w:color w:val="000000" w:themeColor="text1"/>
        </w:rPr>
        <w:t xml:space="preserve"> </w:t>
      </w:r>
      <w:r w:rsidR="00F64242" w:rsidRPr="004D0CC2">
        <w:rPr>
          <w:rFonts w:ascii="Times New Roman" w:eastAsia="Times New Roman" w:hAnsi="Times New Roman"/>
          <w:color w:val="000000" w:themeColor="text1"/>
        </w:rPr>
        <w:t>(</w:t>
      </w:r>
      <w:r w:rsidR="001A78BD" w:rsidRPr="004D0CC2">
        <w:rPr>
          <w:rFonts w:ascii="Times New Roman" w:eastAsia="Times New Roman" w:hAnsi="Times New Roman"/>
          <w:color w:val="000000" w:themeColor="text1"/>
        </w:rPr>
        <w:t>Tal</w:t>
      </w:r>
      <w:r w:rsidR="0083011F">
        <w:rPr>
          <w:rFonts w:ascii="Times New Roman" w:eastAsia="Times New Roman" w:hAnsi="Times New Roman"/>
          <w:color w:val="000000" w:themeColor="text1"/>
        </w:rPr>
        <w:t>,</w:t>
      </w:r>
      <w:r w:rsidR="00D3621B">
        <w:rPr>
          <w:rFonts w:ascii="Times New Roman" w:eastAsia="Times New Roman" w:hAnsi="Times New Roman"/>
          <w:color w:val="000000" w:themeColor="text1"/>
        </w:rPr>
        <w:t xml:space="preserve"> </w:t>
      </w:r>
      <w:r w:rsidR="001A78BD" w:rsidRPr="004D0CC2">
        <w:rPr>
          <w:rFonts w:ascii="Times New Roman" w:eastAsia="Times New Roman" w:hAnsi="Times New Roman"/>
          <w:color w:val="000000" w:themeColor="text1"/>
        </w:rPr>
        <w:t>2025)</w:t>
      </w:r>
      <w:r w:rsidRPr="004D0CC2">
        <w:rPr>
          <w:rFonts w:ascii="Times New Roman" w:eastAsia="Times New Roman" w:hAnsi="Times New Roman"/>
          <w:color w:val="000000" w:themeColor="text1"/>
        </w:rPr>
        <w:t xml:space="preserve">. While technical advancements have, on the one hand, improved people's quality of life, </w:t>
      </w:r>
      <w:r w:rsidR="00C302D7">
        <w:rPr>
          <w:rFonts w:ascii="Times New Roman" w:eastAsia="Times New Roman" w:hAnsi="Times New Roman"/>
          <w:color w:val="000000" w:themeColor="text1"/>
        </w:rPr>
        <w:t xml:space="preserve">on the other hand, </w:t>
      </w:r>
      <w:r w:rsidRPr="004D0CC2">
        <w:rPr>
          <w:rFonts w:ascii="Times New Roman" w:eastAsia="Times New Roman" w:hAnsi="Times New Roman"/>
          <w:color w:val="000000" w:themeColor="text1"/>
        </w:rPr>
        <w:t>industrial growth has led to a rise in health risks</w:t>
      </w:r>
      <w:r w:rsidR="00E5749A" w:rsidRPr="004D0CC2">
        <w:rPr>
          <w:rFonts w:ascii="Times New Roman" w:eastAsia="Times New Roman" w:hAnsi="Times New Roman"/>
          <w:color w:val="000000" w:themeColor="text1"/>
        </w:rPr>
        <w:t xml:space="preserve"> </w:t>
      </w:r>
      <w:r w:rsidR="001A78BD" w:rsidRPr="004D0CC2">
        <w:rPr>
          <w:rFonts w:ascii="Times New Roman" w:eastAsia="Times New Roman" w:hAnsi="Times New Roman"/>
          <w:color w:val="000000" w:themeColor="text1"/>
        </w:rPr>
        <w:t>(</w:t>
      </w:r>
      <w:r w:rsidR="001A78BD" w:rsidRPr="004D0CC2">
        <w:rPr>
          <w:rFonts w:ascii="Times New Roman" w:hAnsi="Times New Roman"/>
          <w:color w:val="000000" w:themeColor="text1"/>
          <w:shd w:val="clear" w:color="auto" w:fill="FFFFFF"/>
        </w:rPr>
        <w:t>Rahman et al., 2021</w:t>
      </w:r>
      <w:r w:rsidR="001A78BD" w:rsidRPr="004D0CC2">
        <w:rPr>
          <w:rFonts w:ascii="Times New Roman" w:eastAsia="Times New Roman" w:hAnsi="Times New Roman"/>
          <w:color w:val="000000" w:themeColor="text1"/>
        </w:rPr>
        <w:t>)</w:t>
      </w:r>
      <w:r w:rsidRPr="004D0CC2">
        <w:rPr>
          <w:rFonts w:ascii="Times New Roman" w:eastAsia="Times New Roman" w:hAnsi="Times New Roman"/>
          <w:color w:val="000000" w:themeColor="text1"/>
        </w:rPr>
        <w:t>. Toxic chemicals released into the air, water, and soil enter the food chain, causing amplification and toxicity to plants and animals at every stage of the chain</w:t>
      </w:r>
      <w:r w:rsidR="00E5749A" w:rsidRPr="004D0CC2">
        <w:rPr>
          <w:rFonts w:ascii="Times New Roman" w:eastAsia="Times New Roman" w:hAnsi="Times New Roman"/>
          <w:color w:val="000000" w:themeColor="text1"/>
        </w:rPr>
        <w:t xml:space="preserve"> </w:t>
      </w:r>
      <w:r w:rsidR="00F83E9C" w:rsidRPr="004D0CC2">
        <w:rPr>
          <w:rFonts w:ascii="Times New Roman" w:eastAsia="Times New Roman" w:hAnsi="Times New Roman"/>
          <w:color w:val="000000" w:themeColor="text1"/>
        </w:rPr>
        <w:t>(</w:t>
      </w:r>
      <w:r w:rsidR="001A78BD" w:rsidRPr="004D0CC2">
        <w:rPr>
          <w:rFonts w:ascii="Times New Roman" w:eastAsia="Times New Roman" w:hAnsi="Times New Roman"/>
          <w:color w:val="000000" w:themeColor="text1"/>
        </w:rPr>
        <w:t>Wild et al., 2020;</w:t>
      </w:r>
      <w:r w:rsidR="001A78BD" w:rsidRPr="004D0CC2">
        <w:rPr>
          <w:rFonts w:ascii="Times New Roman" w:hAnsi="Times New Roman"/>
          <w:color w:val="000000" w:themeColor="text1"/>
        </w:rPr>
        <w:t xml:space="preserve"> Khattak et al., 2025</w:t>
      </w:r>
      <w:r w:rsidR="00F83E9C" w:rsidRPr="004D0CC2">
        <w:rPr>
          <w:rFonts w:ascii="Times New Roman" w:eastAsia="Times New Roman" w:hAnsi="Times New Roman"/>
          <w:color w:val="000000" w:themeColor="text1"/>
        </w:rPr>
        <w:t>)</w:t>
      </w:r>
      <w:r w:rsidRPr="004D0CC2">
        <w:rPr>
          <w:rFonts w:ascii="Times New Roman" w:eastAsia="Times New Roman" w:hAnsi="Times New Roman"/>
          <w:color w:val="000000" w:themeColor="text1"/>
        </w:rPr>
        <w:t xml:space="preserve">. By entering into the biological system, they disturb the biochemical processes leading to several health abnormalities and few can be fatal in </w:t>
      </w:r>
      <w:r w:rsidRPr="004D0CC2">
        <w:rPr>
          <w:rFonts w:ascii="Times New Roman" w:eastAsia="Times New Roman" w:hAnsi="Times New Roman"/>
          <w:color w:val="000000" w:themeColor="text1"/>
        </w:rPr>
        <w:lastRenderedPageBreak/>
        <w:t>consequences</w:t>
      </w:r>
      <w:r w:rsidR="00E5749A" w:rsidRPr="004D0CC2">
        <w:rPr>
          <w:rFonts w:ascii="Times New Roman" w:eastAsia="Times New Roman" w:hAnsi="Times New Roman"/>
          <w:color w:val="000000" w:themeColor="text1"/>
        </w:rPr>
        <w:t xml:space="preserve"> </w:t>
      </w:r>
      <w:r w:rsidR="00F83E9C" w:rsidRPr="004D0CC2">
        <w:rPr>
          <w:rFonts w:ascii="Times New Roman" w:eastAsia="Times New Roman" w:hAnsi="Times New Roman"/>
          <w:color w:val="000000" w:themeColor="text1"/>
        </w:rPr>
        <w:t>(</w:t>
      </w:r>
      <w:r w:rsidR="001A78BD" w:rsidRPr="004D0CC2">
        <w:rPr>
          <w:rFonts w:ascii="Times New Roman" w:hAnsi="Times New Roman"/>
          <w:color w:val="000000" w:themeColor="text1"/>
          <w:shd w:val="clear" w:color="auto" w:fill="FFFFFF"/>
        </w:rPr>
        <w:t>Steffan et al., 2018</w:t>
      </w:r>
      <w:r w:rsidR="00F83E9C" w:rsidRPr="004D0CC2">
        <w:rPr>
          <w:rFonts w:ascii="Times New Roman" w:eastAsia="Times New Roman" w:hAnsi="Times New Roman"/>
          <w:color w:val="000000" w:themeColor="text1"/>
        </w:rPr>
        <w:t>)</w:t>
      </w:r>
      <w:r w:rsidRPr="004D0CC2">
        <w:rPr>
          <w:rFonts w:ascii="Times New Roman" w:eastAsia="Times New Roman" w:hAnsi="Times New Roman"/>
          <w:color w:val="000000" w:themeColor="text1"/>
        </w:rPr>
        <w:t xml:space="preserve">. Besides the parent material, the sources of contamination in soils are </w:t>
      </w:r>
      <w:r w:rsidR="00CD0F55" w:rsidRPr="004D0CC2">
        <w:rPr>
          <w:rFonts w:ascii="Times New Roman" w:eastAsia="Times New Roman" w:hAnsi="Times New Roman"/>
          <w:color w:val="000000" w:themeColor="text1"/>
        </w:rPr>
        <w:t>multifarious including</w:t>
      </w:r>
      <w:r w:rsidRPr="004D0CC2">
        <w:rPr>
          <w:rFonts w:ascii="Times New Roman" w:eastAsia="Times New Roman" w:hAnsi="Times New Roman"/>
          <w:color w:val="000000" w:themeColor="text1"/>
        </w:rPr>
        <w:t xml:space="preserve"> </w:t>
      </w:r>
      <w:r w:rsidR="004540F1" w:rsidRPr="004D0CC2">
        <w:rPr>
          <w:rFonts w:ascii="Times New Roman" w:hAnsi="Times New Roman"/>
          <w:color w:val="000000" w:themeColor="text1"/>
          <w:shd w:val="clear" w:color="auto" w:fill="FFFFFF"/>
        </w:rPr>
        <w:t>vehicle emissions, industrial processes, weed, and plant disease treatment, as well as poor waste management</w:t>
      </w:r>
      <w:r w:rsidR="00CD0F55" w:rsidRPr="004D0CC2">
        <w:rPr>
          <w:rFonts w:ascii="Times New Roman" w:hAnsi="Times New Roman"/>
          <w:color w:val="000000" w:themeColor="text1"/>
          <w:shd w:val="clear" w:color="auto" w:fill="FFFFFF"/>
        </w:rPr>
        <w:t xml:space="preserve"> </w:t>
      </w:r>
      <w:r w:rsidR="004540F1" w:rsidRPr="004D0CC2">
        <w:rPr>
          <w:rFonts w:ascii="Times New Roman" w:hAnsi="Times New Roman"/>
          <w:color w:val="000000" w:themeColor="text1"/>
          <w:shd w:val="clear" w:color="auto" w:fill="FFFFFF"/>
        </w:rPr>
        <w:t>(Liu et al., 2023).</w:t>
      </w:r>
      <w:r w:rsidR="00CD0F55" w:rsidRPr="004D0CC2">
        <w:rPr>
          <w:rFonts w:ascii="Times New Roman" w:hAnsi="Times New Roman"/>
          <w:color w:val="000000" w:themeColor="text1"/>
          <w:shd w:val="clear" w:color="auto" w:fill="FFFFFF"/>
        </w:rPr>
        <w:t xml:space="preserve"> Also,</w:t>
      </w:r>
      <w:r w:rsidR="004540F1" w:rsidRPr="004D0CC2">
        <w:rPr>
          <w:rFonts w:ascii="Times New Roman" w:hAnsi="Times New Roman"/>
          <w:color w:val="000000" w:themeColor="text1"/>
          <w:shd w:val="clear" w:color="auto" w:fill="FFFFFF"/>
        </w:rPr>
        <w:t xml:space="preserve"> </w:t>
      </w:r>
      <w:r w:rsidRPr="004D0CC2">
        <w:rPr>
          <w:rFonts w:ascii="Times New Roman" w:eastAsia="Times New Roman" w:hAnsi="Times New Roman"/>
          <w:color w:val="000000" w:themeColor="text1"/>
        </w:rPr>
        <w:t>agricultural activities</w:t>
      </w:r>
      <w:r w:rsidR="00CD0F55" w:rsidRPr="004D0CC2">
        <w:rPr>
          <w:rFonts w:ascii="Times New Roman" w:eastAsia="Times New Roman" w:hAnsi="Times New Roman"/>
          <w:color w:val="000000" w:themeColor="text1"/>
        </w:rPr>
        <w:t xml:space="preserve"> </w:t>
      </w:r>
      <w:r w:rsidRPr="004D0CC2">
        <w:rPr>
          <w:rFonts w:ascii="Times New Roman" w:eastAsia="Times New Roman" w:hAnsi="Times New Roman"/>
          <w:color w:val="000000" w:themeColor="text1"/>
        </w:rPr>
        <w:t>(herbicide, pesticide)</w:t>
      </w:r>
      <w:r w:rsidR="004540F1" w:rsidRPr="004D0CC2">
        <w:rPr>
          <w:rFonts w:ascii="Times New Roman" w:eastAsia="Times New Roman" w:hAnsi="Times New Roman"/>
          <w:color w:val="000000" w:themeColor="text1"/>
        </w:rPr>
        <w:t xml:space="preserve"> contribute to soil pollution</w:t>
      </w:r>
      <w:r w:rsidR="00CD0F55" w:rsidRPr="004D0CC2">
        <w:rPr>
          <w:rFonts w:ascii="Times New Roman" w:eastAsia="Times New Roman" w:hAnsi="Times New Roman"/>
          <w:color w:val="000000" w:themeColor="text1"/>
        </w:rPr>
        <w:t xml:space="preserve"> </w:t>
      </w:r>
      <w:r w:rsidR="00F83E9C" w:rsidRPr="004D0CC2">
        <w:rPr>
          <w:rFonts w:ascii="Times New Roman" w:eastAsia="Times New Roman" w:hAnsi="Times New Roman"/>
          <w:color w:val="000000" w:themeColor="text1"/>
        </w:rPr>
        <w:t>(</w:t>
      </w:r>
      <w:r w:rsidR="004540F1" w:rsidRPr="004D0CC2">
        <w:rPr>
          <w:rFonts w:ascii="Times New Roman" w:hAnsi="Times New Roman"/>
          <w:color w:val="000000" w:themeColor="text1"/>
        </w:rPr>
        <w:t xml:space="preserve">Rajak et al., 2023; </w:t>
      </w:r>
      <w:r w:rsidR="004540F1" w:rsidRPr="004D0CC2">
        <w:rPr>
          <w:rFonts w:ascii="Times New Roman" w:hAnsi="Times New Roman"/>
          <w:color w:val="000000" w:themeColor="text1"/>
          <w:shd w:val="clear" w:color="auto" w:fill="FFFFFF"/>
        </w:rPr>
        <w:t>Srivastava</w:t>
      </w:r>
      <w:r w:rsidR="00CD0F55" w:rsidRPr="004D0CC2">
        <w:rPr>
          <w:rFonts w:ascii="Times New Roman" w:hAnsi="Times New Roman"/>
          <w:color w:val="000000" w:themeColor="text1"/>
          <w:shd w:val="clear" w:color="auto" w:fill="FFFFFF"/>
        </w:rPr>
        <w:t xml:space="preserve"> </w:t>
      </w:r>
      <w:r w:rsidR="004540F1" w:rsidRPr="004D0CC2">
        <w:rPr>
          <w:rFonts w:ascii="Times New Roman" w:hAnsi="Times New Roman"/>
          <w:color w:val="000000" w:themeColor="text1"/>
          <w:shd w:val="clear" w:color="auto" w:fill="FFFFFF"/>
        </w:rPr>
        <w:t>et al., 2025</w:t>
      </w:r>
      <w:r w:rsidR="00F83E9C" w:rsidRPr="004D0CC2">
        <w:rPr>
          <w:rFonts w:ascii="Times New Roman" w:eastAsia="Times New Roman" w:hAnsi="Times New Roman"/>
          <w:color w:val="000000" w:themeColor="text1"/>
        </w:rPr>
        <w:t>)</w:t>
      </w:r>
      <w:r w:rsidR="004540F1" w:rsidRPr="004D0CC2">
        <w:rPr>
          <w:rFonts w:ascii="Times New Roman" w:eastAsia="Times New Roman" w:hAnsi="Times New Roman"/>
          <w:color w:val="000000" w:themeColor="text1"/>
        </w:rPr>
        <w:t>.</w:t>
      </w:r>
      <w:r w:rsidRPr="004D0CC2">
        <w:rPr>
          <w:rFonts w:ascii="Times New Roman" w:eastAsia="Times New Roman" w:hAnsi="Times New Roman"/>
          <w:color w:val="000000" w:themeColor="text1"/>
        </w:rPr>
        <w:t xml:space="preserve"> The high levels of civilization-related soil pollution have recently become a major issue and the chemical analysis of soil is important for environmental monitoring and legislation (</w:t>
      </w:r>
      <w:r w:rsidR="00692628" w:rsidRPr="004D0CC2">
        <w:rPr>
          <w:rFonts w:ascii="Times New Roman" w:hAnsi="Times New Roman"/>
          <w:color w:val="000000" w:themeColor="text1"/>
        </w:rPr>
        <w:t>Williams et al., 2023</w:t>
      </w:r>
      <w:r w:rsidRPr="004D0CC2">
        <w:rPr>
          <w:rFonts w:ascii="Times New Roman" w:eastAsia="Times New Roman" w:hAnsi="Times New Roman"/>
          <w:color w:val="000000" w:themeColor="text1"/>
        </w:rPr>
        <w:t>). Heavy metal contamination in soil o</w:t>
      </w:r>
      <w:r w:rsidR="00692628" w:rsidRPr="004D0CC2">
        <w:rPr>
          <w:rFonts w:ascii="Times New Roman" w:eastAsia="Times New Roman" w:hAnsi="Times New Roman"/>
          <w:color w:val="000000" w:themeColor="text1"/>
        </w:rPr>
        <w:t>ccurs in all parts of the world</w:t>
      </w:r>
      <w:r w:rsidRPr="004D0CC2">
        <w:rPr>
          <w:rFonts w:ascii="Times New Roman" w:eastAsia="Times New Roman" w:hAnsi="Times New Roman"/>
          <w:color w:val="000000" w:themeColor="text1"/>
        </w:rPr>
        <w:t xml:space="preserve"> (</w:t>
      </w:r>
      <w:r w:rsidR="006047D2" w:rsidRPr="004D0CC2">
        <w:rPr>
          <w:rFonts w:ascii="Times New Roman" w:hAnsi="Times New Roman"/>
          <w:color w:val="000000" w:themeColor="text1"/>
        </w:rPr>
        <w:t>Hou et al., 2020</w:t>
      </w:r>
      <w:r w:rsidRPr="004D0CC2">
        <w:rPr>
          <w:rFonts w:ascii="Times New Roman" w:eastAsia="Times New Roman" w:hAnsi="Times New Roman"/>
          <w:color w:val="000000" w:themeColor="text1"/>
        </w:rPr>
        <w:t>).</w:t>
      </w:r>
      <w:r w:rsidR="00E5749A" w:rsidRPr="004D0CC2">
        <w:rPr>
          <w:rFonts w:ascii="Times New Roman" w:eastAsia="Times New Roman" w:hAnsi="Times New Roman"/>
          <w:color w:val="000000" w:themeColor="text1"/>
        </w:rPr>
        <w:t xml:space="preserve"> </w:t>
      </w:r>
      <w:r w:rsidRPr="004D0CC2">
        <w:rPr>
          <w:rFonts w:ascii="Times New Roman" w:eastAsia="Times New Roman" w:hAnsi="Times New Roman"/>
          <w:color w:val="000000" w:themeColor="text1"/>
        </w:rPr>
        <w:t>Additionally, it harms ecosystems by acidifying streams and lakes, which causes an imbalance in aquatic life</w:t>
      </w:r>
      <w:r w:rsidR="00E5749A" w:rsidRPr="004D0CC2">
        <w:rPr>
          <w:rFonts w:ascii="Times New Roman" w:eastAsia="Times New Roman" w:hAnsi="Times New Roman"/>
          <w:color w:val="000000" w:themeColor="text1"/>
        </w:rPr>
        <w:t xml:space="preserve"> </w:t>
      </w:r>
      <w:r w:rsidR="00F83E9C" w:rsidRPr="004D0CC2">
        <w:rPr>
          <w:rFonts w:ascii="Times New Roman" w:eastAsia="Times New Roman" w:hAnsi="Times New Roman"/>
          <w:color w:val="000000" w:themeColor="text1"/>
        </w:rPr>
        <w:t>(</w:t>
      </w:r>
      <w:r w:rsidR="006047D2" w:rsidRPr="004D0CC2">
        <w:rPr>
          <w:rFonts w:ascii="Times New Roman" w:hAnsi="Times New Roman"/>
          <w:color w:val="000000" w:themeColor="text1"/>
          <w:shd w:val="clear" w:color="auto" w:fill="FFFFFF"/>
        </w:rPr>
        <w:t>Toivonen et al., 2020</w:t>
      </w:r>
      <w:r w:rsidR="00F83E9C" w:rsidRPr="004D0CC2">
        <w:rPr>
          <w:rFonts w:ascii="Times New Roman" w:eastAsia="Times New Roman" w:hAnsi="Times New Roman"/>
          <w:color w:val="000000" w:themeColor="text1"/>
        </w:rPr>
        <w:t>)</w:t>
      </w:r>
      <w:r w:rsidRPr="004D0CC2">
        <w:rPr>
          <w:rFonts w:ascii="Times New Roman" w:eastAsia="Times New Roman" w:hAnsi="Times New Roman"/>
          <w:color w:val="000000" w:themeColor="text1"/>
        </w:rPr>
        <w:t xml:space="preserve">. </w:t>
      </w:r>
      <w:r w:rsidR="006047D2" w:rsidRPr="004D0CC2">
        <w:rPr>
          <w:rFonts w:ascii="Times New Roman" w:eastAsia="Times New Roman" w:hAnsi="Times New Roman"/>
          <w:color w:val="000000" w:themeColor="text1"/>
        </w:rPr>
        <w:t xml:space="preserve">Further </w:t>
      </w:r>
      <w:r w:rsidRPr="004D0CC2">
        <w:rPr>
          <w:rFonts w:ascii="Times New Roman" w:eastAsia="Times New Roman" w:hAnsi="Times New Roman"/>
          <w:color w:val="000000" w:themeColor="text1"/>
        </w:rPr>
        <w:t>it depletes soil of essential nutrients, endangering forests</w:t>
      </w:r>
      <w:r w:rsidR="004F636C" w:rsidRPr="004D0CC2">
        <w:rPr>
          <w:rFonts w:ascii="Times New Roman" w:eastAsia="Times New Roman" w:hAnsi="Times New Roman"/>
          <w:color w:val="000000" w:themeColor="text1"/>
        </w:rPr>
        <w:t xml:space="preserve"> </w:t>
      </w:r>
      <w:r w:rsidR="006047D2" w:rsidRPr="004D0CC2">
        <w:rPr>
          <w:rFonts w:ascii="Times New Roman" w:eastAsia="Times New Roman" w:hAnsi="Times New Roman"/>
          <w:color w:val="000000" w:themeColor="text1"/>
        </w:rPr>
        <w:t>(</w:t>
      </w:r>
      <w:r w:rsidR="006047D2" w:rsidRPr="004D0CC2">
        <w:rPr>
          <w:rFonts w:ascii="Times New Roman" w:hAnsi="Times New Roman"/>
          <w:color w:val="000000" w:themeColor="text1"/>
        </w:rPr>
        <w:t>Skidmore et al., 2024</w:t>
      </w:r>
      <w:r w:rsidR="006047D2" w:rsidRPr="004D0CC2">
        <w:rPr>
          <w:rFonts w:ascii="Times New Roman" w:eastAsia="Times New Roman" w:hAnsi="Times New Roman"/>
          <w:color w:val="000000" w:themeColor="text1"/>
        </w:rPr>
        <w:t>)</w:t>
      </w:r>
      <w:r w:rsidRPr="004D0CC2">
        <w:rPr>
          <w:rFonts w:ascii="Times New Roman" w:eastAsia="Times New Roman" w:hAnsi="Times New Roman"/>
          <w:color w:val="000000" w:themeColor="text1"/>
        </w:rPr>
        <w:t>.</w:t>
      </w:r>
      <w:r w:rsidR="00F83E9C" w:rsidRPr="004D0CC2">
        <w:rPr>
          <w:rFonts w:ascii="Times New Roman" w:eastAsia="Times New Roman" w:hAnsi="Times New Roman"/>
          <w:color w:val="000000" w:themeColor="text1"/>
        </w:rPr>
        <w:t xml:space="preserve"> </w:t>
      </w:r>
      <w:r w:rsidR="00CB6257" w:rsidRPr="004D0CC2">
        <w:rPr>
          <w:rFonts w:ascii="Times New Roman" w:eastAsia="Times New Roman" w:hAnsi="Times New Roman"/>
          <w:color w:val="000000" w:themeColor="text1"/>
        </w:rPr>
        <w:t>Also,</w:t>
      </w:r>
      <w:r w:rsidRPr="004D0CC2">
        <w:rPr>
          <w:rFonts w:ascii="Times New Roman" w:eastAsia="Times New Roman" w:hAnsi="Times New Roman"/>
          <w:color w:val="000000" w:themeColor="text1"/>
        </w:rPr>
        <w:t xml:space="preserve"> </w:t>
      </w:r>
      <w:r w:rsidR="00F83E9C" w:rsidRPr="004D0CC2">
        <w:rPr>
          <w:rFonts w:ascii="Times New Roman" w:eastAsia="Times New Roman" w:hAnsi="Times New Roman"/>
          <w:color w:val="000000" w:themeColor="text1"/>
        </w:rPr>
        <w:t xml:space="preserve">it </w:t>
      </w:r>
      <w:r w:rsidRPr="004D0CC2">
        <w:rPr>
          <w:rFonts w:ascii="Times New Roman" w:eastAsia="Times New Roman" w:hAnsi="Times New Roman"/>
          <w:color w:val="000000" w:themeColor="text1"/>
        </w:rPr>
        <w:t>reduces visibility and creates breathing problems in humans</w:t>
      </w:r>
      <w:r w:rsidR="00E5749A" w:rsidRPr="004D0CC2">
        <w:rPr>
          <w:rFonts w:ascii="Times New Roman" w:eastAsia="Times New Roman" w:hAnsi="Times New Roman"/>
          <w:color w:val="000000" w:themeColor="text1"/>
        </w:rPr>
        <w:t xml:space="preserve"> </w:t>
      </w:r>
      <w:r w:rsidR="00F83E9C" w:rsidRPr="004D0CC2">
        <w:rPr>
          <w:rFonts w:ascii="Times New Roman" w:eastAsia="Times New Roman" w:hAnsi="Times New Roman"/>
          <w:color w:val="000000" w:themeColor="text1"/>
        </w:rPr>
        <w:t>(</w:t>
      </w:r>
      <w:r w:rsidR="00D3621B">
        <w:rPr>
          <w:rFonts w:ascii="Times New Roman" w:hAnsi="Times New Roman"/>
          <w:color w:val="000000" w:themeColor="text1"/>
          <w:shd w:val="clear" w:color="auto" w:fill="FFFFFF"/>
        </w:rPr>
        <w:t>Tong</w:t>
      </w:r>
      <w:r w:rsidR="00CB6257" w:rsidRPr="004D0CC2">
        <w:rPr>
          <w:rFonts w:ascii="Times New Roman" w:hAnsi="Times New Roman"/>
          <w:color w:val="000000" w:themeColor="text1"/>
          <w:shd w:val="clear" w:color="auto" w:fill="FFFFFF"/>
        </w:rPr>
        <w:t xml:space="preserve"> et al.</w:t>
      </w:r>
      <w:r w:rsidR="006047D2" w:rsidRPr="004D0CC2">
        <w:rPr>
          <w:rFonts w:ascii="Times New Roman" w:hAnsi="Times New Roman"/>
          <w:i/>
          <w:iCs/>
          <w:color w:val="000000" w:themeColor="text1"/>
          <w:shd w:val="clear" w:color="auto" w:fill="FFFFFF"/>
        </w:rPr>
        <w:t>,</w:t>
      </w:r>
      <w:r w:rsidR="006047D2" w:rsidRPr="004D0CC2">
        <w:rPr>
          <w:rFonts w:ascii="Times New Roman" w:hAnsi="Times New Roman"/>
          <w:color w:val="000000" w:themeColor="text1"/>
          <w:shd w:val="clear" w:color="auto" w:fill="FFFFFF"/>
        </w:rPr>
        <w:t xml:space="preserve"> 2023</w:t>
      </w:r>
      <w:r w:rsidR="00F83E9C" w:rsidRPr="004D0CC2">
        <w:rPr>
          <w:rFonts w:ascii="Times New Roman" w:eastAsia="Times New Roman" w:hAnsi="Times New Roman"/>
          <w:color w:val="000000" w:themeColor="text1"/>
        </w:rPr>
        <w:t>)</w:t>
      </w:r>
      <w:r w:rsidRPr="004D0CC2">
        <w:rPr>
          <w:rFonts w:ascii="Times New Roman" w:eastAsia="Times New Roman" w:hAnsi="Times New Roman"/>
          <w:color w:val="000000" w:themeColor="text1"/>
        </w:rPr>
        <w:t xml:space="preserve">. In addition to soil </w:t>
      </w:r>
      <w:r w:rsidR="004B00ED" w:rsidRPr="004D0CC2">
        <w:rPr>
          <w:rFonts w:ascii="Times New Roman" w:eastAsia="Times New Roman" w:hAnsi="Times New Roman"/>
          <w:color w:val="000000" w:themeColor="text1"/>
        </w:rPr>
        <w:t>p</w:t>
      </w:r>
      <w:r w:rsidRPr="00780754">
        <w:rPr>
          <w:rFonts w:ascii="Times New Roman" w:eastAsia="Times New Roman" w:hAnsi="Times New Roman"/>
          <w:color w:val="000000" w:themeColor="text1"/>
        </w:rPr>
        <w:t>H</w:t>
      </w:r>
      <w:r w:rsidRPr="004D0CC2">
        <w:rPr>
          <w:rFonts w:ascii="Times New Roman" w:eastAsia="Times New Roman" w:hAnsi="Times New Roman"/>
          <w:color w:val="000000" w:themeColor="text1"/>
        </w:rPr>
        <w:t>, which indicates how basic or acidic a soil is, soil research also looks into macronutrients, particularly nitrogen, phosphorus, and potassium (NPK)</w:t>
      </w:r>
      <w:r w:rsidR="00CB6257" w:rsidRPr="004D0CC2">
        <w:rPr>
          <w:rFonts w:ascii="Times New Roman" w:eastAsia="Times New Roman" w:hAnsi="Times New Roman"/>
          <w:color w:val="000000" w:themeColor="text1"/>
        </w:rPr>
        <w:t xml:space="preserve"> </w:t>
      </w:r>
      <w:r w:rsidR="00F83E9C" w:rsidRPr="004D0CC2">
        <w:rPr>
          <w:rFonts w:ascii="Times New Roman" w:eastAsia="Times New Roman" w:hAnsi="Times New Roman"/>
          <w:color w:val="000000" w:themeColor="text1"/>
        </w:rPr>
        <w:t>(</w:t>
      </w:r>
      <w:r w:rsidR="00D3621B">
        <w:rPr>
          <w:rFonts w:ascii="Times New Roman" w:hAnsi="Times New Roman"/>
          <w:color w:val="000000" w:themeColor="text1"/>
        </w:rPr>
        <w:t>Parjono</w:t>
      </w:r>
      <w:r w:rsidR="00AA2825">
        <w:rPr>
          <w:rFonts w:ascii="Times New Roman" w:hAnsi="Times New Roman"/>
          <w:color w:val="000000" w:themeColor="text1"/>
        </w:rPr>
        <w:t>,</w:t>
      </w:r>
      <w:r w:rsidR="00D3621B">
        <w:rPr>
          <w:rFonts w:ascii="Times New Roman" w:hAnsi="Times New Roman"/>
          <w:color w:val="000000" w:themeColor="text1"/>
        </w:rPr>
        <w:t xml:space="preserve"> </w:t>
      </w:r>
      <w:r w:rsidR="00AC603D" w:rsidRPr="004D0CC2">
        <w:rPr>
          <w:rFonts w:ascii="Times New Roman" w:hAnsi="Times New Roman"/>
          <w:color w:val="000000" w:themeColor="text1"/>
        </w:rPr>
        <w:t>2019</w:t>
      </w:r>
      <w:r w:rsidR="00F83E9C" w:rsidRPr="004D0CC2">
        <w:rPr>
          <w:rFonts w:ascii="Times New Roman" w:eastAsia="Times New Roman" w:hAnsi="Times New Roman"/>
          <w:color w:val="000000" w:themeColor="text1"/>
        </w:rPr>
        <w:t>)</w:t>
      </w:r>
      <w:r w:rsidRPr="004D0CC2">
        <w:rPr>
          <w:rFonts w:ascii="Times New Roman" w:eastAsia="Times New Roman" w:hAnsi="Times New Roman"/>
          <w:color w:val="000000" w:themeColor="text1"/>
        </w:rPr>
        <w:t>. By regulating the chemical forms of the nutrient, it particularly influences the availability of nutrients to plants</w:t>
      </w:r>
      <w:r w:rsidR="00E5749A" w:rsidRPr="004D0CC2">
        <w:rPr>
          <w:rFonts w:ascii="Times New Roman" w:eastAsia="Times New Roman" w:hAnsi="Times New Roman"/>
          <w:color w:val="000000" w:themeColor="text1"/>
        </w:rPr>
        <w:t xml:space="preserve"> </w:t>
      </w:r>
      <w:r w:rsidR="00F83E9C" w:rsidRPr="004D0CC2">
        <w:rPr>
          <w:rFonts w:ascii="Times New Roman" w:eastAsia="Times New Roman" w:hAnsi="Times New Roman"/>
          <w:color w:val="000000" w:themeColor="text1"/>
        </w:rPr>
        <w:t>(</w:t>
      </w:r>
      <w:r w:rsidR="00AC603D" w:rsidRPr="004D0CC2">
        <w:rPr>
          <w:rFonts w:ascii="Times New Roman" w:hAnsi="Times New Roman"/>
          <w:color w:val="000000" w:themeColor="text1"/>
        </w:rPr>
        <w:t>Chen</w:t>
      </w:r>
      <w:r w:rsidR="003516D0">
        <w:rPr>
          <w:rFonts w:ascii="Times New Roman" w:hAnsi="Times New Roman"/>
          <w:color w:val="000000" w:themeColor="text1"/>
        </w:rPr>
        <w:t xml:space="preserve"> </w:t>
      </w:r>
      <w:r w:rsidR="00AC603D" w:rsidRPr="004D0CC2">
        <w:rPr>
          <w:rFonts w:ascii="Times New Roman" w:hAnsi="Times New Roman"/>
          <w:color w:val="000000" w:themeColor="text1"/>
        </w:rPr>
        <w:t>et al., 2025</w:t>
      </w:r>
      <w:r w:rsidR="00F83E9C" w:rsidRPr="004D0CC2">
        <w:rPr>
          <w:rFonts w:ascii="Times New Roman" w:eastAsia="Times New Roman" w:hAnsi="Times New Roman"/>
          <w:color w:val="000000" w:themeColor="text1"/>
        </w:rPr>
        <w:t>)</w:t>
      </w:r>
      <w:r w:rsidRPr="004D0CC2">
        <w:rPr>
          <w:rFonts w:ascii="Times New Roman" w:eastAsia="Times New Roman" w:hAnsi="Times New Roman"/>
          <w:color w:val="000000" w:themeColor="text1"/>
        </w:rPr>
        <w:t>. The biological characteristics and processes of soil exhibit significant interaction with chemical indicators of soil quality. Total carbon and nitrogen, pH, electrical conductivity, cation exchange capacity (CEC), and extractable nitrogen and phosphorus are examples of chemical markers of soil quality</w:t>
      </w:r>
      <w:r w:rsidR="001C5847" w:rsidRPr="004D0CC2">
        <w:rPr>
          <w:rFonts w:ascii="Times New Roman" w:eastAsia="Times New Roman" w:hAnsi="Times New Roman"/>
          <w:color w:val="000000" w:themeColor="text1"/>
        </w:rPr>
        <w:t xml:space="preserve"> </w:t>
      </w:r>
      <w:r w:rsidR="00F83E9C" w:rsidRPr="004D0CC2">
        <w:rPr>
          <w:rFonts w:ascii="Times New Roman" w:eastAsia="Times New Roman" w:hAnsi="Times New Roman"/>
          <w:color w:val="000000" w:themeColor="text1"/>
        </w:rPr>
        <w:t>(</w:t>
      </w:r>
      <w:r w:rsidR="00D3621B">
        <w:rPr>
          <w:rFonts w:ascii="Times New Roman" w:hAnsi="Times New Roman"/>
          <w:color w:val="000000" w:themeColor="text1"/>
        </w:rPr>
        <w:t>Rocha Junior</w:t>
      </w:r>
      <w:r w:rsidR="00AC603D" w:rsidRPr="004D0CC2">
        <w:rPr>
          <w:rFonts w:ascii="Times New Roman" w:hAnsi="Times New Roman"/>
          <w:color w:val="000000" w:themeColor="text1"/>
        </w:rPr>
        <w:t xml:space="preserve"> </w:t>
      </w:r>
      <w:r w:rsidR="001C5847" w:rsidRPr="004D0CC2">
        <w:rPr>
          <w:rFonts w:ascii="Times New Roman" w:hAnsi="Times New Roman"/>
          <w:color w:val="000000" w:themeColor="text1"/>
        </w:rPr>
        <w:t>et al</w:t>
      </w:r>
      <w:r w:rsidR="00AC603D" w:rsidRPr="004D0CC2">
        <w:rPr>
          <w:rFonts w:ascii="Times New Roman" w:hAnsi="Times New Roman"/>
          <w:color w:val="000000" w:themeColor="text1"/>
        </w:rPr>
        <w:t>., 2020;</w:t>
      </w:r>
      <w:r w:rsidR="00AC603D" w:rsidRPr="004D0CC2">
        <w:rPr>
          <w:rFonts w:ascii="Times New Roman" w:hAnsi="Times New Roman"/>
          <w:color w:val="000000" w:themeColor="text1"/>
          <w:shd w:val="clear" w:color="auto" w:fill="FFFFFF"/>
        </w:rPr>
        <w:t xml:space="preserve"> Andrés</w:t>
      </w:r>
      <w:r w:rsidR="00D3621B">
        <w:rPr>
          <w:rFonts w:ascii="Times New Roman" w:hAnsi="Times New Roman"/>
          <w:color w:val="000000" w:themeColor="text1"/>
          <w:shd w:val="clear" w:color="auto" w:fill="FFFFFF"/>
        </w:rPr>
        <w:t xml:space="preserve"> </w:t>
      </w:r>
      <w:r w:rsidR="00BD1111" w:rsidRPr="004D0CC2">
        <w:rPr>
          <w:rFonts w:ascii="Times New Roman" w:hAnsi="Times New Roman"/>
          <w:color w:val="000000" w:themeColor="text1"/>
          <w:shd w:val="clear" w:color="auto" w:fill="FFFFFF"/>
        </w:rPr>
        <w:t>et al</w:t>
      </w:r>
      <w:r w:rsidR="00AC603D" w:rsidRPr="004D0CC2">
        <w:rPr>
          <w:rFonts w:ascii="Times New Roman" w:hAnsi="Times New Roman"/>
          <w:color w:val="000000" w:themeColor="text1"/>
          <w:shd w:val="clear" w:color="auto" w:fill="FFFFFF"/>
        </w:rPr>
        <w:t xml:space="preserve">., 2022). Firm </w:t>
      </w:r>
      <w:r w:rsidRPr="004D0CC2">
        <w:rPr>
          <w:rFonts w:ascii="Times New Roman" w:eastAsia="Times New Roman" w:hAnsi="Times New Roman"/>
          <w:color w:val="000000" w:themeColor="text1"/>
        </w:rPr>
        <w:t>understanding of environmental contamination and find solutions for sustainable crop production and land management, it is essential to measure and monitor soil health (</w:t>
      </w:r>
      <w:r w:rsidR="00AC603D" w:rsidRPr="004D0CC2">
        <w:rPr>
          <w:rFonts w:ascii="Times New Roman" w:hAnsi="Times New Roman"/>
          <w:color w:val="000000" w:themeColor="text1"/>
        </w:rPr>
        <w:t>Kabato et al., 2025</w:t>
      </w:r>
      <w:r w:rsidRPr="004D0CC2">
        <w:rPr>
          <w:rFonts w:ascii="Times New Roman" w:eastAsia="Times New Roman" w:hAnsi="Times New Roman"/>
          <w:color w:val="000000" w:themeColor="text1"/>
        </w:rPr>
        <w:t>). Basic plant nutrients including nitrogen (N), phosphorus (P2O5</w:t>
      </w:r>
      <w:r w:rsidR="008177E2" w:rsidRPr="004D0CC2">
        <w:rPr>
          <w:rFonts w:ascii="Times New Roman" w:eastAsia="Times New Roman" w:hAnsi="Times New Roman"/>
          <w:color w:val="000000" w:themeColor="text1"/>
        </w:rPr>
        <w:t>)</w:t>
      </w:r>
      <w:r w:rsidR="00BD1111" w:rsidRPr="004D0CC2">
        <w:rPr>
          <w:rFonts w:ascii="Times New Roman" w:eastAsia="Times New Roman" w:hAnsi="Times New Roman"/>
          <w:color w:val="000000" w:themeColor="text1"/>
        </w:rPr>
        <w:t xml:space="preserve"> </w:t>
      </w:r>
      <w:r w:rsidR="008177E2" w:rsidRPr="004D0CC2">
        <w:rPr>
          <w:rFonts w:ascii="Times New Roman" w:eastAsia="Times New Roman" w:hAnsi="Times New Roman"/>
          <w:color w:val="000000" w:themeColor="text1"/>
        </w:rPr>
        <w:t>(</w:t>
      </w:r>
      <w:r w:rsidR="008177E2" w:rsidRPr="004D0CC2">
        <w:rPr>
          <w:rFonts w:ascii="Times New Roman" w:hAnsi="Times New Roman"/>
          <w:color w:val="000000" w:themeColor="text1"/>
        </w:rPr>
        <w:t>Kumar</w:t>
      </w:r>
      <w:r w:rsidR="00D3621B">
        <w:rPr>
          <w:rFonts w:ascii="Times New Roman" w:hAnsi="Times New Roman"/>
          <w:color w:val="000000" w:themeColor="text1"/>
        </w:rPr>
        <w:t xml:space="preserve"> and</w:t>
      </w:r>
      <w:r w:rsidR="00BD1111" w:rsidRPr="004D0CC2">
        <w:rPr>
          <w:rFonts w:ascii="Times New Roman" w:hAnsi="Times New Roman"/>
          <w:color w:val="000000" w:themeColor="text1"/>
        </w:rPr>
        <w:t xml:space="preserve"> </w:t>
      </w:r>
      <w:r w:rsidR="008177E2" w:rsidRPr="004D0CC2">
        <w:rPr>
          <w:rFonts w:ascii="Times New Roman" w:hAnsi="Times New Roman"/>
          <w:color w:val="000000" w:themeColor="text1"/>
        </w:rPr>
        <w:t>Murali</w:t>
      </w:r>
      <w:r w:rsidR="00BD1111" w:rsidRPr="004D0CC2">
        <w:rPr>
          <w:rFonts w:ascii="Times New Roman" w:hAnsi="Times New Roman"/>
          <w:color w:val="000000" w:themeColor="text1"/>
        </w:rPr>
        <w:t>,</w:t>
      </w:r>
      <w:r w:rsidR="008177E2" w:rsidRPr="004D0CC2">
        <w:rPr>
          <w:rFonts w:ascii="Times New Roman" w:hAnsi="Times New Roman"/>
          <w:color w:val="000000" w:themeColor="text1"/>
        </w:rPr>
        <w:t xml:space="preserve"> 2023</w:t>
      </w:r>
      <w:r w:rsidRPr="004D0CC2">
        <w:rPr>
          <w:rFonts w:ascii="Times New Roman" w:eastAsia="Times New Roman" w:hAnsi="Times New Roman"/>
          <w:color w:val="000000" w:themeColor="text1"/>
        </w:rPr>
        <w:t>), potassium (K2O), humus content, calcium carbonate (CaCO3), accessible lime, organic matter, sulfur (S), and trace elements are all determined by analysis</w:t>
      </w:r>
      <w:r w:rsidR="00BD1111" w:rsidRPr="004D0CC2">
        <w:rPr>
          <w:rFonts w:ascii="Times New Roman" w:eastAsia="Times New Roman" w:hAnsi="Times New Roman"/>
          <w:color w:val="000000" w:themeColor="text1"/>
        </w:rPr>
        <w:t xml:space="preserve"> </w:t>
      </w:r>
      <w:r w:rsidR="00F83E9C" w:rsidRPr="004D0CC2">
        <w:rPr>
          <w:rFonts w:ascii="Times New Roman" w:eastAsia="Times New Roman" w:hAnsi="Times New Roman"/>
          <w:color w:val="000000" w:themeColor="text1"/>
        </w:rPr>
        <w:t>(</w:t>
      </w:r>
      <w:r w:rsidR="008177E2" w:rsidRPr="004D0CC2">
        <w:rPr>
          <w:rFonts w:ascii="Times New Roman" w:hAnsi="Times New Roman"/>
          <w:color w:val="000000" w:themeColor="text1"/>
        </w:rPr>
        <w:t xml:space="preserve">Grishin et al., 2021; </w:t>
      </w:r>
      <w:r w:rsidR="008177E2" w:rsidRPr="004D0CC2">
        <w:rPr>
          <w:rFonts w:ascii="Times New Roman" w:hAnsi="Times New Roman"/>
          <w:color w:val="000000" w:themeColor="text1"/>
          <w:shd w:val="clear" w:color="auto" w:fill="FFFFFF"/>
        </w:rPr>
        <w:t>Laoufi et al., 2025</w:t>
      </w:r>
      <w:r w:rsidR="00F83E9C" w:rsidRPr="004D0CC2">
        <w:rPr>
          <w:rFonts w:ascii="Times New Roman" w:eastAsia="Times New Roman" w:hAnsi="Times New Roman"/>
          <w:color w:val="000000" w:themeColor="text1"/>
        </w:rPr>
        <w:t>)</w:t>
      </w:r>
      <w:r w:rsidRPr="004D0CC2">
        <w:rPr>
          <w:rFonts w:ascii="Times New Roman" w:eastAsia="Times New Roman" w:hAnsi="Times New Roman"/>
          <w:color w:val="000000" w:themeColor="text1"/>
        </w:rPr>
        <w:t>. Since soils all over the world are discovered to be low in one or more micronutrients, micronutrient analysis in soil is becoming more and more crucial</w:t>
      </w:r>
      <w:r w:rsidR="00FF2EB5" w:rsidRPr="004D0CC2">
        <w:rPr>
          <w:rFonts w:ascii="Times New Roman" w:eastAsia="Times New Roman" w:hAnsi="Times New Roman"/>
          <w:color w:val="000000" w:themeColor="text1"/>
        </w:rPr>
        <w:t xml:space="preserve"> </w:t>
      </w:r>
      <w:r w:rsidR="00F83E9C" w:rsidRPr="004D0CC2">
        <w:rPr>
          <w:rFonts w:ascii="Times New Roman" w:eastAsia="Times New Roman" w:hAnsi="Times New Roman"/>
          <w:color w:val="000000" w:themeColor="text1"/>
        </w:rPr>
        <w:t>(</w:t>
      </w:r>
      <w:r w:rsidR="008177E2" w:rsidRPr="004D0CC2">
        <w:rPr>
          <w:rFonts w:ascii="Times New Roman" w:hAnsi="Times New Roman"/>
          <w:color w:val="000000" w:themeColor="text1"/>
        </w:rPr>
        <w:t>Sagwal et al., 2023</w:t>
      </w:r>
      <w:r w:rsidR="00F83E9C" w:rsidRPr="004D0CC2">
        <w:rPr>
          <w:rFonts w:ascii="Times New Roman" w:eastAsia="Times New Roman" w:hAnsi="Times New Roman"/>
          <w:color w:val="000000" w:themeColor="text1"/>
        </w:rPr>
        <w:t>)</w:t>
      </w:r>
      <w:r w:rsidRPr="004D0CC2">
        <w:rPr>
          <w:rFonts w:ascii="Times New Roman" w:eastAsia="Times New Roman" w:hAnsi="Times New Roman"/>
          <w:color w:val="000000" w:themeColor="text1"/>
        </w:rPr>
        <w:t>. Availability and proportion of micronutrients in the soil ensures higher farming productivity</w:t>
      </w:r>
      <w:r w:rsidR="00FF2EB5" w:rsidRPr="004D0CC2">
        <w:rPr>
          <w:rFonts w:ascii="Times New Roman" w:eastAsia="Times New Roman" w:hAnsi="Times New Roman"/>
          <w:color w:val="000000" w:themeColor="text1"/>
        </w:rPr>
        <w:t xml:space="preserve"> </w:t>
      </w:r>
      <w:r w:rsidR="00F83E9C" w:rsidRPr="004D0CC2">
        <w:rPr>
          <w:rFonts w:ascii="Times New Roman" w:eastAsia="Times New Roman" w:hAnsi="Times New Roman"/>
          <w:color w:val="000000" w:themeColor="text1"/>
        </w:rPr>
        <w:t>(</w:t>
      </w:r>
      <w:r w:rsidR="00D3621B">
        <w:rPr>
          <w:rFonts w:ascii="Times New Roman" w:hAnsi="Times New Roman"/>
          <w:color w:val="000000" w:themeColor="text1"/>
          <w:shd w:val="clear" w:color="auto" w:fill="FFFFFF"/>
        </w:rPr>
        <w:t>Galić</w:t>
      </w:r>
      <w:r w:rsidR="006939D2" w:rsidRPr="004D0CC2">
        <w:rPr>
          <w:rFonts w:ascii="Times New Roman" w:hAnsi="Times New Roman"/>
          <w:color w:val="000000" w:themeColor="text1"/>
          <w:shd w:val="clear" w:color="auto" w:fill="FFFFFF"/>
        </w:rPr>
        <w:t xml:space="preserve"> et al.,</w:t>
      </w:r>
      <w:r w:rsidR="00904E9C" w:rsidRPr="004D0CC2">
        <w:rPr>
          <w:rFonts w:ascii="Times New Roman" w:hAnsi="Times New Roman"/>
          <w:color w:val="000000" w:themeColor="text1"/>
          <w:shd w:val="clear" w:color="auto" w:fill="FFFFFF"/>
        </w:rPr>
        <w:t xml:space="preserve"> </w:t>
      </w:r>
      <w:r w:rsidR="006939D2" w:rsidRPr="004D0CC2">
        <w:rPr>
          <w:rFonts w:ascii="Times New Roman" w:hAnsi="Times New Roman"/>
          <w:color w:val="000000" w:themeColor="text1"/>
          <w:shd w:val="clear" w:color="auto" w:fill="FFFFFF"/>
        </w:rPr>
        <w:t>2025</w:t>
      </w:r>
      <w:r w:rsidR="00F83E9C" w:rsidRPr="004D0CC2">
        <w:rPr>
          <w:rFonts w:ascii="Times New Roman" w:eastAsia="Times New Roman" w:hAnsi="Times New Roman"/>
          <w:color w:val="000000" w:themeColor="text1"/>
        </w:rPr>
        <w:t>)</w:t>
      </w:r>
      <w:r w:rsidRPr="004D0CC2">
        <w:rPr>
          <w:rFonts w:ascii="Times New Roman" w:eastAsia="Times New Roman" w:hAnsi="Times New Roman"/>
          <w:color w:val="000000" w:themeColor="text1"/>
        </w:rPr>
        <w:t>. Primarily focus of Soil analysis is to quantify elements such as potassium, calcium, magnesium etc</w:t>
      </w:r>
      <w:r w:rsidR="0063352F" w:rsidRPr="004D0CC2">
        <w:rPr>
          <w:rFonts w:ascii="Times New Roman" w:eastAsia="Times New Roman" w:hAnsi="Times New Roman"/>
          <w:color w:val="000000" w:themeColor="text1"/>
        </w:rPr>
        <w:t xml:space="preserve">., </w:t>
      </w:r>
      <w:r w:rsidR="006939D2" w:rsidRPr="004D0CC2">
        <w:rPr>
          <w:rFonts w:ascii="Times New Roman" w:eastAsia="Times New Roman" w:hAnsi="Times New Roman"/>
          <w:color w:val="000000" w:themeColor="text1"/>
        </w:rPr>
        <w:t>(</w:t>
      </w:r>
      <w:r w:rsidR="006939D2" w:rsidRPr="004D0CC2">
        <w:rPr>
          <w:rFonts w:ascii="Times New Roman" w:hAnsi="Times New Roman"/>
          <w:color w:val="000000" w:themeColor="text1"/>
        </w:rPr>
        <w:t>Zhang</w:t>
      </w:r>
      <w:r w:rsidR="0063352F" w:rsidRPr="004D0CC2">
        <w:rPr>
          <w:rFonts w:ascii="Times New Roman" w:hAnsi="Times New Roman"/>
          <w:color w:val="000000" w:themeColor="text1"/>
        </w:rPr>
        <w:t xml:space="preserve"> </w:t>
      </w:r>
      <w:r w:rsidR="006939D2" w:rsidRPr="004D0CC2">
        <w:rPr>
          <w:rFonts w:ascii="Times New Roman" w:hAnsi="Times New Roman"/>
          <w:color w:val="000000" w:themeColor="text1"/>
        </w:rPr>
        <w:t>et al., 2022</w:t>
      </w:r>
      <w:r w:rsidR="006939D2" w:rsidRPr="004D0CC2">
        <w:rPr>
          <w:rFonts w:ascii="Times New Roman" w:eastAsia="Times New Roman" w:hAnsi="Times New Roman"/>
          <w:color w:val="000000" w:themeColor="text1"/>
        </w:rPr>
        <w:t>)</w:t>
      </w:r>
      <w:r w:rsidRPr="004D0CC2">
        <w:rPr>
          <w:rFonts w:ascii="Times New Roman" w:eastAsia="Times New Roman" w:hAnsi="Times New Roman"/>
          <w:color w:val="000000" w:themeColor="text1"/>
        </w:rPr>
        <w:t>. Whereas the primarily focus of micro minerals quantification include potassium, calcium, magnesium etc</w:t>
      </w:r>
      <w:r w:rsidR="0063352F" w:rsidRPr="004D0CC2">
        <w:rPr>
          <w:rFonts w:ascii="Times New Roman" w:eastAsia="Times New Roman" w:hAnsi="Times New Roman"/>
          <w:color w:val="000000" w:themeColor="text1"/>
        </w:rPr>
        <w:t xml:space="preserve">., </w:t>
      </w:r>
      <w:r w:rsidR="00F83E9C" w:rsidRPr="004D0CC2">
        <w:rPr>
          <w:rFonts w:ascii="Times New Roman" w:eastAsia="Times New Roman" w:hAnsi="Times New Roman"/>
          <w:color w:val="000000" w:themeColor="text1"/>
        </w:rPr>
        <w:t>(</w:t>
      </w:r>
      <w:r w:rsidR="006939D2" w:rsidRPr="004D0CC2">
        <w:rPr>
          <w:rFonts w:ascii="Times New Roman" w:hAnsi="Times New Roman"/>
          <w:color w:val="000000" w:themeColor="text1"/>
        </w:rPr>
        <w:t>Faridullah et al., 20</w:t>
      </w:r>
      <w:r w:rsidR="0063352F" w:rsidRPr="004D0CC2">
        <w:rPr>
          <w:rFonts w:ascii="Times New Roman" w:hAnsi="Times New Roman"/>
          <w:color w:val="000000" w:themeColor="text1"/>
        </w:rPr>
        <w:t>16</w:t>
      </w:r>
      <w:r w:rsidR="00F83E9C" w:rsidRPr="004D0CC2">
        <w:rPr>
          <w:rFonts w:ascii="Times New Roman" w:eastAsia="Times New Roman" w:hAnsi="Times New Roman"/>
          <w:color w:val="000000" w:themeColor="text1"/>
        </w:rPr>
        <w:t>)</w:t>
      </w:r>
      <w:r w:rsidRPr="004D0CC2">
        <w:rPr>
          <w:rFonts w:ascii="Times New Roman" w:eastAsia="Times New Roman" w:hAnsi="Times New Roman"/>
          <w:color w:val="000000" w:themeColor="text1"/>
        </w:rPr>
        <w:t>. Mineral soil contaminants include arsenic, barium, cadmium, copper, mercury, lead, and zinc</w:t>
      </w:r>
      <w:r w:rsidR="00A678DB" w:rsidRPr="004D0CC2">
        <w:rPr>
          <w:rFonts w:ascii="Times New Roman" w:eastAsia="Times New Roman" w:hAnsi="Times New Roman"/>
          <w:color w:val="000000" w:themeColor="text1"/>
        </w:rPr>
        <w:t xml:space="preserve"> </w:t>
      </w:r>
      <w:r w:rsidR="00F83E9C" w:rsidRPr="004D0CC2">
        <w:rPr>
          <w:rFonts w:ascii="Times New Roman" w:eastAsia="Times New Roman" w:hAnsi="Times New Roman"/>
          <w:color w:val="000000" w:themeColor="text1"/>
        </w:rPr>
        <w:t>(</w:t>
      </w:r>
      <w:r w:rsidR="006939D2" w:rsidRPr="004D0CC2">
        <w:rPr>
          <w:rFonts w:ascii="Times New Roman" w:hAnsi="Times New Roman"/>
          <w:color w:val="000000" w:themeColor="text1"/>
        </w:rPr>
        <w:t>Mazumder</w:t>
      </w:r>
      <w:r w:rsidR="00A678DB" w:rsidRPr="004D0CC2">
        <w:rPr>
          <w:rFonts w:ascii="Times New Roman" w:hAnsi="Times New Roman"/>
          <w:color w:val="000000" w:themeColor="text1"/>
        </w:rPr>
        <w:t xml:space="preserve"> </w:t>
      </w:r>
      <w:r w:rsidR="006939D2" w:rsidRPr="007E59C2">
        <w:rPr>
          <w:rFonts w:ascii="Times New Roman" w:hAnsi="Times New Roman"/>
          <w:color w:val="000000" w:themeColor="text1"/>
        </w:rPr>
        <w:t>et al.,</w:t>
      </w:r>
      <w:r w:rsidR="006939D2" w:rsidRPr="004D0CC2">
        <w:rPr>
          <w:rFonts w:ascii="Times New Roman" w:hAnsi="Times New Roman"/>
          <w:color w:val="000000" w:themeColor="text1"/>
        </w:rPr>
        <w:t xml:space="preserve"> 2023</w:t>
      </w:r>
      <w:r w:rsidR="00F83E9C" w:rsidRPr="004D0CC2">
        <w:rPr>
          <w:rFonts w:ascii="Times New Roman" w:eastAsia="Times New Roman" w:hAnsi="Times New Roman"/>
          <w:color w:val="000000" w:themeColor="text1"/>
        </w:rPr>
        <w:t>)</w:t>
      </w:r>
      <w:r w:rsidRPr="004D0CC2">
        <w:rPr>
          <w:rFonts w:ascii="Times New Roman" w:eastAsia="Times New Roman" w:hAnsi="Times New Roman"/>
          <w:color w:val="000000" w:themeColor="text1"/>
        </w:rPr>
        <w:t>. These inorganic elements are generally non-biodegradable and tend to persist in the soil for long periods</w:t>
      </w:r>
      <w:r w:rsidR="00DE696F" w:rsidRPr="004D0CC2">
        <w:rPr>
          <w:rFonts w:ascii="Times New Roman" w:eastAsia="Times New Roman" w:hAnsi="Times New Roman"/>
          <w:color w:val="000000" w:themeColor="text1"/>
        </w:rPr>
        <w:t xml:space="preserve"> </w:t>
      </w:r>
      <w:r w:rsidR="006939D2" w:rsidRPr="004D0CC2">
        <w:rPr>
          <w:rFonts w:ascii="Times New Roman" w:eastAsia="Times New Roman" w:hAnsi="Times New Roman"/>
          <w:color w:val="000000" w:themeColor="text1"/>
        </w:rPr>
        <w:t>(</w:t>
      </w:r>
      <w:r w:rsidR="006939D2" w:rsidRPr="004D0CC2">
        <w:rPr>
          <w:rFonts w:ascii="Times New Roman" w:hAnsi="Times New Roman"/>
          <w:color w:val="000000" w:themeColor="text1"/>
        </w:rPr>
        <w:t>Briffa et al., 2020</w:t>
      </w:r>
      <w:r w:rsidR="006939D2" w:rsidRPr="004D0CC2">
        <w:rPr>
          <w:rFonts w:ascii="Times New Roman" w:eastAsia="Times New Roman" w:hAnsi="Times New Roman"/>
          <w:color w:val="000000" w:themeColor="text1"/>
        </w:rPr>
        <w:t xml:space="preserve">). The origins of elements include </w:t>
      </w:r>
      <w:r w:rsidRPr="004D0CC2">
        <w:rPr>
          <w:rFonts w:ascii="Times New Roman" w:eastAsia="Times New Roman" w:hAnsi="Times New Roman"/>
          <w:color w:val="000000" w:themeColor="text1"/>
        </w:rPr>
        <w:t>both natural weathering and anthropogenic sources such as industrial waste, mining, and agricultural applications</w:t>
      </w:r>
      <w:r w:rsidR="00DE696F" w:rsidRPr="004D0CC2">
        <w:rPr>
          <w:rFonts w:ascii="Times New Roman" w:eastAsia="Times New Roman" w:hAnsi="Times New Roman"/>
          <w:color w:val="000000" w:themeColor="text1"/>
        </w:rPr>
        <w:t xml:space="preserve"> </w:t>
      </w:r>
      <w:r w:rsidR="00F83E9C" w:rsidRPr="004D0CC2">
        <w:rPr>
          <w:rFonts w:ascii="Times New Roman" w:eastAsia="Times New Roman" w:hAnsi="Times New Roman"/>
          <w:color w:val="000000" w:themeColor="text1"/>
        </w:rPr>
        <w:t>(</w:t>
      </w:r>
      <w:r w:rsidR="00D3621B">
        <w:rPr>
          <w:rFonts w:ascii="Times New Roman" w:hAnsi="Times New Roman"/>
          <w:color w:val="000000" w:themeColor="text1"/>
        </w:rPr>
        <w:t xml:space="preserve">Sparks </w:t>
      </w:r>
      <w:r w:rsidR="006939D2" w:rsidRPr="00D3621B">
        <w:rPr>
          <w:rFonts w:ascii="Times New Roman" w:hAnsi="Times New Roman"/>
          <w:iCs/>
          <w:color w:val="000000" w:themeColor="text1"/>
        </w:rPr>
        <w:t>et al.,</w:t>
      </w:r>
      <w:r w:rsidR="006939D2" w:rsidRPr="004D0CC2">
        <w:rPr>
          <w:rFonts w:ascii="Times New Roman" w:hAnsi="Times New Roman"/>
          <w:color w:val="000000" w:themeColor="text1"/>
        </w:rPr>
        <w:t xml:space="preserve"> 2024; </w:t>
      </w:r>
      <w:r w:rsidR="00D3621B">
        <w:rPr>
          <w:rFonts w:ascii="Times New Roman" w:hAnsi="Times New Roman"/>
          <w:color w:val="000000" w:themeColor="text1"/>
        </w:rPr>
        <w:t xml:space="preserve">Adeleke </w:t>
      </w:r>
      <w:r w:rsidR="006B7A46" w:rsidRPr="004D0CC2">
        <w:rPr>
          <w:rFonts w:ascii="Times New Roman" w:hAnsi="Times New Roman"/>
          <w:color w:val="000000" w:themeColor="text1"/>
        </w:rPr>
        <w:t xml:space="preserve">et </w:t>
      </w:r>
      <w:r w:rsidR="006B7A46" w:rsidRPr="004D0CC2">
        <w:rPr>
          <w:rFonts w:ascii="Times New Roman" w:hAnsi="Times New Roman"/>
          <w:color w:val="000000" w:themeColor="text1"/>
        </w:rPr>
        <w:lastRenderedPageBreak/>
        <w:t>al., 2017</w:t>
      </w:r>
      <w:r w:rsidR="00F83E9C" w:rsidRPr="004D0CC2">
        <w:rPr>
          <w:rFonts w:ascii="Times New Roman" w:eastAsia="Times New Roman" w:hAnsi="Times New Roman"/>
          <w:color w:val="000000" w:themeColor="text1"/>
        </w:rPr>
        <w:t>)</w:t>
      </w:r>
      <w:r w:rsidRPr="004D0CC2">
        <w:rPr>
          <w:rFonts w:ascii="Times New Roman" w:eastAsia="Times New Roman" w:hAnsi="Times New Roman"/>
          <w:color w:val="000000" w:themeColor="text1"/>
        </w:rPr>
        <w:t>. Regional and local studies of soil macro and micro nutrients would help in developing scientifically informed practical measures to improve and maintain the soil quality</w:t>
      </w:r>
      <w:r w:rsidR="00E5749A" w:rsidRPr="004D0CC2">
        <w:rPr>
          <w:rFonts w:ascii="Times New Roman" w:eastAsia="Times New Roman" w:hAnsi="Times New Roman"/>
          <w:color w:val="000000" w:themeColor="text1"/>
        </w:rPr>
        <w:t xml:space="preserve"> </w:t>
      </w:r>
      <w:r w:rsidR="00F83E9C" w:rsidRPr="004D0CC2">
        <w:rPr>
          <w:rFonts w:ascii="Times New Roman" w:eastAsia="Times New Roman" w:hAnsi="Times New Roman"/>
          <w:color w:val="000000" w:themeColor="text1"/>
        </w:rPr>
        <w:t>(</w:t>
      </w:r>
      <w:r w:rsidR="006B7A46" w:rsidRPr="004D0CC2">
        <w:rPr>
          <w:rFonts w:ascii="Times New Roman" w:hAnsi="Times New Roman"/>
          <w:color w:val="000000" w:themeColor="text1"/>
        </w:rPr>
        <w:t>Dasgupta et al., 2023</w:t>
      </w:r>
      <w:r w:rsidR="00F83E9C" w:rsidRPr="004D0CC2">
        <w:rPr>
          <w:rFonts w:ascii="Times New Roman" w:eastAsia="Times New Roman" w:hAnsi="Times New Roman"/>
          <w:color w:val="000000" w:themeColor="text1"/>
        </w:rPr>
        <w:t>)</w:t>
      </w:r>
      <w:r w:rsidRPr="004D0CC2">
        <w:rPr>
          <w:rFonts w:ascii="Times New Roman" w:eastAsia="Times New Roman" w:hAnsi="Times New Roman"/>
          <w:color w:val="000000" w:themeColor="text1"/>
        </w:rPr>
        <w:t>. Further detailed research exploring the impact of anthropogenic land uses on soil characteristics is needed for management and preservation of the soil mantle</w:t>
      </w:r>
      <w:r w:rsidR="008E7A95" w:rsidRPr="004D0CC2">
        <w:rPr>
          <w:rFonts w:ascii="Times New Roman" w:eastAsia="Times New Roman" w:hAnsi="Times New Roman"/>
          <w:color w:val="000000" w:themeColor="text1"/>
        </w:rPr>
        <w:t xml:space="preserve"> </w:t>
      </w:r>
      <w:r w:rsidR="00F83E9C" w:rsidRPr="004D0CC2">
        <w:rPr>
          <w:rFonts w:ascii="Times New Roman" w:eastAsia="Times New Roman" w:hAnsi="Times New Roman"/>
          <w:color w:val="000000" w:themeColor="text1"/>
        </w:rPr>
        <w:t>(</w:t>
      </w:r>
      <w:r w:rsidR="00D3621B">
        <w:rPr>
          <w:rFonts w:ascii="Times New Roman" w:hAnsi="Times New Roman"/>
          <w:color w:val="000000" w:themeColor="text1"/>
          <w:shd w:val="clear" w:color="auto" w:fill="FFFFFF"/>
        </w:rPr>
        <w:t xml:space="preserve">Santorufo </w:t>
      </w:r>
      <w:r w:rsidR="006B7A46" w:rsidRPr="004D0CC2">
        <w:rPr>
          <w:rFonts w:ascii="Times New Roman" w:hAnsi="Times New Roman"/>
          <w:color w:val="000000" w:themeColor="text1"/>
          <w:shd w:val="clear" w:color="auto" w:fill="FFFFFF"/>
        </w:rPr>
        <w:t>et al., 2021</w:t>
      </w:r>
      <w:r w:rsidR="00F83E9C" w:rsidRPr="004D0CC2">
        <w:rPr>
          <w:rFonts w:ascii="Times New Roman" w:eastAsia="Times New Roman" w:hAnsi="Times New Roman"/>
          <w:color w:val="000000" w:themeColor="text1"/>
        </w:rPr>
        <w:t>)</w:t>
      </w:r>
      <w:r w:rsidRPr="004D0CC2">
        <w:rPr>
          <w:rFonts w:ascii="Times New Roman" w:eastAsia="Times New Roman" w:hAnsi="Times New Roman"/>
          <w:color w:val="000000" w:themeColor="text1"/>
        </w:rPr>
        <w:t xml:space="preserve">. </w:t>
      </w:r>
    </w:p>
    <w:p w14:paraId="3A8C7D73" w14:textId="0F7E7570" w:rsidR="00345B18" w:rsidRPr="004D0CC2" w:rsidRDefault="00926D96" w:rsidP="005C081B">
      <w:pPr>
        <w:pStyle w:val="footer"/>
        <w:spacing w:line="360" w:lineRule="auto"/>
        <w:jc w:val="both"/>
        <w:rPr>
          <w:rFonts w:ascii="Times New Roman" w:hAnsi="Times New Roman"/>
          <w:bCs/>
          <w:color w:val="000000" w:themeColor="text1"/>
        </w:rPr>
      </w:pPr>
      <w:r w:rsidRPr="004D0CC2">
        <w:rPr>
          <w:rFonts w:ascii="Times New Roman" w:hAnsi="Times New Roman"/>
          <w:bCs/>
          <w:color w:val="000000" w:themeColor="text1"/>
        </w:rPr>
        <w:t xml:space="preserve">The objectives of the present </w:t>
      </w:r>
      <w:r w:rsidR="000563AC">
        <w:rPr>
          <w:rFonts w:ascii="Times New Roman" w:hAnsi="Times New Roman"/>
          <w:bCs/>
          <w:color w:val="000000" w:themeColor="text1"/>
        </w:rPr>
        <w:t xml:space="preserve">research </w:t>
      </w:r>
      <w:r w:rsidRPr="004D0CC2">
        <w:rPr>
          <w:rFonts w:ascii="Times New Roman" w:hAnsi="Times New Roman"/>
          <w:bCs/>
          <w:color w:val="000000" w:themeColor="text1"/>
        </w:rPr>
        <w:t xml:space="preserve">were </w:t>
      </w:r>
      <w:r w:rsidR="00F9565D" w:rsidRPr="004D0CC2">
        <w:rPr>
          <w:rFonts w:ascii="Times New Roman" w:hAnsi="Times New Roman"/>
          <w:bCs/>
          <w:color w:val="000000" w:themeColor="text1"/>
        </w:rPr>
        <w:t>1.</w:t>
      </w:r>
      <w:r w:rsidR="009801E8" w:rsidRPr="004D0CC2">
        <w:rPr>
          <w:rFonts w:ascii="Times New Roman" w:hAnsi="Times New Roman"/>
          <w:bCs/>
          <w:color w:val="000000" w:themeColor="text1"/>
        </w:rPr>
        <w:t xml:space="preserve"> </w:t>
      </w:r>
      <w:r w:rsidRPr="004D0CC2">
        <w:rPr>
          <w:rFonts w:ascii="Times New Roman" w:hAnsi="Times New Roman"/>
          <w:bCs/>
          <w:color w:val="000000" w:themeColor="text1"/>
        </w:rPr>
        <w:t xml:space="preserve">Analysis of major nutrients - Nitrogen, </w:t>
      </w:r>
      <w:r w:rsidR="00F9565D" w:rsidRPr="004D0CC2">
        <w:rPr>
          <w:rFonts w:ascii="Times New Roman" w:hAnsi="Times New Roman"/>
          <w:bCs/>
          <w:color w:val="000000" w:themeColor="text1"/>
        </w:rPr>
        <w:t>Phosphorus and Potassium</w:t>
      </w:r>
      <w:r w:rsidRPr="004D0CC2">
        <w:rPr>
          <w:rFonts w:ascii="Times New Roman" w:hAnsi="Times New Roman"/>
          <w:bCs/>
          <w:color w:val="000000" w:themeColor="text1"/>
        </w:rPr>
        <w:t xml:space="preserve">, </w:t>
      </w:r>
      <w:r w:rsidR="00F9565D" w:rsidRPr="004D0CC2">
        <w:rPr>
          <w:rFonts w:ascii="Times New Roman" w:hAnsi="Times New Roman"/>
          <w:bCs/>
          <w:color w:val="000000" w:themeColor="text1"/>
        </w:rPr>
        <w:t>2.</w:t>
      </w:r>
      <w:r w:rsidR="009801E8" w:rsidRPr="004D0CC2">
        <w:rPr>
          <w:rFonts w:ascii="Times New Roman" w:hAnsi="Times New Roman"/>
          <w:bCs/>
          <w:color w:val="000000" w:themeColor="text1"/>
        </w:rPr>
        <w:t xml:space="preserve"> </w:t>
      </w:r>
      <w:r w:rsidRPr="004D0CC2">
        <w:rPr>
          <w:rFonts w:ascii="Times New Roman" w:hAnsi="Times New Roman"/>
          <w:bCs/>
          <w:color w:val="000000" w:themeColor="text1"/>
        </w:rPr>
        <w:t>Analysis of secondary nutrients - Calcium and Magnesium</w:t>
      </w:r>
      <w:r w:rsidR="00AA2825">
        <w:rPr>
          <w:rFonts w:ascii="Times New Roman" w:hAnsi="Times New Roman"/>
          <w:bCs/>
          <w:color w:val="000000" w:themeColor="text1"/>
        </w:rPr>
        <w:t xml:space="preserve"> </w:t>
      </w:r>
      <w:r w:rsidR="00F9565D" w:rsidRPr="004D0CC2">
        <w:rPr>
          <w:rFonts w:ascii="Times New Roman" w:hAnsi="Times New Roman"/>
          <w:bCs/>
          <w:color w:val="000000" w:themeColor="text1"/>
        </w:rPr>
        <w:t>3.</w:t>
      </w:r>
      <w:r w:rsidR="009801E8" w:rsidRPr="004D0CC2">
        <w:rPr>
          <w:rFonts w:ascii="Times New Roman" w:hAnsi="Times New Roman"/>
          <w:bCs/>
          <w:color w:val="000000" w:themeColor="text1"/>
        </w:rPr>
        <w:t xml:space="preserve"> </w:t>
      </w:r>
      <w:r w:rsidRPr="004D0CC2">
        <w:rPr>
          <w:rFonts w:ascii="Times New Roman" w:hAnsi="Times New Roman"/>
          <w:bCs/>
          <w:color w:val="000000" w:themeColor="text1"/>
        </w:rPr>
        <w:t>Analysis of minor nutrients - Lead, Mercury, Zinc, Copper, and Iron</w:t>
      </w:r>
      <w:r w:rsidR="00F9565D" w:rsidRPr="004D0CC2">
        <w:rPr>
          <w:rFonts w:ascii="Times New Roman" w:hAnsi="Times New Roman"/>
          <w:bCs/>
          <w:color w:val="000000" w:themeColor="text1"/>
        </w:rPr>
        <w:t>.</w:t>
      </w:r>
      <w:r w:rsidR="009801E8" w:rsidRPr="004D0CC2">
        <w:rPr>
          <w:rFonts w:ascii="Times New Roman" w:hAnsi="Times New Roman"/>
          <w:bCs/>
          <w:color w:val="000000" w:themeColor="text1"/>
        </w:rPr>
        <w:t xml:space="preserve"> </w:t>
      </w:r>
      <w:r w:rsidR="00F9565D" w:rsidRPr="004D0CC2">
        <w:rPr>
          <w:rFonts w:ascii="Times New Roman" w:hAnsi="Times New Roman"/>
          <w:bCs/>
          <w:color w:val="000000" w:themeColor="text1"/>
        </w:rPr>
        <w:t>4</w:t>
      </w:r>
      <w:r w:rsidR="009801E8" w:rsidRPr="004D0CC2">
        <w:rPr>
          <w:rFonts w:ascii="Times New Roman" w:hAnsi="Times New Roman"/>
          <w:bCs/>
          <w:color w:val="000000" w:themeColor="text1"/>
        </w:rPr>
        <w:t>.</w:t>
      </w:r>
      <w:r w:rsidRPr="004D0CC2">
        <w:rPr>
          <w:rFonts w:ascii="Times New Roman" w:hAnsi="Times New Roman"/>
          <w:bCs/>
          <w:color w:val="000000" w:themeColor="text1"/>
        </w:rPr>
        <w:t xml:space="preserve"> </w:t>
      </w:r>
      <w:r w:rsidR="00F86B53">
        <w:rPr>
          <w:rFonts w:ascii="Times New Roman" w:hAnsi="Times New Roman"/>
          <w:bCs/>
          <w:color w:val="000000" w:themeColor="text1"/>
        </w:rPr>
        <w:t>A</w:t>
      </w:r>
      <w:r w:rsidRPr="004D0CC2">
        <w:rPr>
          <w:rFonts w:ascii="Times New Roman" w:hAnsi="Times New Roman"/>
          <w:bCs/>
          <w:color w:val="000000" w:themeColor="text1"/>
        </w:rPr>
        <w:t>ssessment of Soil pH and Acidity from the soil collected from different places in and around Bengaluru.</w:t>
      </w:r>
    </w:p>
    <w:p w14:paraId="5E2397F3" w14:textId="77777777" w:rsidR="00345B18" w:rsidRDefault="00345B18" w:rsidP="005C081B">
      <w:pPr>
        <w:pStyle w:val="footer"/>
        <w:spacing w:line="360" w:lineRule="auto"/>
        <w:jc w:val="both"/>
        <w:rPr>
          <w:rFonts w:ascii="Times New Roman" w:hAnsi="Times New Roman"/>
          <w:b/>
          <w:color w:val="000000" w:themeColor="text1"/>
        </w:rPr>
      </w:pPr>
    </w:p>
    <w:p w14:paraId="3AF6D362" w14:textId="77777777" w:rsidR="00471219" w:rsidRDefault="00471219" w:rsidP="005C081B">
      <w:pPr>
        <w:pStyle w:val="footer"/>
        <w:spacing w:line="360" w:lineRule="auto"/>
        <w:jc w:val="both"/>
        <w:rPr>
          <w:rFonts w:ascii="Times New Roman" w:hAnsi="Times New Roman"/>
          <w:b/>
          <w:color w:val="000000" w:themeColor="text1"/>
        </w:rPr>
      </w:pPr>
    </w:p>
    <w:p w14:paraId="6F55B271" w14:textId="77777777" w:rsidR="00EC4E63" w:rsidRDefault="00EC4E63" w:rsidP="005C081B">
      <w:pPr>
        <w:pStyle w:val="footer"/>
        <w:spacing w:line="360" w:lineRule="auto"/>
        <w:jc w:val="both"/>
        <w:rPr>
          <w:rFonts w:ascii="Times New Roman" w:hAnsi="Times New Roman"/>
          <w:b/>
          <w:color w:val="000000" w:themeColor="text1"/>
        </w:rPr>
      </w:pPr>
    </w:p>
    <w:p w14:paraId="7B80424F" w14:textId="77777777" w:rsidR="00471219" w:rsidRDefault="00471219" w:rsidP="005C081B">
      <w:pPr>
        <w:pStyle w:val="footer"/>
        <w:spacing w:line="360" w:lineRule="auto"/>
        <w:jc w:val="both"/>
        <w:rPr>
          <w:rFonts w:ascii="Times New Roman" w:hAnsi="Times New Roman"/>
          <w:b/>
          <w:color w:val="000000" w:themeColor="text1"/>
        </w:rPr>
      </w:pPr>
    </w:p>
    <w:p w14:paraId="0716DA4F" w14:textId="77777777" w:rsidR="00471219" w:rsidRDefault="00471219" w:rsidP="005C081B">
      <w:pPr>
        <w:pStyle w:val="footer"/>
        <w:spacing w:line="360" w:lineRule="auto"/>
        <w:jc w:val="both"/>
        <w:rPr>
          <w:rFonts w:ascii="Times New Roman" w:hAnsi="Times New Roman"/>
          <w:b/>
          <w:color w:val="000000" w:themeColor="text1"/>
        </w:rPr>
      </w:pPr>
    </w:p>
    <w:p w14:paraId="2F14BF3A" w14:textId="77777777" w:rsidR="00471219" w:rsidRPr="004D0CC2" w:rsidRDefault="00471219" w:rsidP="005C081B">
      <w:pPr>
        <w:pStyle w:val="footer"/>
        <w:spacing w:line="360" w:lineRule="auto"/>
        <w:jc w:val="both"/>
        <w:rPr>
          <w:rFonts w:ascii="Times New Roman" w:hAnsi="Times New Roman"/>
          <w:b/>
          <w:color w:val="000000" w:themeColor="text1"/>
        </w:rPr>
      </w:pPr>
    </w:p>
    <w:p w14:paraId="04B3804D" w14:textId="77777777" w:rsidR="00605DA7" w:rsidRPr="00DD37AF" w:rsidRDefault="00605DA7" w:rsidP="00605DA7">
      <w:pPr>
        <w:spacing w:line="360" w:lineRule="auto"/>
        <w:jc w:val="both"/>
        <w:rPr>
          <w:rFonts w:ascii="Times New Roman" w:hAnsi="Times New Roman" w:cs="Times New Roman"/>
          <w:b/>
          <w:bCs/>
          <w:color w:val="000000" w:themeColor="text1"/>
          <w:sz w:val="24"/>
          <w:szCs w:val="24"/>
        </w:rPr>
      </w:pPr>
      <w:r w:rsidRPr="00DD37AF">
        <w:rPr>
          <w:rFonts w:ascii="Times New Roman" w:hAnsi="Times New Roman" w:cs="Times New Roman"/>
          <w:b/>
          <w:bCs/>
          <w:color w:val="000000" w:themeColor="text1"/>
          <w:sz w:val="24"/>
          <w:szCs w:val="24"/>
        </w:rPr>
        <w:t>Materials and methods</w:t>
      </w:r>
    </w:p>
    <w:p w14:paraId="0EB2A59E" w14:textId="64115BA5" w:rsidR="00894801" w:rsidRPr="00DD37AF" w:rsidRDefault="00894801" w:rsidP="00894801">
      <w:pPr>
        <w:spacing w:line="360" w:lineRule="auto"/>
        <w:jc w:val="both"/>
        <w:rPr>
          <w:rFonts w:ascii="Times New Roman" w:hAnsi="Times New Roman" w:cs="Times New Roman"/>
          <w:b/>
          <w:bCs/>
          <w:color w:val="000000" w:themeColor="text1"/>
          <w:sz w:val="24"/>
          <w:szCs w:val="24"/>
          <w:lang w:val="en-IN"/>
        </w:rPr>
      </w:pPr>
      <w:r w:rsidRPr="00DD37AF">
        <w:rPr>
          <w:rFonts w:ascii="Times New Roman" w:hAnsi="Times New Roman" w:cs="Times New Roman"/>
          <w:b/>
          <w:bCs/>
          <w:color w:val="000000" w:themeColor="text1"/>
          <w:sz w:val="24"/>
          <w:szCs w:val="24"/>
          <w:lang w:val="en-IN"/>
        </w:rPr>
        <w:t>Soil sampling and sample preparation</w:t>
      </w:r>
    </w:p>
    <w:p w14:paraId="608F3AA2" w14:textId="4EF89F66" w:rsidR="00B36A33" w:rsidRPr="00DD37AF" w:rsidRDefault="00B36A33" w:rsidP="00B36A33">
      <w:pPr>
        <w:spacing w:line="360" w:lineRule="auto"/>
        <w:jc w:val="both"/>
        <w:rPr>
          <w:rFonts w:ascii="Times New Roman" w:hAnsi="Times New Roman" w:cs="Times New Roman"/>
          <w:color w:val="000000" w:themeColor="text1"/>
          <w:sz w:val="24"/>
          <w:szCs w:val="24"/>
          <w:lang w:val="en-IN"/>
        </w:rPr>
      </w:pPr>
      <w:r w:rsidRPr="00DD37AF">
        <w:rPr>
          <w:rFonts w:ascii="Times New Roman" w:hAnsi="Times New Roman" w:cs="Times New Roman"/>
          <w:color w:val="000000" w:themeColor="text1"/>
          <w:sz w:val="24"/>
          <w:szCs w:val="24"/>
          <w:lang w:val="en-IN"/>
        </w:rPr>
        <w:t>Surface soil samples (0–15 cm depth) were collected from four representative land-use zones in and around Bengaluru, Karnataka, India, namely an agricultural field in Chikkaballapur (12°44′–13°45′ N, 77°12′–78°35′ E), a waste-dumped area at Kammavari Pete, Alappanahalli, Hoskote (13.0783° N, 77.7866° E), the industrial zone of Rajajinagar, Bengaluru (12.9803° N, 77.5501° E), and the residential locality along Magadi Road, Bengaluru (12.966° N, 77.533° E). At each sampling site, five subsamples were collected randomly using a stainless-steel auger and homogenized to obtain a representative composite sample.</w:t>
      </w:r>
    </w:p>
    <w:p w14:paraId="5302EFEC" w14:textId="4A39FBE8" w:rsidR="00B36A33" w:rsidRPr="00DD37AF" w:rsidRDefault="00B36A33" w:rsidP="00B36A33">
      <w:pPr>
        <w:spacing w:line="360" w:lineRule="auto"/>
        <w:jc w:val="both"/>
        <w:rPr>
          <w:rFonts w:ascii="Times New Roman" w:hAnsi="Times New Roman" w:cs="Times New Roman"/>
          <w:color w:val="000000" w:themeColor="text1"/>
          <w:sz w:val="24"/>
          <w:szCs w:val="24"/>
          <w:lang w:val="en-IN"/>
        </w:rPr>
      </w:pPr>
      <w:r w:rsidRPr="00DD37AF">
        <w:rPr>
          <w:rFonts w:ascii="Times New Roman" w:hAnsi="Times New Roman" w:cs="Times New Roman"/>
          <w:color w:val="000000" w:themeColor="text1"/>
          <w:sz w:val="24"/>
          <w:szCs w:val="24"/>
          <w:lang w:val="en-IN"/>
        </w:rPr>
        <w:t>All soil samples were collected following standard sampling protocols using sterile equipment to minimize contamination. The samples were immediately transferred to the laboratory in sterile polyethylene bags. Analytical reagent (AR)-grade chemicals and reagents were used for the estimation of soil macronutrients, micronutrients, acidity, and other physicochemical properties.</w:t>
      </w:r>
    </w:p>
    <w:p w14:paraId="62083E51" w14:textId="32BB1A9C" w:rsidR="00B36A33" w:rsidRPr="00DD37AF" w:rsidRDefault="00B36A33" w:rsidP="00B36A33">
      <w:pPr>
        <w:spacing w:line="360" w:lineRule="auto"/>
        <w:jc w:val="both"/>
        <w:rPr>
          <w:rFonts w:ascii="Times New Roman" w:hAnsi="Times New Roman" w:cs="Times New Roman"/>
          <w:color w:val="000000" w:themeColor="text1"/>
          <w:sz w:val="24"/>
          <w:szCs w:val="24"/>
          <w:lang w:val="en-IN"/>
        </w:rPr>
      </w:pPr>
      <w:r w:rsidRPr="00DD37AF">
        <w:rPr>
          <w:rFonts w:ascii="Times New Roman" w:hAnsi="Times New Roman" w:cs="Times New Roman"/>
          <w:color w:val="000000" w:themeColor="text1"/>
          <w:sz w:val="24"/>
          <w:szCs w:val="24"/>
          <w:lang w:val="en-IN"/>
        </w:rPr>
        <w:t xml:space="preserve">In the laboratory, the collected soil samples were air-dried at room temperature (25 ± 2°C), gently crushed using a porcelain mortar and pestle, and passed through a 2-mm mesh sieve prior to </w:t>
      </w:r>
      <w:r w:rsidRPr="00DD37AF">
        <w:rPr>
          <w:rFonts w:ascii="Times New Roman" w:hAnsi="Times New Roman" w:cs="Times New Roman"/>
          <w:color w:val="000000" w:themeColor="text1"/>
          <w:sz w:val="24"/>
          <w:szCs w:val="24"/>
          <w:lang w:val="en-IN"/>
        </w:rPr>
        <w:lastRenderedPageBreak/>
        <w:t>physicochemical characterization. For heavy metal analysis, the finer fraction passing through a 0.5-mm sieve was used. Deionized water was employed throughout all analytical procedures. All physicochemical analyses were carried out according to standard protocols using AR-grade reagents.</w:t>
      </w:r>
    </w:p>
    <w:p w14:paraId="17F5470A" w14:textId="77777777" w:rsidR="00605DA7" w:rsidRPr="00DD37AF" w:rsidRDefault="00605DA7" w:rsidP="00605DA7">
      <w:pPr>
        <w:spacing w:line="360" w:lineRule="auto"/>
        <w:jc w:val="both"/>
        <w:rPr>
          <w:rFonts w:ascii="Times New Roman" w:hAnsi="Times New Roman" w:cs="Times New Roman"/>
          <w:b/>
          <w:color w:val="000000" w:themeColor="text1"/>
          <w:sz w:val="24"/>
          <w:szCs w:val="24"/>
        </w:rPr>
      </w:pPr>
      <w:r w:rsidRPr="00DD37AF">
        <w:rPr>
          <w:rFonts w:ascii="Times New Roman" w:hAnsi="Times New Roman" w:cs="Times New Roman"/>
          <w:b/>
          <w:color w:val="000000" w:themeColor="text1"/>
          <w:sz w:val="24"/>
          <w:szCs w:val="24"/>
        </w:rPr>
        <w:t xml:space="preserve">Estimation of pH </w:t>
      </w:r>
    </w:p>
    <w:p w14:paraId="72D7287F" w14:textId="400484BA" w:rsidR="00BE1370" w:rsidRPr="00DD37AF" w:rsidRDefault="00605DA7" w:rsidP="00A94D38">
      <w:pPr>
        <w:spacing w:line="360" w:lineRule="auto"/>
        <w:jc w:val="both"/>
        <w:rPr>
          <w:rFonts w:ascii="Times New Roman" w:hAnsi="Times New Roman" w:cs="Times New Roman"/>
          <w:color w:val="000000" w:themeColor="text1"/>
          <w:sz w:val="24"/>
          <w:szCs w:val="24"/>
        </w:rPr>
      </w:pPr>
      <w:r w:rsidRPr="00DD37AF">
        <w:rPr>
          <w:rFonts w:ascii="Times New Roman" w:hAnsi="Times New Roman" w:cs="Times New Roman"/>
          <w:bCs/>
          <w:color w:val="000000" w:themeColor="text1"/>
          <w:sz w:val="24"/>
          <w:szCs w:val="24"/>
        </w:rPr>
        <w:t>Atmospheric dust is known to be basic and raise the pH of soil (Hedin et al., 1996). The most important chemical property of soil as a medium for plant growth is its pH value or "hydrogen ion activity." Method followed was Electrometric</w:t>
      </w:r>
      <w:r w:rsidR="00930F06" w:rsidRPr="00DD37AF">
        <w:rPr>
          <w:rFonts w:ascii="Times New Roman" w:hAnsi="Times New Roman" w:cs="Times New Roman"/>
          <w:color w:val="000000" w:themeColor="text1"/>
          <w:sz w:val="24"/>
          <w:szCs w:val="24"/>
        </w:rPr>
        <w:t xml:space="preserve"> (</w:t>
      </w:r>
      <w:r w:rsidR="00D3621B" w:rsidRPr="00DD37AF">
        <w:rPr>
          <w:rFonts w:ascii="Times New Roman" w:hAnsi="Times New Roman" w:cs="Times New Roman"/>
          <w:color w:val="000000" w:themeColor="text1"/>
          <w:sz w:val="24"/>
          <w:szCs w:val="24"/>
        </w:rPr>
        <w:t>Jackson</w:t>
      </w:r>
      <w:r w:rsidR="002F2093" w:rsidRPr="00DD37AF">
        <w:rPr>
          <w:rFonts w:ascii="Times New Roman" w:hAnsi="Times New Roman" w:cs="Times New Roman"/>
          <w:color w:val="000000" w:themeColor="text1"/>
          <w:sz w:val="24"/>
          <w:szCs w:val="24"/>
        </w:rPr>
        <w:t>,</w:t>
      </w:r>
      <w:r w:rsidR="00D3621B" w:rsidRPr="00DD37AF">
        <w:rPr>
          <w:rFonts w:ascii="Times New Roman" w:hAnsi="Times New Roman" w:cs="Times New Roman"/>
          <w:color w:val="000000" w:themeColor="text1"/>
          <w:sz w:val="24"/>
          <w:szCs w:val="24"/>
        </w:rPr>
        <w:t xml:space="preserve"> </w:t>
      </w:r>
      <w:r w:rsidR="00930F06" w:rsidRPr="00DD37AF">
        <w:rPr>
          <w:rFonts w:ascii="Times New Roman" w:hAnsi="Times New Roman" w:cs="Times New Roman"/>
          <w:color w:val="000000" w:themeColor="text1"/>
          <w:sz w:val="24"/>
          <w:szCs w:val="24"/>
        </w:rPr>
        <w:t>1973)</w:t>
      </w:r>
      <w:r w:rsidRPr="00DD37AF">
        <w:rPr>
          <w:rFonts w:ascii="Times New Roman" w:hAnsi="Times New Roman" w:cs="Times New Roman"/>
          <w:bCs/>
          <w:color w:val="000000" w:themeColor="text1"/>
          <w:sz w:val="24"/>
          <w:szCs w:val="24"/>
        </w:rPr>
        <w:t xml:space="preserve">. </w:t>
      </w:r>
      <w:r w:rsidRPr="00DD37AF">
        <w:rPr>
          <w:rFonts w:ascii="Times New Roman" w:hAnsi="Times New Roman" w:cs="Times New Roman"/>
          <w:color w:val="000000" w:themeColor="text1"/>
          <w:sz w:val="24"/>
          <w:szCs w:val="24"/>
        </w:rPr>
        <w:t xml:space="preserve">Soil pH was determined by the electrometric (potentiometric) method using a calibrated digital pH meter. </w:t>
      </w:r>
    </w:p>
    <w:p w14:paraId="12FF186B" w14:textId="4BDAF83A" w:rsidR="002F2093" w:rsidRPr="00DD37AF" w:rsidRDefault="00605DA7" w:rsidP="002F2093">
      <w:pPr>
        <w:spacing w:line="360" w:lineRule="auto"/>
        <w:jc w:val="both"/>
        <w:rPr>
          <w:rFonts w:ascii="Times New Roman" w:hAnsi="Times New Roman" w:cs="Times New Roman"/>
          <w:b/>
          <w:color w:val="000000" w:themeColor="text1"/>
          <w:sz w:val="24"/>
          <w:szCs w:val="24"/>
        </w:rPr>
      </w:pPr>
      <w:r w:rsidRPr="00DD37AF">
        <w:rPr>
          <w:rFonts w:ascii="Times New Roman" w:hAnsi="Times New Roman" w:cs="Times New Roman"/>
          <w:b/>
          <w:color w:val="000000" w:themeColor="text1"/>
          <w:sz w:val="24"/>
          <w:szCs w:val="24"/>
        </w:rPr>
        <w:t xml:space="preserve">Determination of total nitrogen content </w:t>
      </w:r>
    </w:p>
    <w:p w14:paraId="6D68821F" w14:textId="2A71998C" w:rsidR="002F2093" w:rsidRPr="00DD37AF" w:rsidRDefault="002F2093" w:rsidP="00605DA7">
      <w:pPr>
        <w:spacing w:line="360" w:lineRule="auto"/>
        <w:jc w:val="both"/>
        <w:rPr>
          <w:rFonts w:ascii="Times New Roman" w:hAnsi="Times New Roman" w:cs="Times New Roman"/>
          <w:bCs/>
          <w:color w:val="000000" w:themeColor="text1"/>
          <w:sz w:val="24"/>
          <w:szCs w:val="24"/>
        </w:rPr>
      </w:pPr>
      <w:r w:rsidRPr="00DD37AF">
        <w:rPr>
          <w:rFonts w:ascii="Times New Roman" w:hAnsi="Times New Roman" w:cs="Times New Roman"/>
          <w:bCs/>
          <w:color w:val="000000" w:themeColor="text1"/>
          <w:sz w:val="24"/>
          <w:szCs w:val="24"/>
        </w:rPr>
        <w:t>Nitrogen (N) cycling in soils involves a complex interaction of chemical and biological processes. Nitrogen is essential for vigorous foliage growth and plays a major role in leaf development. It also imparts the characteristic green color to plants by supporting chlorophyll synthesis. In the present study, total N was estimated using the Kjeldahl digestion–distillation method as described by Bremner and Mulvaney (1982).</w:t>
      </w:r>
    </w:p>
    <w:p w14:paraId="6E2623EC" w14:textId="0EEB2148" w:rsidR="00605DA7" w:rsidRPr="00DD37AF" w:rsidRDefault="00605DA7" w:rsidP="00B72E98">
      <w:pPr>
        <w:spacing w:line="360" w:lineRule="auto"/>
        <w:jc w:val="both"/>
        <w:rPr>
          <w:rFonts w:ascii="Times New Roman" w:hAnsi="Times New Roman" w:cs="Times New Roman"/>
          <w:b/>
          <w:color w:val="000000" w:themeColor="text1"/>
          <w:sz w:val="24"/>
          <w:szCs w:val="24"/>
        </w:rPr>
      </w:pPr>
      <w:r w:rsidRPr="00DD37AF">
        <w:rPr>
          <w:rFonts w:ascii="Times New Roman" w:hAnsi="Times New Roman" w:cs="Times New Roman"/>
          <w:b/>
          <w:color w:val="000000" w:themeColor="text1"/>
          <w:sz w:val="24"/>
          <w:szCs w:val="24"/>
        </w:rPr>
        <w:t>Estimation of phosphorous</w:t>
      </w:r>
    </w:p>
    <w:p w14:paraId="067D7764" w14:textId="77777777" w:rsidR="00B72E98" w:rsidRPr="00DD37AF" w:rsidRDefault="00B72E98" w:rsidP="00B72E98">
      <w:pPr>
        <w:spacing w:line="360" w:lineRule="auto"/>
        <w:jc w:val="both"/>
        <w:rPr>
          <w:rFonts w:ascii="Times New Roman" w:hAnsi="Times New Roman" w:cs="Times New Roman"/>
          <w:bCs/>
          <w:color w:val="000000" w:themeColor="text1"/>
          <w:sz w:val="24"/>
          <w:szCs w:val="24"/>
        </w:rPr>
      </w:pPr>
      <w:r w:rsidRPr="00DD37AF">
        <w:rPr>
          <w:rFonts w:ascii="Times New Roman" w:hAnsi="Times New Roman" w:cs="Times New Roman"/>
          <w:bCs/>
          <w:color w:val="000000" w:themeColor="text1"/>
          <w:sz w:val="24"/>
          <w:szCs w:val="24"/>
        </w:rPr>
        <w:t>Phosphorus (P) is essential for photosynthesis, energy transfer, and proper flower and fruit development. It plays a key role in root growth, flowering, and improving plant tolerance to harsh climatic and environmental stress conditions. Plants absorb phosphorus primarily in the form of phosphate ions (PO₄³⁻) derived from phosphoric acid compounds in the soil. In the present study, available P was estimated using the stannous chloride–reduced molybdophosphoric blue colorimetric method (Raptopoulou et al., 2016). The molybdenum blue colorimetric approach is a well-established method for phosphorus determination in soil extracts.</w:t>
      </w:r>
    </w:p>
    <w:p w14:paraId="5D2628F1" w14:textId="3887BCA4" w:rsidR="00605DA7" w:rsidRPr="00DD37AF" w:rsidRDefault="00605DA7" w:rsidP="00605DA7">
      <w:pPr>
        <w:spacing w:line="360" w:lineRule="auto"/>
        <w:jc w:val="both"/>
        <w:rPr>
          <w:rFonts w:ascii="Times New Roman" w:hAnsi="Times New Roman" w:cs="Times New Roman"/>
          <w:b/>
          <w:color w:val="000000" w:themeColor="text1"/>
          <w:sz w:val="24"/>
          <w:szCs w:val="24"/>
        </w:rPr>
      </w:pPr>
      <w:r w:rsidRPr="00DD37AF">
        <w:rPr>
          <w:rFonts w:ascii="Times New Roman" w:hAnsi="Times New Roman" w:cs="Times New Roman"/>
          <w:b/>
          <w:color w:val="000000" w:themeColor="text1"/>
          <w:sz w:val="24"/>
          <w:szCs w:val="24"/>
        </w:rPr>
        <w:t>Determination of potassium levels</w:t>
      </w:r>
    </w:p>
    <w:p w14:paraId="38116476" w14:textId="1B587C95" w:rsidR="00B72E98" w:rsidRPr="00DD37AF" w:rsidRDefault="00B72E98" w:rsidP="00605DA7">
      <w:pPr>
        <w:spacing w:line="360" w:lineRule="auto"/>
        <w:jc w:val="both"/>
        <w:rPr>
          <w:rFonts w:ascii="Times New Roman" w:hAnsi="Times New Roman" w:cs="Times New Roman"/>
          <w:bCs/>
          <w:color w:val="000000" w:themeColor="text1"/>
          <w:sz w:val="24"/>
          <w:szCs w:val="24"/>
        </w:rPr>
      </w:pPr>
      <w:r w:rsidRPr="00DD37AF">
        <w:rPr>
          <w:rFonts w:ascii="Times New Roman" w:hAnsi="Times New Roman" w:cs="Times New Roman"/>
          <w:bCs/>
          <w:color w:val="000000" w:themeColor="text1"/>
          <w:sz w:val="24"/>
          <w:szCs w:val="24"/>
        </w:rPr>
        <w:t>Potassium (K) strengthens plants, promotes early growth, and plays a vital role in water regulation within plant tissues. It also enhances plant resistance to diseases and insect attack. In the present study, available K was determined using a flame photometer after extraction with neutral 1 N ammonium acetate, following the method of Hanway and Heidel (1952).</w:t>
      </w:r>
    </w:p>
    <w:p w14:paraId="74AB8DFC" w14:textId="11D973B5" w:rsidR="00605DA7" w:rsidRPr="00DD37AF" w:rsidRDefault="00605DA7" w:rsidP="00605DA7">
      <w:pPr>
        <w:spacing w:line="360" w:lineRule="auto"/>
        <w:jc w:val="both"/>
        <w:rPr>
          <w:rFonts w:ascii="Times New Roman" w:hAnsi="Times New Roman" w:cs="Times New Roman"/>
          <w:b/>
          <w:color w:val="000000" w:themeColor="text1"/>
          <w:sz w:val="24"/>
          <w:szCs w:val="24"/>
        </w:rPr>
      </w:pPr>
      <w:r w:rsidRPr="00DD37AF">
        <w:rPr>
          <w:rFonts w:ascii="Times New Roman" w:hAnsi="Times New Roman" w:cs="Times New Roman"/>
          <w:b/>
          <w:color w:val="000000" w:themeColor="text1"/>
          <w:sz w:val="24"/>
          <w:szCs w:val="24"/>
        </w:rPr>
        <w:lastRenderedPageBreak/>
        <w:t>Determination of Calcium</w:t>
      </w:r>
    </w:p>
    <w:p w14:paraId="61301225" w14:textId="5B7949BE" w:rsidR="00D573EC" w:rsidRPr="00DD37AF" w:rsidRDefault="00D573EC" w:rsidP="00605DA7">
      <w:pPr>
        <w:spacing w:line="360" w:lineRule="auto"/>
        <w:jc w:val="both"/>
        <w:rPr>
          <w:rFonts w:ascii="Times New Roman" w:hAnsi="Times New Roman" w:cs="Times New Roman"/>
          <w:bCs/>
          <w:color w:val="000000" w:themeColor="text1"/>
          <w:sz w:val="24"/>
          <w:szCs w:val="24"/>
        </w:rPr>
      </w:pPr>
      <w:r w:rsidRPr="00DD37AF">
        <w:rPr>
          <w:rFonts w:ascii="Times New Roman" w:hAnsi="Times New Roman" w:cs="Times New Roman"/>
          <w:bCs/>
          <w:color w:val="000000" w:themeColor="text1"/>
          <w:sz w:val="24"/>
          <w:szCs w:val="24"/>
        </w:rPr>
        <w:t>Calcium (Ca) plays an essential role in the growth and development of plant cell walls. Well-developed cell walls improve structural strength and enhance resistance to diseases. Calcium is also important in cellular metabolism and facilitates the uptake of nitrate (NO₃⁻) by plants. In the present study, Ca was determined by (EDTA) titrimetric method following Cheng and Bray (1951).</w:t>
      </w:r>
    </w:p>
    <w:p w14:paraId="553BA83E" w14:textId="1673527C" w:rsidR="00605DA7" w:rsidRPr="00DD37AF" w:rsidRDefault="00605DA7" w:rsidP="00605DA7">
      <w:pPr>
        <w:spacing w:line="360" w:lineRule="auto"/>
        <w:jc w:val="both"/>
        <w:rPr>
          <w:rFonts w:ascii="Times New Roman" w:hAnsi="Times New Roman" w:cs="Times New Roman"/>
          <w:b/>
          <w:color w:val="000000" w:themeColor="text1"/>
          <w:sz w:val="24"/>
          <w:szCs w:val="24"/>
        </w:rPr>
      </w:pPr>
      <w:r w:rsidRPr="00DD37AF">
        <w:rPr>
          <w:rFonts w:ascii="Times New Roman" w:hAnsi="Times New Roman" w:cs="Times New Roman"/>
          <w:b/>
          <w:color w:val="000000" w:themeColor="text1"/>
          <w:sz w:val="24"/>
          <w:szCs w:val="24"/>
        </w:rPr>
        <w:t xml:space="preserve">Estimation of magnesium </w:t>
      </w:r>
    </w:p>
    <w:p w14:paraId="10A03473" w14:textId="1CC83F25" w:rsidR="00D573EC" w:rsidRDefault="00D573EC" w:rsidP="00605DA7">
      <w:pPr>
        <w:spacing w:line="360" w:lineRule="auto"/>
        <w:jc w:val="both"/>
        <w:rPr>
          <w:rFonts w:ascii="Times New Roman" w:hAnsi="Times New Roman" w:cs="Times New Roman"/>
          <w:bCs/>
          <w:color w:val="000000" w:themeColor="text1"/>
          <w:sz w:val="24"/>
          <w:szCs w:val="24"/>
        </w:rPr>
      </w:pPr>
      <w:r w:rsidRPr="00DD37AF">
        <w:rPr>
          <w:rFonts w:ascii="Times New Roman" w:hAnsi="Times New Roman" w:cs="Times New Roman"/>
          <w:bCs/>
          <w:color w:val="000000" w:themeColor="text1"/>
          <w:sz w:val="24"/>
          <w:szCs w:val="24"/>
        </w:rPr>
        <w:t>Magnesium (Mg) is an essential component of chlorophyll and therefore contributes to the green coloration of plants. In soil samples, exchangeable Mg was determined from the neutral 1 N ammonium acetate extract (pH 7.0), the same extract used for Ca estimation, followed by EDTA complexometric titration. The procedure followed the standard soil analytical protocol described by Page et al.</w:t>
      </w:r>
      <w:r w:rsidR="00AF2914" w:rsidRPr="00DD37AF">
        <w:rPr>
          <w:rFonts w:ascii="Times New Roman" w:hAnsi="Times New Roman" w:cs="Times New Roman"/>
          <w:bCs/>
          <w:color w:val="000000" w:themeColor="text1"/>
          <w:sz w:val="24"/>
          <w:szCs w:val="24"/>
        </w:rPr>
        <w:t>,</w:t>
      </w:r>
      <w:r w:rsidRPr="00DD37AF">
        <w:rPr>
          <w:rFonts w:ascii="Times New Roman" w:hAnsi="Times New Roman" w:cs="Times New Roman"/>
          <w:bCs/>
          <w:color w:val="000000" w:themeColor="text1"/>
          <w:sz w:val="24"/>
          <w:szCs w:val="24"/>
        </w:rPr>
        <w:t xml:space="preserve"> 1982.</w:t>
      </w:r>
    </w:p>
    <w:p w14:paraId="6D548AAE" w14:textId="77777777" w:rsidR="00471219" w:rsidRPr="00DD37AF" w:rsidRDefault="00471219" w:rsidP="00605DA7">
      <w:pPr>
        <w:spacing w:line="360" w:lineRule="auto"/>
        <w:jc w:val="both"/>
        <w:rPr>
          <w:rFonts w:ascii="Times New Roman" w:hAnsi="Times New Roman" w:cs="Times New Roman"/>
          <w:bCs/>
          <w:color w:val="000000" w:themeColor="text1"/>
          <w:sz w:val="24"/>
          <w:szCs w:val="24"/>
        </w:rPr>
      </w:pPr>
    </w:p>
    <w:p w14:paraId="23C1ECA3" w14:textId="61A001DA" w:rsidR="00F15E6E" w:rsidRPr="00DD37AF" w:rsidRDefault="00605DA7" w:rsidP="00F15E6E">
      <w:pPr>
        <w:spacing w:line="360" w:lineRule="auto"/>
        <w:jc w:val="both"/>
        <w:rPr>
          <w:rFonts w:ascii="Times New Roman" w:hAnsi="Times New Roman" w:cs="Times New Roman"/>
          <w:b/>
          <w:color w:val="000000" w:themeColor="text1"/>
          <w:sz w:val="24"/>
          <w:szCs w:val="24"/>
        </w:rPr>
      </w:pPr>
      <w:r w:rsidRPr="00DD37AF">
        <w:rPr>
          <w:rFonts w:ascii="Times New Roman" w:hAnsi="Times New Roman" w:cs="Times New Roman"/>
          <w:b/>
          <w:color w:val="000000" w:themeColor="text1"/>
          <w:sz w:val="24"/>
          <w:szCs w:val="24"/>
        </w:rPr>
        <w:t>Estimation of acidity</w:t>
      </w:r>
    </w:p>
    <w:p w14:paraId="55194194" w14:textId="4D44442E" w:rsidR="00F15E6E" w:rsidRPr="00DD37AF" w:rsidRDefault="00F15E6E" w:rsidP="00F15E6E">
      <w:pPr>
        <w:spacing w:line="360" w:lineRule="auto"/>
        <w:jc w:val="both"/>
        <w:rPr>
          <w:rFonts w:ascii="Times New Roman" w:hAnsi="Times New Roman" w:cs="Times New Roman"/>
          <w:bCs/>
          <w:color w:val="000000" w:themeColor="text1"/>
          <w:sz w:val="24"/>
          <w:szCs w:val="24"/>
        </w:rPr>
      </w:pPr>
      <w:r w:rsidRPr="00DD37AF">
        <w:rPr>
          <w:rFonts w:ascii="Times New Roman" w:hAnsi="Times New Roman" w:cs="Times New Roman"/>
          <w:bCs/>
          <w:color w:val="000000" w:themeColor="text1"/>
          <w:sz w:val="24"/>
          <w:szCs w:val="24"/>
        </w:rPr>
        <w:t>Acidity was determined by the titrimetric method. Soil samples were extracted with 1 N KCl, and the extract was subsequently titrated against 0.01 N NaOH using phenolphthalein as the indicator, following the procedure described by Thomas (1982).</w:t>
      </w:r>
    </w:p>
    <w:p w14:paraId="266A8CC0" w14:textId="77777777" w:rsidR="00605DA7" w:rsidRPr="00DD37AF" w:rsidRDefault="00605DA7" w:rsidP="00605DA7">
      <w:pPr>
        <w:spacing w:line="360" w:lineRule="auto"/>
        <w:jc w:val="both"/>
        <w:rPr>
          <w:rFonts w:ascii="Times New Roman" w:hAnsi="Times New Roman" w:cs="Times New Roman"/>
          <w:b/>
          <w:color w:val="000000" w:themeColor="text1"/>
          <w:sz w:val="24"/>
          <w:szCs w:val="24"/>
        </w:rPr>
      </w:pPr>
      <w:r w:rsidRPr="00DD37AF">
        <w:rPr>
          <w:rFonts w:ascii="Times New Roman" w:hAnsi="Times New Roman" w:cs="Times New Roman"/>
          <w:b/>
          <w:color w:val="000000" w:themeColor="text1"/>
          <w:sz w:val="24"/>
          <w:szCs w:val="24"/>
        </w:rPr>
        <w:t xml:space="preserve">Estimation of heavy metals (Microwave digestion) </w:t>
      </w:r>
    </w:p>
    <w:p w14:paraId="0A30B366" w14:textId="48DD867A" w:rsidR="00744AC8" w:rsidRPr="00DD37AF" w:rsidRDefault="00FF724B" w:rsidP="00FF724B">
      <w:pPr>
        <w:spacing w:line="360" w:lineRule="auto"/>
        <w:jc w:val="both"/>
        <w:rPr>
          <w:rFonts w:ascii="Times New Roman" w:hAnsi="Times New Roman" w:cs="Times New Roman"/>
          <w:color w:val="000000" w:themeColor="text1"/>
          <w:sz w:val="24"/>
          <w:szCs w:val="24"/>
        </w:rPr>
      </w:pPr>
      <w:r w:rsidRPr="00DD37AF">
        <w:rPr>
          <w:rFonts w:ascii="Times New Roman" w:hAnsi="Times New Roman" w:cs="Times New Roman"/>
          <w:color w:val="000000" w:themeColor="text1"/>
          <w:sz w:val="24"/>
          <w:szCs w:val="24"/>
        </w:rPr>
        <w:t>Heavy metals were determined after microwave-assisted acid digestion of the soil samples. Approximately 0.5 g of soil was digested with 10 mL HNO₃ and 2 mL H₂O₂ under microwave conditions at 210°C for 35 min. After digestion, the solution was diluted to 50 mL with deionized water and analyzed using inductively coupled plasma–optical emission spectrometry (ICP-OES), following the method of Giussani and Pozzi (2000).</w:t>
      </w:r>
    </w:p>
    <w:p w14:paraId="5B63B75A" w14:textId="77777777" w:rsidR="00605DA7" w:rsidRPr="00DD37AF" w:rsidRDefault="00605DA7" w:rsidP="00605DA7">
      <w:pPr>
        <w:spacing w:line="360" w:lineRule="auto"/>
        <w:jc w:val="both"/>
        <w:rPr>
          <w:rFonts w:ascii="Times New Roman" w:hAnsi="Times New Roman" w:cs="Times New Roman"/>
          <w:b/>
          <w:bCs/>
          <w:color w:val="000000" w:themeColor="text1"/>
          <w:sz w:val="24"/>
          <w:szCs w:val="24"/>
        </w:rPr>
      </w:pPr>
      <w:r w:rsidRPr="00DD37AF">
        <w:rPr>
          <w:rFonts w:ascii="Times New Roman" w:hAnsi="Times New Roman" w:cs="Times New Roman"/>
          <w:b/>
          <w:bCs/>
          <w:color w:val="000000" w:themeColor="text1"/>
          <w:sz w:val="24"/>
          <w:szCs w:val="24"/>
        </w:rPr>
        <w:t>Results</w:t>
      </w:r>
    </w:p>
    <w:p w14:paraId="1FACF5AB" w14:textId="77777777" w:rsidR="00DE23C1" w:rsidRPr="00DD37AF" w:rsidRDefault="00605DA7" w:rsidP="00605DA7">
      <w:pPr>
        <w:spacing w:line="360" w:lineRule="auto"/>
        <w:jc w:val="both"/>
        <w:rPr>
          <w:rFonts w:ascii="Times New Roman" w:hAnsi="Times New Roman" w:cs="Times New Roman"/>
          <w:b/>
          <w:bCs/>
          <w:color w:val="000000" w:themeColor="text1"/>
          <w:sz w:val="24"/>
          <w:szCs w:val="24"/>
        </w:rPr>
      </w:pPr>
      <w:r w:rsidRPr="00DD37AF">
        <w:rPr>
          <w:rFonts w:ascii="Times New Roman" w:hAnsi="Times New Roman" w:cs="Times New Roman"/>
          <w:b/>
          <w:bCs/>
          <w:color w:val="000000" w:themeColor="text1"/>
          <w:sz w:val="24"/>
          <w:szCs w:val="24"/>
        </w:rPr>
        <w:t>pH estimation</w:t>
      </w:r>
    </w:p>
    <w:p w14:paraId="441839E3" w14:textId="67F0E5CE" w:rsidR="00DE23C1" w:rsidRPr="00DD37AF" w:rsidRDefault="00DE23C1" w:rsidP="00605DA7">
      <w:pPr>
        <w:spacing w:line="360" w:lineRule="auto"/>
        <w:jc w:val="both"/>
        <w:rPr>
          <w:rFonts w:ascii="Times New Roman" w:hAnsi="Times New Roman" w:cs="Times New Roman"/>
          <w:b/>
          <w:bCs/>
          <w:color w:val="000000" w:themeColor="text1"/>
          <w:sz w:val="24"/>
          <w:szCs w:val="24"/>
        </w:rPr>
      </w:pPr>
      <w:r w:rsidRPr="00DD37AF">
        <w:rPr>
          <w:rFonts w:ascii="Times New Roman" w:hAnsi="Times New Roman" w:cs="Times New Roman"/>
          <w:bCs/>
          <w:color w:val="000000" w:themeColor="text1"/>
          <w:sz w:val="24"/>
          <w:szCs w:val="24"/>
        </w:rPr>
        <w:lastRenderedPageBreak/>
        <w:t>Soil pH varied across the studied land-use zones, ranging from 7.05 to 8.91. The agricultural soil from Chikkaballapur showed near-neutral pH (7.05), whereas soils from Hoskote, Rajajinagar, and Magadi Road were alkaline, with pH values of 8.91, 8.23, and 8.72, respectively (Table 1; Figure 1).</w:t>
      </w:r>
    </w:p>
    <w:p w14:paraId="39BB9CD2" w14:textId="77777777" w:rsidR="00605DA7" w:rsidRPr="00DD37AF" w:rsidRDefault="00605DA7" w:rsidP="00605DA7">
      <w:pPr>
        <w:spacing w:line="360" w:lineRule="auto"/>
        <w:jc w:val="both"/>
        <w:rPr>
          <w:rFonts w:ascii="Times New Roman" w:hAnsi="Times New Roman" w:cs="Times New Roman"/>
          <w:b/>
          <w:bCs/>
          <w:color w:val="000000" w:themeColor="text1"/>
          <w:sz w:val="24"/>
          <w:szCs w:val="24"/>
        </w:rPr>
      </w:pPr>
      <w:r w:rsidRPr="00DD37AF">
        <w:rPr>
          <w:rFonts w:ascii="Times New Roman" w:hAnsi="Times New Roman" w:cs="Times New Roman"/>
          <w:b/>
          <w:bCs/>
          <w:color w:val="000000" w:themeColor="text1"/>
          <w:sz w:val="24"/>
          <w:szCs w:val="24"/>
        </w:rPr>
        <w:t xml:space="preserve">Estimation of Nitrogen  </w:t>
      </w:r>
    </w:p>
    <w:p w14:paraId="2DA2308F" w14:textId="6D27DE41" w:rsidR="00DE23C1" w:rsidRPr="00DD37AF" w:rsidRDefault="00DE23C1" w:rsidP="00605DA7">
      <w:pPr>
        <w:spacing w:line="360" w:lineRule="auto"/>
        <w:jc w:val="both"/>
        <w:rPr>
          <w:rFonts w:ascii="Times New Roman" w:hAnsi="Times New Roman" w:cs="Times New Roman"/>
          <w:color w:val="000000" w:themeColor="text1"/>
          <w:sz w:val="24"/>
          <w:szCs w:val="24"/>
        </w:rPr>
      </w:pPr>
      <w:r w:rsidRPr="00DD37AF">
        <w:rPr>
          <w:rFonts w:ascii="Times New Roman" w:hAnsi="Times New Roman" w:cs="Times New Roman"/>
          <w:color w:val="000000" w:themeColor="text1"/>
          <w:sz w:val="24"/>
          <w:szCs w:val="24"/>
        </w:rPr>
        <w:t>The nitrogen (N) content in soil samples ranged from 0.01% to 0.20% across the study locations. The highest N level was recorded in the residential soil from Magadi Road (0.20%), followed by the industrial soil from Rajajinagar (0.14%) and the agricultural soil from Chikkaballapur (0.13%). The lowest N content was observed in the waste-dumped soil from Hoskote (0.01%) (Table 2; Figure 2).</w:t>
      </w:r>
    </w:p>
    <w:p w14:paraId="46448704" w14:textId="3EA07B2D" w:rsidR="00605DA7" w:rsidRPr="00DD37AF" w:rsidRDefault="00605DA7" w:rsidP="00605DA7">
      <w:pPr>
        <w:spacing w:line="360" w:lineRule="auto"/>
        <w:jc w:val="both"/>
        <w:rPr>
          <w:rFonts w:ascii="Times New Roman" w:hAnsi="Times New Roman" w:cs="Times New Roman"/>
          <w:b/>
          <w:bCs/>
          <w:color w:val="000000" w:themeColor="text1"/>
          <w:sz w:val="24"/>
          <w:szCs w:val="24"/>
        </w:rPr>
      </w:pPr>
      <w:r w:rsidRPr="00DD37AF">
        <w:rPr>
          <w:rFonts w:ascii="Times New Roman" w:hAnsi="Times New Roman" w:cs="Times New Roman"/>
          <w:b/>
          <w:bCs/>
          <w:color w:val="000000" w:themeColor="text1"/>
          <w:sz w:val="24"/>
          <w:szCs w:val="24"/>
        </w:rPr>
        <w:t>Estimation of phosphorus</w:t>
      </w:r>
    </w:p>
    <w:p w14:paraId="3CE7F5E1" w14:textId="0629981E" w:rsidR="00DE23C1" w:rsidRPr="00DD37AF" w:rsidRDefault="00DE23C1" w:rsidP="00605DA7">
      <w:pPr>
        <w:spacing w:line="360" w:lineRule="auto"/>
        <w:jc w:val="both"/>
        <w:rPr>
          <w:rFonts w:ascii="Times New Roman" w:hAnsi="Times New Roman" w:cs="Times New Roman"/>
          <w:color w:val="000000" w:themeColor="text1"/>
          <w:sz w:val="24"/>
          <w:szCs w:val="24"/>
        </w:rPr>
      </w:pPr>
      <w:r w:rsidRPr="00DD37AF">
        <w:rPr>
          <w:rFonts w:ascii="Times New Roman" w:hAnsi="Times New Roman" w:cs="Times New Roman"/>
          <w:color w:val="000000" w:themeColor="text1"/>
          <w:sz w:val="24"/>
          <w:szCs w:val="24"/>
        </w:rPr>
        <w:t>The phosphorus (P) content in soil samples ranged from 0.004% to 0.06% across the study sites. The highest P concentration was observed in the waste-dumped soil from Hoskote (0.06%), followed by the residential soil from Magadi Road (0.04%) and the agricultural soil from Chikkaballapur (0.03%). The lowest P content was recorded in the industrial soil from Rajajinagar (0.004%) (Table 3; Figure 3).</w:t>
      </w:r>
    </w:p>
    <w:p w14:paraId="6CADBC16" w14:textId="237E3C9C" w:rsidR="00605DA7" w:rsidRPr="00DD37AF" w:rsidRDefault="00605DA7" w:rsidP="00605DA7">
      <w:pPr>
        <w:spacing w:line="360" w:lineRule="auto"/>
        <w:jc w:val="both"/>
        <w:rPr>
          <w:rFonts w:ascii="Times New Roman" w:hAnsi="Times New Roman" w:cs="Times New Roman"/>
          <w:b/>
          <w:bCs/>
          <w:color w:val="000000" w:themeColor="text1"/>
          <w:sz w:val="24"/>
          <w:szCs w:val="24"/>
        </w:rPr>
      </w:pPr>
      <w:r w:rsidRPr="00DD37AF">
        <w:rPr>
          <w:rFonts w:ascii="Times New Roman" w:hAnsi="Times New Roman" w:cs="Times New Roman"/>
          <w:b/>
          <w:bCs/>
          <w:color w:val="000000" w:themeColor="text1"/>
          <w:sz w:val="24"/>
          <w:szCs w:val="24"/>
        </w:rPr>
        <w:t>Estimation of Potassium</w:t>
      </w:r>
    </w:p>
    <w:p w14:paraId="59B2F9FE" w14:textId="318C94A4" w:rsidR="0085365C" w:rsidRPr="00DD37AF" w:rsidRDefault="0085365C" w:rsidP="00605DA7">
      <w:pPr>
        <w:spacing w:line="360" w:lineRule="auto"/>
        <w:jc w:val="both"/>
        <w:rPr>
          <w:rFonts w:ascii="Times New Roman" w:hAnsi="Times New Roman" w:cs="Times New Roman"/>
          <w:color w:val="000000" w:themeColor="text1"/>
          <w:sz w:val="24"/>
          <w:szCs w:val="24"/>
        </w:rPr>
      </w:pPr>
      <w:r w:rsidRPr="00DD37AF">
        <w:rPr>
          <w:rFonts w:ascii="Times New Roman" w:hAnsi="Times New Roman" w:cs="Times New Roman"/>
          <w:color w:val="000000" w:themeColor="text1"/>
          <w:sz w:val="24"/>
          <w:szCs w:val="24"/>
        </w:rPr>
        <w:t>The potassium (K) content in soil samples ranged from 0.03% to 0.08% across the study locations. The highest K concentration was recorded in the waste-dumped soil from Hoskote (0.08%), followed by the agricultural soil from Chikkaballapur (0.06%) and the residential soil from Magadi Road (0.04%). The lowest K content was observed in the industrial soil from Rajajinagar (0.03%) (Table 4; Figure 4).</w:t>
      </w:r>
    </w:p>
    <w:p w14:paraId="33D37212" w14:textId="77777777" w:rsidR="00605DA7" w:rsidRPr="00DD37AF" w:rsidRDefault="00605DA7" w:rsidP="00605DA7">
      <w:pPr>
        <w:spacing w:line="360" w:lineRule="auto"/>
        <w:jc w:val="both"/>
        <w:rPr>
          <w:rFonts w:ascii="Times New Roman" w:hAnsi="Times New Roman" w:cs="Times New Roman"/>
          <w:color w:val="000000" w:themeColor="text1"/>
          <w:sz w:val="24"/>
          <w:szCs w:val="24"/>
        </w:rPr>
      </w:pPr>
      <w:r w:rsidRPr="00DD37AF">
        <w:rPr>
          <w:rFonts w:ascii="Times New Roman" w:hAnsi="Times New Roman" w:cs="Times New Roman"/>
          <w:b/>
          <w:bCs/>
          <w:color w:val="000000" w:themeColor="text1"/>
          <w:sz w:val="24"/>
          <w:szCs w:val="24"/>
        </w:rPr>
        <w:t>Estimation of Calcium</w:t>
      </w:r>
    </w:p>
    <w:p w14:paraId="6F298C3B" w14:textId="50A684E3" w:rsidR="00603443" w:rsidRPr="00DD37AF" w:rsidRDefault="00603443" w:rsidP="00605DA7">
      <w:pPr>
        <w:spacing w:line="360" w:lineRule="auto"/>
        <w:jc w:val="both"/>
        <w:rPr>
          <w:rFonts w:ascii="Times New Roman" w:hAnsi="Times New Roman" w:cs="Times New Roman"/>
          <w:color w:val="000000" w:themeColor="text1"/>
          <w:sz w:val="24"/>
          <w:szCs w:val="24"/>
        </w:rPr>
      </w:pPr>
      <w:r w:rsidRPr="00DD37AF">
        <w:rPr>
          <w:rFonts w:ascii="Times New Roman" w:hAnsi="Times New Roman" w:cs="Times New Roman"/>
          <w:color w:val="000000" w:themeColor="text1"/>
          <w:sz w:val="24"/>
          <w:szCs w:val="24"/>
        </w:rPr>
        <w:t>The calcium (Ca) content in soil samples ranged from 0.02% to 0.04% across the study locations. The highest Ca concentration was recorded in the waste-dumped soil from Hoskote (0.04%), followed by the agricultural soil from Chikkaballapur (0.03%). The lowest Ca content was observed in both the industrial soil from Rajajinagar and the residential soil from Magadi Road, each recording 0.02% (Table 5; Figure 5).</w:t>
      </w:r>
    </w:p>
    <w:p w14:paraId="19CE8C5E" w14:textId="50F55779" w:rsidR="00605DA7" w:rsidRPr="00DD37AF" w:rsidRDefault="00605DA7" w:rsidP="00605DA7">
      <w:pPr>
        <w:spacing w:line="360" w:lineRule="auto"/>
        <w:jc w:val="both"/>
        <w:rPr>
          <w:rFonts w:ascii="Times New Roman" w:hAnsi="Times New Roman" w:cs="Times New Roman"/>
          <w:b/>
          <w:bCs/>
          <w:color w:val="000000" w:themeColor="text1"/>
          <w:sz w:val="24"/>
          <w:szCs w:val="24"/>
        </w:rPr>
      </w:pPr>
      <w:r w:rsidRPr="00DD37AF">
        <w:rPr>
          <w:rFonts w:ascii="Times New Roman" w:hAnsi="Times New Roman" w:cs="Times New Roman"/>
          <w:b/>
          <w:bCs/>
          <w:color w:val="000000" w:themeColor="text1"/>
          <w:sz w:val="24"/>
          <w:szCs w:val="24"/>
        </w:rPr>
        <w:t>Estimation of Magnesium</w:t>
      </w:r>
    </w:p>
    <w:p w14:paraId="7FCE3B64" w14:textId="3948EC13" w:rsidR="00603443" w:rsidRPr="00DD37AF" w:rsidRDefault="00603443" w:rsidP="00603443">
      <w:pPr>
        <w:spacing w:line="360" w:lineRule="auto"/>
        <w:jc w:val="both"/>
        <w:rPr>
          <w:rFonts w:ascii="Times New Roman" w:hAnsi="Times New Roman" w:cs="Times New Roman"/>
          <w:color w:val="000000" w:themeColor="text1"/>
          <w:sz w:val="24"/>
          <w:szCs w:val="24"/>
        </w:rPr>
      </w:pPr>
      <w:r w:rsidRPr="00DD37AF">
        <w:rPr>
          <w:rFonts w:ascii="Times New Roman" w:hAnsi="Times New Roman" w:cs="Times New Roman"/>
          <w:color w:val="000000" w:themeColor="text1"/>
          <w:sz w:val="24"/>
          <w:szCs w:val="24"/>
        </w:rPr>
        <w:lastRenderedPageBreak/>
        <w:t>The magnesium (Mg) content in soil samples ranged from 0.01% to 0.03% across the study locations. The highest Mg concentration was recorded in the agricultural soil from Chikkaballapur (0.03%), followed by the waste-dumped soil from Hoskote and the industrial soil from Rajajinagar, each showing 0.02%. The lowest Mg content was observed in the residential soil from Magadi Road (0.01%) (Table 6; Figure 6).</w:t>
      </w:r>
    </w:p>
    <w:p w14:paraId="65CBA2BA" w14:textId="6B5AC033" w:rsidR="00605DA7" w:rsidRPr="00DD37AF" w:rsidRDefault="00605DA7" w:rsidP="00605DA7">
      <w:pPr>
        <w:tabs>
          <w:tab w:val="left" w:pos="5400"/>
        </w:tabs>
        <w:spacing w:line="360" w:lineRule="auto"/>
        <w:jc w:val="both"/>
        <w:rPr>
          <w:rFonts w:ascii="Times New Roman" w:hAnsi="Times New Roman" w:cs="Times New Roman"/>
          <w:b/>
          <w:bCs/>
          <w:color w:val="000000" w:themeColor="text1"/>
          <w:sz w:val="24"/>
          <w:szCs w:val="24"/>
        </w:rPr>
      </w:pPr>
      <w:r w:rsidRPr="00DD37AF">
        <w:rPr>
          <w:rFonts w:ascii="Times New Roman" w:hAnsi="Times New Roman" w:cs="Times New Roman"/>
          <w:b/>
          <w:bCs/>
          <w:color w:val="000000" w:themeColor="text1"/>
          <w:sz w:val="24"/>
          <w:szCs w:val="24"/>
        </w:rPr>
        <w:t>Estimation of acidity</w:t>
      </w:r>
    </w:p>
    <w:p w14:paraId="5CDA5DC1" w14:textId="7FB2EC4E" w:rsidR="00603443" w:rsidRDefault="00603443" w:rsidP="00603443">
      <w:pPr>
        <w:tabs>
          <w:tab w:val="left" w:pos="5400"/>
        </w:tabs>
        <w:spacing w:line="360" w:lineRule="auto"/>
        <w:jc w:val="both"/>
        <w:rPr>
          <w:rFonts w:ascii="Times New Roman" w:hAnsi="Times New Roman" w:cs="Times New Roman"/>
          <w:color w:val="000000" w:themeColor="text1"/>
          <w:sz w:val="24"/>
          <w:szCs w:val="24"/>
        </w:rPr>
      </w:pPr>
      <w:r w:rsidRPr="00DD37AF">
        <w:rPr>
          <w:rFonts w:ascii="Times New Roman" w:hAnsi="Times New Roman" w:cs="Times New Roman"/>
          <w:color w:val="000000" w:themeColor="text1"/>
          <w:sz w:val="24"/>
          <w:szCs w:val="24"/>
        </w:rPr>
        <w:t>The highest acidity was recorded in the agricultural soil from Chikkaballapur (0.03%), followed by the industrial soil from Rajajinagar (0.01%). No measurable acidity was observed in the waste-dumped soil from Hoskote and the residential soil from Magadi Road, both recording 0.00% (Table 8; Figure 12).</w:t>
      </w:r>
    </w:p>
    <w:p w14:paraId="2F1375DD" w14:textId="189D754E" w:rsidR="009E1815" w:rsidRDefault="009E1815" w:rsidP="00603443">
      <w:pPr>
        <w:tabs>
          <w:tab w:val="left" w:pos="5400"/>
        </w:tabs>
        <w:spacing w:line="360" w:lineRule="auto"/>
        <w:jc w:val="both"/>
        <w:rPr>
          <w:rFonts w:ascii="Times New Roman" w:hAnsi="Times New Roman" w:cs="Times New Roman"/>
          <w:b/>
          <w:color w:val="000000" w:themeColor="text1"/>
          <w:sz w:val="24"/>
          <w:szCs w:val="24"/>
        </w:rPr>
      </w:pPr>
      <w:r w:rsidRPr="00DD37AF">
        <w:rPr>
          <w:rFonts w:ascii="Times New Roman" w:hAnsi="Times New Roman" w:cs="Times New Roman"/>
          <w:b/>
          <w:color w:val="000000" w:themeColor="text1"/>
          <w:sz w:val="24"/>
          <w:szCs w:val="24"/>
        </w:rPr>
        <w:t>Estimation of heavy metals</w:t>
      </w:r>
    </w:p>
    <w:p w14:paraId="0CE436B6" w14:textId="77777777" w:rsidR="00983449" w:rsidRPr="00983449" w:rsidRDefault="00983449" w:rsidP="00983449">
      <w:pPr>
        <w:tabs>
          <w:tab w:val="left" w:pos="5400"/>
        </w:tabs>
        <w:spacing w:line="360" w:lineRule="auto"/>
        <w:jc w:val="both"/>
        <w:rPr>
          <w:rFonts w:ascii="Times New Roman" w:hAnsi="Times New Roman" w:cs="Times New Roman"/>
          <w:bCs/>
          <w:color w:val="000000" w:themeColor="text1"/>
          <w:sz w:val="24"/>
          <w:szCs w:val="24"/>
        </w:rPr>
      </w:pPr>
      <w:r w:rsidRPr="00983449">
        <w:rPr>
          <w:rFonts w:ascii="Times New Roman" w:hAnsi="Times New Roman" w:cs="Times New Roman"/>
          <w:bCs/>
          <w:color w:val="000000" w:themeColor="text1"/>
          <w:sz w:val="24"/>
          <w:szCs w:val="24"/>
        </w:rPr>
        <w:t>The concentrations of heavy metals and micronutrients, including Pb, Hg, Zn, Cu, and Fe, were determined in all soil samples. The corresponding data are presented in Table 7 and Figures 7–11, respectively.</w:t>
      </w:r>
    </w:p>
    <w:p w14:paraId="4CC2CF7C" w14:textId="3CD2B695" w:rsidR="00216216" w:rsidRDefault="002F31A2" w:rsidP="00603443">
      <w:pPr>
        <w:tabs>
          <w:tab w:val="left" w:pos="5400"/>
        </w:tabs>
        <w:spacing w:line="36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and t</w:t>
      </w:r>
      <w:r w:rsidR="00216216">
        <w:rPr>
          <w:rFonts w:ascii="Times New Roman" w:hAnsi="Times New Roman" w:cs="Times New Roman"/>
          <w:color w:val="000000" w:themeColor="text1"/>
          <w:sz w:val="24"/>
          <w:szCs w:val="24"/>
        </w:rPr>
        <w:t>he elevated levels of heavy metals like Pb, Hg, Zn, Cu and Fe</w:t>
      </w:r>
      <w:r w:rsidR="00BB0320">
        <w:rPr>
          <w:rFonts w:ascii="Times New Roman" w:hAnsi="Times New Roman" w:cs="Times New Roman"/>
          <w:color w:val="000000" w:themeColor="text1"/>
          <w:sz w:val="24"/>
          <w:szCs w:val="24"/>
        </w:rPr>
        <w:t xml:space="preserve"> </w:t>
      </w:r>
      <w:r w:rsidR="008E01E6">
        <w:rPr>
          <w:rFonts w:ascii="Times New Roman" w:hAnsi="Times New Roman" w:cs="Times New Roman"/>
          <w:color w:val="000000" w:themeColor="text1"/>
          <w:sz w:val="24"/>
          <w:szCs w:val="24"/>
        </w:rPr>
        <w:t xml:space="preserve">in soil samples collected from different areas of Bangalore, </w:t>
      </w:r>
      <w:r w:rsidR="00BB0320">
        <w:rPr>
          <w:rFonts w:ascii="Times New Roman" w:hAnsi="Times New Roman" w:cs="Times New Roman"/>
          <w:color w:val="000000" w:themeColor="text1"/>
          <w:sz w:val="24"/>
          <w:szCs w:val="24"/>
        </w:rPr>
        <w:t>are represented in figure 13 to 17 respectively.</w:t>
      </w:r>
    </w:p>
    <w:p w14:paraId="7C1558AB" w14:textId="77777777" w:rsidR="00471219" w:rsidRPr="00DD37AF" w:rsidRDefault="00471219" w:rsidP="00603443">
      <w:pPr>
        <w:tabs>
          <w:tab w:val="left" w:pos="5400"/>
        </w:tabs>
        <w:spacing w:line="360" w:lineRule="auto"/>
        <w:jc w:val="both"/>
        <w:rPr>
          <w:rFonts w:ascii="Times New Roman" w:hAnsi="Times New Roman" w:cs="Times New Roman"/>
          <w:color w:val="000000" w:themeColor="text1"/>
          <w:sz w:val="24"/>
          <w:szCs w:val="24"/>
        </w:rPr>
      </w:pPr>
    </w:p>
    <w:p w14:paraId="7937CDF9" w14:textId="70C8A7CD" w:rsidR="00F9565D" w:rsidRPr="00DD37AF" w:rsidRDefault="00F9565D" w:rsidP="005C081B">
      <w:pPr>
        <w:pStyle w:val="footer"/>
        <w:spacing w:line="360" w:lineRule="auto"/>
        <w:jc w:val="both"/>
        <w:rPr>
          <w:rFonts w:ascii="Times New Roman" w:hAnsi="Times New Roman"/>
          <w:b/>
          <w:color w:val="000000" w:themeColor="text1"/>
        </w:rPr>
      </w:pPr>
      <w:r w:rsidRPr="00DD37AF">
        <w:rPr>
          <w:rFonts w:ascii="Times New Roman" w:hAnsi="Times New Roman"/>
          <w:b/>
          <w:color w:val="000000" w:themeColor="text1"/>
        </w:rPr>
        <w:t xml:space="preserve">Discussion </w:t>
      </w:r>
    </w:p>
    <w:p w14:paraId="77A51858" w14:textId="49BDF317" w:rsidR="00D84678" w:rsidRPr="00DD37AF" w:rsidRDefault="00D84678" w:rsidP="00D84678">
      <w:pPr>
        <w:spacing w:line="360" w:lineRule="auto"/>
        <w:jc w:val="both"/>
        <w:rPr>
          <w:rFonts w:ascii="Times New Roman" w:eastAsia="Times New Roman" w:hAnsi="Times New Roman" w:cs="Times New Roman"/>
          <w:color w:val="000000" w:themeColor="text1"/>
          <w:sz w:val="24"/>
          <w:szCs w:val="24"/>
        </w:rPr>
      </w:pPr>
      <w:r w:rsidRPr="00DD37AF">
        <w:rPr>
          <w:rFonts w:ascii="Times New Roman" w:eastAsia="Times New Roman" w:hAnsi="Times New Roman" w:cs="Times New Roman"/>
          <w:color w:val="000000" w:themeColor="text1"/>
          <w:sz w:val="24"/>
          <w:szCs w:val="24"/>
        </w:rPr>
        <w:t xml:space="preserve">The pedosphere refers to the body of soil on Earth (Targulian et al., 2019). Soil is composed of organic particles, minerals, gases, liquids, and living organisms that collectively sustain life. Soil can enter the human body through three primary routes: ingestion, inhalation, and dermal contact (Shetty et al., 2023). Contaminated soils are considered particularly hazardous to young children. Adults may also accidentally ingest soil through the consumption of vegetables contaminated with soil particles (Abrahams et al., 2012). Certain compounds present in soil are swallowed and enter the digestive system, while others are absorbed through the oral mucosa (Houck et al., 2012). These compounds may then be transported to the liver (Dashara, 2023). Once in the liver, many are returned to the digestive tract via bile, whereas others enter the bloodstream (Shulpekova et al., 2022). Some chemicals are metabolized to a certain extent in the liver before entering the bloodstream. Chemicals </w:t>
      </w:r>
      <w:r w:rsidRPr="00DD37AF">
        <w:rPr>
          <w:rFonts w:ascii="Times New Roman" w:eastAsia="Times New Roman" w:hAnsi="Times New Roman" w:cs="Times New Roman"/>
          <w:color w:val="000000" w:themeColor="text1"/>
          <w:sz w:val="24"/>
          <w:szCs w:val="24"/>
        </w:rPr>
        <w:lastRenderedPageBreak/>
        <w:t xml:space="preserve">that are not absorbed and remain in the gastrointestinal tract generally do not cause adverse effects unless they exhibit direct toxicity to the gut lining. Soil can also enter the human body through inhalation, particularly during agronomic practices that release soil particles into the air (Rodrigues </w:t>
      </w:r>
      <w:r w:rsidR="006E337D" w:rsidRPr="00DD37AF">
        <w:rPr>
          <w:rFonts w:ascii="Times New Roman" w:eastAsia="Times New Roman" w:hAnsi="Times New Roman" w:cs="Times New Roman"/>
          <w:color w:val="000000" w:themeColor="text1"/>
          <w:sz w:val="24"/>
          <w:szCs w:val="24"/>
        </w:rPr>
        <w:t>and</w:t>
      </w:r>
      <w:r w:rsidRPr="00DD37AF">
        <w:rPr>
          <w:rFonts w:ascii="Times New Roman" w:eastAsia="Times New Roman" w:hAnsi="Times New Roman" w:cs="Times New Roman"/>
          <w:color w:val="000000" w:themeColor="text1"/>
          <w:sz w:val="24"/>
          <w:szCs w:val="24"/>
        </w:rPr>
        <w:t xml:space="preserve"> Römkens, 2026). Very fine soil particles may lodge in the lungs, where contaminants may subsequently be absorbed into the bloodstream (Wang et al., 2022). Repeated long-term exposure to soil particles may increase adverse health effects (Sangkham et al., 2024).</w:t>
      </w:r>
    </w:p>
    <w:p w14:paraId="11A45698" w14:textId="03984E80" w:rsidR="00D84678" w:rsidRPr="00DD37AF" w:rsidRDefault="00D84678" w:rsidP="00D84678">
      <w:pPr>
        <w:spacing w:line="360" w:lineRule="auto"/>
        <w:jc w:val="both"/>
        <w:rPr>
          <w:rFonts w:ascii="Times New Roman" w:eastAsia="Times New Roman" w:hAnsi="Times New Roman" w:cs="Times New Roman"/>
          <w:color w:val="000000" w:themeColor="text1"/>
          <w:sz w:val="24"/>
          <w:szCs w:val="24"/>
        </w:rPr>
      </w:pPr>
      <w:r w:rsidRPr="00DD37AF">
        <w:rPr>
          <w:rFonts w:ascii="Times New Roman" w:eastAsia="Times New Roman" w:hAnsi="Times New Roman" w:cs="Times New Roman"/>
          <w:color w:val="000000" w:themeColor="text1"/>
          <w:sz w:val="24"/>
          <w:szCs w:val="24"/>
        </w:rPr>
        <w:t>More volatile organic substances are more likely to be absorbed through the skin. Although dermal exposure is generally of lesser concern, certain heavy metals, such as Cr</w:t>
      </w:r>
      <w:r w:rsidR="0002586E" w:rsidRPr="00DD37AF">
        <w:rPr>
          <w:rFonts w:ascii="Times New Roman" w:eastAsia="Times New Roman" w:hAnsi="Times New Roman" w:cs="Times New Roman"/>
          <w:color w:val="000000" w:themeColor="text1"/>
          <w:sz w:val="24"/>
          <w:szCs w:val="24"/>
        </w:rPr>
        <w:t xml:space="preserve"> </w:t>
      </w:r>
      <w:r w:rsidRPr="00DD37AF">
        <w:rPr>
          <w:rFonts w:ascii="Times New Roman" w:eastAsia="Times New Roman" w:hAnsi="Times New Roman" w:cs="Times New Roman"/>
          <w:color w:val="000000" w:themeColor="text1"/>
          <w:sz w:val="24"/>
          <w:szCs w:val="24"/>
        </w:rPr>
        <w:t xml:space="preserve">(VI), the more toxic form of chromium, and inorganic Hg, can cause skin-related health issues (Franken et al., 2015). Soil contaminants may also enter the human food chain when they are taken up by plants and subsequently consumed by humans or agricultural livestock (Petruzzelli et al., 2025). Another important indirect consequence of soil contamination is the frequent elevation of </w:t>
      </w:r>
      <w:r w:rsidR="009A1378" w:rsidRPr="00DD37AF">
        <w:rPr>
          <w:rFonts w:ascii="Times New Roman" w:eastAsia="Times New Roman" w:hAnsi="Times New Roman" w:cs="Times New Roman"/>
          <w:color w:val="000000" w:themeColor="text1"/>
          <w:sz w:val="24"/>
          <w:szCs w:val="24"/>
        </w:rPr>
        <w:t>Arsenic (</w:t>
      </w:r>
      <w:r w:rsidRPr="00DD37AF">
        <w:rPr>
          <w:rFonts w:ascii="Times New Roman" w:eastAsia="Times New Roman" w:hAnsi="Times New Roman" w:cs="Times New Roman"/>
          <w:color w:val="000000" w:themeColor="text1"/>
          <w:sz w:val="24"/>
          <w:szCs w:val="24"/>
        </w:rPr>
        <w:t>As</w:t>
      </w:r>
      <w:r w:rsidR="009A1378" w:rsidRPr="00DD37AF">
        <w:rPr>
          <w:rFonts w:ascii="Times New Roman" w:eastAsia="Times New Roman" w:hAnsi="Times New Roman" w:cs="Times New Roman"/>
          <w:color w:val="000000" w:themeColor="text1"/>
          <w:sz w:val="24"/>
          <w:szCs w:val="24"/>
        </w:rPr>
        <w:t>)</w:t>
      </w:r>
      <w:r w:rsidRPr="00DD37AF">
        <w:rPr>
          <w:rFonts w:ascii="Times New Roman" w:eastAsia="Times New Roman" w:hAnsi="Times New Roman" w:cs="Times New Roman"/>
          <w:color w:val="000000" w:themeColor="text1"/>
          <w:sz w:val="24"/>
          <w:szCs w:val="24"/>
        </w:rPr>
        <w:t xml:space="preserve"> levels in drinking water systems (Shrivastava et al., 2015). Groundwater may also naturally contain </w:t>
      </w:r>
      <w:r w:rsidR="009A1378" w:rsidRPr="00DD37AF">
        <w:rPr>
          <w:rFonts w:ascii="Times New Roman" w:eastAsia="Times New Roman" w:hAnsi="Times New Roman" w:cs="Times New Roman"/>
          <w:color w:val="000000" w:themeColor="text1"/>
          <w:sz w:val="24"/>
          <w:szCs w:val="24"/>
        </w:rPr>
        <w:t>Arsenic (As)</w:t>
      </w:r>
      <w:r w:rsidRPr="00DD37AF">
        <w:rPr>
          <w:rFonts w:ascii="Times New Roman" w:eastAsia="Times New Roman" w:hAnsi="Times New Roman" w:cs="Times New Roman"/>
          <w:color w:val="000000" w:themeColor="text1"/>
          <w:sz w:val="24"/>
          <w:szCs w:val="24"/>
        </w:rPr>
        <w:t>.</w:t>
      </w:r>
    </w:p>
    <w:p w14:paraId="6BD308EC" w14:textId="1BC55765" w:rsidR="005B4230" w:rsidRPr="00DD37AF" w:rsidRDefault="00D84678" w:rsidP="005B4230">
      <w:pPr>
        <w:spacing w:line="360" w:lineRule="auto"/>
        <w:jc w:val="both"/>
        <w:rPr>
          <w:rFonts w:ascii="Times New Roman" w:eastAsia="Times New Roman" w:hAnsi="Times New Roman" w:cs="Times New Roman"/>
          <w:color w:val="000000" w:themeColor="text1"/>
          <w:sz w:val="24"/>
          <w:szCs w:val="24"/>
        </w:rPr>
      </w:pPr>
      <w:r w:rsidRPr="00DD37AF">
        <w:rPr>
          <w:rFonts w:ascii="Times New Roman" w:eastAsia="Times New Roman" w:hAnsi="Times New Roman" w:cs="Times New Roman"/>
          <w:color w:val="000000" w:themeColor="text1"/>
          <w:sz w:val="24"/>
          <w:szCs w:val="24"/>
        </w:rPr>
        <w:t xml:space="preserve">When the body’s detoxification mechanisms are overwhelmed, pollutants become toxic (Genuis et al., 2013). When a chemical accumulates in tissues over time, it may eventually reach a critical toxic threshold (Clementsn </w:t>
      </w:r>
      <w:r w:rsidR="00A60F99" w:rsidRPr="00DD37AF">
        <w:rPr>
          <w:rFonts w:ascii="Times New Roman" w:eastAsia="Times New Roman" w:hAnsi="Times New Roman" w:cs="Times New Roman"/>
          <w:color w:val="000000" w:themeColor="text1"/>
          <w:sz w:val="24"/>
          <w:szCs w:val="24"/>
        </w:rPr>
        <w:t>and</w:t>
      </w:r>
      <w:r w:rsidRPr="00DD37AF">
        <w:rPr>
          <w:rFonts w:ascii="Times New Roman" w:eastAsia="Times New Roman" w:hAnsi="Times New Roman" w:cs="Times New Roman"/>
          <w:color w:val="000000" w:themeColor="text1"/>
          <w:sz w:val="24"/>
          <w:szCs w:val="24"/>
        </w:rPr>
        <w:t xml:space="preserve"> Casani, 2016). The rate of elimination through metabolism or excretion and the total body burden, defined as the </w:t>
      </w:r>
      <w:r w:rsidR="00EB4310" w:rsidRPr="00DD37AF">
        <w:rPr>
          <w:rFonts w:ascii="Times New Roman" w:eastAsia="Times New Roman" w:hAnsi="Times New Roman" w:cs="Times New Roman"/>
          <w:color w:val="000000" w:themeColor="text1"/>
          <w:sz w:val="24"/>
          <w:szCs w:val="24"/>
        </w:rPr>
        <w:t>number</w:t>
      </w:r>
      <w:r w:rsidRPr="00DD37AF">
        <w:rPr>
          <w:rFonts w:ascii="Times New Roman" w:eastAsia="Times New Roman" w:hAnsi="Times New Roman" w:cs="Times New Roman"/>
          <w:color w:val="000000" w:themeColor="text1"/>
          <w:sz w:val="24"/>
          <w:szCs w:val="24"/>
        </w:rPr>
        <w:t xml:space="preserve"> of substances stored in bodily tissues, are significant factors in this process (Phillips et al., 2014; Rodrigues et al., 2026). C, H, O, N, P, K, S, Ca, Mg, Fe, B, Mn, Cu, Zn, Ni, and Cl are the sixteen essential elements or nutrients commonly found in soil. </w:t>
      </w:r>
    </w:p>
    <w:p w14:paraId="2B8B3934" w14:textId="57276E0D" w:rsidR="005B4230" w:rsidRPr="00DD37AF" w:rsidRDefault="00D84678" w:rsidP="005C081B">
      <w:pPr>
        <w:spacing w:line="360" w:lineRule="auto"/>
        <w:jc w:val="both"/>
        <w:rPr>
          <w:rFonts w:ascii="Times New Roman" w:eastAsia="Times New Roman" w:hAnsi="Times New Roman" w:cs="Times New Roman"/>
          <w:color w:val="000000" w:themeColor="text1"/>
          <w:sz w:val="24"/>
          <w:szCs w:val="24"/>
        </w:rPr>
      </w:pPr>
      <w:r w:rsidRPr="00DD37AF">
        <w:rPr>
          <w:rFonts w:ascii="Times New Roman" w:eastAsia="Times New Roman" w:hAnsi="Times New Roman" w:cs="Times New Roman"/>
          <w:color w:val="000000" w:themeColor="text1"/>
          <w:sz w:val="24"/>
          <w:szCs w:val="24"/>
        </w:rPr>
        <w:t>Toxicological studies using laboratory animals and experimental models are commonly employed to assess the concentrations of chemical pollutants that are likely to be harmful to human health (Suresh et al., 2024).</w:t>
      </w:r>
      <w:r w:rsidR="005B4230" w:rsidRPr="00DD37AF">
        <w:rPr>
          <w:rFonts w:ascii="Times New Roman" w:eastAsia="Times New Roman" w:hAnsi="Times New Roman" w:cs="Times New Roman"/>
          <w:color w:val="000000" w:themeColor="text1"/>
          <w:sz w:val="24"/>
          <w:szCs w:val="24"/>
        </w:rPr>
        <w:t xml:space="preserve"> </w:t>
      </w:r>
      <w:r w:rsidR="005B4230" w:rsidRPr="00DD37AF">
        <w:rPr>
          <w:rFonts w:ascii="Times New Roman" w:eastAsia="Times New Roman" w:hAnsi="Times New Roman" w:cs="Times New Roman"/>
          <w:color w:val="000000" w:themeColor="text1"/>
          <w:sz w:val="24"/>
          <w:szCs w:val="24"/>
          <w:lang w:val="en-IN"/>
        </w:rPr>
        <w:t xml:space="preserve">The findings of the current study indicate that the </w:t>
      </w:r>
      <w:r w:rsidR="005B4230" w:rsidRPr="00892D64">
        <w:rPr>
          <w:rFonts w:ascii="Times New Roman" w:eastAsia="Times New Roman" w:hAnsi="Times New Roman" w:cs="Times New Roman"/>
          <w:bCs/>
          <w:color w:val="000000" w:themeColor="text1"/>
          <w:sz w:val="24"/>
          <w:szCs w:val="24"/>
          <w:lang w:val="en-IN"/>
        </w:rPr>
        <w:t>residential</w:t>
      </w:r>
      <w:r w:rsidR="005B4230" w:rsidRPr="00892D64">
        <w:rPr>
          <w:rFonts w:ascii="Times New Roman" w:eastAsia="Times New Roman" w:hAnsi="Times New Roman" w:cs="Times New Roman"/>
          <w:color w:val="000000" w:themeColor="text1"/>
          <w:sz w:val="24"/>
          <w:szCs w:val="24"/>
          <w:lang w:val="en-IN"/>
        </w:rPr>
        <w:t xml:space="preserve"> </w:t>
      </w:r>
      <w:r w:rsidR="005B4230" w:rsidRPr="00DD37AF">
        <w:rPr>
          <w:rFonts w:ascii="Times New Roman" w:eastAsia="Times New Roman" w:hAnsi="Times New Roman" w:cs="Times New Roman"/>
          <w:color w:val="000000" w:themeColor="text1"/>
          <w:sz w:val="24"/>
          <w:szCs w:val="24"/>
          <w:lang w:val="en-IN"/>
        </w:rPr>
        <w:t xml:space="preserve">and </w:t>
      </w:r>
      <w:r w:rsidR="005B4230" w:rsidRPr="00892D64">
        <w:rPr>
          <w:rFonts w:ascii="Times New Roman" w:eastAsia="Times New Roman" w:hAnsi="Times New Roman" w:cs="Times New Roman"/>
          <w:bCs/>
          <w:color w:val="000000" w:themeColor="text1"/>
          <w:sz w:val="24"/>
          <w:szCs w:val="24"/>
          <w:lang w:val="en-IN"/>
        </w:rPr>
        <w:t>waste-disposal areas</w:t>
      </w:r>
      <w:r w:rsidR="005B4230" w:rsidRPr="00DD37AF">
        <w:rPr>
          <w:rFonts w:ascii="Times New Roman" w:eastAsia="Times New Roman" w:hAnsi="Times New Roman" w:cs="Times New Roman"/>
          <w:color w:val="000000" w:themeColor="text1"/>
          <w:sz w:val="24"/>
          <w:szCs w:val="24"/>
          <w:lang w:val="en-IN"/>
        </w:rPr>
        <w:t xml:space="preserve"> exhibited higher soil pH, suggesting contamination from multiple sources. Soil pH may increase due to elevated levels of </w:t>
      </w:r>
      <w:r w:rsidR="005B4230" w:rsidRPr="00892D64">
        <w:rPr>
          <w:rFonts w:ascii="Times New Roman" w:eastAsia="Times New Roman" w:hAnsi="Times New Roman" w:cs="Times New Roman"/>
          <w:bCs/>
          <w:color w:val="000000" w:themeColor="text1"/>
          <w:sz w:val="24"/>
          <w:szCs w:val="24"/>
          <w:lang w:val="en-IN"/>
        </w:rPr>
        <w:t>Ca/Mg carbonates</w:t>
      </w:r>
      <w:r w:rsidR="005B4230" w:rsidRPr="00892D64">
        <w:rPr>
          <w:rFonts w:ascii="Times New Roman" w:eastAsia="Times New Roman" w:hAnsi="Times New Roman" w:cs="Times New Roman"/>
          <w:color w:val="000000" w:themeColor="text1"/>
          <w:sz w:val="24"/>
          <w:szCs w:val="24"/>
          <w:lang w:val="en-IN"/>
        </w:rPr>
        <w:t>,</w:t>
      </w:r>
      <w:r w:rsidR="005B4230" w:rsidRPr="00DD37AF">
        <w:rPr>
          <w:rFonts w:ascii="Times New Roman" w:eastAsia="Times New Roman" w:hAnsi="Times New Roman" w:cs="Times New Roman"/>
          <w:color w:val="000000" w:themeColor="text1"/>
          <w:sz w:val="24"/>
          <w:szCs w:val="24"/>
          <w:lang w:val="en-IN"/>
        </w:rPr>
        <w:t xml:space="preserve"> accumulation of </w:t>
      </w:r>
      <w:r w:rsidR="005B4230" w:rsidRPr="00892D64">
        <w:rPr>
          <w:rFonts w:ascii="Times New Roman" w:eastAsia="Times New Roman" w:hAnsi="Times New Roman" w:cs="Times New Roman"/>
          <w:bCs/>
          <w:color w:val="000000" w:themeColor="text1"/>
          <w:sz w:val="24"/>
          <w:szCs w:val="24"/>
          <w:lang w:val="en-IN"/>
        </w:rPr>
        <w:t>Na⁺ ions</w:t>
      </w:r>
      <w:r w:rsidR="005B4230" w:rsidRPr="00892D64">
        <w:rPr>
          <w:rFonts w:ascii="Times New Roman" w:eastAsia="Times New Roman" w:hAnsi="Times New Roman" w:cs="Times New Roman"/>
          <w:color w:val="000000" w:themeColor="text1"/>
          <w:sz w:val="24"/>
          <w:szCs w:val="24"/>
          <w:lang w:val="en-IN"/>
        </w:rPr>
        <w:t>,</w:t>
      </w:r>
      <w:r w:rsidR="005B4230" w:rsidRPr="00DD37AF">
        <w:rPr>
          <w:rFonts w:ascii="Times New Roman" w:eastAsia="Times New Roman" w:hAnsi="Times New Roman" w:cs="Times New Roman"/>
          <w:color w:val="000000" w:themeColor="text1"/>
          <w:sz w:val="24"/>
          <w:szCs w:val="24"/>
          <w:lang w:val="en-IN"/>
        </w:rPr>
        <w:t xml:space="preserve"> carbonate compounds such as sodium bicarbonate/carbonate, fertilizers, and basic slag (Soto et al., 2023; Zhou </w:t>
      </w:r>
      <w:r w:rsidR="0054128B" w:rsidRPr="00DD37AF">
        <w:rPr>
          <w:rFonts w:ascii="Times New Roman" w:eastAsia="Times New Roman" w:hAnsi="Times New Roman" w:cs="Times New Roman"/>
          <w:color w:val="000000" w:themeColor="text1"/>
          <w:sz w:val="24"/>
          <w:szCs w:val="24"/>
          <w:lang w:val="en-IN"/>
        </w:rPr>
        <w:t>and</w:t>
      </w:r>
      <w:r w:rsidR="005B4230" w:rsidRPr="00DD37AF">
        <w:rPr>
          <w:rFonts w:ascii="Times New Roman" w:eastAsia="Times New Roman" w:hAnsi="Times New Roman" w:cs="Times New Roman"/>
          <w:color w:val="000000" w:themeColor="text1"/>
          <w:sz w:val="24"/>
          <w:szCs w:val="24"/>
          <w:lang w:val="en-IN"/>
        </w:rPr>
        <w:t xml:space="preserve"> Yu, 2016). These factors may explain the elevated pH observed in </w:t>
      </w:r>
      <w:r w:rsidR="005B4230" w:rsidRPr="00892D64">
        <w:rPr>
          <w:rFonts w:ascii="Times New Roman" w:eastAsia="Times New Roman" w:hAnsi="Times New Roman" w:cs="Times New Roman"/>
          <w:bCs/>
          <w:color w:val="000000" w:themeColor="text1"/>
          <w:sz w:val="24"/>
          <w:szCs w:val="24"/>
          <w:lang w:val="en-IN"/>
        </w:rPr>
        <w:t>Kammavari Pete, Alappanahalli, Hoskote</w:t>
      </w:r>
      <w:r w:rsidR="005B4230" w:rsidRPr="00DD37AF">
        <w:rPr>
          <w:rFonts w:ascii="Times New Roman" w:eastAsia="Times New Roman" w:hAnsi="Times New Roman" w:cs="Times New Roman"/>
          <w:color w:val="000000" w:themeColor="text1"/>
          <w:sz w:val="24"/>
          <w:szCs w:val="24"/>
          <w:lang w:val="en-IN"/>
        </w:rPr>
        <w:t xml:space="preserve"> (waste-dumping area) and the </w:t>
      </w:r>
      <w:r w:rsidR="005B4230" w:rsidRPr="00892D64">
        <w:rPr>
          <w:rFonts w:ascii="Times New Roman" w:eastAsia="Times New Roman" w:hAnsi="Times New Roman" w:cs="Times New Roman"/>
          <w:bCs/>
          <w:color w:val="000000" w:themeColor="text1"/>
          <w:sz w:val="24"/>
          <w:szCs w:val="24"/>
          <w:lang w:val="en-IN"/>
        </w:rPr>
        <w:t>Magadi Road residential area, Bengaluru</w:t>
      </w:r>
      <w:r w:rsidR="005B4230" w:rsidRPr="00892D64">
        <w:rPr>
          <w:rFonts w:ascii="Times New Roman" w:eastAsia="Times New Roman" w:hAnsi="Times New Roman" w:cs="Times New Roman"/>
          <w:color w:val="000000" w:themeColor="text1"/>
          <w:sz w:val="24"/>
          <w:szCs w:val="24"/>
          <w:lang w:val="en-IN"/>
        </w:rPr>
        <w:t>.</w:t>
      </w:r>
      <w:r w:rsidR="005B4230" w:rsidRPr="00DD37AF">
        <w:rPr>
          <w:rFonts w:ascii="Times New Roman" w:eastAsia="Times New Roman" w:hAnsi="Times New Roman" w:cs="Times New Roman"/>
          <w:color w:val="000000" w:themeColor="text1"/>
          <w:sz w:val="24"/>
          <w:szCs w:val="24"/>
        </w:rPr>
        <w:t xml:space="preserve"> </w:t>
      </w:r>
      <w:r w:rsidR="005B4230" w:rsidRPr="00DD37AF">
        <w:rPr>
          <w:rFonts w:ascii="Times New Roman" w:eastAsia="Times New Roman" w:hAnsi="Times New Roman" w:cs="Times New Roman"/>
          <w:color w:val="000000" w:themeColor="text1"/>
          <w:sz w:val="24"/>
          <w:szCs w:val="24"/>
          <w:lang w:val="en-IN"/>
        </w:rPr>
        <w:t xml:space="preserve">The soil from </w:t>
      </w:r>
      <w:r w:rsidR="005B4230" w:rsidRPr="00892D64">
        <w:rPr>
          <w:rFonts w:ascii="Times New Roman" w:eastAsia="Times New Roman" w:hAnsi="Times New Roman" w:cs="Times New Roman"/>
          <w:bCs/>
          <w:color w:val="000000" w:themeColor="text1"/>
          <w:sz w:val="24"/>
          <w:szCs w:val="24"/>
          <w:lang w:val="en-IN"/>
        </w:rPr>
        <w:t>Rajajinagar Industrial Town, Bengaluru</w:t>
      </w:r>
      <w:r w:rsidR="005B4230" w:rsidRPr="00DD37AF">
        <w:rPr>
          <w:rFonts w:ascii="Times New Roman" w:eastAsia="Times New Roman" w:hAnsi="Times New Roman" w:cs="Times New Roman"/>
          <w:color w:val="000000" w:themeColor="text1"/>
          <w:sz w:val="24"/>
          <w:szCs w:val="24"/>
          <w:lang w:val="en-IN"/>
        </w:rPr>
        <w:t xml:space="preserve"> showed lower </w:t>
      </w:r>
      <w:r w:rsidR="005B4230" w:rsidRPr="00DD37AF">
        <w:rPr>
          <w:rFonts w:ascii="Times New Roman" w:eastAsia="Times New Roman" w:hAnsi="Times New Roman" w:cs="Times New Roman"/>
          <w:b/>
          <w:bCs/>
          <w:color w:val="000000" w:themeColor="text1"/>
          <w:sz w:val="24"/>
          <w:szCs w:val="24"/>
          <w:lang w:val="en-IN"/>
        </w:rPr>
        <w:t>N</w:t>
      </w:r>
      <w:r w:rsidR="005B4230" w:rsidRPr="00DD37AF">
        <w:rPr>
          <w:rFonts w:ascii="Times New Roman" w:eastAsia="Times New Roman" w:hAnsi="Times New Roman" w:cs="Times New Roman"/>
          <w:color w:val="000000" w:themeColor="text1"/>
          <w:sz w:val="24"/>
          <w:szCs w:val="24"/>
          <w:lang w:val="en-IN"/>
        </w:rPr>
        <w:t xml:space="preserve"> content (0.14%) compared to the </w:t>
      </w:r>
      <w:r w:rsidR="005B4230" w:rsidRPr="00892D64">
        <w:rPr>
          <w:rFonts w:ascii="Times New Roman" w:eastAsia="Times New Roman" w:hAnsi="Times New Roman" w:cs="Times New Roman"/>
          <w:bCs/>
          <w:color w:val="000000" w:themeColor="text1"/>
          <w:sz w:val="24"/>
          <w:szCs w:val="24"/>
          <w:lang w:val="en-IN"/>
        </w:rPr>
        <w:t>Magadi Road residential area</w:t>
      </w:r>
      <w:r w:rsidR="005B4230" w:rsidRPr="00DD37AF">
        <w:rPr>
          <w:rFonts w:ascii="Times New Roman" w:eastAsia="Times New Roman" w:hAnsi="Times New Roman" w:cs="Times New Roman"/>
          <w:color w:val="000000" w:themeColor="text1"/>
          <w:sz w:val="24"/>
          <w:szCs w:val="24"/>
          <w:lang w:val="en-IN"/>
        </w:rPr>
        <w:t xml:space="preserve"> (0.20%). The primary causes of elevated </w:t>
      </w:r>
      <w:r w:rsidR="005B4230" w:rsidRPr="00DD37AF">
        <w:rPr>
          <w:rFonts w:ascii="Times New Roman" w:eastAsia="Times New Roman" w:hAnsi="Times New Roman" w:cs="Times New Roman"/>
          <w:b/>
          <w:bCs/>
          <w:color w:val="000000" w:themeColor="text1"/>
          <w:sz w:val="24"/>
          <w:szCs w:val="24"/>
          <w:lang w:val="en-IN"/>
        </w:rPr>
        <w:t>N</w:t>
      </w:r>
      <w:r w:rsidR="005B4230" w:rsidRPr="00DD37AF">
        <w:rPr>
          <w:rFonts w:ascii="Times New Roman" w:eastAsia="Times New Roman" w:hAnsi="Times New Roman" w:cs="Times New Roman"/>
          <w:color w:val="000000" w:themeColor="text1"/>
          <w:sz w:val="24"/>
          <w:szCs w:val="24"/>
          <w:lang w:val="en-IN"/>
        </w:rPr>
        <w:t xml:space="preserve"> include chemical manufacturing, nitrogen-based industries, industrial explosives, and improper waste treatment (Kasiński et al., 2025). Additional sources include </w:t>
      </w:r>
      <w:r w:rsidR="005B4230" w:rsidRPr="00DD37AF">
        <w:rPr>
          <w:rFonts w:ascii="Times New Roman" w:eastAsia="Times New Roman" w:hAnsi="Times New Roman" w:cs="Times New Roman"/>
          <w:color w:val="000000" w:themeColor="text1"/>
          <w:sz w:val="24"/>
          <w:szCs w:val="24"/>
          <w:lang w:val="en-IN"/>
        </w:rPr>
        <w:lastRenderedPageBreak/>
        <w:t xml:space="preserve">the decomposition of stored organic matter, such as food waste, sewage sludge, and other organic-rich materials present in landfills (Skrzypczak et al., 2024). Elevated </w:t>
      </w:r>
      <w:r w:rsidR="005B4230" w:rsidRPr="00892D64">
        <w:rPr>
          <w:rFonts w:ascii="Times New Roman" w:eastAsia="Times New Roman" w:hAnsi="Times New Roman" w:cs="Times New Roman"/>
          <w:bCs/>
          <w:color w:val="000000" w:themeColor="text1"/>
          <w:sz w:val="24"/>
          <w:szCs w:val="24"/>
          <w:lang w:val="en-IN"/>
        </w:rPr>
        <w:t>P</w:t>
      </w:r>
      <w:r w:rsidR="005B4230" w:rsidRPr="00892D64">
        <w:rPr>
          <w:rFonts w:ascii="Times New Roman" w:eastAsia="Times New Roman" w:hAnsi="Times New Roman" w:cs="Times New Roman"/>
          <w:color w:val="000000" w:themeColor="text1"/>
          <w:sz w:val="24"/>
          <w:szCs w:val="24"/>
          <w:lang w:val="en-IN"/>
        </w:rPr>
        <w:t xml:space="preserve"> and </w:t>
      </w:r>
      <w:r w:rsidR="005B4230" w:rsidRPr="00892D64">
        <w:rPr>
          <w:rFonts w:ascii="Times New Roman" w:eastAsia="Times New Roman" w:hAnsi="Times New Roman" w:cs="Times New Roman"/>
          <w:bCs/>
          <w:color w:val="000000" w:themeColor="text1"/>
          <w:sz w:val="24"/>
          <w:szCs w:val="24"/>
          <w:lang w:val="en-IN"/>
        </w:rPr>
        <w:t>K</w:t>
      </w:r>
      <w:r w:rsidR="005B4230" w:rsidRPr="00DD37AF">
        <w:rPr>
          <w:rFonts w:ascii="Times New Roman" w:eastAsia="Times New Roman" w:hAnsi="Times New Roman" w:cs="Times New Roman"/>
          <w:color w:val="000000" w:themeColor="text1"/>
          <w:sz w:val="24"/>
          <w:szCs w:val="24"/>
          <w:lang w:val="en-IN"/>
        </w:rPr>
        <w:t xml:space="preserve"> levels frequently accompany high total </w:t>
      </w:r>
      <w:r w:rsidR="005B4230" w:rsidRPr="00DD37AF">
        <w:rPr>
          <w:rFonts w:ascii="Times New Roman" w:eastAsia="Times New Roman" w:hAnsi="Times New Roman" w:cs="Times New Roman"/>
          <w:b/>
          <w:bCs/>
          <w:color w:val="000000" w:themeColor="text1"/>
          <w:sz w:val="24"/>
          <w:szCs w:val="24"/>
          <w:lang w:val="en-IN"/>
        </w:rPr>
        <w:t>N</w:t>
      </w:r>
      <w:r w:rsidR="005B4230" w:rsidRPr="00DD37AF">
        <w:rPr>
          <w:rFonts w:ascii="Times New Roman" w:eastAsia="Times New Roman" w:hAnsi="Times New Roman" w:cs="Times New Roman"/>
          <w:color w:val="000000" w:themeColor="text1"/>
          <w:sz w:val="24"/>
          <w:szCs w:val="24"/>
          <w:lang w:val="en-IN"/>
        </w:rPr>
        <w:t>, indicating substantial organic matter content in the disposed solid waste (Liu et al., 2024).</w:t>
      </w:r>
      <w:r w:rsidR="005B4230" w:rsidRPr="00DD37AF">
        <w:rPr>
          <w:rFonts w:ascii="Times New Roman" w:eastAsia="Times New Roman" w:hAnsi="Times New Roman" w:cs="Times New Roman"/>
          <w:color w:val="000000" w:themeColor="text1"/>
          <w:sz w:val="24"/>
          <w:szCs w:val="24"/>
        </w:rPr>
        <w:t xml:space="preserve"> </w:t>
      </w:r>
      <w:r w:rsidR="005B4230" w:rsidRPr="00DD37AF">
        <w:rPr>
          <w:rFonts w:ascii="Times New Roman" w:eastAsia="Times New Roman" w:hAnsi="Times New Roman" w:cs="Times New Roman"/>
          <w:color w:val="000000" w:themeColor="text1"/>
          <w:sz w:val="24"/>
          <w:szCs w:val="24"/>
          <w:lang w:val="en-IN"/>
        </w:rPr>
        <w:t>Nitrogen (</w:t>
      </w:r>
      <w:r w:rsidR="005B4230" w:rsidRPr="00DD37AF">
        <w:rPr>
          <w:rFonts w:ascii="Times New Roman" w:eastAsia="Times New Roman" w:hAnsi="Times New Roman" w:cs="Times New Roman"/>
          <w:b/>
          <w:bCs/>
          <w:color w:val="000000" w:themeColor="text1"/>
          <w:sz w:val="24"/>
          <w:szCs w:val="24"/>
          <w:lang w:val="en-IN"/>
        </w:rPr>
        <w:t>N</w:t>
      </w:r>
      <w:r w:rsidR="005B4230" w:rsidRPr="00DD37AF">
        <w:rPr>
          <w:rFonts w:ascii="Times New Roman" w:eastAsia="Times New Roman" w:hAnsi="Times New Roman" w:cs="Times New Roman"/>
          <w:color w:val="000000" w:themeColor="text1"/>
          <w:sz w:val="24"/>
          <w:szCs w:val="24"/>
          <w:lang w:val="en-IN"/>
        </w:rPr>
        <w:t xml:space="preserve">) is highly essential for plant growth because it is a major component of chlorophyll, the pigment responsible for converting carbon dioxide and water into sugars during photosynthesis (Wagner, 2011). It also plays a critical role in amino acids, which serve as the building blocks of proteins (Acquisti et al., 2009). Low </w:t>
      </w:r>
      <w:r w:rsidR="005B4230" w:rsidRPr="00DD37AF">
        <w:rPr>
          <w:rFonts w:ascii="Times New Roman" w:eastAsia="Times New Roman" w:hAnsi="Times New Roman" w:cs="Times New Roman"/>
          <w:b/>
          <w:bCs/>
          <w:color w:val="000000" w:themeColor="text1"/>
          <w:sz w:val="24"/>
          <w:szCs w:val="24"/>
          <w:lang w:val="en-IN"/>
        </w:rPr>
        <w:t>N</w:t>
      </w:r>
      <w:r w:rsidR="005B4230" w:rsidRPr="00DD37AF">
        <w:rPr>
          <w:rFonts w:ascii="Times New Roman" w:eastAsia="Times New Roman" w:hAnsi="Times New Roman" w:cs="Times New Roman"/>
          <w:color w:val="000000" w:themeColor="text1"/>
          <w:sz w:val="24"/>
          <w:szCs w:val="24"/>
          <w:lang w:val="en-IN"/>
        </w:rPr>
        <w:t xml:space="preserve"> levels in soil reduce chlorophyll synthesis, causing leaves to become pale yellow, with older leaves often turning completely yellow. In addition, flowering, fruiting, and the protein and starch contents of plants are significantly reduced under </w:t>
      </w:r>
      <w:r w:rsidR="005B4230" w:rsidRPr="00DD37AF">
        <w:rPr>
          <w:rFonts w:ascii="Times New Roman" w:eastAsia="Times New Roman" w:hAnsi="Times New Roman" w:cs="Times New Roman"/>
          <w:b/>
          <w:bCs/>
          <w:color w:val="000000" w:themeColor="text1"/>
          <w:sz w:val="24"/>
          <w:szCs w:val="24"/>
          <w:lang w:val="en-IN"/>
        </w:rPr>
        <w:t>N</w:t>
      </w:r>
      <w:r w:rsidR="005B4230" w:rsidRPr="00DD37AF">
        <w:rPr>
          <w:rFonts w:ascii="Times New Roman" w:eastAsia="Times New Roman" w:hAnsi="Times New Roman" w:cs="Times New Roman"/>
          <w:color w:val="000000" w:themeColor="text1"/>
          <w:sz w:val="24"/>
          <w:szCs w:val="24"/>
          <w:lang w:val="en-IN"/>
        </w:rPr>
        <w:t xml:space="preserve"> deficiency (Chen et al., 2024).</w:t>
      </w:r>
    </w:p>
    <w:p w14:paraId="7F46108E" w14:textId="4A757A41" w:rsidR="005B4230" w:rsidRPr="00DD37AF" w:rsidRDefault="005B4230" w:rsidP="005C081B">
      <w:pPr>
        <w:spacing w:line="360" w:lineRule="auto"/>
        <w:jc w:val="both"/>
        <w:rPr>
          <w:rFonts w:ascii="Times New Roman" w:eastAsia="Times New Roman" w:hAnsi="Times New Roman" w:cs="Times New Roman"/>
          <w:color w:val="000000" w:themeColor="text1"/>
          <w:sz w:val="24"/>
          <w:szCs w:val="24"/>
        </w:rPr>
      </w:pPr>
      <w:r w:rsidRPr="00DD37AF">
        <w:rPr>
          <w:rFonts w:ascii="Times New Roman" w:eastAsia="Times New Roman" w:hAnsi="Times New Roman" w:cs="Times New Roman"/>
          <w:color w:val="000000" w:themeColor="text1"/>
          <w:sz w:val="24"/>
          <w:szCs w:val="24"/>
        </w:rPr>
        <w:t xml:space="preserve">Plant growth is inhibited when protein synthesis is reduced. In addition to affecting plant productivity, N pollution poses serious health risks by contaminating water and air with ammonia and nitrates (Juanjuan et al., 2021). Excess nitrate exposure may lead to methemoglobinemia (“blue baby syndrome”), while aerosolized nitrogen compounds may contribute to respiratory disorders (Johnson et al., 2019). The Magadi Road residential area, Bengaluru (0.04%) and Kammavari Pete, Alappanahalli, Hoskote (waste-dumping area) (0.06%) showed higher P concentrations. The major causes of elevated P include sewage discharge, untreated industrial liquid effluents, and the direct disposal of solid waste, all of which release phosphorus compounds into the environment (Shiba </w:t>
      </w:r>
      <w:r w:rsidR="006D70AB" w:rsidRPr="00DD37AF">
        <w:rPr>
          <w:rFonts w:ascii="Times New Roman" w:eastAsia="Times New Roman" w:hAnsi="Times New Roman" w:cs="Times New Roman"/>
          <w:color w:val="000000" w:themeColor="text1"/>
          <w:sz w:val="24"/>
          <w:szCs w:val="24"/>
        </w:rPr>
        <w:t>and</w:t>
      </w:r>
      <w:r w:rsidRPr="00DD37AF">
        <w:rPr>
          <w:rFonts w:ascii="Times New Roman" w:eastAsia="Times New Roman" w:hAnsi="Times New Roman" w:cs="Times New Roman"/>
          <w:color w:val="000000" w:themeColor="text1"/>
          <w:sz w:val="24"/>
          <w:szCs w:val="24"/>
        </w:rPr>
        <w:t xml:space="preserve"> Ntuli, 2017). Additional sources include the accumulation of industrial phosphorus, particularly from phosphorus-based industries (Li </w:t>
      </w:r>
      <w:r w:rsidR="00C57046" w:rsidRPr="00DD37AF">
        <w:rPr>
          <w:rFonts w:ascii="Times New Roman" w:eastAsia="Times New Roman" w:hAnsi="Times New Roman" w:cs="Times New Roman"/>
          <w:color w:val="000000" w:themeColor="text1"/>
          <w:sz w:val="24"/>
          <w:szCs w:val="24"/>
        </w:rPr>
        <w:t xml:space="preserve">and </w:t>
      </w:r>
      <w:r w:rsidRPr="00DD37AF">
        <w:rPr>
          <w:rFonts w:ascii="Times New Roman" w:eastAsia="Times New Roman" w:hAnsi="Times New Roman" w:cs="Times New Roman"/>
          <w:color w:val="000000" w:themeColor="text1"/>
          <w:sz w:val="24"/>
          <w:szCs w:val="24"/>
        </w:rPr>
        <w:t>Whelan, 2018). Although P is an essential nutrient for plant growth, excessive amounts can harm plants and degrade water quality, and such contamination may take years to remediate (Liu et al., 2021). The waste-dumping area of Kammavari Pete, Alappanahalli, and Hoskote recorded higher K levels (0.08%). Elevated K concentrations are mainly associated with anthropogenic activities such as leachate infiltration, improper solid waste disposal, and industrial effluent discharge (Szydełko et al., 2025). High K levels may indirectly affect human health through alterations in food composition and environmental contamination pathways (Fan et al., 2024). Similarly, although P is indispensable for life, excessive P accumulation in the soil ecosystem can contribute to water pollution and reduce the nutritional quality of food crops (Mikhailova et al., 2019).</w:t>
      </w:r>
    </w:p>
    <w:p w14:paraId="37856615" w14:textId="77777777" w:rsidR="002059CD" w:rsidRPr="00DD37AF" w:rsidRDefault="002059CD" w:rsidP="002059CD">
      <w:pPr>
        <w:spacing w:after="0" w:line="360" w:lineRule="auto"/>
        <w:jc w:val="both"/>
        <w:rPr>
          <w:rFonts w:ascii="Times New Roman" w:hAnsi="Times New Roman" w:cs="Times New Roman"/>
          <w:color w:val="000000" w:themeColor="text1"/>
          <w:sz w:val="24"/>
          <w:szCs w:val="24"/>
        </w:rPr>
      </w:pPr>
      <w:r w:rsidRPr="00DD37AF">
        <w:rPr>
          <w:rFonts w:ascii="Times New Roman" w:hAnsi="Times New Roman" w:cs="Times New Roman"/>
          <w:color w:val="000000" w:themeColor="text1"/>
          <w:sz w:val="24"/>
          <w:szCs w:val="24"/>
        </w:rPr>
        <w:t xml:space="preserve">The waste-dumping region of Kammavari Pete, Alappanahalli, and Hoskote showed higher Ca levels (0.04%). The accumulation of inorganic waste, industrial by-products, chemical reactions during waste </w:t>
      </w:r>
      <w:r w:rsidRPr="00DD37AF">
        <w:rPr>
          <w:rFonts w:ascii="Times New Roman" w:hAnsi="Times New Roman" w:cs="Times New Roman"/>
          <w:color w:val="000000" w:themeColor="text1"/>
          <w:sz w:val="24"/>
          <w:szCs w:val="24"/>
        </w:rPr>
        <w:lastRenderedPageBreak/>
        <w:t>decomposition, and dust released from construction and industrial activities are the major contributors to elevated Ca concentrations in waste-dump soils, particularly through landfill leachate (Nama et al., 2016; Yadav et al., 2021). The agricultural land at Chikkaballapur recorded a higher Mg content (0.03%). Long-term management practices such as the application of fertilizers, including calcium ammonium nitrate (CAN), mixed fertilizers, dolomitic lime (12% MgO), magnesian lime (3% MgO), and farmyard manure (FYM), may account for the elevated Mg levels (Zhang et al., 2021; Chairiyah et al., 2021). Elevated Mg may also result from inherent soil properties and Mg-rich slurry application (Qadir et al., 2018). Excess Mg degrades soil structure, creating sticky, poorly drained clay-like conditions, while also increasing alkalinity and reducing permeability (Ahmed et al., 2023). In humans, elevated Mg exposure may lead to nutritional imbalances and may increase the risk of hypomagnesemia-related metabolic disturbances (Wu et al., 2025). Elevated Pb concentrations were observed in Kammavari Pete, Alappanahalli, and Hoskote (21.38 ppm) and the Magadi Road residential area, Bengaluru (23.76 ppm). Lead (Pb) contributes significantly to environmental degradation by inhibiting plant growth, reducing soil biodiversity, and causing persistent ecosystem contamination. Human exposure to elevated Pb levels may result in permanent neurological damage, reduced IQ, behavioral disorders, anemia, kidney damage, hypertension, and reproductive complications (Collin et al., 2022; Wani et al., 2015). There is no known safe exposure limit for this cumulative toxin. Anthropogenic activities such as mining, smelting, and improper disposal of industrial and municipal wastes are the major sources of elevated Pb and Zn in dump-site soils (Adnan et al., 2024; Agbeshie et al., 2020).</w:t>
      </w:r>
    </w:p>
    <w:p w14:paraId="13A9F50B" w14:textId="77777777" w:rsidR="002059CD" w:rsidRPr="00DD37AF" w:rsidRDefault="002059CD" w:rsidP="002059CD">
      <w:pPr>
        <w:spacing w:after="0" w:line="360" w:lineRule="auto"/>
        <w:jc w:val="both"/>
        <w:rPr>
          <w:rFonts w:ascii="Times New Roman" w:hAnsi="Times New Roman" w:cs="Times New Roman"/>
          <w:color w:val="000000" w:themeColor="text1"/>
          <w:sz w:val="24"/>
          <w:szCs w:val="24"/>
        </w:rPr>
      </w:pPr>
    </w:p>
    <w:p w14:paraId="7A2A706C" w14:textId="77777777" w:rsidR="002059CD" w:rsidRPr="00DD37AF" w:rsidRDefault="002059CD" w:rsidP="002059CD">
      <w:pPr>
        <w:spacing w:after="0" w:line="360" w:lineRule="auto"/>
        <w:jc w:val="both"/>
        <w:rPr>
          <w:rFonts w:ascii="Times New Roman" w:hAnsi="Times New Roman" w:cs="Times New Roman"/>
          <w:color w:val="000000" w:themeColor="text1"/>
          <w:sz w:val="24"/>
          <w:szCs w:val="24"/>
        </w:rPr>
      </w:pPr>
      <w:r w:rsidRPr="00DD37AF">
        <w:rPr>
          <w:rFonts w:ascii="Times New Roman" w:hAnsi="Times New Roman" w:cs="Times New Roman"/>
          <w:color w:val="000000" w:themeColor="text1"/>
          <w:sz w:val="24"/>
          <w:szCs w:val="24"/>
        </w:rPr>
        <w:t xml:space="preserve">The agricultural land at Chikkaballapur showed elevated Hg levels (&lt;0.1 ppm). Higher Zn concentrations were detected in the Magadi Road residential area, Bengaluru (63.98 ppm) and Kammavari Pete, Alappanahalli, and Hoskote (77.54 ppm). Elevated Zn suppresses microbial activity, reduces soil biodiversity, disrupts nutrient cycling, and promotes hazardous bioaccumulation in food chains, thereby causing serious ecological damage (Balafrej et al., 2020; Van et al., 2024). In humans, excessive Zn exposure may lead to neurological disorders, renal damage, reproductive problems, developmental delays, and reduced IQ, posing particular risks to children and pregnant women (Jomova et al., 2025; Schoofs et al., 2024; Campagnolo et al., 2024). Mining, waste disposal, and industrial emissions are the primary anthropogenic sources of elevated Zn in urban soils (Wang et al., 2022; Han et al., 2023). The soil of Rajajinagar Industrial Town showed elevated Cu content (62.61 </w:t>
      </w:r>
      <w:r w:rsidRPr="00DD37AF">
        <w:rPr>
          <w:rFonts w:ascii="Times New Roman" w:hAnsi="Times New Roman" w:cs="Times New Roman"/>
          <w:color w:val="000000" w:themeColor="text1"/>
          <w:sz w:val="24"/>
          <w:szCs w:val="24"/>
        </w:rPr>
        <w:lastRenderedPageBreak/>
        <w:t>ppm). Excess Cu causes significant phytotoxicity by restricting photosynthesis, inducing chlorosis, reducing enzyme activity, and interfering with the uptake of Fe and Mn (Cai et al., 2021; Chen et al., 2022). Consumption of crops grown in contaminated soils poses greater human health risks than direct soil ingestion because Cu can accumulate in edible plant tissues (Fagnano et al., 2020; Bakshi et al., 2021; Shabbir et al., 2020).</w:t>
      </w:r>
    </w:p>
    <w:p w14:paraId="4927DFBC" w14:textId="77777777" w:rsidR="002059CD" w:rsidRPr="00DD37AF" w:rsidRDefault="002059CD" w:rsidP="002059CD">
      <w:pPr>
        <w:spacing w:after="0" w:line="360" w:lineRule="auto"/>
        <w:jc w:val="both"/>
        <w:rPr>
          <w:rFonts w:ascii="Times New Roman" w:hAnsi="Times New Roman" w:cs="Times New Roman"/>
          <w:color w:val="000000" w:themeColor="text1"/>
          <w:sz w:val="24"/>
          <w:szCs w:val="24"/>
        </w:rPr>
      </w:pPr>
    </w:p>
    <w:p w14:paraId="5E2E1D1F" w14:textId="38197F9A" w:rsidR="00D96032" w:rsidRPr="00DD37AF" w:rsidRDefault="002059CD" w:rsidP="002059CD">
      <w:pPr>
        <w:spacing w:after="0" w:line="360" w:lineRule="auto"/>
        <w:jc w:val="both"/>
        <w:rPr>
          <w:rFonts w:ascii="Times New Roman" w:hAnsi="Times New Roman" w:cs="Times New Roman"/>
          <w:color w:val="000000" w:themeColor="text1"/>
          <w:sz w:val="24"/>
          <w:szCs w:val="24"/>
        </w:rPr>
      </w:pPr>
      <w:r w:rsidRPr="00DD37AF">
        <w:rPr>
          <w:rFonts w:ascii="Times New Roman" w:hAnsi="Times New Roman" w:cs="Times New Roman"/>
          <w:color w:val="000000" w:themeColor="text1"/>
          <w:sz w:val="24"/>
          <w:szCs w:val="24"/>
        </w:rPr>
        <w:t xml:space="preserve">Higher Fe content was recorded in Kammavari Pete, Alappanahalli, and Hoskote (0.02) and Rajajinagar Industrial Town, Bengaluru (0.01). Elevated Fe levels associated with mining, industrial activities, and excessive fertilizer use may pose long-term health concerns through food-chain transfer, leading to gastrointestinal irritation, organ damage, and impaired growth (Lucas da Silva-Rêgo et al., 2022; Malesza et al., 2022). Excess Fe also causes phytotoxicity, reducing crop yield and interfering with microbial activity (Mohamed et al., 2025). </w:t>
      </w:r>
      <w:r w:rsidR="00892D64" w:rsidRPr="00892D64">
        <w:rPr>
          <w:rFonts w:ascii="Times New Roman" w:hAnsi="Times New Roman" w:cs="Times New Roman"/>
          <w:b/>
          <w:color w:val="000000" w:themeColor="text1"/>
          <w:sz w:val="24"/>
          <w:szCs w:val="24"/>
        </w:rPr>
        <w:t>The figures 13-17 are a pictorial representation of the correlation of highest metal toxicity and the soil sample. This provides a spectrum of data on the soil toxicity and will enable remedial measures to reduce plant and animal risk.</w:t>
      </w:r>
      <w:r w:rsidR="00892D64">
        <w:rPr>
          <w:rFonts w:ascii="Times New Roman" w:hAnsi="Times New Roman" w:cs="Times New Roman"/>
          <w:color w:val="000000" w:themeColor="text1"/>
          <w:sz w:val="24"/>
          <w:szCs w:val="24"/>
        </w:rPr>
        <w:t xml:space="preserve"> </w:t>
      </w:r>
      <w:r w:rsidRPr="00DD37AF">
        <w:rPr>
          <w:rFonts w:ascii="Times New Roman" w:hAnsi="Times New Roman" w:cs="Times New Roman"/>
          <w:color w:val="000000" w:themeColor="text1"/>
          <w:sz w:val="24"/>
          <w:szCs w:val="24"/>
        </w:rPr>
        <w:t>Chikkaballapur agricultural land exhibited the highest acidity (0.03%), followed by the Rajajinagar industrial area (0.01%). Agricultural practices such as continuous harvesting of high-yielding crops and forages, along with rainfall-induced leaching of base cations, accelerate soil acidification, often reducing pH below 5.5 (Goulding, 2016). Additional causes include the accumulation of organic acids and prolonged use of nitrogen-based fertilizers (Zhang et al., 2022). Low pH hampers crop growth by altering soil structure, reducing nutrient availability (P, Mg), and inducing aluminum toxicity (Xing et al., 2025). Acidic soils also increase the mobility and bioavailability of hazardous heavy metals such as Cd, Pb, and As, thereby posing severe risks to human health (Olaniran et al., 2013; Panqing et al., 2023). These contaminants may enter the food chain, water systems, or the respiratory tract through dust inhalation, leading to renal damage, neurological disorders, respiratory complications, and cancer (Mititelu et al., 2025; Tchounwou et al., 2012; Balali-Mood et al., 2021).</w:t>
      </w:r>
    </w:p>
    <w:p w14:paraId="362D777E" w14:textId="77777777" w:rsidR="005F0CA1" w:rsidRPr="00DD37AF" w:rsidRDefault="005F0CA1" w:rsidP="00F51B32">
      <w:pPr>
        <w:spacing w:line="360" w:lineRule="auto"/>
        <w:jc w:val="both"/>
        <w:rPr>
          <w:rFonts w:ascii="Times New Roman" w:hAnsi="Times New Roman" w:cs="Times New Roman"/>
          <w:b/>
          <w:color w:val="000000" w:themeColor="text1"/>
          <w:sz w:val="24"/>
          <w:szCs w:val="24"/>
          <w:shd w:val="clear" w:color="auto" w:fill="FFFFFF"/>
        </w:rPr>
      </w:pPr>
    </w:p>
    <w:p w14:paraId="370B0655" w14:textId="41960D89" w:rsidR="002059CD" w:rsidRPr="00DD37AF" w:rsidRDefault="002D3551" w:rsidP="002059CD">
      <w:pPr>
        <w:spacing w:line="360" w:lineRule="auto"/>
        <w:jc w:val="both"/>
        <w:rPr>
          <w:rFonts w:ascii="Times New Roman" w:hAnsi="Times New Roman" w:cs="Times New Roman"/>
          <w:b/>
          <w:color w:val="000000" w:themeColor="text1"/>
          <w:sz w:val="24"/>
          <w:szCs w:val="24"/>
          <w:shd w:val="clear" w:color="auto" w:fill="FFFFFF"/>
        </w:rPr>
      </w:pPr>
      <w:r w:rsidRPr="00DD37AF">
        <w:rPr>
          <w:rFonts w:ascii="Times New Roman" w:hAnsi="Times New Roman" w:cs="Times New Roman"/>
          <w:b/>
          <w:color w:val="000000" w:themeColor="text1"/>
          <w:sz w:val="24"/>
          <w:szCs w:val="24"/>
          <w:shd w:val="clear" w:color="auto" w:fill="FFFFFF"/>
        </w:rPr>
        <w:t xml:space="preserve">Conclusion </w:t>
      </w:r>
    </w:p>
    <w:p w14:paraId="5515D0B9" w14:textId="3BF3DE91" w:rsidR="002059CD" w:rsidRDefault="002059CD" w:rsidP="007A72BB">
      <w:pPr>
        <w:spacing w:line="360" w:lineRule="auto"/>
        <w:jc w:val="both"/>
        <w:rPr>
          <w:rFonts w:ascii="Times New Roman" w:hAnsi="Times New Roman" w:cs="Times New Roman"/>
          <w:bCs/>
          <w:sz w:val="24"/>
          <w:szCs w:val="24"/>
        </w:rPr>
      </w:pPr>
      <w:r w:rsidRPr="00DD37AF">
        <w:rPr>
          <w:rFonts w:ascii="Times New Roman" w:hAnsi="Times New Roman" w:cs="Times New Roman"/>
          <w:bCs/>
          <w:sz w:val="24"/>
          <w:szCs w:val="24"/>
        </w:rPr>
        <w:t xml:space="preserve">Soil health is intrinsically linked to food security, ecosystem stability, human well-being, and the achievement of the global Sustainable Development Goals (SDGs). In the context of rapid urbanization and increasing population pressure, anthropogenic land-use transitions are significantly </w:t>
      </w:r>
      <w:r w:rsidRPr="00DD37AF">
        <w:rPr>
          <w:rFonts w:ascii="Times New Roman" w:hAnsi="Times New Roman" w:cs="Times New Roman"/>
          <w:bCs/>
          <w:sz w:val="24"/>
          <w:szCs w:val="24"/>
        </w:rPr>
        <w:lastRenderedPageBreak/>
        <w:t>altering soil nutrient balance, pH, and trace metal accumulation, with direct consequences for natural resource sustainability and ecosystem services. The present investigation revealed elevated concentrations of Zn, Cu, Fe, and other essential nutrients in urban, industrial, and waste-impacted soils, indicating increasing risks to plant productivity, food quality, and human health through trophic transfer. These findings underscore the urgent need for sustainable land-use planning, periodic soil monitoring, and targeted remediation strategies to preserve soil functionality and ensure long-term food and nutritional security in rapidly transforming landscapes.</w:t>
      </w:r>
    </w:p>
    <w:p w14:paraId="3681E8B0" w14:textId="77777777" w:rsidR="00C971CA" w:rsidRPr="00DD37AF" w:rsidRDefault="00C971CA" w:rsidP="007A72BB">
      <w:pPr>
        <w:spacing w:line="360" w:lineRule="auto"/>
        <w:jc w:val="both"/>
        <w:rPr>
          <w:rFonts w:ascii="Times New Roman" w:hAnsi="Times New Roman" w:cs="Times New Roman"/>
          <w:bCs/>
          <w:sz w:val="24"/>
          <w:szCs w:val="24"/>
        </w:rPr>
      </w:pPr>
    </w:p>
    <w:p w14:paraId="0681EB2A" w14:textId="39B44DB4" w:rsidR="002F6A2E" w:rsidRPr="00DD37AF" w:rsidRDefault="002F6A2E" w:rsidP="002F6A2E">
      <w:pPr>
        <w:rPr>
          <w:b/>
        </w:rPr>
      </w:pPr>
      <w:r w:rsidRPr="00DD37AF">
        <w:rPr>
          <w:b/>
        </w:rPr>
        <w:t>Disclaimer (Artificial intelligence)</w:t>
      </w:r>
    </w:p>
    <w:p w14:paraId="41275425" w14:textId="77777777" w:rsidR="002F6A2E" w:rsidRPr="00DD37AF" w:rsidRDefault="002F6A2E" w:rsidP="002F6A2E">
      <w:r w:rsidRPr="00DD37AF">
        <w:t xml:space="preserve">Author(s) hereby declare that NO generative AI technologies such as Large Language Models (ChatGPT, COPILOT, etc.) and text-to-image generators have been used during the writing or editing of this manuscript. </w:t>
      </w:r>
    </w:p>
    <w:p w14:paraId="2A649D81" w14:textId="77777777" w:rsidR="00C971CA" w:rsidRDefault="00C971CA" w:rsidP="00B579B0">
      <w:pPr>
        <w:spacing w:after="0" w:line="360" w:lineRule="auto"/>
        <w:jc w:val="both"/>
        <w:rPr>
          <w:rFonts w:ascii="Times New Roman" w:eastAsia="Times New Roman" w:hAnsi="Times New Roman" w:cs="Times New Roman"/>
          <w:b/>
          <w:bCs/>
          <w:color w:val="000000" w:themeColor="text1"/>
          <w:sz w:val="24"/>
          <w:szCs w:val="24"/>
        </w:rPr>
      </w:pPr>
    </w:p>
    <w:p w14:paraId="037BA8D3" w14:textId="77777777" w:rsidR="009B42CA" w:rsidRDefault="009B42CA" w:rsidP="00F956E3">
      <w:pPr>
        <w:spacing w:line="360" w:lineRule="auto"/>
        <w:jc w:val="both"/>
        <w:rPr>
          <w:rFonts w:ascii="Times New Roman" w:hAnsi="Times New Roman" w:cs="Times New Roman"/>
          <w:bCs/>
          <w:color w:val="000000" w:themeColor="text1"/>
          <w:sz w:val="24"/>
          <w:szCs w:val="24"/>
          <w:shd w:val="clear" w:color="auto" w:fill="FFFFFF"/>
        </w:rPr>
      </w:pPr>
    </w:p>
    <w:p w14:paraId="7C2E34C9" w14:textId="77777777" w:rsidR="0084632E" w:rsidRDefault="0084632E" w:rsidP="00F956E3">
      <w:pPr>
        <w:spacing w:line="360" w:lineRule="auto"/>
        <w:jc w:val="both"/>
        <w:rPr>
          <w:rFonts w:ascii="Times New Roman" w:hAnsi="Times New Roman" w:cs="Times New Roman"/>
          <w:bCs/>
          <w:color w:val="000000" w:themeColor="text1"/>
          <w:sz w:val="24"/>
          <w:szCs w:val="24"/>
          <w:shd w:val="clear" w:color="auto" w:fill="FFFFFF"/>
        </w:rPr>
      </w:pPr>
    </w:p>
    <w:p w14:paraId="5A1689D8" w14:textId="37299FD6" w:rsidR="008869E6" w:rsidRPr="00DD37AF" w:rsidRDefault="008869E6" w:rsidP="00F956E3">
      <w:pPr>
        <w:spacing w:line="360" w:lineRule="auto"/>
        <w:jc w:val="both"/>
        <w:rPr>
          <w:rFonts w:ascii="Times New Roman" w:hAnsi="Times New Roman" w:cs="Times New Roman"/>
          <w:b/>
          <w:bCs/>
          <w:color w:val="000000" w:themeColor="text1"/>
          <w:sz w:val="24"/>
          <w:szCs w:val="24"/>
          <w:shd w:val="clear" w:color="auto" w:fill="FFFFFF"/>
        </w:rPr>
      </w:pPr>
      <w:r w:rsidRPr="00DD37AF">
        <w:rPr>
          <w:rFonts w:ascii="Times New Roman" w:hAnsi="Times New Roman" w:cs="Times New Roman"/>
          <w:b/>
          <w:bCs/>
          <w:color w:val="000000" w:themeColor="text1"/>
          <w:sz w:val="24"/>
          <w:szCs w:val="24"/>
          <w:shd w:val="clear" w:color="auto" w:fill="FFFFFF"/>
        </w:rPr>
        <w:t>References</w:t>
      </w:r>
    </w:p>
    <w:p w14:paraId="1E9DA346" w14:textId="415EF477" w:rsidR="00DC6807" w:rsidRPr="00DD37AF" w:rsidRDefault="00DC6807" w:rsidP="00F84343">
      <w:pPr>
        <w:spacing w:line="360" w:lineRule="auto"/>
        <w:jc w:val="both"/>
        <w:rPr>
          <w:rFonts w:ascii="Times New Roman" w:hAnsi="Times New Roman" w:cs="Times New Roman"/>
          <w:color w:val="000000" w:themeColor="text1"/>
          <w:sz w:val="24"/>
          <w:szCs w:val="24"/>
          <w:shd w:val="clear" w:color="auto" w:fill="FFFFFF"/>
          <w:lang w:val="en-IN"/>
        </w:rPr>
      </w:pPr>
      <w:r w:rsidRPr="00DD37AF">
        <w:rPr>
          <w:rFonts w:ascii="Times New Roman" w:hAnsi="Times New Roman" w:cs="Times New Roman"/>
          <w:color w:val="000000" w:themeColor="text1"/>
          <w:sz w:val="24"/>
          <w:szCs w:val="24"/>
        </w:rPr>
        <w:t>Abrahams, P. W. (2012). Involuntary soil ingestion and geophagia: A source and sink of mineral nutrients and potentially harmful elements to consumers of earth materials. </w:t>
      </w:r>
      <w:r w:rsidRPr="00DD37AF">
        <w:rPr>
          <w:rFonts w:ascii="Times New Roman" w:hAnsi="Times New Roman" w:cs="Times New Roman"/>
          <w:i/>
          <w:iCs/>
          <w:color w:val="000000" w:themeColor="text1"/>
          <w:sz w:val="24"/>
          <w:szCs w:val="24"/>
        </w:rPr>
        <w:t>Applied Geochemistry</w:t>
      </w:r>
      <w:r w:rsidRPr="00DD37AF">
        <w:rPr>
          <w:rFonts w:ascii="Times New Roman" w:hAnsi="Times New Roman" w:cs="Times New Roman"/>
          <w:color w:val="000000" w:themeColor="text1"/>
          <w:sz w:val="24"/>
          <w:szCs w:val="24"/>
        </w:rPr>
        <w:t>, </w:t>
      </w:r>
      <w:r w:rsidRPr="00DD37AF">
        <w:rPr>
          <w:rFonts w:ascii="Times New Roman" w:hAnsi="Times New Roman" w:cs="Times New Roman"/>
          <w:i/>
          <w:iCs/>
          <w:color w:val="000000" w:themeColor="text1"/>
          <w:sz w:val="24"/>
          <w:szCs w:val="24"/>
        </w:rPr>
        <w:t>27</w:t>
      </w:r>
      <w:r w:rsidRPr="00DD37AF">
        <w:rPr>
          <w:rFonts w:ascii="Times New Roman" w:hAnsi="Times New Roman" w:cs="Times New Roman"/>
          <w:color w:val="000000" w:themeColor="text1"/>
          <w:sz w:val="24"/>
          <w:szCs w:val="24"/>
        </w:rPr>
        <w:t xml:space="preserve">(5), 954-968. </w:t>
      </w:r>
      <w:hyperlink r:id="rId8" w:history="1">
        <w:r w:rsidRPr="00DD37AF">
          <w:rPr>
            <w:rStyle w:val="Hyperlink"/>
            <w:rFonts w:ascii="Times New Roman" w:hAnsi="Times New Roman" w:cs="Times New Roman"/>
            <w:sz w:val="24"/>
            <w:szCs w:val="24"/>
            <w:shd w:val="clear" w:color="auto" w:fill="FFFFFF"/>
            <w:lang w:val="en-IN"/>
          </w:rPr>
          <w:t>https://doi.org/10.1016/j.apgeochem.2011.05.003</w:t>
        </w:r>
      </w:hyperlink>
    </w:p>
    <w:p w14:paraId="6FCB673E" w14:textId="30B65E53" w:rsidR="000C4FC1" w:rsidRPr="00DD37AF"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proofErr w:type="spellStart"/>
      <w:r w:rsidRPr="00DD37AF">
        <w:rPr>
          <w:rFonts w:ascii="Times New Roman" w:hAnsi="Times New Roman" w:cs="Times New Roman"/>
          <w:color w:val="000000" w:themeColor="text1"/>
          <w:sz w:val="24"/>
          <w:szCs w:val="24"/>
          <w:shd w:val="clear" w:color="auto" w:fill="FFFFFF"/>
          <w:lang w:val="en-IN"/>
        </w:rPr>
        <w:t>Acquisti</w:t>
      </w:r>
      <w:proofErr w:type="spellEnd"/>
      <w:r w:rsidRPr="00DD37AF">
        <w:rPr>
          <w:rFonts w:ascii="Times New Roman" w:hAnsi="Times New Roman" w:cs="Times New Roman"/>
          <w:color w:val="000000" w:themeColor="text1"/>
          <w:sz w:val="24"/>
          <w:szCs w:val="24"/>
          <w:shd w:val="clear" w:color="auto" w:fill="FFFFFF"/>
          <w:lang w:val="en-IN"/>
        </w:rPr>
        <w:t xml:space="preserve">, C., Kumar, S., </w:t>
      </w:r>
      <w:r w:rsidR="00DF2368" w:rsidRPr="00DD37AF">
        <w:rPr>
          <w:rFonts w:ascii="Times New Roman" w:hAnsi="Times New Roman" w:cs="Times New Roman"/>
          <w:color w:val="000000" w:themeColor="text1"/>
          <w:sz w:val="24"/>
          <w:szCs w:val="24"/>
          <w:shd w:val="clear" w:color="auto" w:fill="FFFFFF"/>
          <w:lang w:val="en-IN"/>
        </w:rPr>
        <w:t>and</w:t>
      </w:r>
      <w:r w:rsidRPr="00DD37AF">
        <w:rPr>
          <w:rFonts w:ascii="Times New Roman" w:hAnsi="Times New Roman" w:cs="Times New Roman"/>
          <w:color w:val="000000" w:themeColor="text1"/>
          <w:sz w:val="24"/>
          <w:szCs w:val="24"/>
          <w:shd w:val="clear" w:color="auto" w:fill="FFFFFF"/>
          <w:lang w:val="en-IN"/>
        </w:rPr>
        <w:t xml:space="preserve"> Elser, J. J. (2009). Signatures of nitrogen limitation in the elemental composition of the proteins involved in the metabolic apparatus. Proceedings of the Royal Society B: Biological Sciences, 276(1667), 2605–2610. </w:t>
      </w:r>
      <w:hyperlink r:id="rId9" w:history="1">
        <w:r w:rsidR="00424FDB" w:rsidRPr="00DD37AF">
          <w:rPr>
            <w:rStyle w:val="Hyperlink"/>
            <w:rFonts w:ascii="Times New Roman" w:hAnsi="Times New Roman" w:cs="Times New Roman"/>
            <w:sz w:val="24"/>
            <w:szCs w:val="24"/>
            <w:shd w:val="clear" w:color="auto" w:fill="FFFFFF"/>
            <w:lang w:val="en-IN"/>
          </w:rPr>
          <w:t>https://doi.org/10.1098/rspb.2008.1960</w:t>
        </w:r>
      </w:hyperlink>
    </w:p>
    <w:p w14:paraId="6944B486" w14:textId="35FAF15E" w:rsidR="000C4FC1" w:rsidRPr="00DD37AF"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DD37AF">
        <w:rPr>
          <w:rFonts w:ascii="Times New Roman" w:hAnsi="Times New Roman" w:cs="Times New Roman"/>
          <w:color w:val="000000" w:themeColor="text1"/>
          <w:sz w:val="24"/>
          <w:szCs w:val="24"/>
          <w:shd w:val="clear" w:color="auto" w:fill="FFFFFF"/>
          <w:lang w:val="en-IN"/>
        </w:rPr>
        <w:t xml:space="preserve">Adeleke, R., </w:t>
      </w:r>
      <w:proofErr w:type="spellStart"/>
      <w:r w:rsidRPr="00DD37AF">
        <w:rPr>
          <w:rFonts w:ascii="Times New Roman" w:hAnsi="Times New Roman" w:cs="Times New Roman"/>
          <w:color w:val="000000" w:themeColor="text1"/>
          <w:sz w:val="24"/>
          <w:szCs w:val="24"/>
          <w:shd w:val="clear" w:color="auto" w:fill="FFFFFF"/>
          <w:lang w:val="en-IN"/>
        </w:rPr>
        <w:t>Nwangburuka</w:t>
      </w:r>
      <w:proofErr w:type="spellEnd"/>
      <w:r w:rsidRPr="00DD37AF">
        <w:rPr>
          <w:rFonts w:ascii="Times New Roman" w:hAnsi="Times New Roman" w:cs="Times New Roman"/>
          <w:color w:val="000000" w:themeColor="text1"/>
          <w:sz w:val="24"/>
          <w:szCs w:val="24"/>
          <w:shd w:val="clear" w:color="auto" w:fill="FFFFFF"/>
          <w:lang w:val="en-IN"/>
        </w:rPr>
        <w:t xml:space="preserve">, C., </w:t>
      </w:r>
      <w:r w:rsidR="00DF2368" w:rsidRPr="00DD37AF">
        <w:rPr>
          <w:rFonts w:ascii="Times New Roman" w:hAnsi="Times New Roman" w:cs="Times New Roman"/>
          <w:color w:val="000000" w:themeColor="text1"/>
          <w:sz w:val="24"/>
          <w:szCs w:val="24"/>
          <w:shd w:val="clear" w:color="auto" w:fill="FFFFFF"/>
          <w:lang w:val="en-IN"/>
        </w:rPr>
        <w:t>and</w:t>
      </w:r>
      <w:r w:rsidRPr="00DD37AF">
        <w:rPr>
          <w:rFonts w:ascii="Times New Roman" w:hAnsi="Times New Roman" w:cs="Times New Roman"/>
          <w:color w:val="000000" w:themeColor="text1"/>
          <w:sz w:val="24"/>
          <w:szCs w:val="24"/>
          <w:shd w:val="clear" w:color="auto" w:fill="FFFFFF"/>
          <w:lang w:val="en-IN"/>
        </w:rPr>
        <w:t xml:space="preserve"> </w:t>
      </w:r>
      <w:proofErr w:type="spellStart"/>
      <w:r w:rsidRPr="00DD37AF">
        <w:rPr>
          <w:rFonts w:ascii="Times New Roman" w:hAnsi="Times New Roman" w:cs="Times New Roman"/>
          <w:color w:val="000000" w:themeColor="text1"/>
          <w:sz w:val="24"/>
          <w:szCs w:val="24"/>
          <w:shd w:val="clear" w:color="auto" w:fill="FFFFFF"/>
          <w:lang w:val="en-IN"/>
        </w:rPr>
        <w:t>Oboirien</w:t>
      </w:r>
      <w:proofErr w:type="spellEnd"/>
      <w:r w:rsidRPr="00DD37AF">
        <w:rPr>
          <w:rFonts w:ascii="Times New Roman" w:hAnsi="Times New Roman" w:cs="Times New Roman"/>
          <w:color w:val="000000" w:themeColor="text1"/>
          <w:sz w:val="24"/>
          <w:szCs w:val="24"/>
          <w:shd w:val="clear" w:color="auto" w:fill="FFFFFF"/>
          <w:lang w:val="en-IN"/>
        </w:rPr>
        <w:t xml:space="preserve">, B. (2017). Origins, roles and fate of organic acids in soils: A review. South African Journal of Botany, 108, 393–406. </w:t>
      </w:r>
      <w:hyperlink r:id="rId10" w:history="1">
        <w:r w:rsidR="00424FDB" w:rsidRPr="00DD37AF">
          <w:rPr>
            <w:rStyle w:val="Hyperlink"/>
            <w:rFonts w:ascii="Times New Roman" w:hAnsi="Times New Roman" w:cs="Times New Roman"/>
            <w:sz w:val="24"/>
            <w:szCs w:val="24"/>
            <w:shd w:val="clear" w:color="auto" w:fill="FFFFFF"/>
            <w:lang w:val="en-IN"/>
          </w:rPr>
          <w:t>https://doi.org/10.1016/j.sajb.2016.09.002</w:t>
        </w:r>
      </w:hyperlink>
    </w:p>
    <w:p w14:paraId="0BCE7464" w14:textId="1749C22F" w:rsidR="000C4FC1" w:rsidRPr="00DD37AF"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DD37AF">
        <w:rPr>
          <w:rFonts w:ascii="Times New Roman" w:hAnsi="Times New Roman" w:cs="Times New Roman"/>
          <w:color w:val="000000" w:themeColor="text1"/>
          <w:sz w:val="24"/>
          <w:szCs w:val="24"/>
          <w:shd w:val="clear" w:color="auto" w:fill="FFFFFF"/>
          <w:lang w:val="en-IN"/>
        </w:rPr>
        <w:t xml:space="preserve">Adnan, M., Xiao, B., Ali, M. U., Xiao, P., Zhao, P., Wang, H., </w:t>
      </w:r>
      <w:r w:rsidR="00DF2368" w:rsidRPr="00DD37AF">
        <w:rPr>
          <w:rFonts w:ascii="Times New Roman" w:hAnsi="Times New Roman" w:cs="Times New Roman"/>
          <w:color w:val="000000" w:themeColor="text1"/>
          <w:sz w:val="24"/>
          <w:szCs w:val="24"/>
          <w:shd w:val="clear" w:color="auto" w:fill="FFFFFF"/>
          <w:lang w:val="en-IN"/>
        </w:rPr>
        <w:t>and</w:t>
      </w:r>
      <w:r w:rsidRPr="00DD37AF">
        <w:rPr>
          <w:rFonts w:ascii="Times New Roman" w:hAnsi="Times New Roman" w:cs="Times New Roman"/>
          <w:color w:val="000000" w:themeColor="text1"/>
          <w:sz w:val="24"/>
          <w:szCs w:val="24"/>
          <w:shd w:val="clear" w:color="auto" w:fill="FFFFFF"/>
          <w:lang w:val="en-IN"/>
        </w:rPr>
        <w:t xml:space="preserve"> Bibi, S. (2024). Heavy metals pollution from smelting activities: A threat to soil and groundwater. Ecotoxicology and Environmental Safety, 274, 116189. </w:t>
      </w:r>
      <w:hyperlink r:id="rId11" w:history="1">
        <w:r w:rsidR="00424FDB" w:rsidRPr="00DD37AF">
          <w:rPr>
            <w:rStyle w:val="Hyperlink"/>
            <w:rFonts w:ascii="Times New Roman" w:hAnsi="Times New Roman" w:cs="Times New Roman"/>
            <w:sz w:val="24"/>
            <w:szCs w:val="24"/>
            <w:shd w:val="clear" w:color="auto" w:fill="FFFFFF"/>
            <w:lang w:val="en-IN"/>
          </w:rPr>
          <w:t>https://doi.org/10.1016/j.ecoenv.2024.116189</w:t>
        </w:r>
      </w:hyperlink>
    </w:p>
    <w:p w14:paraId="454DB302" w14:textId="77777777" w:rsidR="00424FDB" w:rsidRPr="00DD37AF" w:rsidRDefault="00424FDB" w:rsidP="000A5331">
      <w:pPr>
        <w:spacing w:line="360" w:lineRule="auto"/>
        <w:jc w:val="both"/>
        <w:rPr>
          <w:rFonts w:ascii="Times New Roman" w:hAnsi="Times New Roman" w:cs="Times New Roman"/>
          <w:color w:val="000000" w:themeColor="text1"/>
          <w:sz w:val="24"/>
          <w:szCs w:val="24"/>
          <w:shd w:val="clear" w:color="auto" w:fill="FFFFFF"/>
          <w:lang w:val="en-IN"/>
        </w:rPr>
      </w:pPr>
    </w:p>
    <w:p w14:paraId="0A53CF89" w14:textId="70D351FA" w:rsidR="000C4FC1" w:rsidRPr="00DD37AF"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DD37AF">
        <w:rPr>
          <w:rFonts w:ascii="Times New Roman" w:hAnsi="Times New Roman" w:cs="Times New Roman"/>
          <w:color w:val="000000" w:themeColor="text1"/>
          <w:sz w:val="24"/>
          <w:szCs w:val="24"/>
          <w:shd w:val="clear" w:color="auto" w:fill="FFFFFF"/>
          <w:lang w:val="en-IN"/>
        </w:rPr>
        <w:t xml:space="preserve">Agbeshie, A. A., Adjei, R., Anokye, J., </w:t>
      </w:r>
      <w:r w:rsidR="00DF2368" w:rsidRPr="00DD37AF">
        <w:rPr>
          <w:rFonts w:ascii="Times New Roman" w:hAnsi="Times New Roman" w:cs="Times New Roman"/>
          <w:color w:val="000000" w:themeColor="text1"/>
          <w:sz w:val="24"/>
          <w:szCs w:val="24"/>
          <w:shd w:val="clear" w:color="auto" w:fill="FFFFFF"/>
          <w:lang w:val="en-IN"/>
        </w:rPr>
        <w:t>and</w:t>
      </w:r>
      <w:r w:rsidRPr="00DD37AF">
        <w:rPr>
          <w:rFonts w:ascii="Times New Roman" w:hAnsi="Times New Roman" w:cs="Times New Roman"/>
          <w:color w:val="000000" w:themeColor="text1"/>
          <w:sz w:val="24"/>
          <w:szCs w:val="24"/>
          <w:shd w:val="clear" w:color="auto" w:fill="FFFFFF"/>
          <w:lang w:val="en-IN"/>
        </w:rPr>
        <w:t xml:space="preserve"> </w:t>
      </w:r>
      <w:proofErr w:type="spellStart"/>
      <w:r w:rsidRPr="00DD37AF">
        <w:rPr>
          <w:rFonts w:ascii="Times New Roman" w:hAnsi="Times New Roman" w:cs="Times New Roman"/>
          <w:color w:val="000000" w:themeColor="text1"/>
          <w:sz w:val="24"/>
          <w:szCs w:val="24"/>
          <w:shd w:val="clear" w:color="auto" w:fill="FFFFFF"/>
          <w:lang w:val="en-IN"/>
        </w:rPr>
        <w:t>Banunle</w:t>
      </w:r>
      <w:proofErr w:type="spellEnd"/>
      <w:r w:rsidRPr="00DD37AF">
        <w:rPr>
          <w:rFonts w:ascii="Times New Roman" w:hAnsi="Times New Roman" w:cs="Times New Roman"/>
          <w:color w:val="000000" w:themeColor="text1"/>
          <w:sz w:val="24"/>
          <w:szCs w:val="24"/>
          <w:shd w:val="clear" w:color="auto" w:fill="FFFFFF"/>
          <w:lang w:val="en-IN"/>
        </w:rPr>
        <w:t xml:space="preserve">, A. (2020). Municipal waste dumpsite: Impact on soil properties and heavy metal concentrations, Sunyani, Ghana. Scientific African, 8, e00390. </w:t>
      </w:r>
      <w:hyperlink r:id="rId12" w:history="1">
        <w:r w:rsidR="00DF2368" w:rsidRPr="00DD37AF">
          <w:rPr>
            <w:rStyle w:val="Hyperlink"/>
            <w:rFonts w:ascii="Times New Roman" w:hAnsi="Times New Roman" w:cs="Times New Roman"/>
            <w:sz w:val="24"/>
            <w:szCs w:val="24"/>
            <w:shd w:val="clear" w:color="auto" w:fill="FFFFFF"/>
            <w:lang w:val="en-IN"/>
          </w:rPr>
          <w:t>https://doi.org/10.1016/j.sciaf.2020.e00390</w:t>
        </w:r>
      </w:hyperlink>
    </w:p>
    <w:p w14:paraId="4C4D7EE1" w14:textId="5FFC408D" w:rsidR="000C4FC1" w:rsidRPr="00DD37AF"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DD37AF">
        <w:rPr>
          <w:rFonts w:ascii="Times New Roman" w:hAnsi="Times New Roman" w:cs="Times New Roman"/>
          <w:color w:val="000000" w:themeColor="text1"/>
          <w:sz w:val="24"/>
          <w:szCs w:val="24"/>
          <w:shd w:val="clear" w:color="auto" w:fill="FFFFFF"/>
          <w:lang w:val="en-IN"/>
        </w:rPr>
        <w:t xml:space="preserve">Ahmed, N., Zhang, B., </w:t>
      </w:r>
      <w:proofErr w:type="spellStart"/>
      <w:r w:rsidRPr="00DD37AF">
        <w:rPr>
          <w:rFonts w:ascii="Times New Roman" w:hAnsi="Times New Roman" w:cs="Times New Roman"/>
          <w:color w:val="000000" w:themeColor="text1"/>
          <w:sz w:val="24"/>
          <w:szCs w:val="24"/>
          <w:shd w:val="clear" w:color="auto" w:fill="FFFFFF"/>
          <w:lang w:val="en-IN"/>
        </w:rPr>
        <w:t>Bozdar</w:t>
      </w:r>
      <w:proofErr w:type="spellEnd"/>
      <w:r w:rsidRPr="00DD37AF">
        <w:rPr>
          <w:rFonts w:ascii="Times New Roman" w:hAnsi="Times New Roman" w:cs="Times New Roman"/>
          <w:color w:val="000000" w:themeColor="text1"/>
          <w:sz w:val="24"/>
          <w:szCs w:val="24"/>
          <w:shd w:val="clear" w:color="auto" w:fill="FFFFFF"/>
          <w:lang w:val="en-IN"/>
        </w:rPr>
        <w:t xml:space="preserve">, B., Chachar, S., Rai, M., Li, J., Li, Y., Hayat, F., Chachar, Z., </w:t>
      </w:r>
      <w:r w:rsidR="00DF2368" w:rsidRPr="00DD37AF">
        <w:rPr>
          <w:rFonts w:ascii="Times New Roman" w:hAnsi="Times New Roman" w:cs="Times New Roman"/>
          <w:color w:val="000000" w:themeColor="text1"/>
          <w:sz w:val="24"/>
          <w:szCs w:val="24"/>
          <w:shd w:val="clear" w:color="auto" w:fill="FFFFFF"/>
          <w:lang w:val="en-IN"/>
        </w:rPr>
        <w:t>and</w:t>
      </w:r>
      <w:r w:rsidRPr="00DD37AF">
        <w:rPr>
          <w:rFonts w:ascii="Times New Roman" w:hAnsi="Times New Roman" w:cs="Times New Roman"/>
          <w:color w:val="000000" w:themeColor="text1"/>
          <w:sz w:val="24"/>
          <w:szCs w:val="24"/>
          <w:shd w:val="clear" w:color="auto" w:fill="FFFFFF"/>
          <w:lang w:val="en-IN"/>
        </w:rPr>
        <w:t xml:space="preserve"> Tu, P. (2023). The power of magnesium: Unlocking the potential for increased yield, quality, and stress tolerance of horticultural crops. Frontiers in Plant Science, 14, 1285512. </w:t>
      </w:r>
      <w:hyperlink r:id="rId13" w:history="1">
        <w:r w:rsidR="00DF2368" w:rsidRPr="00DD37AF">
          <w:rPr>
            <w:rStyle w:val="Hyperlink"/>
            <w:rFonts w:ascii="Times New Roman" w:hAnsi="Times New Roman" w:cs="Times New Roman"/>
            <w:sz w:val="24"/>
            <w:szCs w:val="24"/>
            <w:shd w:val="clear" w:color="auto" w:fill="FFFFFF"/>
            <w:lang w:val="en-IN"/>
          </w:rPr>
          <w:t>https://doi.org/10.3389/fpls.2023.1285512</w:t>
        </w:r>
      </w:hyperlink>
    </w:p>
    <w:p w14:paraId="54095BD9" w14:textId="3667021E" w:rsidR="000C4FC1" w:rsidRPr="00DD37AF"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DD37AF">
        <w:rPr>
          <w:rFonts w:ascii="Times New Roman" w:hAnsi="Times New Roman" w:cs="Times New Roman"/>
          <w:color w:val="000000" w:themeColor="text1"/>
          <w:sz w:val="24"/>
          <w:szCs w:val="24"/>
          <w:shd w:val="clear" w:color="auto" w:fill="FFFFFF"/>
          <w:lang w:val="en-IN"/>
        </w:rPr>
        <w:t xml:space="preserve">Andrés, P., </w:t>
      </w:r>
      <w:proofErr w:type="spellStart"/>
      <w:r w:rsidRPr="00DD37AF">
        <w:rPr>
          <w:rFonts w:ascii="Times New Roman" w:hAnsi="Times New Roman" w:cs="Times New Roman"/>
          <w:color w:val="000000" w:themeColor="text1"/>
          <w:sz w:val="24"/>
          <w:szCs w:val="24"/>
          <w:shd w:val="clear" w:color="auto" w:fill="FFFFFF"/>
          <w:lang w:val="en-IN"/>
        </w:rPr>
        <w:t>Doblas</w:t>
      </w:r>
      <w:proofErr w:type="spellEnd"/>
      <w:r w:rsidRPr="00DD37AF">
        <w:rPr>
          <w:rFonts w:ascii="Times New Roman" w:hAnsi="Times New Roman" w:cs="Times New Roman"/>
          <w:color w:val="000000" w:themeColor="text1"/>
          <w:sz w:val="24"/>
          <w:szCs w:val="24"/>
          <w:shd w:val="clear" w:color="auto" w:fill="FFFFFF"/>
          <w:lang w:val="en-IN"/>
        </w:rPr>
        <w:t xml:space="preserve">-Miranda, E., Silva-Sánchez, A., </w:t>
      </w:r>
      <w:proofErr w:type="spellStart"/>
      <w:r w:rsidRPr="00DD37AF">
        <w:rPr>
          <w:rFonts w:ascii="Times New Roman" w:hAnsi="Times New Roman" w:cs="Times New Roman"/>
          <w:color w:val="000000" w:themeColor="text1"/>
          <w:sz w:val="24"/>
          <w:szCs w:val="24"/>
          <w:shd w:val="clear" w:color="auto" w:fill="FFFFFF"/>
          <w:lang w:val="en-IN"/>
        </w:rPr>
        <w:t>Mattana</w:t>
      </w:r>
      <w:proofErr w:type="spellEnd"/>
      <w:r w:rsidRPr="00DD37AF">
        <w:rPr>
          <w:rFonts w:ascii="Times New Roman" w:hAnsi="Times New Roman" w:cs="Times New Roman"/>
          <w:color w:val="000000" w:themeColor="text1"/>
          <w:sz w:val="24"/>
          <w:szCs w:val="24"/>
          <w:shd w:val="clear" w:color="auto" w:fill="FFFFFF"/>
          <w:lang w:val="en-IN"/>
        </w:rPr>
        <w:t xml:space="preserve">, S., </w:t>
      </w:r>
      <w:r w:rsidR="00DF2368" w:rsidRPr="00DD37AF">
        <w:rPr>
          <w:rFonts w:ascii="Times New Roman" w:hAnsi="Times New Roman" w:cs="Times New Roman"/>
          <w:color w:val="000000" w:themeColor="text1"/>
          <w:sz w:val="24"/>
          <w:szCs w:val="24"/>
          <w:shd w:val="clear" w:color="auto" w:fill="FFFFFF"/>
          <w:lang w:val="en-IN"/>
        </w:rPr>
        <w:t>and</w:t>
      </w:r>
      <w:r w:rsidRPr="00DD37AF">
        <w:rPr>
          <w:rFonts w:ascii="Times New Roman" w:hAnsi="Times New Roman" w:cs="Times New Roman"/>
          <w:color w:val="000000" w:themeColor="text1"/>
          <w:sz w:val="24"/>
          <w:szCs w:val="24"/>
          <w:shd w:val="clear" w:color="auto" w:fill="FFFFFF"/>
          <w:lang w:val="en-IN"/>
        </w:rPr>
        <w:t xml:space="preserve"> Font, F. (2022). Physical, chemical, and biological indicators of soil quality in Mediterranean vineyards under contrasting farming schemes. Agronomy, 12(11), 2643. </w:t>
      </w:r>
      <w:hyperlink r:id="rId14" w:history="1">
        <w:r w:rsidR="00DF2368" w:rsidRPr="00DD37AF">
          <w:rPr>
            <w:rStyle w:val="Hyperlink"/>
            <w:rFonts w:ascii="Times New Roman" w:hAnsi="Times New Roman" w:cs="Times New Roman"/>
            <w:sz w:val="24"/>
            <w:szCs w:val="24"/>
            <w:shd w:val="clear" w:color="auto" w:fill="FFFFFF"/>
            <w:lang w:val="en-IN"/>
          </w:rPr>
          <w:t>https://doi.org/10.3390/agronomy12112643</w:t>
        </w:r>
      </w:hyperlink>
    </w:p>
    <w:p w14:paraId="06157312" w14:textId="15309E1D" w:rsidR="000C4FC1" w:rsidRPr="00DD37AF"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DD37AF">
        <w:rPr>
          <w:rFonts w:ascii="Times New Roman" w:hAnsi="Times New Roman" w:cs="Times New Roman"/>
          <w:color w:val="000000" w:themeColor="text1"/>
          <w:sz w:val="24"/>
          <w:szCs w:val="24"/>
          <w:shd w:val="clear" w:color="auto" w:fill="FFFFFF"/>
          <w:lang w:val="en-IN"/>
        </w:rPr>
        <w:t xml:space="preserve">Arumugam, T., </w:t>
      </w:r>
      <w:proofErr w:type="spellStart"/>
      <w:r w:rsidRPr="00DD37AF">
        <w:rPr>
          <w:rFonts w:ascii="Times New Roman" w:hAnsi="Times New Roman" w:cs="Times New Roman"/>
          <w:color w:val="000000" w:themeColor="text1"/>
          <w:sz w:val="24"/>
          <w:szCs w:val="24"/>
          <w:shd w:val="clear" w:color="auto" w:fill="FFFFFF"/>
          <w:lang w:val="en-IN"/>
        </w:rPr>
        <w:t>Kinattinkara</w:t>
      </w:r>
      <w:proofErr w:type="spellEnd"/>
      <w:r w:rsidRPr="00DD37AF">
        <w:rPr>
          <w:rFonts w:ascii="Times New Roman" w:hAnsi="Times New Roman" w:cs="Times New Roman"/>
          <w:color w:val="000000" w:themeColor="text1"/>
          <w:sz w:val="24"/>
          <w:szCs w:val="24"/>
          <w:shd w:val="clear" w:color="auto" w:fill="FFFFFF"/>
          <w:lang w:val="en-IN"/>
        </w:rPr>
        <w:t xml:space="preserve">, S., </w:t>
      </w:r>
      <w:proofErr w:type="spellStart"/>
      <w:r w:rsidRPr="00DD37AF">
        <w:rPr>
          <w:rFonts w:ascii="Times New Roman" w:hAnsi="Times New Roman" w:cs="Times New Roman"/>
          <w:color w:val="000000" w:themeColor="text1"/>
          <w:sz w:val="24"/>
          <w:szCs w:val="24"/>
          <w:shd w:val="clear" w:color="auto" w:fill="FFFFFF"/>
          <w:lang w:val="en-IN"/>
        </w:rPr>
        <w:t>Vellingiri</w:t>
      </w:r>
      <w:proofErr w:type="spellEnd"/>
      <w:r w:rsidRPr="00DD37AF">
        <w:rPr>
          <w:rFonts w:ascii="Times New Roman" w:hAnsi="Times New Roman" w:cs="Times New Roman"/>
          <w:color w:val="000000" w:themeColor="text1"/>
          <w:sz w:val="24"/>
          <w:szCs w:val="24"/>
          <w:shd w:val="clear" w:color="auto" w:fill="FFFFFF"/>
          <w:lang w:val="en-IN"/>
        </w:rPr>
        <w:t xml:space="preserve">, K., Arumugam, M., Rajamani, J., </w:t>
      </w:r>
      <w:r w:rsidR="00DF2368" w:rsidRPr="00DD37AF">
        <w:rPr>
          <w:rFonts w:ascii="Times New Roman" w:hAnsi="Times New Roman" w:cs="Times New Roman"/>
          <w:color w:val="000000" w:themeColor="text1"/>
          <w:sz w:val="24"/>
          <w:szCs w:val="24"/>
          <w:shd w:val="clear" w:color="auto" w:fill="FFFFFF"/>
          <w:lang w:val="en-IN"/>
        </w:rPr>
        <w:t>and</w:t>
      </w:r>
      <w:r w:rsidRPr="00DD37AF">
        <w:rPr>
          <w:rFonts w:ascii="Times New Roman" w:hAnsi="Times New Roman" w:cs="Times New Roman"/>
          <w:color w:val="000000" w:themeColor="text1"/>
          <w:sz w:val="24"/>
          <w:szCs w:val="24"/>
          <w:shd w:val="clear" w:color="auto" w:fill="FFFFFF"/>
          <w:lang w:val="en-IN"/>
        </w:rPr>
        <w:t xml:space="preserve"> Jayaseelan, A. (2025). Assessment of agricultural soil quality in macro and micronutrient analysis of Kasargod, Kerala, India, using GIS techniques. Journal of Hazardous Materials Advances, 19, 100846. </w:t>
      </w:r>
      <w:hyperlink r:id="rId15" w:history="1">
        <w:r w:rsidR="00DF2368" w:rsidRPr="00DD37AF">
          <w:rPr>
            <w:rStyle w:val="Hyperlink"/>
            <w:rFonts w:ascii="Times New Roman" w:hAnsi="Times New Roman" w:cs="Times New Roman"/>
            <w:sz w:val="24"/>
            <w:szCs w:val="24"/>
            <w:shd w:val="clear" w:color="auto" w:fill="FFFFFF"/>
            <w:lang w:val="en-IN"/>
          </w:rPr>
          <w:t>https://doi.org/10.1016/j.hazadv.2025.100846</w:t>
        </w:r>
      </w:hyperlink>
    </w:p>
    <w:p w14:paraId="7FEC27D7" w14:textId="0E75CB6C" w:rsidR="000C4FC1" w:rsidRPr="00DD37AF"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DD37AF">
        <w:rPr>
          <w:rFonts w:ascii="Times New Roman" w:hAnsi="Times New Roman" w:cs="Times New Roman"/>
          <w:color w:val="000000" w:themeColor="text1"/>
          <w:sz w:val="24"/>
          <w:szCs w:val="24"/>
          <w:shd w:val="clear" w:color="auto" w:fill="FFFFFF"/>
          <w:lang w:val="en-IN"/>
        </w:rPr>
        <w:t xml:space="preserve">Balali-Mood, M., Naseri, K., Tahergorabi, Z., Khazdair, M. R., </w:t>
      </w:r>
      <w:r w:rsidR="00DF2368" w:rsidRPr="00DD37AF">
        <w:rPr>
          <w:rFonts w:ascii="Times New Roman" w:hAnsi="Times New Roman" w:cs="Times New Roman"/>
          <w:color w:val="000000" w:themeColor="text1"/>
          <w:sz w:val="24"/>
          <w:szCs w:val="24"/>
          <w:shd w:val="clear" w:color="auto" w:fill="FFFFFF"/>
          <w:lang w:val="en-IN"/>
        </w:rPr>
        <w:t>and</w:t>
      </w:r>
      <w:r w:rsidRPr="00DD37AF">
        <w:rPr>
          <w:rFonts w:ascii="Times New Roman" w:hAnsi="Times New Roman" w:cs="Times New Roman"/>
          <w:color w:val="000000" w:themeColor="text1"/>
          <w:sz w:val="24"/>
          <w:szCs w:val="24"/>
          <w:shd w:val="clear" w:color="auto" w:fill="FFFFFF"/>
          <w:lang w:val="en-IN"/>
        </w:rPr>
        <w:t xml:space="preserve"> Sadeghi, M. (2021). Toxic mechanisms of five heavy metals: Mercury, lead, chromium, cadmium, and arsenic. Frontiers in Pharmacology, 12, 643972. </w:t>
      </w:r>
      <w:hyperlink r:id="rId16" w:history="1">
        <w:r w:rsidR="00DF2368" w:rsidRPr="00DD37AF">
          <w:rPr>
            <w:rStyle w:val="Hyperlink"/>
            <w:rFonts w:ascii="Times New Roman" w:hAnsi="Times New Roman" w:cs="Times New Roman"/>
            <w:sz w:val="24"/>
            <w:szCs w:val="24"/>
            <w:shd w:val="clear" w:color="auto" w:fill="FFFFFF"/>
            <w:lang w:val="en-IN"/>
          </w:rPr>
          <w:t>https://doi.org/10.3389/fphar.2021.643972</w:t>
        </w:r>
      </w:hyperlink>
      <w:r w:rsidR="009B42CA" w:rsidRPr="00DD37AF">
        <w:rPr>
          <w:rFonts w:ascii="Times New Roman" w:hAnsi="Times New Roman" w:cs="Times New Roman"/>
          <w:color w:val="000000" w:themeColor="text1"/>
          <w:sz w:val="24"/>
          <w:szCs w:val="24"/>
          <w:shd w:val="clear" w:color="auto" w:fill="FFFFFF"/>
          <w:lang w:val="en-IN"/>
        </w:rPr>
        <w:t>.</w:t>
      </w:r>
    </w:p>
    <w:p w14:paraId="6423F326" w14:textId="38FBB18A" w:rsidR="00DF2368" w:rsidRPr="00DD37AF" w:rsidRDefault="00161E2B" w:rsidP="000A5331">
      <w:pPr>
        <w:spacing w:line="360" w:lineRule="auto"/>
        <w:jc w:val="both"/>
        <w:rPr>
          <w:rFonts w:ascii="Times New Roman" w:hAnsi="Times New Roman" w:cs="Times New Roman"/>
          <w:sz w:val="24"/>
          <w:szCs w:val="24"/>
        </w:rPr>
      </w:pPr>
      <w:r w:rsidRPr="00DD37AF">
        <w:rPr>
          <w:rFonts w:ascii="Times New Roman" w:hAnsi="Times New Roman" w:cs="Times New Roman"/>
          <w:color w:val="000000" w:themeColor="text1"/>
          <w:sz w:val="24"/>
          <w:szCs w:val="24"/>
          <w:shd w:val="clear" w:color="auto" w:fill="FFFFFF"/>
        </w:rPr>
        <w:t xml:space="preserve">Balland-Bolou-Bi, C., Brondeau, F., and </w:t>
      </w:r>
      <w:proofErr w:type="spellStart"/>
      <w:r w:rsidRPr="00DD37AF">
        <w:rPr>
          <w:rFonts w:ascii="Times New Roman" w:hAnsi="Times New Roman" w:cs="Times New Roman"/>
          <w:color w:val="000000" w:themeColor="text1"/>
          <w:sz w:val="24"/>
          <w:szCs w:val="24"/>
          <w:shd w:val="clear" w:color="auto" w:fill="FFFFFF"/>
        </w:rPr>
        <w:t>Jusselme</w:t>
      </w:r>
      <w:proofErr w:type="spellEnd"/>
      <w:r w:rsidRPr="00DD37AF">
        <w:rPr>
          <w:rFonts w:ascii="Times New Roman" w:hAnsi="Times New Roman" w:cs="Times New Roman"/>
          <w:color w:val="000000" w:themeColor="text1"/>
          <w:sz w:val="24"/>
          <w:szCs w:val="24"/>
          <w:shd w:val="clear" w:color="auto" w:fill="FFFFFF"/>
        </w:rPr>
        <w:t xml:space="preserve">, M. D. (2023). Can Natural Attenuation be Considered as an Effective Solution for Soil </w:t>
      </w:r>
      <w:proofErr w:type="gramStart"/>
      <w:r w:rsidRPr="00DD37AF">
        <w:rPr>
          <w:rFonts w:ascii="Times New Roman" w:hAnsi="Times New Roman" w:cs="Times New Roman"/>
          <w:color w:val="000000" w:themeColor="text1"/>
          <w:sz w:val="24"/>
          <w:szCs w:val="24"/>
          <w:shd w:val="clear" w:color="auto" w:fill="FFFFFF"/>
        </w:rPr>
        <w:t>Remediation?.</w:t>
      </w:r>
      <w:proofErr w:type="gramEnd"/>
      <w:r w:rsidRPr="00DD37AF">
        <w:rPr>
          <w:rFonts w:ascii="Times New Roman" w:hAnsi="Times New Roman" w:cs="Times New Roman"/>
          <w:color w:val="000000" w:themeColor="text1"/>
          <w:sz w:val="24"/>
          <w:szCs w:val="24"/>
          <w:shd w:val="clear" w:color="auto" w:fill="FFFFFF"/>
        </w:rPr>
        <w:t> </w:t>
      </w:r>
      <w:r w:rsidRPr="00DD37AF">
        <w:rPr>
          <w:rFonts w:ascii="Times New Roman" w:hAnsi="Times New Roman" w:cs="Times New Roman"/>
          <w:i/>
          <w:iCs/>
          <w:color w:val="000000" w:themeColor="text1"/>
          <w:sz w:val="24"/>
          <w:szCs w:val="24"/>
          <w:shd w:val="clear" w:color="auto" w:fill="FFFFFF"/>
        </w:rPr>
        <w:t>Soil Contamination-Recent Advances and Future Perspectives</w:t>
      </w:r>
      <w:r w:rsidRPr="00DD37AF">
        <w:rPr>
          <w:rFonts w:ascii="Times New Roman" w:hAnsi="Times New Roman" w:cs="Times New Roman"/>
          <w:color w:val="000000" w:themeColor="text1"/>
          <w:sz w:val="24"/>
          <w:szCs w:val="24"/>
          <w:shd w:val="clear" w:color="auto" w:fill="FFFFFF"/>
        </w:rPr>
        <w:t xml:space="preserve">. </w:t>
      </w:r>
      <w:hyperlink r:id="rId17" w:history="1">
        <w:r w:rsidRPr="00DD37AF">
          <w:rPr>
            <w:rStyle w:val="Hyperlink"/>
            <w:rFonts w:ascii="Times New Roman" w:hAnsi="Times New Roman" w:cs="Times New Roman"/>
            <w:sz w:val="24"/>
            <w:szCs w:val="24"/>
          </w:rPr>
          <w:t>https://dx.doi.org/10.5772/intechopen.108304</w:t>
        </w:r>
      </w:hyperlink>
    </w:p>
    <w:p w14:paraId="72BBC762" w14:textId="77777777" w:rsidR="00161E2B" w:rsidRPr="00DD37AF" w:rsidRDefault="00161E2B" w:rsidP="000A5331">
      <w:pPr>
        <w:spacing w:line="360" w:lineRule="auto"/>
        <w:jc w:val="both"/>
        <w:rPr>
          <w:rFonts w:ascii="Times New Roman" w:hAnsi="Times New Roman" w:cs="Times New Roman"/>
          <w:sz w:val="24"/>
          <w:szCs w:val="24"/>
        </w:rPr>
      </w:pPr>
    </w:p>
    <w:p w14:paraId="778FFF71" w14:textId="77777777" w:rsidR="00161E2B" w:rsidRPr="00DD37AF" w:rsidRDefault="00161E2B" w:rsidP="000A5331">
      <w:pPr>
        <w:spacing w:line="360" w:lineRule="auto"/>
        <w:jc w:val="both"/>
        <w:rPr>
          <w:rFonts w:ascii="Times New Roman" w:hAnsi="Times New Roman" w:cs="Times New Roman"/>
          <w:sz w:val="24"/>
          <w:szCs w:val="24"/>
        </w:rPr>
      </w:pPr>
    </w:p>
    <w:p w14:paraId="01845D9D" w14:textId="599386D0" w:rsidR="005C436E" w:rsidRPr="00DD37AF" w:rsidRDefault="005C436E" w:rsidP="000A5331">
      <w:pPr>
        <w:spacing w:line="360" w:lineRule="auto"/>
        <w:jc w:val="both"/>
        <w:rPr>
          <w:rFonts w:ascii="Times New Roman" w:hAnsi="Times New Roman" w:cs="Times New Roman"/>
          <w:color w:val="000000" w:themeColor="text1"/>
          <w:sz w:val="24"/>
          <w:szCs w:val="24"/>
          <w:shd w:val="clear" w:color="auto" w:fill="FFFFFF"/>
          <w:lang w:val="en-IN"/>
        </w:rPr>
      </w:pPr>
      <w:r w:rsidRPr="00DD37AF">
        <w:rPr>
          <w:rFonts w:ascii="Times New Roman" w:hAnsi="Times New Roman" w:cs="Times New Roman"/>
          <w:color w:val="000000" w:themeColor="text1"/>
          <w:sz w:val="24"/>
          <w:szCs w:val="24"/>
          <w:shd w:val="clear" w:color="auto" w:fill="FFFFFF"/>
          <w:lang w:val="en-IN"/>
        </w:rPr>
        <w:t xml:space="preserve">Bremner, J. M., </w:t>
      </w:r>
      <w:r w:rsidR="00DF2368" w:rsidRPr="00DD37AF">
        <w:rPr>
          <w:rFonts w:ascii="Times New Roman" w:hAnsi="Times New Roman" w:cs="Times New Roman"/>
          <w:color w:val="000000" w:themeColor="text1"/>
          <w:sz w:val="24"/>
          <w:szCs w:val="24"/>
          <w:shd w:val="clear" w:color="auto" w:fill="FFFFFF"/>
          <w:lang w:val="en-IN"/>
        </w:rPr>
        <w:t>and</w:t>
      </w:r>
      <w:r w:rsidRPr="00DD37AF">
        <w:rPr>
          <w:rFonts w:ascii="Times New Roman" w:hAnsi="Times New Roman" w:cs="Times New Roman"/>
          <w:color w:val="000000" w:themeColor="text1"/>
          <w:sz w:val="24"/>
          <w:szCs w:val="24"/>
          <w:shd w:val="clear" w:color="auto" w:fill="FFFFFF"/>
          <w:lang w:val="en-IN"/>
        </w:rPr>
        <w:t xml:space="preserve"> Mulvaney, C. S. (1982). Nitrogen—total. In A. L. Page, R. H. Miller, &amp; D. R. Keeney (Eds.), Methods of soil analysis: Part 2. Chemical and microbiological properties (2nd ed., pp. 595–624). American Society of Agronomy and Soil Science Society of America.</w:t>
      </w:r>
    </w:p>
    <w:p w14:paraId="3DAE0865" w14:textId="1A43349F" w:rsidR="000C4FC1" w:rsidRPr="00DD37AF" w:rsidRDefault="00E00F0A" w:rsidP="000A5331">
      <w:pPr>
        <w:spacing w:line="360" w:lineRule="auto"/>
        <w:jc w:val="both"/>
        <w:rPr>
          <w:rFonts w:ascii="Times New Roman" w:hAnsi="Times New Roman" w:cs="Times New Roman"/>
          <w:color w:val="000000" w:themeColor="text1"/>
          <w:sz w:val="24"/>
          <w:szCs w:val="24"/>
          <w:shd w:val="clear" w:color="auto" w:fill="FFFFFF"/>
          <w:lang w:val="en-IN"/>
        </w:rPr>
      </w:pPr>
      <w:r w:rsidRPr="00DD37AF">
        <w:rPr>
          <w:rFonts w:ascii="Times New Roman" w:hAnsi="Times New Roman" w:cs="Times New Roman"/>
          <w:color w:val="000000" w:themeColor="text1"/>
          <w:sz w:val="24"/>
          <w:szCs w:val="24"/>
          <w:shd w:val="clear" w:color="auto" w:fill="FFFFFF"/>
        </w:rPr>
        <w:lastRenderedPageBreak/>
        <w:t>Briffa, J., Sinagra, E., and Blundell, R. (2020). Heavy metal pollution in the environment and their toxicological effects on humans. </w:t>
      </w:r>
      <w:proofErr w:type="spellStart"/>
      <w:r w:rsidRPr="00DD37AF">
        <w:rPr>
          <w:rFonts w:ascii="Times New Roman" w:hAnsi="Times New Roman" w:cs="Times New Roman"/>
          <w:i/>
          <w:iCs/>
          <w:color w:val="000000" w:themeColor="text1"/>
          <w:sz w:val="24"/>
          <w:szCs w:val="24"/>
          <w:shd w:val="clear" w:color="auto" w:fill="FFFFFF"/>
        </w:rPr>
        <w:t>Heliyon</w:t>
      </w:r>
      <w:proofErr w:type="spellEnd"/>
      <w:r w:rsidRPr="00DD37AF">
        <w:rPr>
          <w:rFonts w:ascii="Times New Roman" w:hAnsi="Times New Roman" w:cs="Times New Roman"/>
          <w:color w:val="000000" w:themeColor="text1"/>
          <w:sz w:val="24"/>
          <w:szCs w:val="24"/>
          <w:shd w:val="clear" w:color="auto" w:fill="FFFFFF"/>
        </w:rPr>
        <w:t>, </w:t>
      </w:r>
      <w:r w:rsidRPr="00DD37AF">
        <w:rPr>
          <w:rFonts w:ascii="Times New Roman" w:hAnsi="Times New Roman" w:cs="Times New Roman"/>
          <w:i/>
          <w:iCs/>
          <w:color w:val="000000" w:themeColor="text1"/>
          <w:sz w:val="24"/>
          <w:szCs w:val="24"/>
          <w:shd w:val="clear" w:color="auto" w:fill="FFFFFF"/>
        </w:rPr>
        <w:t>6</w:t>
      </w:r>
      <w:r w:rsidRPr="00DD37AF">
        <w:rPr>
          <w:rFonts w:ascii="Times New Roman" w:hAnsi="Times New Roman" w:cs="Times New Roman"/>
          <w:color w:val="000000" w:themeColor="text1"/>
          <w:sz w:val="24"/>
          <w:szCs w:val="24"/>
          <w:shd w:val="clear" w:color="auto" w:fill="FFFFFF"/>
        </w:rPr>
        <w:t xml:space="preserve">(9). </w:t>
      </w:r>
      <w:hyperlink r:id="rId18" w:history="1">
        <w:r w:rsidR="006A2009" w:rsidRPr="00DD37AF">
          <w:rPr>
            <w:rStyle w:val="Hyperlink"/>
            <w:rFonts w:ascii="Times New Roman" w:hAnsi="Times New Roman" w:cs="Times New Roman"/>
            <w:color w:val="000000" w:themeColor="text1"/>
            <w:sz w:val="24"/>
            <w:szCs w:val="24"/>
            <w:u w:val="none"/>
            <w:shd w:val="clear" w:color="auto" w:fill="FFFFFF"/>
            <w:lang w:val="en-IN"/>
          </w:rPr>
          <w:t>https://doi.org/10.1016/j.heliyon.2020.e04691</w:t>
        </w:r>
      </w:hyperlink>
    </w:p>
    <w:p w14:paraId="250E2F31" w14:textId="6B337CD9" w:rsidR="006A2009" w:rsidRPr="00DD37AF" w:rsidRDefault="006A2009" w:rsidP="000A5331">
      <w:pPr>
        <w:spacing w:line="360" w:lineRule="auto"/>
        <w:jc w:val="both"/>
        <w:rPr>
          <w:rFonts w:ascii="Times New Roman" w:hAnsi="Times New Roman" w:cs="Times New Roman"/>
          <w:color w:val="000000" w:themeColor="text1"/>
          <w:sz w:val="24"/>
          <w:szCs w:val="24"/>
          <w:shd w:val="clear" w:color="auto" w:fill="FFFFFF"/>
          <w:lang w:val="en-IN"/>
        </w:rPr>
      </w:pPr>
      <w:r w:rsidRPr="00DD37AF">
        <w:rPr>
          <w:rFonts w:ascii="Times New Roman" w:hAnsi="Times New Roman" w:cs="Times New Roman"/>
          <w:color w:val="000000" w:themeColor="text1"/>
          <w:sz w:val="24"/>
          <w:szCs w:val="24"/>
          <w:shd w:val="clear" w:color="auto" w:fill="FFFFFF"/>
          <w:lang w:val="en-IN"/>
        </w:rPr>
        <w:t xml:space="preserve">Burns, R. G., </w:t>
      </w:r>
      <w:proofErr w:type="spellStart"/>
      <w:r w:rsidRPr="00DD37AF">
        <w:rPr>
          <w:rFonts w:ascii="Times New Roman" w:hAnsi="Times New Roman" w:cs="Times New Roman"/>
          <w:color w:val="000000" w:themeColor="text1"/>
          <w:sz w:val="24"/>
          <w:szCs w:val="24"/>
          <w:shd w:val="clear" w:color="auto" w:fill="FFFFFF"/>
          <w:lang w:val="en-IN"/>
        </w:rPr>
        <w:t>Nannipieri</w:t>
      </w:r>
      <w:proofErr w:type="spellEnd"/>
      <w:r w:rsidRPr="00DD37AF">
        <w:rPr>
          <w:rFonts w:ascii="Times New Roman" w:hAnsi="Times New Roman" w:cs="Times New Roman"/>
          <w:color w:val="000000" w:themeColor="text1"/>
          <w:sz w:val="24"/>
          <w:szCs w:val="24"/>
          <w:shd w:val="clear" w:color="auto" w:fill="FFFFFF"/>
          <w:lang w:val="en-IN"/>
        </w:rPr>
        <w:t xml:space="preserve">, P., Benedetti, A., </w:t>
      </w:r>
      <w:r w:rsidR="00052B8D" w:rsidRPr="00DD37AF">
        <w:rPr>
          <w:rFonts w:ascii="Times New Roman" w:hAnsi="Times New Roman" w:cs="Times New Roman"/>
          <w:color w:val="000000" w:themeColor="text1"/>
          <w:sz w:val="24"/>
          <w:szCs w:val="24"/>
          <w:shd w:val="clear" w:color="auto" w:fill="FFFFFF"/>
          <w:lang w:val="en-IN"/>
        </w:rPr>
        <w:t>and</w:t>
      </w:r>
      <w:r w:rsidRPr="00DD37AF">
        <w:rPr>
          <w:rFonts w:ascii="Times New Roman" w:hAnsi="Times New Roman" w:cs="Times New Roman"/>
          <w:color w:val="000000" w:themeColor="text1"/>
          <w:sz w:val="24"/>
          <w:szCs w:val="24"/>
          <w:shd w:val="clear" w:color="auto" w:fill="FFFFFF"/>
          <w:lang w:val="en-IN"/>
        </w:rPr>
        <w:t xml:space="preserve"> Hopkins, D. W. (2005). Defining soil quality. In J. Bloem, D. W. Hopkins, </w:t>
      </w:r>
      <w:r w:rsidR="00E00F0A" w:rsidRPr="00DD37AF">
        <w:rPr>
          <w:rFonts w:ascii="Times New Roman" w:hAnsi="Times New Roman" w:cs="Times New Roman"/>
          <w:color w:val="000000" w:themeColor="text1"/>
          <w:sz w:val="24"/>
          <w:szCs w:val="24"/>
          <w:shd w:val="clear" w:color="auto" w:fill="FFFFFF"/>
          <w:lang w:val="en-IN"/>
        </w:rPr>
        <w:t>and</w:t>
      </w:r>
      <w:r w:rsidRPr="00DD37AF">
        <w:rPr>
          <w:rFonts w:ascii="Times New Roman" w:hAnsi="Times New Roman" w:cs="Times New Roman"/>
          <w:color w:val="000000" w:themeColor="text1"/>
          <w:sz w:val="24"/>
          <w:szCs w:val="24"/>
          <w:shd w:val="clear" w:color="auto" w:fill="FFFFFF"/>
          <w:lang w:val="en-IN"/>
        </w:rPr>
        <w:t xml:space="preserve"> A. Benedetti (Eds.), Microbiological methods for assessing soil quality (pp. 15–22). CABI.</w:t>
      </w:r>
      <w:r w:rsidR="00E00F0A" w:rsidRPr="00DD37AF">
        <w:t xml:space="preserve"> </w:t>
      </w:r>
      <w:hyperlink r:id="rId19" w:history="1">
        <w:r w:rsidR="00E00F0A" w:rsidRPr="00DD37AF">
          <w:rPr>
            <w:rStyle w:val="Hyperlink"/>
            <w:rFonts w:ascii="Times New Roman" w:hAnsi="Times New Roman" w:cs="Times New Roman"/>
            <w:sz w:val="24"/>
            <w:szCs w:val="24"/>
            <w:shd w:val="clear" w:color="auto" w:fill="FFFFFF"/>
            <w:lang w:val="en-IN"/>
          </w:rPr>
          <w:t>https://doi.org/10.1079/9780851990989.0015</w:t>
        </w:r>
      </w:hyperlink>
    </w:p>
    <w:p w14:paraId="5884D95D" w14:textId="0BD6DACC" w:rsidR="000C4FC1" w:rsidRPr="00DD37AF"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DD37AF">
        <w:rPr>
          <w:rFonts w:ascii="Times New Roman" w:hAnsi="Times New Roman" w:cs="Times New Roman"/>
          <w:color w:val="000000" w:themeColor="text1"/>
          <w:sz w:val="24"/>
          <w:szCs w:val="24"/>
          <w:shd w:val="clear" w:color="auto" w:fill="FFFFFF"/>
          <w:lang w:val="en-IN"/>
        </w:rPr>
        <w:t xml:space="preserve">Cai, L.-Y., Zhang, J., Ren, Q.-Q., Lai, Y.-H., Peng, M.-Y., Deng, C.-L., Ye, X., Yang, L.-T., Huang, Z.-R., </w:t>
      </w:r>
      <w:r w:rsidR="00052B8D" w:rsidRPr="00DD37AF">
        <w:rPr>
          <w:rFonts w:ascii="Times New Roman" w:hAnsi="Times New Roman" w:cs="Times New Roman"/>
          <w:color w:val="000000" w:themeColor="text1"/>
          <w:sz w:val="24"/>
          <w:szCs w:val="24"/>
          <w:shd w:val="clear" w:color="auto" w:fill="FFFFFF"/>
          <w:lang w:val="en-IN"/>
        </w:rPr>
        <w:t>and</w:t>
      </w:r>
      <w:r w:rsidRPr="00DD37AF">
        <w:rPr>
          <w:rFonts w:ascii="Times New Roman" w:hAnsi="Times New Roman" w:cs="Times New Roman"/>
          <w:color w:val="000000" w:themeColor="text1"/>
          <w:sz w:val="24"/>
          <w:szCs w:val="24"/>
          <w:shd w:val="clear" w:color="auto" w:fill="FFFFFF"/>
          <w:lang w:val="en-IN"/>
        </w:rPr>
        <w:t xml:space="preserve"> Chen, L.-S. (2021). Increased pH-mediated alleviation of copper-toxicity and growth response function in Citrus sinensis seedlings. Scientia Horticulturae, 288, 110310. </w:t>
      </w:r>
      <w:hyperlink r:id="rId20" w:history="1">
        <w:r w:rsidR="00052B8D" w:rsidRPr="00DD37AF">
          <w:rPr>
            <w:rStyle w:val="Hyperlink"/>
            <w:rFonts w:ascii="Times New Roman" w:hAnsi="Times New Roman" w:cs="Times New Roman"/>
            <w:sz w:val="24"/>
            <w:szCs w:val="24"/>
            <w:shd w:val="clear" w:color="auto" w:fill="FFFFFF"/>
            <w:lang w:val="en-IN"/>
          </w:rPr>
          <w:t>https://doi.org/10.1016/j.scienta.2021.110310</w:t>
        </w:r>
      </w:hyperlink>
    </w:p>
    <w:p w14:paraId="7B93BA58" w14:textId="0437F601" w:rsidR="000C4FC1" w:rsidRPr="00DD37AF"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DD37AF">
        <w:rPr>
          <w:rFonts w:ascii="Times New Roman" w:hAnsi="Times New Roman" w:cs="Times New Roman"/>
          <w:color w:val="000000" w:themeColor="text1"/>
          <w:sz w:val="24"/>
          <w:szCs w:val="24"/>
          <w:shd w:val="clear" w:color="auto" w:fill="FFFFFF"/>
          <w:lang w:val="en-IN"/>
        </w:rPr>
        <w:t xml:space="preserve">Campagnolo, L., </w:t>
      </w:r>
      <w:proofErr w:type="spellStart"/>
      <w:r w:rsidRPr="00DD37AF">
        <w:rPr>
          <w:rFonts w:ascii="Times New Roman" w:hAnsi="Times New Roman" w:cs="Times New Roman"/>
          <w:color w:val="000000" w:themeColor="text1"/>
          <w:sz w:val="24"/>
          <w:szCs w:val="24"/>
          <w:shd w:val="clear" w:color="auto" w:fill="FFFFFF"/>
          <w:lang w:val="en-IN"/>
        </w:rPr>
        <w:t>Lacconi</w:t>
      </w:r>
      <w:proofErr w:type="spellEnd"/>
      <w:r w:rsidRPr="00DD37AF">
        <w:rPr>
          <w:rFonts w:ascii="Times New Roman" w:hAnsi="Times New Roman" w:cs="Times New Roman"/>
          <w:color w:val="000000" w:themeColor="text1"/>
          <w:sz w:val="24"/>
          <w:szCs w:val="24"/>
          <w:shd w:val="clear" w:color="auto" w:fill="FFFFFF"/>
          <w:lang w:val="en-IN"/>
        </w:rPr>
        <w:t xml:space="preserve">, V., Bernardini, R., </w:t>
      </w:r>
      <w:proofErr w:type="spellStart"/>
      <w:r w:rsidRPr="00DD37AF">
        <w:rPr>
          <w:rFonts w:ascii="Times New Roman" w:hAnsi="Times New Roman" w:cs="Times New Roman"/>
          <w:color w:val="000000" w:themeColor="text1"/>
          <w:sz w:val="24"/>
          <w:szCs w:val="24"/>
          <w:shd w:val="clear" w:color="auto" w:fill="FFFFFF"/>
          <w:lang w:val="en-IN"/>
        </w:rPr>
        <w:t>Viziano</w:t>
      </w:r>
      <w:proofErr w:type="spellEnd"/>
      <w:r w:rsidRPr="00DD37AF">
        <w:rPr>
          <w:rFonts w:ascii="Times New Roman" w:hAnsi="Times New Roman" w:cs="Times New Roman"/>
          <w:color w:val="000000" w:themeColor="text1"/>
          <w:sz w:val="24"/>
          <w:szCs w:val="24"/>
          <w:shd w:val="clear" w:color="auto" w:fill="FFFFFF"/>
          <w:lang w:val="en-IN"/>
        </w:rPr>
        <w:t xml:space="preserve">, A., </w:t>
      </w:r>
      <w:proofErr w:type="spellStart"/>
      <w:r w:rsidRPr="00DD37AF">
        <w:rPr>
          <w:rFonts w:ascii="Times New Roman" w:hAnsi="Times New Roman" w:cs="Times New Roman"/>
          <w:color w:val="000000" w:themeColor="text1"/>
          <w:sz w:val="24"/>
          <w:szCs w:val="24"/>
          <w:shd w:val="clear" w:color="auto" w:fill="FFFFFF"/>
          <w:lang w:val="en-IN"/>
        </w:rPr>
        <w:t>Pietroiusti</w:t>
      </w:r>
      <w:proofErr w:type="spellEnd"/>
      <w:r w:rsidRPr="00DD37AF">
        <w:rPr>
          <w:rFonts w:ascii="Times New Roman" w:hAnsi="Times New Roman" w:cs="Times New Roman"/>
          <w:color w:val="000000" w:themeColor="text1"/>
          <w:sz w:val="24"/>
          <w:szCs w:val="24"/>
          <w:shd w:val="clear" w:color="auto" w:fill="FFFFFF"/>
          <w:lang w:val="en-IN"/>
        </w:rPr>
        <w:t xml:space="preserve">, A., Ippoliti, L., </w:t>
      </w:r>
      <w:proofErr w:type="spellStart"/>
      <w:r w:rsidRPr="00DD37AF">
        <w:rPr>
          <w:rFonts w:ascii="Times New Roman" w:hAnsi="Times New Roman" w:cs="Times New Roman"/>
          <w:color w:val="000000" w:themeColor="text1"/>
          <w:sz w:val="24"/>
          <w:szCs w:val="24"/>
          <w:shd w:val="clear" w:color="auto" w:fill="FFFFFF"/>
          <w:lang w:val="en-IN"/>
        </w:rPr>
        <w:t>Moleti</w:t>
      </w:r>
      <w:proofErr w:type="spellEnd"/>
      <w:r w:rsidRPr="00DD37AF">
        <w:rPr>
          <w:rFonts w:ascii="Times New Roman" w:hAnsi="Times New Roman" w:cs="Times New Roman"/>
          <w:color w:val="000000" w:themeColor="text1"/>
          <w:sz w:val="24"/>
          <w:szCs w:val="24"/>
          <w:shd w:val="clear" w:color="auto" w:fill="FFFFFF"/>
          <w:lang w:val="en-IN"/>
        </w:rPr>
        <w:t xml:space="preserve">, A., </w:t>
      </w:r>
      <w:r w:rsidR="00052B8D" w:rsidRPr="00DD37AF">
        <w:rPr>
          <w:rFonts w:ascii="Times New Roman" w:hAnsi="Times New Roman" w:cs="Times New Roman"/>
          <w:color w:val="000000" w:themeColor="text1"/>
          <w:sz w:val="24"/>
          <w:szCs w:val="24"/>
          <w:shd w:val="clear" w:color="auto" w:fill="FFFFFF"/>
          <w:lang w:val="en-IN"/>
        </w:rPr>
        <w:t>and</w:t>
      </w:r>
      <w:r w:rsidRPr="00DD37AF">
        <w:rPr>
          <w:rFonts w:ascii="Times New Roman" w:hAnsi="Times New Roman" w:cs="Times New Roman"/>
          <w:color w:val="000000" w:themeColor="text1"/>
          <w:sz w:val="24"/>
          <w:szCs w:val="24"/>
          <w:shd w:val="clear" w:color="auto" w:fill="FFFFFF"/>
          <w:lang w:val="en-IN"/>
        </w:rPr>
        <w:t xml:space="preserve"> Sisto, R. (2024). Maternal exposure to zinc oxide nanoparticles causes cochlear dysfunction in the offspring. Frontiers in Toxicology, 6, 1323681. </w:t>
      </w:r>
      <w:hyperlink r:id="rId21" w:history="1">
        <w:r w:rsidR="00052B8D" w:rsidRPr="00DD37AF">
          <w:rPr>
            <w:rStyle w:val="Hyperlink"/>
            <w:rFonts w:ascii="Times New Roman" w:hAnsi="Times New Roman" w:cs="Times New Roman"/>
            <w:sz w:val="24"/>
            <w:szCs w:val="24"/>
            <w:shd w:val="clear" w:color="auto" w:fill="FFFFFF"/>
            <w:lang w:val="en-IN"/>
          </w:rPr>
          <w:t>https://doi.org/10.3389/ftox.2024.1323681</w:t>
        </w:r>
      </w:hyperlink>
    </w:p>
    <w:p w14:paraId="6D60C1F2" w14:textId="583EEC96" w:rsidR="000C4FC1" w:rsidRPr="00DD37AF"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DD37AF">
        <w:rPr>
          <w:rFonts w:ascii="Times New Roman" w:hAnsi="Times New Roman" w:cs="Times New Roman"/>
          <w:color w:val="000000" w:themeColor="text1"/>
          <w:sz w:val="24"/>
          <w:szCs w:val="24"/>
          <w:shd w:val="clear" w:color="auto" w:fill="FFFFFF"/>
          <w:lang w:val="en-IN"/>
        </w:rPr>
        <w:t xml:space="preserve">Chairiyah, R. R., </w:t>
      </w:r>
      <w:proofErr w:type="spellStart"/>
      <w:r w:rsidRPr="00DD37AF">
        <w:rPr>
          <w:rFonts w:ascii="Times New Roman" w:hAnsi="Times New Roman" w:cs="Times New Roman"/>
          <w:color w:val="000000" w:themeColor="text1"/>
          <w:sz w:val="24"/>
          <w:szCs w:val="24"/>
          <w:shd w:val="clear" w:color="auto" w:fill="FFFFFF"/>
          <w:lang w:val="en-IN"/>
        </w:rPr>
        <w:t>Ramija</w:t>
      </w:r>
      <w:proofErr w:type="spellEnd"/>
      <w:r w:rsidRPr="00DD37AF">
        <w:rPr>
          <w:rFonts w:ascii="Times New Roman" w:hAnsi="Times New Roman" w:cs="Times New Roman"/>
          <w:color w:val="000000" w:themeColor="text1"/>
          <w:sz w:val="24"/>
          <w:szCs w:val="24"/>
          <w:shd w:val="clear" w:color="auto" w:fill="FFFFFF"/>
          <w:lang w:val="en-IN"/>
        </w:rPr>
        <w:t xml:space="preserve">, K. E., </w:t>
      </w:r>
      <w:r w:rsidR="00052B8D" w:rsidRPr="00DD37AF">
        <w:rPr>
          <w:rFonts w:ascii="Times New Roman" w:hAnsi="Times New Roman" w:cs="Times New Roman"/>
          <w:color w:val="000000" w:themeColor="text1"/>
          <w:sz w:val="24"/>
          <w:szCs w:val="24"/>
          <w:shd w:val="clear" w:color="auto" w:fill="FFFFFF"/>
          <w:lang w:val="en-IN"/>
        </w:rPr>
        <w:t>and</w:t>
      </w:r>
      <w:r w:rsidRPr="00DD37AF">
        <w:rPr>
          <w:rFonts w:ascii="Times New Roman" w:hAnsi="Times New Roman" w:cs="Times New Roman"/>
          <w:color w:val="000000" w:themeColor="text1"/>
          <w:sz w:val="24"/>
          <w:szCs w:val="24"/>
          <w:shd w:val="clear" w:color="auto" w:fill="FFFFFF"/>
          <w:lang w:val="en-IN"/>
        </w:rPr>
        <w:t xml:space="preserve"> Batubara, S. F. (2021). Liming of acid soil and the interaction with soil pH and corn productivity. IOP Conference Series: Earth and Environmental Science, 807, 042071. </w:t>
      </w:r>
      <w:hyperlink r:id="rId22" w:history="1">
        <w:r w:rsidR="00052B8D" w:rsidRPr="00DD37AF">
          <w:rPr>
            <w:rStyle w:val="Hyperlink"/>
            <w:rFonts w:ascii="Times New Roman" w:hAnsi="Times New Roman" w:cs="Times New Roman"/>
            <w:sz w:val="24"/>
            <w:szCs w:val="24"/>
            <w:shd w:val="clear" w:color="auto" w:fill="FFFFFF"/>
            <w:lang w:val="en-IN"/>
          </w:rPr>
          <w:t>https://doi.org/10.1088/1755-1315/807/4/042071</w:t>
        </w:r>
      </w:hyperlink>
    </w:p>
    <w:p w14:paraId="16283FD4" w14:textId="0D91D36A" w:rsidR="000C4FC1" w:rsidRPr="00DD37AF"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DD37AF">
        <w:rPr>
          <w:rFonts w:ascii="Times New Roman" w:hAnsi="Times New Roman" w:cs="Times New Roman"/>
          <w:color w:val="000000" w:themeColor="text1"/>
          <w:sz w:val="24"/>
          <w:szCs w:val="24"/>
          <w:shd w:val="clear" w:color="auto" w:fill="FFFFFF"/>
          <w:lang w:val="en-IN"/>
        </w:rPr>
        <w:t xml:space="preserve">Chaurasia, M., Patel, K., </w:t>
      </w:r>
      <w:r w:rsidR="00052B8D" w:rsidRPr="00DD37AF">
        <w:rPr>
          <w:rFonts w:ascii="Times New Roman" w:hAnsi="Times New Roman" w:cs="Times New Roman"/>
          <w:color w:val="000000" w:themeColor="text1"/>
          <w:sz w:val="24"/>
          <w:szCs w:val="24"/>
          <w:shd w:val="clear" w:color="auto" w:fill="FFFFFF"/>
          <w:lang w:val="en-IN"/>
        </w:rPr>
        <w:t>and</w:t>
      </w:r>
      <w:r w:rsidRPr="00DD37AF">
        <w:rPr>
          <w:rFonts w:ascii="Times New Roman" w:hAnsi="Times New Roman" w:cs="Times New Roman"/>
          <w:color w:val="000000" w:themeColor="text1"/>
          <w:sz w:val="24"/>
          <w:szCs w:val="24"/>
          <w:shd w:val="clear" w:color="auto" w:fill="FFFFFF"/>
          <w:lang w:val="en-IN"/>
        </w:rPr>
        <w:t xml:space="preserve"> Rao, K. (2023). Soil organic carbon and nitrogen status in peri-urban landscape. International Journal of Ecology and Environmental Sciences, 49(4), 435–441. </w:t>
      </w:r>
      <w:hyperlink r:id="rId23" w:history="1">
        <w:r w:rsidR="00052B8D" w:rsidRPr="00DD37AF">
          <w:rPr>
            <w:rStyle w:val="Hyperlink"/>
            <w:rFonts w:ascii="Times New Roman" w:hAnsi="Times New Roman" w:cs="Times New Roman"/>
            <w:sz w:val="24"/>
            <w:szCs w:val="24"/>
            <w:shd w:val="clear" w:color="auto" w:fill="FFFFFF"/>
            <w:lang w:val="en-IN"/>
          </w:rPr>
          <w:t>https://doi.org/10.55863/ijees.2023.294</w:t>
        </w:r>
      </w:hyperlink>
    </w:p>
    <w:p w14:paraId="212555B9" w14:textId="13E12479" w:rsidR="000C4FC1" w:rsidRPr="00DD37AF"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DD37AF">
        <w:rPr>
          <w:rFonts w:ascii="Times New Roman" w:hAnsi="Times New Roman" w:cs="Times New Roman"/>
          <w:color w:val="000000" w:themeColor="text1"/>
          <w:sz w:val="24"/>
          <w:szCs w:val="24"/>
          <w:shd w:val="clear" w:color="auto" w:fill="FFFFFF"/>
          <w:lang w:val="en-IN"/>
        </w:rPr>
        <w:t xml:space="preserve">Chen, G., Li, J., Han, H., Du, R., </w:t>
      </w:r>
      <w:r w:rsidR="00052B8D" w:rsidRPr="00DD37AF">
        <w:rPr>
          <w:rFonts w:ascii="Times New Roman" w:hAnsi="Times New Roman" w:cs="Times New Roman"/>
          <w:color w:val="000000" w:themeColor="text1"/>
          <w:sz w:val="24"/>
          <w:szCs w:val="24"/>
          <w:shd w:val="clear" w:color="auto" w:fill="FFFFFF"/>
          <w:lang w:val="en-IN"/>
        </w:rPr>
        <w:t>and</w:t>
      </w:r>
      <w:r w:rsidRPr="00DD37AF">
        <w:rPr>
          <w:rFonts w:ascii="Times New Roman" w:hAnsi="Times New Roman" w:cs="Times New Roman"/>
          <w:color w:val="000000" w:themeColor="text1"/>
          <w:sz w:val="24"/>
          <w:szCs w:val="24"/>
          <w:shd w:val="clear" w:color="auto" w:fill="FFFFFF"/>
          <w:lang w:val="en-IN"/>
        </w:rPr>
        <w:t xml:space="preserve"> Wang, X. (2022). Physiological and molecular mechanisms of plant responses to copper stress. International Journal of Molecular Sciences, 23(21), 12950. </w:t>
      </w:r>
      <w:hyperlink r:id="rId24" w:history="1">
        <w:r w:rsidR="00052B8D" w:rsidRPr="00DD37AF">
          <w:rPr>
            <w:rStyle w:val="Hyperlink"/>
            <w:rFonts w:ascii="Times New Roman" w:hAnsi="Times New Roman" w:cs="Times New Roman"/>
            <w:sz w:val="24"/>
            <w:szCs w:val="24"/>
            <w:shd w:val="clear" w:color="auto" w:fill="FFFFFF"/>
            <w:lang w:val="en-IN"/>
          </w:rPr>
          <w:t>https://doi.org/10.3390/ijms232112950</w:t>
        </w:r>
      </w:hyperlink>
    </w:p>
    <w:p w14:paraId="30566C68" w14:textId="7FB64A21" w:rsidR="000C4FC1" w:rsidRPr="00DD37AF" w:rsidRDefault="00E00F0A" w:rsidP="000A5331">
      <w:pPr>
        <w:spacing w:line="360" w:lineRule="auto"/>
        <w:jc w:val="both"/>
        <w:rPr>
          <w:rFonts w:ascii="Times New Roman" w:hAnsi="Times New Roman" w:cs="Times New Roman"/>
          <w:color w:val="000000" w:themeColor="text1"/>
          <w:sz w:val="24"/>
          <w:szCs w:val="24"/>
          <w:shd w:val="clear" w:color="auto" w:fill="FFFFFF"/>
          <w:lang w:val="en-IN"/>
        </w:rPr>
      </w:pPr>
      <w:r w:rsidRPr="00DD37AF">
        <w:rPr>
          <w:rFonts w:ascii="Times New Roman" w:hAnsi="Times New Roman" w:cs="Times New Roman"/>
          <w:color w:val="000000" w:themeColor="text1"/>
          <w:sz w:val="24"/>
          <w:szCs w:val="24"/>
          <w:shd w:val="clear" w:color="auto" w:fill="FFFFFF"/>
        </w:rPr>
        <w:t>Chen, L. H., Xu, M., Cheng, Z., and Yang, L. T. (2024). Effects of nitrogen deficiency on the photosynthesis, chlorophyll a fluorescence, antioxidant system, and sulfur compounds in Oryza sativa. </w:t>
      </w:r>
      <w:r w:rsidRPr="00DD37AF">
        <w:rPr>
          <w:rFonts w:ascii="Times New Roman" w:hAnsi="Times New Roman" w:cs="Times New Roman"/>
          <w:i/>
          <w:iCs/>
          <w:color w:val="000000" w:themeColor="text1"/>
          <w:sz w:val="24"/>
          <w:szCs w:val="24"/>
          <w:shd w:val="clear" w:color="auto" w:fill="FFFFFF"/>
        </w:rPr>
        <w:t>International journal of molecular sciences</w:t>
      </w:r>
      <w:r w:rsidRPr="00DD37AF">
        <w:rPr>
          <w:rFonts w:ascii="Times New Roman" w:hAnsi="Times New Roman" w:cs="Times New Roman"/>
          <w:color w:val="000000" w:themeColor="text1"/>
          <w:sz w:val="24"/>
          <w:szCs w:val="24"/>
          <w:shd w:val="clear" w:color="auto" w:fill="FFFFFF"/>
        </w:rPr>
        <w:t>, </w:t>
      </w:r>
      <w:r w:rsidRPr="00DD37AF">
        <w:rPr>
          <w:rFonts w:ascii="Times New Roman" w:hAnsi="Times New Roman" w:cs="Times New Roman"/>
          <w:i/>
          <w:iCs/>
          <w:color w:val="000000" w:themeColor="text1"/>
          <w:sz w:val="24"/>
          <w:szCs w:val="24"/>
          <w:shd w:val="clear" w:color="auto" w:fill="FFFFFF"/>
        </w:rPr>
        <w:t>25</w:t>
      </w:r>
      <w:r w:rsidRPr="00DD37AF">
        <w:rPr>
          <w:rFonts w:ascii="Times New Roman" w:hAnsi="Times New Roman" w:cs="Times New Roman"/>
          <w:color w:val="000000" w:themeColor="text1"/>
          <w:sz w:val="24"/>
          <w:szCs w:val="24"/>
          <w:shd w:val="clear" w:color="auto" w:fill="FFFFFF"/>
        </w:rPr>
        <w:t xml:space="preserve">(19), 10409. </w:t>
      </w:r>
      <w:hyperlink r:id="rId25" w:history="1">
        <w:r w:rsidRPr="00DD37AF">
          <w:rPr>
            <w:rStyle w:val="Hyperlink"/>
            <w:rFonts w:ascii="Times New Roman" w:hAnsi="Times New Roman" w:cs="Times New Roman"/>
            <w:sz w:val="24"/>
            <w:szCs w:val="24"/>
            <w:shd w:val="clear" w:color="auto" w:fill="FFFFFF"/>
            <w:lang w:val="en-IN"/>
          </w:rPr>
          <w:t>https://doi.org/10.3390/ijms251910409</w:t>
        </w:r>
      </w:hyperlink>
    </w:p>
    <w:p w14:paraId="7E898F38" w14:textId="705CE63D" w:rsidR="000C4FC1" w:rsidRPr="00DD37AF"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DD37AF">
        <w:rPr>
          <w:rFonts w:ascii="Times New Roman" w:hAnsi="Times New Roman" w:cs="Times New Roman"/>
          <w:color w:val="000000" w:themeColor="text1"/>
          <w:sz w:val="24"/>
          <w:szCs w:val="24"/>
          <w:shd w:val="clear" w:color="auto" w:fill="FFFFFF"/>
          <w:lang w:val="en-IN"/>
        </w:rPr>
        <w:lastRenderedPageBreak/>
        <w:t xml:space="preserve">Chen, L., Xue, Y., Wang, N., Gao, H., Hu, G., Liu, J., Cao, L., </w:t>
      </w:r>
      <w:r w:rsidR="00052B8D" w:rsidRPr="00DD37AF">
        <w:rPr>
          <w:rFonts w:ascii="Times New Roman" w:hAnsi="Times New Roman" w:cs="Times New Roman"/>
          <w:color w:val="000000" w:themeColor="text1"/>
          <w:sz w:val="24"/>
          <w:szCs w:val="24"/>
          <w:shd w:val="clear" w:color="auto" w:fill="FFFFFF"/>
          <w:lang w:val="en-IN"/>
        </w:rPr>
        <w:t>and</w:t>
      </w:r>
      <w:r w:rsidRPr="00DD37AF">
        <w:rPr>
          <w:rFonts w:ascii="Times New Roman" w:hAnsi="Times New Roman" w:cs="Times New Roman"/>
          <w:color w:val="000000" w:themeColor="text1"/>
          <w:sz w:val="24"/>
          <w:szCs w:val="24"/>
          <w:shd w:val="clear" w:color="auto" w:fill="FFFFFF"/>
          <w:lang w:val="en-IN"/>
        </w:rPr>
        <w:t xml:space="preserve"> Zhou, Z. (2025). Soil properties influence the distribution and diversity of plant communities in the desert-loess transition zone. Catena, 254, 108976. </w:t>
      </w:r>
      <w:hyperlink r:id="rId26" w:history="1">
        <w:r w:rsidR="00052B8D" w:rsidRPr="00DD37AF">
          <w:rPr>
            <w:rStyle w:val="Hyperlink"/>
            <w:rFonts w:ascii="Times New Roman" w:hAnsi="Times New Roman" w:cs="Times New Roman"/>
            <w:sz w:val="24"/>
            <w:szCs w:val="24"/>
            <w:shd w:val="clear" w:color="auto" w:fill="FFFFFF"/>
            <w:lang w:val="en-IN"/>
          </w:rPr>
          <w:t>https://doi.org/10.1016/j.catena.2025.108976</w:t>
        </w:r>
      </w:hyperlink>
    </w:p>
    <w:p w14:paraId="7E485572" w14:textId="521566E3" w:rsidR="000C4FC1" w:rsidRPr="00DD37AF" w:rsidRDefault="000C4FC1" w:rsidP="000A5331">
      <w:pPr>
        <w:spacing w:after="0" w:line="360" w:lineRule="auto"/>
        <w:ind w:left="-142"/>
        <w:jc w:val="both"/>
        <w:rPr>
          <w:rFonts w:ascii="Times New Roman" w:hAnsi="Times New Roman" w:cs="Times New Roman"/>
          <w:color w:val="000000" w:themeColor="text1"/>
          <w:sz w:val="24"/>
          <w:szCs w:val="24"/>
        </w:rPr>
      </w:pPr>
      <w:r w:rsidRPr="00DD37AF">
        <w:rPr>
          <w:rFonts w:ascii="Times New Roman" w:hAnsi="Times New Roman" w:cs="Times New Roman"/>
          <w:color w:val="000000" w:themeColor="text1"/>
          <w:sz w:val="24"/>
          <w:szCs w:val="24"/>
        </w:rPr>
        <w:tab/>
        <w:t xml:space="preserve">Cheng, K. L., </w:t>
      </w:r>
      <w:r w:rsidR="00052B8D" w:rsidRPr="00DD37AF">
        <w:rPr>
          <w:rFonts w:ascii="Times New Roman" w:hAnsi="Times New Roman" w:cs="Times New Roman"/>
          <w:color w:val="000000" w:themeColor="text1"/>
          <w:sz w:val="24"/>
          <w:szCs w:val="24"/>
        </w:rPr>
        <w:t xml:space="preserve">and </w:t>
      </w:r>
      <w:r w:rsidRPr="00DD37AF">
        <w:rPr>
          <w:rFonts w:ascii="Times New Roman" w:hAnsi="Times New Roman" w:cs="Times New Roman"/>
          <w:color w:val="000000" w:themeColor="text1"/>
          <w:sz w:val="24"/>
          <w:szCs w:val="24"/>
        </w:rPr>
        <w:t xml:space="preserve">Bray, R. H. (1951). Determination of calcium and magnesium in soil and plant </w:t>
      </w:r>
      <w:r w:rsidRPr="00DD37AF">
        <w:rPr>
          <w:rFonts w:ascii="Times New Roman" w:hAnsi="Times New Roman" w:cs="Times New Roman"/>
          <w:color w:val="000000" w:themeColor="text1"/>
          <w:sz w:val="24"/>
          <w:szCs w:val="24"/>
        </w:rPr>
        <w:tab/>
        <w:t>material. Soil Science, 72(6), 449–458.</w:t>
      </w:r>
    </w:p>
    <w:p w14:paraId="2C276376" w14:textId="77777777" w:rsidR="00E00F0A" w:rsidRPr="00DD37AF" w:rsidRDefault="00E00F0A" w:rsidP="000A5331">
      <w:pPr>
        <w:spacing w:after="0" w:line="360" w:lineRule="auto"/>
        <w:ind w:left="-142"/>
        <w:jc w:val="both"/>
        <w:rPr>
          <w:rFonts w:ascii="Times New Roman" w:hAnsi="Times New Roman" w:cs="Times New Roman"/>
          <w:color w:val="000000" w:themeColor="text1"/>
          <w:sz w:val="24"/>
          <w:szCs w:val="24"/>
        </w:rPr>
      </w:pPr>
    </w:p>
    <w:p w14:paraId="69203268" w14:textId="4FD35B90" w:rsidR="00E62336" w:rsidRPr="00DD37AF" w:rsidRDefault="000C4FC1" w:rsidP="00CF03C9">
      <w:pPr>
        <w:spacing w:after="0" w:line="360" w:lineRule="auto"/>
        <w:ind w:left="-142"/>
        <w:jc w:val="both"/>
      </w:pPr>
      <w:r w:rsidRPr="00DD37AF">
        <w:rPr>
          <w:rFonts w:ascii="Times New Roman" w:hAnsi="Times New Roman" w:cs="Times New Roman"/>
          <w:color w:val="000000" w:themeColor="text1"/>
          <w:sz w:val="24"/>
          <w:szCs w:val="24"/>
          <w:lang w:val="en-IN"/>
        </w:rPr>
        <w:tab/>
      </w:r>
      <w:proofErr w:type="spellStart"/>
      <w:r w:rsidRPr="00DD37AF">
        <w:rPr>
          <w:rFonts w:ascii="Times New Roman" w:hAnsi="Times New Roman" w:cs="Times New Roman"/>
          <w:color w:val="000000" w:themeColor="text1"/>
          <w:sz w:val="24"/>
          <w:szCs w:val="24"/>
          <w:lang w:val="en-IN"/>
        </w:rPr>
        <w:t>Ciceri</w:t>
      </w:r>
      <w:proofErr w:type="spellEnd"/>
      <w:r w:rsidRPr="00DD37AF">
        <w:rPr>
          <w:rFonts w:ascii="Times New Roman" w:hAnsi="Times New Roman" w:cs="Times New Roman"/>
          <w:color w:val="000000" w:themeColor="text1"/>
          <w:sz w:val="24"/>
          <w:szCs w:val="24"/>
          <w:lang w:val="en-IN"/>
        </w:rPr>
        <w:t xml:space="preserve">, E., Giussani, B., </w:t>
      </w:r>
      <w:r w:rsidR="00052B8D" w:rsidRPr="00DD37AF">
        <w:rPr>
          <w:rFonts w:ascii="Times New Roman" w:hAnsi="Times New Roman" w:cs="Times New Roman"/>
          <w:color w:val="000000" w:themeColor="text1"/>
          <w:sz w:val="24"/>
          <w:szCs w:val="24"/>
          <w:lang w:val="en-IN"/>
        </w:rPr>
        <w:t>and</w:t>
      </w:r>
      <w:r w:rsidRPr="00DD37AF">
        <w:rPr>
          <w:rFonts w:ascii="Times New Roman" w:hAnsi="Times New Roman" w:cs="Times New Roman"/>
          <w:color w:val="000000" w:themeColor="text1"/>
          <w:sz w:val="24"/>
          <w:szCs w:val="24"/>
          <w:lang w:val="en-IN"/>
        </w:rPr>
        <w:t xml:space="preserve"> Pozzi, A. (2000). </w:t>
      </w:r>
      <w:r w:rsidRPr="00DD37AF">
        <w:rPr>
          <w:rFonts w:ascii="Times New Roman" w:hAnsi="Times New Roman" w:cs="Times New Roman"/>
          <w:color w:val="000000" w:themeColor="text1"/>
          <w:sz w:val="24"/>
          <w:szCs w:val="24"/>
        </w:rPr>
        <w:t xml:space="preserve">Determination of heavy metals in soils and </w:t>
      </w:r>
      <w:r w:rsidRPr="00DD37AF">
        <w:rPr>
          <w:rFonts w:ascii="Times New Roman" w:hAnsi="Times New Roman" w:cs="Times New Roman"/>
          <w:color w:val="000000" w:themeColor="text1"/>
          <w:sz w:val="24"/>
          <w:szCs w:val="24"/>
        </w:rPr>
        <w:tab/>
        <w:t xml:space="preserve">sediments by </w:t>
      </w:r>
      <w:r w:rsidR="00CB7AA4" w:rsidRPr="00DD37AF">
        <w:rPr>
          <w:rFonts w:ascii="Times New Roman" w:hAnsi="Times New Roman" w:cs="Times New Roman"/>
          <w:color w:val="000000" w:themeColor="text1"/>
          <w:sz w:val="24"/>
          <w:szCs w:val="24"/>
        </w:rPr>
        <w:tab/>
      </w:r>
      <w:r w:rsidRPr="00DD37AF">
        <w:rPr>
          <w:rFonts w:ascii="Times New Roman" w:hAnsi="Times New Roman" w:cs="Times New Roman"/>
          <w:color w:val="000000" w:themeColor="text1"/>
          <w:sz w:val="24"/>
          <w:szCs w:val="24"/>
        </w:rPr>
        <w:t xml:space="preserve">microwave-assisted digestion and inductively coupled plasma optical emission </w:t>
      </w:r>
      <w:r w:rsidRPr="00DD37AF">
        <w:rPr>
          <w:rFonts w:ascii="Times New Roman" w:hAnsi="Times New Roman" w:cs="Times New Roman"/>
          <w:color w:val="000000" w:themeColor="text1"/>
          <w:sz w:val="24"/>
          <w:szCs w:val="24"/>
        </w:rPr>
        <w:tab/>
        <w:t xml:space="preserve">spectrometry </w:t>
      </w:r>
      <w:r w:rsidR="00CB7AA4" w:rsidRPr="00DD37AF">
        <w:rPr>
          <w:rFonts w:ascii="Times New Roman" w:hAnsi="Times New Roman" w:cs="Times New Roman"/>
          <w:color w:val="000000" w:themeColor="text1"/>
          <w:sz w:val="24"/>
          <w:szCs w:val="24"/>
        </w:rPr>
        <w:tab/>
      </w:r>
      <w:r w:rsidRPr="00DD37AF">
        <w:rPr>
          <w:rFonts w:ascii="Times New Roman" w:hAnsi="Times New Roman" w:cs="Times New Roman"/>
          <w:color w:val="000000" w:themeColor="text1"/>
          <w:sz w:val="24"/>
          <w:szCs w:val="24"/>
        </w:rPr>
        <w:t xml:space="preserve">analysis. Analytica Chimica Acta, 424(2), 289–296. </w:t>
      </w:r>
      <w:hyperlink r:id="rId27" w:history="1">
        <w:r w:rsidR="00E62336" w:rsidRPr="00DD37AF">
          <w:rPr>
            <w:rStyle w:val="Hyperlink"/>
            <w:rFonts w:ascii="Times New Roman" w:hAnsi="Times New Roman" w:cs="Times New Roman"/>
            <w:sz w:val="24"/>
            <w:szCs w:val="24"/>
          </w:rPr>
          <w:t>https://doi.org/10.1016/S0003-2670(00)01123-5</w:t>
        </w:r>
      </w:hyperlink>
    </w:p>
    <w:p w14:paraId="48559C5E" w14:textId="77777777" w:rsidR="00E62336" w:rsidRPr="00DD37AF" w:rsidRDefault="00E62336" w:rsidP="00CF03C9">
      <w:pPr>
        <w:spacing w:after="0" w:line="360" w:lineRule="auto"/>
        <w:ind w:left="-142"/>
        <w:jc w:val="both"/>
        <w:rPr>
          <w:rFonts w:ascii="Times New Roman" w:hAnsi="Times New Roman" w:cs="Times New Roman"/>
          <w:color w:val="000000" w:themeColor="text1"/>
          <w:sz w:val="24"/>
          <w:szCs w:val="24"/>
        </w:rPr>
      </w:pPr>
    </w:p>
    <w:p w14:paraId="6306F0CD" w14:textId="37E8DD7F" w:rsidR="000C4FC1" w:rsidRPr="00DD37AF"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bookmarkStart w:id="1" w:name="_Hlk226139329"/>
      <w:r w:rsidRPr="00DD37AF">
        <w:rPr>
          <w:rFonts w:ascii="Times New Roman" w:hAnsi="Times New Roman" w:cs="Times New Roman"/>
          <w:color w:val="000000" w:themeColor="text1"/>
          <w:sz w:val="24"/>
          <w:szCs w:val="24"/>
          <w:shd w:val="clear" w:color="auto" w:fill="FFFFFF"/>
          <w:lang w:val="en-IN"/>
        </w:rPr>
        <w:t xml:space="preserve">Clements, B. W., </w:t>
      </w:r>
      <w:r w:rsidR="00CF03C9" w:rsidRPr="00DD37AF">
        <w:rPr>
          <w:rFonts w:ascii="Times New Roman" w:hAnsi="Times New Roman" w:cs="Times New Roman"/>
          <w:color w:val="000000" w:themeColor="text1"/>
          <w:sz w:val="24"/>
          <w:szCs w:val="24"/>
          <w:shd w:val="clear" w:color="auto" w:fill="FFFFFF"/>
          <w:lang w:val="en-IN"/>
        </w:rPr>
        <w:t>and</w:t>
      </w:r>
      <w:r w:rsidRPr="00DD37AF">
        <w:rPr>
          <w:rFonts w:ascii="Times New Roman" w:hAnsi="Times New Roman" w:cs="Times New Roman"/>
          <w:color w:val="000000" w:themeColor="text1"/>
          <w:sz w:val="24"/>
          <w:szCs w:val="24"/>
          <w:shd w:val="clear" w:color="auto" w:fill="FFFFFF"/>
          <w:lang w:val="en-IN"/>
        </w:rPr>
        <w:t xml:space="preserve"> Casani, J. A. P. (2016). </w:t>
      </w:r>
      <w:bookmarkEnd w:id="1"/>
      <w:r w:rsidRPr="00DD37AF">
        <w:rPr>
          <w:rFonts w:ascii="Times New Roman" w:hAnsi="Times New Roman" w:cs="Times New Roman"/>
          <w:color w:val="000000" w:themeColor="text1"/>
          <w:sz w:val="24"/>
          <w:szCs w:val="24"/>
          <w:shd w:val="clear" w:color="auto" w:fill="FFFFFF"/>
          <w:lang w:val="en-IN"/>
        </w:rPr>
        <w:t xml:space="preserve">Chemical hazards and disasters. In B. W. Clements &amp; J. A. P. Casani (Eds.), Disasters and public health (2nd ed., pp. 181–218). Butterworth-Heinemann. </w:t>
      </w:r>
      <w:hyperlink r:id="rId28" w:history="1">
        <w:r w:rsidR="00CF03C9" w:rsidRPr="00DD37AF">
          <w:rPr>
            <w:rStyle w:val="Hyperlink"/>
            <w:rFonts w:ascii="Times New Roman" w:hAnsi="Times New Roman" w:cs="Times New Roman"/>
            <w:sz w:val="24"/>
            <w:szCs w:val="24"/>
            <w:shd w:val="clear" w:color="auto" w:fill="FFFFFF"/>
            <w:lang w:val="en-IN"/>
          </w:rPr>
          <w:t>https://doi.org/10.1016/B978-0-12-801980-1.00008-8</w:t>
        </w:r>
      </w:hyperlink>
    </w:p>
    <w:p w14:paraId="641847C1" w14:textId="4008D1AA" w:rsidR="000C4FC1" w:rsidRPr="00DD37AF"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DD37AF">
        <w:rPr>
          <w:rFonts w:ascii="Times New Roman" w:hAnsi="Times New Roman" w:cs="Times New Roman"/>
          <w:color w:val="000000" w:themeColor="text1"/>
          <w:sz w:val="24"/>
          <w:szCs w:val="24"/>
          <w:shd w:val="clear" w:color="auto" w:fill="FFFFFF"/>
          <w:lang w:val="en-IN"/>
        </w:rPr>
        <w:t xml:space="preserve">Collin, S., Baskar, A., Geevarghese, D. M., Syed Ali, M. N. V., Bahubali, P., Choudhary, R., Lvov, V., Tovar, G. I., </w:t>
      </w:r>
      <w:proofErr w:type="spellStart"/>
      <w:r w:rsidRPr="00DD37AF">
        <w:rPr>
          <w:rFonts w:ascii="Times New Roman" w:hAnsi="Times New Roman" w:cs="Times New Roman"/>
          <w:color w:val="000000" w:themeColor="text1"/>
          <w:sz w:val="24"/>
          <w:szCs w:val="24"/>
          <w:shd w:val="clear" w:color="auto" w:fill="FFFFFF"/>
          <w:lang w:val="en-IN"/>
        </w:rPr>
        <w:t>Senatov</w:t>
      </w:r>
      <w:proofErr w:type="spellEnd"/>
      <w:r w:rsidRPr="00DD37AF">
        <w:rPr>
          <w:rFonts w:ascii="Times New Roman" w:hAnsi="Times New Roman" w:cs="Times New Roman"/>
          <w:color w:val="000000" w:themeColor="text1"/>
          <w:sz w:val="24"/>
          <w:szCs w:val="24"/>
          <w:shd w:val="clear" w:color="auto" w:fill="FFFFFF"/>
          <w:lang w:val="en-IN"/>
        </w:rPr>
        <w:t xml:space="preserve">, F., Koppala, S., </w:t>
      </w:r>
      <w:r w:rsidR="00CF03C9" w:rsidRPr="00DD37AF">
        <w:rPr>
          <w:rFonts w:ascii="Times New Roman" w:hAnsi="Times New Roman" w:cs="Times New Roman"/>
          <w:color w:val="000000" w:themeColor="text1"/>
          <w:sz w:val="24"/>
          <w:szCs w:val="24"/>
          <w:shd w:val="clear" w:color="auto" w:fill="FFFFFF"/>
          <w:lang w:val="en-IN"/>
        </w:rPr>
        <w:t>and</w:t>
      </w:r>
      <w:r w:rsidRPr="00DD37AF">
        <w:rPr>
          <w:rFonts w:ascii="Times New Roman" w:hAnsi="Times New Roman" w:cs="Times New Roman"/>
          <w:color w:val="000000" w:themeColor="text1"/>
          <w:sz w:val="24"/>
          <w:szCs w:val="24"/>
          <w:shd w:val="clear" w:color="auto" w:fill="FFFFFF"/>
          <w:lang w:val="en-IN"/>
        </w:rPr>
        <w:t xml:space="preserve"> </w:t>
      </w:r>
      <w:proofErr w:type="spellStart"/>
      <w:r w:rsidRPr="00DD37AF">
        <w:rPr>
          <w:rFonts w:ascii="Times New Roman" w:hAnsi="Times New Roman" w:cs="Times New Roman"/>
          <w:color w:val="000000" w:themeColor="text1"/>
          <w:sz w:val="24"/>
          <w:szCs w:val="24"/>
          <w:shd w:val="clear" w:color="auto" w:fill="FFFFFF"/>
          <w:lang w:val="en-IN"/>
        </w:rPr>
        <w:t>Swamiappan</w:t>
      </w:r>
      <w:proofErr w:type="spellEnd"/>
      <w:r w:rsidRPr="00DD37AF">
        <w:rPr>
          <w:rFonts w:ascii="Times New Roman" w:hAnsi="Times New Roman" w:cs="Times New Roman"/>
          <w:color w:val="000000" w:themeColor="text1"/>
          <w:sz w:val="24"/>
          <w:szCs w:val="24"/>
          <w:shd w:val="clear" w:color="auto" w:fill="FFFFFF"/>
          <w:lang w:val="en-IN"/>
        </w:rPr>
        <w:t xml:space="preserve">, S. (2022). Bioaccumulation of lead (Pb) and its effects in plants: A review. Journal of Hazardous Materials Letters, 3, 100064. </w:t>
      </w:r>
      <w:hyperlink r:id="rId29" w:history="1">
        <w:r w:rsidR="00CF03C9" w:rsidRPr="00DD37AF">
          <w:rPr>
            <w:rStyle w:val="Hyperlink"/>
            <w:rFonts w:ascii="Times New Roman" w:hAnsi="Times New Roman" w:cs="Times New Roman"/>
            <w:sz w:val="24"/>
            <w:szCs w:val="24"/>
            <w:shd w:val="clear" w:color="auto" w:fill="FFFFFF"/>
            <w:lang w:val="en-IN"/>
          </w:rPr>
          <w:t>https://doi.org/10.1016/j.hazl.2022.100064</w:t>
        </w:r>
      </w:hyperlink>
    </w:p>
    <w:p w14:paraId="1285A7CF" w14:textId="133CFC6F" w:rsidR="000C4FC1" w:rsidRPr="00DD37AF"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DD37AF">
        <w:rPr>
          <w:rFonts w:ascii="Times New Roman" w:hAnsi="Times New Roman" w:cs="Times New Roman"/>
          <w:color w:val="000000" w:themeColor="text1"/>
          <w:sz w:val="24"/>
          <w:szCs w:val="24"/>
          <w:shd w:val="clear" w:color="auto" w:fill="FFFFFF"/>
          <w:lang w:val="en-IN"/>
        </w:rPr>
        <w:t xml:space="preserve">da Rocha Junior, P. R., </w:t>
      </w:r>
      <w:proofErr w:type="spellStart"/>
      <w:r w:rsidRPr="00DD37AF">
        <w:rPr>
          <w:rFonts w:ascii="Times New Roman" w:hAnsi="Times New Roman" w:cs="Times New Roman"/>
          <w:color w:val="000000" w:themeColor="text1"/>
          <w:sz w:val="24"/>
          <w:szCs w:val="24"/>
          <w:shd w:val="clear" w:color="auto" w:fill="FFFFFF"/>
          <w:lang w:val="en-IN"/>
        </w:rPr>
        <w:t>Sturião</w:t>
      </w:r>
      <w:proofErr w:type="spellEnd"/>
      <w:r w:rsidRPr="00DD37AF">
        <w:rPr>
          <w:rFonts w:ascii="Times New Roman" w:hAnsi="Times New Roman" w:cs="Times New Roman"/>
          <w:color w:val="000000" w:themeColor="text1"/>
          <w:sz w:val="24"/>
          <w:szCs w:val="24"/>
          <w:shd w:val="clear" w:color="auto" w:fill="FFFFFF"/>
          <w:lang w:val="en-IN"/>
        </w:rPr>
        <w:t xml:space="preserve">, W. P., Nogueira, N. O., Passos, R. R., </w:t>
      </w:r>
      <w:proofErr w:type="spellStart"/>
      <w:r w:rsidRPr="00DD37AF">
        <w:rPr>
          <w:rFonts w:ascii="Times New Roman" w:hAnsi="Times New Roman" w:cs="Times New Roman"/>
          <w:color w:val="000000" w:themeColor="text1"/>
          <w:sz w:val="24"/>
          <w:szCs w:val="24"/>
          <w:shd w:val="clear" w:color="auto" w:fill="FFFFFF"/>
          <w:lang w:val="en-IN"/>
        </w:rPr>
        <w:t>Donagemma</w:t>
      </w:r>
      <w:proofErr w:type="spellEnd"/>
      <w:r w:rsidRPr="00DD37AF">
        <w:rPr>
          <w:rFonts w:ascii="Times New Roman" w:hAnsi="Times New Roman" w:cs="Times New Roman"/>
          <w:color w:val="000000" w:themeColor="text1"/>
          <w:sz w:val="24"/>
          <w:szCs w:val="24"/>
          <w:shd w:val="clear" w:color="auto" w:fill="FFFFFF"/>
          <w:lang w:val="en-IN"/>
        </w:rPr>
        <w:t xml:space="preserve">, G. K., Passos Rangel, O. J., </w:t>
      </w:r>
      <w:r w:rsidR="00CF03C9" w:rsidRPr="00DD37AF">
        <w:rPr>
          <w:rFonts w:ascii="Times New Roman" w:hAnsi="Times New Roman" w:cs="Times New Roman"/>
          <w:color w:val="000000" w:themeColor="text1"/>
          <w:sz w:val="24"/>
          <w:szCs w:val="24"/>
          <w:shd w:val="clear" w:color="auto" w:fill="FFFFFF"/>
          <w:lang w:val="en-IN"/>
        </w:rPr>
        <w:t>and</w:t>
      </w:r>
      <w:r w:rsidRPr="00DD37AF">
        <w:rPr>
          <w:rFonts w:ascii="Times New Roman" w:hAnsi="Times New Roman" w:cs="Times New Roman"/>
          <w:color w:val="000000" w:themeColor="text1"/>
          <w:sz w:val="24"/>
          <w:szCs w:val="24"/>
          <w:shd w:val="clear" w:color="auto" w:fill="FFFFFF"/>
          <w:lang w:val="en-IN"/>
        </w:rPr>
        <w:t xml:space="preserve"> Bhattarai, R. (2020). Soil quality indicators to evaluate environmental services at different landscape positions and land uses in the Atlantic Forest biome. Environmental and Sustainability Indicators, 7, 100047. </w:t>
      </w:r>
      <w:hyperlink r:id="rId30" w:history="1">
        <w:r w:rsidR="00CF03C9" w:rsidRPr="00DD37AF">
          <w:rPr>
            <w:rStyle w:val="Hyperlink"/>
            <w:rFonts w:ascii="Times New Roman" w:hAnsi="Times New Roman" w:cs="Times New Roman"/>
            <w:sz w:val="24"/>
            <w:szCs w:val="24"/>
            <w:shd w:val="clear" w:color="auto" w:fill="FFFFFF"/>
            <w:lang w:val="en-IN"/>
          </w:rPr>
          <w:t>https://doi.org/10.1016/j.indic.2020.100047</w:t>
        </w:r>
      </w:hyperlink>
    </w:p>
    <w:p w14:paraId="48A7A91B" w14:textId="790D1B6D" w:rsidR="000C4FC1" w:rsidRPr="00DD37AF"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DD37AF">
        <w:rPr>
          <w:rFonts w:ascii="Times New Roman" w:hAnsi="Times New Roman" w:cs="Times New Roman"/>
          <w:color w:val="000000" w:themeColor="text1"/>
          <w:sz w:val="24"/>
          <w:szCs w:val="24"/>
          <w:shd w:val="clear" w:color="auto" w:fill="FFFFFF"/>
          <w:lang w:val="en-IN"/>
        </w:rPr>
        <w:t xml:space="preserve">Dasgupta, S., Debnath, S., Das, A., Biswas, A., Weindorf, D. C., Li, B., Shukla, A. K., Das, S., Saha, S., </w:t>
      </w:r>
      <w:r w:rsidR="00CF03C9" w:rsidRPr="00DD37AF">
        <w:rPr>
          <w:rFonts w:ascii="Times New Roman" w:hAnsi="Times New Roman" w:cs="Times New Roman"/>
          <w:color w:val="000000" w:themeColor="text1"/>
          <w:sz w:val="24"/>
          <w:szCs w:val="24"/>
          <w:shd w:val="clear" w:color="auto" w:fill="FFFFFF"/>
          <w:lang w:val="en-IN"/>
        </w:rPr>
        <w:t>and</w:t>
      </w:r>
      <w:r w:rsidRPr="00DD37AF">
        <w:rPr>
          <w:rFonts w:ascii="Times New Roman" w:hAnsi="Times New Roman" w:cs="Times New Roman"/>
          <w:color w:val="000000" w:themeColor="text1"/>
          <w:sz w:val="24"/>
          <w:szCs w:val="24"/>
          <w:shd w:val="clear" w:color="auto" w:fill="FFFFFF"/>
          <w:lang w:val="en-IN"/>
        </w:rPr>
        <w:t xml:space="preserve"> Chakraborty, S. (2023). Developing regional soil micronutrient management strategies through ensemble learning based digital soil mapping. </w:t>
      </w:r>
      <w:proofErr w:type="spellStart"/>
      <w:r w:rsidRPr="00DD37AF">
        <w:rPr>
          <w:rFonts w:ascii="Times New Roman" w:hAnsi="Times New Roman" w:cs="Times New Roman"/>
          <w:color w:val="000000" w:themeColor="text1"/>
          <w:sz w:val="24"/>
          <w:szCs w:val="24"/>
          <w:shd w:val="clear" w:color="auto" w:fill="FFFFFF"/>
          <w:lang w:val="en-IN"/>
        </w:rPr>
        <w:t>Geoderma</w:t>
      </w:r>
      <w:proofErr w:type="spellEnd"/>
      <w:r w:rsidRPr="00DD37AF">
        <w:rPr>
          <w:rFonts w:ascii="Times New Roman" w:hAnsi="Times New Roman" w:cs="Times New Roman"/>
          <w:color w:val="000000" w:themeColor="text1"/>
          <w:sz w:val="24"/>
          <w:szCs w:val="24"/>
          <w:shd w:val="clear" w:color="auto" w:fill="FFFFFF"/>
          <w:lang w:val="en-IN"/>
        </w:rPr>
        <w:t xml:space="preserve">, 433, 116457. </w:t>
      </w:r>
      <w:hyperlink r:id="rId31" w:history="1">
        <w:r w:rsidR="00CF03C9" w:rsidRPr="00DD37AF">
          <w:rPr>
            <w:rStyle w:val="Hyperlink"/>
            <w:rFonts w:ascii="Times New Roman" w:hAnsi="Times New Roman" w:cs="Times New Roman"/>
            <w:sz w:val="24"/>
            <w:szCs w:val="24"/>
            <w:shd w:val="clear" w:color="auto" w:fill="FFFFFF"/>
            <w:lang w:val="en-IN"/>
          </w:rPr>
          <w:t>https://doi.org/10.1016/j.geoderma.2023.116457</w:t>
        </w:r>
      </w:hyperlink>
    </w:p>
    <w:p w14:paraId="630F3E35" w14:textId="77777777" w:rsidR="000C4FC1" w:rsidRPr="00DD37AF"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DD37AF">
        <w:rPr>
          <w:rFonts w:ascii="Times New Roman" w:hAnsi="Times New Roman" w:cs="Times New Roman"/>
          <w:color w:val="000000" w:themeColor="text1"/>
          <w:sz w:val="24"/>
          <w:szCs w:val="24"/>
          <w:shd w:val="clear" w:color="auto" w:fill="FFFFFF"/>
          <w:lang w:val="en-IN"/>
        </w:rPr>
        <w:t>Dashara, T. (2023). Functions of liver and pancreas in human digestion and metabolism. Pancreatic Disorders &amp; Therapy, 13, 267.</w:t>
      </w:r>
    </w:p>
    <w:p w14:paraId="5AD26971" w14:textId="0379AF28" w:rsidR="000C4FC1" w:rsidRPr="00DD37AF"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DD37AF">
        <w:rPr>
          <w:rFonts w:ascii="Times New Roman" w:hAnsi="Times New Roman" w:cs="Times New Roman"/>
          <w:color w:val="000000" w:themeColor="text1"/>
          <w:sz w:val="24"/>
          <w:szCs w:val="24"/>
          <w:shd w:val="clear" w:color="auto" w:fill="FFFFFF"/>
          <w:lang w:val="en-IN"/>
        </w:rPr>
        <w:lastRenderedPageBreak/>
        <w:t xml:space="preserve">Deng, X., Gibson, J., Song, M., Li, Z., Han, Z., Zhang, F., </w:t>
      </w:r>
      <w:r w:rsidR="00CF03C9" w:rsidRPr="00DD37AF">
        <w:rPr>
          <w:rFonts w:ascii="Times New Roman" w:hAnsi="Times New Roman" w:cs="Times New Roman"/>
          <w:color w:val="000000" w:themeColor="text1"/>
          <w:sz w:val="24"/>
          <w:szCs w:val="24"/>
          <w:shd w:val="clear" w:color="auto" w:fill="FFFFFF"/>
          <w:lang w:val="en-IN"/>
        </w:rPr>
        <w:t xml:space="preserve">and </w:t>
      </w:r>
      <w:r w:rsidRPr="00DD37AF">
        <w:rPr>
          <w:rFonts w:ascii="Times New Roman" w:hAnsi="Times New Roman" w:cs="Times New Roman"/>
          <w:color w:val="000000" w:themeColor="text1"/>
          <w:sz w:val="24"/>
          <w:szCs w:val="24"/>
          <w:shd w:val="clear" w:color="auto" w:fill="FFFFFF"/>
          <w:lang w:val="en-IN"/>
        </w:rPr>
        <w:t xml:space="preserve">Cheng, W. (2025). Agricultural land-use system management: Research progress and perspectives. Fundamental Research, 5(6), 2908–2925. </w:t>
      </w:r>
      <w:hyperlink r:id="rId32" w:history="1">
        <w:r w:rsidR="00CF03C9" w:rsidRPr="00DD37AF">
          <w:rPr>
            <w:rStyle w:val="Hyperlink"/>
            <w:rFonts w:ascii="Times New Roman" w:hAnsi="Times New Roman" w:cs="Times New Roman"/>
            <w:sz w:val="24"/>
            <w:szCs w:val="24"/>
            <w:shd w:val="clear" w:color="auto" w:fill="FFFFFF"/>
            <w:lang w:val="en-IN"/>
          </w:rPr>
          <w:t>https://doi.org/10.1016/j.fmre.2024.10.012</w:t>
        </w:r>
      </w:hyperlink>
    </w:p>
    <w:p w14:paraId="55240D5C" w14:textId="36A0F9D8" w:rsidR="000C4FC1" w:rsidRPr="00DD37AF"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DD37AF">
        <w:rPr>
          <w:rFonts w:ascii="Times New Roman" w:hAnsi="Times New Roman" w:cs="Times New Roman"/>
          <w:color w:val="000000" w:themeColor="text1"/>
          <w:sz w:val="24"/>
          <w:szCs w:val="24"/>
          <w:shd w:val="clear" w:color="auto" w:fill="FFFFFF"/>
          <w:lang w:val="en-IN"/>
        </w:rPr>
        <w:t xml:space="preserve">Fadhil Khudhair, M. (2018). Basic definitions and concepts: Soil components and phases. ResearchGate. </w:t>
      </w:r>
      <w:hyperlink r:id="rId33" w:history="1">
        <w:r w:rsidR="00CF03C9" w:rsidRPr="00DD37AF">
          <w:rPr>
            <w:rStyle w:val="Hyperlink"/>
            <w:rFonts w:ascii="Times New Roman" w:hAnsi="Times New Roman" w:cs="Times New Roman"/>
            <w:sz w:val="24"/>
            <w:szCs w:val="24"/>
            <w:shd w:val="clear" w:color="auto" w:fill="FFFFFF"/>
            <w:lang w:val="en-IN"/>
          </w:rPr>
          <w:t>https://doi.org/10.13140/RG.2.2.32017.68964</w:t>
        </w:r>
      </w:hyperlink>
    </w:p>
    <w:p w14:paraId="63215F2E" w14:textId="258C4FA0" w:rsidR="000C4FC1" w:rsidRPr="00DD37AF"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DD37AF">
        <w:rPr>
          <w:rFonts w:ascii="Times New Roman" w:hAnsi="Times New Roman" w:cs="Times New Roman"/>
          <w:color w:val="000000" w:themeColor="text1"/>
          <w:sz w:val="24"/>
          <w:szCs w:val="24"/>
          <w:shd w:val="clear" w:color="auto" w:fill="FFFFFF"/>
          <w:lang w:val="en-IN"/>
        </w:rPr>
        <w:t xml:space="preserve">Fagnano, M., Agrelli, D., Pascale, A., Adamo, P., Fiorentino, N., Rocco, C., Pepe, O., </w:t>
      </w:r>
      <w:r w:rsidR="00CF03C9" w:rsidRPr="00DD37AF">
        <w:rPr>
          <w:rFonts w:ascii="Times New Roman" w:hAnsi="Times New Roman" w:cs="Times New Roman"/>
          <w:color w:val="000000" w:themeColor="text1"/>
          <w:sz w:val="24"/>
          <w:szCs w:val="24"/>
          <w:shd w:val="clear" w:color="auto" w:fill="FFFFFF"/>
          <w:lang w:val="en-IN"/>
        </w:rPr>
        <w:t>and</w:t>
      </w:r>
      <w:r w:rsidRPr="00DD37AF">
        <w:rPr>
          <w:rFonts w:ascii="Times New Roman" w:hAnsi="Times New Roman" w:cs="Times New Roman"/>
          <w:color w:val="000000" w:themeColor="text1"/>
          <w:sz w:val="24"/>
          <w:szCs w:val="24"/>
          <w:shd w:val="clear" w:color="auto" w:fill="FFFFFF"/>
          <w:lang w:val="en-IN"/>
        </w:rPr>
        <w:t xml:space="preserve"> </w:t>
      </w:r>
      <w:proofErr w:type="spellStart"/>
      <w:r w:rsidRPr="00DD37AF">
        <w:rPr>
          <w:rFonts w:ascii="Times New Roman" w:hAnsi="Times New Roman" w:cs="Times New Roman"/>
          <w:color w:val="000000" w:themeColor="text1"/>
          <w:sz w:val="24"/>
          <w:szCs w:val="24"/>
          <w:shd w:val="clear" w:color="auto" w:fill="FFFFFF"/>
          <w:lang w:val="en-IN"/>
        </w:rPr>
        <w:t>Ventorino</w:t>
      </w:r>
      <w:proofErr w:type="spellEnd"/>
      <w:r w:rsidRPr="00DD37AF">
        <w:rPr>
          <w:rFonts w:ascii="Times New Roman" w:hAnsi="Times New Roman" w:cs="Times New Roman"/>
          <w:color w:val="000000" w:themeColor="text1"/>
          <w:sz w:val="24"/>
          <w:szCs w:val="24"/>
          <w:shd w:val="clear" w:color="auto" w:fill="FFFFFF"/>
          <w:lang w:val="en-IN"/>
        </w:rPr>
        <w:t xml:space="preserve">, V. (2020). Copper accumulation in agricultural soils: Risks for the food chain and soil microbial populations. Science of The Total Environment, 734, 139434. </w:t>
      </w:r>
      <w:hyperlink r:id="rId34" w:history="1">
        <w:r w:rsidR="00CF03C9" w:rsidRPr="00DD37AF">
          <w:rPr>
            <w:rStyle w:val="Hyperlink"/>
            <w:rFonts w:ascii="Times New Roman" w:hAnsi="Times New Roman" w:cs="Times New Roman"/>
            <w:sz w:val="24"/>
            <w:szCs w:val="24"/>
            <w:shd w:val="clear" w:color="auto" w:fill="FFFFFF"/>
            <w:lang w:val="en-IN"/>
          </w:rPr>
          <w:t>https://doi.org/10.1016/j.scitotenv.2020.139434</w:t>
        </w:r>
      </w:hyperlink>
    </w:p>
    <w:p w14:paraId="124D62F9" w14:textId="19A92A45" w:rsidR="000C4FC1" w:rsidRPr="00DD37AF"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DD37AF">
        <w:rPr>
          <w:rFonts w:ascii="Times New Roman" w:hAnsi="Times New Roman" w:cs="Times New Roman"/>
          <w:color w:val="000000" w:themeColor="text1"/>
          <w:sz w:val="24"/>
          <w:szCs w:val="24"/>
          <w:shd w:val="clear" w:color="auto" w:fill="FFFFFF"/>
          <w:lang w:val="en-IN"/>
        </w:rPr>
        <w:t xml:space="preserve">Fan, Y., Wu, M., Li, X., Zhao, J., Shi, J., Ding, L., Jiang, H., Li, Z., Zhang, W., Ma, T., Wang, D., </w:t>
      </w:r>
      <w:r w:rsidR="00CF03C9" w:rsidRPr="00DD37AF">
        <w:rPr>
          <w:rFonts w:ascii="Times New Roman" w:hAnsi="Times New Roman" w:cs="Times New Roman"/>
          <w:color w:val="000000" w:themeColor="text1"/>
          <w:sz w:val="24"/>
          <w:szCs w:val="24"/>
          <w:shd w:val="clear" w:color="auto" w:fill="FFFFFF"/>
          <w:lang w:val="en-IN"/>
        </w:rPr>
        <w:t xml:space="preserve">and </w:t>
      </w:r>
      <w:r w:rsidRPr="00DD37AF">
        <w:rPr>
          <w:rFonts w:ascii="Times New Roman" w:hAnsi="Times New Roman" w:cs="Times New Roman"/>
          <w:color w:val="000000" w:themeColor="text1"/>
          <w:sz w:val="24"/>
          <w:szCs w:val="24"/>
          <w:shd w:val="clear" w:color="auto" w:fill="FFFFFF"/>
          <w:lang w:val="en-IN"/>
        </w:rPr>
        <w:t xml:space="preserve">Ma, L. (2024). Potassium levels and the risk of all-cause and cardiovascular mortality among patients with cardiovascular diseases: A meta-analysis of cohort studies. Nutrition Journal, 23(1), 8. </w:t>
      </w:r>
      <w:hyperlink r:id="rId35" w:history="1">
        <w:r w:rsidR="00CF03C9" w:rsidRPr="00DD37AF">
          <w:rPr>
            <w:rStyle w:val="Hyperlink"/>
            <w:rFonts w:ascii="Times New Roman" w:hAnsi="Times New Roman" w:cs="Times New Roman"/>
            <w:sz w:val="24"/>
            <w:szCs w:val="24"/>
            <w:shd w:val="clear" w:color="auto" w:fill="FFFFFF"/>
            <w:lang w:val="en-IN"/>
          </w:rPr>
          <w:t>https://doi.org/10.1186/s12937-023-00888-z</w:t>
        </w:r>
      </w:hyperlink>
    </w:p>
    <w:p w14:paraId="3DDA9637" w14:textId="539A1A93" w:rsidR="000C4FC1" w:rsidRPr="00DD37AF"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DD37AF">
        <w:rPr>
          <w:rFonts w:ascii="Times New Roman" w:hAnsi="Times New Roman" w:cs="Times New Roman"/>
          <w:color w:val="000000" w:themeColor="text1"/>
          <w:sz w:val="24"/>
          <w:szCs w:val="24"/>
          <w:shd w:val="clear" w:color="auto" w:fill="FFFFFF"/>
          <w:lang w:val="en-IN"/>
        </w:rPr>
        <w:t xml:space="preserve">Faridullah, Qazi, W., Awan, S., Alam, A., </w:t>
      </w:r>
      <w:r w:rsidR="00CF03C9" w:rsidRPr="00DD37AF">
        <w:rPr>
          <w:rFonts w:ascii="Times New Roman" w:hAnsi="Times New Roman" w:cs="Times New Roman"/>
          <w:color w:val="000000" w:themeColor="text1"/>
          <w:sz w:val="24"/>
          <w:szCs w:val="24"/>
          <w:shd w:val="clear" w:color="auto" w:fill="FFFFFF"/>
          <w:lang w:val="en-IN"/>
        </w:rPr>
        <w:t>and</w:t>
      </w:r>
      <w:r w:rsidRPr="00DD37AF">
        <w:rPr>
          <w:rFonts w:ascii="Times New Roman" w:hAnsi="Times New Roman" w:cs="Times New Roman"/>
          <w:color w:val="000000" w:themeColor="text1"/>
          <w:sz w:val="24"/>
          <w:szCs w:val="24"/>
          <w:shd w:val="clear" w:color="auto" w:fill="FFFFFF"/>
          <w:lang w:val="en-IN"/>
        </w:rPr>
        <w:t xml:space="preserve"> Ahmed, T. (2016). Study of potassium, calcium and magnesium in soil and rice irrigated from fresh and waste water canal. Fresenius Environmental Bulletin, 25, 2232–2242.</w:t>
      </w:r>
    </w:p>
    <w:p w14:paraId="05C198D2" w14:textId="0C078830" w:rsidR="000C4FC1" w:rsidRPr="00DD37AF"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DD37AF">
        <w:rPr>
          <w:rFonts w:ascii="Times New Roman" w:hAnsi="Times New Roman" w:cs="Times New Roman"/>
          <w:color w:val="000000" w:themeColor="text1"/>
          <w:sz w:val="24"/>
          <w:szCs w:val="24"/>
          <w:shd w:val="clear" w:color="auto" w:fill="FFFFFF"/>
          <w:lang w:val="en-IN"/>
        </w:rPr>
        <w:t xml:space="preserve">Franken, A., Eloff, F. C., Du Plessis, J., </w:t>
      </w:r>
      <w:r w:rsidR="00CF03C9" w:rsidRPr="00DD37AF">
        <w:rPr>
          <w:rFonts w:ascii="Times New Roman" w:hAnsi="Times New Roman" w:cs="Times New Roman"/>
          <w:color w:val="000000" w:themeColor="text1"/>
          <w:sz w:val="24"/>
          <w:szCs w:val="24"/>
          <w:shd w:val="clear" w:color="auto" w:fill="FFFFFF"/>
          <w:lang w:val="en-IN"/>
        </w:rPr>
        <w:t>and</w:t>
      </w:r>
      <w:r w:rsidRPr="00DD37AF">
        <w:rPr>
          <w:rFonts w:ascii="Times New Roman" w:hAnsi="Times New Roman" w:cs="Times New Roman"/>
          <w:color w:val="000000" w:themeColor="text1"/>
          <w:sz w:val="24"/>
          <w:szCs w:val="24"/>
          <w:shd w:val="clear" w:color="auto" w:fill="FFFFFF"/>
          <w:lang w:val="en-IN"/>
        </w:rPr>
        <w:t xml:space="preserve"> Du Plessis, J. L. (2015). In vitro permeation of metals through human skin: A review and recommendations. Chemical Research in Toxicology, 28(12), 2237–2249. </w:t>
      </w:r>
      <w:hyperlink r:id="rId36" w:history="1">
        <w:r w:rsidR="00CF03C9" w:rsidRPr="00DD37AF">
          <w:rPr>
            <w:rStyle w:val="Hyperlink"/>
            <w:rFonts w:ascii="Times New Roman" w:hAnsi="Times New Roman" w:cs="Times New Roman"/>
            <w:sz w:val="24"/>
            <w:szCs w:val="24"/>
            <w:shd w:val="clear" w:color="auto" w:fill="FFFFFF"/>
            <w:lang w:val="en-IN"/>
          </w:rPr>
          <w:t>https://doi.org/10.1021/acs.chemrestox.5b00421</w:t>
        </w:r>
      </w:hyperlink>
    </w:p>
    <w:p w14:paraId="6F1065C9" w14:textId="3267B94F" w:rsidR="000C4FC1" w:rsidRPr="00DD37AF"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DD37AF">
        <w:rPr>
          <w:rFonts w:ascii="Times New Roman" w:hAnsi="Times New Roman" w:cs="Times New Roman"/>
          <w:color w:val="000000" w:themeColor="text1"/>
          <w:sz w:val="24"/>
          <w:szCs w:val="24"/>
          <w:shd w:val="clear" w:color="auto" w:fill="FFFFFF"/>
          <w:lang w:val="en-IN"/>
        </w:rPr>
        <w:t xml:space="preserve">Galić, L., Vukadinović, V., Nikolin, I., </w:t>
      </w:r>
      <w:r w:rsidR="00CF03C9" w:rsidRPr="00DD37AF">
        <w:rPr>
          <w:rFonts w:ascii="Times New Roman" w:hAnsi="Times New Roman" w:cs="Times New Roman"/>
          <w:color w:val="000000" w:themeColor="text1"/>
          <w:sz w:val="24"/>
          <w:szCs w:val="24"/>
          <w:shd w:val="clear" w:color="auto" w:fill="FFFFFF"/>
          <w:lang w:val="en-IN"/>
        </w:rPr>
        <w:t>and</w:t>
      </w:r>
      <w:r w:rsidRPr="00DD37AF">
        <w:rPr>
          <w:rFonts w:ascii="Times New Roman" w:hAnsi="Times New Roman" w:cs="Times New Roman"/>
          <w:color w:val="000000" w:themeColor="text1"/>
          <w:sz w:val="24"/>
          <w:szCs w:val="24"/>
          <w:shd w:val="clear" w:color="auto" w:fill="FFFFFF"/>
          <w:lang w:val="en-IN"/>
        </w:rPr>
        <w:t xml:space="preserve"> Lončarić, Z. (2025). Soil properties and microelement availability in crops for human health: An overview. Crops, 5(4), 40. </w:t>
      </w:r>
      <w:hyperlink r:id="rId37" w:history="1">
        <w:r w:rsidR="00CF03C9" w:rsidRPr="00DD37AF">
          <w:rPr>
            <w:rStyle w:val="Hyperlink"/>
            <w:rFonts w:ascii="Times New Roman" w:hAnsi="Times New Roman" w:cs="Times New Roman"/>
            <w:sz w:val="24"/>
            <w:szCs w:val="24"/>
            <w:shd w:val="clear" w:color="auto" w:fill="FFFFFF"/>
            <w:lang w:val="en-IN"/>
          </w:rPr>
          <w:t>https://doi.org/10.3390/crops5040040</w:t>
        </w:r>
      </w:hyperlink>
    </w:p>
    <w:p w14:paraId="631DC462" w14:textId="341318DE" w:rsidR="000C4FC1" w:rsidRPr="00DD37AF"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DD37AF">
        <w:rPr>
          <w:rFonts w:ascii="Times New Roman" w:hAnsi="Times New Roman" w:cs="Times New Roman"/>
          <w:color w:val="000000" w:themeColor="text1"/>
          <w:sz w:val="24"/>
          <w:szCs w:val="24"/>
          <w:shd w:val="clear" w:color="auto" w:fill="FFFFFF"/>
          <w:lang w:val="en-IN"/>
        </w:rPr>
        <w:t xml:space="preserve">Genuis, S. J., Sears, M. E., </w:t>
      </w:r>
      <w:proofErr w:type="spellStart"/>
      <w:r w:rsidRPr="00DD37AF">
        <w:rPr>
          <w:rFonts w:ascii="Times New Roman" w:hAnsi="Times New Roman" w:cs="Times New Roman"/>
          <w:color w:val="000000" w:themeColor="text1"/>
          <w:sz w:val="24"/>
          <w:szCs w:val="24"/>
          <w:shd w:val="clear" w:color="auto" w:fill="FFFFFF"/>
          <w:lang w:val="en-IN"/>
        </w:rPr>
        <w:t>Schwalfenberg</w:t>
      </w:r>
      <w:proofErr w:type="spellEnd"/>
      <w:r w:rsidRPr="00DD37AF">
        <w:rPr>
          <w:rFonts w:ascii="Times New Roman" w:hAnsi="Times New Roman" w:cs="Times New Roman"/>
          <w:color w:val="000000" w:themeColor="text1"/>
          <w:sz w:val="24"/>
          <w:szCs w:val="24"/>
          <w:shd w:val="clear" w:color="auto" w:fill="FFFFFF"/>
          <w:lang w:val="en-IN"/>
        </w:rPr>
        <w:t xml:space="preserve">, G., Hope, J., </w:t>
      </w:r>
      <w:r w:rsidR="00CF03C9" w:rsidRPr="00DD37AF">
        <w:rPr>
          <w:rFonts w:ascii="Times New Roman" w:hAnsi="Times New Roman" w:cs="Times New Roman"/>
          <w:color w:val="000000" w:themeColor="text1"/>
          <w:sz w:val="24"/>
          <w:szCs w:val="24"/>
          <w:shd w:val="clear" w:color="auto" w:fill="FFFFFF"/>
          <w:lang w:val="en-IN"/>
        </w:rPr>
        <w:t>and</w:t>
      </w:r>
      <w:r w:rsidRPr="00DD37AF">
        <w:rPr>
          <w:rFonts w:ascii="Times New Roman" w:hAnsi="Times New Roman" w:cs="Times New Roman"/>
          <w:color w:val="000000" w:themeColor="text1"/>
          <w:sz w:val="24"/>
          <w:szCs w:val="24"/>
          <w:shd w:val="clear" w:color="auto" w:fill="FFFFFF"/>
          <w:lang w:val="en-IN"/>
        </w:rPr>
        <w:t xml:space="preserve"> Bernhoft, R. (2013). Clinical detoxification: Elimination of persistent toxicants from the human body. The Scientific World Journal, 2013, 238347. </w:t>
      </w:r>
      <w:hyperlink r:id="rId38" w:history="1">
        <w:r w:rsidR="00CF03C9" w:rsidRPr="00DD37AF">
          <w:rPr>
            <w:rStyle w:val="Hyperlink"/>
            <w:rFonts w:ascii="Times New Roman" w:hAnsi="Times New Roman" w:cs="Times New Roman"/>
            <w:sz w:val="24"/>
            <w:szCs w:val="24"/>
            <w:shd w:val="clear" w:color="auto" w:fill="FFFFFF"/>
            <w:lang w:val="en-IN"/>
          </w:rPr>
          <w:t>https://doi.org/10.1155/2013/238347</w:t>
        </w:r>
      </w:hyperlink>
    </w:p>
    <w:p w14:paraId="0803C0E4" w14:textId="7A49B130" w:rsidR="000C4FC1" w:rsidRPr="00DD37AF"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DD37AF">
        <w:rPr>
          <w:rFonts w:ascii="Times New Roman" w:hAnsi="Times New Roman" w:cs="Times New Roman"/>
          <w:color w:val="000000" w:themeColor="text1"/>
          <w:sz w:val="24"/>
          <w:szCs w:val="24"/>
          <w:shd w:val="clear" w:color="auto" w:fill="FFFFFF"/>
          <w:lang w:val="en-IN"/>
        </w:rPr>
        <w:lastRenderedPageBreak/>
        <w:t xml:space="preserve">Goulding, K. W. T. (2016). Soil acidification and the importance of liming agricultural soils with particular reference to the United Kingdom. Soil Use and Management, 32(3), 390–399. </w:t>
      </w:r>
      <w:hyperlink r:id="rId39" w:history="1">
        <w:r w:rsidR="00CF03C9" w:rsidRPr="00DD37AF">
          <w:rPr>
            <w:rStyle w:val="Hyperlink"/>
            <w:rFonts w:ascii="Times New Roman" w:hAnsi="Times New Roman" w:cs="Times New Roman"/>
            <w:sz w:val="24"/>
            <w:szCs w:val="24"/>
            <w:shd w:val="clear" w:color="auto" w:fill="FFFFFF"/>
            <w:lang w:val="en-IN"/>
          </w:rPr>
          <w:t>https://doi.org/10.1111/sum.12270</w:t>
        </w:r>
      </w:hyperlink>
    </w:p>
    <w:p w14:paraId="130BA3C7" w14:textId="50A5EA43" w:rsidR="000C4FC1" w:rsidRPr="00DD37AF"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DD37AF">
        <w:rPr>
          <w:rFonts w:ascii="Times New Roman" w:hAnsi="Times New Roman" w:cs="Times New Roman"/>
          <w:color w:val="000000" w:themeColor="text1"/>
          <w:sz w:val="24"/>
          <w:szCs w:val="24"/>
          <w:shd w:val="clear" w:color="auto" w:fill="FFFFFF"/>
          <w:lang w:val="en-IN"/>
        </w:rPr>
        <w:t xml:space="preserve">Grishin, I. Y., </w:t>
      </w:r>
      <w:proofErr w:type="spellStart"/>
      <w:r w:rsidRPr="00DD37AF">
        <w:rPr>
          <w:rFonts w:ascii="Times New Roman" w:hAnsi="Times New Roman" w:cs="Times New Roman"/>
          <w:color w:val="000000" w:themeColor="text1"/>
          <w:sz w:val="24"/>
          <w:szCs w:val="24"/>
          <w:shd w:val="clear" w:color="auto" w:fill="FFFFFF"/>
          <w:lang w:val="en-IN"/>
        </w:rPr>
        <w:t>Timirgaleeva</w:t>
      </w:r>
      <w:proofErr w:type="spellEnd"/>
      <w:r w:rsidRPr="00DD37AF">
        <w:rPr>
          <w:rFonts w:ascii="Times New Roman" w:hAnsi="Times New Roman" w:cs="Times New Roman"/>
          <w:color w:val="000000" w:themeColor="text1"/>
          <w:sz w:val="24"/>
          <w:szCs w:val="24"/>
          <w:shd w:val="clear" w:color="auto" w:fill="FFFFFF"/>
          <w:lang w:val="en-IN"/>
        </w:rPr>
        <w:t xml:space="preserve">, R. R., </w:t>
      </w:r>
      <w:proofErr w:type="spellStart"/>
      <w:r w:rsidRPr="00DD37AF">
        <w:rPr>
          <w:rFonts w:ascii="Times New Roman" w:hAnsi="Times New Roman" w:cs="Times New Roman"/>
          <w:color w:val="000000" w:themeColor="text1"/>
          <w:sz w:val="24"/>
          <w:szCs w:val="24"/>
          <w:shd w:val="clear" w:color="auto" w:fill="FFFFFF"/>
          <w:lang w:val="en-IN"/>
        </w:rPr>
        <w:t>Likhovskoy</w:t>
      </w:r>
      <w:proofErr w:type="spellEnd"/>
      <w:r w:rsidRPr="00DD37AF">
        <w:rPr>
          <w:rFonts w:ascii="Times New Roman" w:hAnsi="Times New Roman" w:cs="Times New Roman"/>
          <w:color w:val="000000" w:themeColor="text1"/>
          <w:sz w:val="24"/>
          <w:szCs w:val="24"/>
          <w:shd w:val="clear" w:color="auto" w:fill="FFFFFF"/>
          <w:lang w:val="en-IN"/>
        </w:rPr>
        <w:t xml:space="preserve">, V. V., </w:t>
      </w:r>
      <w:r w:rsidR="00CF03C9" w:rsidRPr="00DD37AF">
        <w:rPr>
          <w:rFonts w:ascii="Times New Roman" w:hAnsi="Times New Roman" w:cs="Times New Roman"/>
          <w:color w:val="000000" w:themeColor="text1"/>
          <w:sz w:val="24"/>
          <w:szCs w:val="24"/>
          <w:shd w:val="clear" w:color="auto" w:fill="FFFFFF"/>
          <w:lang w:val="en-IN"/>
        </w:rPr>
        <w:t>and</w:t>
      </w:r>
      <w:r w:rsidRPr="00DD37AF">
        <w:rPr>
          <w:rFonts w:ascii="Times New Roman" w:hAnsi="Times New Roman" w:cs="Times New Roman"/>
          <w:color w:val="000000" w:themeColor="text1"/>
          <w:sz w:val="24"/>
          <w:szCs w:val="24"/>
          <w:shd w:val="clear" w:color="auto" w:fill="FFFFFF"/>
          <w:lang w:val="en-IN"/>
        </w:rPr>
        <w:t xml:space="preserve"> Vasylyk, I. A. (2021). Method of remote determination of humus content in soils of grape </w:t>
      </w:r>
      <w:proofErr w:type="spellStart"/>
      <w:r w:rsidRPr="00DD37AF">
        <w:rPr>
          <w:rFonts w:ascii="Times New Roman" w:hAnsi="Times New Roman" w:cs="Times New Roman"/>
          <w:color w:val="000000" w:themeColor="text1"/>
          <w:sz w:val="24"/>
          <w:szCs w:val="24"/>
          <w:shd w:val="clear" w:color="auto" w:fill="FFFFFF"/>
          <w:lang w:val="en-IN"/>
        </w:rPr>
        <w:t>agrocenoses</w:t>
      </w:r>
      <w:proofErr w:type="spellEnd"/>
      <w:r w:rsidRPr="00DD37AF">
        <w:rPr>
          <w:rFonts w:ascii="Times New Roman" w:hAnsi="Times New Roman" w:cs="Times New Roman"/>
          <w:color w:val="000000" w:themeColor="text1"/>
          <w:sz w:val="24"/>
          <w:szCs w:val="24"/>
          <w:shd w:val="clear" w:color="auto" w:fill="FFFFFF"/>
          <w:lang w:val="en-IN"/>
        </w:rPr>
        <w:t xml:space="preserve"> in southern regions of Russia. IOP Conference Series: Earth and Environmental Science, 723, 032060. </w:t>
      </w:r>
      <w:hyperlink r:id="rId40" w:history="1">
        <w:r w:rsidR="00CF03C9" w:rsidRPr="00DD37AF">
          <w:rPr>
            <w:rStyle w:val="Hyperlink"/>
            <w:rFonts w:ascii="Times New Roman" w:hAnsi="Times New Roman" w:cs="Times New Roman"/>
            <w:sz w:val="24"/>
            <w:szCs w:val="24"/>
            <w:shd w:val="clear" w:color="auto" w:fill="FFFFFF"/>
            <w:lang w:val="en-IN"/>
          </w:rPr>
          <w:t>https://doi.org/10.1088/1755-1315/723/3/032060</w:t>
        </w:r>
      </w:hyperlink>
    </w:p>
    <w:p w14:paraId="4096BE91" w14:textId="0A00B2BF" w:rsidR="000C4FC1" w:rsidRPr="00DD37AF"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DD37AF">
        <w:rPr>
          <w:rFonts w:ascii="Times New Roman" w:hAnsi="Times New Roman" w:cs="Times New Roman"/>
          <w:color w:val="000000" w:themeColor="text1"/>
          <w:sz w:val="24"/>
          <w:szCs w:val="24"/>
          <w:shd w:val="clear" w:color="auto" w:fill="FFFFFF"/>
          <w:lang w:val="en-IN"/>
        </w:rPr>
        <w:t xml:space="preserve">Gupta, A., Chitranshi, S., Dwivedi, A., </w:t>
      </w:r>
      <w:r w:rsidR="00CF03C9" w:rsidRPr="00DD37AF">
        <w:rPr>
          <w:rFonts w:ascii="Times New Roman" w:hAnsi="Times New Roman" w:cs="Times New Roman"/>
          <w:color w:val="000000" w:themeColor="text1"/>
          <w:sz w:val="24"/>
          <w:szCs w:val="24"/>
          <w:shd w:val="clear" w:color="auto" w:fill="FFFFFF"/>
          <w:lang w:val="en-IN"/>
        </w:rPr>
        <w:t>and</w:t>
      </w:r>
      <w:r w:rsidRPr="00DD37AF">
        <w:rPr>
          <w:rFonts w:ascii="Times New Roman" w:hAnsi="Times New Roman" w:cs="Times New Roman"/>
          <w:color w:val="000000" w:themeColor="text1"/>
          <w:sz w:val="24"/>
          <w:szCs w:val="24"/>
          <w:shd w:val="clear" w:color="auto" w:fill="FFFFFF"/>
          <w:lang w:val="en-IN"/>
        </w:rPr>
        <w:t xml:space="preserve"> Johri, S. (2026). Study of physico-chemical properties in industrial areas of Chambal region soil. Agricultural Science Digest. Advance online publication. </w:t>
      </w:r>
      <w:hyperlink r:id="rId41" w:history="1">
        <w:r w:rsidR="00CF03C9" w:rsidRPr="00DD37AF">
          <w:rPr>
            <w:rStyle w:val="Hyperlink"/>
            <w:rFonts w:ascii="Times New Roman" w:hAnsi="Times New Roman" w:cs="Times New Roman"/>
            <w:sz w:val="24"/>
            <w:szCs w:val="24"/>
            <w:shd w:val="clear" w:color="auto" w:fill="FFFFFF"/>
            <w:lang w:val="en-IN"/>
          </w:rPr>
          <w:t>https://doi.org/10.18805/ag.D-5596</w:t>
        </w:r>
      </w:hyperlink>
    </w:p>
    <w:p w14:paraId="562EF7B1" w14:textId="10E47F2C" w:rsidR="00F76D08" w:rsidRPr="00DD37AF" w:rsidRDefault="00F76D08" w:rsidP="000A5331">
      <w:pPr>
        <w:spacing w:line="360" w:lineRule="auto"/>
        <w:jc w:val="both"/>
        <w:rPr>
          <w:rFonts w:ascii="Times New Roman" w:hAnsi="Times New Roman" w:cs="Times New Roman"/>
          <w:color w:val="000000" w:themeColor="text1"/>
          <w:sz w:val="24"/>
          <w:szCs w:val="24"/>
          <w:shd w:val="clear" w:color="auto" w:fill="FFFFFF"/>
          <w:lang w:val="en-IN"/>
        </w:rPr>
      </w:pPr>
      <w:r w:rsidRPr="00DD37AF">
        <w:rPr>
          <w:rFonts w:ascii="Times New Roman" w:hAnsi="Times New Roman" w:cs="Times New Roman"/>
          <w:color w:val="000000" w:themeColor="text1"/>
          <w:sz w:val="24"/>
          <w:szCs w:val="24"/>
          <w:shd w:val="clear" w:color="auto" w:fill="FFFFFF"/>
          <w:lang w:val="en-IN"/>
        </w:rPr>
        <w:t xml:space="preserve">Han W, Zhao R, Liu W, Wang Y, Zhang S, Zhao K and Nie J (2023) Environmental contamination characteristics of heavy metals from abandoned lead–zinc mine tailings in China. Front. Earth Sci. 11:1082714. </w:t>
      </w:r>
      <w:hyperlink r:id="rId42" w:history="1">
        <w:r w:rsidR="0006760B" w:rsidRPr="00DD37AF">
          <w:rPr>
            <w:rStyle w:val="Hyperlink"/>
            <w:rFonts w:ascii="Times New Roman" w:hAnsi="Times New Roman" w:cs="Times New Roman"/>
            <w:sz w:val="24"/>
            <w:szCs w:val="24"/>
            <w:shd w:val="clear" w:color="auto" w:fill="FFFFFF"/>
            <w:lang w:val="en-IN"/>
          </w:rPr>
          <w:t>https://doi.org/10.3389/feart.2023.1082714</w:t>
        </w:r>
      </w:hyperlink>
    </w:p>
    <w:p w14:paraId="664C1307" w14:textId="3BFC394C" w:rsidR="000C4FC1" w:rsidRPr="00DD37AF"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DD37AF">
        <w:rPr>
          <w:rFonts w:ascii="Times New Roman" w:hAnsi="Times New Roman" w:cs="Times New Roman"/>
          <w:color w:val="000000" w:themeColor="text1"/>
          <w:sz w:val="24"/>
          <w:szCs w:val="24"/>
          <w:shd w:val="clear" w:color="auto" w:fill="FFFFFF"/>
        </w:rPr>
        <w:t xml:space="preserve">Hedin, L. O., </w:t>
      </w:r>
      <w:r w:rsidR="00CF03C9" w:rsidRPr="00DD37AF">
        <w:rPr>
          <w:rFonts w:ascii="Times New Roman" w:hAnsi="Times New Roman" w:cs="Times New Roman"/>
          <w:color w:val="000000" w:themeColor="text1"/>
          <w:sz w:val="24"/>
          <w:szCs w:val="24"/>
          <w:shd w:val="clear" w:color="auto" w:fill="FFFFFF"/>
        </w:rPr>
        <w:t>and</w:t>
      </w:r>
      <w:r w:rsidRPr="00DD37AF">
        <w:rPr>
          <w:rFonts w:ascii="Times New Roman" w:hAnsi="Times New Roman" w:cs="Times New Roman"/>
          <w:color w:val="000000" w:themeColor="text1"/>
          <w:sz w:val="24"/>
          <w:szCs w:val="24"/>
          <w:shd w:val="clear" w:color="auto" w:fill="FFFFFF"/>
        </w:rPr>
        <w:t xml:space="preserve"> Likens, G. E. (1996). Atmospheric dust and acid rain. </w:t>
      </w:r>
      <w:r w:rsidRPr="00DD37AF">
        <w:rPr>
          <w:rFonts w:ascii="Times New Roman" w:hAnsi="Times New Roman" w:cs="Times New Roman"/>
          <w:i/>
          <w:iCs/>
          <w:color w:val="000000" w:themeColor="text1"/>
          <w:sz w:val="24"/>
          <w:szCs w:val="24"/>
          <w:shd w:val="clear" w:color="auto" w:fill="FFFFFF"/>
        </w:rPr>
        <w:t>Scientific American</w:t>
      </w:r>
      <w:r w:rsidRPr="00DD37AF">
        <w:rPr>
          <w:rFonts w:ascii="Times New Roman" w:hAnsi="Times New Roman" w:cs="Times New Roman"/>
          <w:color w:val="000000" w:themeColor="text1"/>
          <w:sz w:val="24"/>
          <w:szCs w:val="24"/>
          <w:shd w:val="clear" w:color="auto" w:fill="FFFFFF"/>
        </w:rPr>
        <w:t>, </w:t>
      </w:r>
      <w:r w:rsidRPr="00DD37AF">
        <w:rPr>
          <w:rFonts w:ascii="Times New Roman" w:hAnsi="Times New Roman" w:cs="Times New Roman"/>
          <w:i/>
          <w:iCs/>
          <w:color w:val="000000" w:themeColor="text1"/>
          <w:sz w:val="24"/>
          <w:szCs w:val="24"/>
          <w:shd w:val="clear" w:color="auto" w:fill="FFFFFF"/>
        </w:rPr>
        <w:t>275</w:t>
      </w:r>
      <w:r w:rsidRPr="00DD37AF">
        <w:rPr>
          <w:rFonts w:ascii="Times New Roman" w:hAnsi="Times New Roman" w:cs="Times New Roman"/>
          <w:color w:val="000000" w:themeColor="text1"/>
          <w:sz w:val="24"/>
          <w:szCs w:val="24"/>
          <w:shd w:val="clear" w:color="auto" w:fill="FFFFFF"/>
        </w:rPr>
        <w:t>(6), 88-92.</w:t>
      </w:r>
    </w:p>
    <w:p w14:paraId="0F82DB66" w14:textId="57E1EE78" w:rsidR="000C4FC1" w:rsidRPr="00DD37AF"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DD37AF">
        <w:rPr>
          <w:rFonts w:ascii="Times New Roman" w:hAnsi="Times New Roman" w:cs="Times New Roman"/>
          <w:color w:val="000000" w:themeColor="text1"/>
          <w:sz w:val="24"/>
          <w:szCs w:val="24"/>
          <w:shd w:val="clear" w:color="auto" w:fill="FFFFFF"/>
          <w:lang w:val="en-IN"/>
        </w:rPr>
        <w:t>Hinz, R., Sulser, T. B., Huefner, R., Mason-D’Croz, D., Dunston, S.,</w:t>
      </w:r>
      <w:r w:rsidR="00F76D08" w:rsidRPr="00DD37AF">
        <w:rPr>
          <w:rFonts w:ascii="Times New Roman" w:hAnsi="Times New Roman" w:cs="Times New Roman"/>
          <w:color w:val="000000" w:themeColor="text1"/>
          <w:sz w:val="24"/>
          <w:szCs w:val="24"/>
          <w:shd w:val="clear" w:color="auto" w:fill="FFFFFF"/>
          <w:lang w:val="en-IN"/>
        </w:rPr>
        <w:t xml:space="preserve"> and</w:t>
      </w:r>
      <w:r w:rsidRPr="00DD37AF">
        <w:rPr>
          <w:rFonts w:ascii="Times New Roman" w:hAnsi="Times New Roman" w:cs="Times New Roman"/>
          <w:color w:val="000000" w:themeColor="text1"/>
          <w:sz w:val="24"/>
          <w:szCs w:val="24"/>
          <w:shd w:val="clear" w:color="auto" w:fill="FFFFFF"/>
          <w:lang w:val="en-IN"/>
        </w:rPr>
        <w:t xml:space="preserve"> Nautiyal, S., et al. (2020). Agricultural development and land use change in India: A scenario analysis of trade-offs between United Nations Sustainable Development Goals (SDGs). Earth’s Future, 8, e2019EF001287. </w:t>
      </w:r>
      <w:hyperlink r:id="rId43" w:history="1">
        <w:r w:rsidR="00DD50CF" w:rsidRPr="00DD37AF">
          <w:rPr>
            <w:rStyle w:val="Hyperlink"/>
            <w:rFonts w:ascii="Times New Roman" w:hAnsi="Times New Roman" w:cs="Times New Roman"/>
            <w:sz w:val="24"/>
            <w:szCs w:val="24"/>
            <w:shd w:val="clear" w:color="auto" w:fill="FFFFFF"/>
            <w:lang w:val="en-IN"/>
          </w:rPr>
          <w:t>https://doi.org/10.1029/2019EF001287</w:t>
        </w:r>
      </w:hyperlink>
    </w:p>
    <w:p w14:paraId="2A278217" w14:textId="1AF8AE17" w:rsidR="000C4FC1" w:rsidRPr="00DD37AF"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DD37AF">
        <w:rPr>
          <w:rFonts w:ascii="Times New Roman" w:hAnsi="Times New Roman" w:cs="Times New Roman"/>
          <w:color w:val="000000" w:themeColor="text1"/>
          <w:sz w:val="24"/>
          <w:szCs w:val="24"/>
          <w:shd w:val="clear" w:color="auto" w:fill="FFFFFF"/>
          <w:lang w:val="en-IN"/>
        </w:rPr>
        <w:t xml:space="preserve">Horel, Á. (2024). Soil-plant-water systems and interactions. Plants, 13(3), 358. </w:t>
      </w:r>
      <w:hyperlink r:id="rId44" w:history="1">
        <w:r w:rsidR="00DD50CF" w:rsidRPr="00DD37AF">
          <w:rPr>
            <w:rStyle w:val="Hyperlink"/>
            <w:rFonts w:ascii="Times New Roman" w:hAnsi="Times New Roman" w:cs="Times New Roman"/>
            <w:sz w:val="24"/>
            <w:szCs w:val="24"/>
            <w:shd w:val="clear" w:color="auto" w:fill="FFFFFF"/>
            <w:lang w:val="en-IN"/>
          </w:rPr>
          <w:t>https://doi.org/10.3390/plants13030358</w:t>
        </w:r>
      </w:hyperlink>
    </w:p>
    <w:p w14:paraId="48B6825F" w14:textId="5190B1B7" w:rsidR="000C4FC1" w:rsidRPr="00DD37AF" w:rsidRDefault="000C4FC1" w:rsidP="000A5331">
      <w:pPr>
        <w:spacing w:line="360" w:lineRule="auto"/>
        <w:jc w:val="both"/>
        <w:rPr>
          <w:rFonts w:ascii="Times New Roman" w:hAnsi="Times New Roman" w:cs="Times New Roman"/>
          <w:color w:val="000000" w:themeColor="text1"/>
          <w:sz w:val="24"/>
          <w:szCs w:val="24"/>
          <w:shd w:val="clear" w:color="auto" w:fill="FFFFFF"/>
        </w:rPr>
      </w:pPr>
      <w:r w:rsidRPr="00DD37AF">
        <w:rPr>
          <w:rFonts w:ascii="Times New Roman" w:hAnsi="Times New Roman" w:cs="Times New Roman"/>
          <w:color w:val="000000" w:themeColor="text1"/>
          <w:sz w:val="24"/>
          <w:szCs w:val="24"/>
          <w:shd w:val="clear" w:color="auto" w:fill="FFFFFF"/>
          <w:lang w:val="en-IN"/>
        </w:rPr>
        <w:t xml:space="preserve">Hou, D., O’Connor, D., </w:t>
      </w:r>
      <w:proofErr w:type="spellStart"/>
      <w:r w:rsidRPr="00DD37AF">
        <w:rPr>
          <w:rFonts w:ascii="Times New Roman" w:hAnsi="Times New Roman" w:cs="Times New Roman"/>
          <w:color w:val="000000" w:themeColor="text1"/>
          <w:sz w:val="24"/>
          <w:szCs w:val="24"/>
          <w:shd w:val="clear" w:color="auto" w:fill="FFFFFF"/>
          <w:lang w:val="en-IN"/>
        </w:rPr>
        <w:t>Igalavithana</w:t>
      </w:r>
      <w:proofErr w:type="spellEnd"/>
      <w:r w:rsidRPr="00DD37AF">
        <w:rPr>
          <w:rFonts w:ascii="Times New Roman" w:hAnsi="Times New Roman" w:cs="Times New Roman"/>
          <w:color w:val="000000" w:themeColor="text1"/>
          <w:sz w:val="24"/>
          <w:szCs w:val="24"/>
          <w:shd w:val="clear" w:color="auto" w:fill="FFFFFF"/>
          <w:lang w:val="en-IN"/>
        </w:rPr>
        <w:t xml:space="preserve">, A. D., Alessi, D. S., Luo, J., Tsang, D. C. W., Sparks, D. L., Yamauchi, Y., </w:t>
      </w:r>
      <w:proofErr w:type="spellStart"/>
      <w:r w:rsidRPr="00DD37AF">
        <w:rPr>
          <w:rFonts w:ascii="Times New Roman" w:hAnsi="Times New Roman" w:cs="Times New Roman"/>
          <w:color w:val="000000" w:themeColor="text1"/>
          <w:sz w:val="24"/>
          <w:szCs w:val="24"/>
          <w:shd w:val="clear" w:color="auto" w:fill="FFFFFF"/>
          <w:lang w:val="en-IN"/>
        </w:rPr>
        <w:t>Rinklebe</w:t>
      </w:r>
      <w:proofErr w:type="spellEnd"/>
      <w:r w:rsidRPr="00DD37AF">
        <w:rPr>
          <w:rFonts w:ascii="Times New Roman" w:hAnsi="Times New Roman" w:cs="Times New Roman"/>
          <w:color w:val="000000" w:themeColor="text1"/>
          <w:sz w:val="24"/>
          <w:szCs w:val="24"/>
          <w:shd w:val="clear" w:color="auto" w:fill="FFFFFF"/>
          <w:lang w:val="en-IN"/>
        </w:rPr>
        <w:t xml:space="preserve">, J., </w:t>
      </w:r>
      <w:r w:rsidR="00DD50CF" w:rsidRPr="00DD37AF">
        <w:rPr>
          <w:rFonts w:ascii="Times New Roman" w:hAnsi="Times New Roman" w:cs="Times New Roman"/>
          <w:color w:val="000000" w:themeColor="text1"/>
          <w:sz w:val="24"/>
          <w:szCs w:val="24"/>
          <w:shd w:val="clear" w:color="auto" w:fill="FFFFFF"/>
          <w:lang w:val="en-IN"/>
        </w:rPr>
        <w:t>and</w:t>
      </w:r>
      <w:r w:rsidRPr="00DD37AF">
        <w:rPr>
          <w:rFonts w:ascii="Times New Roman" w:hAnsi="Times New Roman" w:cs="Times New Roman"/>
          <w:color w:val="000000" w:themeColor="text1"/>
          <w:sz w:val="24"/>
          <w:szCs w:val="24"/>
          <w:shd w:val="clear" w:color="auto" w:fill="FFFFFF"/>
          <w:lang w:val="en-IN"/>
        </w:rPr>
        <w:t xml:space="preserve"> Ok, Y. S. (2020). Metal contamination and bioremediation of agricultural soils for food safety and sustainability. Nature Reviews Earth &amp; Environment, 1, 366–381.</w:t>
      </w:r>
      <w:r w:rsidR="00E35BA7" w:rsidRPr="00DD37AF">
        <w:rPr>
          <w:rFonts w:ascii="Segoe UI" w:hAnsi="Segoe UI" w:cs="Segoe UI"/>
          <w:color w:val="222222"/>
          <w:shd w:val="clear" w:color="auto" w:fill="FFFFFF"/>
        </w:rPr>
        <w:t xml:space="preserve"> </w:t>
      </w:r>
      <w:hyperlink r:id="rId45" w:history="1">
        <w:r w:rsidR="00E35BA7" w:rsidRPr="00DD37AF">
          <w:rPr>
            <w:rStyle w:val="Hyperlink"/>
            <w:rFonts w:ascii="Times New Roman" w:hAnsi="Times New Roman" w:cs="Times New Roman"/>
            <w:sz w:val="24"/>
            <w:szCs w:val="24"/>
            <w:shd w:val="clear" w:color="auto" w:fill="FFFFFF"/>
          </w:rPr>
          <w:t>https://doi.org/10.1038/s43017-020-0061-y</w:t>
        </w:r>
      </w:hyperlink>
    </w:p>
    <w:p w14:paraId="1A977287" w14:textId="77777777" w:rsidR="00E35BA7" w:rsidRPr="00DD37AF" w:rsidRDefault="00E35BA7" w:rsidP="000A5331">
      <w:pPr>
        <w:spacing w:line="360" w:lineRule="auto"/>
        <w:jc w:val="both"/>
        <w:rPr>
          <w:rFonts w:ascii="Times New Roman" w:hAnsi="Times New Roman" w:cs="Times New Roman"/>
          <w:color w:val="000000" w:themeColor="text1"/>
          <w:sz w:val="24"/>
          <w:szCs w:val="24"/>
          <w:shd w:val="clear" w:color="auto" w:fill="FFFFFF"/>
          <w:lang w:val="en-IN"/>
        </w:rPr>
      </w:pPr>
    </w:p>
    <w:p w14:paraId="1CB4646F" w14:textId="63E6265F" w:rsidR="000C4FC1" w:rsidRPr="00DD37AF"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DD37AF">
        <w:rPr>
          <w:rFonts w:ascii="Times New Roman" w:hAnsi="Times New Roman" w:cs="Times New Roman"/>
          <w:color w:val="000000" w:themeColor="text1"/>
          <w:sz w:val="24"/>
          <w:szCs w:val="24"/>
          <w:shd w:val="clear" w:color="auto" w:fill="FFFFFF"/>
          <w:lang w:val="en-IN"/>
        </w:rPr>
        <w:lastRenderedPageBreak/>
        <w:t xml:space="preserve">Houck, M. M., Crispino, F., </w:t>
      </w:r>
      <w:r w:rsidR="00DD50CF" w:rsidRPr="00DD37AF">
        <w:rPr>
          <w:rFonts w:ascii="Times New Roman" w:hAnsi="Times New Roman" w:cs="Times New Roman"/>
          <w:color w:val="000000" w:themeColor="text1"/>
          <w:sz w:val="24"/>
          <w:szCs w:val="24"/>
          <w:shd w:val="clear" w:color="auto" w:fill="FFFFFF"/>
          <w:lang w:val="en-IN"/>
        </w:rPr>
        <w:t>and</w:t>
      </w:r>
      <w:r w:rsidRPr="00DD37AF">
        <w:rPr>
          <w:rFonts w:ascii="Times New Roman" w:hAnsi="Times New Roman" w:cs="Times New Roman"/>
          <w:color w:val="000000" w:themeColor="text1"/>
          <w:sz w:val="24"/>
          <w:szCs w:val="24"/>
          <w:shd w:val="clear" w:color="auto" w:fill="FFFFFF"/>
          <w:lang w:val="en-IN"/>
        </w:rPr>
        <w:t xml:space="preserve"> McAdam, T. (2012). Preserving. In M. M. Houck, F. Crispino, &amp; T. McAdam (Eds.), The science of crime scenes (pp. 177–185). Academic Press. </w:t>
      </w:r>
      <w:hyperlink r:id="rId46" w:history="1">
        <w:r w:rsidR="00DD50CF" w:rsidRPr="00DD37AF">
          <w:rPr>
            <w:rStyle w:val="Hyperlink"/>
            <w:rFonts w:ascii="Times New Roman" w:hAnsi="Times New Roman" w:cs="Times New Roman"/>
            <w:sz w:val="24"/>
            <w:szCs w:val="24"/>
            <w:shd w:val="clear" w:color="auto" w:fill="FFFFFF"/>
            <w:lang w:val="en-IN"/>
          </w:rPr>
          <w:t>https://doi.org/10.1016/B978-0-12-386464-2.00017-3</w:t>
        </w:r>
      </w:hyperlink>
    </w:p>
    <w:p w14:paraId="2A8B13B3" w14:textId="1DDE4790" w:rsidR="000C4FC1" w:rsidRPr="00DD37AF" w:rsidRDefault="000C4FC1" w:rsidP="000A5331">
      <w:pPr>
        <w:spacing w:line="360" w:lineRule="auto"/>
        <w:jc w:val="both"/>
        <w:rPr>
          <w:rFonts w:ascii="Times New Roman" w:hAnsi="Times New Roman" w:cs="Times New Roman"/>
          <w:color w:val="000000" w:themeColor="text1"/>
          <w:sz w:val="24"/>
          <w:szCs w:val="24"/>
        </w:rPr>
      </w:pPr>
      <w:r w:rsidRPr="00DD37AF">
        <w:rPr>
          <w:rFonts w:ascii="Times New Roman" w:hAnsi="Times New Roman" w:cs="Times New Roman"/>
          <w:color w:val="000000" w:themeColor="text1"/>
          <w:sz w:val="24"/>
          <w:szCs w:val="24"/>
        </w:rPr>
        <w:t>Jackson,</w:t>
      </w:r>
      <w:r w:rsidR="00A856F0" w:rsidRPr="00DD37AF">
        <w:rPr>
          <w:rFonts w:ascii="Times New Roman" w:hAnsi="Times New Roman" w:cs="Times New Roman"/>
          <w:color w:val="000000" w:themeColor="text1"/>
          <w:sz w:val="24"/>
          <w:szCs w:val="24"/>
        </w:rPr>
        <w:t xml:space="preserve"> </w:t>
      </w:r>
      <w:r w:rsidRPr="00DD37AF">
        <w:rPr>
          <w:rFonts w:ascii="Times New Roman" w:hAnsi="Times New Roman" w:cs="Times New Roman"/>
          <w:color w:val="000000" w:themeColor="text1"/>
          <w:sz w:val="24"/>
          <w:szCs w:val="24"/>
        </w:rPr>
        <w:t>M.L. (1973</w:t>
      </w:r>
      <w:r w:rsidR="00BE5944" w:rsidRPr="00DD37AF">
        <w:rPr>
          <w:rFonts w:ascii="Times New Roman" w:hAnsi="Times New Roman" w:cs="Times New Roman"/>
          <w:color w:val="000000" w:themeColor="text1"/>
          <w:sz w:val="24"/>
          <w:szCs w:val="24"/>
        </w:rPr>
        <w:t>): Soil</w:t>
      </w:r>
      <w:r w:rsidRPr="00DD37AF">
        <w:rPr>
          <w:rFonts w:ascii="Times New Roman" w:hAnsi="Times New Roman" w:cs="Times New Roman"/>
          <w:color w:val="000000" w:themeColor="text1"/>
          <w:sz w:val="24"/>
          <w:szCs w:val="24"/>
        </w:rPr>
        <w:t xml:space="preserve"> Chemical </w:t>
      </w:r>
      <w:r w:rsidR="00BE5944" w:rsidRPr="00DD37AF">
        <w:rPr>
          <w:rFonts w:ascii="Times New Roman" w:hAnsi="Times New Roman" w:cs="Times New Roman"/>
          <w:color w:val="000000" w:themeColor="text1"/>
          <w:sz w:val="24"/>
          <w:szCs w:val="24"/>
        </w:rPr>
        <w:t>Analysis.</w:t>
      </w:r>
      <w:r w:rsidRPr="00DD37AF">
        <w:rPr>
          <w:rFonts w:ascii="Times New Roman" w:hAnsi="Times New Roman" w:cs="Times New Roman"/>
          <w:color w:val="000000" w:themeColor="text1"/>
          <w:sz w:val="24"/>
          <w:szCs w:val="24"/>
        </w:rPr>
        <w:t xml:space="preserve"> Prentice Hall of India </w:t>
      </w:r>
      <w:proofErr w:type="spellStart"/>
      <w:r w:rsidRPr="00DD37AF">
        <w:rPr>
          <w:rFonts w:ascii="Times New Roman" w:hAnsi="Times New Roman" w:cs="Times New Roman"/>
          <w:color w:val="000000" w:themeColor="text1"/>
          <w:sz w:val="24"/>
          <w:szCs w:val="24"/>
        </w:rPr>
        <w:t>Pvt.Ltd</w:t>
      </w:r>
      <w:proofErr w:type="spellEnd"/>
      <w:r w:rsidRPr="00DD37AF">
        <w:rPr>
          <w:rFonts w:ascii="Times New Roman" w:hAnsi="Times New Roman" w:cs="Times New Roman"/>
          <w:color w:val="000000" w:themeColor="text1"/>
          <w:sz w:val="24"/>
          <w:szCs w:val="24"/>
        </w:rPr>
        <w:t>.,</w:t>
      </w:r>
      <w:r w:rsidR="00616EC6" w:rsidRPr="00DD37AF">
        <w:rPr>
          <w:rFonts w:ascii="Times New Roman" w:hAnsi="Times New Roman" w:cs="Times New Roman"/>
          <w:color w:val="000000" w:themeColor="text1"/>
          <w:sz w:val="24"/>
          <w:szCs w:val="24"/>
        </w:rPr>
        <w:t xml:space="preserve"> </w:t>
      </w:r>
      <w:r w:rsidRPr="00DD37AF">
        <w:rPr>
          <w:rFonts w:ascii="Times New Roman" w:hAnsi="Times New Roman" w:cs="Times New Roman"/>
          <w:color w:val="000000" w:themeColor="text1"/>
          <w:sz w:val="24"/>
          <w:szCs w:val="24"/>
        </w:rPr>
        <w:t>New Delhi,498.</w:t>
      </w:r>
    </w:p>
    <w:p w14:paraId="347F9511" w14:textId="51898049" w:rsidR="000C4FC1" w:rsidRPr="00DD37AF"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DD37AF">
        <w:rPr>
          <w:rFonts w:ascii="Times New Roman" w:hAnsi="Times New Roman" w:cs="Times New Roman"/>
          <w:color w:val="000000" w:themeColor="text1"/>
          <w:sz w:val="24"/>
          <w:szCs w:val="24"/>
          <w:shd w:val="clear" w:color="auto" w:fill="FFFFFF"/>
          <w:lang w:val="en-IN"/>
        </w:rPr>
        <w:t xml:space="preserve">Johnson, S. F. (2019). Methemoglobinemia: Infants at risk. Current Problems in </w:t>
      </w:r>
      <w:proofErr w:type="spellStart"/>
      <w:r w:rsidRPr="00DD37AF">
        <w:rPr>
          <w:rFonts w:ascii="Times New Roman" w:hAnsi="Times New Roman" w:cs="Times New Roman"/>
          <w:color w:val="000000" w:themeColor="text1"/>
          <w:sz w:val="24"/>
          <w:szCs w:val="24"/>
          <w:shd w:val="clear" w:color="auto" w:fill="FFFFFF"/>
          <w:lang w:val="en-IN"/>
        </w:rPr>
        <w:t>Pediatric</w:t>
      </w:r>
      <w:proofErr w:type="spellEnd"/>
      <w:r w:rsidRPr="00DD37AF">
        <w:rPr>
          <w:rFonts w:ascii="Times New Roman" w:hAnsi="Times New Roman" w:cs="Times New Roman"/>
          <w:color w:val="000000" w:themeColor="text1"/>
          <w:sz w:val="24"/>
          <w:szCs w:val="24"/>
          <w:shd w:val="clear" w:color="auto" w:fill="FFFFFF"/>
          <w:lang w:val="en-IN"/>
        </w:rPr>
        <w:t xml:space="preserve"> and Adolescent Health Care, 49(3), 57–67. </w:t>
      </w:r>
      <w:hyperlink r:id="rId47" w:history="1">
        <w:r w:rsidR="00DD50CF" w:rsidRPr="00DD37AF">
          <w:rPr>
            <w:rStyle w:val="Hyperlink"/>
            <w:rFonts w:ascii="Times New Roman" w:hAnsi="Times New Roman" w:cs="Times New Roman"/>
            <w:sz w:val="24"/>
            <w:szCs w:val="24"/>
            <w:shd w:val="clear" w:color="auto" w:fill="FFFFFF"/>
            <w:lang w:val="en-IN"/>
          </w:rPr>
          <w:t>https://doi.org/10.1016/j.cppeds.2019.03.002</w:t>
        </w:r>
      </w:hyperlink>
    </w:p>
    <w:p w14:paraId="4F421BD5" w14:textId="285E9064" w:rsidR="006E1AD7" w:rsidRPr="00DD37AF" w:rsidRDefault="00DD50CF" w:rsidP="00DD50CF">
      <w:pPr>
        <w:spacing w:line="360" w:lineRule="auto"/>
        <w:jc w:val="both"/>
        <w:rPr>
          <w:rFonts w:ascii="Times New Roman" w:hAnsi="Times New Roman" w:cs="Times New Roman"/>
          <w:sz w:val="24"/>
          <w:szCs w:val="24"/>
        </w:rPr>
      </w:pPr>
      <w:r w:rsidRPr="00DD37AF">
        <w:rPr>
          <w:rFonts w:ascii="Times New Roman" w:hAnsi="Times New Roman" w:cs="Times New Roman"/>
          <w:color w:val="000000" w:themeColor="text1"/>
          <w:sz w:val="24"/>
          <w:szCs w:val="24"/>
          <w:shd w:val="clear" w:color="auto" w:fill="FFFFFF"/>
        </w:rPr>
        <w:t xml:space="preserve">Jomova, K., Alomar, S. Y., </w:t>
      </w:r>
      <w:proofErr w:type="spellStart"/>
      <w:r w:rsidRPr="00DD37AF">
        <w:rPr>
          <w:rFonts w:ascii="Times New Roman" w:hAnsi="Times New Roman" w:cs="Times New Roman"/>
          <w:color w:val="000000" w:themeColor="text1"/>
          <w:sz w:val="24"/>
          <w:szCs w:val="24"/>
          <w:shd w:val="clear" w:color="auto" w:fill="FFFFFF"/>
        </w:rPr>
        <w:t>Nepovimova</w:t>
      </w:r>
      <w:proofErr w:type="spellEnd"/>
      <w:r w:rsidRPr="00DD37AF">
        <w:rPr>
          <w:rFonts w:ascii="Times New Roman" w:hAnsi="Times New Roman" w:cs="Times New Roman"/>
          <w:color w:val="000000" w:themeColor="text1"/>
          <w:sz w:val="24"/>
          <w:szCs w:val="24"/>
          <w:shd w:val="clear" w:color="auto" w:fill="FFFFFF"/>
        </w:rPr>
        <w:t xml:space="preserve">, E., Kuca, K., </w:t>
      </w:r>
      <w:r w:rsidR="006E1AD7" w:rsidRPr="00DD37AF">
        <w:rPr>
          <w:rFonts w:ascii="Times New Roman" w:hAnsi="Times New Roman" w:cs="Times New Roman"/>
          <w:color w:val="000000" w:themeColor="text1"/>
          <w:sz w:val="24"/>
          <w:szCs w:val="24"/>
          <w:shd w:val="clear" w:color="auto" w:fill="FFFFFF"/>
        </w:rPr>
        <w:t>and</w:t>
      </w:r>
      <w:r w:rsidRPr="00DD37AF">
        <w:rPr>
          <w:rFonts w:ascii="Times New Roman" w:hAnsi="Times New Roman" w:cs="Times New Roman"/>
          <w:color w:val="000000" w:themeColor="text1"/>
          <w:sz w:val="24"/>
          <w:szCs w:val="24"/>
          <w:shd w:val="clear" w:color="auto" w:fill="FFFFFF"/>
        </w:rPr>
        <w:t xml:space="preserve"> Valko, M. (2025). Heavy metals: toxicity and human health effects. </w:t>
      </w:r>
      <w:r w:rsidRPr="00DD37AF">
        <w:rPr>
          <w:rFonts w:ascii="Times New Roman" w:hAnsi="Times New Roman" w:cs="Times New Roman"/>
          <w:i/>
          <w:iCs/>
          <w:color w:val="000000" w:themeColor="text1"/>
          <w:sz w:val="24"/>
          <w:szCs w:val="24"/>
          <w:shd w:val="clear" w:color="auto" w:fill="FFFFFF"/>
        </w:rPr>
        <w:t>Archives of toxicology</w:t>
      </w:r>
      <w:r w:rsidRPr="00DD37AF">
        <w:rPr>
          <w:rFonts w:ascii="Times New Roman" w:hAnsi="Times New Roman" w:cs="Times New Roman"/>
          <w:color w:val="000000" w:themeColor="text1"/>
          <w:sz w:val="24"/>
          <w:szCs w:val="24"/>
          <w:shd w:val="clear" w:color="auto" w:fill="FFFFFF"/>
        </w:rPr>
        <w:t>, </w:t>
      </w:r>
      <w:r w:rsidRPr="00DD37AF">
        <w:rPr>
          <w:rFonts w:ascii="Times New Roman" w:hAnsi="Times New Roman" w:cs="Times New Roman"/>
          <w:i/>
          <w:iCs/>
          <w:color w:val="000000" w:themeColor="text1"/>
          <w:sz w:val="24"/>
          <w:szCs w:val="24"/>
          <w:shd w:val="clear" w:color="auto" w:fill="FFFFFF"/>
        </w:rPr>
        <w:t>99</w:t>
      </w:r>
      <w:r w:rsidRPr="00DD37AF">
        <w:rPr>
          <w:rFonts w:ascii="Times New Roman" w:hAnsi="Times New Roman" w:cs="Times New Roman"/>
          <w:color w:val="000000" w:themeColor="text1"/>
          <w:sz w:val="24"/>
          <w:szCs w:val="24"/>
          <w:shd w:val="clear" w:color="auto" w:fill="FFFFFF"/>
        </w:rPr>
        <w:t>(1), 153-209.</w:t>
      </w:r>
      <w:r w:rsidRPr="00DD37AF">
        <w:t xml:space="preserve"> </w:t>
      </w:r>
      <w:hyperlink r:id="rId48" w:history="1">
        <w:r w:rsidR="006E1AD7" w:rsidRPr="00DD37AF">
          <w:rPr>
            <w:rStyle w:val="Hyperlink"/>
            <w:rFonts w:ascii="Times New Roman" w:hAnsi="Times New Roman" w:cs="Times New Roman"/>
            <w:sz w:val="24"/>
            <w:szCs w:val="24"/>
          </w:rPr>
          <w:t>https://doi.org/10.1007/s00204-024-03903-2</w:t>
        </w:r>
      </w:hyperlink>
    </w:p>
    <w:p w14:paraId="4B332A6E" w14:textId="2541AFC7" w:rsidR="000C4FC1" w:rsidRPr="00DD37AF"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DD37AF">
        <w:rPr>
          <w:rFonts w:ascii="Times New Roman" w:hAnsi="Times New Roman" w:cs="Times New Roman"/>
          <w:color w:val="000000" w:themeColor="text1"/>
          <w:sz w:val="24"/>
          <w:szCs w:val="24"/>
          <w:shd w:val="clear" w:color="auto" w:fill="FFFFFF"/>
          <w:lang w:val="en-IN"/>
        </w:rPr>
        <w:t xml:space="preserve">Kabato, W., </w:t>
      </w:r>
      <w:proofErr w:type="spellStart"/>
      <w:r w:rsidRPr="00DD37AF">
        <w:rPr>
          <w:rFonts w:ascii="Times New Roman" w:hAnsi="Times New Roman" w:cs="Times New Roman"/>
          <w:color w:val="000000" w:themeColor="text1"/>
          <w:sz w:val="24"/>
          <w:szCs w:val="24"/>
          <w:shd w:val="clear" w:color="auto" w:fill="FFFFFF"/>
          <w:lang w:val="en-IN"/>
        </w:rPr>
        <w:t>Hailegnaw</w:t>
      </w:r>
      <w:proofErr w:type="spellEnd"/>
      <w:r w:rsidRPr="00DD37AF">
        <w:rPr>
          <w:rFonts w:ascii="Times New Roman" w:hAnsi="Times New Roman" w:cs="Times New Roman"/>
          <w:color w:val="000000" w:themeColor="text1"/>
          <w:sz w:val="24"/>
          <w:szCs w:val="24"/>
          <w:shd w:val="clear" w:color="auto" w:fill="FFFFFF"/>
          <w:lang w:val="en-IN"/>
        </w:rPr>
        <w:t xml:space="preserve">, N., </w:t>
      </w:r>
      <w:proofErr w:type="spellStart"/>
      <w:r w:rsidRPr="00DD37AF">
        <w:rPr>
          <w:rFonts w:ascii="Times New Roman" w:hAnsi="Times New Roman" w:cs="Times New Roman"/>
          <w:color w:val="000000" w:themeColor="text1"/>
          <w:sz w:val="24"/>
          <w:szCs w:val="24"/>
          <w:shd w:val="clear" w:color="auto" w:fill="FFFFFF"/>
          <w:lang w:val="en-IN"/>
        </w:rPr>
        <w:t>Mutum</w:t>
      </w:r>
      <w:proofErr w:type="spellEnd"/>
      <w:r w:rsidRPr="00DD37AF">
        <w:rPr>
          <w:rFonts w:ascii="Times New Roman" w:hAnsi="Times New Roman" w:cs="Times New Roman"/>
          <w:color w:val="000000" w:themeColor="text1"/>
          <w:sz w:val="24"/>
          <w:szCs w:val="24"/>
          <w:shd w:val="clear" w:color="auto" w:fill="FFFFFF"/>
          <w:lang w:val="en-IN"/>
        </w:rPr>
        <w:t xml:space="preserve">, L., </w:t>
      </w:r>
      <w:r w:rsidR="00DD50CF" w:rsidRPr="00DD37AF">
        <w:rPr>
          <w:rFonts w:ascii="Times New Roman" w:hAnsi="Times New Roman" w:cs="Times New Roman"/>
          <w:color w:val="000000" w:themeColor="text1"/>
          <w:sz w:val="24"/>
          <w:szCs w:val="24"/>
          <w:shd w:val="clear" w:color="auto" w:fill="FFFFFF"/>
          <w:lang w:val="en-IN"/>
        </w:rPr>
        <w:t>and</w:t>
      </w:r>
      <w:r w:rsidRPr="00DD37AF">
        <w:rPr>
          <w:rFonts w:ascii="Times New Roman" w:hAnsi="Times New Roman" w:cs="Times New Roman"/>
          <w:color w:val="000000" w:themeColor="text1"/>
          <w:sz w:val="24"/>
          <w:szCs w:val="24"/>
          <w:shd w:val="clear" w:color="auto" w:fill="FFFFFF"/>
          <w:lang w:val="en-IN"/>
        </w:rPr>
        <w:t xml:space="preserve"> Molnar, Z. (2025). Managing soil health for climate resilience and crop productivity in a changing environment. Science of the Total Environment, 1000, 180460. </w:t>
      </w:r>
      <w:hyperlink r:id="rId49" w:history="1">
        <w:r w:rsidR="00DD50CF" w:rsidRPr="00DD37AF">
          <w:rPr>
            <w:rStyle w:val="Hyperlink"/>
            <w:rFonts w:ascii="Times New Roman" w:hAnsi="Times New Roman" w:cs="Times New Roman"/>
            <w:sz w:val="24"/>
            <w:szCs w:val="24"/>
            <w:shd w:val="clear" w:color="auto" w:fill="FFFFFF"/>
            <w:lang w:val="en-IN"/>
          </w:rPr>
          <w:t>https://doi.org/10.1016/j.scitotenv.2025.180460</w:t>
        </w:r>
      </w:hyperlink>
    </w:p>
    <w:p w14:paraId="04EF922F" w14:textId="7F98DB60" w:rsidR="000C4FC1" w:rsidRPr="00DD37AF"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DD37AF">
        <w:rPr>
          <w:rFonts w:ascii="Times New Roman" w:hAnsi="Times New Roman" w:cs="Times New Roman"/>
          <w:color w:val="000000" w:themeColor="text1"/>
          <w:sz w:val="24"/>
          <w:szCs w:val="24"/>
          <w:shd w:val="clear" w:color="auto" w:fill="FFFFFF"/>
          <w:lang w:val="pl-PL"/>
        </w:rPr>
        <w:t xml:space="preserve">Kasiński, S., Kowal, P., </w:t>
      </w:r>
      <w:r w:rsidR="00DD50CF" w:rsidRPr="00DD37AF">
        <w:rPr>
          <w:rFonts w:ascii="Times New Roman" w:hAnsi="Times New Roman" w:cs="Times New Roman"/>
          <w:color w:val="000000" w:themeColor="text1"/>
          <w:sz w:val="24"/>
          <w:szCs w:val="24"/>
          <w:shd w:val="clear" w:color="auto" w:fill="FFFFFF"/>
          <w:lang w:val="pl-PL"/>
        </w:rPr>
        <w:t>and</w:t>
      </w:r>
      <w:r w:rsidRPr="00DD37AF">
        <w:rPr>
          <w:rFonts w:ascii="Times New Roman" w:hAnsi="Times New Roman" w:cs="Times New Roman"/>
          <w:color w:val="000000" w:themeColor="text1"/>
          <w:sz w:val="24"/>
          <w:szCs w:val="24"/>
          <w:shd w:val="clear" w:color="auto" w:fill="FFFFFF"/>
          <w:lang w:val="pl-PL"/>
        </w:rPr>
        <w:t xml:space="preserve"> Czerwionka, K. (2025). </w:t>
      </w:r>
      <w:r w:rsidRPr="00DD37AF">
        <w:rPr>
          <w:rFonts w:ascii="Times New Roman" w:hAnsi="Times New Roman" w:cs="Times New Roman"/>
          <w:color w:val="000000" w:themeColor="text1"/>
          <w:sz w:val="24"/>
          <w:szCs w:val="24"/>
          <w:shd w:val="clear" w:color="auto" w:fill="FFFFFF"/>
          <w:lang w:val="en-IN"/>
        </w:rPr>
        <w:t xml:space="preserve">Advanced technologies for nitrogen removal and recovery from municipal and industrial wastewater. Materials, 18(7), 1422. </w:t>
      </w:r>
      <w:hyperlink r:id="rId50" w:history="1">
        <w:r w:rsidR="00DD50CF" w:rsidRPr="00DD37AF">
          <w:rPr>
            <w:rStyle w:val="Hyperlink"/>
            <w:rFonts w:ascii="Times New Roman" w:hAnsi="Times New Roman" w:cs="Times New Roman"/>
            <w:sz w:val="24"/>
            <w:szCs w:val="24"/>
            <w:shd w:val="clear" w:color="auto" w:fill="FFFFFF"/>
            <w:lang w:val="en-IN"/>
          </w:rPr>
          <w:t>https://doi.org/10.3390/ma18071422</w:t>
        </w:r>
      </w:hyperlink>
    </w:p>
    <w:p w14:paraId="75C7CED7" w14:textId="4B6C33E0" w:rsidR="000C4FC1" w:rsidRPr="00DD37AF"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DD37AF">
        <w:rPr>
          <w:rFonts w:ascii="Times New Roman" w:hAnsi="Times New Roman" w:cs="Times New Roman"/>
          <w:color w:val="000000" w:themeColor="text1"/>
          <w:sz w:val="24"/>
          <w:szCs w:val="24"/>
          <w:shd w:val="clear" w:color="auto" w:fill="FFFFFF"/>
          <w:lang w:val="en-IN"/>
        </w:rPr>
        <w:t xml:space="preserve">Kaushal, N. (2022). The role of Indian culture in enlightening the notions of environmental stewardship and sustainable living mechanism. In J. Marques (Ed.), Handbook of engaged sustainability. Springer. </w:t>
      </w:r>
      <w:hyperlink r:id="rId51" w:history="1">
        <w:r w:rsidR="00DD50CF" w:rsidRPr="00DD37AF">
          <w:rPr>
            <w:rStyle w:val="Hyperlink"/>
            <w:rFonts w:ascii="Times New Roman" w:hAnsi="Times New Roman" w:cs="Times New Roman"/>
            <w:sz w:val="24"/>
            <w:szCs w:val="24"/>
            <w:shd w:val="clear" w:color="auto" w:fill="FFFFFF"/>
            <w:lang w:val="en-IN"/>
          </w:rPr>
          <w:t>https://doi.org/10.1007/978-3-319-53121-2_61-1</w:t>
        </w:r>
      </w:hyperlink>
    </w:p>
    <w:p w14:paraId="0D571009" w14:textId="7C668E0B" w:rsidR="000C4FC1" w:rsidRPr="00DD37AF"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bookmarkStart w:id="2" w:name="_Hlk226237708"/>
      <w:r w:rsidRPr="00DD37AF">
        <w:rPr>
          <w:rFonts w:ascii="Times New Roman" w:hAnsi="Times New Roman" w:cs="Times New Roman"/>
          <w:color w:val="000000" w:themeColor="text1"/>
          <w:sz w:val="24"/>
          <w:szCs w:val="24"/>
          <w:shd w:val="clear" w:color="auto" w:fill="FFFFFF"/>
          <w:lang w:val="en-IN"/>
        </w:rPr>
        <w:t>Kaushik</w:t>
      </w:r>
      <w:bookmarkEnd w:id="2"/>
      <w:r w:rsidRPr="00DD37AF">
        <w:rPr>
          <w:rFonts w:ascii="Times New Roman" w:hAnsi="Times New Roman" w:cs="Times New Roman"/>
          <w:color w:val="000000" w:themeColor="text1"/>
          <w:sz w:val="24"/>
          <w:szCs w:val="24"/>
          <w:shd w:val="clear" w:color="auto" w:fill="FFFFFF"/>
          <w:lang w:val="en-IN"/>
        </w:rPr>
        <w:t xml:space="preserve">, J., Jaiswal, P., Dubey, A., </w:t>
      </w:r>
      <w:r w:rsidR="00DD50CF" w:rsidRPr="00DD37AF">
        <w:rPr>
          <w:rFonts w:ascii="Times New Roman" w:hAnsi="Times New Roman" w:cs="Times New Roman"/>
          <w:color w:val="000000" w:themeColor="text1"/>
          <w:sz w:val="24"/>
          <w:szCs w:val="24"/>
          <w:shd w:val="clear" w:color="auto" w:fill="FFFFFF"/>
          <w:lang w:val="en-IN"/>
        </w:rPr>
        <w:t xml:space="preserve">and </w:t>
      </w:r>
      <w:r w:rsidRPr="00DD37AF">
        <w:rPr>
          <w:rFonts w:ascii="Times New Roman" w:hAnsi="Times New Roman" w:cs="Times New Roman"/>
          <w:color w:val="000000" w:themeColor="text1"/>
          <w:sz w:val="24"/>
          <w:szCs w:val="24"/>
          <w:shd w:val="clear" w:color="auto" w:fill="FFFFFF"/>
          <w:lang w:val="en-IN"/>
        </w:rPr>
        <w:t>Sharma, K. (2020). An analytical assessment of macro and micro nutrient of soil of industrial region of Bilha, Bilaspur district (C.G.), India. International Journal of Bio-Pharmaceutical and Allied Sciences (IJB PAS), 9(11), 2965–2972.</w:t>
      </w:r>
    </w:p>
    <w:p w14:paraId="600EDB8B" w14:textId="027DB9B0" w:rsidR="000C4FC1" w:rsidRPr="00DD37AF"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DD37AF">
        <w:rPr>
          <w:rFonts w:ascii="Times New Roman" w:hAnsi="Times New Roman" w:cs="Times New Roman"/>
          <w:color w:val="000000" w:themeColor="text1"/>
          <w:sz w:val="24"/>
          <w:szCs w:val="24"/>
          <w:shd w:val="clear" w:color="auto" w:fill="FFFFFF"/>
          <w:lang w:val="en-IN"/>
        </w:rPr>
        <w:t xml:space="preserve">Keesstra, S. D., </w:t>
      </w:r>
      <w:proofErr w:type="spellStart"/>
      <w:r w:rsidRPr="00DD37AF">
        <w:rPr>
          <w:rFonts w:ascii="Times New Roman" w:hAnsi="Times New Roman" w:cs="Times New Roman"/>
          <w:color w:val="000000" w:themeColor="text1"/>
          <w:sz w:val="24"/>
          <w:szCs w:val="24"/>
          <w:shd w:val="clear" w:color="auto" w:fill="FFFFFF"/>
          <w:lang w:val="en-IN"/>
        </w:rPr>
        <w:t>Geissen</w:t>
      </w:r>
      <w:proofErr w:type="spellEnd"/>
      <w:r w:rsidRPr="00DD37AF">
        <w:rPr>
          <w:rFonts w:ascii="Times New Roman" w:hAnsi="Times New Roman" w:cs="Times New Roman"/>
          <w:color w:val="000000" w:themeColor="text1"/>
          <w:sz w:val="24"/>
          <w:szCs w:val="24"/>
          <w:shd w:val="clear" w:color="auto" w:fill="FFFFFF"/>
          <w:lang w:val="en-IN"/>
        </w:rPr>
        <w:t xml:space="preserve">, V., Mosse, K., </w:t>
      </w:r>
      <w:proofErr w:type="spellStart"/>
      <w:r w:rsidRPr="00DD37AF">
        <w:rPr>
          <w:rFonts w:ascii="Times New Roman" w:hAnsi="Times New Roman" w:cs="Times New Roman"/>
          <w:color w:val="000000" w:themeColor="text1"/>
          <w:sz w:val="24"/>
          <w:szCs w:val="24"/>
          <w:shd w:val="clear" w:color="auto" w:fill="FFFFFF"/>
          <w:lang w:val="en-IN"/>
        </w:rPr>
        <w:t>Piiranen</w:t>
      </w:r>
      <w:proofErr w:type="spellEnd"/>
      <w:r w:rsidRPr="00DD37AF">
        <w:rPr>
          <w:rFonts w:ascii="Times New Roman" w:hAnsi="Times New Roman" w:cs="Times New Roman"/>
          <w:color w:val="000000" w:themeColor="text1"/>
          <w:sz w:val="24"/>
          <w:szCs w:val="24"/>
          <w:shd w:val="clear" w:color="auto" w:fill="FFFFFF"/>
          <w:lang w:val="en-IN"/>
        </w:rPr>
        <w:t xml:space="preserve">, S., Scudiero, E., Leistra, M., </w:t>
      </w:r>
      <w:r w:rsidR="00DD50CF" w:rsidRPr="00DD37AF">
        <w:rPr>
          <w:rFonts w:ascii="Times New Roman" w:hAnsi="Times New Roman" w:cs="Times New Roman"/>
          <w:color w:val="000000" w:themeColor="text1"/>
          <w:sz w:val="24"/>
          <w:szCs w:val="24"/>
          <w:shd w:val="clear" w:color="auto" w:fill="FFFFFF"/>
          <w:lang w:val="en-IN"/>
        </w:rPr>
        <w:t>and</w:t>
      </w:r>
      <w:r w:rsidRPr="00DD37AF">
        <w:rPr>
          <w:rFonts w:ascii="Times New Roman" w:hAnsi="Times New Roman" w:cs="Times New Roman"/>
          <w:color w:val="000000" w:themeColor="text1"/>
          <w:sz w:val="24"/>
          <w:szCs w:val="24"/>
          <w:shd w:val="clear" w:color="auto" w:fill="FFFFFF"/>
          <w:lang w:val="en-IN"/>
        </w:rPr>
        <w:t xml:space="preserve"> van Schaik, L. (2012). Soil as a filter for groundwater quality. Current Opinion in Environmental Sustainability, 4(5), 507–516. </w:t>
      </w:r>
      <w:hyperlink r:id="rId52" w:history="1">
        <w:r w:rsidR="00DD50CF" w:rsidRPr="00DD37AF">
          <w:rPr>
            <w:rStyle w:val="Hyperlink"/>
            <w:rFonts w:ascii="Times New Roman" w:hAnsi="Times New Roman" w:cs="Times New Roman"/>
            <w:sz w:val="24"/>
            <w:szCs w:val="24"/>
            <w:shd w:val="clear" w:color="auto" w:fill="FFFFFF"/>
            <w:lang w:val="en-IN"/>
          </w:rPr>
          <w:t>https://doi.org/10.1016/j.cosust.2012.10.007</w:t>
        </w:r>
      </w:hyperlink>
    </w:p>
    <w:p w14:paraId="35095F21" w14:textId="1EFC079F" w:rsidR="000C4FC1" w:rsidRPr="00DD37AF"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DD37AF">
        <w:rPr>
          <w:rFonts w:ascii="Times New Roman" w:hAnsi="Times New Roman" w:cs="Times New Roman"/>
          <w:color w:val="000000" w:themeColor="text1"/>
          <w:sz w:val="24"/>
          <w:szCs w:val="24"/>
          <w:shd w:val="clear" w:color="auto" w:fill="FFFFFF"/>
          <w:lang w:val="en-IN"/>
        </w:rPr>
        <w:t xml:space="preserve">Khan, B., </w:t>
      </w:r>
      <w:r w:rsidR="00DD50CF" w:rsidRPr="00DD37AF">
        <w:rPr>
          <w:rFonts w:ascii="Times New Roman" w:hAnsi="Times New Roman" w:cs="Times New Roman"/>
          <w:color w:val="000000" w:themeColor="text1"/>
          <w:sz w:val="24"/>
          <w:szCs w:val="24"/>
          <w:shd w:val="clear" w:color="auto" w:fill="FFFFFF"/>
          <w:lang w:val="en-IN"/>
        </w:rPr>
        <w:t>and</w:t>
      </w:r>
      <w:r w:rsidRPr="00DD37AF">
        <w:rPr>
          <w:rFonts w:ascii="Times New Roman" w:hAnsi="Times New Roman" w:cs="Times New Roman"/>
          <w:color w:val="000000" w:themeColor="text1"/>
          <w:sz w:val="24"/>
          <w:szCs w:val="24"/>
          <w:shd w:val="clear" w:color="auto" w:fill="FFFFFF"/>
          <w:lang w:val="en-IN"/>
        </w:rPr>
        <w:t xml:space="preserve"> Ameta, D. (2025). The history of Indian agriculture: Chapter 2. Vedic roots: Farming in ancient India.</w:t>
      </w:r>
    </w:p>
    <w:p w14:paraId="43934397" w14:textId="411978FE" w:rsidR="000C4FC1" w:rsidRPr="00DD37AF" w:rsidRDefault="000C4FC1" w:rsidP="000A5331">
      <w:pPr>
        <w:spacing w:line="360" w:lineRule="auto"/>
        <w:jc w:val="both"/>
        <w:rPr>
          <w:rFonts w:ascii="Times New Roman" w:hAnsi="Times New Roman" w:cs="Times New Roman"/>
          <w:color w:val="000000" w:themeColor="text1"/>
          <w:sz w:val="24"/>
          <w:szCs w:val="24"/>
          <w:shd w:val="clear" w:color="auto" w:fill="FFFFFF"/>
        </w:rPr>
      </w:pPr>
      <w:r w:rsidRPr="00DD37AF">
        <w:rPr>
          <w:rFonts w:ascii="Times New Roman" w:hAnsi="Times New Roman" w:cs="Times New Roman"/>
          <w:color w:val="000000" w:themeColor="text1"/>
          <w:sz w:val="24"/>
          <w:szCs w:val="24"/>
          <w:shd w:val="clear" w:color="auto" w:fill="FFFFFF"/>
          <w:lang w:val="en-IN"/>
        </w:rPr>
        <w:lastRenderedPageBreak/>
        <w:t>Khattak, M. I. (2025). Heavy metals in air, soil, and water: Major sources, soil health impacts, and mechanisms underlying uptake, toxicity, and tolerance in plants. In N. A. Anjum, A. Masood, S. Umar, &amp; N. A. Khan (Eds.), Heavy metals in air, soil and water.</w:t>
      </w:r>
      <w:r w:rsidR="006675BA" w:rsidRPr="00DD37AF">
        <w:rPr>
          <w:rFonts w:ascii="Arial" w:hAnsi="Arial" w:cs="Arial"/>
          <w:color w:val="000000"/>
          <w:shd w:val="clear" w:color="auto" w:fill="FFFDEA"/>
        </w:rPr>
        <w:t xml:space="preserve"> </w:t>
      </w:r>
      <w:r w:rsidR="00AB36AF" w:rsidRPr="00DD37AF">
        <w:rPr>
          <w:rFonts w:ascii="Times New Roman" w:hAnsi="Times New Roman" w:cs="Times New Roman"/>
          <w:color w:val="000000" w:themeColor="text1"/>
          <w:sz w:val="24"/>
          <w:szCs w:val="24"/>
          <w:shd w:val="clear" w:color="auto" w:fill="FFFFFF"/>
        </w:rPr>
        <w:t>https://doi</w:t>
      </w:r>
      <w:r w:rsidR="006675BA" w:rsidRPr="00DD37AF">
        <w:rPr>
          <w:rFonts w:ascii="Times New Roman" w:hAnsi="Times New Roman" w:cs="Times New Roman"/>
          <w:color w:val="000000" w:themeColor="text1"/>
          <w:sz w:val="24"/>
          <w:szCs w:val="24"/>
          <w:shd w:val="clear" w:color="auto" w:fill="FFFFFF"/>
        </w:rPr>
        <w:t>: 10.5772/intechopen.1013063</w:t>
      </w:r>
    </w:p>
    <w:p w14:paraId="7C99E9B9" w14:textId="0FC5029E" w:rsidR="000C4FC1" w:rsidRPr="00DD37AF"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DD37AF">
        <w:rPr>
          <w:rFonts w:ascii="Times New Roman" w:hAnsi="Times New Roman" w:cs="Times New Roman"/>
          <w:color w:val="000000" w:themeColor="text1"/>
          <w:sz w:val="24"/>
          <w:szCs w:val="24"/>
          <w:shd w:val="clear" w:color="auto" w:fill="FFFFFF"/>
          <w:lang w:val="en-IN"/>
        </w:rPr>
        <w:t xml:space="preserve">Krishna, N. R., Chandravamshi, P., </w:t>
      </w:r>
      <w:r w:rsidR="00DD50CF" w:rsidRPr="00DD37AF">
        <w:rPr>
          <w:rFonts w:ascii="Times New Roman" w:hAnsi="Times New Roman" w:cs="Times New Roman"/>
          <w:color w:val="000000" w:themeColor="text1"/>
          <w:sz w:val="24"/>
          <w:szCs w:val="24"/>
          <w:shd w:val="clear" w:color="auto" w:fill="FFFFFF"/>
          <w:lang w:val="en-IN"/>
        </w:rPr>
        <w:t>and</w:t>
      </w:r>
      <w:r w:rsidRPr="00DD37AF">
        <w:rPr>
          <w:rFonts w:ascii="Times New Roman" w:hAnsi="Times New Roman" w:cs="Times New Roman"/>
          <w:color w:val="000000" w:themeColor="text1"/>
          <w:sz w:val="24"/>
          <w:szCs w:val="24"/>
          <w:shd w:val="clear" w:color="auto" w:fill="FFFFFF"/>
          <w:lang w:val="en-IN"/>
        </w:rPr>
        <w:t xml:space="preserve"> Ashok, L. B. (2017). Soil fertility status of major nutrients, micronutrients and mapping in Nicchapura-2 micro watershed of Davanagere district, Karnataka, India. International Journal of Current Microbiology and Applied Sciences, 6(9), 1178–1186.</w:t>
      </w:r>
    </w:p>
    <w:p w14:paraId="37A86754" w14:textId="2CB4E14D" w:rsidR="000C4FC1" w:rsidRPr="00DD37AF"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DD37AF">
        <w:rPr>
          <w:rFonts w:ascii="Times New Roman" w:hAnsi="Times New Roman" w:cs="Times New Roman"/>
          <w:color w:val="000000" w:themeColor="text1"/>
          <w:sz w:val="24"/>
          <w:szCs w:val="24"/>
          <w:shd w:val="clear" w:color="auto" w:fill="FFFFFF"/>
          <w:lang w:val="en-IN"/>
        </w:rPr>
        <w:t xml:space="preserve">Laoufi, H., Bachir, H., </w:t>
      </w:r>
      <w:proofErr w:type="spellStart"/>
      <w:r w:rsidRPr="00DD37AF">
        <w:rPr>
          <w:rFonts w:ascii="Times New Roman" w:hAnsi="Times New Roman" w:cs="Times New Roman"/>
          <w:color w:val="000000" w:themeColor="text1"/>
          <w:sz w:val="24"/>
          <w:szCs w:val="24"/>
          <w:shd w:val="clear" w:color="auto" w:fill="FFFFFF"/>
          <w:lang w:val="en-IN"/>
        </w:rPr>
        <w:t>Hadj-Miloud</w:t>
      </w:r>
      <w:proofErr w:type="spellEnd"/>
      <w:r w:rsidRPr="00DD37AF">
        <w:rPr>
          <w:rFonts w:ascii="Times New Roman" w:hAnsi="Times New Roman" w:cs="Times New Roman"/>
          <w:color w:val="000000" w:themeColor="text1"/>
          <w:sz w:val="24"/>
          <w:szCs w:val="24"/>
          <w:shd w:val="clear" w:color="auto" w:fill="FFFFFF"/>
          <w:lang w:val="en-IN"/>
        </w:rPr>
        <w:t xml:space="preserve">, S., </w:t>
      </w:r>
      <w:r w:rsidR="00DD50CF" w:rsidRPr="00DD37AF">
        <w:rPr>
          <w:rFonts w:ascii="Times New Roman" w:hAnsi="Times New Roman" w:cs="Times New Roman"/>
          <w:color w:val="000000" w:themeColor="text1"/>
          <w:sz w:val="24"/>
          <w:szCs w:val="24"/>
          <w:shd w:val="clear" w:color="auto" w:fill="FFFFFF"/>
          <w:lang w:val="en-IN"/>
        </w:rPr>
        <w:t>and</w:t>
      </w:r>
      <w:r w:rsidRPr="00DD37AF">
        <w:rPr>
          <w:rFonts w:ascii="Times New Roman" w:hAnsi="Times New Roman" w:cs="Times New Roman"/>
          <w:color w:val="000000" w:themeColor="text1"/>
          <w:sz w:val="24"/>
          <w:szCs w:val="24"/>
          <w:shd w:val="clear" w:color="auto" w:fill="FFFFFF"/>
          <w:lang w:val="en-IN"/>
        </w:rPr>
        <w:t xml:space="preserve"> Clark, K. (2025). Comparative assessment of three methods for soil organic matter determination in calcareous soils, eastern Algeria. Land, 14(10), 2030. </w:t>
      </w:r>
      <w:hyperlink r:id="rId53" w:history="1">
        <w:r w:rsidR="00DD50CF" w:rsidRPr="00DD37AF">
          <w:rPr>
            <w:rStyle w:val="Hyperlink"/>
            <w:rFonts w:ascii="Times New Roman" w:hAnsi="Times New Roman" w:cs="Times New Roman"/>
            <w:sz w:val="24"/>
            <w:szCs w:val="24"/>
            <w:shd w:val="clear" w:color="auto" w:fill="FFFFFF"/>
            <w:lang w:val="en-IN"/>
          </w:rPr>
          <w:t>https://doi.org/10.3390/land14102030</w:t>
        </w:r>
      </w:hyperlink>
    </w:p>
    <w:p w14:paraId="5290C493" w14:textId="308B4D07" w:rsidR="000C4FC1" w:rsidRPr="00DD37AF"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DD37AF">
        <w:rPr>
          <w:rFonts w:ascii="Times New Roman" w:hAnsi="Times New Roman" w:cs="Times New Roman"/>
          <w:color w:val="000000" w:themeColor="text1"/>
          <w:sz w:val="24"/>
          <w:szCs w:val="24"/>
          <w:shd w:val="clear" w:color="auto" w:fill="FFFFFF"/>
          <w:lang w:val="en-IN"/>
        </w:rPr>
        <w:t xml:space="preserve">Lee, J. A., </w:t>
      </w:r>
      <w:r w:rsidR="00DD50CF" w:rsidRPr="00DD37AF">
        <w:rPr>
          <w:rFonts w:ascii="Times New Roman" w:hAnsi="Times New Roman" w:cs="Times New Roman"/>
          <w:color w:val="000000" w:themeColor="text1"/>
          <w:sz w:val="24"/>
          <w:szCs w:val="24"/>
          <w:shd w:val="clear" w:color="auto" w:fill="FFFFFF"/>
          <w:lang w:val="en-IN"/>
        </w:rPr>
        <w:t>and</w:t>
      </w:r>
      <w:r w:rsidRPr="00DD37AF">
        <w:rPr>
          <w:rFonts w:ascii="Times New Roman" w:hAnsi="Times New Roman" w:cs="Times New Roman"/>
          <w:color w:val="000000" w:themeColor="text1"/>
          <w:sz w:val="24"/>
          <w:szCs w:val="24"/>
          <w:shd w:val="clear" w:color="auto" w:fill="FFFFFF"/>
          <w:lang w:val="en-IN"/>
        </w:rPr>
        <w:t xml:space="preserve"> Gill, T. E. (2015). Multiple causes of wind erosion in the Dust Bowl. Aeolian Research, 19(Part A), 15–36. </w:t>
      </w:r>
      <w:hyperlink r:id="rId54" w:history="1">
        <w:r w:rsidR="00DD50CF" w:rsidRPr="00DD37AF">
          <w:rPr>
            <w:rStyle w:val="Hyperlink"/>
            <w:rFonts w:ascii="Times New Roman" w:hAnsi="Times New Roman" w:cs="Times New Roman"/>
            <w:sz w:val="24"/>
            <w:szCs w:val="24"/>
            <w:shd w:val="clear" w:color="auto" w:fill="FFFFFF"/>
            <w:lang w:val="en-IN"/>
          </w:rPr>
          <w:t>https://doi.org/10.1016/j.aeolia.2015.09.002</w:t>
        </w:r>
      </w:hyperlink>
    </w:p>
    <w:p w14:paraId="16D22B0C" w14:textId="1EC08024" w:rsidR="000C4FC1" w:rsidRPr="00DD37AF"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DD37AF">
        <w:rPr>
          <w:rFonts w:ascii="Times New Roman" w:hAnsi="Times New Roman" w:cs="Times New Roman"/>
          <w:color w:val="000000" w:themeColor="text1"/>
          <w:sz w:val="24"/>
          <w:szCs w:val="24"/>
          <w:shd w:val="clear" w:color="auto" w:fill="FFFFFF"/>
          <w:lang w:val="en-IN"/>
        </w:rPr>
        <w:t xml:space="preserve">Leiva Soto, A., </w:t>
      </w:r>
      <w:proofErr w:type="spellStart"/>
      <w:r w:rsidRPr="00DD37AF">
        <w:rPr>
          <w:rFonts w:ascii="Times New Roman" w:hAnsi="Times New Roman" w:cs="Times New Roman"/>
          <w:color w:val="000000" w:themeColor="text1"/>
          <w:sz w:val="24"/>
          <w:szCs w:val="24"/>
          <w:shd w:val="clear" w:color="auto" w:fill="FFFFFF"/>
          <w:lang w:val="en-IN"/>
        </w:rPr>
        <w:t>Culman</w:t>
      </w:r>
      <w:proofErr w:type="spellEnd"/>
      <w:r w:rsidRPr="00DD37AF">
        <w:rPr>
          <w:rFonts w:ascii="Times New Roman" w:hAnsi="Times New Roman" w:cs="Times New Roman"/>
          <w:color w:val="000000" w:themeColor="text1"/>
          <w:sz w:val="24"/>
          <w:szCs w:val="24"/>
          <w:shd w:val="clear" w:color="auto" w:fill="FFFFFF"/>
          <w:lang w:val="en-IN"/>
        </w:rPr>
        <w:t xml:space="preserve">, S. W., Herms, C., Sprunger, C., </w:t>
      </w:r>
      <w:r w:rsidR="00DD50CF" w:rsidRPr="00DD37AF">
        <w:rPr>
          <w:rFonts w:ascii="Times New Roman" w:hAnsi="Times New Roman" w:cs="Times New Roman"/>
          <w:color w:val="000000" w:themeColor="text1"/>
          <w:sz w:val="24"/>
          <w:szCs w:val="24"/>
          <w:shd w:val="clear" w:color="auto" w:fill="FFFFFF"/>
          <w:lang w:val="en-IN"/>
        </w:rPr>
        <w:t>and</w:t>
      </w:r>
      <w:r w:rsidRPr="00DD37AF">
        <w:rPr>
          <w:rFonts w:ascii="Times New Roman" w:hAnsi="Times New Roman" w:cs="Times New Roman"/>
          <w:color w:val="000000" w:themeColor="text1"/>
          <w:sz w:val="24"/>
          <w:szCs w:val="24"/>
          <w:shd w:val="clear" w:color="auto" w:fill="FFFFFF"/>
          <w:lang w:val="en-IN"/>
        </w:rPr>
        <w:t xml:space="preserve"> Doohan, D. (2023). Managing soil acidity vs. soil </w:t>
      </w:r>
      <w:proofErr w:type="spellStart"/>
      <w:r w:rsidRPr="00DD37AF">
        <w:rPr>
          <w:rFonts w:ascii="Times New Roman" w:hAnsi="Times New Roman" w:cs="Times New Roman"/>
          <w:color w:val="000000" w:themeColor="text1"/>
          <w:sz w:val="24"/>
          <w:szCs w:val="24"/>
          <w:shd w:val="clear" w:color="auto" w:fill="FFFFFF"/>
          <w:lang w:val="en-IN"/>
        </w:rPr>
        <w:t>Ca:Mg</w:t>
      </w:r>
      <w:proofErr w:type="spellEnd"/>
      <w:r w:rsidRPr="00DD37AF">
        <w:rPr>
          <w:rFonts w:ascii="Times New Roman" w:hAnsi="Times New Roman" w:cs="Times New Roman"/>
          <w:color w:val="000000" w:themeColor="text1"/>
          <w:sz w:val="24"/>
          <w:szCs w:val="24"/>
          <w:shd w:val="clear" w:color="auto" w:fill="FFFFFF"/>
          <w:lang w:val="en-IN"/>
        </w:rPr>
        <w:t xml:space="preserve"> ratio: What is more important for crop productivity? Crop, Forage &amp; Turfgrass Management, 9, e20210. </w:t>
      </w:r>
      <w:hyperlink r:id="rId55" w:history="1">
        <w:r w:rsidR="00DD50CF" w:rsidRPr="00DD37AF">
          <w:rPr>
            <w:rStyle w:val="Hyperlink"/>
            <w:rFonts w:ascii="Times New Roman" w:hAnsi="Times New Roman" w:cs="Times New Roman"/>
            <w:sz w:val="24"/>
            <w:szCs w:val="24"/>
            <w:shd w:val="clear" w:color="auto" w:fill="FFFFFF"/>
            <w:lang w:val="en-IN"/>
          </w:rPr>
          <w:t>https://doi.org/10.1002/cft2.20210</w:t>
        </w:r>
      </w:hyperlink>
    </w:p>
    <w:p w14:paraId="3FD5352D" w14:textId="2BEB7CCB" w:rsidR="000C4FC1" w:rsidRPr="00DD37AF"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DD37AF">
        <w:rPr>
          <w:rFonts w:ascii="Times New Roman" w:hAnsi="Times New Roman" w:cs="Times New Roman"/>
          <w:color w:val="000000" w:themeColor="text1"/>
          <w:sz w:val="24"/>
          <w:szCs w:val="24"/>
          <w:shd w:val="clear" w:color="auto" w:fill="FFFFFF"/>
          <w:lang w:val="en-IN"/>
        </w:rPr>
        <w:t xml:space="preserve">Liu, L., Zheng, X., Wei, X., Kai, Z., </w:t>
      </w:r>
      <w:r w:rsidR="00DD50CF" w:rsidRPr="00DD37AF">
        <w:rPr>
          <w:rFonts w:ascii="Times New Roman" w:hAnsi="Times New Roman" w:cs="Times New Roman"/>
          <w:color w:val="000000" w:themeColor="text1"/>
          <w:sz w:val="24"/>
          <w:szCs w:val="24"/>
          <w:shd w:val="clear" w:color="auto" w:fill="FFFFFF"/>
          <w:lang w:val="en-IN"/>
        </w:rPr>
        <w:t>and</w:t>
      </w:r>
      <w:r w:rsidRPr="00DD37AF">
        <w:rPr>
          <w:rFonts w:ascii="Times New Roman" w:hAnsi="Times New Roman" w:cs="Times New Roman"/>
          <w:color w:val="000000" w:themeColor="text1"/>
          <w:sz w:val="24"/>
          <w:szCs w:val="24"/>
          <w:shd w:val="clear" w:color="auto" w:fill="FFFFFF"/>
          <w:lang w:val="en-IN"/>
        </w:rPr>
        <w:t xml:space="preserve"> Xu, Y. (2021). Excessive application of chemical fertilizer and organophosphorus pesticides induced total phosphorus loss from planting causing surface water eutrophication. Scientific Reports, 11(1), 23015. </w:t>
      </w:r>
      <w:hyperlink r:id="rId56" w:history="1">
        <w:r w:rsidR="00DD50CF" w:rsidRPr="00DD37AF">
          <w:rPr>
            <w:rStyle w:val="Hyperlink"/>
            <w:rFonts w:ascii="Times New Roman" w:hAnsi="Times New Roman" w:cs="Times New Roman"/>
            <w:sz w:val="24"/>
            <w:szCs w:val="24"/>
            <w:shd w:val="clear" w:color="auto" w:fill="FFFFFF"/>
            <w:lang w:val="en-IN"/>
          </w:rPr>
          <w:t>https://doi.org/10.1038/s41598-021-02521-7</w:t>
        </w:r>
      </w:hyperlink>
    </w:p>
    <w:p w14:paraId="203DA7A9" w14:textId="61292E4D" w:rsidR="000C4FC1" w:rsidRPr="00DD37AF" w:rsidRDefault="000C4FC1" w:rsidP="000A5331">
      <w:pPr>
        <w:spacing w:line="360" w:lineRule="auto"/>
        <w:jc w:val="both"/>
        <w:rPr>
          <w:rFonts w:ascii="Times New Roman" w:hAnsi="Times New Roman" w:cs="Times New Roman"/>
          <w:color w:val="000000" w:themeColor="text1"/>
          <w:sz w:val="24"/>
          <w:szCs w:val="24"/>
          <w:shd w:val="clear" w:color="auto" w:fill="FFFFFF"/>
          <w:lang w:val="pl-PL"/>
        </w:rPr>
      </w:pPr>
      <w:r w:rsidRPr="00DD37AF">
        <w:rPr>
          <w:rFonts w:ascii="Times New Roman" w:hAnsi="Times New Roman" w:cs="Times New Roman"/>
          <w:color w:val="000000" w:themeColor="text1"/>
          <w:sz w:val="24"/>
          <w:szCs w:val="24"/>
          <w:shd w:val="clear" w:color="auto" w:fill="FFFFFF"/>
          <w:lang w:val="en-IN"/>
        </w:rPr>
        <w:t xml:space="preserve">Lucke, B. (2023). Arid and semi-arid subtropical and tropical ecozone (II). In M. J. Goss </w:t>
      </w:r>
      <w:r w:rsidR="001C2292" w:rsidRPr="00DD37AF">
        <w:rPr>
          <w:rFonts w:ascii="Times New Roman" w:hAnsi="Times New Roman" w:cs="Times New Roman"/>
          <w:color w:val="000000" w:themeColor="text1"/>
          <w:sz w:val="24"/>
          <w:szCs w:val="24"/>
          <w:shd w:val="clear" w:color="auto" w:fill="FFFFFF"/>
          <w:lang w:val="en-IN"/>
        </w:rPr>
        <w:t>and</w:t>
      </w:r>
      <w:r w:rsidRPr="00DD37AF">
        <w:rPr>
          <w:rFonts w:ascii="Times New Roman" w:hAnsi="Times New Roman" w:cs="Times New Roman"/>
          <w:color w:val="000000" w:themeColor="text1"/>
          <w:sz w:val="24"/>
          <w:szCs w:val="24"/>
          <w:shd w:val="clear" w:color="auto" w:fill="FFFFFF"/>
          <w:lang w:val="en-IN"/>
        </w:rPr>
        <w:t xml:space="preserve"> M. Oliver (Eds.), Encyclopedia of soils in the environment (2nd ed., pp. 332–342). </w:t>
      </w:r>
      <w:r w:rsidRPr="00DD37AF">
        <w:rPr>
          <w:rFonts w:ascii="Times New Roman" w:hAnsi="Times New Roman" w:cs="Times New Roman"/>
          <w:color w:val="000000" w:themeColor="text1"/>
          <w:sz w:val="24"/>
          <w:szCs w:val="24"/>
          <w:shd w:val="clear" w:color="auto" w:fill="FFFFFF"/>
          <w:lang w:val="pl-PL"/>
        </w:rPr>
        <w:t xml:space="preserve">Academic Press. </w:t>
      </w:r>
      <w:hyperlink r:id="rId57" w:history="1">
        <w:r w:rsidR="00DD50CF" w:rsidRPr="00DD37AF">
          <w:rPr>
            <w:rStyle w:val="Hyperlink"/>
            <w:rFonts w:ascii="Times New Roman" w:hAnsi="Times New Roman" w:cs="Times New Roman"/>
            <w:sz w:val="24"/>
            <w:szCs w:val="24"/>
            <w:shd w:val="clear" w:color="auto" w:fill="FFFFFF"/>
            <w:lang w:val="pl-PL"/>
          </w:rPr>
          <w:t>https://doi.org/10.1016/B978-0-12-822974-3.00198-1</w:t>
        </w:r>
      </w:hyperlink>
    </w:p>
    <w:p w14:paraId="7855D23C" w14:textId="3A60475E" w:rsidR="000C4FC1" w:rsidRPr="00DD37AF" w:rsidRDefault="000C4FC1" w:rsidP="000A5331">
      <w:pPr>
        <w:spacing w:line="360" w:lineRule="auto"/>
        <w:jc w:val="both"/>
        <w:rPr>
          <w:rFonts w:ascii="Times New Roman" w:hAnsi="Times New Roman" w:cs="Times New Roman"/>
          <w:color w:val="000000" w:themeColor="text1"/>
          <w:sz w:val="24"/>
          <w:szCs w:val="24"/>
          <w:shd w:val="clear" w:color="auto" w:fill="FFFFFF"/>
          <w:lang w:val="pl-PL"/>
        </w:rPr>
      </w:pPr>
      <w:r w:rsidRPr="00DD37AF">
        <w:rPr>
          <w:rFonts w:ascii="Times New Roman" w:hAnsi="Times New Roman" w:cs="Times New Roman"/>
          <w:color w:val="000000" w:themeColor="text1"/>
          <w:sz w:val="24"/>
          <w:szCs w:val="24"/>
          <w:shd w:val="clear" w:color="auto" w:fill="FFFFFF"/>
          <w:lang w:val="pl-PL"/>
        </w:rPr>
        <w:t xml:space="preserve">Magnucka, E. G., Kulczycki, G., Oksińska, M. P., Kucińska, J., Pawęska, K., Milo, Ł., </w:t>
      </w:r>
      <w:r w:rsidR="00DD50CF" w:rsidRPr="00DD37AF">
        <w:rPr>
          <w:rFonts w:ascii="Times New Roman" w:hAnsi="Times New Roman" w:cs="Times New Roman"/>
          <w:color w:val="000000" w:themeColor="text1"/>
          <w:sz w:val="24"/>
          <w:szCs w:val="24"/>
          <w:shd w:val="clear" w:color="auto" w:fill="FFFFFF"/>
          <w:lang w:val="pl-PL"/>
        </w:rPr>
        <w:t>and</w:t>
      </w:r>
      <w:r w:rsidRPr="00DD37AF">
        <w:rPr>
          <w:rFonts w:ascii="Times New Roman" w:hAnsi="Times New Roman" w:cs="Times New Roman"/>
          <w:color w:val="000000" w:themeColor="text1"/>
          <w:sz w:val="24"/>
          <w:szCs w:val="24"/>
          <w:shd w:val="clear" w:color="auto" w:fill="FFFFFF"/>
          <w:lang w:val="pl-PL"/>
        </w:rPr>
        <w:t xml:space="preserve"> Pietr, S. J. (2023). </w:t>
      </w:r>
      <w:r w:rsidRPr="00DD37AF">
        <w:rPr>
          <w:rFonts w:ascii="Times New Roman" w:hAnsi="Times New Roman" w:cs="Times New Roman"/>
          <w:color w:val="000000" w:themeColor="text1"/>
          <w:sz w:val="24"/>
          <w:szCs w:val="24"/>
          <w:shd w:val="clear" w:color="auto" w:fill="FFFFFF"/>
          <w:lang w:val="en-IN"/>
        </w:rPr>
        <w:t xml:space="preserve">The effect of various forms of </w:t>
      </w:r>
      <w:proofErr w:type="spellStart"/>
      <w:r w:rsidRPr="00DD37AF">
        <w:rPr>
          <w:rFonts w:ascii="Times New Roman" w:hAnsi="Times New Roman" w:cs="Times New Roman"/>
          <w:color w:val="000000" w:themeColor="text1"/>
          <w:sz w:val="24"/>
          <w:szCs w:val="24"/>
          <w:shd w:val="clear" w:color="auto" w:fill="FFFFFF"/>
          <w:lang w:val="en-IN"/>
        </w:rPr>
        <w:t>sulfur</w:t>
      </w:r>
      <w:proofErr w:type="spellEnd"/>
      <w:r w:rsidRPr="00DD37AF">
        <w:rPr>
          <w:rFonts w:ascii="Times New Roman" w:hAnsi="Times New Roman" w:cs="Times New Roman"/>
          <w:color w:val="000000" w:themeColor="text1"/>
          <w:sz w:val="24"/>
          <w:szCs w:val="24"/>
          <w:shd w:val="clear" w:color="auto" w:fill="FFFFFF"/>
          <w:lang w:val="en-IN"/>
        </w:rPr>
        <w:t xml:space="preserve"> on soil organic matter fractions and microorganisms in a pot experiment with perennial ryegrass (</w:t>
      </w:r>
      <w:proofErr w:type="spellStart"/>
      <w:r w:rsidRPr="00DD37AF">
        <w:rPr>
          <w:rFonts w:ascii="Times New Roman" w:hAnsi="Times New Roman" w:cs="Times New Roman"/>
          <w:color w:val="000000" w:themeColor="text1"/>
          <w:sz w:val="24"/>
          <w:szCs w:val="24"/>
          <w:shd w:val="clear" w:color="auto" w:fill="FFFFFF"/>
          <w:lang w:val="en-IN"/>
        </w:rPr>
        <w:t>Lolium</w:t>
      </w:r>
      <w:proofErr w:type="spellEnd"/>
      <w:r w:rsidRPr="00DD37AF">
        <w:rPr>
          <w:rFonts w:ascii="Times New Roman" w:hAnsi="Times New Roman" w:cs="Times New Roman"/>
          <w:color w:val="000000" w:themeColor="text1"/>
          <w:sz w:val="24"/>
          <w:szCs w:val="24"/>
          <w:shd w:val="clear" w:color="auto" w:fill="FFFFFF"/>
          <w:lang w:val="en-IN"/>
        </w:rPr>
        <w:t xml:space="preserve"> </w:t>
      </w:r>
      <w:proofErr w:type="spellStart"/>
      <w:r w:rsidRPr="00DD37AF">
        <w:rPr>
          <w:rFonts w:ascii="Times New Roman" w:hAnsi="Times New Roman" w:cs="Times New Roman"/>
          <w:color w:val="000000" w:themeColor="text1"/>
          <w:sz w:val="24"/>
          <w:szCs w:val="24"/>
          <w:shd w:val="clear" w:color="auto" w:fill="FFFFFF"/>
          <w:lang w:val="en-IN"/>
        </w:rPr>
        <w:t>perenne</w:t>
      </w:r>
      <w:proofErr w:type="spellEnd"/>
      <w:r w:rsidRPr="00DD37AF">
        <w:rPr>
          <w:rFonts w:ascii="Times New Roman" w:hAnsi="Times New Roman" w:cs="Times New Roman"/>
          <w:color w:val="000000" w:themeColor="text1"/>
          <w:sz w:val="24"/>
          <w:szCs w:val="24"/>
          <w:shd w:val="clear" w:color="auto" w:fill="FFFFFF"/>
          <w:lang w:val="en-IN"/>
        </w:rPr>
        <w:t xml:space="preserve"> L.). </w:t>
      </w:r>
      <w:r w:rsidRPr="00DD37AF">
        <w:rPr>
          <w:rFonts w:ascii="Times New Roman" w:hAnsi="Times New Roman" w:cs="Times New Roman"/>
          <w:color w:val="000000" w:themeColor="text1"/>
          <w:sz w:val="24"/>
          <w:szCs w:val="24"/>
          <w:shd w:val="clear" w:color="auto" w:fill="FFFFFF"/>
          <w:lang w:val="pl-PL"/>
        </w:rPr>
        <w:t xml:space="preserve">Plants, 12(14), 2649. </w:t>
      </w:r>
      <w:hyperlink r:id="rId58" w:history="1">
        <w:r w:rsidR="00DD50CF" w:rsidRPr="00DD37AF">
          <w:rPr>
            <w:rStyle w:val="Hyperlink"/>
            <w:rFonts w:ascii="Times New Roman" w:hAnsi="Times New Roman" w:cs="Times New Roman"/>
            <w:sz w:val="24"/>
            <w:szCs w:val="24"/>
            <w:shd w:val="clear" w:color="auto" w:fill="FFFFFF"/>
            <w:lang w:val="pl-PL"/>
          </w:rPr>
          <w:t>https://doi.org/10.3390/plants12142649</w:t>
        </w:r>
      </w:hyperlink>
    </w:p>
    <w:p w14:paraId="0F6F51D1" w14:textId="7E0ABF33" w:rsidR="000C4FC1" w:rsidRPr="00DD37AF"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DD37AF">
        <w:rPr>
          <w:rFonts w:ascii="Times New Roman" w:hAnsi="Times New Roman" w:cs="Times New Roman"/>
          <w:color w:val="000000" w:themeColor="text1"/>
          <w:sz w:val="24"/>
          <w:szCs w:val="24"/>
          <w:shd w:val="clear" w:color="auto" w:fill="FFFFFF"/>
          <w:lang w:val="pl-PL"/>
        </w:rPr>
        <w:t xml:space="preserve">Malesza, I. J., Bartkowiak-Wieczorek, J., Winkler-Galicki, J., Nowicka, A., Dzięciołowska, D., Błaszczyk, M., Gajniak, P., Słowińska, K., Niepolski, L., Walkowiak, J., </w:t>
      </w:r>
      <w:r w:rsidR="00DD50CF" w:rsidRPr="00DD37AF">
        <w:rPr>
          <w:rFonts w:ascii="Times New Roman" w:hAnsi="Times New Roman" w:cs="Times New Roman"/>
          <w:color w:val="000000" w:themeColor="text1"/>
          <w:sz w:val="24"/>
          <w:szCs w:val="24"/>
          <w:shd w:val="clear" w:color="auto" w:fill="FFFFFF"/>
          <w:lang w:val="pl-PL"/>
        </w:rPr>
        <w:t>and</w:t>
      </w:r>
      <w:r w:rsidRPr="00DD37AF">
        <w:rPr>
          <w:rFonts w:ascii="Times New Roman" w:hAnsi="Times New Roman" w:cs="Times New Roman"/>
          <w:color w:val="000000" w:themeColor="text1"/>
          <w:sz w:val="24"/>
          <w:szCs w:val="24"/>
          <w:shd w:val="clear" w:color="auto" w:fill="FFFFFF"/>
          <w:lang w:val="pl-PL"/>
        </w:rPr>
        <w:t xml:space="preserve"> Mądry, E. (2022). </w:t>
      </w:r>
      <w:r w:rsidRPr="00DD37AF">
        <w:rPr>
          <w:rFonts w:ascii="Times New Roman" w:hAnsi="Times New Roman" w:cs="Times New Roman"/>
          <w:color w:val="000000" w:themeColor="text1"/>
          <w:sz w:val="24"/>
          <w:szCs w:val="24"/>
          <w:shd w:val="clear" w:color="auto" w:fill="FFFFFF"/>
          <w:lang w:val="en-IN"/>
        </w:rPr>
        <w:t xml:space="preserve">The </w:t>
      </w:r>
      <w:r w:rsidRPr="00DD37AF">
        <w:rPr>
          <w:rFonts w:ascii="Times New Roman" w:hAnsi="Times New Roman" w:cs="Times New Roman"/>
          <w:color w:val="000000" w:themeColor="text1"/>
          <w:sz w:val="24"/>
          <w:szCs w:val="24"/>
          <w:shd w:val="clear" w:color="auto" w:fill="FFFFFF"/>
          <w:lang w:val="en-IN"/>
        </w:rPr>
        <w:lastRenderedPageBreak/>
        <w:t xml:space="preserve">dark side of iron: The relationship between iron, inflammation and gut microbiota in selected diseases associated with iron deficiency anaemia—A narrative review. Nutrients, 14(17), 3478. </w:t>
      </w:r>
      <w:hyperlink r:id="rId59" w:history="1">
        <w:r w:rsidR="00DD50CF" w:rsidRPr="00DD37AF">
          <w:rPr>
            <w:rStyle w:val="Hyperlink"/>
            <w:rFonts w:ascii="Times New Roman" w:hAnsi="Times New Roman" w:cs="Times New Roman"/>
            <w:sz w:val="24"/>
            <w:szCs w:val="24"/>
            <w:shd w:val="clear" w:color="auto" w:fill="FFFFFF"/>
            <w:lang w:val="en-IN"/>
          </w:rPr>
          <w:t>https://doi.org/10.3390/nu14173478</w:t>
        </w:r>
      </w:hyperlink>
    </w:p>
    <w:p w14:paraId="3CA288E1" w14:textId="07AE446C" w:rsidR="000C4FC1" w:rsidRPr="00DD37AF"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DD37AF">
        <w:rPr>
          <w:rFonts w:ascii="Times New Roman" w:hAnsi="Times New Roman" w:cs="Times New Roman"/>
          <w:color w:val="000000" w:themeColor="text1"/>
          <w:sz w:val="24"/>
          <w:szCs w:val="24"/>
          <w:shd w:val="clear" w:color="auto" w:fill="FFFFFF"/>
          <w:lang w:val="en-IN"/>
        </w:rPr>
        <w:t xml:space="preserve">Mazumder, P., </w:t>
      </w:r>
      <w:proofErr w:type="spellStart"/>
      <w:r w:rsidRPr="00DD37AF">
        <w:rPr>
          <w:rFonts w:ascii="Times New Roman" w:hAnsi="Times New Roman" w:cs="Times New Roman"/>
          <w:color w:val="000000" w:themeColor="text1"/>
          <w:sz w:val="24"/>
          <w:szCs w:val="24"/>
          <w:shd w:val="clear" w:color="auto" w:fill="FFFFFF"/>
          <w:lang w:val="en-IN"/>
        </w:rPr>
        <w:t>Khwairakpam</w:t>
      </w:r>
      <w:proofErr w:type="spellEnd"/>
      <w:r w:rsidRPr="00DD37AF">
        <w:rPr>
          <w:rFonts w:ascii="Times New Roman" w:hAnsi="Times New Roman" w:cs="Times New Roman"/>
          <w:color w:val="000000" w:themeColor="text1"/>
          <w:sz w:val="24"/>
          <w:szCs w:val="24"/>
          <w:shd w:val="clear" w:color="auto" w:fill="FFFFFF"/>
          <w:lang w:val="en-IN"/>
        </w:rPr>
        <w:t xml:space="preserve">, M., </w:t>
      </w:r>
      <w:r w:rsidR="00DD50CF" w:rsidRPr="00DD37AF">
        <w:rPr>
          <w:rFonts w:ascii="Times New Roman" w:hAnsi="Times New Roman" w:cs="Times New Roman"/>
          <w:color w:val="000000" w:themeColor="text1"/>
          <w:sz w:val="24"/>
          <w:szCs w:val="24"/>
          <w:shd w:val="clear" w:color="auto" w:fill="FFFFFF"/>
          <w:lang w:val="en-IN"/>
        </w:rPr>
        <w:t>and</w:t>
      </w:r>
      <w:r w:rsidRPr="00DD37AF">
        <w:rPr>
          <w:rFonts w:ascii="Times New Roman" w:hAnsi="Times New Roman" w:cs="Times New Roman"/>
          <w:color w:val="000000" w:themeColor="text1"/>
          <w:sz w:val="24"/>
          <w:szCs w:val="24"/>
          <w:shd w:val="clear" w:color="auto" w:fill="FFFFFF"/>
          <w:lang w:val="en-IN"/>
        </w:rPr>
        <w:t xml:space="preserve"> </w:t>
      </w:r>
      <w:proofErr w:type="spellStart"/>
      <w:r w:rsidRPr="00DD37AF">
        <w:rPr>
          <w:rFonts w:ascii="Times New Roman" w:hAnsi="Times New Roman" w:cs="Times New Roman"/>
          <w:color w:val="000000" w:themeColor="text1"/>
          <w:sz w:val="24"/>
          <w:szCs w:val="24"/>
          <w:shd w:val="clear" w:color="auto" w:fill="FFFFFF"/>
          <w:lang w:val="en-IN"/>
        </w:rPr>
        <w:t>Kalamdhad</w:t>
      </w:r>
      <w:proofErr w:type="spellEnd"/>
      <w:r w:rsidRPr="00DD37AF">
        <w:rPr>
          <w:rFonts w:ascii="Times New Roman" w:hAnsi="Times New Roman" w:cs="Times New Roman"/>
          <w:color w:val="000000" w:themeColor="text1"/>
          <w:sz w:val="24"/>
          <w:szCs w:val="24"/>
          <w:shd w:val="clear" w:color="auto" w:fill="FFFFFF"/>
          <w:lang w:val="en-IN"/>
        </w:rPr>
        <w:t xml:space="preserve">, A. S. (2023). Assessment of multi-metal contaminant in agricultural soil amended with organic wastes, speciation and translocation – An approach towards sustainable crop production. Total Environment Research Themes, 5, 100025. </w:t>
      </w:r>
      <w:hyperlink r:id="rId60" w:history="1">
        <w:r w:rsidR="00DD50CF" w:rsidRPr="00DD37AF">
          <w:rPr>
            <w:rStyle w:val="Hyperlink"/>
            <w:rFonts w:ascii="Times New Roman" w:hAnsi="Times New Roman" w:cs="Times New Roman"/>
            <w:sz w:val="24"/>
            <w:szCs w:val="24"/>
            <w:shd w:val="clear" w:color="auto" w:fill="FFFFFF"/>
            <w:lang w:val="en-IN"/>
          </w:rPr>
          <w:t>https://doi.org/10.1016/j.totert.2023.100025</w:t>
        </w:r>
      </w:hyperlink>
    </w:p>
    <w:p w14:paraId="426A044B" w14:textId="26398677" w:rsidR="000C4FC1" w:rsidRPr="00DD37AF"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DD37AF">
        <w:rPr>
          <w:rFonts w:ascii="Times New Roman" w:hAnsi="Times New Roman" w:cs="Times New Roman"/>
          <w:color w:val="000000" w:themeColor="text1"/>
          <w:sz w:val="24"/>
          <w:szCs w:val="24"/>
          <w:shd w:val="clear" w:color="auto" w:fill="FFFFFF"/>
          <w:lang w:val="en-IN"/>
        </w:rPr>
        <w:t xml:space="preserve">Mikhailova, E. A., Post, G. C., Cope, M. P., Post, C. J., Schlautman, M. A., </w:t>
      </w:r>
      <w:r w:rsidR="00DD50CF" w:rsidRPr="00DD37AF">
        <w:rPr>
          <w:rFonts w:ascii="Times New Roman" w:hAnsi="Times New Roman" w:cs="Times New Roman"/>
          <w:color w:val="000000" w:themeColor="text1"/>
          <w:sz w:val="24"/>
          <w:szCs w:val="24"/>
          <w:shd w:val="clear" w:color="auto" w:fill="FFFFFF"/>
          <w:lang w:val="en-IN"/>
        </w:rPr>
        <w:t>and</w:t>
      </w:r>
      <w:r w:rsidRPr="00DD37AF">
        <w:rPr>
          <w:rFonts w:ascii="Times New Roman" w:hAnsi="Times New Roman" w:cs="Times New Roman"/>
          <w:color w:val="000000" w:themeColor="text1"/>
          <w:sz w:val="24"/>
          <w:szCs w:val="24"/>
          <w:shd w:val="clear" w:color="auto" w:fill="FFFFFF"/>
          <w:lang w:val="en-IN"/>
        </w:rPr>
        <w:t xml:space="preserve"> Zhang, L. (2019). Quantifying and mapping atmospheric potassium deposition for soil ecosystem services assessment in the United States. Frontiers in Environmental Science, 7, 74. </w:t>
      </w:r>
      <w:hyperlink r:id="rId61" w:history="1">
        <w:r w:rsidR="00DD50CF" w:rsidRPr="00DD37AF">
          <w:rPr>
            <w:rStyle w:val="Hyperlink"/>
            <w:rFonts w:ascii="Times New Roman" w:hAnsi="Times New Roman" w:cs="Times New Roman"/>
            <w:sz w:val="24"/>
            <w:szCs w:val="24"/>
            <w:shd w:val="clear" w:color="auto" w:fill="FFFFFF"/>
            <w:lang w:val="en-IN"/>
          </w:rPr>
          <w:t>https://doi.org/10.3389/fenvs.2019.00074</w:t>
        </w:r>
      </w:hyperlink>
    </w:p>
    <w:p w14:paraId="258FCE9D" w14:textId="5057BC29" w:rsidR="00E16C5F" w:rsidRPr="00DD37AF" w:rsidRDefault="000C4FC1" w:rsidP="00E16C5F">
      <w:pPr>
        <w:spacing w:line="360" w:lineRule="auto"/>
        <w:jc w:val="both"/>
        <w:rPr>
          <w:rFonts w:ascii="Times New Roman" w:hAnsi="Times New Roman" w:cs="Times New Roman"/>
          <w:color w:val="000000" w:themeColor="text1"/>
          <w:sz w:val="24"/>
          <w:szCs w:val="24"/>
        </w:rPr>
      </w:pPr>
      <w:r w:rsidRPr="00DD37AF">
        <w:rPr>
          <w:rFonts w:ascii="Times New Roman" w:hAnsi="Times New Roman" w:cs="Times New Roman"/>
          <w:color w:val="000000" w:themeColor="text1"/>
          <w:sz w:val="24"/>
          <w:szCs w:val="24"/>
          <w:shd w:val="clear" w:color="auto" w:fill="FFFFFF"/>
          <w:lang w:val="en-IN"/>
        </w:rPr>
        <w:t xml:space="preserve">Mititelu, M., Neacșu, S. M., </w:t>
      </w:r>
      <w:proofErr w:type="spellStart"/>
      <w:r w:rsidRPr="00DD37AF">
        <w:rPr>
          <w:rFonts w:ascii="Times New Roman" w:hAnsi="Times New Roman" w:cs="Times New Roman"/>
          <w:color w:val="000000" w:themeColor="text1"/>
          <w:sz w:val="24"/>
          <w:szCs w:val="24"/>
          <w:shd w:val="clear" w:color="auto" w:fill="FFFFFF"/>
          <w:lang w:val="en-IN"/>
        </w:rPr>
        <w:t>Busnatu</w:t>
      </w:r>
      <w:proofErr w:type="spellEnd"/>
      <w:r w:rsidRPr="00DD37AF">
        <w:rPr>
          <w:rFonts w:ascii="Times New Roman" w:hAnsi="Times New Roman" w:cs="Times New Roman"/>
          <w:color w:val="000000" w:themeColor="text1"/>
          <w:sz w:val="24"/>
          <w:szCs w:val="24"/>
          <w:shd w:val="clear" w:color="auto" w:fill="FFFFFF"/>
          <w:lang w:val="en-IN"/>
        </w:rPr>
        <w:t xml:space="preserve">, Ș. S., </w:t>
      </w:r>
      <w:proofErr w:type="spellStart"/>
      <w:r w:rsidRPr="00DD37AF">
        <w:rPr>
          <w:rFonts w:ascii="Times New Roman" w:hAnsi="Times New Roman" w:cs="Times New Roman"/>
          <w:color w:val="000000" w:themeColor="text1"/>
          <w:sz w:val="24"/>
          <w:szCs w:val="24"/>
          <w:shd w:val="clear" w:color="auto" w:fill="FFFFFF"/>
          <w:lang w:val="en-IN"/>
        </w:rPr>
        <w:t>Scafa-Udriște</w:t>
      </w:r>
      <w:proofErr w:type="spellEnd"/>
      <w:r w:rsidRPr="00DD37AF">
        <w:rPr>
          <w:rFonts w:ascii="Times New Roman" w:hAnsi="Times New Roman" w:cs="Times New Roman"/>
          <w:color w:val="000000" w:themeColor="text1"/>
          <w:sz w:val="24"/>
          <w:szCs w:val="24"/>
          <w:shd w:val="clear" w:color="auto" w:fill="FFFFFF"/>
          <w:lang w:val="en-IN"/>
        </w:rPr>
        <w:t xml:space="preserve">, A., Andronic, O., </w:t>
      </w:r>
      <w:proofErr w:type="spellStart"/>
      <w:r w:rsidRPr="00DD37AF">
        <w:rPr>
          <w:rFonts w:ascii="Times New Roman" w:hAnsi="Times New Roman" w:cs="Times New Roman"/>
          <w:color w:val="000000" w:themeColor="text1"/>
          <w:sz w:val="24"/>
          <w:szCs w:val="24"/>
          <w:shd w:val="clear" w:color="auto" w:fill="FFFFFF"/>
          <w:lang w:val="en-IN"/>
        </w:rPr>
        <w:t>Lăcraru</w:t>
      </w:r>
      <w:proofErr w:type="spellEnd"/>
      <w:r w:rsidRPr="00DD37AF">
        <w:rPr>
          <w:rFonts w:ascii="Times New Roman" w:hAnsi="Times New Roman" w:cs="Times New Roman"/>
          <w:color w:val="000000" w:themeColor="text1"/>
          <w:sz w:val="24"/>
          <w:szCs w:val="24"/>
          <w:shd w:val="clear" w:color="auto" w:fill="FFFFFF"/>
          <w:lang w:val="en-IN"/>
        </w:rPr>
        <w:t xml:space="preserve">, A.-E., </w:t>
      </w:r>
      <w:proofErr w:type="spellStart"/>
      <w:r w:rsidRPr="00DD37AF">
        <w:rPr>
          <w:rFonts w:ascii="Times New Roman" w:hAnsi="Times New Roman" w:cs="Times New Roman"/>
          <w:color w:val="000000" w:themeColor="text1"/>
          <w:sz w:val="24"/>
          <w:szCs w:val="24"/>
          <w:shd w:val="clear" w:color="auto" w:fill="FFFFFF"/>
          <w:lang w:val="en-IN"/>
        </w:rPr>
        <w:t>Ioniță-Mîndrican</w:t>
      </w:r>
      <w:proofErr w:type="spellEnd"/>
      <w:r w:rsidRPr="00DD37AF">
        <w:rPr>
          <w:rFonts w:ascii="Times New Roman" w:hAnsi="Times New Roman" w:cs="Times New Roman"/>
          <w:color w:val="000000" w:themeColor="text1"/>
          <w:sz w:val="24"/>
          <w:szCs w:val="24"/>
          <w:shd w:val="clear" w:color="auto" w:fill="FFFFFF"/>
          <w:lang w:val="en-IN"/>
        </w:rPr>
        <w:t xml:space="preserve">, C.-B., </w:t>
      </w:r>
      <w:proofErr w:type="spellStart"/>
      <w:r w:rsidRPr="00DD37AF">
        <w:rPr>
          <w:rFonts w:ascii="Times New Roman" w:hAnsi="Times New Roman" w:cs="Times New Roman"/>
          <w:color w:val="000000" w:themeColor="text1"/>
          <w:sz w:val="24"/>
          <w:szCs w:val="24"/>
          <w:shd w:val="clear" w:color="auto" w:fill="FFFFFF"/>
          <w:lang w:val="en-IN"/>
        </w:rPr>
        <w:t>Lupuliasa</w:t>
      </w:r>
      <w:proofErr w:type="spellEnd"/>
      <w:r w:rsidRPr="00DD37AF">
        <w:rPr>
          <w:rFonts w:ascii="Times New Roman" w:hAnsi="Times New Roman" w:cs="Times New Roman"/>
          <w:color w:val="000000" w:themeColor="text1"/>
          <w:sz w:val="24"/>
          <w:szCs w:val="24"/>
          <w:shd w:val="clear" w:color="auto" w:fill="FFFFFF"/>
          <w:lang w:val="en-IN"/>
        </w:rPr>
        <w:t xml:space="preserve">, D., </w:t>
      </w:r>
      <w:proofErr w:type="spellStart"/>
      <w:r w:rsidRPr="00DD37AF">
        <w:rPr>
          <w:rFonts w:ascii="Times New Roman" w:hAnsi="Times New Roman" w:cs="Times New Roman"/>
          <w:color w:val="000000" w:themeColor="text1"/>
          <w:sz w:val="24"/>
          <w:szCs w:val="24"/>
          <w:shd w:val="clear" w:color="auto" w:fill="FFFFFF"/>
          <w:lang w:val="en-IN"/>
        </w:rPr>
        <w:t>Negrei</w:t>
      </w:r>
      <w:proofErr w:type="spellEnd"/>
      <w:r w:rsidRPr="00DD37AF">
        <w:rPr>
          <w:rFonts w:ascii="Times New Roman" w:hAnsi="Times New Roman" w:cs="Times New Roman"/>
          <w:color w:val="000000" w:themeColor="text1"/>
          <w:sz w:val="24"/>
          <w:szCs w:val="24"/>
          <w:shd w:val="clear" w:color="auto" w:fill="FFFFFF"/>
          <w:lang w:val="en-IN"/>
        </w:rPr>
        <w:t xml:space="preserve">, C., </w:t>
      </w:r>
      <w:r w:rsidR="00DD50CF" w:rsidRPr="00DD37AF">
        <w:rPr>
          <w:rFonts w:ascii="Times New Roman" w:hAnsi="Times New Roman" w:cs="Times New Roman"/>
          <w:color w:val="000000" w:themeColor="text1"/>
          <w:sz w:val="24"/>
          <w:szCs w:val="24"/>
          <w:shd w:val="clear" w:color="auto" w:fill="FFFFFF"/>
          <w:lang w:val="en-IN"/>
        </w:rPr>
        <w:t>and</w:t>
      </w:r>
      <w:r w:rsidRPr="00DD37AF">
        <w:rPr>
          <w:rFonts w:ascii="Times New Roman" w:hAnsi="Times New Roman" w:cs="Times New Roman"/>
          <w:color w:val="000000" w:themeColor="text1"/>
          <w:sz w:val="24"/>
          <w:szCs w:val="24"/>
          <w:shd w:val="clear" w:color="auto" w:fill="FFFFFF"/>
          <w:lang w:val="en-IN"/>
        </w:rPr>
        <w:t xml:space="preserve"> Olteanu, G. (2025). Assessing heavy metal contamination in food: Implications for human health and environmental safety. Toxics, 13(5), 333.</w:t>
      </w:r>
      <w:r w:rsidR="00DD50CF" w:rsidRPr="00DD37AF">
        <w:t xml:space="preserve"> </w:t>
      </w:r>
      <w:hyperlink r:id="rId62" w:history="1">
        <w:r w:rsidR="00576920" w:rsidRPr="00DD37AF">
          <w:rPr>
            <w:rStyle w:val="Hyperlink"/>
            <w:rFonts w:ascii="Times New Roman" w:hAnsi="Times New Roman" w:cs="Times New Roman"/>
            <w:sz w:val="24"/>
            <w:szCs w:val="24"/>
          </w:rPr>
          <w:t>https://doi.org/10.3390/toxics13050333</w:t>
        </w:r>
      </w:hyperlink>
    </w:p>
    <w:p w14:paraId="69D7887C" w14:textId="4033CDEF" w:rsidR="000C4FC1" w:rsidRPr="00DD37AF"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DD37AF">
        <w:rPr>
          <w:rFonts w:ascii="Times New Roman" w:hAnsi="Times New Roman" w:cs="Times New Roman"/>
          <w:color w:val="000000" w:themeColor="text1"/>
          <w:sz w:val="24"/>
          <w:szCs w:val="24"/>
          <w:shd w:val="clear" w:color="auto" w:fill="FFFFFF"/>
          <w:lang w:val="en-IN"/>
        </w:rPr>
        <w:t xml:space="preserve">Mohamed, H. I., Ullah, I., Toor, M. D., Tanveer, N. A., Din, M. M. U., Basit, A., Sultan, Y., Muhammad, M., </w:t>
      </w:r>
      <w:r w:rsidR="00DD50CF" w:rsidRPr="00DD37AF">
        <w:rPr>
          <w:rFonts w:ascii="Times New Roman" w:hAnsi="Times New Roman" w:cs="Times New Roman"/>
          <w:color w:val="000000" w:themeColor="text1"/>
          <w:sz w:val="24"/>
          <w:szCs w:val="24"/>
          <w:shd w:val="clear" w:color="auto" w:fill="FFFFFF"/>
          <w:lang w:val="en-IN"/>
        </w:rPr>
        <w:t>and</w:t>
      </w:r>
      <w:r w:rsidRPr="00DD37AF">
        <w:rPr>
          <w:rFonts w:ascii="Times New Roman" w:hAnsi="Times New Roman" w:cs="Times New Roman"/>
          <w:color w:val="000000" w:themeColor="text1"/>
          <w:sz w:val="24"/>
          <w:szCs w:val="24"/>
          <w:shd w:val="clear" w:color="auto" w:fill="FFFFFF"/>
          <w:lang w:val="en-IN"/>
        </w:rPr>
        <w:t xml:space="preserve"> Rehman, M. U. (2025). Heavy metals toxicity in plants: Understanding mechanisms and developing coping strategies for remediation: A review. Bioresources and Bioprocessing, 12(1), 95. </w:t>
      </w:r>
      <w:hyperlink r:id="rId63" w:history="1">
        <w:r w:rsidR="00DD50CF" w:rsidRPr="00DD37AF">
          <w:rPr>
            <w:rStyle w:val="Hyperlink"/>
            <w:rFonts w:ascii="Times New Roman" w:hAnsi="Times New Roman" w:cs="Times New Roman"/>
            <w:sz w:val="24"/>
            <w:szCs w:val="24"/>
            <w:shd w:val="clear" w:color="auto" w:fill="FFFFFF"/>
            <w:lang w:val="en-IN"/>
          </w:rPr>
          <w:t>https://doi.org/10.1186/s40643-025-00930-4</w:t>
        </w:r>
      </w:hyperlink>
    </w:p>
    <w:p w14:paraId="0C9BEA5F" w14:textId="5780940A" w:rsidR="000C4FC1" w:rsidRPr="00DD37AF"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DD37AF">
        <w:rPr>
          <w:rFonts w:ascii="Times New Roman" w:hAnsi="Times New Roman" w:cs="Times New Roman"/>
          <w:color w:val="000000" w:themeColor="text1"/>
          <w:sz w:val="24"/>
          <w:szCs w:val="24"/>
          <w:shd w:val="clear" w:color="auto" w:fill="FFFFFF"/>
          <w:lang w:val="en-IN"/>
        </w:rPr>
        <w:t xml:space="preserve">Moya, J., </w:t>
      </w:r>
      <w:r w:rsidR="00576920" w:rsidRPr="00DD37AF">
        <w:rPr>
          <w:rFonts w:ascii="Times New Roman" w:hAnsi="Times New Roman" w:cs="Times New Roman"/>
          <w:color w:val="000000" w:themeColor="text1"/>
          <w:sz w:val="24"/>
          <w:szCs w:val="24"/>
          <w:shd w:val="clear" w:color="auto" w:fill="FFFFFF"/>
          <w:lang w:val="en-IN"/>
        </w:rPr>
        <w:t>and</w:t>
      </w:r>
      <w:r w:rsidRPr="00DD37AF">
        <w:rPr>
          <w:rFonts w:ascii="Times New Roman" w:hAnsi="Times New Roman" w:cs="Times New Roman"/>
          <w:color w:val="000000" w:themeColor="text1"/>
          <w:sz w:val="24"/>
          <w:szCs w:val="24"/>
          <w:shd w:val="clear" w:color="auto" w:fill="FFFFFF"/>
          <w:lang w:val="en-IN"/>
        </w:rPr>
        <w:t xml:space="preserve"> Phillips, L. A. (2014). A review of soil and dust ingestion studies for children. Journal of Exposure Science &amp; Environmental Epidemiology, 24, 545–554. </w:t>
      </w:r>
      <w:hyperlink r:id="rId64" w:history="1">
        <w:r w:rsidR="00576920" w:rsidRPr="00DD37AF">
          <w:rPr>
            <w:rStyle w:val="Hyperlink"/>
            <w:rFonts w:ascii="Times New Roman" w:hAnsi="Times New Roman" w:cs="Times New Roman"/>
            <w:sz w:val="24"/>
            <w:szCs w:val="24"/>
            <w:shd w:val="clear" w:color="auto" w:fill="FFFFFF"/>
            <w:lang w:val="en-IN"/>
          </w:rPr>
          <w:t>https://doi.org/10.1038/jes.2014.17</w:t>
        </w:r>
      </w:hyperlink>
    </w:p>
    <w:p w14:paraId="6FB43AC0" w14:textId="1C3F3005" w:rsidR="000C4FC1" w:rsidRPr="00DD37AF"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DD37AF">
        <w:rPr>
          <w:rFonts w:ascii="Times New Roman" w:hAnsi="Times New Roman" w:cs="Times New Roman"/>
          <w:color w:val="000000" w:themeColor="text1"/>
          <w:sz w:val="24"/>
          <w:szCs w:val="24"/>
          <w:shd w:val="clear" w:color="auto" w:fill="FFFFFF"/>
          <w:lang w:val="en-IN"/>
        </w:rPr>
        <w:t xml:space="preserve">Naik, S., </w:t>
      </w:r>
      <w:proofErr w:type="spellStart"/>
      <w:r w:rsidRPr="00DD37AF">
        <w:rPr>
          <w:rFonts w:ascii="Times New Roman" w:hAnsi="Times New Roman" w:cs="Times New Roman"/>
          <w:color w:val="000000" w:themeColor="text1"/>
          <w:sz w:val="24"/>
          <w:szCs w:val="24"/>
          <w:shd w:val="clear" w:color="auto" w:fill="FFFFFF"/>
          <w:lang w:val="en-IN"/>
        </w:rPr>
        <w:t>Gamare</w:t>
      </w:r>
      <w:proofErr w:type="spellEnd"/>
      <w:r w:rsidRPr="00DD37AF">
        <w:rPr>
          <w:rFonts w:ascii="Times New Roman" w:hAnsi="Times New Roman" w:cs="Times New Roman"/>
          <w:color w:val="000000" w:themeColor="text1"/>
          <w:sz w:val="24"/>
          <w:szCs w:val="24"/>
          <w:shd w:val="clear" w:color="auto" w:fill="FFFFFF"/>
          <w:lang w:val="en-IN"/>
        </w:rPr>
        <w:t xml:space="preserve">, D., </w:t>
      </w:r>
      <w:r w:rsidR="00576920" w:rsidRPr="00DD37AF">
        <w:rPr>
          <w:rFonts w:ascii="Times New Roman" w:hAnsi="Times New Roman" w:cs="Times New Roman"/>
          <w:color w:val="000000" w:themeColor="text1"/>
          <w:sz w:val="24"/>
          <w:szCs w:val="24"/>
          <w:shd w:val="clear" w:color="auto" w:fill="FFFFFF"/>
          <w:lang w:val="en-IN"/>
        </w:rPr>
        <w:t>and</w:t>
      </w:r>
      <w:r w:rsidRPr="00DD37AF">
        <w:rPr>
          <w:rFonts w:ascii="Times New Roman" w:hAnsi="Times New Roman" w:cs="Times New Roman"/>
          <w:color w:val="000000" w:themeColor="text1"/>
          <w:sz w:val="24"/>
          <w:szCs w:val="24"/>
          <w:shd w:val="clear" w:color="auto" w:fill="FFFFFF"/>
          <w:lang w:val="en-IN"/>
        </w:rPr>
        <w:t xml:space="preserve"> </w:t>
      </w:r>
      <w:proofErr w:type="spellStart"/>
      <w:r w:rsidRPr="00DD37AF">
        <w:rPr>
          <w:rFonts w:ascii="Times New Roman" w:hAnsi="Times New Roman" w:cs="Times New Roman"/>
          <w:color w:val="000000" w:themeColor="text1"/>
          <w:sz w:val="24"/>
          <w:szCs w:val="24"/>
          <w:shd w:val="clear" w:color="auto" w:fill="FFFFFF"/>
          <w:lang w:val="en-IN"/>
        </w:rPr>
        <w:t>Bhopatrao</w:t>
      </w:r>
      <w:proofErr w:type="spellEnd"/>
      <w:r w:rsidRPr="00DD37AF">
        <w:rPr>
          <w:rFonts w:ascii="Times New Roman" w:hAnsi="Times New Roman" w:cs="Times New Roman"/>
          <w:color w:val="000000" w:themeColor="text1"/>
          <w:sz w:val="24"/>
          <w:szCs w:val="24"/>
          <w:shd w:val="clear" w:color="auto" w:fill="FFFFFF"/>
          <w:lang w:val="en-IN"/>
        </w:rPr>
        <w:t xml:space="preserve">, A. (2024). Chemical health hazards and toxicity of environmental pollutants on humans, animals and others: An overview. Journal of Toxicological Studies, 2, 1–19. </w:t>
      </w:r>
      <w:hyperlink r:id="rId65" w:history="1">
        <w:r w:rsidR="00576920" w:rsidRPr="00DD37AF">
          <w:rPr>
            <w:rStyle w:val="Hyperlink"/>
            <w:rFonts w:ascii="Times New Roman" w:hAnsi="Times New Roman" w:cs="Times New Roman"/>
            <w:sz w:val="24"/>
            <w:szCs w:val="24"/>
            <w:shd w:val="clear" w:color="auto" w:fill="FFFFFF"/>
            <w:lang w:val="en-IN"/>
          </w:rPr>
          <w:t>https://doi.org/10.59400/jts.v2i1.1135</w:t>
        </w:r>
      </w:hyperlink>
    </w:p>
    <w:p w14:paraId="703ECEF5" w14:textId="4CA90E22" w:rsidR="000C4FC1" w:rsidRPr="00DD37AF"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DD37AF">
        <w:rPr>
          <w:rFonts w:ascii="Times New Roman" w:hAnsi="Times New Roman" w:cs="Times New Roman"/>
          <w:color w:val="000000" w:themeColor="text1"/>
          <w:sz w:val="24"/>
          <w:szCs w:val="24"/>
          <w:shd w:val="clear" w:color="auto" w:fill="FFFFFF"/>
          <w:lang w:val="en-IN"/>
        </w:rPr>
        <w:t xml:space="preserve">Nama, M., Singh, D., Dhobi, D. K., Sharma, G., </w:t>
      </w:r>
      <w:r w:rsidR="00576920" w:rsidRPr="00DD37AF">
        <w:rPr>
          <w:rFonts w:ascii="Times New Roman" w:hAnsi="Times New Roman" w:cs="Times New Roman"/>
          <w:color w:val="000000" w:themeColor="text1"/>
          <w:sz w:val="24"/>
          <w:szCs w:val="24"/>
          <w:shd w:val="clear" w:color="auto" w:fill="FFFFFF"/>
          <w:lang w:val="en-IN"/>
        </w:rPr>
        <w:t>and</w:t>
      </w:r>
      <w:r w:rsidRPr="00DD37AF">
        <w:rPr>
          <w:rFonts w:ascii="Times New Roman" w:hAnsi="Times New Roman" w:cs="Times New Roman"/>
          <w:color w:val="000000" w:themeColor="text1"/>
          <w:sz w:val="24"/>
          <w:szCs w:val="24"/>
          <w:shd w:val="clear" w:color="auto" w:fill="FFFFFF"/>
          <w:lang w:val="en-IN"/>
        </w:rPr>
        <w:t xml:space="preserve"> </w:t>
      </w:r>
      <w:proofErr w:type="spellStart"/>
      <w:r w:rsidRPr="00DD37AF">
        <w:rPr>
          <w:rFonts w:ascii="Times New Roman" w:hAnsi="Times New Roman" w:cs="Times New Roman"/>
          <w:color w:val="000000" w:themeColor="text1"/>
          <w:sz w:val="24"/>
          <w:szCs w:val="24"/>
          <w:shd w:val="clear" w:color="auto" w:fill="FFFFFF"/>
          <w:lang w:val="en-IN"/>
        </w:rPr>
        <w:t>Vaisnav</w:t>
      </w:r>
      <w:proofErr w:type="spellEnd"/>
      <w:r w:rsidRPr="00DD37AF">
        <w:rPr>
          <w:rFonts w:ascii="Times New Roman" w:hAnsi="Times New Roman" w:cs="Times New Roman"/>
          <w:color w:val="000000" w:themeColor="text1"/>
          <w:sz w:val="24"/>
          <w:szCs w:val="24"/>
          <w:shd w:val="clear" w:color="auto" w:fill="FFFFFF"/>
          <w:lang w:val="en-IN"/>
        </w:rPr>
        <w:t>, D. (2016). Impact of solid industrial waste on soil. International Journal of Engineering Research &amp; Technology (IJERT), NCACE – 2016, 4(23).</w:t>
      </w:r>
    </w:p>
    <w:p w14:paraId="34968CE8" w14:textId="77777777" w:rsidR="000C4FC1" w:rsidRPr="00DD37AF" w:rsidRDefault="000C4FC1" w:rsidP="000A5331">
      <w:pPr>
        <w:spacing w:line="360" w:lineRule="auto"/>
        <w:jc w:val="both"/>
        <w:rPr>
          <w:rFonts w:ascii="Times New Roman" w:hAnsi="Times New Roman" w:cs="Times New Roman"/>
          <w:color w:val="000000" w:themeColor="text1"/>
          <w:sz w:val="24"/>
          <w:szCs w:val="24"/>
          <w:shd w:val="clear" w:color="auto" w:fill="FFFFFF"/>
        </w:rPr>
      </w:pPr>
      <w:r w:rsidRPr="00DD37AF">
        <w:rPr>
          <w:rStyle w:val="bold"/>
          <w:rFonts w:ascii="Times New Roman" w:hAnsi="Times New Roman" w:cs="Times New Roman"/>
          <w:color w:val="000000" w:themeColor="text1"/>
          <w:sz w:val="24"/>
          <w:szCs w:val="24"/>
          <w:bdr w:val="none" w:sz="0" w:space="0" w:color="auto" w:frame="1"/>
          <w:shd w:val="clear" w:color="auto" w:fill="FFFFFF"/>
        </w:rPr>
        <w:t>Needelman, B. A. (2013)</w:t>
      </w:r>
      <w:r w:rsidRPr="00DD37AF">
        <w:rPr>
          <w:rFonts w:ascii="Times New Roman" w:hAnsi="Times New Roman" w:cs="Times New Roman"/>
          <w:color w:val="000000" w:themeColor="text1"/>
          <w:sz w:val="24"/>
          <w:szCs w:val="24"/>
          <w:shd w:val="clear" w:color="auto" w:fill="FFFFFF"/>
        </w:rPr>
        <w:t> What Are Soils? </w:t>
      </w:r>
      <w:r w:rsidRPr="00DD37AF">
        <w:rPr>
          <w:rStyle w:val="topiccitationitalics"/>
          <w:rFonts w:ascii="Times New Roman" w:hAnsi="Times New Roman" w:cs="Times New Roman"/>
          <w:i/>
          <w:iCs/>
          <w:color w:val="000000" w:themeColor="text1"/>
          <w:sz w:val="24"/>
          <w:szCs w:val="24"/>
          <w:bdr w:val="none" w:sz="0" w:space="0" w:color="auto" w:frame="1"/>
          <w:shd w:val="clear" w:color="auto" w:fill="FFFFFF"/>
        </w:rPr>
        <w:t>Nature Education Knowledge</w:t>
      </w:r>
      <w:r w:rsidRPr="00DD37AF">
        <w:rPr>
          <w:rFonts w:ascii="Times New Roman" w:hAnsi="Times New Roman" w:cs="Times New Roman"/>
          <w:color w:val="000000" w:themeColor="text1"/>
          <w:sz w:val="24"/>
          <w:szCs w:val="24"/>
          <w:shd w:val="clear" w:color="auto" w:fill="FFFFFF"/>
        </w:rPr>
        <w:t> </w:t>
      </w:r>
      <w:r w:rsidRPr="00DD37AF">
        <w:rPr>
          <w:rStyle w:val="bold"/>
          <w:rFonts w:ascii="Times New Roman" w:hAnsi="Times New Roman" w:cs="Times New Roman"/>
          <w:color w:val="000000" w:themeColor="text1"/>
          <w:sz w:val="24"/>
          <w:szCs w:val="24"/>
          <w:bdr w:val="none" w:sz="0" w:space="0" w:color="auto" w:frame="1"/>
          <w:shd w:val="clear" w:color="auto" w:fill="FFFFFF"/>
        </w:rPr>
        <w:t>4(3)</w:t>
      </w:r>
      <w:r w:rsidRPr="00DD37AF">
        <w:rPr>
          <w:rFonts w:ascii="Times New Roman" w:hAnsi="Times New Roman" w:cs="Times New Roman"/>
          <w:color w:val="000000" w:themeColor="text1"/>
          <w:sz w:val="24"/>
          <w:szCs w:val="24"/>
          <w:shd w:val="clear" w:color="auto" w:fill="FFFFFF"/>
        </w:rPr>
        <w:t>:2.</w:t>
      </w:r>
    </w:p>
    <w:p w14:paraId="3901D19C" w14:textId="5AD01BC5" w:rsidR="00576920" w:rsidRPr="00DD37AF" w:rsidRDefault="000C4FC1" w:rsidP="001B1272">
      <w:pPr>
        <w:spacing w:line="360" w:lineRule="auto"/>
        <w:jc w:val="both"/>
        <w:rPr>
          <w:rFonts w:ascii="Times New Roman" w:hAnsi="Times New Roman" w:cs="Times New Roman"/>
          <w:sz w:val="24"/>
          <w:szCs w:val="24"/>
        </w:rPr>
      </w:pPr>
      <w:r w:rsidRPr="00DD37AF">
        <w:rPr>
          <w:rFonts w:ascii="Times New Roman" w:hAnsi="Times New Roman" w:cs="Times New Roman"/>
          <w:color w:val="000000" w:themeColor="text1"/>
          <w:sz w:val="24"/>
          <w:szCs w:val="24"/>
          <w:shd w:val="clear" w:color="auto" w:fill="FFFFFF"/>
          <w:lang w:val="en-IN"/>
        </w:rPr>
        <w:lastRenderedPageBreak/>
        <w:t xml:space="preserve">Olaniran, A. O., </w:t>
      </w:r>
      <w:proofErr w:type="spellStart"/>
      <w:r w:rsidRPr="00DD37AF">
        <w:rPr>
          <w:rFonts w:ascii="Times New Roman" w:hAnsi="Times New Roman" w:cs="Times New Roman"/>
          <w:color w:val="000000" w:themeColor="text1"/>
          <w:sz w:val="24"/>
          <w:szCs w:val="24"/>
          <w:shd w:val="clear" w:color="auto" w:fill="FFFFFF"/>
          <w:lang w:val="en-IN"/>
        </w:rPr>
        <w:t>Balgobind</w:t>
      </w:r>
      <w:proofErr w:type="spellEnd"/>
      <w:r w:rsidRPr="00DD37AF">
        <w:rPr>
          <w:rFonts w:ascii="Times New Roman" w:hAnsi="Times New Roman" w:cs="Times New Roman"/>
          <w:color w:val="000000" w:themeColor="text1"/>
          <w:sz w:val="24"/>
          <w:szCs w:val="24"/>
          <w:shd w:val="clear" w:color="auto" w:fill="FFFFFF"/>
          <w:lang w:val="en-IN"/>
        </w:rPr>
        <w:t xml:space="preserve">, A., </w:t>
      </w:r>
      <w:r w:rsidR="00576920" w:rsidRPr="00DD37AF">
        <w:rPr>
          <w:rFonts w:ascii="Times New Roman" w:hAnsi="Times New Roman" w:cs="Times New Roman"/>
          <w:color w:val="000000" w:themeColor="text1"/>
          <w:sz w:val="24"/>
          <w:szCs w:val="24"/>
          <w:shd w:val="clear" w:color="auto" w:fill="FFFFFF"/>
          <w:lang w:val="en-IN"/>
        </w:rPr>
        <w:t>and</w:t>
      </w:r>
      <w:r w:rsidRPr="00DD37AF">
        <w:rPr>
          <w:rFonts w:ascii="Times New Roman" w:hAnsi="Times New Roman" w:cs="Times New Roman"/>
          <w:color w:val="000000" w:themeColor="text1"/>
          <w:sz w:val="24"/>
          <w:szCs w:val="24"/>
          <w:shd w:val="clear" w:color="auto" w:fill="FFFFFF"/>
          <w:lang w:val="en-IN"/>
        </w:rPr>
        <w:t xml:space="preserve"> Pillay, B. (2013). Bioavailability of heavy metals in soil: Impact on microbial biodegradation of organic compounds and possible improvement strategies. International Journal of Molecular Sciences, 14(5), 10197–10228. </w:t>
      </w:r>
      <w:hyperlink r:id="rId66" w:history="1">
        <w:r w:rsidR="00576920" w:rsidRPr="00DD37AF">
          <w:rPr>
            <w:rStyle w:val="Hyperlink"/>
            <w:rFonts w:ascii="Times New Roman" w:hAnsi="Times New Roman" w:cs="Times New Roman"/>
            <w:sz w:val="24"/>
            <w:szCs w:val="24"/>
          </w:rPr>
          <w:t>https://doi.org/10.3390/ijms140510197</w:t>
        </w:r>
      </w:hyperlink>
    </w:p>
    <w:p w14:paraId="3B338EB7" w14:textId="3215C186" w:rsidR="000C4FC1" w:rsidRPr="00DD37AF" w:rsidRDefault="000C4FC1" w:rsidP="001B1272">
      <w:pPr>
        <w:spacing w:line="360" w:lineRule="auto"/>
        <w:jc w:val="both"/>
        <w:rPr>
          <w:rFonts w:ascii="Times New Roman" w:hAnsi="Times New Roman" w:cs="Times New Roman"/>
          <w:color w:val="000000" w:themeColor="text1"/>
          <w:sz w:val="24"/>
          <w:szCs w:val="24"/>
          <w:shd w:val="clear" w:color="auto" w:fill="FFFFFF"/>
          <w:lang w:val="en-IN"/>
        </w:rPr>
      </w:pPr>
      <w:r w:rsidRPr="00DD37AF">
        <w:rPr>
          <w:rFonts w:ascii="Times New Roman" w:hAnsi="Times New Roman" w:cs="Times New Roman"/>
          <w:color w:val="000000" w:themeColor="text1"/>
          <w:sz w:val="24"/>
          <w:szCs w:val="24"/>
        </w:rPr>
        <w:t xml:space="preserve">Page, A. L., Miller, R. H., </w:t>
      </w:r>
      <w:r w:rsidR="006F28C1" w:rsidRPr="00DD37AF">
        <w:rPr>
          <w:rFonts w:ascii="Times New Roman" w:hAnsi="Times New Roman" w:cs="Times New Roman"/>
          <w:color w:val="000000" w:themeColor="text1"/>
          <w:sz w:val="24"/>
          <w:szCs w:val="24"/>
        </w:rPr>
        <w:t>and</w:t>
      </w:r>
      <w:r w:rsidRPr="00DD37AF">
        <w:rPr>
          <w:rFonts w:ascii="Times New Roman" w:hAnsi="Times New Roman" w:cs="Times New Roman"/>
          <w:color w:val="000000" w:themeColor="text1"/>
          <w:sz w:val="24"/>
          <w:szCs w:val="24"/>
        </w:rPr>
        <w:t xml:space="preserve"> Keeney, D. R. (Eds.). (1982). Methods of soil analysis: Part 2. Chemical and microbiological properties (2nd ed., Agronomy Monograph 9). American Society of Agronomy and Soil Science Society of America.</w:t>
      </w:r>
    </w:p>
    <w:p w14:paraId="43F6DCC5" w14:textId="649833E0" w:rsidR="000C4FC1"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DD37AF">
        <w:rPr>
          <w:rFonts w:ascii="Times New Roman" w:hAnsi="Times New Roman" w:cs="Times New Roman"/>
          <w:color w:val="000000" w:themeColor="text1"/>
          <w:sz w:val="24"/>
          <w:szCs w:val="24"/>
          <w:shd w:val="clear" w:color="auto" w:fill="FFFFFF"/>
          <w:lang w:val="en-IN"/>
        </w:rPr>
        <w:t xml:space="preserve">Panqing, Y., Abliz, A., Xiaoli, S., </w:t>
      </w:r>
      <w:r w:rsidR="006F28C1" w:rsidRPr="00DD37AF">
        <w:rPr>
          <w:rFonts w:ascii="Times New Roman" w:hAnsi="Times New Roman" w:cs="Times New Roman"/>
          <w:color w:val="000000" w:themeColor="text1"/>
          <w:sz w:val="24"/>
          <w:szCs w:val="24"/>
          <w:shd w:val="clear" w:color="auto" w:fill="FFFFFF"/>
          <w:lang w:val="en-IN"/>
        </w:rPr>
        <w:t>and</w:t>
      </w:r>
      <w:r w:rsidRPr="00DD37AF">
        <w:rPr>
          <w:rFonts w:ascii="Times New Roman" w:hAnsi="Times New Roman" w:cs="Times New Roman"/>
          <w:color w:val="000000" w:themeColor="text1"/>
          <w:sz w:val="24"/>
          <w:szCs w:val="24"/>
          <w:shd w:val="clear" w:color="auto" w:fill="FFFFFF"/>
          <w:lang w:val="en-IN"/>
        </w:rPr>
        <w:t xml:space="preserve"> </w:t>
      </w:r>
      <w:proofErr w:type="spellStart"/>
      <w:r w:rsidRPr="00DD37AF">
        <w:rPr>
          <w:rFonts w:ascii="Times New Roman" w:hAnsi="Times New Roman" w:cs="Times New Roman"/>
          <w:color w:val="000000" w:themeColor="text1"/>
          <w:sz w:val="24"/>
          <w:szCs w:val="24"/>
          <w:shd w:val="clear" w:color="auto" w:fill="FFFFFF"/>
          <w:lang w:val="en-IN"/>
        </w:rPr>
        <w:t>Aisaiduli</w:t>
      </w:r>
      <w:proofErr w:type="spellEnd"/>
      <w:r w:rsidRPr="00DD37AF">
        <w:rPr>
          <w:rFonts w:ascii="Times New Roman" w:hAnsi="Times New Roman" w:cs="Times New Roman"/>
          <w:color w:val="000000" w:themeColor="text1"/>
          <w:sz w:val="24"/>
          <w:szCs w:val="24"/>
          <w:shd w:val="clear" w:color="auto" w:fill="FFFFFF"/>
          <w:lang w:val="en-IN"/>
        </w:rPr>
        <w:t xml:space="preserve">, H. (2023). Human health-risk assessment of heavy metal-contaminated soil based on Monte Carlo simulation. Scientific Reports, 13(1), 7033. </w:t>
      </w:r>
      <w:hyperlink r:id="rId67" w:history="1">
        <w:r w:rsidR="001C2292" w:rsidRPr="00DD37AF">
          <w:rPr>
            <w:rStyle w:val="Hyperlink"/>
            <w:rFonts w:ascii="Times New Roman" w:hAnsi="Times New Roman" w:cs="Times New Roman"/>
            <w:sz w:val="24"/>
            <w:szCs w:val="24"/>
            <w:shd w:val="clear" w:color="auto" w:fill="FFFFFF"/>
            <w:lang w:val="en-IN"/>
          </w:rPr>
          <w:t>https://doi.org/10.1038/s41598-023-33986-3</w:t>
        </w:r>
      </w:hyperlink>
    </w:p>
    <w:p w14:paraId="465A6428" w14:textId="6A8DE398" w:rsidR="002D4F6E"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Parjono. (2019). The study of nutrient macro soil (N, P, and K) in profile soil forest land, agroforestry, and dryland agriculture. </w:t>
      </w:r>
      <w:proofErr w:type="spellStart"/>
      <w:r w:rsidRPr="004D0CC2">
        <w:rPr>
          <w:rFonts w:ascii="Times New Roman" w:hAnsi="Times New Roman" w:cs="Times New Roman"/>
          <w:color w:val="000000" w:themeColor="text1"/>
          <w:sz w:val="24"/>
          <w:szCs w:val="24"/>
          <w:shd w:val="clear" w:color="auto" w:fill="FFFFFF"/>
          <w:lang w:val="en-IN"/>
        </w:rPr>
        <w:t>Musamus</w:t>
      </w:r>
      <w:proofErr w:type="spellEnd"/>
      <w:r w:rsidRPr="004D0CC2">
        <w:rPr>
          <w:rFonts w:ascii="Times New Roman" w:hAnsi="Times New Roman" w:cs="Times New Roman"/>
          <w:color w:val="000000" w:themeColor="text1"/>
          <w:sz w:val="24"/>
          <w:szCs w:val="24"/>
          <w:shd w:val="clear" w:color="auto" w:fill="FFFFFF"/>
          <w:lang w:val="en-IN"/>
        </w:rPr>
        <w:t xml:space="preserve"> AE Featuring Journal, 1, 35–40. </w:t>
      </w:r>
      <w:hyperlink r:id="rId68" w:history="1">
        <w:r w:rsidR="002D4F6E" w:rsidRPr="00C05111">
          <w:rPr>
            <w:rStyle w:val="Hyperlink"/>
            <w:rFonts w:ascii="Times New Roman" w:hAnsi="Times New Roman" w:cs="Times New Roman"/>
            <w:sz w:val="24"/>
            <w:szCs w:val="24"/>
            <w:shd w:val="clear" w:color="auto" w:fill="FFFFFF"/>
            <w:lang w:val="en-IN"/>
          </w:rPr>
          <w:t>https://doi.org/10.35724/maef-j.v1i2.1847</w:t>
        </w:r>
      </w:hyperlink>
    </w:p>
    <w:p w14:paraId="04248E9B" w14:textId="55E4991D" w:rsidR="000C4FC1"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Petruzzelli, G., </w:t>
      </w:r>
      <w:proofErr w:type="spellStart"/>
      <w:r w:rsidRPr="004D0CC2">
        <w:rPr>
          <w:rFonts w:ascii="Times New Roman" w:hAnsi="Times New Roman" w:cs="Times New Roman"/>
          <w:color w:val="000000" w:themeColor="text1"/>
          <w:sz w:val="24"/>
          <w:szCs w:val="24"/>
          <w:shd w:val="clear" w:color="auto" w:fill="FFFFFF"/>
          <w:lang w:val="en-IN"/>
        </w:rPr>
        <w:t>Pezzarossa</w:t>
      </w:r>
      <w:proofErr w:type="spellEnd"/>
      <w:r w:rsidRPr="004D0CC2">
        <w:rPr>
          <w:rFonts w:ascii="Times New Roman" w:hAnsi="Times New Roman" w:cs="Times New Roman"/>
          <w:color w:val="000000" w:themeColor="text1"/>
          <w:sz w:val="24"/>
          <w:szCs w:val="24"/>
          <w:shd w:val="clear" w:color="auto" w:fill="FFFFFF"/>
          <w:lang w:val="en-IN"/>
        </w:rPr>
        <w:t xml:space="preserve">, B., </w:t>
      </w:r>
      <w:r w:rsidR="002D4F6E">
        <w:rPr>
          <w:rFonts w:ascii="Times New Roman" w:hAnsi="Times New Roman" w:cs="Times New Roman"/>
          <w:color w:val="000000" w:themeColor="text1"/>
          <w:sz w:val="24"/>
          <w:szCs w:val="24"/>
          <w:shd w:val="clear" w:color="auto" w:fill="FFFFFF"/>
          <w:lang w:val="en-IN"/>
        </w:rPr>
        <w:t>and</w:t>
      </w:r>
      <w:r w:rsidRPr="004D0CC2">
        <w:rPr>
          <w:rFonts w:ascii="Times New Roman" w:hAnsi="Times New Roman" w:cs="Times New Roman"/>
          <w:color w:val="000000" w:themeColor="text1"/>
          <w:sz w:val="24"/>
          <w:szCs w:val="24"/>
          <w:shd w:val="clear" w:color="auto" w:fill="FFFFFF"/>
          <w:lang w:val="en-IN"/>
        </w:rPr>
        <w:t xml:space="preserve"> Pedron, F. (2025). The fate of chemical contaminants in soil with a view to potential risk to human health: A review. Environments, 12(6), 183. </w:t>
      </w:r>
      <w:hyperlink r:id="rId69" w:history="1">
        <w:r w:rsidR="002D4F6E" w:rsidRPr="00C05111">
          <w:rPr>
            <w:rStyle w:val="Hyperlink"/>
            <w:rFonts w:ascii="Times New Roman" w:hAnsi="Times New Roman" w:cs="Times New Roman"/>
            <w:sz w:val="24"/>
            <w:szCs w:val="24"/>
            <w:shd w:val="clear" w:color="auto" w:fill="FFFFFF"/>
            <w:lang w:val="en-IN"/>
          </w:rPr>
          <w:t>https://doi.org/10.3390/environments1206018</w:t>
        </w:r>
      </w:hyperlink>
    </w:p>
    <w:p w14:paraId="097F7A7F" w14:textId="489D3995"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Prasanna Kumar, T. P., </w:t>
      </w:r>
      <w:r w:rsidR="002D4F6E">
        <w:rPr>
          <w:rFonts w:ascii="Times New Roman" w:hAnsi="Times New Roman" w:cs="Times New Roman"/>
          <w:color w:val="000000" w:themeColor="text1"/>
          <w:sz w:val="24"/>
          <w:szCs w:val="24"/>
          <w:shd w:val="clear" w:color="auto" w:fill="FFFFFF"/>
          <w:lang w:val="en-IN"/>
        </w:rPr>
        <w:t>and</w:t>
      </w:r>
      <w:r w:rsidRPr="004D0CC2">
        <w:rPr>
          <w:rFonts w:ascii="Times New Roman" w:hAnsi="Times New Roman" w:cs="Times New Roman"/>
          <w:color w:val="000000" w:themeColor="text1"/>
          <w:sz w:val="24"/>
          <w:szCs w:val="24"/>
          <w:shd w:val="clear" w:color="auto" w:fill="FFFFFF"/>
          <w:lang w:val="en-IN"/>
        </w:rPr>
        <w:t xml:space="preserve"> Murali, T. (2023). Determination of nitrogen (N), phosphorous (P), potassium (K), pH and electrical conductivity of Jeevamrutham samples collected from different places of Telangana and Andhra Pradesh. Journal of Advanced Zoology, 44(S-5), 3275–3284.</w:t>
      </w:r>
    </w:p>
    <w:p w14:paraId="7A8B17B9" w14:textId="11A6D321" w:rsidR="000C4FC1"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Qadir, M., Schubert, S., Oster, J. D., Sposito, G., Minhas, P. S., Cheraghi, S. A. M., Murtaza, G., Mirzabaev, A., </w:t>
      </w:r>
      <w:r w:rsidR="002D4F6E">
        <w:rPr>
          <w:rFonts w:ascii="Times New Roman" w:hAnsi="Times New Roman" w:cs="Times New Roman"/>
          <w:color w:val="000000" w:themeColor="text1"/>
          <w:sz w:val="24"/>
          <w:szCs w:val="24"/>
          <w:shd w:val="clear" w:color="auto" w:fill="FFFFFF"/>
          <w:lang w:val="en-IN"/>
        </w:rPr>
        <w:t>and</w:t>
      </w:r>
      <w:r w:rsidRPr="004D0CC2">
        <w:rPr>
          <w:rFonts w:ascii="Times New Roman" w:hAnsi="Times New Roman" w:cs="Times New Roman"/>
          <w:color w:val="000000" w:themeColor="text1"/>
          <w:sz w:val="24"/>
          <w:szCs w:val="24"/>
          <w:shd w:val="clear" w:color="auto" w:fill="FFFFFF"/>
          <w:lang w:val="en-IN"/>
        </w:rPr>
        <w:t xml:space="preserve"> Saqib, M. (2018). High‑magnesium waters and soils: Emerging environmental and food security constraints. Science of The Total Environment, 642, 1108–1117. </w:t>
      </w:r>
      <w:hyperlink r:id="rId70" w:history="1">
        <w:r w:rsidR="002D4F6E" w:rsidRPr="00C05111">
          <w:rPr>
            <w:rStyle w:val="Hyperlink"/>
            <w:rFonts w:ascii="Times New Roman" w:hAnsi="Times New Roman" w:cs="Times New Roman"/>
            <w:sz w:val="24"/>
            <w:szCs w:val="24"/>
            <w:shd w:val="clear" w:color="auto" w:fill="FFFFFF"/>
            <w:lang w:val="en-IN"/>
          </w:rPr>
          <w:t>https://doi.org/10.1016/j.scitotenv.2018.06.090</w:t>
        </w:r>
      </w:hyperlink>
    </w:p>
    <w:p w14:paraId="451A203F" w14:textId="21ABE5E5" w:rsidR="000C4FC1"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Rahman, M. M., Alam, K., </w:t>
      </w:r>
      <w:r w:rsidR="002D4F6E">
        <w:rPr>
          <w:rFonts w:ascii="Times New Roman" w:hAnsi="Times New Roman" w:cs="Times New Roman"/>
          <w:color w:val="000000" w:themeColor="text1"/>
          <w:sz w:val="24"/>
          <w:szCs w:val="24"/>
          <w:shd w:val="clear" w:color="auto" w:fill="FFFFFF"/>
          <w:lang w:val="en-IN"/>
        </w:rPr>
        <w:t>and</w:t>
      </w:r>
      <w:r w:rsidRPr="004D0CC2">
        <w:rPr>
          <w:rFonts w:ascii="Times New Roman" w:hAnsi="Times New Roman" w:cs="Times New Roman"/>
          <w:color w:val="000000" w:themeColor="text1"/>
          <w:sz w:val="24"/>
          <w:szCs w:val="24"/>
          <w:shd w:val="clear" w:color="auto" w:fill="FFFFFF"/>
          <w:lang w:val="en-IN"/>
        </w:rPr>
        <w:t xml:space="preserve"> Velayutham, E. (2021). Is industrial pollution detrimental to public health? Evidence from the world’s most industrialised countries. BMC Public Health, 21, 1175. </w:t>
      </w:r>
      <w:hyperlink r:id="rId71" w:history="1">
        <w:r w:rsidR="002D4F6E" w:rsidRPr="00C05111">
          <w:rPr>
            <w:rStyle w:val="Hyperlink"/>
            <w:rFonts w:ascii="Times New Roman" w:hAnsi="Times New Roman" w:cs="Times New Roman"/>
            <w:sz w:val="24"/>
            <w:szCs w:val="24"/>
            <w:shd w:val="clear" w:color="auto" w:fill="FFFFFF"/>
            <w:lang w:val="en-IN"/>
          </w:rPr>
          <w:t>https://doi.org/10.1186/s12889-021-11217-6</w:t>
        </w:r>
      </w:hyperlink>
    </w:p>
    <w:p w14:paraId="0E74AD6E" w14:textId="62C63586" w:rsidR="002D4F6E" w:rsidRDefault="000C4FC1" w:rsidP="000A5331">
      <w:pPr>
        <w:spacing w:line="360" w:lineRule="auto"/>
        <w:jc w:val="both"/>
        <w:rPr>
          <w:rFonts w:ascii="Times New Roman" w:hAnsi="Times New Roman" w:cs="Times New Roman"/>
          <w:sz w:val="24"/>
          <w:szCs w:val="24"/>
        </w:rPr>
      </w:pPr>
      <w:r w:rsidRPr="004D0CC2">
        <w:rPr>
          <w:rFonts w:ascii="Times New Roman" w:hAnsi="Times New Roman" w:cs="Times New Roman"/>
          <w:color w:val="000000" w:themeColor="text1"/>
          <w:sz w:val="24"/>
          <w:szCs w:val="24"/>
          <w:shd w:val="clear" w:color="auto" w:fill="FFFFFF"/>
          <w:lang w:val="en-IN"/>
        </w:rPr>
        <w:lastRenderedPageBreak/>
        <w:t xml:space="preserve">Rajak, P., Roy, S., Ganguly, A., Mandi, M., Dutta, A., Das, K., Nanda, S., </w:t>
      </w:r>
      <w:proofErr w:type="spellStart"/>
      <w:r w:rsidRPr="004D0CC2">
        <w:rPr>
          <w:rFonts w:ascii="Times New Roman" w:hAnsi="Times New Roman" w:cs="Times New Roman"/>
          <w:color w:val="000000" w:themeColor="text1"/>
          <w:sz w:val="24"/>
          <w:szCs w:val="24"/>
          <w:shd w:val="clear" w:color="auto" w:fill="FFFFFF"/>
          <w:lang w:val="en-IN"/>
        </w:rPr>
        <w:t>Ghanty</w:t>
      </w:r>
      <w:proofErr w:type="spellEnd"/>
      <w:r w:rsidRPr="004D0CC2">
        <w:rPr>
          <w:rFonts w:ascii="Times New Roman" w:hAnsi="Times New Roman" w:cs="Times New Roman"/>
          <w:color w:val="000000" w:themeColor="text1"/>
          <w:sz w:val="24"/>
          <w:szCs w:val="24"/>
          <w:shd w:val="clear" w:color="auto" w:fill="FFFFFF"/>
          <w:lang w:val="en-IN"/>
        </w:rPr>
        <w:t xml:space="preserve">, S., </w:t>
      </w:r>
      <w:r w:rsidR="002D4F6E">
        <w:rPr>
          <w:rFonts w:ascii="Times New Roman" w:hAnsi="Times New Roman" w:cs="Times New Roman"/>
          <w:color w:val="000000" w:themeColor="text1"/>
          <w:sz w:val="24"/>
          <w:szCs w:val="24"/>
          <w:shd w:val="clear" w:color="auto" w:fill="FFFFFF"/>
          <w:lang w:val="en-IN"/>
        </w:rPr>
        <w:t>and</w:t>
      </w:r>
      <w:r w:rsidRPr="004D0CC2">
        <w:rPr>
          <w:rFonts w:ascii="Times New Roman" w:hAnsi="Times New Roman" w:cs="Times New Roman"/>
          <w:color w:val="000000" w:themeColor="text1"/>
          <w:sz w:val="24"/>
          <w:szCs w:val="24"/>
          <w:shd w:val="clear" w:color="auto" w:fill="FFFFFF"/>
          <w:lang w:val="en-IN"/>
        </w:rPr>
        <w:t xml:space="preserve"> Biswas, G. (2023). Agricultural pesticides – friends or foes to biosphere? Journal of Hazardous Materials Advances, 10, 100264. </w:t>
      </w:r>
      <w:hyperlink r:id="rId72" w:history="1">
        <w:r w:rsidR="0087412B" w:rsidRPr="00C05111">
          <w:rPr>
            <w:rStyle w:val="Hyperlink"/>
            <w:rFonts w:ascii="Times New Roman" w:hAnsi="Times New Roman" w:cs="Times New Roman"/>
            <w:sz w:val="24"/>
            <w:szCs w:val="24"/>
          </w:rPr>
          <w:t>https://doi.org/10.1016/j.hazadv.2023.100264</w:t>
        </w:r>
      </w:hyperlink>
    </w:p>
    <w:p w14:paraId="458C9394" w14:textId="5DD023A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Ramesh, N., </w:t>
      </w:r>
      <w:r w:rsidR="0087412B">
        <w:rPr>
          <w:rFonts w:ascii="Times New Roman" w:hAnsi="Times New Roman" w:cs="Times New Roman"/>
          <w:color w:val="000000" w:themeColor="text1"/>
          <w:sz w:val="24"/>
          <w:szCs w:val="24"/>
          <w:shd w:val="clear" w:color="auto" w:fill="FFFFFF"/>
          <w:lang w:val="en-IN"/>
        </w:rPr>
        <w:t>and</w:t>
      </w:r>
      <w:r w:rsidRPr="004D0CC2">
        <w:rPr>
          <w:rFonts w:ascii="Times New Roman" w:hAnsi="Times New Roman" w:cs="Times New Roman"/>
          <w:color w:val="000000" w:themeColor="text1"/>
          <w:sz w:val="24"/>
          <w:szCs w:val="24"/>
          <w:shd w:val="clear" w:color="auto" w:fill="FFFFFF"/>
          <w:lang w:val="en-IN"/>
        </w:rPr>
        <w:t xml:space="preserve"> Krishnaiah, D. (2015). Assessment of characteristics of urban area soil around Bellandur Lake, Bangalore, Karnataka, India. International Journal of Engineering Research and General Science, 3(3, Part-2), 332.</w:t>
      </w:r>
    </w:p>
    <w:p w14:paraId="3D0673ED" w14:textId="6A241445" w:rsidR="000C4FC1" w:rsidRDefault="000C4FC1" w:rsidP="000A5331">
      <w:pPr>
        <w:spacing w:line="360" w:lineRule="auto"/>
        <w:jc w:val="both"/>
        <w:rPr>
          <w:rFonts w:ascii="Times New Roman" w:hAnsi="Times New Roman" w:cs="Times New Roman"/>
          <w:color w:val="000000" w:themeColor="text1"/>
          <w:sz w:val="24"/>
          <w:szCs w:val="24"/>
          <w:shd w:val="clear" w:color="auto" w:fill="FFFFFF"/>
        </w:rPr>
      </w:pPr>
      <w:r w:rsidRPr="004D0CC2">
        <w:rPr>
          <w:rFonts w:ascii="Times New Roman" w:hAnsi="Times New Roman" w:cs="Times New Roman"/>
          <w:color w:val="000000" w:themeColor="text1"/>
          <w:sz w:val="24"/>
          <w:szCs w:val="24"/>
          <w:shd w:val="clear" w:color="auto" w:fill="FFFFFF"/>
        </w:rPr>
        <w:t xml:space="preserve">Raptopoulou, C., </w:t>
      </w:r>
      <w:proofErr w:type="spellStart"/>
      <w:r w:rsidRPr="004D0CC2">
        <w:rPr>
          <w:rFonts w:ascii="Times New Roman" w:hAnsi="Times New Roman" w:cs="Times New Roman"/>
          <w:color w:val="000000" w:themeColor="text1"/>
          <w:sz w:val="24"/>
          <w:szCs w:val="24"/>
          <w:shd w:val="clear" w:color="auto" w:fill="FFFFFF"/>
        </w:rPr>
        <w:t>Kalaitzidou</w:t>
      </w:r>
      <w:proofErr w:type="spellEnd"/>
      <w:r w:rsidRPr="004D0CC2">
        <w:rPr>
          <w:rFonts w:ascii="Times New Roman" w:hAnsi="Times New Roman" w:cs="Times New Roman"/>
          <w:color w:val="000000" w:themeColor="text1"/>
          <w:sz w:val="24"/>
          <w:szCs w:val="24"/>
          <w:shd w:val="clear" w:color="auto" w:fill="FFFFFF"/>
        </w:rPr>
        <w:t xml:space="preserve">, K., </w:t>
      </w:r>
      <w:proofErr w:type="spellStart"/>
      <w:r w:rsidRPr="004D0CC2">
        <w:rPr>
          <w:rFonts w:ascii="Times New Roman" w:hAnsi="Times New Roman" w:cs="Times New Roman"/>
          <w:color w:val="000000" w:themeColor="text1"/>
          <w:sz w:val="24"/>
          <w:szCs w:val="24"/>
          <w:shd w:val="clear" w:color="auto" w:fill="FFFFFF"/>
        </w:rPr>
        <w:t>Tolkou</w:t>
      </w:r>
      <w:proofErr w:type="spellEnd"/>
      <w:r w:rsidRPr="004D0CC2">
        <w:rPr>
          <w:rFonts w:ascii="Times New Roman" w:hAnsi="Times New Roman" w:cs="Times New Roman"/>
          <w:color w:val="000000" w:themeColor="text1"/>
          <w:sz w:val="24"/>
          <w:szCs w:val="24"/>
          <w:shd w:val="clear" w:color="auto" w:fill="FFFFFF"/>
        </w:rPr>
        <w:t xml:space="preserve">, A., </w:t>
      </w:r>
      <w:proofErr w:type="spellStart"/>
      <w:r w:rsidRPr="004D0CC2">
        <w:rPr>
          <w:rFonts w:ascii="Times New Roman" w:hAnsi="Times New Roman" w:cs="Times New Roman"/>
          <w:color w:val="000000" w:themeColor="text1"/>
          <w:sz w:val="24"/>
          <w:szCs w:val="24"/>
          <w:shd w:val="clear" w:color="auto" w:fill="FFFFFF"/>
        </w:rPr>
        <w:t>Palasantza</w:t>
      </w:r>
      <w:proofErr w:type="spellEnd"/>
      <w:r w:rsidRPr="004D0CC2">
        <w:rPr>
          <w:rFonts w:ascii="Times New Roman" w:hAnsi="Times New Roman" w:cs="Times New Roman"/>
          <w:color w:val="000000" w:themeColor="text1"/>
          <w:sz w:val="24"/>
          <w:szCs w:val="24"/>
          <w:shd w:val="clear" w:color="auto" w:fill="FFFFFF"/>
        </w:rPr>
        <w:t xml:space="preserve">, P. A., </w:t>
      </w:r>
      <w:proofErr w:type="spellStart"/>
      <w:r w:rsidRPr="004D0CC2">
        <w:rPr>
          <w:rFonts w:ascii="Times New Roman" w:hAnsi="Times New Roman" w:cs="Times New Roman"/>
          <w:color w:val="000000" w:themeColor="text1"/>
          <w:sz w:val="24"/>
          <w:szCs w:val="24"/>
          <w:shd w:val="clear" w:color="auto" w:fill="FFFFFF"/>
        </w:rPr>
        <w:t>Mitrakas</w:t>
      </w:r>
      <w:proofErr w:type="spellEnd"/>
      <w:r w:rsidRPr="004D0CC2">
        <w:rPr>
          <w:rFonts w:ascii="Times New Roman" w:hAnsi="Times New Roman" w:cs="Times New Roman"/>
          <w:color w:val="000000" w:themeColor="text1"/>
          <w:sz w:val="24"/>
          <w:szCs w:val="24"/>
          <w:shd w:val="clear" w:color="auto" w:fill="FFFFFF"/>
        </w:rPr>
        <w:t xml:space="preserve">, M., </w:t>
      </w:r>
      <w:r w:rsidR="00E67EAC">
        <w:rPr>
          <w:rFonts w:ascii="Times New Roman" w:hAnsi="Times New Roman" w:cs="Times New Roman"/>
          <w:color w:val="000000" w:themeColor="text1"/>
          <w:sz w:val="24"/>
          <w:szCs w:val="24"/>
          <w:shd w:val="clear" w:color="auto" w:fill="FFFFFF"/>
        </w:rPr>
        <w:t>and</w:t>
      </w:r>
      <w:r w:rsidRPr="004D0CC2">
        <w:rPr>
          <w:rFonts w:ascii="Times New Roman" w:hAnsi="Times New Roman" w:cs="Times New Roman"/>
          <w:color w:val="000000" w:themeColor="text1"/>
          <w:sz w:val="24"/>
          <w:szCs w:val="24"/>
          <w:shd w:val="clear" w:color="auto" w:fill="FFFFFF"/>
        </w:rPr>
        <w:t xml:space="preserve"> </w:t>
      </w:r>
      <w:proofErr w:type="spellStart"/>
      <w:r w:rsidRPr="004D0CC2">
        <w:rPr>
          <w:rFonts w:ascii="Times New Roman" w:hAnsi="Times New Roman" w:cs="Times New Roman"/>
          <w:color w:val="000000" w:themeColor="text1"/>
          <w:sz w:val="24"/>
          <w:szCs w:val="24"/>
          <w:shd w:val="clear" w:color="auto" w:fill="FFFFFF"/>
        </w:rPr>
        <w:t>Zouboulis</w:t>
      </w:r>
      <w:proofErr w:type="spellEnd"/>
      <w:r w:rsidRPr="004D0CC2">
        <w:rPr>
          <w:rFonts w:ascii="Times New Roman" w:hAnsi="Times New Roman" w:cs="Times New Roman"/>
          <w:color w:val="000000" w:themeColor="text1"/>
          <w:sz w:val="24"/>
          <w:szCs w:val="24"/>
          <w:shd w:val="clear" w:color="auto" w:fill="FFFFFF"/>
        </w:rPr>
        <w:t>, A. (2016). Phosphate removal from effluent of secondary wastewater treatment: characterization of recovered precipitates and potential re-use as fertilizer. </w:t>
      </w:r>
      <w:r w:rsidRPr="004D0CC2">
        <w:rPr>
          <w:rFonts w:ascii="Times New Roman" w:hAnsi="Times New Roman" w:cs="Times New Roman"/>
          <w:i/>
          <w:iCs/>
          <w:color w:val="000000" w:themeColor="text1"/>
          <w:sz w:val="24"/>
          <w:szCs w:val="24"/>
          <w:shd w:val="clear" w:color="auto" w:fill="FFFFFF"/>
        </w:rPr>
        <w:t>Waste and biomass valorization</w:t>
      </w:r>
      <w:r w:rsidRPr="004D0CC2">
        <w:rPr>
          <w:rFonts w:ascii="Times New Roman" w:hAnsi="Times New Roman" w:cs="Times New Roman"/>
          <w:color w:val="000000" w:themeColor="text1"/>
          <w:sz w:val="24"/>
          <w:szCs w:val="24"/>
          <w:shd w:val="clear" w:color="auto" w:fill="FFFFFF"/>
        </w:rPr>
        <w:t>, </w:t>
      </w:r>
      <w:r w:rsidRPr="004D0CC2">
        <w:rPr>
          <w:rFonts w:ascii="Times New Roman" w:hAnsi="Times New Roman" w:cs="Times New Roman"/>
          <w:i/>
          <w:iCs/>
          <w:color w:val="000000" w:themeColor="text1"/>
          <w:sz w:val="24"/>
          <w:szCs w:val="24"/>
          <w:shd w:val="clear" w:color="auto" w:fill="FFFFFF"/>
        </w:rPr>
        <w:t>7</w:t>
      </w:r>
      <w:r w:rsidRPr="004D0CC2">
        <w:rPr>
          <w:rFonts w:ascii="Times New Roman" w:hAnsi="Times New Roman" w:cs="Times New Roman"/>
          <w:color w:val="000000" w:themeColor="text1"/>
          <w:sz w:val="24"/>
          <w:szCs w:val="24"/>
          <w:shd w:val="clear" w:color="auto" w:fill="FFFFFF"/>
        </w:rPr>
        <w:t>(4), 851-860.</w:t>
      </w:r>
      <w:r w:rsidR="006D64AE" w:rsidRPr="006D64AE">
        <w:rPr>
          <w:rFonts w:ascii="Merriweather Sans" w:hAnsi="Merriweather Sans"/>
          <w:color w:val="222222"/>
          <w:shd w:val="clear" w:color="auto" w:fill="FFFFFF"/>
        </w:rPr>
        <w:t xml:space="preserve"> </w:t>
      </w:r>
      <w:hyperlink r:id="rId73" w:history="1">
        <w:r w:rsidR="006D64AE" w:rsidRPr="002E5789">
          <w:rPr>
            <w:rStyle w:val="Hyperlink"/>
            <w:rFonts w:ascii="Times New Roman" w:hAnsi="Times New Roman" w:cs="Times New Roman"/>
            <w:sz w:val="24"/>
            <w:szCs w:val="24"/>
            <w:shd w:val="clear" w:color="auto" w:fill="FFFFFF"/>
          </w:rPr>
          <w:t>https://doi.org/10.1007/s12649-016-9516-2</w:t>
        </w:r>
      </w:hyperlink>
    </w:p>
    <w:p w14:paraId="3B9A18CD" w14:textId="41573F13" w:rsidR="000C4FC1" w:rsidRPr="00471219"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bookmarkStart w:id="3" w:name="_Hlk226138386"/>
      <w:r w:rsidRPr="004D0CC2">
        <w:rPr>
          <w:rFonts w:ascii="Times New Roman" w:hAnsi="Times New Roman" w:cs="Times New Roman"/>
          <w:color w:val="000000" w:themeColor="text1"/>
          <w:sz w:val="24"/>
          <w:szCs w:val="24"/>
          <w:shd w:val="clear" w:color="auto" w:fill="FFFFFF"/>
          <w:lang w:val="en-IN"/>
        </w:rPr>
        <w:t xml:space="preserve">Rodrigues, S. M., </w:t>
      </w:r>
      <w:r w:rsidR="00725012">
        <w:rPr>
          <w:rFonts w:ascii="Times New Roman" w:hAnsi="Times New Roman" w:cs="Times New Roman"/>
          <w:color w:val="000000" w:themeColor="text1"/>
          <w:sz w:val="24"/>
          <w:szCs w:val="24"/>
          <w:shd w:val="clear" w:color="auto" w:fill="FFFFFF"/>
          <w:lang w:val="en-IN"/>
        </w:rPr>
        <w:t>and</w:t>
      </w:r>
      <w:r w:rsidRPr="004D0CC2">
        <w:rPr>
          <w:rFonts w:ascii="Times New Roman" w:hAnsi="Times New Roman" w:cs="Times New Roman"/>
          <w:color w:val="000000" w:themeColor="text1"/>
          <w:sz w:val="24"/>
          <w:szCs w:val="24"/>
          <w:shd w:val="clear" w:color="auto" w:fill="FFFFFF"/>
          <w:lang w:val="en-IN"/>
        </w:rPr>
        <w:t xml:space="preserve"> Römkens, P. F. A. M. (2026). </w:t>
      </w:r>
      <w:bookmarkEnd w:id="3"/>
      <w:r w:rsidRPr="004D0CC2">
        <w:rPr>
          <w:rFonts w:ascii="Times New Roman" w:hAnsi="Times New Roman" w:cs="Times New Roman"/>
          <w:color w:val="000000" w:themeColor="text1"/>
          <w:sz w:val="24"/>
          <w:szCs w:val="24"/>
          <w:shd w:val="clear" w:color="auto" w:fill="FFFFFF"/>
          <w:lang w:val="en-IN"/>
        </w:rPr>
        <w:t xml:space="preserve">Human health risks and soil pollution. In T. A. P. Rocha-Santos, A. Cachada, &amp; A. C. Duarte (Eds.), Soil pollution (2nd ed., pp. 271–306). Academic Press. </w:t>
      </w:r>
      <w:hyperlink r:id="rId74" w:history="1">
        <w:r w:rsidR="00725012" w:rsidRPr="00471219">
          <w:rPr>
            <w:rStyle w:val="Hyperlink"/>
            <w:rFonts w:ascii="Times New Roman" w:hAnsi="Times New Roman" w:cs="Times New Roman"/>
            <w:sz w:val="24"/>
            <w:szCs w:val="24"/>
            <w:shd w:val="clear" w:color="auto" w:fill="FFFFFF"/>
            <w:lang w:val="en-IN"/>
          </w:rPr>
          <w:t>https://doi.org/10.1016/B978-0-443-33329-3.00010-6</w:t>
        </w:r>
      </w:hyperlink>
    </w:p>
    <w:p w14:paraId="65A1BB06" w14:textId="6FC99C00" w:rsidR="000C4FC1"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872413">
        <w:rPr>
          <w:rFonts w:ascii="Times New Roman" w:hAnsi="Times New Roman" w:cs="Times New Roman"/>
          <w:color w:val="000000" w:themeColor="text1"/>
          <w:sz w:val="24"/>
          <w:szCs w:val="24"/>
          <w:shd w:val="clear" w:color="auto" w:fill="FFFFFF"/>
          <w:lang w:val="en-IN"/>
        </w:rPr>
        <w:t xml:space="preserve">Sagwal, A., Wadhwa, P., Shubham, </w:t>
      </w:r>
      <w:r w:rsidR="00872413" w:rsidRPr="00872413">
        <w:rPr>
          <w:rFonts w:ascii="Times New Roman" w:hAnsi="Times New Roman" w:cs="Times New Roman"/>
          <w:color w:val="000000" w:themeColor="text1"/>
          <w:sz w:val="24"/>
          <w:szCs w:val="24"/>
          <w:shd w:val="clear" w:color="auto" w:fill="FFFFFF"/>
          <w:lang w:val="en-IN"/>
        </w:rPr>
        <w:t>and</w:t>
      </w:r>
      <w:r w:rsidRPr="00872413">
        <w:rPr>
          <w:rFonts w:ascii="Times New Roman" w:hAnsi="Times New Roman" w:cs="Times New Roman"/>
          <w:color w:val="000000" w:themeColor="text1"/>
          <w:sz w:val="24"/>
          <w:szCs w:val="24"/>
          <w:shd w:val="clear" w:color="auto" w:fill="FFFFFF"/>
          <w:lang w:val="en-IN"/>
        </w:rPr>
        <w:t xml:space="preserve"> Kaushal, S. (2023). </w:t>
      </w:r>
      <w:r w:rsidRPr="004D0CC2">
        <w:rPr>
          <w:rFonts w:ascii="Times New Roman" w:hAnsi="Times New Roman" w:cs="Times New Roman"/>
          <w:color w:val="000000" w:themeColor="text1"/>
          <w:sz w:val="24"/>
          <w:szCs w:val="24"/>
          <w:shd w:val="clear" w:color="auto" w:fill="FFFFFF"/>
          <w:lang w:val="en-IN"/>
        </w:rPr>
        <w:t>Essentiality of micronutrients in soil: A review. International Journal of Plant &amp; Soil Science, 35(24), 56–65.</w:t>
      </w:r>
      <w:r w:rsidR="00725012">
        <w:rPr>
          <w:rFonts w:ascii="Times New Roman" w:hAnsi="Times New Roman" w:cs="Times New Roman"/>
          <w:color w:val="000000" w:themeColor="text1"/>
          <w:sz w:val="24"/>
          <w:szCs w:val="24"/>
          <w:shd w:val="clear" w:color="auto" w:fill="FFFFFF"/>
          <w:lang w:val="en-IN"/>
        </w:rPr>
        <w:t xml:space="preserve"> </w:t>
      </w:r>
      <w:hyperlink r:id="rId75" w:history="1">
        <w:r w:rsidR="00725012" w:rsidRPr="00C05111">
          <w:rPr>
            <w:rStyle w:val="Hyperlink"/>
            <w:rFonts w:ascii="Times New Roman" w:hAnsi="Times New Roman" w:cs="Times New Roman"/>
            <w:sz w:val="24"/>
            <w:szCs w:val="24"/>
            <w:shd w:val="clear" w:color="auto" w:fill="FFFFFF"/>
            <w:lang w:val="en-IN"/>
          </w:rPr>
          <w:t>https://doi.org/10.9734/ijpss/2023/v35i244297</w:t>
        </w:r>
      </w:hyperlink>
    </w:p>
    <w:p w14:paraId="3240BCDC" w14:textId="3994D958" w:rsidR="000C4FC1"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proofErr w:type="spellStart"/>
      <w:r w:rsidRPr="004D0CC2">
        <w:rPr>
          <w:rFonts w:ascii="Times New Roman" w:hAnsi="Times New Roman" w:cs="Times New Roman"/>
          <w:color w:val="000000" w:themeColor="text1"/>
          <w:sz w:val="24"/>
          <w:szCs w:val="24"/>
          <w:shd w:val="clear" w:color="auto" w:fill="FFFFFF"/>
          <w:lang w:val="en-IN"/>
        </w:rPr>
        <w:t>Sangkham</w:t>
      </w:r>
      <w:proofErr w:type="spellEnd"/>
      <w:r w:rsidRPr="004D0CC2">
        <w:rPr>
          <w:rFonts w:ascii="Times New Roman" w:hAnsi="Times New Roman" w:cs="Times New Roman"/>
          <w:color w:val="000000" w:themeColor="text1"/>
          <w:sz w:val="24"/>
          <w:szCs w:val="24"/>
          <w:shd w:val="clear" w:color="auto" w:fill="FFFFFF"/>
          <w:lang w:val="en-IN"/>
        </w:rPr>
        <w:t xml:space="preserve">, S., </w:t>
      </w:r>
      <w:proofErr w:type="spellStart"/>
      <w:r w:rsidRPr="004D0CC2">
        <w:rPr>
          <w:rFonts w:ascii="Times New Roman" w:hAnsi="Times New Roman" w:cs="Times New Roman"/>
          <w:color w:val="000000" w:themeColor="text1"/>
          <w:sz w:val="24"/>
          <w:szCs w:val="24"/>
          <w:shd w:val="clear" w:color="auto" w:fill="FFFFFF"/>
          <w:lang w:val="en-IN"/>
        </w:rPr>
        <w:t>Phairuang</w:t>
      </w:r>
      <w:proofErr w:type="spellEnd"/>
      <w:r w:rsidRPr="004D0CC2">
        <w:rPr>
          <w:rFonts w:ascii="Times New Roman" w:hAnsi="Times New Roman" w:cs="Times New Roman"/>
          <w:color w:val="000000" w:themeColor="text1"/>
          <w:sz w:val="24"/>
          <w:szCs w:val="24"/>
          <w:shd w:val="clear" w:color="auto" w:fill="FFFFFF"/>
          <w:lang w:val="en-IN"/>
        </w:rPr>
        <w:t xml:space="preserve">, W., </w:t>
      </w:r>
      <w:proofErr w:type="spellStart"/>
      <w:r w:rsidRPr="004D0CC2">
        <w:rPr>
          <w:rFonts w:ascii="Times New Roman" w:hAnsi="Times New Roman" w:cs="Times New Roman"/>
          <w:color w:val="000000" w:themeColor="text1"/>
          <w:sz w:val="24"/>
          <w:szCs w:val="24"/>
          <w:shd w:val="clear" w:color="auto" w:fill="FFFFFF"/>
          <w:lang w:val="en-IN"/>
        </w:rPr>
        <w:t>Sherchan</w:t>
      </w:r>
      <w:proofErr w:type="spellEnd"/>
      <w:r w:rsidRPr="004D0CC2">
        <w:rPr>
          <w:rFonts w:ascii="Times New Roman" w:hAnsi="Times New Roman" w:cs="Times New Roman"/>
          <w:color w:val="000000" w:themeColor="text1"/>
          <w:sz w:val="24"/>
          <w:szCs w:val="24"/>
          <w:shd w:val="clear" w:color="auto" w:fill="FFFFFF"/>
          <w:lang w:val="en-IN"/>
        </w:rPr>
        <w:t xml:space="preserve">, S. P., </w:t>
      </w:r>
      <w:proofErr w:type="spellStart"/>
      <w:r w:rsidRPr="004D0CC2">
        <w:rPr>
          <w:rFonts w:ascii="Times New Roman" w:hAnsi="Times New Roman" w:cs="Times New Roman"/>
          <w:color w:val="000000" w:themeColor="text1"/>
          <w:sz w:val="24"/>
          <w:szCs w:val="24"/>
          <w:shd w:val="clear" w:color="auto" w:fill="FFFFFF"/>
          <w:lang w:val="en-IN"/>
        </w:rPr>
        <w:t>Pansakun</w:t>
      </w:r>
      <w:proofErr w:type="spellEnd"/>
      <w:r w:rsidRPr="004D0CC2">
        <w:rPr>
          <w:rFonts w:ascii="Times New Roman" w:hAnsi="Times New Roman" w:cs="Times New Roman"/>
          <w:color w:val="000000" w:themeColor="text1"/>
          <w:sz w:val="24"/>
          <w:szCs w:val="24"/>
          <w:shd w:val="clear" w:color="auto" w:fill="FFFFFF"/>
          <w:lang w:val="en-IN"/>
        </w:rPr>
        <w:t xml:space="preserve">, N., Munkong, N., </w:t>
      </w:r>
      <w:proofErr w:type="spellStart"/>
      <w:r w:rsidRPr="004D0CC2">
        <w:rPr>
          <w:rFonts w:ascii="Times New Roman" w:hAnsi="Times New Roman" w:cs="Times New Roman"/>
          <w:color w:val="000000" w:themeColor="text1"/>
          <w:sz w:val="24"/>
          <w:szCs w:val="24"/>
          <w:shd w:val="clear" w:color="auto" w:fill="FFFFFF"/>
          <w:lang w:val="en-IN"/>
        </w:rPr>
        <w:t>Sarndhong</w:t>
      </w:r>
      <w:proofErr w:type="spellEnd"/>
      <w:r w:rsidRPr="004D0CC2">
        <w:rPr>
          <w:rFonts w:ascii="Times New Roman" w:hAnsi="Times New Roman" w:cs="Times New Roman"/>
          <w:color w:val="000000" w:themeColor="text1"/>
          <w:sz w:val="24"/>
          <w:szCs w:val="24"/>
          <w:shd w:val="clear" w:color="auto" w:fill="FFFFFF"/>
          <w:lang w:val="en-IN"/>
        </w:rPr>
        <w:t xml:space="preserve">, K., Islam, M. A., </w:t>
      </w:r>
      <w:r w:rsidR="00872413">
        <w:rPr>
          <w:rFonts w:ascii="Times New Roman" w:hAnsi="Times New Roman" w:cs="Times New Roman"/>
          <w:color w:val="000000" w:themeColor="text1"/>
          <w:sz w:val="24"/>
          <w:szCs w:val="24"/>
          <w:shd w:val="clear" w:color="auto" w:fill="FFFFFF"/>
          <w:lang w:val="en-IN"/>
        </w:rPr>
        <w:t>and</w:t>
      </w:r>
      <w:r w:rsidRPr="004D0CC2">
        <w:rPr>
          <w:rFonts w:ascii="Times New Roman" w:hAnsi="Times New Roman" w:cs="Times New Roman"/>
          <w:color w:val="000000" w:themeColor="text1"/>
          <w:sz w:val="24"/>
          <w:szCs w:val="24"/>
          <w:shd w:val="clear" w:color="auto" w:fill="FFFFFF"/>
          <w:lang w:val="en-IN"/>
        </w:rPr>
        <w:t xml:space="preserve"> </w:t>
      </w:r>
      <w:proofErr w:type="spellStart"/>
      <w:r w:rsidRPr="004D0CC2">
        <w:rPr>
          <w:rFonts w:ascii="Times New Roman" w:hAnsi="Times New Roman" w:cs="Times New Roman"/>
          <w:color w:val="000000" w:themeColor="text1"/>
          <w:sz w:val="24"/>
          <w:szCs w:val="24"/>
          <w:shd w:val="clear" w:color="auto" w:fill="FFFFFF"/>
          <w:lang w:val="en-IN"/>
        </w:rPr>
        <w:t>Sakunkoo</w:t>
      </w:r>
      <w:proofErr w:type="spellEnd"/>
      <w:r w:rsidRPr="004D0CC2">
        <w:rPr>
          <w:rFonts w:ascii="Times New Roman" w:hAnsi="Times New Roman" w:cs="Times New Roman"/>
          <w:color w:val="000000" w:themeColor="text1"/>
          <w:sz w:val="24"/>
          <w:szCs w:val="24"/>
          <w:shd w:val="clear" w:color="auto" w:fill="FFFFFF"/>
          <w:lang w:val="en-IN"/>
        </w:rPr>
        <w:t xml:space="preserve">, P. (2024). An update on adverse health effects from exposure to PM2.5. Environmental Advances, 18, 100603. </w:t>
      </w:r>
      <w:hyperlink r:id="rId76" w:history="1">
        <w:r w:rsidR="00250B20" w:rsidRPr="00C05111">
          <w:rPr>
            <w:rStyle w:val="Hyperlink"/>
            <w:rFonts w:ascii="Times New Roman" w:hAnsi="Times New Roman" w:cs="Times New Roman"/>
            <w:sz w:val="24"/>
            <w:szCs w:val="24"/>
            <w:shd w:val="clear" w:color="auto" w:fill="FFFFFF"/>
            <w:lang w:val="en-IN"/>
          </w:rPr>
          <w:t>https://doi.org/10.1016/j.envadv.2024.100603</w:t>
        </w:r>
      </w:hyperlink>
    </w:p>
    <w:p w14:paraId="789A1058" w14:textId="2CA9AF3F" w:rsidR="000C4FC1"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Santorufo, L., Memoli, V., Panico, S. C., Esposito, F., Vitale, L., Di Natale, G., </w:t>
      </w:r>
      <w:proofErr w:type="spellStart"/>
      <w:r w:rsidRPr="004D0CC2">
        <w:rPr>
          <w:rFonts w:ascii="Times New Roman" w:hAnsi="Times New Roman" w:cs="Times New Roman"/>
          <w:color w:val="000000" w:themeColor="text1"/>
          <w:sz w:val="24"/>
          <w:szCs w:val="24"/>
          <w:shd w:val="clear" w:color="auto" w:fill="FFFFFF"/>
          <w:lang w:val="en-IN"/>
        </w:rPr>
        <w:t>Trifuoggi</w:t>
      </w:r>
      <w:proofErr w:type="spellEnd"/>
      <w:r w:rsidRPr="004D0CC2">
        <w:rPr>
          <w:rFonts w:ascii="Times New Roman" w:hAnsi="Times New Roman" w:cs="Times New Roman"/>
          <w:color w:val="000000" w:themeColor="text1"/>
          <w:sz w:val="24"/>
          <w:szCs w:val="24"/>
          <w:shd w:val="clear" w:color="auto" w:fill="FFFFFF"/>
          <w:lang w:val="en-IN"/>
        </w:rPr>
        <w:t xml:space="preserve">, M., Barile, R., De Marco, A., </w:t>
      </w:r>
      <w:r w:rsidR="00250B20">
        <w:rPr>
          <w:rFonts w:ascii="Times New Roman" w:hAnsi="Times New Roman" w:cs="Times New Roman"/>
          <w:color w:val="000000" w:themeColor="text1"/>
          <w:sz w:val="24"/>
          <w:szCs w:val="24"/>
          <w:shd w:val="clear" w:color="auto" w:fill="FFFFFF"/>
          <w:lang w:val="en-IN"/>
        </w:rPr>
        <w:t>and</w:t>
      </w:r>
      <w:r w:rsidRPr="004D0CC2">
        <w:rPr>
          <w:rFonts w:ascii="Times New Roman" w:hAnsi="Times New Roman" w:cs="Times New Roman"/>
          <w:color w:val="000000" w:themeColor="text1"/>
          <w:sz w:val="24"/>
          <w:szCs w:val="24"/>
          <w:shd w:val="clear" w:color="auto" w:fill="FFFFFF"/>
          <w:lang w:val="en-IN"/>
        </w:rPr>
        <w:t xml:space="preserve"> Maisto, G. (2021). Impact of anthropic activities on soil quality under different land uses. International Journal of Environmental Research and Public Health, 18(16), 8423. </w:t>
      </w:r>
      <w:hyperlink r:id="rId77" w:history="1">
        <w:r w:rsidR="00250B20" w:rsidRPr="00C05111">
          <w:rPr>
            <w:rStyle w:val="Hyperlink"/>
            <w:rFonts w:ascii="Times New Roman" w:hAnsi="Times New Roman" w:cs="Times New Roman"/>
            <w:sz w:val="24"/>
            <w:szCs w:val="24"/>
            <w:shd w:val="clear" w:color="auto" w:fill="FFFFFF"/>
            <w:lang w:val="en-IN"/>
          </w:rPr>
          <w:t>https://doi.org/10.3390/ijerph18168423</w:t>
        </w:r>
      </w:hyperlink>
    </w:p>
    <w:p w14:paraId="49720AA9" w14:textId="485C3976"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Sarika, N., Shashank, J., Shrikanth, S., Srushti, </w:t>
      </w:r>
      <w:r w:rsidR="00F87ED8">
        <w:rPr>
          <w:rFonts w:ascii="Times New Roman" w:hAnsi="Times New Roman" w:cs="Times New Roman"/>
          <w:color w:val="000000" w:themeColor="text1"/>
          <w:sz w:val="24"/>
          <w:szCs w:val="24"/>
          <w:shd w:val="clear" w:color="auto" w:fill="FFFFFF"/>
          <w:lang w:val="en-IN"/>
        </w:rPr>
        <w:t>and</w:t>
      </w:r>
      <w:r w:rsidRPr="004D0CC2">
        <w:rPr>
          <w:rFonts w:ascii="Times New Roman" w:hAnsi="Times New Roman" w:cs="Times New Roman"/>
          <w:color w:val="000000" w:themeColor="text1"/>
          <w:sz w:val="24"/>
          <w:szCs w:val="24"/>
          <w:shd w:val="clear" w:color="auto" w:fill="FFFFFF"/>
          <w:lang w:val="en-IN"/>
        </w:rPr>
        <w:t xml:space="preserve"> Shivendra, B. T. (2021). Characterization of soils near Bellahalli dumping site, Karnataka, India. International Journal of Scientific Research and Engineering Development, 4(3), May–June.</w:t>
      </w:r>
    </w:p>
    <w:p w14:paraId="75CFF3FB" w14:textId="688C5FFC" w:rsidR="000C4FC1" w:rsidRPr="004D0CC2" w:rsidRDefault="000C4FC1" w:rsidP="00F141F6">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Schoofs, H., Schmit, J., </w:t>
      </w:r>
      <w:r w:rsidR="00753BE8">
        <w:rPr>
          <w:rFonts w:ascii="Times New Roman" w:hAnsi="Times New Roman" w:cs="Times New Roman"/>
          <w:color w:val="000000" w:themeColor="text1"/>
          <w:sz w:val="24"/>
          <w:szCs w:val="24"/>
          <w:shd w:val="clear" w:color="auto" w:fill="FFFFFF"/>
          <w:lang w:val="en-IN"/>
        </w:rPr>
        <w:t>and</w:t>
      </w:r>
      <w:r w:rsidRPr="004D0CC2">
        <w:rPr>
          <w:rFonts w:ascii="Times New Roman" w:hAnsi="Times New Roman" w:cs="Times New Roman"/>
          <w:color w:val="000000" w:themeColor="text1"/>
          <w:sz w:val="24"/>
          <w:szCs w:val="24"/>
          <w:shd w:val="clear" w:color="auto" w:fill="FFFFFF"/>
          <w:lang w:val="en-IN"/>
        </w:rPr>
        <w:t xml:space="preserve"> Rink, L. (2024). Zinc toxicity: Understanding the limits. Molecules, </w:t>
      </w:r>
    </w:p>
    <w:p w14:paraId="45CFE2BD" w14:textId="33BF0CD4" w:rsidR="000C4FC1"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lastRenderedPageBreak/>
        <w:t xml:space="preserve">Seth, P., Chikkaramappa, T., Das, R., </w:t>
      </w:r>
      <w:r w:rsidR="0023011A">
        <w:rPr>
          <w:rFonts w:ascii="Times New Roman" w:hAnsi="Times New Roman" w:cs="Times New Roman"/>
          <w:color w:val="000000" w:themeColor="text1"/>
          <w:sz w:val="24"/>
          <w:szCs w:val="24"/>
          <w:shd w:val="clear" w:color="auto" w:fill="FFFFFF"/>
          <w:lang w:val="en-IN"/>
        </w:rPr>
        <w:t>and</w:t>
      </w:r>
      <w:r w:rsidRPr="004D0CC2">
        <w:rPr>
          <w:rFonts w:ascii="Times New Roman" w:hAnsi="Times New Roman" w:cs="Times New Roman"/>
          <w:color w:val="000000" w:themeColor="text1"/>
          <w:sz w:val="24"/>
          <w:szCs w:val="24"/>
          <w:shd w:val="clear" w:color="auto" w:fill="FFFFFF"/>
          <w:lang w:val="en-IN"/>
        </w:rPr>
        <w:t xml:space="preserve"> Navya, N. C. (2017). Characterisation and classification of soil resources of Kumachahalli micro-watershed in Chamarajanagar, Karnataka, India. International Journal of Current Microbiology and Applied Sciences, 6(12), 319–329.</w:t>
      </w:r>
      <w:r w:rsidR="0023011A" w:rsidRPr="0023011A">
        <w:t xml:space="preserve"> </w:t>
      </w:r>
      <w:hyperlink r:id="rId78" w:history="1">
        <w:r w:rsidR="0023011A" w:rsidRPr="00C05111">
          <w:rPr>
            <w:rStyle w:val="Hyperlink"/>
            <w:rFonts w:ascii="Times New Roman" w:hAnsi="Times New Roman" w:cs="Times New Roman"/>
            <w:sz w:val="24"/>
            <w:szCs w:val="24"/>
            <w:shd w:val="clear" w:color="auto" w:fill="FFFFFF"/>
            <w:lang w:val="en-IN"/>
          </w:rPr>
          <w:t>https://doi.org/10.20546/ijcmas.2017.612.038</w:t>
        </w:r>
      </w:hyperlink>
    </w:p>
    <w:p w14:paraId="58E0EC14" w14:textId="77777777" w:rsidR="0023011A" w:rsidRPr="004D0CC2" w:rsidRDefault="0023011A" w:rsidP="000A5331">
      <w:pPr>
        <w:spacing w:line="360" w:lineRule="auto"/>
        <w:jc w:val="both"/>
        <w:rPr>
          <w:rFonts w:ascii="Times New Roman" w:hAnsi="Times New Roman" w:cs="Times New Roman"/>
          <w:color w:val="000000" w:themeColor="text1"/>
          <w:sz w:val="24"/>
          <w:szCs w:val="24"/>
          <w:shd w:val="clear" w:color="auto" w:fill="FFFFFF"/>
          <w:lang w:val="en-IN"/>
        </w:rPr>
      </w:pPr>
    </w:p>
    <w:p w14:paraId="533A3E8E" w14:textId="78C79823" w:rsidR="000C4FC1"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Shabbir, Z., Sardar, A., Shabbir, A., Abbas, G., Shamshad, S., Khalid, S., Natasha, Murtaza, G., </w:t>
      </w:r>
      <w:proofErr w:type="spellStart"/>
      <w:r w:rsidRPr="004D0CC2">
        <w:rPr>
          <w:rFonts w:ascii="Times New Roman" w:hAnsi="Times New Roman" w:cs="Times New Roman"/>
          <w:color w:val="000000" w:themeColor="text1"/>
          <w:sz w:val="24"/>
          <w:szCs w:val="24"/>
          <w:shd w:val="clear" w:color="auto" w:fill="FFFFFF"/>
          <w:lang w:val="en-IN"/>
        </w:rPr>
        <w:t>Dumat</w:t>
      </w:r>
      <w:proofErr w:type="spellEnd"/>
      <w:r w:rsidRPr="004D0CC2">
        <w:rPr>
          <w:rFonts w:ascii="Times New Roman" w:hAnsi="Times New Roman" w:cs="Times New Roman"/>
          <w:color w:val="000000" w:themeColor="text1"/>
          <w:sz w:val="24"/>
          <w:szCs w:val="24"/>
          <w:shd w:val="clear" w:color="auto" w:fill="FFFFFF"/>
          <w:lang w:val="en-IN"/>
        </w:rPr>
        <w:t xml:space="preserve">, C., </w:t>
      </w:r>
      <w:r w:rsidR="009C005F">
        <w:rPr>
          <w:rFonts w:ascii="Times New Roman" w:hAnsi="Times New Roman" w:cs="Times New Roman"/>
          <w:color w:val="000000" w:themeColor="text1"/>
          <w:sz w:val="24"/>
          <w:szCs w:val="24"/>
          <w:shd w:val="clear" w:color="auto" w:fill="FFFFFF"/>
          <w:lang w:val="en-IN"/>
        </w:rPr>
        <w:t>and</w:t>
      </w:r>
      <w:r w:rsidRPr="004D0CC2">
        <w:rPr>
          <w:rFonts w:ascii="Times New Roman" w:hAnsi="Times New Roman" w:cs="Times New Roman"/>
          <w:color w:val="000000" w:themeColor="text1"/>
          <w:sz w:val="24"/>
          <w:szCs w:val="24"/>
          <w:shd w:val="clear" w:color="auto" w:fill="FFFFFF"/>
          <w:lang w:val="en-IN"/>
        </w:rPr>
        <w:t xml:space="preserve"> Shahid, M. (2020). Copper uptake, essentiality, toxicity, detoxification and risk assessment in soil-plant environment. Chemosphere, 259, 127436. </w:t>
      </w:r>
      <w:hyperlink r:id="rId79" w:history="1">
        <w:r w:rsidR="009C005F" w:rsidRPr="00C05111">
          <w:rPr>
            <w:rStyle w:val="Hyperlink"/>
            <w:rFonts w:ascii="Times New Roman" w:hAnsi="Times New Roman" w:cs="Times New Roman"/>
            <w:sz w:val="24"/>
            <w:szCs w:val="24"/>
            <w:shd w:val="clear" w:color="auto" w:fill="FFFFFF"/>
            <w:lang w:val="en-IN"/>
          </w:rPr>
          <w:t>https://doi.org/10.1016/j.chemosphere.2020.127436</w:t>
        </w:r>
      </w:hyperlink>
    </w:p>
    <w:p w14:paraId="7C7EBBE1" w14:textId="4E0377A7" w:rsidR="000C4FC1" w:rsidRDefault="000C4FC1" w:rsidP="000A5331">
      <w:pPr>
        <w:spacing w:line="360" w:lineRule="auto"/>
        <w:jc w:val="both"/>
        <w:rPr>
          <w:rFonts w:ascii="Times New Roman" w:hAnsi="Times New Roman" w:cs="Times New Roman"/>
          <w:color w:val="000000" w:themeColor="text1"/>
          <w:sz w:val="24"/>
          <w:szCs w:val="24"/>
          <w:shd w:val="clear" w:color="auto" w:fill="FFFFFF"/>
        </w:rPr>
      </w:pPr>
      <w:r w:rsidRPr="004D0CC2">
        <w:rPr>
          <w:rFonts w:ascii="Times New Roman" w:hAnsi="Times New Roman" w:cs="Times New Roman"/>
          <w:color w:val="000000" w:themeColor="text1"/>
          <w:sz w:val="24"/>
          <w:szCs w:val="24"/>
          <w:shd w:val="clear" w:color="auto" w:fill="FFFFFF"/>
          <w:lang w:val="en-IN"/>
        </w:rPr>
        <w:t xml:space="preserve">Sharma, N., Bakshi, A., Sharma, A., Kaur, I., </w:t>
      </w:r>
      <w:r w:rsidR="007B27DF">
        <w:rPr>
          <w:rFonts w:ascii="Times New Roman" w:hAnsi="Times New Roman" w:cs="Times New Roman"/>
          <w:color w:val="000000" w:themeColor="text1"/>
          <w:sz w:val="24"/>
          <w:szCs w:val="24"/>
          <w:shd w:val="clear" w:color="auto" w:fill="FFFFFF"/>
          <w:lang w:val="en-IN"/>
        </w:rPr>
        <w:t>and</w:t>
      </w:r>
      <w:r w:rsidRPr="004D0CC2">
        <w:rPr>
          <w:rFonts w:ascii="Times New Roman" w:hAnsi="Times New Roman" w:cs="Times New Roman"/>
          <w:color w:val="000000" w:themeColor="text1"/>
          <w:sz w:val="24"/>
          <w:szCs w:val="24"/>
          <w:shd w:val="clear" w:color="auto" w:fill="FFFFFF"/>
          <w:lang w:val="en-IN"/>
        </w:rPr>
        <w:t xml:space="preserve"> Nagpal, A. K. (2021). Health risk associated with copper intake through vegetables in different countries. IOP Conference Series: Earth and Environmental Science, 889, 012071. </w:t>
      </w:r>
      <w:r w:rsidR="003C1F84" w:rsidRPr="007140F2">
        <w:rPr>
          <w:rFonts w:ascii="Times New Roman" w:hAnsi="Times New Roman" w:cs="Times New Roman"/>
          <w:color w:val="000000" w:themeColor="text1"/>
          <w:sz w:val="24"/>
          <w:szCs w:val="24"/>
          <w:shd w:val="clear" w:color="auto" w:fill="FFFFFF"/>
        </w:rPr>
        <w:t>DOI</w:t>
      </w:r>
      <w:r w:rsidR="003C1F84" w:rsidRPr="003C1F84">
        <w:rPr>
          <w:rFonts w:ascii="Times New Roman" w:hAnsi="Times New Roman" w:cs="Times New Roman"/>
          <w:color w:val="000000" w:themeColor="text1"/>
          <w:sz w:val="24"/>
          <w:szCs w:val="24"/>
          <w:shd w:val="clear" w:color="auto" w:fill="FFFFFF"/>
        </w:rPr>
        <w:t> 10.1088/1755-1315/889/1/012071</w:t>
      </w:r>
    </w:p>
    <w:p w14:paraId="184CC002" w14:textId="77777777" w:rsidR="007B27DF" w:rsidRDefault="007B27DF" w:rsidP="007B27DF">
      <w:pPr>
        <w:spacing w:line="360" w:lineRule="auto"/>
        <w:jc w:val="both"/>
        <w:rPr>
          <w:rFonts w:ascii="Times New Roman" w:hAnsi="Times New Roman" w:cs="Times New Roman"/>
          <w:color w:val="000000" w:themeColor="text1"/>
          <w:sz w:val="24"/>
          <w:szCs w:val="24"/>
          <w:shd w:val="clear" w:color="auto" w:fill="FFFFFF"/>
          <w:lang w:val="en-IN"/>
        </w:rPr>
      </w:pPr>
      <w:r w:rsidRPr="007B27DF">
        <w:rPr>
          <w:rFonts w:ascii="Times New Roman" w:hAnsi="Times New Roman" w:cs="Times New Roman"/>
          <w:color w:val="000000" w:themeColor="text1"/>
          <w:sz w:val="24"/>
          <w:szCs w:val="24"/>
          <w:shd w:val="clear" w:color="auto" w:fill="FFFFFF"/>
        </w:rPr>
        <w:t xml:space="preserve">Sharma, N., Bakshi, A., Sharma, A., Kaur, I., </w:t>
      </w:r>
      <w:r>
        <w:rPr>
          <w:rFonts w:ascii="Times New Roman" w:hAnsi="Times New Roman" w:cs="Times New Roman"/>
          <w:color w:val="000000" w:themeColor="text1"/>
          <w:sz w:val="24"/>
          <w:szCs w:val="24"/>
          <w:shd w:val="clear" w:color="auto" w:fill="FFFFFF"/>
        </w:rPr>
        <w:t>and</w:t>
      </w:r>
      <w:r w:rsidRPr="007B27DF">
        <w:rPr>
          <w:rFonts w:ascii="Times New Roman" w:hAnsi="Times New Roman" w:cs="Times New Roman"/>
          <w:color w:val="000000" w:themeColor="text1"/>
          <w:sz w:val="24"/>
          <w:szCs w:val="24"/>
          <w:shd w:val="clear" w:color="auto" w:fill="FFFFFF"/>
        </w:rPr>
        <w:t xml:space="preserve"> Nagpal, A. K. (2021, November). Health risk associated with copper intake through vegetables in different countries. In </w:t>
      </w:r>
      <w:r w:rsidRPr="007B27DF">
        <w:rPr>
          <w:rFonts w:ascii="Times New Roman" w:hAnsi="Times New Roman" w:cs="Times New Roman"/>
          <w:i/>
          <w:iCs/>
          <w:color w:val="000000" w:themeColor="text1"/>
          <w:sz w:val="24"/>
          <w:szCs w:val="24"/>
          <w:shd w:val="clear" w:color="auto" w:fill="FFFFFF"/>
        </w:rPr>
        <w:t>IOP Conference Series: Earth and Environmental Science</w:t>
      </w:r>
      <w:r w:rsidRPr="007B27DF">
        <w:rPr>
          <w:rFonts w:ascii="Times New Roman" w:hAnsi="Times New Roman" w:cs="Times New Roman"/>
          <w:color w:val="000000" w:themeColor="text1"/>
          <w:sz w:val="24"/>
          <w:szCs w:val="24"/>
          <w:shd w:val="clear" w:color="auto" w:fill="FFFFFF"/>
        </w:rPr>
        <w:t xml:space="preserve"> (Vol. 889, No. 1, p. 012071). </w:t>
      </w:r>
      <w:hyperlink r:id="rId80" w:history="1">
        <w:r w:rsidRPr="00A42BAF">
          <w:rPr>
            <w:rStyle w:val="Hyperlink"/>
            <w:rFonts w:ascii="Times New Roman" w:hAnsi="Times New Roman" w:cs="Times New Roman"/>
            <w:sz w:val="24"/>
            <w:szCs w:val="24"/>
            <w:shd w:val="clear" w:color="auto" w:fill="FFFFFF"/>
            <w:lang w:val="en-IN"/>
          </w:rPr>
          <w:t>https://doi.org/10.1088/1755-1315/889/1/012071</w:t>
        </w:r>
      </w:hyperlink>
    </w:p>
    <w:p w14:paraId="24FA8EF7" w14:textId="2F8AA391" w:rsidR="000C4FC1"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Sharma, P., Reitz, T., Singh, S. P., </w:t>
      </w:r>
      <w:proofErr w:type="spellStart"/>
      <w:r w:rsidRPr="004D0CC2">
        <w:rPr>
          <w:rFonts w:ascii="Times New Roman" w:hAnsi="Times New Roman" w:cs="Times New Roman"/>
          <w:color w:val="000000" w:themeColor="text1"/>
          <w:sz w:val="24"/>
          <w:szCs w:val="24"/>
          <w:shd w:val="clear" w:color="auto" w:fill="FFFFFF"/>
          <w:lang w:val="en-IN"/>
        </w:rPr>
        <w:t>Worrich</w:t>
      </w:r>
      <w:proofErr w:type="spellEnd"/>
      <w:r w:rsidRPr="004D0CC2">
        <w:rPr>
          <w:rFonts w:ascii="Times New Roman" w:hAnsi="Times New Roman" w:cs="Times New Roman"/>
          <w:color w:val="000000" w:themeColor="text1"/>
          <w:sz w:val="24"/>
          <w:szCs w:val="24"/>
          <w:shd w:val="clear" w:color="auto" w:fill="FFFFFF"/>
          <w:lang w:val="en-IN"/>
        </w:rPr>
        <w:t xml:space="preserve">, A., </w:t>
      </w:r>
      <w:r w:rsidR="007B27DF">
        <w:rPr>
          <w:rFonts w:ascii="Times New Roman" w:hAnsi="Times New Roman" w:cs="Times New Roman"/>
          <w:color w:val="000000" w:themeColor="text1"/>
          <w:sz w:val="24"/>
          <w:szCs w:val="24"/>
          <w:shd w:val="clear" w:color="auto" w:fill="FFFFFF"/>
          <w:lang w:val="en-IN"/>
        </w:rPr>
        <w:t>and</w:t>
      </w:r>
      <w:r w:rsidRPr="004D0CC2">
        <w:rPr>
          <w:rFonts w:ascii="Times New Roman" w:hAnsi="Times New Roman" w:cs="Times New Roman"/>
          <w:color w:val="000000" w:themeColor="text1"/>
          <w:sz w:val="24"/>
          <w:szCs w:val="24"/>
          <w:shd w:val="clear" w:color="auto" w:fill="FFFFFF"/>
          <w:lang w:val="en-IN"/>
        </w:rPr>
        <w:t xml:space="preserve"> Muehe, E. M. (2025). Going beyond improving soil health: Cover plants as contaminant removers in agriculture. Trends in Plant Science, 30(5), 539–552. </w:t>
      </w:r>
      <w:hyperlink r:id="rId81" w:history="1">
        <w:r w:rsidR="007D1B7D" w:rsidRPr="002E5789">
          <w:rPr>
            <w:rStyle w:val="Hyperlink"/>
            <w:rFonts w:ascii="Times New Roman" w:hAnsi="Times New Roman" w:cs="Times New Roman"/>
            <w:sz w:val="24"/>
            <w:szCs w:val="24"/>
            <w:shd w:val="clear" w:color="auto" w:fill="FFFFFF"/>
            <w:lang w:val="en-IN"/>
          </w:rPr>
          <w:t>https://doi.org/10.1016/j.tplants.2025.01.009</w:t>
        </w:r>
      </w:hyperlink>
    </w:p>
    <w:p w14:paraId="3B4B66AF" w14:textId="6D96C494" w:rsidR="000C4FC1"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Shetty, S. S., D, D., S, H., </w:t>
      </w:r>
      <w:proofErr w:type="spellStart"/>
      <w:r w:rsidRPr="004D0CC2">
        <w:rPr>
          <w:rFonts w:ascii="Times New Roman" w:hAnsi="Times New Roman" w:cs="Times New Roman"/>
          <w:color w:val="000000" w:themeColor="text1"/>
          <w:sz w:val="24"/>
          <w:szCs w:val="24"/>
          <w:shd w:val="clear" w:color="auto" w:fill="FFFFFF"/>
          <w:lang w:val="en-IN"/>
        </w:rPr>
        <w:t>Sonkusare</w:t>
      </w:r>
      <w:proofErr w:type="spellEnd"/>
      <w:r w:rsidRPr="004D0CC2">
        <w:rPr>
          <w:rFonts w:ascii="Times New Roman" w:hAnsi="Times New Roman" w:cs="Times New Roman"/>
          <w:color w:val="000000" w:themeColor="text1"/>
          <w:sz w:val="24"/>
          <w:szCs w:val="24"/>
          <w:shd w:val="clear" w:color="auto" w:fill="FFFFFF"/>
          <w:lang w:val="en-IN"/>
        </w:rPr>
        <w:t xml:space="preserve">, S., Naik, P. B., Kumari, N. S., </w:t>
      </w:r>
      <w:r w:rsidR="007B27DF">
        <w:rPr>
          <w:rFonts w:ascii="Times New Roman" w:hAnsi="Times New Roman" w:cs="Times New Roman"/>
          <w:color w:val="000000" w:themeColor="text1"/>
          <w:sz w:val="24"/>
          <w:szCs w:val="24"/>
          <w:shd w:val="clear" w:color="auto" w:fill="FFFFFF"/>
          <w:lang w:val="en-IN"/>
        </w:rPr>
        <w:t>and</w:t>
      </w:r>
      <w:r w:rsidRPr="004D0CC2">
        <w:rPr>
          <w:rFonts w:ascii="Times New Roman" w:hAnsi="Times New Roman" w:cs="Times New Roman"/>
          <w:color w:val="000000" w:themeColor="text1"/>
          <w:sz w:val="24"/>
          <w:szCs w:val="24"/>
          <w:shd w:val="clear" w:color="auto" w:fill="FFFFFF"/>
          <w:lang w:val="en-IN"/>
        </w:rPr>
        <w:t xml:space="preserve"> </w:t>
      </w:r>
      <w:proofErr w:type="spellStart"/>
      <w:r w:rsidRPr="004D0CC2">
        <w:rPr>
          <w:rFonts w:ascii="Times New Roman" w:hAnsi="Times New Roman" w:cs="Times New Roman"/>
          <w:color w:val="000000" w:themeColor="text1"/>
          <w:sz w:val="24"/>
          <w:szCs w:val="24"/>
          <w:shd w:val="clear" w:color="auto" w:fill="FFFFFF"/>
          <w:lang w:val="en-IN"/>
        </w:rPr>
        <w:t>Madhyastha</w:t>
      </w:r>
      <w:proofErr w:type="spellEnd"/>
      <w:r w:rsidRPr="004D0CC2">
        <w:rPr>
          <w:rFonts w:ascii="Times New Roman" w:hAnsi="Times New Roman" w:cs="Times New Roman"/>
          <w:color w:val="000000" w:themeColor="text1"/>
          <w:sz w:val="24"/>
          <w:szCs w:val="24"/>
          <w:shd w:val="clear" w:color="auto" w:fill="FFFFFF"/>
          <w:lang w:val="en-IN"/>
        </w:rPr>
        <w:t xml:space="preserve">, H. (2023). Environmental pollutants and their effects on human health. </w:t>
      </w:r>
      <w:proofErr w:type="spellStart"/>
      <w:r w:rsidRPr="004D0CC2">
        <w:rPr>
          <w:rFonts w:ascii="Times New Roman" w:hAnsi="Times New Roman" w:cs="Times New Roman"/>
          <w:color w:val="000000" w:themeColor="text1"/>
          <w:sz w:val="24"/>
          <w:szCs w:val="24"/>
          <w:shd w:val="clear" w:color="auto" w:fill="FFFFFF"/>
          <w:lang w:val="en-IN"/>
        </w:rPr>
        <w:t>Heliyon</w:t>
      </w:r>
      <w:proofErr w:type="spellEnd"/>
      <w:r w:rsidRPr="004D0CC2">
        <w:rPr>
          <w:rFonts w:ascii="Times New Roman" w:hAnsi="Times New Roman" w:cs="Times New Roman"/>
          <w:color w:val="000000" w:themeColor="text1"/>
          <w:sz w:val="24"/>
          <w:szCs w:val="24"/>
          <w:shd w:val="clear" w:color="auto" w:fill="FFFFFF"/>
          <w:lang w:val="en-IN"/>
        </w:rPr>
        <w:t xml:space="preserve">, 9(9), e19496. </w:t>
      </w:r>
      <w:hyperlink r:id="rId82" w:history="1">
        <w:r w:rsidR="00B10DCF" w:rsidRPr="002E5789">
          <w:rPr>
            <w:rStyle w:val="Hyperlink"/>
            <w:rFonts w:ascii="Times New Roman" w:hAnsi="Times New Roman" w:cs="Times New Roman"/>
            <w:sz w:val="24"/>
            <w:szCs w:val="24"/>
            <w:shd w:val="clear" w:color="auto" w:fill="FFFFFF"/>
            <w:lang w:val="en-IN"/>
          </w:rPr>
          <w:t>https://doi.org/10.1016/j.heliyon.2023.e19496</w:t>
        </w:r>
      </w:hyperlink>
    </w:p>
    <w:p w14:paraId="54E4D4A5" w14:textId="7D713165" w:rsidR="00B10DCF"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7B27DF">
        <w:rPr>
          <w:rFonts w:ascii="Times New Roman" w:hAnsi="Times New Roman" w:cs="Times New Roman"/>
          <w:color w:val="000000" w:themeColor="text1"/>
          <w:sz w:val="24"/>
          <w:szCs w:val="24"/>
          <w:shd w:val="clear" w:color="auto" w:fill="FFFFFF"/>
          <w:lang w:val="en-IN"/>
        </w:rPr>
        <w:t xml:space="preserve">Shiba, N. C., </w:t>
      </w:r>
      <w:r w:rsidR="007B27DF" w:rsidRPr="007B27DF">
        <w:rPr>
          <w:rFonts w:ascii="Times New Roman" w:hAnsi="Times New Roman" w:cs="Times New Roman"/>
          <w:color w:val="000000" w:themeColor="text1"/>
          <w:sz w:val="24"/>
          <w:szCs w:val="24"/>
          <w:shd w:val="clear" w:color="auto" w:fill="FFFFFF"/>
          <w:lang w:val="en-IN"/>
        </w:rPr>
        <w:t>and</w:t>
      </w:r>
      <w:r w:rsidRPr="007B27DF">
        <w:rPr>
          <w:rFonts w:ascii="Times New Roman" w:hAnsi="Times New Roman" w:cs="Times New Roman"/>
          <w:color w:val="000000" w:themeColor="text1"/>
          <w:sz w:val="24"/>
          <w:szCs w:val="24"/>
          <w:shd w:val="clear" w:color="auto" w:fill="FFFFFF"/>
          <w:lang w:val="en-IN"/>
        </w:rPr>
        <w:t xml:space="preserve"> Ntuli, F. (2017). </w:t>
      </w:r>
      <w:r w:rsidRPr="004D0CC2">
        <w:rPr>
          <w:rFonts w:ascii="Times New Roman" w:hAnsi="Times New Roman" w:cs="Times New Roman"/>
          <w:color w:val="000000" w:themeColor="text1"/>
          <w:sz w:val="24"/>
          <w:szCs w:val="24"/>
          <w:shd w:val="clear" w:color="auto" w:fill="FFFFFF"/>
          <w:lang w:val="en-IN"/>
        </w:rPr>
        <w:t xml:space="preserve">Extraction and precipitation of phosphorus from sewage sludge. Waste Management, 60, 191–200. </w:t>
      </w:r>
      <w:hyperlink r:id="rId83" w:history="1">
        <w:r w:rsidR="00B10DCF" w:rsidRPr="002E5789">
          <w:rPr>
            <w:rStyle w:val="Hyperlink"/>
            <w:rFonts w:ascii="Times New Roman" w:hAnsi="Times New Roman" w:cs="Times New Roman"/>
            <w:sz w:val="24"/>
            <w:szCs w:val="24"/>
            <w:shd w:val="clear" w:color="auto" w:fill="FFFFFF"/>
            <w:lang w:val="en-IN"/>
          </w:rPr>
          <w:t>https://doi.org/10.1016/j.wasman.2016.07.031</w:t>
        </w:r>
      </w:hyperlink>
    </w:p>
    <w:p w14:paraId="1503EF51" w14:textId="2F1B3CE2" w:rsidR="000C4FC1"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Shivakumar, D., </w:t>
      </w:r>
      <w:r w:rsidR="007B27DF">
        <w:rPr>
          <w:rFonts w:ascii="Times New Roman" w:hAnsi="Times New Roman" w:cs="Times New Roman"/>
          <w:color w:val="000000" w:themeColor="text1"/>
          <w:sz w:val="24"/>
          <w:szCs w:val="24"/>
          <w:shd w:val="clear" w:color="auto" w:fill="FFFFFF"/>
          <w:lang w:val="en-IN"/>
        </w:rPr>
        <w:t>and</w:t>
      </w:r>
      <w:r w:rsidRPr="004D0CC2">
        <w:rPr>
          <w:rFonts w:ascii="Times New Roman" w:hAnsi="Times New Roman" w:cs="Times New Roman"/>
          <w:color w:val="000000" w:themeColor="text1"/>
          <w:sz w:val="24"/>
          <w:szCs w:val="24"/>
          <w:shd w:val="clear" w:color="auto" w:fill="FFFFFF"/>
          <w:lang w:val="en-IN"/>
        </w:rPr>
        <w:t xml:space="preserve"> Shivanna, S. (2012). Heavy metals pollution assessment in industrial area soil of Mysore city, Karnataka, India. International Journal of Applied Science and Engineering Research, 1, 604–611. </w:t>
      </w:r>
      <w:hyperlink r:id="rId84" w:history="1">
        <w:r w:rsidR="00962D6B" w:rsidRPr="002E5789">
          <w:rPr>
            <w:rStyle w:val="Hyperlink"/>
            <w:rFonts w:ascii="Times New Roman" w:hAnsi="Times New Roman" w:cs="Times New Roman"/>
            <w:sz w:val="24"/>
            <w:szCs w:val="24"/>
            <w:shd w:val="clear" w:color="auto" w:fill="FFFFFF"/>
            <w:lang w:val="en-IN"/>
          </w:rPr>
          <w:t>https://doi.org/10.6088/ijaser.0020101062</w:t>
        </w:r>
      </w:hyperlink>
    </w:p>
    <w:p w14:paraId="35FE9C8E" w14:textId="77777777" w:rsidR="00962D6B" w:rsidRPr="004D0CC2" w:rsidRDefault="00962D6B" w:rsidP="000A5331">
      <w:pPr>
        <w:spacing w:line="360" w:lineRule="auto"/>
        <w:jc w:val="both"/>
        <w:rPr>
          <w:rFonts w:ascii="Times New Roman" w:hAnsi="Times New Roman" w:cs="Times New Roman"/>
          <w:color w:val="000000" w:themeColor="text1"/>
          <w:sz w:val="24"/>
          <w:szCs w:val="24"/>
          <w:shd w:val="clear" w:color="auto" w:fill="FFFFFF"/>
          <w:lang w:val="en-IN"/>
        </w:rPr>
      </w:pPr>
    </w:p>
    <w:p w14:paraId="5B9CB36D" w14:textId="4BDD7ABF" w:rsidR="000C4FC1"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Shrivastava, A., Ghosh, D., Dash, A., </w:t>
      </w:r>
      <w:r w:rsidR="007B27DF">
        <w:rPr>
          <w:rFonts w:ascii="Times New Roman" w:hAnsi="Times New Roman" w:cs="Times New Roman"/>
          <w:color w:val="000000" w:themeColor="text1"/>
          <w:sz w:val="24"/>
          <w:szCs w:val="24"/>
          <w:shd w:val="clear" w:color="auto" w:fill="FFFFFF"/>
          <w:lang w:val="en-IN"/>
        </w:rPr>
        <w:t>and</w:t>
      </w:r>
      <w:r w:rsidRPr="004D0CC2">
        <w:rPr>
          <w:rFonts w:ascii="Times New Roman" w:hAnsi="Times New Roman" w:cs="Times New Roman"/>
          <w:color w:val="000000" w:themeColor="text1"/>
          <w:sz w:val="24"/>
          <w:szCs w:val="24"/>
          <w:shd w:val="clear" w:color="auto" w:fill="FFFFFF"/>
          <w:lang w:val="en-IN"/>
        </w:rPr>
        <w:t xml:space="preserve"> Bose, S. (2015). Arsenic contamination in soil and sediment in India: Sources, effects, and remediation. </w:t>
      </w:r>
      <w:r w:rsidRPr="00B03DC1">
        <w:rPr>
          <w:rFonts w:ascii="Times New Roman" w:hAnsi="Times New Roman" w:cs="Times New Roman"/>
          <w:i/>
          <w:iCs/>
          <w:color w:val="000000" w:themeColor="text1"/>
          <w:sz w:val="24"/>
          <w:szCs w:val="24"/>
          <w:shd w:val="clear" w:color="auto" w:fill="FFFFFF"/>
          <w:lang w:val="en-IN"/>
        </w:rPr>
        <w:t>Current Pollution Reports,</w:t>
      </w:r>
      <w:r w:rsidRPr="004D0CC2">
        <w:rPr>
          <w:rFonts w:ascii="Times New Roman" w:hAnsi="Times New Roman" w:cs="Times New Roman"/>
          <w:color w:val="000000" w:themeColor="text1"/>
          <w:sz w:val="24"/>
          <w:szCs w:val="24"/>
          <w:shd w:val="clear" w:color="auto" w:fill="FFFFFF"/>
          <w:lang w:val="en-IN"/>
        </w:rPr>
        <w:t xml:space="preserve"> </w:t>
      </w:r>
      <w:r w:rsidR="00B03DC1" w:rsidRPr="00B03DC1">
        <w:rPr>
          <w:rFonts w:ascii="Times New Roman" w:hAnsi="Times New Roman" w:cs="Times New Roman"/>
          <w:i/>
          <w:iCs/>
          <w:color w:val="000000" w:themeColor="text1"/>
          <w:sz w:val="24"/>
          <w:szCs w:val="24"/>
          <w:shd w:val="clear" w:color="auto" w:fill="FFFFFF"/>
        </w:rPr>
        <w:t>1</w:t>
      </w:r>
      <w:r w:rsidR="00B03DC1" w:rsidRPr="00B03DC1">
        <w:rPr>
          <w:rFonts w:ascii="Times New Roman" w:hAnsi="Times New Roman" w:cs="Times New Roman"/>
          <w:color w:val="000000" w:themeColor="text1"/>
          <w:sz w:val="24"/>
          <w:szCs w:val="24"/>
          <w:shd w:val="clear" w:color="auto" w:fill="FFFFFF"/>
        </w:rPr>
        <w:t xml:space="preserve">(1), </w:t>
      </w:r>
      <w:r w:rsidRPr="004D0CC2">
        <w:rPr>
          <w:rFonts w:ascii="Times New Roman" w:hAnsi="Times New Roman" w:cs="Times New Roman"/>
          <w:color w:val="000000" w:themeColor="text1"/>
          <w:sz w:val="24"/>
          <w:szCs w:val="24"/>
          <w:shd w:val="clear" w:color="auto" w:fill="FFFFFF"/>
          <w:lang w:val="en-IN"/>
        </w:rPr>
        <w:t xml:space="preserve">35–46. </w:t>
      </w:r>
      <w:hyperlink r:id="rId85" w:history="1">
        <w:r w:rsidR="00B03DC1" w:rsidRPr="00A42BAF">
          <w:rPr>
            <w:rStyle w:val="Hyperlink"/>
            <w:rFonts w:ascii="Times New Roman" w:hAnsi="Times New Roman" w:cs="Times New Roman"/>
            <w:sz w:val="24"/>
            <w:szCs w:val="24"/>
            <w:shd w:val="clear" w:color="auto" w:fill="FFFFFF"/>
            <w:lang w:val="en-IN"/>
          </w:rPr>
          <w:t>https://doi.org/10.1007/s40726-015-0004-2</w:t>
        </w:r>
      </w:hyperlink>
    </w:p>
    <w:p w14:paraId="6572F31E" w14:textId="2D2ABFF4" w:rsidR="00416FC1" w:rsidRDefault="00416FC1" w:rsidP="00416FC1">
      <w:pPr>
        <w:spacing w:line="360" w:lineRule="auto"/>
        <w:jc w:val="both"/>
        <w:rPr>
          <w:rFonts w:ascii="Times New Roman" w:hAnsi="Times New Roman" w:cs="Times New Roman"/>
          <w:color w:val="000000" w:themeColor="text1"/>
          <w:sz w:val="24"/>
          <w:szCs w:val="24"/>
          <w:shd w:val="clear" w:color="auto" w:fill="FFFFFF"/>
          <w:lang w:val="en-IN"/>
        </w:rPr>
      </w:pPr>
      <w:r w:rsidRPr="00416FC1">
        <w:rPr>
          <w:rFonts w:ascii="Times New Roman" w:hAnsi="Times New Roman" w:cs="Times New Roman"/>
          <w:color w:val="000000" w:themeColor="text1"/>
          <w:sz w:val="24"/>
          <w:szCs w:val="24"/>
          <w:shd w:val="clear" w:color="auto" w:fill="FFFFFF"/>
        </w:rPr>
        <w:t xml:space="preserve">Shulpekova, Y., Shirokova, E., Zharkova, M., Tkachenko, P., Tikhonov, I., Stepanov, A., </w:t>
      </w:r>
      <w:r w:rsidR="007C5EBC">
        <w:rPr>
          <w:rFonts w:ascii="Times New Roman" w:hAnsi="Times New Roman" w:cs="Times New Roman"/>
          <w:color w:val="000000" w:themeColor="text1"/>
          <w:sz w:val="24"/>
          <w:szCs w:val="24"/>
          <w:shd w:val="clear" w:color="auto" w:fill="FFFFFF"/>
        </w:rPr>
        <w:t>and</w:t>
      </w:r>
      <w:r w:rsidRPr="00416FC1">
        <w:rPr>
          <w:rFonts w:ascii="Times New Roman" w:hAnsi="Times New Roman" w:cs="Times New Roman"/>
          <w:color w:val="000000" w:themeColor="text1"/>
          <w:sz w:val="24"/>
          <w:szCs w:val="24"/>
          <w:shd w:val="clear" w:color="auto" w:fill="FFFFFF"/>
        </w:rPr>
        <w:t xml:space="preserve"> </w:t>
      </w:r>
      <w:proofErr w:type="spellStart"/>
      <w:r w:rsidRPr="00416FC1">
        <w:rPr>
          <w:rFonts w:ascii="Times New Roman" w:hAnsi="Times New Roman" w:cs="Times New Roman"/>
          <w:color w:val="000000" w:themeColor="text1"/>
          <w:sz w:val="24"/>
          <w:szCs w:val="24"/>
          <w:shd w:val="clear" w:color="auto" w:fill="FFFFFF"/>
        </w:rPr>
        <w:t>Ivashkin</w:t>
      </w:r>
      <w:proofErr w:type="spellEnd"/>
      <w:r w:rsidRPr="00416FC1">
        <w:rPr>
          <w:rFonts w:ascii="Times New Roman" w:hAnsi="Times New Roman" w:cs="Times New Roman"/>
          <w:color w:val="000000" w:themeColor="text1"/>
          <w:sz w:val="24"/>
          <w:szCs w:val="24"/>
          <w:shd w:val="clear" w:color="auto" w:fill="FFFFFF"/>
        </w:rPr>
        <w:t>, V. (2022). A recent ten-year perspective: bile acid metabolism and signaling. </w:t>
      </w:r>
      <w:r w:rsidRPr="00416FC1">
        <w:rPr>
          <w:rFonts w:ascii="Times New Roman" w:hAnsi="Times New Roman" w:cs="Times New Roman"/>
          <w:i/>
          <w:iCs/>
          <w:color w:val="000000" w:themeColor="text1"/>
          <w:sz w:val="24"/>
          <w:szCs w:val="24"/>
          <w:shd w:val="clear" w:color="auto" w:fill="FFFFFF"/>
        </w:rPr>
        <w:t>Molecules</w:t>
      </w:r>
      <w:r w:rsidRPr="00416FC1">
        <w:rPr>
          <w:rFonts w:ascii="Times New Roman" w:hAnsi="Times New Roman" w:cs="Times New Roman"/>
          <w:color w:val="000000" w:themeColor="text1"/>
          <w:sz w:val="24"/>
          <w:szCs w:val="24"/>
          <w:shd w:val="clear" w:color="auto" w:fill="FFFFFF"/>
        </w:rPr>
        <w:t>, </w:t>
      </w:r>
      <w:r w:rsidRPr="00416FC1">
        <w:rPr>
          <w:rFonts w:ascii="Times New Roman" w:hAnsi="Times New Roman" w:cs="Times New Roman"/>
          <w:i/>
          <w:iCs/>
          <w:color w:val="000000" w:themeColor="text1"/>
          <w:sz w:val="24"/>
          <w:szCs w:val="24"/>
          <w:shd w:val="clear" w:color="auto" w:fill="FFFFFF"/>
        </w:rPr>
        <w:t>27</w:t>
      </w:r>
      <w:r w:rsidRPr="00416FC1">
        <w:rPr>
          <w:rFonts w:ascii="Times New Roman" w:hAnsi="Times New Roman" w:cs="Times New Roman"/>
          <w:color w:val="000000" w:themeColor="text1"/>
          <w:sz w:val="24"/>
          <w:szCs w:val="24"/>
          <w:shd w:val="clear" w:color="auto" w:fill="FFFFFF"/>
        </w:rPr>
        <w:t>(6), 1983.</w:t>
      </w:r>
      <w:r w:rsidRPr="00416FC1">
        <w:rPr>
          <w:rFonts w:ascii="Times New Roman" w:hAnsi="Times New Roman" w:cs="Times New Roman"/>
          <w:color w:val="000000" w:themeColor="text1"/>
          <w:sz w:val="24"/>
          <w:szCs w:val="24"/>
          <w:shd w:val="clear" w:color="auto" w:fill="FFFFFF"/>
          <w:lang w:val="en-IN"/>
        </w:rPr>
        <w:t xml:space="preserve"> </w:t>
      </w:r>
      <w:hyperlink r:id="rId86" w:history="1">
        <w:r w:rsidR="009025A4" w:rsidRPr="002E5789">
          <w:rPr>
            <w:rStyle w:val="Hyperlink"/>
            <w:rFonts w:ascii="Times New Roman" w:hAnsi="Times New Roman" w:cs="Times New Roman"/>
            <w:sz w:val="24"/>
            <w:szCs w:val="24"/>
            <w:shd w:val="clear" w:color="auto" w:fill="FFFFFF"/>
            <w:lang w:val="en-IN"/>
          </w:rPr>
          <w:t>https://doi.org/10.3390/molecules27061983</w:t>
        </w:r>
      </w:hyperlink>
    </w:p>
    <w:p w14:paraId="7500D6EF" w14:textId="7DA00DCF" w:rsidR="000C4FC1"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Silva-Rêgo, L. L., Almeida, L. A., </w:t>
      </w:r>
      <w:r w:rsidR="00416FC1">
        <w:rPr>
          <w:rFonts w:ascii="Times New Roman" w:hAnsi="Times New Roman" w:cs="Times New Roman"/>
          <w:color w:val="000000" w:themeColor="text1"/>
          <w:sz w:val="24"/>
          <w:szCs w:val="24"/>
          <w:shd w:val="clear" w:color="auto" w:fill="FFFFFF"/>
          <w:lang w:val="en-IN"/>
        </w:rPr>
        <w:t>and</w:t>
      </w:r>
      <w:r w:rsidR="004F20F6">
        <w:rPr>
          <w:rFonts w:ascii="Times New Roman" w:hAnsi="Times New Roman" w:cs="Times New Roman"/>
          <w:color w:val="000000" w:themeColor="text1"/>
          <w:sz w:val="24"/>
          <w:szCs w:val="24"/>
          <w:shd w:val="clear" w:color="auto" w:fill="FFFFFF"/>
          <w:lang w:val="en-IN"/>
        </w:rPr>
        <w:t xml:space="preserve"> </w:t>
      </w:r>
      <w:r w:rsidRPr="004D0CC2">
        <w:rPr>
          <w:rFonts w:ascii="Times New Roman" w:hAnsi="Times New Roman" w:cs="Times New Roman"/>
          <w:color w:val="000000" w:themeColor="text1"/>
          <w:sz w:val="24"/>
          <w:szCs w:val="24"/>
          <w:shd w:val="clear" w:color="auto" w:fill="FFFFFF"/>
          <w:lang w:val="en-IN"/>
        </w:rPr>
        <w:t xml:space="preserve">Gasparotto, J. (2022). Toxicological effects of mining hazard elements. Energy Geoscience, 3(3), 255–262. </w:t>
      </w:r>
      <w:hyperlink r:id="rId87" w:history="1">
        <w:r w:rsidR="004F20F6" w:rsidRPr="002E5789">
          <w:rPr>
            <w:rStyle w:val="Hyperlink"/>
            <w:rFonts w:ascii="Times New Roman" w:hAnsi="Times New Roman" w:cs="Times New Roman"/>
            <w:sz w:val="24"/>
            <w:szCs w:val="24"/>
            <w:shd w:val="clear" w:color="auto" w:fill="FFFFFF"/>
            <w:lang w:val="en-IN"/>
          </w:rPr>
          <w:t>https://doi.org/10.1016/j.engeos.2022.03.003</w:t>
        </w:r>
      </w:hyperlink>
    </w:p>
    <w:p w14:paraId="3C42879C" w14:textId="3789AF8E" w:rsidR="000C4FC1"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Silver, W. L., Perez, T., Mayer, A., </w:t>
      </w:r>
      <w:r w:rsidR="00416FC1">
        <w:rPr>
          <w:rFonts w:ascii="Times New Roman" w:hAnsi="Times New Roman" w:cs="Times New Roman"/>
          <w:color w:val="000000" w:themeColor="text1"/>
          <w:sz w:val="24"/>
          <w:szCs w:val="24"/>
          <w:shd w:val="clear" w:color="auto" w:fill="FFFFFF"/>
          <w:lang w:val="en-IN"/>
        </w:rPr>
        <w:t>and</w:t>
      </w:r>
      <w:r w:rsidRPr="004D0CC2">
        <w:rPr>
          <w:rFonts w:ascii="Times New Roman" w:hAnsi="Times New Roman" w:cs="Times New Roman"/>
          <w:color w:val="000000" w:themeColor="text1"/>
          <w:sz w:val="24"/>
          <w:szCs w:val="24"/>
          <w:shd w:val="clear" w:color="auto" w:fill="FFFFFF"/>
          <w:lang w:val="en-IN"/>
        </w:rPr>
        <w:t xml:space="preserve"> Jones, A. R. (2021). The role of soil in the contribution of food and feed. Philosophical Transactions of the Royal Society B: Biological Sciences, 376(1834), 20200181. </w:t>
      </w:r>
      <w:hyperlink r:id="rId88" w:history="1">
        <w:r w:rsidR="00361007" w:rsidRPr="002E5789">
          <w:rPr>
            <w:rStyle w:val="Hyperlink"/>
            <w:rFonts w:ascii="Times New Roman" w:hAnsi="Times New Roman" w:cs="Times New Roman"/>
            <w:sz w:val="24"/>
            <w:szCs w:val="24"/>
            <w:shd w:val="clear" w:color="auto" w:fill="FFFFFF"/>
            <w:lang w:val="en-IN"/>
          </w:rPr>
          <w:t>https://doi.org/10.1098/rstb.2020.0181</w:t>
        </w:r>
      </w:hyperlink>
    </w:p>
    <w:p w14:paraId="7DAD1131" w14:textId="0FB00B50" w:rsidR="000C4FC1"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Sirisathitkul, Y., </w:t>
      </w:r>
      <w:r w:rsidR="00416FC1">
        <w:rPr>
          <w:rFonts w:ascii="Times New Roman" w:hAnsi="Times New Roman" w:cs="Times New Roman"/>
          <w:color w:val="000000" w:themeColor="text1"/>
          <w:sz w:val="24"/>
          <w:szCs w:val="24"/>
          <w:shd w:val="clear" w:color="auto" w:fill="FFFFFF"/>
          <w:lang w:val="en-IN"/>
        </w:rPr>
        <w:t>and</w:t>
      </w:r>
      <w:r w:rsidRPr="004D0CC2">
        <w:rPr>
          <w:rFonts w:ascii="Times New Roman" w:hAnsi="Times New Roman" w:cs="Times New Roman"/>
          <w:color w:val="000000" w:themeColor="text1"/>
          <w:sz w:val="24"/>
          <w:szCs w:val="24"/>
          <w:shd w:val="clear" w:color="auto" w:fill="FFFFFF"/>
          <w:lang w:val="en-IN"/>
        </w:rPr>
        <w:t xml:space="preserve"> Sirisathitkul, C. (2025). Decoding soil color: Origins, influences, and methods of analysis. Agri</w:t>
      </w:r>
      <w:r w:rsidR="00A30855">
        <w:rPr>
          <w:rFonts w:ascii="Times New Roman" w:hAnsi="Times New Roman" w:cs="Times New Roman"/>
          <w:color w:val="000000" w:themeColor="text1"/>
          <w:sz w:val="24"/>
          <w:szCs w:val="24"/>
          <w:shd w:val="clear" w:color="auto" w:fill="FFFFFF"/>
          <w:lang w:val="en-IN"/>
        </w:rPr>
        <w:t xml:space="preserve"> </w:t>
      </w:r>
      <w:r w:rsidRPr="004D0CC2">
        <w:rPr>
          <w:rFonts w:ascii="Times New Roman" w:hAnsi="Times New Roman" w:cs="Times New Roman"/>
          <w:color w:val="000000" w:themeColor="text1"/>
          <w:sz w:val="24"/>
          <w:szCs w:val="24"/>
          <w:shd w:val="clear" w:color="auto" w:fill="FFFFFF"/>
          <w:lang w:val="en-IN"/>
        </w:rPr>
        <w:t xml:space="preserve">Engineering, 7(3), 58. </w:t>
      </w:r>
      <w:hyperlink r:id="rId89" w:history="1">
        <w:r w:rsidR="00361007" w:rsidRPr="002E5789">
          <w:rPr>
            <w:rStyle w:val="Hyperlink"/>
            <w:rFonts w:ascii="Times New Roman" w:hAnsi="Times New Roman" w:cs="Times New Roman"/>
            <w:sz w:val="24"/>
            <w:szCs w:val="24"/>
            <w:shd w:val="clear" w:color="auto" w:fill="FFFFFF"/>
            <w:lang w:val="en-IN"/>
          </w:rPr>
          <w:t>https://doi.org/10.3390/agriengineering7030058</w:t>
        </w:r>
      </w:hyperlink>
    </w:p>
    <w:p w14:paraId="73797AA9" w14:textId="70C02363" w:rsidR="000C4FC1" w:rsidRPr="00B14A06"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Skidmore, A. K., Abdullah, H., Siegenthaler, A., Adiningrat, D. P., Rousseau, M., Duan, Y., Torres-Rodriguez, A., </w:t>
      </w:r>
      <w:r w:rsidR="00E3201A">
        <w:rPr>
          <w:rFonts w:ascii="Times New Roman" w:hAnsi="Times New Roman" w:cs="Times New Roman"/>
          <w:color w:val="000000" w:themeColor="text1"/>
          <w:sz w:val="24"/>
          <w:szCs w:val="24"/>
          <w:shd w:val="clear" w:color="auto" w:fill="FFFFFF"/>
          <w:lang w:val="en-IN"/>
        </w:rPr>
        <w:t>and</w:t>
      </w:r>
      <w:r w:rsidRPr="004D0CC2">
        <w:rPr>
          <w:rFonts w:ascii="Times New Roman" w:hAnsi="Times New Roman" w:cs="Times New Roman"/>
          <w:color w:val="000000" w:themeColor="text1"/>
          <w:sz w:val="24"/>
          <w:szCs w:val="24"/>
          <w:shd w:val="clear" w:color="auto" w:fill="FFFFFF"/>
          <w:lang w:val="en-IN"/>
        </w:rPr>
        <w:t xml:space="preserve"> </w:t>
      </w:r>
      <w:proofErr w:type="spellStart"/>
      <w:r w:rsidRPr="004D0CC2">
        <w:rPr>
          <w:rFonts w:ascii="Times New Roman" w:hAnsi="Times New Roman" w:cs="Times New Roman"/>
          <w:color w:val="000000" w:themeColor="text1"/>
          <w:sz w:val="24"/>
          <w:szCs w:val="24"/>
          <w:shd w:val="clear" w:color="auto" w:fill="FFFFFF"/>
          <w:lang w:val="en-IN"/>
        </w:rPr>
        <w:t>Neinavaz</w:t>
      </w:r>
      <w:proofErr w:type="spellEnd"/>
      <w:r w:rsidRPr="004D0CC2">
        <w:rPr>
          <w:rFonts w:ascii="Times New Roman" w:hAnsi="Times New Roman" w:cs="Times New Roman"/>
          <w:color w:val="000000" w:themeColor="text1"/>
          <w:sz w:val="24"/>
          <w:szCs w:val="24"/>
          <w:shd w:val="clear" w:color="auto" w:fill="FFFFFF"/>
          <w:lang w:val="en-IN"/>
        </w:rPr>
        <w:t xml:space="preserve">, E. (2024). Forest soils further acidify in core Natura 2000 areas amongst unaware government policy. Ecological Indicators, 159, 111621. </w:t>
      </w:r>
      <w:hyperlink r:id="rId90" w:history="1">
        <w:r w:rsidR="00E3201A" w:rsidRPr="00B14A06">
          <w:rPr>
            <w:rStyle w:val="Hyperlink"/>
            <w:rFonts w:ascii="Times New Roman" w:hAnsi="Times New Roman" w:cs="Times New Roman"/>
            <w:sz w:val="24"/>
            <w:szCs w:val="24"/>
            <w:shd w:val="clear" w:color="auto" w:fill="FFFFFF"/>
            <w:lang w:val="en-IN"/>
          </w:rPr>
          <w:t>https://doi.org/10.1016/j.ecolind.2024.111621</w:t>
        </w:r>
      </w:hyperlink>
    </w:p>
    <w:p w14:paraId="3DCA44FF" w14:textId="358A1110" w:rsidR="00D03E85" w:rsidRDefault="00D03E85" w:rsidP="00DB7029">
      <w:pPr>
        <w:spacing w:line="360" w:lineRule="auto"/>
        <w:jc w:val="both"/>
        <w:rPr>
          <w:rFonts w:ascii="Times New Roman" w:eastAsia="Times New Roman" w:hAnsi="Times New Roman" w:cs="Times New Roman"/>
          <w:color w:val="000000" w:themeColor="text1"/>
          <w:sz w:val="24"/>
          <w:szCs w:val="24"/>
        </w:rPr>
      </w:pPr>
      <w:r w:rsidRPr="00B14A06">
        <w:rPr>
          <w:rFonts w:ascii="Times New Roman" w:hAnsi="Times New Roman" w:cs="Times New Roman"/>
          <w:color w:val="000000" w:themeColor="text1"/>
          <w:sz w:val="24"/>
          <w:szCs w:val="24"/>
          <w:shd w:val="clear" w:color="auto" w:fill="FFFFFF"/>
          <w:lang w:val="en-IN"/>
        </w:rPr>
        <w:t xml:space="preserve">Skrzypczak, D., Trzaska, K., Gil, F., </w:t>
      </w:r>
      <w:proofErr w:type="spellStart"/>
      <w:r w:rsidRPr="00B14A06">
        <w:rPr>
          <w:rFonts w:ascii="Times New Roman" w:hAnsi="Times New Roman" w:cs="Times New Roman"/>
          <w:color w:val="000000" w:themeColor="text1"/>
          <w:sz w:val="24"/>
          <w:szCs w:val="24"/>
          <w:shd w:val="clear" w:color="auto" w:fill="FFFFFF"/>
          <w:lang w:val="en-IN"/>
        </w:rPr>
        <w:t>Izydorczyk</w:t>
      </w:r>
      <w:proofErr w:type="spellEnd"/>
      <w:r w:rsidRPr="00B14A06">
        <w:rPr>
          <w:rFonts w:ascii="Times New Roman" w:hAnsi="Times New Roman" w:cs="Times New Roman"/>
          <w:color w:val="000000" w:themeColor="text1"/>
          <w:sz w:val="24"/>
          <w:szCs w:val="24"/>
          <w:shd w:val="clear" w:color="auto" w:fill="FFFFFF"/>
          <w:lang w:val="en-IN"/>
        </w:rPr>
        <w:t xml:space="preserve">, G., and Chojnacka, K. (2024). </w:t>
      </w:r>
      <w:r w:rsidRPr="00D03E85">
        <w:rPr>
          <w:rFonts w:ascii="Times New Roman" w:hAnsi="Times New Roman" w:cs="Times New Roman"/>
          <w:color w:val="000000" w:themeColor="text1"/>
          <w:sz w:val="24"/>
          <w:szCs w:val="24"/>
          <w:shd w:val="clear" w:color="auto" w:fill="FFFFFF"/>
        </w:rPr>
        <w:t>Guidelines for efficient nitrogen preservation in sewage sludge-based fertilizers. </w:t>
      </w:r>
      <w:r w:rsidRPr="00D03E85">
        <w:rPr>
          <w:rFonts w:ascii="Times New Roman" w:hAnsi="Times New Roman" w:cs="Times New Roman"/>
          <w:i/>
          <w:iCs/>
          <w:color w:val="000000" w:themeColor="text1"/>
          <w:sz w:val="24"/>
          <w:szCs w:val="24"/>
          <w:shd w:val="clear" w:color="auto" w:fill="FFFFFF"/>
        </w:rPr>
        <w:t>Science of The Total Environment</w:t>
      </w:r>
      <w:r w:rsidRPr="00D03E85">
        <w:rPr>
          <w:rFonts w:ascii="Times New Roman" w:hAnsi="Times New Roman" w:cs="Times New Roman"/>
          <w:color w:val="000000" w:themeColor="text1"/>
          <w:sz w:val="24"/>
          <w:szCs w:val="24"/>
          <w:shd w:val="clear" w:color="auto" w:fill="FFFFFF"/>
        </w:rPr>
        <w:t>, </w:t>
      </w:r>
      <w:r w:rsidRPr="00D03E85">
        <w:rPr>
          <w:rFonts w:ascii="Times New Roman" w:hAnsi="Times New Roman" w:cs="Times New Roman"/>
          <w:i/>
          <w:iCs/>
          <w:color w:val="000000" w:themeColor="text1"/>
          <w:sz w:val="24"/>
          <w:szCs w:val="24"/>
          <w:shd w:val="clear" w:color="auto" w:fill="FFFFFF"/>
        </w:rPr>
        <w:t>947</w:t>
      </w:r>
      <w:r w:rsidRPr="00D03E85">
        <w:rPr>
          <w:rFonts w:ascii="Times New Roman" w:hAnsi="Times New Roman" w:cs="Times New Roman"/>
          <w:color w:val="000000" w:themeColor="text1"/>
          <w:sz w:val="24"/>
          <w:szCs w:val="24"/>
          <w:shd w:val="clear" w:color="auto" w:fill="FFFFFF"/>
        </w:rPr>
        <w:t xml:space="preserve">, 174460. </w:t>
      </w:r>
      <w:hyperlink r:id="rId91" w:history="1">
        <w:r w:rsidRPr="002E5789">
          <w:rPr>
            <w:rStyle w:val="Hyperlink"/>
            <w:rFonts w:ascii="Times New Roman" w:eastAsia="Times New Roman" w:hAnsi="Times New Roman" w:cs="Times New Roman"/>
            <w:sz w:val="24"/>
            <w:szCs w:val="24"/>
          </w:rPr>
          <w:t>https://doi.org/10.1016/j.scitotenv.2024.174460</w:t>
        </w:r>
      </w:hyperlink>
    </w:p>
    <w:p w14:paraId="6CBA147D" w14:textId="7D941DCB" w:rsidR="00DB7029" w:rsidRDefault="00E34ECA" w:rsidP="00D6197F">
      <w:pPr>
        <w:shd w:val="clear" w:color="auto" w:fill="FFFFFF"/>
        <w:spacing w:after="0" w:line="360" w:lineRule="auto"/>
        <w:jc w:val="both"/>
        <w:rPr>
          <w:rFonts w:ascii="Times New Roman" w:hAnsi="Times New Roman" w:cs="Times New Roman"/>
          <w:color w:val="000000" w:themeColor="text1"/>
          <w:sz w:val="24"/>
          <w:szCs w:val="24"/>
          <w:shd w:val="clear" w:color="auto" w:fill="FFFFFF"/>
        </w:rPr>
      </w:pPr>
      <w:r w:rsidRPr="00E34ECA">
        <w:rPr>
          <w:rFonts w:ascii="Times New Roman" w:hAnsi="Times New Roman" w:cs="Times New Roman"/>
          <w:color w:val="000000" w:themeColor="text1"/>
          <w:sz w:val="24"/>
          <w:szCs w:val="24"/>
          <w:shd w:val="clear" w:color="auto" w:fill="FFFFFF"/>
        </w:rPr>
        <w:t xml:space="preserve">Spandana, M. P., Suresh, K. R., </w:t>
      </w:r>
      <w:r w:rsidR="002977EC">
        <w:rPr>
          <w:rFonts w:ascii="Times New Roman" w:hAnsi="Times New Roman" w:cs="Times New Roman"/>
          <w:color w:val="000000" w:themeColor="text1"/>
          <w:sz w:val="24"/>
          <w:szCs w:val="24"/>
          <w:shd w:val="clear" w:color="auto" w:fill="FFFFFF"/>
        </w:rPr>
        <w:t xml:space="preserve">and </w:t>
      </w:r>
      <w:r w:rsidRPr="00E34ECA">
        <w:rPr>
          <w:rFonts w:ascii="Times New Roman" w:hAnsi="Times New Roman" w:cs="Times New Roman"/>
          <w:color w:val="000000" w:themeColor="text1"/>
          <w:sz w:val="24"/>
          <w:szCs w:val="24"/>
          <w:shd w:val="clear" w:color="auto" w:fill="FFFFFF"/>
        </w:rPr>
        <w:t>Prathima, B. (2013). Developing an irrigation water quality index for Vrishabavathi command area. </w:t>
      </w:r>
      <w:r w:rsidRPr="00E34ECA">
        <w:rPr>
          <w:rFonts w:ascii="Times New Roman" w:hAnsi="Times New Roman" w:cs="Times New Roman"/>
          <w:i/>
          <w:iCs/>
          <w:color w:val="000000" w:themeColor="text1"/>
          <w:sz w:val="24"/>
          <w:szCs w:val="24"/>
          <w:shd w:val="clear" w:color="auto" w:fill="FFFFFF"/>
        </w:rPr>
        <w:t>Int. J. Eng. Res. Technol</w:t>
      </w:r>
      <w:r w:rsidRPr="00E34ECA">
        <w:rPr>
          <w:rFonts w:ascii="Times New Roman" w:hAnsi="Times New Roman" w:cs="Times New Roman"/>
          <w:color w:val="000000" w:themeColor="text1"/>
          <w:sz w:val="24"/>
          <w:szCs w:val="24"/>
          <w:shd w:val="clear" w:color="auto" w:fill="FFFFFF"/>
        </w:rPr>
        <w:t>, </w:t>
      </w:r>
      <w:r w:rsidRPr="00E34ECA">
        <w:rPr>
          <w:rFonts w:ascii="Times New Roman" w:hAnsi="Times New Roman" w:cs="Times New Roman"/>
          <w:i/>
          <w:iCs/>
          <w:color w:val="000000" w:themeColor="text1"/>
          <w:sz w:val="24"/>
          <w:szCs w:val="24"/>
          <w:shd w:val="clear" w:color="auto" w:fill="FFFFFF"/>
        </w:rPr>
        <w:t>2</w:t>
      </w:r>
      <w:r w:rsidRPr="00E34ECA">
        <w:rPr>
          <w:rFonts w:ascii="Times New Roman" w:hAnsi="Times New Roman" w:cs="Times New Roman"/>
          <w:color w:val="000000" w:themeColor="text1"/>
          <w:sz w:val="24"/>
          <w:szCs w:val="24"/>
          <w:shd w:val="clear" w:color="auto" w:fill="FFFFFF"/>
        </w:rPr>
        <w:t>(6), 821-830.</w:t>
      </w:r>
    </w:p>
    <w:p w14:paraId="5F9AD0E8" w14:textId="77777777" w:rsidR="00E34ECA" w:rsidRPr="004D0CC2" w:rsidRDefault="00E34ECA" w:rsidP="00D6197F">
      <w:pPr>
        <w:shd w:val="clear" w:color="auto" w:fill="FFFFFF"/>
        <w:spacing w:after="0" w:line="360" w:lineRule="auto"/>
        <w:jc w:val="both"/>
        <w:rPr>
          <w:rFonts w:ascii="Times New Roman" w:eastAsia="Times New Roman" w:hAnsi="Times New Roman" w:cs="Times New Roman"/>
          <w:color w:val="000000" w:themeColor="text1"/>
          <w:sz w:val="24"/>
          <w:szCs w:val="24"/>
        </w:rPr>
      </w:pPr>
    </w:p>
    <w:p w14:paraId="628BECAF" w14:textId="1ACC5050" w:rsidR="000C4FC1"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Sparks, D. L., Singh, B., </w:t>
      </w:r>
      <w:r w:rsidR="002977EC">
        <w:rPr>
          <w:rFonts w:ascii="Times New Roman" w:hAnsi="Times New Roman" w:cs="Times New Roman"/>
          <w:color w:val="000000" w:themeColor="text1"/>
          <w:sz w:val="24"/>
          <w:szCs w:val="24"/>
          <w:shd w:val="clear" w:color="auto" w:fill="FFFFFF"/>
          <w:lang w:val="en-IN"/>
        </w:rPr>
        <w:t>and</w:t>
      </w:r>
      <w:r w:rsidRPr="004D0CC2">
        <w:rPr>
          <w:rFonts w:ascii="Times New Roman" w:hAnsi="Times New Roman" w:cs="Times New Roman"/>
          <w:color w:val="000000" w:themeColor="text1"/>
          <w:sz w:val="24"/>
          <w:szCs w:val="24"/>
          <w:shd w:val="clear" w:color="auto" w:fill="FFFFFF"/>
          <w:lang w:val="en-IN"/>
        </w:rPr>
        <w:t xml:space="preserve"> Siebecker, M. G. (2024). The chemistry of soil acidity. In D. L. Sparks, B. Singh, &amp; M. G. Siebecker (Eds.), Environmental soil chemistry (3rd ed., pp. 381–410). Academic Press. </w:t>
      </w:r>
      <w:hyperlink r:id="rId92" w:history="1">
        <w:r w:rsidR="002977EC" w:rsidRPr="002E5789">
          <w:rPr>
            <w:rStyle w:val="Hyperlink"/>
            <w:rFonts w:ascii="Times New Roman" w:hAnsi="Times New Roman" w:cs="Times New Roman"/>
            <w:sz w:val="24"/>
            <w:szCs w:val="24"/>
            <w:shd w:val="clear" w:color="auto" w:fill="FFFFFF"/>
            <w:lang w:val="en-IN"/>
          </w:rPr>
          <w:t>https://doi.org/10.1016/B978-0-443-14034-1.00009-5</w:t>
        </w:r>
      </w:hyperlink>
    </w:p>
    <w:p w14:paraId="0A1E5A4F" w14:textId="627AB763" w:rsidR="000C4FC1"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lastRenderedPageBreak/>
        <w:t xml:space="preserve">Srivastava, S., Raya, D., Sharma, R., Giri, S. K., Priya, K., Kumar, A., Singh, G., </w:t>
      </w:r>
      <w:r w:rsidR="002977EC">
        <w:rPr>
          <w:rFonts w:ascii="Times New Roman" w:hAnsi="Times New Roman" w:cs="Times New Roman"/>
          <w:color w:val="000000" w:themeColor="text1"/>
          <w:sz w:val="24"/>
          <w:szCs w:val="24"/>
          <w:shd w:val="clear" w:color="auto" w:fill="FFFFFF"/>
          <w:lang w:val="en-IN"/>
        </w:rPr>
        <w:t>and</w:t>
      </w:r>
      <w:r w:rsidRPr="004D0CC2">
        <w:rPr>
          <w:rFonts w:ascii="Times New Roman" w:hAnsi="Times New Roman" w:cs="Times New Roman"/>
          <w:color w:val="000000" w:themeColor="text1"/>
          <w:sz w:val="24"/>
          <w:szCs w:val="24"/>
          <w:shd w:val="clear" w:color="auto" w:fill="FFFFFF"/>
          <w:lang w:val="en-IN"/>
        </w:rPr>
        <w:t xml:space="preserve"> Dhiman, S. S. (2025). Synergistic approaches for navigating and mitigating agricultural pollutants. Pollutants, 5(4), 37. </w:t>
      </w:r>
      <w:hyperlink r:id="rId93" w:history="1">
        <w:r w:rsidR="002977EC" w:rsidRPr="002E5789">
          <w:rPr>
            <w:rStyle w:val="Hyperlink"/>
            <w:rFonts w:ascii="Times New Roman" w:hAnsi="Times New Roman" w:cs="Times New Roman"/>
            <w:sz w:val="24"/>
            <w:szCs w:val="24"/>
            <w:shd w:val="clear" w:color="auto" w:fill="FFFFFF"/>
            <w:lang w:val="en-IN"/>
          </w:rPr>
          <w:t>https://doi.org/10.3390/pollutants5040037</w:t>
        </w:r>
      </w:hyperlink>
    </w:p>
    <w:p w14:paraId="497B3129" w14:textId="4710ADD3" w:rsidR="000C4FC1" w:rsidRPr="00B14A06"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Steffan, J. J., Brevik, E. C., Burgess, L. C., </w:t>
      </w:r>
      <w:r w:rsidR="002977EC">
        <w:rPr>
          <w:rFonts w:ascii="Times New Roman" w:hAnsi="Times New Roman" w:cs="Times New Roman"/>
          <w:color w:val="000000" w:themeColor="text1"/>
          <w:sz w:val="24"/>
          <w:szCs w:val="24"/>
          <w:shd w:val="clear" w:color="auto" w:fill="FFFFFF"/>
          <w:lang w:val="en-IN"/>
        </w:rPr>
        <w:t>and</w:t>
      </w:r>
      <w:r w:rsidRPr="004D0CC2">
        <w:rPr>
          <w:rFonts w:ascii="Times New Roman" w:hAnsi="Times New Roman" w:cs="Times New Roman"/>
          <w:color w:val="000000" w:themeColor="text1"/>
          <w:sz w:val="24"/>
          <w:szCs w:val="24"/>
          <w:shd w:val="clear" w:color="auto" w:fill="FFFFFF"/>
          <w:lang w:val="en-IN"/>
        </w:rPr>
        <w:t xml:space="preserve"> </w:t>
      </w:r>
      <w:proofErr w:type="spellStart"/>
      <w:r w:rsidRPr="004D0CC2">
        <w:rPr>
          <w:rFonts w:ascii="Times New Roman" w:hAnsi="Times New Roman" w:cs="Times New Roman"/>
          <w:color w:val="000000" w:themeColor="text1"/>
          <w:sz w:val="24"/>
          <w:szCs w:val="24"/>
          <w:shd w:val="clear" w:color="auto" w:fill="FFFFFF"/>
          <w:lang w:val="en-IN"/>
        </w:rPr>
        <w:t>Cerdà</w:t>
      </w:r>
      <w:proofErr w:type="spellEnd"/>
      <w:r w:rsidRPr="004D0CC2">
        <w:rPr>
          <w:rFonts w:ascii="Times New Roman" w:hAnsi="Times New Roman" w:cs="Times New Roman"/>
          <w:color w:val="000000" w:themeColor="text1"/>
          <w:sz w:val="24"/>
          <w:szCs w:val="24"/>
          <w:shd w:val="clear" w:color="auto" w:fill="FFFFFF"/>
          <w:lang w:val="en-IN"/>
        </w:rPr>
        <w:t xml:space="preserve">, A. (2018). The effect of soil on human health: An overview. European Journal of Soil Science, 69(1), 159–171. </w:t>
      </w:r>
      <w:hyperlink r:id="rId94" w:history="1">
        <w:r w:rsidR="002977EC" w:rsidRPr="00B14A06">
          <w:rPr>
            <w:rStyle w:val="Hyperlink"/>
            <w:rFonts w:ascii="Times New Roman" w:hAnsi="Times New Roman" w:cs="Times New Roman"/>
            <w:sz w:val="24"/>
            <w:szCs w:val="24"/>
            <w:shd w:val="clear" w:color="auto" w:fill="FFFFFF"/>
            <w:lang w:val="en-IN"/>
          </w:rPr>
          <w:t>https://doi.org/10.1111/ejss.12451</w:t>
        </w:r>
      </w:hyperlink>
    </w:p>
    <w:p w14:paraId="77283746" w14:textId="61ADCF89" w:rsidR="000C4FC1"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B14A06">
        <w:rPr>
          <w:rFonts w:ascii="Times New Roman" w:hAnsi="Times New Roman" w:cs="Times New Roman"/>
          <w:color w:val="000000" w:themeColor="text1"/>
          <w:sz w:val="24"/>
          <w:szCs w:val="24"/>
          <w:shd w:val="clear" w:color="auto" w:fill="FFFFFF"/>
          <w:lang w:val="en-IN"/>
        </w:rPr>
        <w:t xml:space="preserve">Szydełko, D., </w:t>
      </w:r>
      <w:proofErr w:type="spellStart"/>
      <w:r w:rsidRPr="00B14A06">
        <w:rPr>
          <w:rFonts w:ascii="Times New Roman" w:hAnsi="Times New Roman" w:cs="Times New Roman"/>
          <w:color w:val="000000" w:themeColor="text1"/>
          <w:sz w:val="24"/>
          <w:szCs w:val="24"/>
          <w:shd w:val="clear" w:color="auto" w:fill="FFFFFF"/>
          <w:lang w:val="en-IN"/>
        </w:rPr>
        <w:t>Wdowczyk</w:t>
      </w:r>
      <w:proofErr w:type="spellEnd"/>
      <w:r w:rsidRPr="00B14A06">
        <w:rPr>
          <w:rFonts w:ascii="Times New Roman" w:hAnsi="Times New Roman" w:cs="Times New Roman"/>
          <w:color w:val="000000" w:themeColor="text1"/>
          <w:sz w:val="24"/>
          <w:szCs w:val="24"/>
          <w:shd w:val="clear" w:color="auto" w:fill="FFFFFF"/>
          <w:lang w:val="en-IN"/>
        </w:rPr>
        <w:t xml:space="preserve">, A., </w:t>
      </w:r>
      <w:r w:rsidR="002977EC" w:rsidRPr="00B14A06">
        <w:rPr>
          <w:rFonts w:ascii="Times New Roman" w:hAnsi="Times New Roman" w:cs="Times New Roman"/>
          <w:color w:val="000000" w:themeColor="text1"/>
          <w:sz w:val="24"/>
          <w:szCs w:val="24"/>
          <w:shd w:val="clear" w:color="auto" w:fill="FFFFFF"/>
          <w:lang w:val="en-IN"/>
        </w:rPr>
        <w:t>and</w:t>
      </w:r>
      <w:r w:rsidRPr="00B14A06">
        <w:rPr>
          <w:rFonts w:ascii="Times New Roman" w:hAnsi="Times New Roman" w:cs="Times New Roman"/>
          <w:color w:val="000000" w:themeColor="text1"/>
          <w:sz w:val="24"/>
          <w:szCs w:val="24"/>
          <w:shd w:val="clear" w:color="auto" w:fill="FFFFFF"/>
          <w:lang w:val="en-IN"/>
        </w:rPr>
        <w:t xml:space="preserve"> Gruss, I. (2025). </w:t>
      </w:r>
      <w:r w:rsidRPr="004D0CC2">
        <w:rPr>
          <w:rFonts w:ascii="Times New Roman" w:hAnsi="Times New Roman" w:cs="Times New Roman"/>
          <w:color w:val="000000" w:themeColor="text1"/>
          <w:sz w:val="24"/>
          <w:szCs w:val="24"/>
          <w:shd w:val="clear" w:color="auto" w:fill="FFFFFF"/>
          <w:lang w:val="en-IN"/>
        </w:rPr>
        <w:t xml:space="preserve">The effect of landfill leachate treatment on ecotoxicological properties of </w:t>
      </w:r>
      <w:proofErr w:type="spellStart"/>
      <w:r w:rsidRPr="004D0CC2">
        <w:rPr>
          <w:rFonts w:ascii="Times New Roman" w:hAnsi="Times New Roman" w:cs="Times New Roman"/>
          <w:color w:val="000000" w:themeColor="text1"/>
          <w:sz w:val="24"/>
          <w:szCs w:val="24"/>
          <w:shd w:val="clear" w:color="auto" w:fill="FFFFFF"/>
          <w:lang w:val="en-IN"/>
        </w:rPr>
        <w:t>Folsomia</w:t>
      </w:r>
      <w:proofErr w:type="spellEnd"/>
      <w:r w:rsidRPr="004D0CC2">
        <w:rPr>
          <w:rFonts w:ascii="Times New Roman" w:hAnsi="Times New Roman" w:cs="Times New Roman"/>
          <w:color w:val="000000" w:themeColor="text1"/>
          <w:sz w:val="24"/>
          <w:szCs w:val="24"/>
          <w:shd w:val="clear" w:color="auto" w:fill="FFFFFF"/>
          <w:lang w:val="en-IN"/>
        </w:rPr>
        <w:t xml:space="preserve"> candida, with a focus on soil contamination risks. Scientific Reports, 15(1), 22688. </w:t>
      </w:r>
      <w:hyperlink r:id="rId95" w:history="1">
        <w:r w:rsidR="002977EC" w:rsidRPr="002E5789">
          <w:rPr>
            <w:rStyle w:val="Hyperlink"/>
            <w:rFonts w:ascii="Times New Roman" w:hAnsi="Times New Roman" w:cs="Times New Roman"/>
            <w:sz w:val="24"/>
            <w:szCs w:val="24"/>
            <w:shd w:val="clear" w:color="auto" w:fill="FFFFFF"/>
            <w:lang w:val="en-IN"/>
          </w:rPr>
          <w:t>https://doi.org/10.1038/s41598-025-07799-5</w:t>
        </w:r>
      </w:hyperlink>
    </w:p>
    <w:p w14:paraId="5CDD82AC" w14:textId="1328C46C" w:rsidR="000C4FC1"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Tal, A. (2025). The environmental impacts of overpopulation. Encyclopedia, 5(2), 45. </w:t>
      </w:r>
      <w:hyperlink r:id="rId96" w:history="1">
        <w:r w:rsidR="005448F7" w:rsidRPr="002E5789">
          <w:rPr>
            <w:rStyle w:val="Hyperlink"/>
            <w:rFonts w:ascii="Times New Roman" w:hAnsi="Times New Roman" w:cs="Times New Roman"/>
            <w:sz w:val="24"/>
            <w:szCs w:val="24"/>
            <w:shd w:val="clear" w:color="auto" w:fill="FFFFFF"/>
            <w:lang w:val="en-IN"/>
          </w:rPr>
          <w:t>https://doi.org/10.3390/encyclopedia5020045</w:t>
        </w:r>
      </w:hyperlink>
    </w:p>
    <w:p w14:paraId="25842B4A" w14:textId="1801920A" w:rsidR="000C4FC1"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proofErr w:type="spellStart"/>
      <w:r w:rsidRPr="004D0CC2">
        <w:rPr>
          <w:rFonts w:ascii="Times New Roman" w:hAnsi="Times New Roman" w:cs="Times New Roman"/>
          <w:color w:val="000000" w:themeColor="text1"/>
          <w:sz w:val="24"/>
          <w:szCs w:val="24"/>
          <w:shd w:val="clear" w:color="auto" w:fill="FFFFFF"/>
          <w:lang w:val="en-IN"/>
        </w:rPr>
        <w:t>Targulian</w:t>
      </w:r>
      <w:proofErr w:type="spellEnd"/>
      <w:r w:rsidRPr="004D0CC2">
        <w:rPr>
          <w:rFonts w:ascii="Times New Roman" w:hAnsi="Times New Roman" w:cs="Times New Roman"/>
          <w:color w:val="000000" w:themeColor="text1"/>
          <w:sz w:val="24"/>
          <w:szCs w:val="24"/>
          <w:shd w:val="clear" w:color="auto" w:fill="FFFFFF"/>
          <w:lang w:val="en-IN"/>
        </w:rPr>
        <w:t xml:space="preserve">, V. O., Arnold, R. W., Miller, B. A., </w:t>
      </w:r>
      <w:r w:rsidR="002E0FD3">
        <w:rPr>
          <w:rFonts w:ascii="Times New Roman" w:hAnsi="Times New Roman" w:cs="Times New Roman"/>
          <w:color w:val="000000" w:themeColor="text1"/>
          <w:sz w:val="24"/>
          <w:szCs w:val="24"/>
          <w:shd w:val="clear" w:color="auto" w:fill="FFFFFF"/>
          <w:lang w:val="en-IN"/>
        </w:rPr>
        <w:t>and</w:t>
      </w:r>
      <w:r w:rsidRPr="004D0CC2">
        <w:rPr>
          <w:rFonts w:ascii="Times New Roman" w:hAnsi="Times New Roman" w:cs="Times New Roman"/>
          <w:color w:val="000000" w:themeColor="text1"/>
          <w:sz w:val="24"/>
          <w:szCs w:val="24"/>
          <w:shd w:val="clear" w:color="auto" w:fill="FFFFFF"/>
          <w:lang w:val="en-IN"/>
        </w:rPr>
        <w:t xml:space="preserve"> Brevik, E. C. (2019). Pedosphere. In B. Fath (Ed.), Encyclopedia of ecology (2nd ed., pp. 162–168). Elsevier. </w:t>
      </w:r>
      <w:hyperlink r:id="rId97" w:history="1">
        <w:r w:rsidR="002E0FD3" w:rsidRPr="002E5789">
          <w:rPr>
            <w:rStyle w:val="Hyperlink"/>
            <w:rFonts w:ascii="Times New Roman" w:hAnsi="Times New Roman" w:cs="Times New Roman"/>
            <w:sz w:val="24"/>
            <w:szCs w:val="24"/>
            <w:shd w:val="clear" w:color="auto" w:fill="FFFFFF"/>
            <w:lang w:val="en-IN"/>
          </w:rPr>
          <w:t>https://doi.org/10.1016/B978-0-12-409548-9.11153-4</w:t>
        </w:r>
      </w:hyperlink>
    </w:p>
    <w:p w14:paraId="4904E275" w14:textId="0F8C71CF" w:rsidR="00306B82" w:rsidRDefault="002E0FD3" w:rsidP="00306B82">
      <w:pPr>
        <w:spacing w:line="360" w:lineRule="auto"/>
        <w:jc w:val="both"/>
        <w:rPr>
          <w:rFonts w:ascii="Times New Roman" w:hAnsi="Times New Roman" w:cs="Times New Roman"/>
          <w:sz w:val="24"/>
          <w:szCs w:val="24"/>
        </w:rPr>
      </w:pPr>
      <w:r w:rsidRPr="002E0FD3">
        <w:rPr>
          <w:rFonts w:ascii="Times New Roman" w:hAnsi="Times New Roman" w:cs="Times New Roman"/>
          <w:color w:val="000000" w:themeColor="text1"/>
          <w:sz w:val="24"/>
          <w:szCs w:val="24"/>
          <w:shd w:val="clear" w:color="auto" w:fill="FFFFFF"/>
        </w:rPr>
        <w:t xml:space="preserve">Tchounwou, P. B., </w:t>
      </w:r>
      <w:proofErr w:type="spellStart"/>
      <w:r w:rsidRPr="002E0FD3">
        <w:rPr>
          <w:rFonts w:ascii="Times New Roman" w:hAnsi="Times New Roman" w:cs="Times New Roman"/>
          <w:color w:val="000000" w:themeColor="text1"/>
          <w:sz w:val="24"/>
          <w:szCs w:val="24"/>
          <w:shd w:val="clear" w:color="auto" w:fill="FFFFFF"/>
        </w:rPr>
        <w:t>Yedjou</w:t>
      </w:r>
      <w:proofErr w:type="spellEnd"/>
      <w:r w:rsidRPr="002E0FD3">
        <w:rPr>
          <w:rFonts w:ascii="Times New Roman" w:hAnsi="Times New Roman" w:cs="Times New Roman"/>
          <w:color w:val="000000" w:themeColor="text1"/>
          <w:sz w:val="24"/>
          <w:szCs w:val="24"/>
          <w:shd w:val="clear" w:color="auto" w:fill="FFFFFF"/>
        </w:rPr>
        <w:t xml:space="preserve">, C. G., Patlolla, A. K., </w:t>
      </w:r>
      <w:r w:rsidR="0004051E">
        <w:rPr>
          <w:rFonts w:ascii="Times New Roman" w:hAnsi="Times New Roman" w:cs="Times New Roman"/>
          <w:color w:val="000000" w:themeColor="text1"/>
          <w:sz w:val="24"/>
          <w:szCs w:val="24"/>
          <w:shd w:val="clear" w:color="auto" w:fill="FFFFFF"/>
        </w:rPr>
        <w:t>and</w:t>
      </w:r>
      <w:r w:rsidRPr="002E0FD3">
        <w:rPr>
          <w:rFonts w:ascii="Times New Roman" w:hAnsi="Times New Roman" w:cs="Times New Roman"/>
          <w:color w:val="000000" w:themeColor="text1"/>
          <w:sz w:val="24"/>
          <w:szCs w:val="24"/>
          <w:shd w:val="clear" w:color="auto" w:fill="FFFFFF"/>
        </w:rPr>
        <w:t xml:space="preserve"> Sutton, D. J. (2012). Heavy metal toxicity and the environment. </w:t>
      </w:r>
      <w:r w:rsidRPr="002E0FD3">
        <w:rPr>
          <w:rFonts w:ascii="Times New Roman" w:hAnsi="Times New Roman" w:cs="Times New Roman"/>
          <w:i/>
          <w:iCs/>
          <w:color w:val="000000" w:themeColor="text1"/>
          <w:sz w:val="24"/>
          <w:szCs w:val="24"/>
          <w:shd w:val="clear" w:color="auto" w:fill="FFFFFF"/>
        </w:rPr>
        <w:t>Molecular, clinical and environmental toxicology: volume 3: environmental toxicology</w:t>
      </w:r>
      <w:r w:rsidRPr="002E0FD3">
        <w:rPr>
          <w:rFonts w:ascii="Times New Roman" w:hAnsi="Times New Roman" w:cs="Times New Roman"/>
          <w:color w:val="000000" w:themeColor="text1"/>
          <w:sz w:val="24"/>
          <w:szCs w:val="24"/>
          <w:shd w:val="clear" w:color="auto" w:fill="FFFFFF"/>
        </w:rPr>
        <w:t>, 133-164.</w:t>
      </w:r>
      <w:r w:rsidRPr="002E0FD3">
        <w:rPr>
          <w:rFonts w:ascii="Merriweather Sans" w:hAnsi="Merriweather Sans"/>
          <w:color w:val="222222"/>
          <w:shd w:val="clear" w:color="auto" w:fill="FFFFFF"/>
        </w:rPr>
        <w:t xml:space="preserve"> </w:t>
      </w:r>
      <w:hyperlink r:id="rId98" w:history="1">
        <w:r w:rsidR="00E55250" w:rsidRPr="002E5789">
          <w:rPr>
            <w:rStyle w:val="Hyperlink"/>
            <w:rFonts w:ascii="Times New Roman" w:hAnsi="Times New Roman" w:cs="Times New Roman"/>
            <w:sz w:val="24"/>
            <w:szCs w:val="24"/>
          </w:rPr>
          <w:t>https://doi.org/10.1007/978-3-7643-8340-4_6</w:t>
        </w:r>
      </w:hyperlink>
    </w:p>
    <w:p w14:paraId="1D6A049B" w14:textId="608E2A98" w:rsidR="000C4FC1" w:rsidRDefault="000C4FC1" w:rsidP="00306B82">
      <w:pPr>
        <w:spacing w:line="360" w:lineRule="auto"/>
        <w:jc w:val="both"/>
        <w:rPr>
          <w:rFonts w:ascii="Times New Roman" w:hAnsi="Times New Roman" w:cs="Times New Roman"/>
          <w:color w:val="000000" w:themeColor="text1"/>
          <w:sz w:val="24"/>
          <w:szCs w:val="24"/>
        </w:rPr>
      </w:pPr>
      <w:r w:rsidRPr="004D0CC2">
        <w:rPr>
          <w:rFonts w:ascii="Times New Roman" w:hAnsi="Times New Roman" w:cs="Times New Roman"/>
          <w:color w:val="000000" w:themeColor="text1"/>
          <w:sz w:val="24"/>
          <w:szCs w:val="24"/>
        </w:rPr>
        <w:t xml:space="preserve">Thomas, G. W. (1982). Exchangeable cations. In A. L. Page (Ed.), </w:t>
      </w:r>
      <w:r w:rsidRPr="004D0CC2">
        <w:rPr>
          <w:rFonts w:ascii="Times New Roman" w:hAnsi="Times New Roman" w:cs="Times New Roman"/>
          <w:i/>
          <w:iCs/>
          <w:color w:val="000000" w:themeColor="text1"/>
          <w:sz w:val="24"/>
          <w:szCs w:val="24"/>
        </w:rPr>
        <w:t>Methods of soil analysis: Part 2. Chemical and microbiological properties</w:t>
      </w:r>
      <w:r w:rsidRPr="004D0CC2">
        <w:rPr>
          <w:rFonts w:ascii="Times New Roman" w:hAnsi="Times New Roman" w:cs="Times New Roman"/>
          <w:color w:val="000000" w:themeColor="text1"/>
          <w:sz w:val="24"/>
          <w:szCs w:val="24"/>
        </w:rPr>
        <w:t xml:space="preserve"> (2nd ed., pp. 159–165). American Society of Agronomy and Soil Science Society of America.</w:t>
      </w:r>
    </w:p>
    <w:p w14:paraId="073F77D1" w14:textId="4080B2FA" w:rsidR="000C4FC1" w:rsidRDefault="00A218D8" w:rsidP="000A5331">
      <w:pPr>
        <w:spacing w:line="360" w:lineRule="auto"/>
        <w:jc w:val="both"/>
        <w:rPr>
          <w:rFonts w:ascii="Times New Roman" w:hAnsi="Times New Roman" w:cs="Times New Roman"/>
          <w:color w:val="000000" w:themeColor="text1"/>
          <w:sz w:val="24"/>
          <w:szCs w:val="24"/>
          <w:shd w:val="clear" w:color="auto" w:fill="FFFFFF"/>
          <w:lang w:val="en-IN"/>
        </w:rPr>
      </w:pPr>
      <w:r w:rsidRPr="00A218D8">
        <w:rPr>
          <w:rFonts w:ascii="Times New Roman" w:hAnsi="Times New Roman" w:cs="Times New Roman"/>
          <w:color w:val="000000" w:themeColor="text1"/>
          <w:sz w:val="24"/>
          <w:szCs w:val="24"/>
          <w:shd w:val="clear" w:color="auto" w:fill="FFFFFF"/>
        </w:rPr>
        <w:t xml:space="preserve">Toivonen, J., Hudd, R., Nystrand, M., </w:t>
      </w:r>
      <w:r w:rsidR="004A2759">
        <w:rPr>
          <w:rFonts w:ascii="Times New Roman" w:hAnsi="Times New Roman" w:cs="Times New Roman"/>
          <w:color w:val="000000" w:themeColor="text1"/>
          <w:sz w:val="24"/>
          <w:szCs w:val="24"/>
          <w:shd w:val="clear" w:color="auto" w:fill="FFFFFF"/>
        </w:rPr>
        <w:t>and</w:t>
      </w:r>
      <w:r w:rsidRPr="00A218D8">
        <w:rPr>
          <w:rFonts w:ascii="Times New Roman" w:hAnsi="Times New Roman" w:cs="Times New Roman"/>
          <w:color w:val="000000" w:themeColor="text1"/>
          <w:sz w:val="24"/>
          <w:szCs w:val="24"/>
          <w:shd w:val="clear" w:color="auto" w:fill="FFFFFF"/>
        </w:rPr>
        <w:t xml:space="preserve"> Österholm, P. (2020). Climatic effects on water quality in areas with acid sulfate soils with commensurable consequences on the reproduction of burbot (Lota </w:t>
      </w:r>
      <w:proofErr w:type="spellStart"/>
      <w:r w:rsidRPr="00A218D8">
        <w:rPr>
          <w:rFonts w:ascii="Times New Roman" w:hAnsi="Times New Roman" w:cs="Times New Roman"/>
          <w:color w:val="000000" w:themeColor="text1"/>
          <w:sz w:val="24"/>
          <w:szCs w:val="24"/>
          <w:shd w:val="clear" w:color="auto" w:fill="FFFFFF"/>
        </w:rPr>
        <w:t>lota</w:t>
      </w:r>
      <w:proofErr w:type="spellEnd"/>
      <w:r w:rsidRPr="00A218D8">
        <w:rPr>
          <w:rFonts w:ascii="Times New Roman" w:hAnsi="Times New Roman" w:cs="Times New Roman"/>
          <w:color w:val="000000" w:themeColor="text1"/>
          <w:sz w:val="24"/>
          <w:szCs w:val="24"/>
          <w:shd w:val="clear" w:color="auto" w:fill="FFFFFF"/>
        </w:rPr>
        <w:t xml:space="preserve"> L.). </w:t>
      </w:r>
      <w:r w:rsidRPr="00A218D8">
        <w:rPr>
          <w:rFonts w:ascii="Times New Roman" w:hAnsi="Times New Roman" w:cs="Times New Roman"/>
          <w:i/>
          <w:iCs/>
          <w:color w:val="000000" w:themeColor="text1"/>
          <w:sz w:val="24"/>
          <w:szCs w:val="24"/>
          <w:shd w:val="clear" w:color="auto" w:fill="FFFFFF"/>
        </w:rPr>
        <w:t>Environmental Geochemistry and Health</w:t>
      </w:r>
      <w:r w:rsidRPr="00A218D8">
        <w:rPr>
          <w:rFonts w:ascii="Times New Roman" w:hAnsi="Times New Roman" w:cs="Times New Roman"/>
          <w:color w:val="000000" w:themeColor="text1"/>
          <w:sz w:val="24"/>
          <w:szCs w:val="24"/>
          <w:shd w:val="clear" w:color="auto" w:fill="FFFFFF"/>
        </w:rPr>
        <w:t>, </w:t>
      </w:r>
      <w:r w:rsidRPr="00A218D8">
        <w:rPr>
          <w:rFonts w:ascii="Times New Roman" w:hAnsi="Times New Roman" w:cs="Times New Roman"/>
          <w:i/>
          <w:iCs/>
          <w:color w:val="000000" w:themeColor="text1"/>
          <w:sz w:val="24"/>
          <w:szCs w:val="24"/>
          <w:shd w:val="clear" w:color="auto" w:fill="FFFFFF"/>
        </w:rPr>
        <w:t>42</w:t>
      </w:r>
      <w:r w:rsidRPr="00A218D8">
        <w:rPr>
          <w:rFonts w:ascii="Times New Roman" w:hAnsi="Times New Roman" w:cs="Times New Roman"/>
          <w:color w:val="000000" w:themeColor="text1"/>
          <w:sz w:val="24"/>
          <w:szCs w:val="24"/>
          <w:shd w:val="clear" w:color="auto" w:fill="FFFFFF"/>
        </w:rPr>
        <w:t>(10), 3141-3156.</w:t>
      </w:r>
      <w:r>
        <w:rPr>
          <w:rFonts w:ascii="Times New Roman" w:hAnsi="Times New Roman" w:cs="Times New Roman"/>
          <w:color w:val="000000" w:themeColor="text1"/>
          <w:sz w:val="24"/>
          <w:szCs w:val="24"/>
          <w:shd w:val="clear" w:color="auto" w:fill="FFFFFF"/>
        </w:rPr>
        <w:t xml:space="preserve"> </w:t>
      </w:r>
      <w:hyperlink r:id="rId99" w:history="1">
        <w:r w:rsidRPr="002E5789">
          <w:rPr>
            <w:rStyle w:val="Hyperlink"/>
            <w:rFonts w:ascii="Times New Roman" w:hAnsi="Times New Roman" w:cs="Times New Roman"/>
            <w:sz w:val="24"/>
            <w:szCs w:val="24"/>
            <w:shd w:val="clear" w:color="auto" w:fill="FFFFFF"/>
            <w:lang w:val="en-IN"/>
          </w:rPr>
          <w:t>https://doi.org/10.1007/s10653-020-00550-1</w:t>
        </w:r>
      </w:hyperlink>
    </w:p>
    <w:p w14:paraId="6C1660FF" w14:textId="4C2170FD" w:rsidR="003A39EF" w:rsidRDefault="003A39EF" w:rsidP="000A5331">
      <w:pPr>
        <w:spacing w:line="360" w:lineRule="auto"/>
        <w:jc w:val="both"/>
        <w:rPr>
          <w:rFonts w:ascii="Times New Roman" w:hAnsi="Times New Roman" w:cs="Times New Roman"/>
          <w:color w:val="000000" w:themeColor="text1"/>
          <w:sz w:val="24"/>
          <w:szCs w:val="24"/>
          <w:shd w:val="clear" w:color="auto" w:fill="FFFFFF"/>
        </w:rPr>
      </w:pPr>
      <w:r w:rsidRPr="003A39EF">
        <w:rPr>
          <w:rFonts w:ascii="Times New Roman" w:hAnsi="Times New Roman" w:cs="Times New Roman"/>
          <w:color w:val="000000" w:themeColor="text1"/>
          <w:sz w:val="24"/>
          <w:szCs w:val="24"/>
          <w:shd w:val="clear" w:color="auto" w:fill="FFFFFF"/>
        </w:rPr>
        <w:t xml:space="preserve">Tong, D. Q., Gill, T. E., Sprigg, W. A., Van Pelt, R. S., Baklanov, A. A., Barker, B. M., </w:t>
      </w:r>
      <w:r w:rsidR="0043435E">
        <w:rPr>
          <w:rFonts w:ascii="Times New Roman" w:hAnsi="Times New Roman" w:cs="Times New Roman"/>
          <w:color w:val="000000" w:themeColor="text1"/>
          <w:sz w:val="24"/>
          <w:szCs w:val="24"/>
          <w:shd w:val="clear" w:color="auto" w:fill="FFFFFF"/>
        </w:rPr>
        <w:t>and</w:t>
      </w:r>
      <w:r w:rsidRPr="003A39EF">
        <w:rPr>
          <w:rFonts w:ascii="Times New Roman" w:hAnsi="Times New Roman" w:cs="Times New Roman"/>
          <w:color w:val="000000" w:themeColor="text1"/>
          <w:sz w:val="24"/>
          <w:szCs w:val="24"/>
          <w:shd w:val="clear" w:color="auto" w:fill="FFFFFF"/>
        </w:rPr>
        <w:t xml:space="preserve"> </w:t>
      </w:r>
      <w:proofErr w:type="spellStart"/>
      <w:r w:rsidRPr="003A39EF">
        <w:rPr>
          <w:rFonts w:ascii="Times New Roman" w:hAnsi="Times New Roman" w:cs="Times New Roman"/>
          <w:color w:val="000000" w:themeColor="text1"/>
          <w:sz w:val="24"/>
          <w:szCs w:val="24"/>
          <w:shd w:val="clear" w:color="auto" w:fill="FFFFFF"/>
        </w:rPr>
        <w:t>Vimic</w:t>
      </w:r>
      <w:proofErr w:type="spellEnd"/>
      <w:r w:rsidRPr="003A39EF">
        <w:rPr>
          <w:rFonts w:ascii="Times New Roman" w:hAnsi="Times New Roman" w:cs="Times New Roman"/>
          <w:color w:val="000000" w:themeColor="text1"/>
          <w:sz w:val="24"/>
          <w:szCs w:val="24"/>
          <w:shd w:val="clear" w:color="auto" w:fill="FFFFFF"/>
        </w:rPr>
        <w:t>, A. V. (2023). Health and safety effects of airborne soil dust in the Americas and beyond. </w:t>
      </w:r>
      <w:r w:rsidRPr="003A39EF">
        <w:rPr>
          <w:rFonts w:ascii="Times New Roman" w:hAnsi="Times New Roman" w:cs="Times New Roman"/>
          <w:i/>
          <w:iCs/>
          <w:color w:val="000000" w:themeColor="text1"/>
          <w:sz w:val="24"/>
          <w:szCs w:val="24"/>
          <w:shd w:val="clear" w:color="auto" w:fill="FFFFFF"/>
        </w:rPr>
        <w:t>Reviews of Geophysics</w:t>
      </w:r>
      <w:r w:rsidRPr="003A39EF">
        <w:rPr>
          <w:rFonts w:ascii="Times New Roman" w:hAnsi="Times New Roman" w:cs="Times New Roman"/>
          <w:color w:val="000000" w:themeColor="text1"/>
          <w:sz w:val="24"/>
          <w:szCs w:val="24"/>
          <w:shd w:val="clear" w:color="auto" w:fill="FFFFFF"/>
        </w:rPr>
        <w:t>, </w:t>
      </w:r>
      <w:r w:rsidRPr="003A39EF">
        <w:rPr>
          <w:rFonts w:ascii="Times New Roman" w:hAnsi="Times New Roman" w:cs="Times New Roman"/>
          <w:i/>
          <w:iCs/>
          <w:color w:val="000000" w:themeColor="text1"/>
          <w:sz w:val="24"/>
          <w:szCs w:val="24"/>
          <w:shd w:val="clear" w:color="auto" w:fill="FFFFFF"/>
        </w:rPr>
        <w:t>61</w:t>
      </w:r>
      <w:r w:rsidRPr="003A39EF">
        <w:rPr>
          <w:rFonts w:ascii="Times New Roman" w:hAnsi="Times New Roman" w:cs="Times New Roman"/>
          <w:color w:val="000000" w:themeColor="text1"/>
          <w:sz w:val="24"/>
          <w:szCs w:val="24"/>
          <w:shd w:val="clear" w:color="auto" w:fill="FFFFFF"/>
        </w:rPr>
        <w:t>(2), e2021RG000763.</w:t>
      </w:r>
      <w:r w:rsidRPr="003A39EF">
        <w:t xml:space="preserve"> </w:t>
      </w:r>
      <w:hyperlink r:id="rId100" w:history="1">
        <w:r w:rsidRPr="002E5789">
          <w:rPr>
            <w:rStyle w:val="Hyperlink"/>
            <w:rFonts w:ascii="Times New Roman" w:hAnsi="Times New Roman" w:cs="Times New Roman"/>
            <w:sz w:val="24"/>
            <w:szCs w:val="24"/>
            <w:shd w:val="clear" w:color="auto" w:fill="FFFFFF"/>
          </w:rPr>
          <w:t>https://doi.org/10.1029/2021RG000763</w:t>
        </w:r>
      </w:hyperlink>
    </w:p>
    <w:p w14:paraId="5E7BF78B" w14:textId="77777777" w:rsidR="003A39EF" w:rsidRDefault="003A39EF" w:rsidP="000A5331">
      <w:pPr>
        <w:spacing w:line="360" w:lineRule="auto"/>
        <w:jc w:val="both"/>
        <w:rPr>
          <w:rFonts w:ascii="Times New Roman" w:hAnsi="Times New Roman" w:cs="Times New Roman"/>
          <w:color w:val="000000" w:themeColor="text1"/>
          <w:sz w:val="24"/>
          <w:szCs w:val="24"/>
          <w:shd w:val="clear" w:color="auto" w:fill="FFFFFF"/>
        </w:rPr>
      </w:pPr>
    </w:p>
    <w:p w14:paraId="1DC25948" w14:textId="5AEC8D05" w:rsidR="000C4FC1"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lastRenderedPageBreak/>
        <w:t xml:space="preserve">van den Bergh, S. G., Chardon, I., Leite, M. F. A., Korthals, G. W., Mayer, J., Cougnon, M., </w:t>
      </w:r>
      <w:proofErr w:type="spellStart"/>
      <w:r w:rsidRPr="004D0CC2">
        <w:rPr>
          <w:rFonts w:ascii="Times New Roman" w:hAnsi="Times New Roman" w:cs="Times New Roman"/>
          <w:color w:val="000000" w:themeColor="text1"/>
          <w:sz w:val="24"/>
          <w:szCs w:val="24"/>
          <w:shd w:val="clear" w:color="auto" w:fill="FFFFFF"/>
          <w:lang w:val="en-IN"/>
        </w:rPr>
        <w:t>Reheul</w:t>
      </w:r>
      <w:proofErr w:type="spellEnd"/>
      <w:r w:rsidRPr="004D0CC2">
        <w:rPr>
          <w:rFonts w:ascii="Times New Roman" w:hAnsi="Times New Roman" w:cs="Times New Roman"/>
          <w:color w:val="000000" w:themeColor="text1"/>
          <w:sz w:val="24"/>
          <w:szCs w:val="24"/>
          <w:shd w:val="clear" w:color="auto" w:fill="FFFFFF"/>
          <w:lang w:val="en-IN"/>
        </w:rPr>
        <w:t xml:space="preserve">, D., de Boer, W., </w:t>
      </w:r>
      <w:r w:rsidR="002819CD">
        <w:rPr>
          <w:rFonts w:ascii="Times New Roman" w:hAnsi="Times New Roman" w:cs="Times New Roman"/>
          <w:color w:val="000000" w:themeColor="text1"/>
          <w:sz w:val="24"/>
          <w:szCs w:val="24"/>
          <w:shd w:val="clear" w:color="auto" w:fill="FFFFFF"/>
          <w:lang w:val="en-IN"/>
        </w:rPr>
        <w:t>and</w:t>
      </w:r>
      <w:r w:rsidRPr="004D0CC2">
        <w:rPr>
          <w:rFonts w:ascii="Times New Roman" w:hAnsi="Times New Roman" w:cs="Times New Roman"/>
          <w:color w:val="000000" w:themeColor="text1"/>
          <w:sz w:val="24"/>
          <w:szCs w:val="24"/>
          <w:shd w:val="clear" w:color="auto" w:fill="FFFFFF"/>
          <w:lang w:val="en-IN"/>
        </w:rPr>
        <w:t xml:space="preserve"> </w:t>
      </w:r>
      <w:proofErr w:type="spellStart"/>
      <w:r w:rsidRPr="004D0CC2">
        <w:rPr>
          <w:rFonts w:ascii="Times New Roman" w:hAnsi="Times New Roman" w:cs="Times New Roman"/>
          <w:color w:val="000000" w:themeColor="text1"/>
          <w:sz w:val="24"/>
          <w:szCs w:val="24"/>
          <w:shd w:val="clear" w:color="auto" w:fill="FFFFFF"/>
          <w:lang w:val="en-IN"/>
        </w:rPr>
        <w:t>Bodelier</w:t>
      </w:r>
      <w:proofErr w:type="spellEnd"/>
      <w:r w:rsidRPr="004D0CC2">
        <w:rPr>
          <w:rFonts w:ascii="Times New Roman" w:hAnsi="Times New Roman" w:cs="Times New Roman"/>
          <w:color w:val="000000" w:themeColor="text1"/>
          <w:sz w:val="24"/>
          <w:szCs w:val="24"/>
          <w:shd w:val="clear" w:color="auto" w:fill="FFFFFF"/>
          <w:lang w:val="en-IN"/>
        </w:rPr>
        <w:t xml:space="preserve">, P. L. E. (2024). Soil aggregate stability governs field greenhouse gas fluxes in agricultural soils. Soil Biology and Biochemistry, 191, 109354. </w:t>
      </w:r>
      <w:hyperlink r:id="rId101" w:history="1">
        <w:r w:rsidR="002819CD" w:rsidRPr="002E5789">
          <w:rPr>
            <w:rStyle w:val="Hyperlink"/>
            <w:rFonts w:ascii="Times New Roman" w:hAnsi="Times New Roman" w:cs="Times New Roman"/>
            <w:sz w:val="24"/>
            <w:szCs w:val="24"/>
            <w:shd w:val="clear" w:color="auto" w:fill="FFFFFF"/>
            <w:lang w:val="en-IN"/>
          </w:rPr>
          <w:t>https://doi.org/10.1016/j.soilbio.2024.109354</w:t>
        </w:r>
      </w:hyperlink>
    </w:p>
    <w:p w14:paraId="43E7EE95" w14:textId="773B999B" w:rsidR="000C4FC1"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Van, H.-T., Hoang, V. H., Nga, L. T. Q., </w:t>
      </w:r>
      <w:r w:rsidR="002819CD">
        <w:rPr>
          <w:rFonts w:ascii="Times New Roman" w:hAnsi="Times New Roman" w:cs="Times New Roman"/>
          <w:color w:val="000000" w:themeColor="text1"/>
          <w:sz w:val="24"/>
          <w:szCs w:val="24"/>
          <w:shd w:val="clear" w:color="auto" w:fill="FFFFFF"/>
          <w:lang w:val="en-IN"/>
        </w:rPr>
        <w:t>and</w:t>
      </w:r>
      <w:r w:rsidRPr="004D0CC2">
        <w:rPr>
          <w:rFonts w:ascii="Times New Roman" w:hAnsi="Times New Roman" w:cs="Times New Roman"/>
          <w:color w:val="000000" w:themeColor="text1"/>
          <w:sz w:val="24"/>
          <w:szCs w:val="24"/>
          <w:shd w:val="clear" w:color="auto" w:fill="FFFFFF"/>
          <w:lang w:val="en-IN"/>
        </w:rPr>
        <w:t xml:space="preserve"> Nguyen, V. Q. (2024). Effects of Zn pollution on soil: Pollution sources, impacts and solutions. Results in Surfaces and Interfaces, 17, 100360. </w:t>
      </w:r>
      <w:hyperlink r:id="rId102" w:history="1">
        <w:r w:rsidR="002819CD" w:rsidRPr="002E5789">
          <w:rPr>
            <w:rStyle w:val="Hyperlink"/>
            <w:rFonts w:ascii="Times New Roman" w:hAnsi="Times New Roman" w:cs="Times New Roman"/>
            <w:sz w:val="24"/>
            <w:szCs w:val="24"/>
            <w:shd w:val="clear" w:color="auto" w:fill="FFFFFF"/>
            <w:lang w:val="en-IN"/>
          </w:rPr>
          <w:t>https://doi.org/10.1016/j.rsurfi.2024.100360</w:t>
        </w:r>
      </w:hyperlink>
    </w:p>
    <w:p w14:paraId="2446EBE7" w14:textId="481585F7" w:rsidR="00B64FF0" w:rsidRDefault="00B64FF0" w:rsidP="000A5331">
      <w:pPr>
        <w:spacing w:line="360" w:lineRule="auto"/>
        <w:jc w:val="both"/>
        <w:rPr>
          <w:rFonts w:ascii="Times New Roman" w:hAnsi="Times New Roman" w:cs="Times New Roman"/>
          <w:color w:val="000000" w:themeColor="text1"/>
          <w:sz w:val="24"/>
          <w:szCs w:val="24"/>
          <w:shd w:val="clear" w:color="auto" w:fill="FFFFFF"/>
        </w:rPr>
      </w:pPr>
      <w:r w:rsidRPr="00B64FF0">
        <w:rPr>
          <w:rFonts w:ascii="Times New Roman" w:hAnsi="Times New Roman" w:cs="Times New Roman"/>
          <w:color w:val="000000" w:themeColor="text1"/>
          <w:sz w:val="24"/>
          <w:szCs w:val="24"/>
          <w:shd w:val="clear" w:color="auto" w:fill="FFFFFF"/>
        </w:rPr>
        <w:t xml:space="preserve">Vyshnavi, S., Islam, R., </w:t>
      </w:r>
      <w:r w:rsidR="003B60F3">
        <w:rPr>
          <w:rFonts w:ascii="Times New Roman" w:hAnsi="Times New Roman" w:cs="Times New Roman"/>
          <w:color w:val="000000" w:themeColor="text1"/>
          <w:sz w:val="24"/>
          <w:szCs w:val="24"/>
          <w:shd w:val="clear" w:color="auto" w:fill="FFFFFF"/>
        </w:rPr>
        <w:t>and</w:t>
      </w:r>
      <w:r w:rsidRPr="00B64FF0">
        <w:rPr>
          <w:rFonts w:ascii="Times New Roman" w:hAnsi="Times New Roman" w:cs="Times New Roman"/>
          <w:color w:val="000000" w:themeColor="text1"/>
          <w:sz w:val="24"/>
          <w:szCs w:val="24"/>
          <w:shd w:val="clear" w:color="auto" w:fill="FFFFFF"/>
        </w:rPr>
        <w:t xml:space="preserve"> </w:t>
      </w:r>
      <w:proofErr w:type="spellStart"/>
      <w:r w:rsidRPr="00B64FF0">
        <w:rPr>
          <w:rFonts w:ascii="Times New Roman" w:hAnsi="Times New Roman" w:cs="Times New Roman"/>
          <w:color w:val="000000" w:themeColor="text1"/>
          <w:sz w:val="24"/>
          <w:szCs w:val="24"/>
          <w:shd w:val="clear" w:color="auto" w:fill="FFFFFF"/>
        </w:rPr>
        <w:t>Sundriyal</w:t>
      </w:r>
      <w:proofErr w:type="spellEnd"/>
      <w:r w:rsidRPr="00B64FF0">
        <w:rPr>
          <w:rFonts w:ascii="Times New Roman" w:hAnsi="Times New Roman" w:cs="Times New Roman"/>
          <w:color w:val="000000" w:themeColor="text1"/>
          <w:sz w:val="24"/>
          <w:szCs w:val="24"/>
          <w:shd w:val="clear" w:color="auto" w:fill="FFFFFF"/>
        </w:rPr>
        <w:t>, Y. P. (2015). Role of physical and chemical weathering in development of soil profile in the Garhwal Lesser Himalaya. </w:t>
      </w:r>
      <w:r w:rsidRPr="00B64FF0">
        <w:rPr>
          <w:rFonts w:ascii="Times New Roman" w:hAnsi="Times New Roman" w:cs="Times New Roman"/>
          <w:i/>
          <w:iCs/>
          <w:color w:val="000000" w:themeColor="text1"/>
          <w:sz w:val="24"/>
          <w:szCs w:val="24"/>
          <w:shd w:val="clear" w:color="auto" w:fill="FFFFFF"/>
        </w:rPr>
        <w:t>Himalayan Geol</w:t>
      </w:r>
      <w:r w:rsidRPr="00B64FF0">
        <w:rPr>
          <w:rFonts w:ascii="Times New Roman" w:hAnsi="Times New Roman" w:cs="Times New Roman"/>
          <w:color w:val="000000" w:themeColor="text1"/>
          <w:sz w:val="24"/>
          <w:szCs w:val="24"/>
          <w:shd w:val="clear" w:color="auto" w:fill="FFFFFF"/>
        </w:rPr>
        <w:t>, </w:t>
      </w:r>
      <w:r w:rsidRPr="00B64FF0">
        <w:rPr>
          <w:rFonts w:ascii="Times New Roman" w:hAnsi="Times New Roman" w:cs="Times New Roman"/>
          <w:i/>
          <w:iCs/>
          <w:color w:val="000000" w:themeColor="text1"/>
          <w:sz w:val="24"/>
          <w:szCs w:val="24"/>
          <w:shd w:val="clear" w:color="auto" w:fill="FFFFFF"/>
        </w:rPr>
        <w:t>36</w:t>
      </w:r>
      <w:r w:rsidRPr="00B64FF0">
        <w:rPr>
          <w:rFonts w:ascii="Times New Roman" w:hAnsi="Times New Roman" w:cs="Times New Roman"/>
          <w:color w:val="000000" w:themeColor="text1"/>
          <w:sz w:val="24"/>
          <w:szCs w:val="24"/>
          <w:shd w:val="clear" w:color="auto" w:fill="FFFFFF"/>
        </w:rPr>
        <w:t>(2), 111-117.</w:t>
      </w:r>
    </w:p>
    <w:p w14:paraId="6233FC00" w14:textId="77777777" w:rsidR="001C1C53" w:rsidRDefault="001C1C53" w:rsidP="000A5331">
      <w:pPr>
        <w:spacing w:line="360" w:lineRule="auto"/>
        <w:jc w:val="both"/>
        <w:rPr>
          <w:rFonts w:ascii="Times New Roman" w:hAnsi="Times New Roman" w:cs="Times New Roman"/>
          <w:color w:val="000000" w:themeColor="text1"/>
          <w:sz w:val="24"/>
          <w:szCs w:val="24"/>
          <w:shd w:val="clear" w:color="auto" w:fill="FFFFFF"/>
        </w:rPr>
      </w:pPr>
      <w:r w:rsidRPr="001C1C53">
        <w:rPr>
          <w:rFonts w:ascii="Times New Roman" w:hAnsi="Times New Roman" w:cs="Times New Roman"/>
          <w:color w:val="000000" w:themeColor="text1"/>
          <w:sz w:val="24"/>
          <w:szCs w:val="24"/>
          <w:shd w:val="clear" w:color="auto" w:fill="FFFFFF"/>
        </w:rPr>
        <w:t>Wagner, S. C. (2011). Biological nitrogen fixation. </w:t>
      </w:r>
      <w:r w:rsidRPr="001C1C53">
        <w:rPr>
          <w:rFonts w:ascii="Times New Roman" w:hAnsi="Times New Roman" w:cs="Times New Roman"/>
          <w:i/>
          <w:iCs/>
          <w:color w:val="000000" w:themeColor="text1"/>
          <w:sz w:val="24"/>
          <w:szCs w:val="24"/>
          <w:shd w:val="clear" w:color="auto" w:fill="FFFFFF"/>
        </w:rPr>
        <w:t>Nature education knowledge</w:t>
      </w:r>
      <w:r w:rsidRPr="001C1C53">
        <w:rPr>
          <w:rFonts w:ascii="Times New Roman" w:hAnsi="Times New Roman" w:cs="Times New Roman"/>
          <w:color w:val="000000" w:themeColor="text1"/>
          <w:sz w:val="24"/>
          <w:szCs w:val="24"/>
          <w:shd w:val="clear" w:color="auto" w:fill="FFFFFF"/>
        </w:rPr>
        <w:t>, </w:t>
      </w:r>
      <w:r w:rsidRPr="001C1C53">
        <w:rPr>
          <w:rFonts w:ascii="Times New Roman" w:hAnsi="Times New Roman" w:cs="Times New Roman"/>
          <w:i/>
          <w:iCs/>
          <w:color w:val="000000" w:themeColor="text1"/>
          <w:sz w:val="24"/>
          <w:szCs w:val="24"/>
          <w:shd w:val="clear" w:color="auto" w:fill="FFFFFF"/>
        </w:rPr>
        <w:t>3</w:t>
      </w:r>
      <w:r w:rsidRPr="001C1C53">
        <w:rPr>
          <w:rFonts w:ascii="Times New Roman" w:hAnsi="Times New Roman" w:cs="Times New Roman"/>
          <w:color w:val="000000" w:themeColor="text1"/>
          <w:sz w:val="24"/>
          <w:szCs w:val="24"/>
          <w:shd w:val="clear" w:color="auto" w:fill="FFFFFF"/>
        </w:rPr>
        <w:t>(10), 15.</w:t>
      </w:r>
    </w:p>
    <w:p w14:paraId="47F9C465" w14:textId="70E2BD1B" w:rsidR="000C4FC1" w:rsidRDefault="002A526D" w:rsidP="000A5331">
      <w:pPr>
        <w:spacing w:line="360" w:lineRule="auto"/>
        <w:jc w:val="both"/>
        <w:rPr>
          <w:rFonts w:ascii="Times New Roman" w:hAnsi="Times New Roman" w:cs="Times New Roman"/>
          <w:sz w:val="24"/>
          <w:szCs w:val="24"/>
        </w:rPr>
      </w:pPr>
      <w:r w:rsidRPr="002A526D">
        <w:rPr>
          <w:rFonts w:ascii="Times New Roman" w:hAnsi="Times New Roman" w:cs="Times New Roman"/>
          <w:color w:val="000000" w:themeColor="text1"/>
          <w:sz w:val="24"/>
          <w:szCs w:val="24"/>
          <w:shd w:val="clear" w:color="auto" w:fill="FFFFFF"/>
        </w:rPr>
        <w:t xml:space="preserve">Walia, S. S., Dhaliwal, S. S., Gill, R. S., Kaur, T., Kaur, K., Randhawa, M. K., </w:t>
      </w:r>
      <w:r>
        <w:rPr>
          <w:rFonts w:ascii="Times New Roman" w:hAnsi="Times New Roman" w:cs="Times New Roman"/>
          <w:color w:val="000000" w:themeColor="text1"/>
          <w:sz w:val="24"/>
          <w:szCs w:val="24"/>
          <w:shd w:val="clear" w:color="auto" w:fill="FFFFFF"/>
        </w:rPr>
        <w:t>and</w:t>
      </w:r>
      <w:r w:rsidRPr="002A526D">
        <w:rPr>
          <w:rFonts w:ascii="Times New Roman" w:hAnsi="Times New Roman" w:cs="Times New Roman"/>
          <w:color w:val="000000" w:themeColor="text1"/>
          <w:sz w:val="24"/>
          <w:szCs w:val="24"/>
          <w:shd w:val="clear" w:color="auto" w:fill="FFFFFF"/>
        </w:rPr>
        <w:t xml:space="preserve"> Hossain, A. (2024). Improvement of soil health and nutrient transformations under balanced fertilization with integrated nutrient management in a rice-wheat system in Indo-Gangetic Plains–A 34-year Research outcomes. </w:t>
      </w:r>
      <w:proofErr w:type="spellStart"/>
      <w:r w:rsidRPr="002A526D">
        <w:rPr>
          <w:rFonts w:ascii="Times New Roman" w:hAnsi="Times New Roman" w:cs="Times New Roman"/>
          <w:i/>
          <w:iCs/>
          <w:color w:val="000000" w:themeColor="text1"/>
          <w:sz w:val="24"/>
          <w:szCs w:val="24"/>
          <w:shd w:val="clear" w:color="auto" w:fill="FFFFFF"/>
        </w:rPr>
        <w:t>Heliyon</w:t>
      </w:r>
      <w:proofErr w:type="spellEnd"/>
      <w:r w:rsidRPr="002A526D">
        <w:rPr>
          <w:rFonts w:ascii="Times New Roman" w:hAnsi="Times New Roman" w:cs="Times New Roman"/>
          <w:color w:val="000000" w:themeColor="text1"/>
          <w:sz w:val="24"/>
          <w:szCs w:val="24"/>
          <w:shd w:val="clear" w:color="auto" w:fill="FFFFFF"/>
        </w:rPr>
        <w:t>, </w:t>
      </w:r>
      <w:r w:rsidRPr="002A526D">
        <w:rPr>
          <w:rFonts w:ascii="Times New Roman" w:hAnsi="Times New Roman" w:cs="Times New Roman"/>
          <w:i/>
          <w:iCs/>
          <w:color w:val="000000" w:themeColor="text1"/>
          <w:sz w:val="24"/>
          <w:szCs w:val="24"/>
          <w:shd w:val="clear" w:color="auto" w:fill="FFFFFF"/>
        </w:rPr>
        <w:t>10</w:t>
      </w:r>
      <w:r w:rsidRPr="002A526D">
        <w:rPr>
          <w:rFonts w:ascii="Times New Roman" w:hAnsi="Times New Roman" w:cs="Times New Roman"/>
          <w:color w:val="000000" w:themeColor="text1"/>
          <w:sz w:val="24"/>
          <w:szCs w:val="24"/>
          <w:shd w:val="clear" w:color="auto" w:fill="FFFFFF"/>
        </w:rPr>
        <w:t>(4).</w:t>
      </w:r>
      <w:r>
        <w:rPr>
          <w:rFonts w:ascii="Times New Roman" w:hAnsi="Times New Roman" w:cs="Times New Roman"/>
          <w:color w:val="000000" w:themeColor="text1"/>
          <w:sz w:val="24"/>
          <w:szCs w:val="24"/>
          <w:shd w:val="clear" w:color="auto" w:fill="FFFFFF"/>
        </w:rPr>
        <w:t xml:space="preserve"> </w:t>
      </w:r>
      <w:hyperlink r:id="rId103" w:history="1">
        <w:r w:rsidRPr="002E5789">
          <w:rPr>
            <w:rStyle w:val="Hyperlink"/>
            <w:rFonts w:ascii="Times New Roman" w:hAnsi="Times New Roman" w:cs="Times New Roman"/>
            <w:sz w:val="24"/>
            <w:szCs w:val="24"/>
          </w:rPr>
          <w:t>https://doi.org/10.1016/j.heliyon.2024.e25113</w:t>
        </w:r>
      </w:hyperlink>
    </w:p>
    <w:p w14:paraId="53F03F97" w14:textId="4AAEE2A2" w:rsidR="000C4FC1"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Wang, D., Zheng, L., Ren, M., Li, C., Dong, X., Wei, X., Zhou, W., </w:t>
      </w:r>
      <w:r w:rsidR="00E90F85">
        <w:rPr>
          <w:rFonts w:ascii="Times New Roman" w:hAnsi="Times New Roman" w:cs="Times New Roman"/>
          <w:color w:val="000000" w:themeColor="text1"/>
          <w:sz w:val="24"/>
          <w:szCs w:val="24"/>
          <w:shd w:val="clear" w:color="auto" w:fill="FFFFFF"/>
          <w:lang w:val="en-IN"/>
        </w:rPr>
        <w:t>and</w:t>
      </w:r>
      <w:r w:rsidRPr="004D0CC2">
        <w:rPr>
          <w:rFonts w:ascii="Times New Roman" w:hAnsi="Times New Roman" w:cs="Times New Roman"/>
          <w:color w:val="000000" w:themeColor="text1"/>
          <w:sz w:val="24"/>
          <w:szCs w:val="24"/>
          <w:shd w:val="clear" w:color="auto" w:fill="FFFFFF"/>
          <w:lang w:val="en-IN"/>
        </w:rPr>
        <w:t xml:space="preserve"> Cui, J. (2022). Zinc in soil reflecting the intensive coal mining activities: Evidence from stable zinc isotopes analysis. Ecotoxicology and Environmental Safety, 239, 113669. </w:t>
      </w:r>
      <w:hyperlink r:id="rId104" w:history="1">
        <w:r w:rsidR="00E90F85" w:rsidRPr="002E5789">
          <w:rPr>
            <w:rStyle w:val="Hyperlink"/>
            <w:rFonts w:ascii="Times New Roman" w:hAnsi="Times New Roman" w:cs="Times New Roman"/>
            <w:sz w:val="24"/>
            <w:szCs w:val="24"/>
            <w:shd w:val="clear" w:color="auto" w:fill="FFFFFF"/>
            <w:lang w:val="en-IN"/>
          </w:rPr>
          <w:t>https://doi.org/10.1016/j.ecoenv.2022.113669</w:t>
        </w:r>
      </w:hyperlink>
    </w:p>
    <w:p w14:paraId="42C46915" w14:textId="170098DB" w:rsidR="000C4FC1" w:rsidRPr="00471219"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Wang, W., Lin, Y., Yang, H., Ling, W., Liu, L., Zhang, W., Lu, D., Liu, Q., </w:t>
      </w:r>
      <w:r w:rsidR="00E90F85">
        <w:rPr>
          <w:rFonts w:ascii="Times New Roman" w:hAnsi="Times New Roman" w:cs="Times New Roman"/>
          <w:color w:val="000000" w:themeColor="text1"/>
          <w:sz w:val="24"/>
          <w:szCs w:val="24"/>
          <w:shd w:val="clear" w:color="auto" w:fill="FFFFFF"/>
          <w:lang w:val="en-IN"/>
        </w:rPr>
        <w:t>and</w:t>
      </w:r>
      <w:r w:rsidRPr="004D0CC2">
        <w:rPr>
          <w:rFonts w:ascii="Times New Roman" w:hAnsi="Times New Roman" w:cs="Times New Roman"/>
          <w:color w:val="000000" w:themeColor="text1"/>
          <w:sz w:val="24"/>
          <w:szCs w:val="24"/>
          <w:shd w:val="clear" w:color="auto" w:fill="FFFFFF"/>
          <w:lang w:val="en-IN"/>
        </w:rPr>
        <w:t xml:space="preserve"> Jiang, G. (2022). Internal exposure and distribution of airborne fine particles in the human body: Methodology, current understandings, and research needs. Environmental Science &amp; Technology, 56(11), 6857–6869. </w:t>
      </w:r>
      <w:hyperlink r:id="rId105" w:history="1">
        <w:r w:rsidR="00E90F85" w:rsidRPr="00471219">
          <w:rPr>
            <w:rStyle w:val="Hyperlink"/>
            <w:rFonts w:ascii="Times New Roman" w:hAnsi="Times New Roman" w:cs="Times New Roman"/>
            <w:sz w:val="24"/>
            <w:szCs w:val="24"/>
            <w:shd w:val="clear" w:color="auto" w:fill="FFFFFF"/>
            <w:lang w:val="en-IN"/>
          </w:rPr>
          <w:t>https://doi.org/10.1021/acs.est.1c07051</w:t>
        </w:r>
      </w:hyperlink>
    </w:p>
    <w:p w14:paraId="040033AF" w14:textId="571DF936" w:rsidR="000C4FC1" w:rsidRPr="00B14A06"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71219">
        <w:rPr>
          <w:rFonts w:ascii="Times New Roman" w:hAnsi="Times New Roman" w:cs="Times New Roman"/>
          <w:color w:val="000000" w:themeColor="text1"/>
          <w:sz w:val="24"/>
          <w:szCs w:val="24"/>
          <w:shd w:val="clear" w:color="auto" w:fill="FFFFFF"/>
          <w:lang w:val="en-IN"/>
        </w:rPr>
        <w:t xml:space="preserve">Wani, A. L., Ara, A., </w:t>
      </w:r>
      <w:r w:rsidR="003D76E5" w:rsidRPr="00471219">
        <w:rPr>
          <w:rFonts w:ascii="Times New Roman" w:hAnsi="Times New Roman" w:cs="Times New Roman"/>
          <w:color w:val="000000" w:themeColor="text1"/>
          <w:sz w:val="24"/>
          <w:szCs w:val="24"/>
          <w:shd w:val="clear" w:color="auto" w:fill="FFFFFF"/>
          <w:lang w:val="en-IN"/>
        </w:rPr>
        <w:t>and</w:t>
      </w:r>
      <w:r w:rsidRPr="00471219">
        <w:rPr>
          <w:rFonts w:ascii="Times New Roman" w:hAnsi="Times New Roman" w:cs="Times New Roman"/>
          <w:color w:val="000000" w:themeColor="text1"/>
          <w:sz w:val="24"/>
          <w:szCs w:val="24"/>
          <w:shd w:val="clear" w:color="auto" w:fill="FFFFFF"/>
          <w:lang w:val="en-IN"/>
        </w:rPr>
        <w:t xml:space="preserve"> Usmani, J. A. (2015). </w:t>
      </w:r>
      <w:r w:rsidRPr="004D0CC2">
        <w:rPr>
          <w:rFonts w:ascii="Times New Roman" w:hAnsi="Times New Roman" w:cs="Times New Roman"/>
          <w:color w:val="000000" w:themeColor="text1"/>
          <w:sz w:val="24"/>
          <w:szCs w:val="24"/>
          <w:shd w:val="clear" w:color="auto" w:fill="FFFFFF"/>
          <w:lang w:val="en-IN"/>
        </w:rPr>
        <w:t xml:space="preserve">Lead toxicity: A review. Interdisciplinary Toxicology, 8(2), 55–64. </w:t>
      </w:r>
      <w:hyperlink r:id="rId106" w:history="1">
        <w:r w:rsidR="003D76E5" w:rsidRPr="00B14A06">
          <w:rPr>
            <w:rStyle w:val="Hyperlink"/>
            <w:rFonts w:ascii="Times New Roman" w:hAnsi="Times New Roman" w:cs="Times New Roman"/>
            <w:sz w:val="24"/>
            <w:szCs w:val="24"/>
            <w:shd w:val="clear" w:color="auto" w:fill="FFFFFF"/>
            <w:lang w:val="en-IN"/>
          </w:rPr>
          <w:t>https://doi.org/10.1515/intox-2015-0009</w:t>
        </w:r>
      </w:hyperlink>
    </w:p>
    <w:p w14:paraId="16CB6704" w14:textId="171998A6"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3D76E5">
        <w:rPr>
          <w:rFonts w:ascii="Times New Roman" w:hAnsi="Times New Roman" w:cs="Times New Roman"/>
          <w:color w:val="000000" w:themeColor="text1"/>
          <w:sz w:val="24"/>
          <w:szCs w:val="24"/>
          <w:shd w:val="clear" w:color="auto" w:fill="FFFFFF"/>
          <w:lang w:val="en-IN"/>
        </w:rPr>
        <w:t xml:space="preserve">Weil, R. R., </w:t>
      </w:r>
      <w:r w:rsidR="003D76E5" w:rsidRPr="003D76E5">
        <w:rPr>
          <w:rFonts w:ascii="Times New Roman" w:hAnsi="Times New Roman" w:cs="Times New Roman"/>
          <w:color w:val="000000" w:themeColor="text1"/>
          <w:sz w:val="24"/>
          <w:szCs w:val="24"/>
          <w:shd w:val="clear" w:color="auto" w:fill="FFFFFF"/>
          <w:lang w:val="en-IN"/>
        </w:rPr>
        <w:t>and</w:t>
      </w:r>
      <w:r w:rsidRPr="003D76E5">
        <w:rPr>
          <w:rFonts w:ascii="Times New Roman" w:hAnsi="Times New Roman" w:cs="Times New Roman"/>
          <w:color w:val="000000" w:themeColor="text1"/>
          <w:sz w:val="24"/>
          <w:szCs w:val="24"/>
          <w:shd w:val="clear" w:color="auto" w:fill="FFFFFF"/>
          <w:lang w:val="en-IN"/>
        </w:rPr>
        <w:t xml:space="preserve"> Brady, N. C. (2017). </w:t>
      </w:r>
      <w:r w:rsidRPr="004D0CC2">
        <w:rPr>
          <w:rFonts w:ascii="Times New Roman" w:hAnsi="Times New Roman" w:cs="Times New Roman"/>
          <w:color w:val="000000" w:themeColor="text1"/>
          <w:sz w:val="24"/>
          <w:szCs w:val="24"/>
          <w:shd w:val="clear" w:color="auto" w:fill="FFFFFF"/>
          <w:lang w:val="en-IN"/>
        </w:rPr>
        <w:t>The nature and properties of soils (15th ed.). Pearson.</w:t>
      </w:r>
    </w:p>
    <w:p w14:paraId="143BBEE6" w14:textId="7A38258C" w:rsidR="000C4FC1"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Wild, C. P., </w:t>
      </w:r>
      <w:proofErr w:type="spellStart"/>
      <w:r w:rsidRPr="004D0CC2">
        <w:rPr>
          <w:rFonts w:ascii="Times New Roman" w:hAnsi="Times New Roman" w:cs="Times New Roman"/>
          <w:color w:val="000000" w:themeColor="text1"/>
          <w:sz w:val="24"/>
          <w:szCs w:val="24"/>
          <w:shd w:val="clear" w:color="auto" w:fill="FFFFFF"/>
          <w:lang w:val="en-IN"/>
        </w:rPr>
        <w:t>Weiderpass</w:t>
      </w:r>
      <w:proofErr w:type="spellEnd"/>
      <w:r w:rsidRPr="004D0CC2">
        <w:rPr>
          <w:rFonts w:ascii="Times New Roman" w:hAnsi="Times New Roman" w:cs="Times New Roman"/>
          <w:color w:val="000000" w:themeColor="text1"/>
          <w:sz w:val="24"/>
          <w:szCs w:val="24"/>
          <w:shd w:val="clear" w:color="auto" w:fill="FFFFFF"/>
          <w:lang w:val="en-IN"/>
        </w:rPr>
        <w:t xml:space="preserve">, E., </w:t>
      </w:r>
      <w:r w:rsidR="003D76E5">
        <w:rPr>
          <w:rFonts w:ascii="Times New Roman" w:hAnsi="Times New Roman" w:cs="Times New Roman"/>
          <w:color w:val="000000" w:themeColor="text1"/>
          <w:sz w:val="24"/>
          <w:szCs w:val="24"/>
          <w:shd w:val="clear" w:color="auto" w:fill="FFFFFF"/>
          <w:lang w:val="en-IN"/>
        </w:rPr>
        <w:t>and</w:t>
      </w:r>
      <w:r w:rsidRPr="004D0CC2">
        <w:rPr>
          <w:rFonts w:ascii="Times New Roman" w:hAnsi="Times New Roman" w:cs="Times New Roman"/>
          <w:color w:val="000000" w:themeColor="text1"/>
          <w:sz w:val="24"/>
          <w:szCs w:val="24"/>
          <w:shd w:val="clear" w:color="auto" w:fill="FFFFFF"/>
          <w:lang w:val="en-IN"/>
        </w:rPr>
        <w:t xml:space="preserve"> Stewart, B. W. (Eds.). (2020). World cancer report: Cancer research for cancer prevention. International Agency for Research on Cancer.</w:t>
      </w:r>
    </w:p>
    <w:p w14:paraId="6259E0A4" w14:textId="77777777" w:rsidR="006E69C3" w:rsidRPr="004D0CC2" w:rsidRDefault="006E69C3" w:rsidP="000A5331">
      <w:pPr>
        <w:spacing w:line="360" w:lineRule="auto"/>
        <w:jc w:val="both"/>
        <w:rPr>
          <w:rFonts w:ascii="Times New Roman" w:hAnsi="Times New Roman" w:cs="Times New Roman"/>
          <w:color w:val="000000" w:themeColor="text1"/>
          <w:sz w:val="24"/>
          <w:szCs w:val="24"/>
          <w:shd w:val="clear" w:color="auto" w:fill="FFFFFF"/>
          <w:lang w:val="en-IN"/>
        </w:rPr>
      </w:pPr>
    </w:p>
    <w:p w14:paraId="53174B1B" w14:textId="77777777" w:rsidR="000C4FC1" w:rsidRPr="004D0CC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Williams, V. (2023). Importance of soil testing and analysis. Global Journal of Plant and Soil Science, 7(3), 1–2.</w:t>
      </w:r>
    </w:p>
    <w:p w14:paraId="3FA92493" w14:textId="298717C1" w:rsidR="000C4FC1"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2D086B">
        <w:rPr>
          <w:rFonts w:ascii="Times New Roman" w:hAnsi="Times New Roman" w:cs="Times New Roman"/>
          <w:color w:val="000000" w:themeColor="text1"/>
          <w:sz w:val="24"/>
          <w:szCs w:val="24"/>
          <w:shd w:val="clear" w:color="auto" w:fill="FFFFFF"/>
          <w:lang w:val="en-IN"/>
        </w:rPr>
        <w:t xml:space="preserve">Wu, J., Bian, J., Wan, H., Ma, Y., </w:t>
      </w:r>
      <w:r w:rsidR="002D086B" w:rsidRPr="002D086B">
        <w:rPr>
          <w:rFonts w:ascii="Times New Roman" w:hAnsi="Times New Roman" w:cs="Times New Roman"/>
          <w:color w:val="000000" w:themeColor="text1"/>
          <w:sz w:val="24"/>
          <w:szCs w:val="24"/>
          <w:shd w:val="clear" w:color="auto" w:fill="FFFFFF"/>
          <w:lang w:val="en-IN"/>
        </w:rPr>
        <w:t>and</w:t>
      </w:r>
      <w:r w:rsidRPr="002D086B">
        <w:rPr>
          <w:rFonts w:ascii="Times New Roman" w:hAnsi="Times New Roman" w:cs="Times New Roman"/>
          <w:color w:val="000000" w:themeColor="text1"/>
          <w:sz w:val="24"/>
          <w:szCs w:val="24"/>
          <w:shd w:val="clear" w:color="auto" w:fill="FFFFFF"/>
          <w:lang w:val="en-IN"/>
        </w:rPr>
        <w:t xml:space="preserve"> Sun, X. (2021). </w:t>
      </w:r>
      <w:r w:rsidRPr="004D0CC2">
        <w:rPr>
          <w:rFonts w:ascii="Times New Roman" w:hAnsi="Times New Roman" w:cs="Times New Roman"/>
          <w:color w:val="000000" w:themeColor="text1"/>
          <w:sz w:val="24"/>
          <w:szCs w:val="24"/>
          <w:shd w:val="clear" w:color="auto" w:fill="FFFFFF"/>
          <w:lang w:val="en-IN"/>
        </w:rPr>
        <w:t xml:space="preserve">Health risk assessment of groundwater nitrogen pollution in Songnen Plain. Ecotoxicology and Environmental Safety, 207, 111245. </w:t>
      </w:r>
      <w:hyperlink r:id="rId107" w:history="1">
        <w:r w:rsidR="002D086B" w:rsidRPr="002E5789">
          <w:rPr>
            <w:rStyle w:val="Hyperlink"/>
            <w:rFonts w:ascii="Times New Roman" w:hAnsi="Times New Roman" w:cs="Times New Roman"/>
            <w:sz w:val="24"/>
            <w:szCs w:val="24"/>
            <w:shd w:val="clear" w:color="auto" w:fill="FFFFFF"/>
            <w:lang w:val="en-IN"/>
          </w:rPr>
          <w:t>https://doi.org/10.1016/j.ecoenv.2020.111245</w:t>
        </w:r>
      </w:hyperlink>
    </w:p>
    <w:p w14:paraId="56ECE61B" w14:textId="42AAFFBB" w:rsidR="000C4FC1" w:rsidRDefault="00CE264C" w:rsidP="000A5331">
      <w:pPr>
        <w:spacing w:line="360" w:lineRule="auto"/>
        <w:jc w:val="both"/>
        <w:rPr>
          <w:rFonts w:ascii="Times New Roman" w:hAnsi="Times New Roman" w:cs="Times New Roman"/>
          <w:color w:val="000000" w:themeColor="text1"/>
          <w:sz w:val="24"/>
          <w:szCs w:val="24"/>
          <w:shd w:val="clear" w:color="auto" w:fill="FFFFFF"/>
          <w:lang w:val="en-IN"/>
        </w:rPr>
      </w:pPr>
      <w:r w:rsidRPr="00CE264C">
        <w:rPr>
          <w:rFonts w:ascii="Times New Roman" w:hAnsi="Times New Roman" w:cs="Times New Roman"/>
          <w:color w:val="000000" w:themeColor="text1"/>
          <w:sz w:val="24"/>
          <w:szCs w:val="24"/>
          <w:shd w:val="clear" w:color="auto" w:fill="FFFFFF"/>
        </w:rPr>
        <w:t xml:space="preserve">Wu, W., Gong, M., Liu, P., Yu, H., Gao, X., </w:t>
      </w:r>
      <w:r>
        <w:rPr>
          <w:rFonts w:ascii="Times New Roman" w:hAnsi="Times New Roman" w:cs="Times New Roman"/>
          <w:color w:val="000000" w:themeColor="text1"/>
          <w:sz w:val="24"/>
          <w:szCs w:val="24"/>
          <w:shd w:val="clear" w:color="auto" w:fill="FFFFFF"/>
        </w:rPr>
        <w:t>and</w:t>
      </w:r>
      <w:r w:rsidRPr="00CE264C">
        <w:rPr>
          <w:rFonts w:ascii="Times New Roman" w:hAnsi="Times New Roman" w:cs="Times New Roman"/>
          <w:color w:val="000000" w:themeColor="text1"/>
          <w:sz w:val="24"/>
          <w:szCs w:val="24"/>
          <w:shd w:val="clear" w:color="auto" w:fill="FFFFFF"/>
        </w:rPr>
        <w:t xml:space="preserve"> Zhao, X. (2025). Hypomagnesemia: exploring its multifaceted health impacts and associations with blood pressure regulation and metabolic syndrome. </w:t>
      </w:r>
      <w:r w:rsidRPr="00CE264C">
        <w:rPr>
          <w:rFonts w:ascii="Times New Roman" w:hAnsi="Times New Roman" w:cs="Times New Roman"/>
          <w:i/>
          <w:iCs/>
          <w:color w:val="000000" w:themeColor="text1"/>
          <w:sz w:val="24"/>
          <w:szCs w:val="24"/>
          <w:shd w:val="clear" w:color="auto" w:fill="FFFFFF"/>
        </w:rPr>
        <w:t>Diabetology &amp; Metabolic Syndrome</w:t>
      </w:r>
      <w:r w:rsidRPr="00CE264C">
        <w:rPr>
          <w:rFonts w:ascii="Times New Roman" w:hAnsi="Times New Roman" w:cs="Times New Roman"/>
          <w:color w:val="000000" w:themeColor="text1"/>
          <w:sz w:val="24"/>
          <w:szCs w:val="24"/>
          <w:shd w:val="clear" w:color="auto" w:fill="FFFFFF"/>
        </w:rPr>
        <w:t>, </w:t>
      </w:r>
      <w:r w:rsidRPr="00CE264C">
        <w:rPr>
          <w:rFonts w:ascii="Times New Roman" w:hAnsi="Times New Roman" w:cs="Times New Roman"/>
          <w:i/>
          <w:iCs/>
          <w:color w:val="000000" w:themeColor="text1"/>
          <w:sz w:val="24"/>
          <w:szCs w:val="24"/>
          <w:shd w:val="clear" w:color="auto" w:fill="FFFFFF"/>
        </w:rPr>
        <w:t>17</w:t>
      </w:r>
      <w:r w:rsidRPr="00CE264C">
        <w:rPr>
          <w:rFonts w:ascii="Times New Roman" w:hAnsi="Times New Roman" w:cs="Times New Roman"/>
          <w:color w:val="000000" w:themeColor="text1"/>
          <w:sz w:val="24"/>
          <w:szCs w:val="24"/>
          <w:shd w:val="clear" w:color="auto" w:fill="FFFFFF"/>
        </w:rPr>
        <w:t>(1), 217.</w:t>
      </w:r>
      <w:r>
        <w:rPr>
          <w:rFonts w:ascii="Times New Roman" w:hAnsi="Times New Roman" w:cs="Times New Roman"/>
          <w:color w:val="000000" w:themeColor="text1"/>
          <w:sz w:val="24"/>
          <w:szCs w:val="24"/>
          <w:shd w:val="clear" w:color="auto" w:fill="FFFFFF"/>
        </w:rPr>
        <w:t xml:space="preserve"> </w:t>
      </w:r>
      <w:hyperlink r:id="rId108" w:history="1">
        <w:r w:rsidRPr="002E5789">
          <w:rPr>
            <w:rStyle w:val="Hyperlink"/>
            <w:rFonts w:ascii="Times New Roman" w:hAnsi="Times New Roman" w:cs="Times New Roman"/>
            <w:sz w:val="24"/>
            <w:szCs w:val="24"/>
            <w:shd w:val="clear" w:color="auto" w:fill="FFFFFF"/>
            <w:lang w:val="en-IN"/>
          </w:rPr>
          <w:t>https://doi.org/10.1186/s13098-025-01772-y</w:t>
        </w:r>
      </w:hyperlink>
    </w:p>
    <w:p w14:paraId="7733DE5E" w14:textId="24603C25" w:rsidR="00AC1A1D"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Xing, Y., Wang, X., </w:t>
      </w:r>
      <w:r w:rsidR="00CE264C">
        <w:rPr>
          <w:rFonts w:ascii="Times New Roman" w:hAnsi="Times New Roman" w:cs="Times New Roman"/>
          <w:color w:val="000000" w:themeColor="text1"/>
          <w:sz w:val="24"/>
          <w:szCs w:val="24"/>
          <w:shd w:val="clear" w:color="auto" w:fill="FFFFFF"/>
          <w:lang w:val="en-IN"/>
        </w:rPr>
        <w:t>and</w:t>
      </w:r>
      <w:r w:rsidRPr="004D0CC2">
        <w:rPr>
          <w:rFonts w:ascii="Times New Roman" w:hAnsi="Times New Roman" w:cs="Times New Roman"/>
          <w:color w:val="000000" w:themeColor="text1"/>
          <w:sz w:val="24"/>
          <w:szCs w:val="24"/>
          <w:shd w:val="clear" w:color="auto" w:fill="FFFFFF"/>
          <w:lang w:val="en-IN"/>
        </w:rPr>
        <w:t xml:space="preserve"> Mustafa, A. (2025). Exploring the link between soil health and crop productivity. Ecotoxicology and Environmental Safety, 289, 117703. </w:t>
      </w:r>
      <w:hyperlink r:id="rId109" w:history="1">
        <w:r w:rsidR="00AC1A1D" w:rsidRPr="002E5789">
          <w:rPr>
            <w:rStyle w:val="Hyperlink"/>
            <w:rFonts w:ascii="Times New Roman" w:hAnsi="Times New Roman" w:cs="Times New Roman"/>
            <w:sz w:val="24"/>
            <w:szCs w:val="24"/>
            <w:shd w:val="clear" w:color="auto" w:fill="FFFFFF"/>
            <w:lang w:val="en-IN"/>
          </w:rPr>
          <w:t>https://doi.org/10.1016/j.ecoenv.2025.117703</w:t>
        </w:r>
      </w:hyperlink>
    </w:p>
    <w:p w14:paraId="18492CDB" w14:textId="13DAEA25" w:rsidR="000C4FC1"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Yadav, V. K., Yadav, K. K., Cabral-Pinto, M. M. S., Choudhary, N., Gnanamoorthy, G., Tirth, V., Prasad, S., Khan, A. H., Islam, S., </w:t>
      </w:r>
      <w:r w:rsidR="00DE5C43">
        <w:rPr>
          <w:rFonts w:ascii="Times New Roman" w:hAnsi="Times New Roman" w:cs="Times New Roman"/>
          <w:color w:val="000000" w:themeColor="text1"/>
          <w:sz w:val="24"/>
          <w:szCs w:val="24"/>
          <w:shd w:val="clear" w:color="auto" w:fill="FFFFFF"/>
          <w:lang w:val="en-IN"/>
        </w:rPr>
        <w:t>and</w:t>
      </w:r>
      <w:r w:rsidRPr="004D0CC2">
        <w:rPr>
          <w:rFonts w:ascii="Times New Roman" w:hAnsi="Times New Roman" w:cs="Times New Roman"/>
          <w:color w:val="000000" w:themeColor="text1"/>
          <w:sz w:val="24"/>
          <w:szCs w:val="24"/>
          <w:shd w:val="clear" w:color="auto" w:fill="FFFFFF"/>
          <w:lang w:val="en-IN"/>
        </w:rPr>
        <w:t xml:space="preserve"> Khan, N. A. (2021). The processing of calcium rich agricultural and industrial waste for recovery of calcium carbonate and calcium oxide and their application for environmental cleanup: A review. Applied Sciences, 11(9), 4212. </w:t>
      </w:r>
      <w:hyperlink r:id="rId110" w:history="1">
        <w:r w:rsidR="00C067CC" w:rsidRPr="002E5789">
          <w:rPr>
            <w:rStyle w:val="Hyperlink"/>
            <w:rFonts w:ascii="Times New Roman" w:hAnsi="Times New Roman" w:cs="Times New Roman"/>
            <w:sz w:val="24"/>
            <w:szCs w:val="24"/>
            <w:shd w:val="clear" w:color="auto" w:fill="FFFFFF"/>
            <w:lang w:val="en-IN"/>
          </w:rPr>
          <w:t>https://doi.org/10.3390/app11094212</w:t>
        </w:r>
      </w:hyperlink>
    </w:p>
    <w:p w14:paraId="4A4A87C7" w14:textId="0886B2FB" w:rsidR="000C4FC1"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Yousif, I. A. H., Abdel Hamid, A., </w:t>
      </w:r>
      <w:proofErr w:type="spellStart"/>
      <w:r w:rsidRPr="004D0CC2">
        <w:rPr>
          <w:rFonts w:ascii="Times New Roman" w:hAnsi="Times New Roman" w:cs="Times New Roman"/>
          <w:color w:val="000000" w:themeColor="text1"/>
          <w:sz w:val="24"/>
          <w:szCs w:val="24"/>
          <w:shd w:val="clear" w:color="auto" w:fill="FFFFFF"/>
          <w:lang w:val="en-IN"/>
        </w:rPr>
        <w:t>Aldabaa</w:t>
      </w:r>
      <w:proofErr w:type="spellEnd"/>
      <w:r w:rsidRPr="004D0CC2">
        <w:rPr>
          <w:rFonts w:ascii="Times New Roman" w:hAnsi="Times New Roman" w:cs="Times New Roman"/>
          <w:color w:val="000000" w:themeColor="text1"/>
          <w:sz w:val="24"/>
          <w:szCs w:val="24"/>
          <w:shd w:val="clear" w:color="auto" w:fill="FFFFFF"/>
          <w:lang w:val="en-IN"/>
        </w:rPr>
        <w:t xml:space="preserve">, A. A., Hassanein, S. A., Rebouh, N. Y., Mohamed, E. S., </w:t>
      </w:r>
      <w:r w:rsidR="00CC4C58">
        <w:rPr>
          <w:rFonts w:ascii="Times New Roman" w:hAnsi="Times New Roman" w:cs="Times New Roman"/>
          <w:color w:val="000000" w:themeColor="text1"/>
          <w:sz w:val="24"/>
          <w:szCs w:val="24"/>
          <w:shd w:val="clear" w:color="auto" w:fill="FFFFFF"/>
          <w:lang w:val="en-IN"/>
        </w:rPr>
        <w:t>and</w:t>
      </w:r>
      <w:r w:rsidRPr="004D0CC2">
        <w:rPr>
          <w:rFonts w:ascii="Times New Roman" w:hAnsi="Times New Roman" w:cs="Times New Roman"/>
          <w:color w:val="000000" w:themeColor="text1"/>
          <w:sz w:val="24"/>
          <w:szCs w:val="24"/>
          <w:shd w:val="clear" w:color="auto" w:fill="FFFFFF"/>
          <w:lang w:val="en-IN"/>
        </w:rPr>
        <w:t xml:space="preserve"> </w:t>
      </w:r>
      <w:proofErr w:type="spellStart"/>
      <w:r w:rsidRPr="004D0CC2">
        <w:rPr>
          <w:rFonts w:ascii="Times New Roman" w:hAnsi="Times New Roman" w:cs="Times New Roman"/>
          <w:color w:val="000000" w:themeColor="text1"/>
          <w:sz w:val="24"/>
          <w:szCs w:val="24"/>
          <w:shd w:val="clear" w:color="auto" w:fill="FFFFFF"/>
          <w:lang w:val="en-IN"/>
        </w:rPr>
        <w:t>Shokr</w:t>
      </w:r>
      <w:proofErr w:type="spellEnd"/>
      <w:r w:rsidRPr="004D0CC2">
        <w:rPr>
          <w:rFonts w:ascii="Times New Roman" w:hAnsi="Times New Roman" w:cs="Times New Roman"/>
          <w:color w:val="000000" w:themeColor="text1"/>
          <w:sz w:val="24"/>
          <w:szCs w:val="24"/>
          <w:shd w:val="clear" w:color="auto" w:fill="FFFFFF"/>
          <w:lang w:val="en-IN"/>
        </w:rPr>
        <w:t xml:space="preserve">, M. S. (2025). Soil quality indicator-based land productivity modelling for agricultural sustainability. PLOS ONE, 20(1), e0316840. </w:t>
      </w:r>
      <w:hyperlink r:id="rId111" w:history="1">
        <w:r w:rsidR="00CC4C58" w:rsidRPr="002E5789">
          <w:rPr>
            <w:rStyle w:val="Hyperlink"/>
            <w:rFonts w:ascii="Times New Roman" w:hAnsi="Times New Roman" w:cs="Times New Roman"/>
            <w:sz w:val="24"/>
            <w:szCs w:val="24"/>
            <w:shd w:val="clear" w:color="auto" w:fill="FFFFFF"/>
            <w:lang w:val="en-IN"/>
          </w:rPr>
          <w:t>https://doi.org/10.1371/journal.pone.0316840</w:t>
        </w:r>
      </w:hyperlink>
    </w:p>
    <w:p w14:paraId="2847BC4E" w14:textId="4445183A" w:rsidR="000C4FC1"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Zhang, T., Sun, F., Lei, Q., Jiang, Z., Luo, J., Lindsey, S., Xu, Y., </w:t>
      </w:r>
      <w:r w:rsidR="0020319F">
        <w:rPr>
          <w:rFonts w:ascii="Times New Roman" w:hAnsi="Times New Roman" w:cs="Times New Roman"/>
          <w:color w:val="000000" w:themeColor="text1"/>
          <w:sz w:val="24"/>
          <w:szCs w:val="24"/>
          <w:shd w:val="clear" w:color="auto" w:fill="FFFFFF"/>
          <w:lang w:val="en-IN"/>
        </w:rPr>
        <w:t>and</w:t>
      </w:r>
      <w:r w:rsidRPr="004D0CC2">
        <w:rPr>
          <w:rFonts w:ascii="Times New Roman" w:hAnsi="Times New Roman" w:cs="Times New Roman"/>
          <w:color w:val="000000" w:themeColor="text1"/>
          <w:sz w:val="24"/>
          <w:szCs w:val="24"/>
          <w:shd w:val="clear" w:color="auto" w:fill="FFFFFF"/>
          <w:lang w:val="en-IN"/>
        </w:rPr>
        <w:t xml:space="preserve"> Liu, H. (2022). Quantification of soil element changes in long-term agriculture: A case study in Northeast China. Catena, 208, 105766. </w:t>
      </w:r>
      <w:hyperlink r:id="rId112" w:history="1">
        <w:r w:rsidR="0020319F" w:rsidRPr="002E5789">
          <w:rPr>
            <w:rStyle w:val="Hyperlink"/>
            <w:rFonts w:ascii="Times New Roman" w:hAnsi="Times New Roman" w:cs="Times New Roman"/>
            <w:sz w:val="24"/>
            <w:szCs w:val="24"/>
            <w:shd w:val="clear" w:color="auto" w:fill="FFFFFF"/>
            <w:lang w:val="en-IN"/>
          </w:rPr>
          <w:t>https://doi.org/10.1016/j.catena.2021.105766</w:t>
        </w:r>
      </w:hyperlink>
    </w:p>
    <w:p w14:paraId="630FBC19" w14:textId="12B718A9" w:rsidR="000C4FC1" w:rsidRPr="00FE4B22"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Zhang, W., Liu, Y., Muneer, M. A., Jin, D., Zhang, H., Cai, Y., Ma, C., Wang, C., Chen, X., Huang, C., Tang, Y., </w:t>
      </w:r>
      <w:r w:rsidR="00076B0D">
        <w:rPr>
          <w:rFonts w:ascii="Times New Roman" w:hAnsi="Times New Roman" w:cs="Times New Roman"/>
          <w:color w:val="000000" w:themeColor="text1"/>
          <w:sz w:val="24"/>
          <w:szCs w:val="24"/>
          <w:shd w:val="clear" w:color="auto" w:fill="FFFFFF"/>
          <w:lang w:val="en-IN"/>
        </w:rPr>
        <w:t>and</w:t>
      </w:r>
      <w:r w:rsidRPr="004D0CC2">
        <w:rPr>
          <w:rFonts w:ascii="Times New Roman" w:hAnsi="Times New Roman" w:cs="Times New Roman"/>
          <w:color w:val="000000" w:themeColor="text1"/>
          <w:sz w:val="24"/>
          <w:szCs w:val="24"/>
          <w:shd w:val="clear" w:color="auto" w:fill="FFFFFF"/>
          <w:lang w:val="en-IN"/>
        </w:rPr>
        <w:t xml:space="preserve"> Wu, L. (2022). Characterization of different magnesium fertilizers and their effect on </w:t>
      </w:r>
      <w:r w:rsidRPr="004D0CC2">
        <w:rPr>
          <w:rFonts w:ascii="Times New Roman" w:hAnsi="Times New Roman" w:cs="Times New Roman"/>
          <w:color w:val="000000" w:themeColor="text1"/>
          <w:sz w:val="24"/>
          <w:szCs w:val="24"/>
          <w:shd w:val="clear" w:color="auto" w:fill="FFFFFF"/>
          <w:lang w:val="en-IN"/>
        </w:rPr>
        <w:lastRenderedPageBreak/>
        <w:t xml:space="preserve">yield and quality of soybean and pomelo. </w:t>
      </w:r>
      <w:r w:rsidRPr="00F2069E">
        <w:rPr>
          <w:rFonts w:ascii="Times New Roman" w:hAnsi="Times New Roman" w:cs="Times New Roman"/>
          <w:color w:val="000000" w:themeColor="text1"/>
          <w:sz w:val="24"/>
          <w:szCs w:val="24"/>
          <w:shd w:val="clear" w:color="auto" w:fill="FFFFFF"/>
          <w:lang w:val="en-IN"/>
        </w:rPr>
        <w:t xml:space="preserve">Agronomy, 12(11), 2693. </w:t>
      </w:r>
      <w:hyperlink r:id="rId113" w:history="1">
        <w:r w:rsidR="00076B0D" w:rsidRPr="00FE4B22">
          <w:rPr>
            <w:rStyle w:val="Hyperlink"/>
            <w:rFonts w:ascii="Times New Roman" w:hAnsi="Times New Roman" w:cs="Times New Roman"/>
            <w:sz w:val="24"/>
            <w:szCs w:val="24"/>
            <w:shd w:val="clear" w:color="auto" w:fill="FFFFFF"/>
            <w:lang w:val="en-IN"/>
          </w:rPr>
          <w:t>https://doi.org/10.3390/agronomy12112693</w:t>
        </w:r>
      </w:hyperlink>
    </w:p>
    <w:p w14:paraId="6DAFFB06" w14:textId="404CE5CA" w:rsidR="000C4FC1"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FE4B22">
        <w:rPr>
          <w:rFonts w:ascii="Times New Roman" w:hAnsi="Times New Roman" w:cs="Times New Roman"/>
          <w:color w:val="000000" w:themeColor="text1"/>
          <w:sz w:val="24"/>
          <w:szCs w:val="24"/>
          <w:shd w:val="clear" w:color="auto" w:fill="FFFFFF"/>
          <w:lang w:val="en-IN"/>
        </w:rPr>
        <w:t xml:space="preserve">Zhou, Q. H., </w:t>
      </w:r>
      <w:r w:rsidR="00FE4B22">
        <w:rPr>
          <w:rFonts w:ascii="Times New Roman" w:hAnsi="Times New Roman" w:cs="Times New Roman"/>
          <w:color w:val="000000" w:themeColor="text1"/>
          <w:sz w:val="24"/>
          <w:szCs w:val="24"/>
          <w:shd w:val="clear" w:color="auto" w:fill="FFFFFF"/>
          <w:lang w:val="en-IN"/>
        </w:rPr>
        <w:t>and</w:t>
      </w:r>
      <w:r w:rsidRPr="00FE4B22">
        <w:rPr>
          <w:rFonts w:ascii="Times New Roman" w:hAnsi="Times New Roman" w:cs="Times New Roman"/>
          <w:color w:val="000000" w:themeColor="text1"/>
          <w:sz w:val="24"/>
          <w:szCs w:val="24"/>
          <w:shd w:val="clear" w:color="auto" w:fill="FFFFFF"/>
          <w:lang w:val="en-IN"/>
        </w:rPr>
        <w:t xml:space="preserve"> Yu, H. L. (2016). </w:t>
      </w:r>
      <w:r w:rsidRPr="004D0CC2">
        <w:rPr>
          <w:rFonts w:ascii="Times New Roman" w:hAnsi="Times New Roman" w:cs="Times New Roman"/>
          <w:color w:val="000000" w:themeColor="text1"/>
          <w:sz w:val="24"/>
          <w:szCs w:val="24"/>
          <w:shd w:val="clear" w:color="auto" w:fill="FFFFFF"/>
          <w:lang w:val="en-IN"/>
        </w:rPr>
        <w:t xml:space="preserve">Influence of soil surface sodium ion and soil pH on dispersion of cohesive soil. Chemical Engineering Transactions, 55, 427–432. </w:t>
      </w:r>
      <w:hyperlink r:id="rId114" w:history="1">
        <w:r w:rsidR="00FE4B22" w:rsidRPr="002E5789">
          <w:rPr>
            <w:rStyle w:val="Hyperlink"/>
            <w:rFonts w:ascii="Times New Roman" w:hAnsi="Times New Roman" w:cs="Times New Roman"/>
            <w:sz w:val="24"/>
            <w:szCs w:val="24"/>
            <w:shd w:val="clear" w:color="auto" w:fill="FFFFFF"/>
            <w:lang w:val="en-IN"/>
          </w:rPr>
          <w:t>https://doi.org/10.3303/CET1655072</w:t>
        </w:r>
      </w:hyperlink>
    </w:p>
    <w:p w14:paraId="133DFD42" w14:textId="590F3EA2" w:rsidR="000C4FC1" w:rsidRDefault="000C4FC1" w:rsidP="000A5331">
      <w:pPr>
        <w:spacing w:line="360" w:lineRule="auto"/>
        <w:jc w:val="both"/>
        <w:rPr>
          <w:rFonts w:ascii="Times New Roman" w:hAnsi="Times New Roman" w:cs="Times New Roman"/>
          <w:color w:val="000000" w:themeColor="text1"/>
          <w:sz w:val="24"/>
          <w:szCs w:val="24"/>
          <w:shd w:val="clear" w:color="auto" w:fill="FFFFFF"/>
          <w:lang w:val="en-IN"/>
        </w:rPr>
      </w:pPr>
      <w:r w:rsidRPr="004D0CC2">
        <w:rPr>
          <w:rFonts w:ascii="Times New Roman" w:hAnsi="Times New Roman" w:cs="Times New Roman"/>
          <w:color w:val="000000" w:themeColor="text1"/>
          <w:sz w:val="24"/>
          <w:szCs w:val="24"/>
          <w:shd w:val="clear" w:color="auto" w:fill="FFFFFF"/>
          <w:lang w:val="en-IN"/>
        </w:rPr>
        <w:t xml:space="preserve">Zhu, J., Li, M., </w:t>
      </w:r>
      <w:r w:rsidR="00FE4B22">
        <w:rPr>
          <w:rFonts w:ascii="Times New Roman" w:hAnsi="Times New Roman" w:cs="Times New Roman"/>
          <w:color w:val="000000" w:themeColor="text1"/>
          <w:sz w:val="24"/>
          <w:szCs w:val="24"/>
          <w:shd w:val="clear" w:color="auto" w:fill="FFFFFF"/>
          <w:lang w:val="en-IN"/>
        </w:rPr>
        <w:t>and</w:t>
      </w:r>
      <w:r w:rsidRPr="004D0CC2">
        <w:rPr>
          <w:rFonts w:ascii="Times New Roman" w:hAnsi="Times New Roman" w:cs="Times New Roman"/>
          <w:color w:val="000000" w:themeColor="text1"/>
          <w:sz w:val="24"/>
          <w:szCs w:val="24"/>
          <w:shd w:val="clear" w:color="auto" w:fill="FFFFFF"/>
          <w:lang w:val="en-IN"/>
        </w:rPr>
        <w:t xml:space="preserve"> Whelan, M. (2018). Phosphorus activators contribute to legacy phosphorus availability in agricultural soils: A review. Science of the Total Environment, 612, 522–537. </w:t>
      </w:r>
      <w:hyperlink r:id="rId115" w:history="1">
        <w:r w:rsidR="00FE4B22" w:rsidRPr="002E5789">
          <w:rPr>
            <w:rStyle w:val="Hyperlink"/>
            <w:rFonts w:ascii="Times New Roman" w:hAnsi="Times New Roman" w:cs="Times New Roman"/>
            <w:sz w:val="24"/>
            <w:szCs w:val="24"/>
            <w:shd w:val="clear" w:color="auto" w:fill="FFFFFF"/>
            <w:lang w:val="en-IN"/>
          </w:rPr>
          <w:t>https://doi.org/10.1016/j.scitotenv.2017.08.095</w:t>
        </w:r>
      </w:hyperlink>
    </w:p>
    <w:p w14:paraId="4A35001E" w14:textId="641CA466" w:rsidR="00103A69" w:rsidRDefault="00FE4B22" w:rsidP="000A5331">
      <w:pPr>
        <w:spacing w:line="360" w:lineRule="auto"/>
        <w:jc w:val="both"/>
        <w:rPr>
          <w:rFonts w:ascii="Times New Roman" w:hAnsi="Times New Roman" w:cs="Times New Roman"/>
          <w:sz w:val="24"/>
          <w:szCs w:val="24"/>
        </w:rPr>
      </w:pPr>
      <w:r w:rsidRPr="00FE4B22">
        <w:rPr>
          <w:rFonts w:ascii="Times New Roman" w:hAnsi="Times New Roman" w:cs="Times New Roman"/>
          <w:color w:val="000000" w:themeColor="text1"/>
          <w:sz w:val="24"/>
          <w:szCs w:val="24"/>
          <w:shd w:val="clear" w:color="auto" w:fill="FFFFFF"/>
        </w:rPr>
        <w:t xml:space="preserve">Zhu, Y., </w:t>
      </w:r>
      <w:proofErr w:type="spellStart"/>
      <w:r w:rsidRPr="00FE4B22">
        <w:rPr>
          <w:rFonts w:ascii="Times New Roman" w:hAnsi="Times New Roman" w:cs="Times New Roman"/>
          <w:color w:val="000000" w:themeColor="text1"/>
          <w:sz w:val="24"/>
          <w:szCs w:val="24"/>
          <w:shd w:val="clear" w:color="auto" w:fill="FFFFFF"/>
        </w:rPr>
        <w:t>Merbold</w:t>
      </w:r>
      <w:proofErr w:type="spellEnd"/>
      <w:r w:rsidRPr="00FE4B22">
        <w:rPr>
          <w:rFonts w:ascii="Times New Roman" w:hAnsi="Times New Roman" w:cs="Times New Roman"/>
          <w:color w:val="000000" w:themeColor="text1"/>
          <w:sz w:val="24"/>
          <w:szCs w:val="24"/>
          <w:shd w:val="clear" w:color="auto" w:fill="FFFFFF"/>
        </w:rPr>
        <w:t xml:space="preserve">, L., Leitner, S., Xia, L., Pelster, D. E., Diaz-Pines, E., </w:t>
      </w:r>
      <w:r>
        <w:rPr>
          <w:rFonts w:ascii="Times New Roman" w:hAnsi="Times New Roman" w:cs="Times New Roman"/>
          <w:color w:val="000000" w:themeColor="text1"/>
          <w:sz w:val="24"/>
          <w:szCs w:val="24"/>
          <w:shd w:val="clear" w:color="auto" w:fill="FFFFFF"/>
        </w:rPr>
        <w:t>and</w:t>
      </w:r>
      <w:r w:rsidRPr="00FE4B22">
        <w:rPr>
          <w:rFonts w:ascii="Times New Roman" w:hAnsi="Times New Roman" w:cs="Times New Roman"/>
          <w:color w:val="000000" w:themeColor="text1"/>
          <w:sz w:val="24"/>
          <w:szCs w:val="24"/>
          <w:shd w:val="clear" w:color="auto" w:fill="FFFFFF"/>
        </w:rPr>
        <w:t xml:space="preserve"> Butterbach-Bahl, K. (2020). Influence of soil properties on N2O and CO2 emissions from excreta deposited on tropical pastures in Kenya. </w:t>
      </w:r>
      <w:r w:rsidRPr="00FE4B22">
        <w:rPr>
          <w:rFonts w:ascii="Times New Roman" w:hAnsi="Times New Roman" w:cs="Times New Roman"/>
          <w:i/>
          <w:iCs/>
          <w:color w:val="000000" w:themeColor="text1"/>
          <w:sz w:val="24"/>
          <w:szCs w:val="24"/>
          <w:shd w:val="clear" w:color="auto" w:fill="FFFFFF"/>
        </w:rPr>
        <w:t>Soil Biology and Biochemistry</w:t>
      </w:r>
      <w:r w:rsidRPr="00FE4B22">
        <w:rPr>
          <w:rFonts w:ascii="Times New Roman" w:hAnsi="Times New Roman" w:cs="Times New Roman"/>
          <w:color w:val="000000" w:themeColor="text1"/>
          <w:sz w:val="24"/>
          <w:szCs w:val="24"/>
          <w:shd w:val="clear" w:color="auto" w:fill="FFFFFF"/>
        </w:rPr>
        <w:t>, </w:t>
      </w:r>
      <w:r w:rsidRPr="00FE4B22">
        <w:rPr>
          <w:rFonts w:ascii="Times New Roman" w:hAnsi="Times New Roman" w:cs="Times New Roman"/>
          <w:i/>
          <w:iCs/>
          <w:color w:val="000000" w:themeColor="text1"/>
          <w:sz w:val="24"/>
          <w:szCs w:val="24"/>
          <w:shd w:val="clear" w:color="auto" w:fill="FFFFFF"/>
        </w:rPr>
        <w:t>140</w:t>
      </w:r>
      <w:r w:rsidRPr="00FE4B22">
        <w:rPr>
          <w:rFonts w:ascii="Times New Roman" w:hAnsi="Times New Roman" w:cs="Times New Roman"/>
          <w:color w:val="000000" w:themeColor="text1"/>
          <w:sz w:val="24"/>
          <w:szCs w:val="24"/>
          <w:shd w:val="clear" w:color="auto" w:fill="FFFFFF"/>
        </w:rPr>
        <w:t>, 107636.</w:t>
      </w:r>
      <w:r w:rsidR="003637E0" w:rsidRPr="003637E0">
        <w:t xml:space="preserve"> </w:t>
      </w:r>
      <w:hyperlink r:id="rId116" w:history="1">
        <w:r w:rsidR="006D0798" w:rsidRPr="002E5789">
          <w:rPr>
            <w:rStyle w:val="Hyperlink"/>
            <w:rFonts w:ascii="Times New Roman" w:hAnsi="Times New Roman" w:cs="Times New Roman"/>
            <w:sz w:val="24"/>
            <w:szCs w:val="24"/>
          </w:rPr>
          <w:t>https://doi.org/10.1016/j.soilbio.2019.107636</w:t>
        </w:r>
      </w:hyperlink>
    </w:p>
    <w:p w14:paraId="72EC6236" w14:textId="77777777" w:rsidR="006D0798" w:rsidRPr="003637E0" w:rsidRDefault="006D0798" w:rsidP="000A5331">
      <w:pPr>
        <w:spacing w:line="360" w:lineRule="auto"/>
        <w:jc w:val="both"/>
        <w:rPr>
          <w:rFonts w:ascii="Times New Roman" w:hAnsi="Times New Roman" w:cs="Times New Roman"/>
          <w:color w:val="000000" w:themeColor="text1"/>
          <w:sz w:val="24"/>
          <w:szCs w:val="24"/>
          <w:shd w:val="clear" w:color="auto" w:fill="FFFFFF"/>
          <w:lang w:val="en-IN"/>
        </w:rPr>
      </w:pPr>
    </w:p>
    <w:p w14:paraId="5EF4F42C" w14:textId="4D16A0EB" w:rsidR="00E5749A" w:rsidRPr="004D0CC2" w:rsidRDefault="00E5749A" w:rsidP="00E5749A">
      <w:pPr>
        <w:rPr>
          <w:rFonts w:ascii="Times New Roman" w:hAnsi="Times New Roman" w:cs="Times New Roman"/>
          <w:b/>
          <w:bCs/>
          <w:noProof/>
          <w:color w:val="000000" w:themeColor="text1"/>
          <w:sz w:val="24"/>
          <w:szCs w:val="24"/>
        </w:rPr>
      </w:pPr>
      <w:r w:rsidRPr="004D0CC2">
        <w:rPr>
          <w:rFonts w:ascii="Times New Roman" w:hAnsi="Times New Roman" w:cs="Times New Roman"/>
          <w:b/>
          <w:bCs/>
          <w:color w:val="000000" w:themeColor="text1"/>
          <w:sz w:val="24"/>
          <w:szCs w:val="24"/>
        </w:rPr>
        <w:t>Figures and tables</w:t>
      </w:r>
      <w:r w:rsidRPr="004D0CC2">
        <w:rPr>
          <w:rFonts w:ascii="Times New Roman" w:hAnsi="Times New Roman" w:cs="Times New Roman"/>
          <w:b/>
          <w:bCs/>
          <w:noProof/>
          <w:color w:val="000000" w:themeColor="text1"/>
          <w:sz w:val="24"/>
          <w:szCs w:val="24"/>
        </w:rPr>
        <w:t xml:space="preserve"> </w:t>
      </w:r>
    </w:p>
    <w:p w14:paraId="5FEC357E" w14:textId="44B7EC67" w:rsidR="00E5749A" w:rsidRPr="004D0CC2" w:rsidRDefault="00E5749A" w:rsidP="00E5749A">
      <w:pPr>
        <w:rPr>
          <w:rFonts w:ascii="Times New Roman" w:hAnsi="Times New Roman" w:cs="Times New Roman"/>
          <w:color w:val="000000" w:themeColor="text1"/>
          <w:sz w:val="24"/>
          <w:szCs w:val="24"/>
        </w:rPr>
      </w:pPr>
      <w:r w:rsidRPr="004D0CC2">
        <w:rPr>
          <w:rFonts w:ascii="Times New Roman" w:hAnsi="Times New Roman" w:cs="Times New Roman"/>
          <w:noProof/>
          <w:color w:val="000000" w:themeColor="text1"/>
          <w:sz w:val="24"/>
          <w:szCs w:val="24"/>
        </w:rPr>
        <w:drawing>
          <wp:inline distT="0" distB="0" distL="0" distR="0" wp14:anchorId="59CA1DCA" wp14:editId="39E5A766">
            <wp:extent cx="5045710" cy="3123565"/>
            <wp:effectExtent l="0" t="0" r="21590" b="1968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7"/>
              </a:graphicData>
            </a:graphic>
          </wp:inline>
        </w:drawing>
      </w:r>
    </w:p>
    <w:p w14:paraId="03CD0828" w14:textId="675DAC92" w:rsidR="00E5749A" w:rsidRPr="004D0CC2" w:rsidRDefault="00E5749A" w:rsidP="00F17ECA">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 xml:space="preserve">Fig.1. Graph depicting the pH of </w:t>
      </w:r>
      <w:r w:rsidR="008C7E0F" w:rsidRPr="004D0CC2">
        <w:rPr>
          <w:rFonts w:ascii="Times New Roman" w:hAnsi="Times New Roman" w:cs="Times New Roman"/>
          <w:b/>
          <w:color w:val="000000" w:themeColor="text1"/>
          <w:sz w:val="24"/>
          <w:szCs w:val="24"/>
        </w:rPr>
        <w:t>soil samples from different areas of Bangalore</w:t>
      </w:r>
    </w:p>
    <w:p w14:paraId="08C5804F" w14:textId="2D8116BC" w:rsidR="00E5749A" w:rsidRPr="004D0CC2" w:rsidRDefault="00F17ECA" w:rsidP="00F17ECA">
      <w:pPr>
        <w:spacing w:line="360" w:lineRule="auto"/>
        <w:ind w:left="-1134"/>
        <w:jc w:val="center"/>
        <w:rPr>
          <w:rFonts w:ascii="Times New Roman" w:hAnsi="Times New Roman" w:cs="Times New Roman"/>
          <w:b/>
          <w:color w:val="000000" w:themeColor="text1"/>
          <w:sz w:val="24"/>
          <w:szCs w:val="24"/>
        </w:rPr>
      </w:pPr>
      <w:r w:rsidRPr="004D0CC2">
        <w:rPr>
          <w:rFonts w:ascii="Times New Roman" w:hAnsi="Times New Roman" w:cs="Times New Roman"/>
          <w:noProof/>
          <w:color w:val="000000" w:themeColor="text1"/>
          <w:sz w:val="24"/>
          <w:szCs w:val="24"/>
        </w:rPr>
        <w:lastRenderedPageBreak/>
        <w:drawing>
          <wp:inline distT="0" distB="0" distL="0" distR="0" wp14:anchorId="5EC7E67E" wp14:editId="35E26902">
            <wp:extent cx="5112385" cy="2939415"/>
            <wp:effectExtent l="0" t="0" r="12065" b="13335"/>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8"/>
              </a:graphicData>
            </a:graphic>
          </wp:inline>
        </w:drawing>
      </w:r>
    </w:p>
    <w:p w14:paraId="4B362492" w14:textId="2336EB8F" w:rsidR="00E5749A" w:rsidRPr="004D0CC2" w:rsidRDefault="00E5749A" w:rsidP="008C7E0F">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 xml:space="preserve">FIG 2: Graph depicting </w:t>
      </w:r>
      <w:r w:rsidR="00C112F1" w:rsidRPr="004D0CC2">
        <w:rPr>
          <w:rFonts w:ascii="Times New Roman" w:hAnsi="Times New Roman" w:cs="Times New Roman"/>
          <w:b/>
          <w:color w:val="000000" w:themeColor="text1"/>
          <w:sz w:val="24"/>
          <w:szCs w:val="24"/>
        </w:rPr>
        <w:t xml:space="preserve">the </w:t>
      </w:r>
      <w:r w:rsidRPr="004D0CC2">
        <w:rPr>
          <w:rFonts w:ascii="Times New Roman" w:hAnsi="Times New Roman" w:cs="Times New Roman"/>
          <w:b/>
          <w:color w:val="000000" w:themeColor="text1"/>
          <w:sz w:val="24"/>
          <w:szCs w:val="24"/>
        </w:rPr>
        <w:t xml:space="preserve">percentage of Nitrogen </w:t>
      </w:r>
      <w:r w:rsidR="008C7E0F" w:rsidRPr="004D0CC2">
        <w:rPr>
          <w:rFonts w:ascii="Times New Roman" w:hAnsi="Times New Roman" w:cs="Times New Roman"/>
          <w:b/>
          <w:color w:val="000000" w:themeColor="text1"/>
          <w:sz w:val="24"/>
          <w:szCs w:val="24"/>
        </w:rPr>
        <w:t>in</w:t>
      </w:r>
      <w:r w:rsidRPr="004D0CC2">
        <w:rPr>
          <w:rFonts w:ascii="Times New Roman" w:hAnsi="Times New Roman" w:cs="Times New Roman"/>
          <w:b/>
          <w:color w:val="000000" w:themeColor="text1"/>
          <w:sz w:val="24"/>
          <w:szCs w:val="24"/>
        </w:rPr>
        <w:t xml:space="preserve"> </w:t>
      </w:r>
      <w:r w:rsidR="008C7E0F" w:rsidRPr="004D0CC2">
        <w:rPr>
          <w:rFonts w:ascii="Times New Roman" w:hAnsi="Times New Roman" w:cs="Times New Roman"/>
          <w:b/>
          <w:color w:val="000000" w:themeColor="text1"/>
          <w:sz w:val="24"/>
          <w:szCs w:val="24"/>
        </w:rPr>
        <w:t>soil samples from different areas of Bangalore</w:t>
      </w:r>
    </w:p>
    <w:p w14:paraId="7725C7D5" w14:textId="77777777" w:rsidR="00E5749A" w:rsidRPr="004D0CC2" w:rsidRDefault="00E5749A" w:rsidP="00E5749A">
      <w:pPr>
        <w:spacing w:line="360" w:lineRule="auto"/>
        <w:jc w:val="center"/>
        <w:rPr>
          <w:rFonts w:ascii="Times New Roman" w:hAnsi="Times New Roman" w:cs="Times New Roman"/>
          <w:b/>
          <w:color w:val="000000" w:themeColor="text1"/>
          <w:sz w:val="24"/>
          <w:szCs w:val="24"/>
        </w:rPr>
      </w:pPr>
    </w:p>
    <w:p w14:paraId="7F702B90" w14:textId="77777777" w:rsidR="00E5749A" w:rsidRPr="004D0CC2" w:rsidRDefault="00E5749A" w:rsidP="00FE39D0">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noProof/>
          <w:color w:val="000000" w:themeColor="text1"/>
          <w:sz w:val="24"/>
          <w:szCs w:val="24"/>
        </w:rPr>
        <w:drawing>
          <wp:inline distT="0" distB="0" distL="0" distR="0" wp14:anchorId="11C99A7C" wp14:editId="103DA6FF">
            <wp:extent cx="5334454" cy="3213100"/>
            <wp:effectExtent l="0" t="0" r="0" b="635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9"/>
              </a:graphicData>
            </a:graphic>
          </wp:inline>
        </w:drawing>
      </w:r>
    </w:p>
    <w:p w14:paraId="0D4436D1" w14:textId="0ED27782" w:rsidR="00E5749A" w:rsidRPr="004D0CC2" w:rsidRDefault="00F17ECA" w:rsidP="00F17ECA">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 xml:space="preserve">         </w:t>
      </w:r>
      <w:r w:rsidR="00E5749A" w:rsidRPr="004D0CC2">
        <w:rPr>
          <w:rFonts w:ascii="Times New Roman" w:hAnsi="Times New Roman" w:cs="Times New Roman"/>
          <w:b/>
          <w:color w:val="000000" w:themeColor="text1"/>
          <w:sz w:val="24"/>
          <w:szCs w:val="24"/>
        </w:rPr>
        <w:t>FIG.3. Graph depicting</w:t>
      </w:r>
      <w:r w:rsidR="00C112F1" w:rsidRPr="004D0CC2">
        <w:rPr>
          <w:rFonts w:ascii="Times New Roman" w:hAnsi="Times New Roman" w:cs="Times New Roman"/>
          <w:b/>
          <w:color w:val="000000" w:themeColor="text1"/>
          <w:sz w:val="24"/>
          <w:szCs w:val="24"/>
        </w:rPr>
        <w:t xml:space="preserve"> the</w:t>
      </w:r>
      <w:r w:rsidR="00E5749A" w:rsidRPr="004D0CC2">
        <w:rPr>
          <w:rFonts w:ascii="Times New Roman" w:hAnsi="Times New Roman" w:cs="Times New Roman"/>
          <w:b/>
          <w:color w:val="000000" w:themeColor="text1"/>
          <w:sz w:val="24"/>
          <w:szCs w:val="24"/>
        </w:rPr>
        <w:t xml:space="preserve"> percentage of Phosphorous </w:t>
      </w:r>
      <w:r w:rsidR="008C7E0F" w:rsidRPr="004D0CC2">
        <w:rPr>
          <w:rFonts w:ascii="Times New Roman" w:hAnsi="Times New Roman" w:cs="Times New Roman"/>
          <w:b/>
          <w:color w:val="000000" w:themeColor="text1"/>
          <w:sz w:val="24"/>
          <w:szCs w:val="24"/>
        </w:rPr>
        <w:t xml:space="preserve">in soil samples from different </w:t>
      </w:r>
      <w:r w:rsidR="004A17C3" w:rsidRPr="004D0CC2">
        <w:rPr>
          <w:rFonts w:ascii="Times New Roman" w:hAnsi="Times New Roman" w:cs="Times New Roman"/>
          <w:b/>
          <w:color w:val="000000" w:themeColor="text1"/>
          <w:sz w:val="24"/>
          <w:szCs w:val="24"/>
        </w:rPr>
        <w:tab/>
      </w:r>
      <w:r w:rsidR="008C7E0F" w:rsidRPr="004D0CC2">
        <w:rPr>
          <w:rFonts w:ascii="Times New Roman" w:hAnsi="Times New Roman" w:cs="Times New Roman"/>
          <w:b/>
          <w:color w:val="000000" w:themeColor="text1"/>
          <w:sz w:val="24"/>
          <w:szCs w:val="24"/>
        </w:rPr>
        <w:t>areas of Bangalore</w:t>
      </w:r>
    </w:p>
    <w:p w14:paraId="0CF79B03" w14:textId="77777777" w:rsidR="00E5749A" w:rsidRPr="004D0CC2" w:rsidRDefault="00E5749A" w:rsidP="00E5749A">
      <w:pPr>
        <w:spacing w:line="360" w:lineRule="auto"/>
        <w:jc w:val="center"/>
        <w:rPr>
          <w:rFonts w:ascii="Times New Roman" w:hAnsi="Times New Roman" w:cs="Times New Roman"/>
          <w:b/>
          <w:color w:val="000000" w:themeColor="text1"/>
          <w:sz w:val="24"/>
          <w:szCs w:val="24"/>
        </w:rPr>
      </w:pPr>
      <w:r w:rsidRPr="004D0CC2">
        <w:rPr>
          <w:rFonts w:ascii="Times New Roman" w:hAnsi="Times New Roman" w:cs="Times New Roman"/>
          <w:noProof/>
          <w:color w:val="000000" w:themeColor="text1"/>
          <w:sz w:val="24"/>
          <w:szCs w:val="24"/>
        </w:rPr>
        <w:lastRenderedPageBreak/>
        <w:drawing>
          <wp:inline distT="0" distB="0" distL="0" distR="0" wp14:anchorId="51DBADCD" wp14:editId="73A7842F">
            <wp:extent cx="5158740" cy="3044825"/>
            <wp:effectExtent l="0" t="0" r="22860" b="22225"/>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0"/>
              </a:graphicData>
            </a:graphic>
          </wp:inline>
        </w:drawing>
      </w:r>
    </w:p>
    <w:p w14:paraId="3FB0C74D" w14:textId="518C0667" w:rsidR="008C7E0F" w:rsidRPr="004D0CC2" w:rsidRDefault="00F17ECA" w:rsidP="008C7E0F">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 xml:space="preserve">        </w:t>
      </w:r>
      <w:r w:rsidR="00E5749A" w:rsidRPr="004D0CC2">
        <w:rPr>
          <w:rFonts w:ascii="Times New Roman" w:hAnsi="Times New Roman" w:cs="Times New Roman"/>
          <w:b/>
          <w:color w:val="000000" w:themeColor="text1"/>
          <w:sz w:val="24"/>
          <w:szCs w:val="24"/>
        </w:rPr>
        <w:t xml:space="preserve">FIG.4. Graph depicting </w:t>
      </w:r>
      <w:r w:rsidR="00C112F1" w:rsidRPr="004D0CC2">
        <w:rPr>
          <w:rFonts w:ascii="Times New Roman" w:hAnsi="Times New Roman" w:cs="Times New Roman"/>
          <w:b/>
          <w:color w:val="000000" w:themeColor="text1"/>
          <w:sz w:val="24"/>
          <w:szCs w:val="24"/>
        </w:rPr>
        <w:t xml:space="preserve">the </w:t>
      </w:r>
      <w:r w:rsidR="00E5749A" w:rsidRPr="004D0CC2">
        <w:rPr>
          <w:rFonts w:ascii="Times New Roman" w:hAnsi="Times New Roman" w:cs="Times New Roman"/>
          <w:b/>
          <w:color w:val="000000" w:themeColor="text1"/>
          <w:sz w:val="24"/>
          <w:szCs w:val="24"/>
        </w:rPr>
        <w:t xml:space="preserve">percentage of Potassium </w:t>
      </w:r>
      <w:r w:rsidR="008C7E0F" w:rsidRPr="004D0CC2">
        <w:rPr>
          <w:rFonts w:ascii="Times New Roman" w:hAnsi="Times New Roman" w:cs="Times New Roman"/>
          <w:b/>
          <w:color w:val="000000" w:themeColor="text1"/>
          <w:sz w:val="24"/>
          <w:szCs w:val="24"/>
        </w:rPr>
        <w:t xml:space="preserve">in soil samples from different </w:t>
      </w:r>
      <w:r w:rsidR="00C112F1" w:rsidRPr="004D0CC2">
        <w:rPr>
          <w:rFonts w:ascii="Times New Roman" w:hAnsi="Times New Roman" w:cs="Times New Roman"/>
          <w:b/>
          <w:color w:val="000000" w:themeColor="text1"/>
          <w:sz w:val="24"/>
          <w:szCs w:val="24"/>
        </w:rPr>
        <w:tab/>
      </w:r>
      <w:r w:rsidR="008C7E0F" w:rsidRPr="004D0CC2">
        <w:rPr>
          <w:rFonts w:ascii="Times New Roman" w:hAnsi="Times New Roman" w:cs="Times New Roman"/>
          <w:b/>
          <w:color w:val="000000" w:themeColor="text1"/>
          <w:sz w:val="24"/>
          <w:szCs w:val="24"/>
        </w:rPr>
        <w:t xml:space="preserve">areas </w:t>
      </w:r>
      <w:r w:rsidR="004A17C3" w:rsidRPr="004D0CC2">
        <w:rPr>
          <w:rFonts w:ascii="Times New Roman" w:hAnsi="Times New Roman" w:cs="Times New Roman"/>
          <w:b/>
          <w:color w:val="000000" w:themeColor="text1"/>
          <w:sz w:val="24"/>
          <w:szCs w:val="24"/>
        </w:rPr>
        <w:tab/>
      </w:r>
      <w:r w:rsidR="008C7E0F" w:rsidRPr="004D0CC2">
        <w:rPr>
          <w:rFonts w:ascii="Times New Roman" w:hAnsi="Times New Roman" w:cs="Times New Roman"/>
          <w:b/>
          <w:color w:val="000000" w:themeColor="text1"/>
          <w:sz w:val="24"/>
          <w:szCs w:val="24"/>
        </w:rPr>
        <w:t>of Bangalore</w:t>
      </w:r>
    </w:p>
    <w:p w14:paraId="12028694" w14:textId="7BDA987B" w:rsidR="00E5749A" w:rsidRPr="004D0CC2" w:rsidRDefault="00E5749A" w:rsidP="00F17ECA">
      <w:pPr>
        <w:spacing w:line="360" w:lineRule="auto"/>
        <w:rPr>
          <w:rFonts w:ascii="Times New Roman" w:hAnsi="Times New Roman" w:cs="Times New Roman"/>
          <w:b/>
          <w:color w:val="000000" w:themeColor="text1"/>
          <w:sz w:val="24"/>
          <w:szCs w:val="24"/>
        </w:rPr>
      </w:pPr>
    </w:p>
    <w:p w14:paraId="05F18FFF" w14:textId="77777777" w:rsidR="00E5749A" w:rsidRPr="004D0CC2" w:rsidRDefault="00E5749A" w:rsidP="00E5749A">
      <w:pPr>
        <w:spacing w:line="360" w:lineRule="auto"/>
        <w:jc w:val="center"/>
        <w:rPr>
          <w:rFonts w:ascii="Times New Roman" w:hAnsi="Times New Roman" w:cs="Times New Roman"/>
          <w:b/>
          <w:color w:val="000000" w:themeColor="text1"/>
          <w:sz w:val="24"/>
          <w:szCs w:val="24"/>
        </w:rPr>
      </w:pPr>
    </w:p>
    <w:p w14:paraId="1F2DCDE8" w14:textId="77777777" w:rsidR="00E5749A" w:rsidRPr="004D0CC2" w:rsidRDefault="00E5749A" w:rsidP="00E5749A">
      <w:pPr>
        <w:spacing w:line="360" w:lineRule="auto"/>
        <w:jc w:val="center"/>
        <w:rPr>
          <w:rFonts w:ascii="Times New Roman" w:hAnsi="Times New Roman" w:cs="Times New Roman"/>
          <w:b/>
          <w:color w:val="000000" w:themeColor="text1"/>
          <w:sz w:val="24"/>
          <w:szCs w:val="24"/>
        </w:rPr>
      </w:pPr>
    </w:p>
    <w:p w14:paraId="3B40ED76" w14:textId="77777777" w:rsidR="00E5749A" w:rsidRPr="004D0CC2" w:rsidRDefault="00E5749A" w:rsidP="00E5749A">
      <w:pPr>
        <w:spacing w:line="360" w:lineRule="auto"/>
        <w:jc w:val="center"/>
        <w:rPr>
          <w:rFonts w:ascii="Times New Roman" w:hAnsi="Times New Roman" w:cs="Times New Roman"/>
          <w:b/>
          <w:color w:val="000000" w:themeColor="text1"/>
          <w:sz w:val="24"/>
          <w:szCs w:val="24"/>
        </w:rPr>
      </w:pPr>
      <w:r w:rsidRPr="004D0CC2">
        <w:rPr>
          <w:rFonts w:ascii="Times New Roman" w:hAnsi="Times New Roman" w:cs="Times New Roman"/>
          <w:noProof/>
          <w:color w:val="000000" w:themeColor="text1"/>
          <w:sz w:val="24"/>
          <w:szCs w:val="24"/>
        </w:rPr>
        <w:lastRenderedPageBreak/>
        <w:drawing>
          <wp:inline distT="0" distB="0" distL="0" distR="0" wp14:anchorId="7C8702CB" wp14:editId="62833289">
            <wp:extent cx="4965700" cy="3136900"/>
            <wp:effectExtent l="0" t="0" r="25400" b="25400"/>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1"/>
              </a:graphicData>
            </a:graphic>
          </wp:inline>
        </w:drawing>
      </w:r>
    </w:p>
    <w:p w14:paraId="26D01AC5" w14:textId="651A574D" w:rsidR="008C7E0F" w:rsidRPr="004D0CC2" w:rsidRDefault="00F17ECA" w:rsidP="008C7E0F">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 xml:space="preserve">            </w:t>
      </w:r>
      <w:r w:rsidR="00E5749A" w:rsidRPr="004D0CC2">
        <w:rPr>
          <w:rFonts w:ascii="Times New Roman" w:hAnsi="Times New Roman" w:cs="Times New Roman"/>
          <w:b/>
          <w:color w:val="000000" w:themeColor="text1"/>
          <w:sz w:val="24"/>
          <w:szCs w:val="24"/>
        </w:rPr>
        <w:t xml:space="preserve">FIG.5. Graph depicting </w:t>
      </w:r>
      <w:r w:rsidR="00C112F1" w:rsidRPr="004D0CC2">
        <w:rPr>
          <w:rFonts w:ascii="Times New Roman" w:hAnsi="Times New Roman" w:cs="Times New Roman"/>
          <w:b/>
          <w:color w:val="000000" w:themeColor="text1"/>
          <w:sz w:val="24"/>
          <w:szCs w:val="24"/>
        </w:rPr>
        <w:t xml:space="preserve">the </w:t>
      </w:r>
      <w:r w:rsidR="00E5749A" w:rsidRPr="004D0CC2">
        <w:rPr>
          <w:rFonts w:ascii="Times New Roman" w:hAnsi="Times New Roman" w:cs="Times New Roman"/>
          <w:b/>
          <w:color w:val="000000" w:themeColor="text1"/>
          <w:sz w:val="24"/>
          <w:szCs w:val="24"/>
        </w:rPr>
        <w:t xml:space="preserve">percentage of Calcium </w:t>
      </w:r>
      <w:r w:rsidR="008C7E0F" w:rsidRPr="004D0CC2">
        <w:rPr>
          <w:rFonts w:ascii="Times New Roman" w:hAnsi="Times New Roman" w:cs="Times New Roman"/>
          <w:b/>
          <w:color w:val="000000" w:themeColor="text1"/>
          <w:sz w:val="24"/>
          <w:szCs w:val="24"/>
        </w:rPr>
        <w:t xml:space="preserve">in soil samples from different </w:t>
      </w:r>
      <w:r w:rsidR="00C112F1" w:rsidRPr="004D0CC2">
        <w:rPr>
          <w:rFonts w:ascii="Times New Roman" w:hAnsi="Times New Roman" w:cs="Times New Roman"/>
          <w:b/>
          <w:color w:val="000000" w:themeColor="text1"/>
          <w:sz w:val="24"/>
          <w:szCs w:val="24"/>
        </w:rPr>
        <w:tab/>
      </w:r>
      <w:r w:rsidR="008C7E0F" w:rsidRPr="004D0CC2">
        <w:rPr>
          <w:rFonts w:ascii="Times New Roman" w:hAnsi="Times New Roman" w:cs="Times New Roman"/>
          <w:b/>
          <w:color w:val="000000" w:themeColor="text1"/>
          <w:sz w:val="24"/>
          <w:szCs w:val="24"/>
        </w:rPr>
        <w:t>areas of Bangalore</w:t>
      </w:r>
    </w:p>
    <w:p w14:paraId="44E299D7" w14:textId="189FC93E" w:rsidR="00E5749A" w:rsidRPr="004D0CC2" w:rsidRDefault="00E5749A" w:rsidP="00F17ECA">
      <w:pPr>
        <w:spacing w:line="360" w:lineRule="auto"/>
        <w:rPr>
          <w:rFonts w:ascii="Times New Roman" w:hAnsi="Times New Roman" w:cs="Times New Roman"/>
          <w:b/>
          <w:color w:val="000000" w:themeColor="text1"/>
          <w:sz w:val="24"/>
          <w:szCs w:val="24"/>
        </w:rPr>
      </w:pPr>
    </w:p>
    <w:p w14:paraId="44349C01" w14:textId="77777777" w:rsidR="00E5749A" w:rsidRPr="004D0CC2" w:rsidRDefault="00E5749A" w:rsidP="00E5749A">
      <w:pPr>
        <w:spacing w:line="360" w:lineRule="auto"/>
        <w:jc w:val="center"/>
        <w:rPr>
          <w:rFonts w:ascii="Times New Roman" w:hAnsi="Times New Roman" w:cs="Times New Roman"/>
          <w:b/>
          <w:color w:val="000000" w:themeColor="text1"/>
          <w:sz w:val="24"/>
          <w:szCs w:val="24"/>
        </w:rPr>
      </w:pPr>
      <w:r w:rsidRPr="004D0CC2">
        <w:rPr>
          <w:rFonts w:ascii="Times New Roman" w:hAnsi="Times New Roman" w:cs="Times New Roman"/>
          <w:noProof/>
          <w:color w:val="000000" w:themeColor="text1"/>
          <w:sz w:val="24"/>
          <w:szCs w:val="24"/>
        </w:rPr>
        <w:drawing>
          <wp:inline distT="0" distB="0" distL="0" distR="0" wp14:anchorId="5E36974C" wp14:editId="6F571D2B">
            <wp:extent cx="4824095" cy="3104515"/>
            <wp:effectExtent l="0" t="0" r="14605" b="19685"/>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2"/>
              </a:graphicData>
            </a:graphic>
          </wp:inline>
        </w:drawing>
      </w:r>
    </w:p>
    <w:p w14:paraId="7986A972" w14:textId="71148F8B" w:rsidR="008C7E0F" w:rsidRPr="004D0CC2" w:rsidRDefault="00F17ECA" w:rsidP="008C7E0F">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 xml:space="preserve">              </w:t>
      </w:r>
      <w:r w:rsidR="00E5749A" w:rsidRPr="004D0CC2">
        <w:rPr>
          <w:rFonts w:ascii="Times New Roman" w:hAnsi="Times New Roman" w:cs="Times New Roman"/>
          <w:b/>
          <w:color w:val="000000" w:themeColor="text1"/>
          <w:sz w:val="24"/>
          <w:szCs w:val="24"/>
        </w:rPr>
        <w:t xml:space="preserve">FIG.6. Graph depicting </w:t>
      </w:r>
      <w:r w:rsidR="00C112F1" w:rsidRPr="004D0CC2">
        <w:rPr>
          <w:rFonts w:ascii="Times New Roman" w:hAnsi="Times New Roman" w:cs="Times New Roman"/>
          <w:b/>
          <w:color w:val="000000" w:themeColor="text1"/>
          <w:sz w:val="24"/>
          <w:szCs w:val="24"/>
        </w:rPr>
        <w:t xml:space="preserve">the </w:t>
      </w:r>
      <w:r w:rsidR="00E5749A" w:rsidRPr="004D0CC2">
        <w:rPr>
          <w:rFonts w:ascii="Times New Roman" w:hAnsi="Times New Roman" w:cs="Times New Roman"/>
          <w:b/>
          <w:color w:val="000000" w:themeColor="text1"/>
          <w:sz w:val="24"/>
          <w:szCs w:val="24"/>
        </w:rPr>
        <w:t xml:space="preserve">percentage of Magnesium </w:t>
      </w:r>
      <w:r w:rsidR="008C7E0F" w:rsidRPr="004D0CC2">
        <w:rPr>
          <w:rFonts w:ascii="Times New Roman" w:hAnsi="Times New Roman" w:cs="Times New Roman"/>
          <w:b/>
          <w:color w:val="000000" w:themeColor="text1"/>
          <w:sz w:val="24"/>
          <w:szCs w:val="24"/>
        </w:rPr>
        <w:t xml:space="preserve">in soil samples from </w:t>
      </w:r>
      <w:r w:rsidR="00C112F1" w:rsidRPr="004D0CC2">
        <w:rPr>
          <w:rFonts w:ascii="Times New Roman" w:hAnsi="Times New Roman" w:cs="Times New Roman"/>
          <w:b/>
          <w:color w:val="000000" w:themeColor="text1"/>
          <w:sz w:val="24"/>
          <w:szCs w:val="24"/>
        </w:rPr>
        <w:tab/>
      </w:r>
      <w:r w:rsidR="008C7E0F" w:rsidRPr="004D0CC2">
        <w:rPr>
          <w:rFonts w:ascii="Times New Roman" w:hAnsi="Times New Roman" w:cs="Times New Roman"/>
          <w:b/>
          <w:color w:val="000000" w:themeColor="text1"/>
          <w:sz w:val="24"/>
          <w:szCs w:val="24"/>
        </w:rPr>
        <w:t>different</w:t>
      </w:r>
      <w:r w:rsidR="004A17C3" w:rsidRPr="004D0CC2">
        <w:rPr>
          <w:rFonts w:ascii="Times New Roman" w:hAnsi="Times New Roman" w:cs="Times New Roman"/>
          <w:b/>
          <w:color w:val="000000" w:themeColor="text1"/>
          <w:sz w:val="24"/>
          <w:szCs w:val="24"/>
        </w:rPr>
        <w:t xml:space="preserve"> </w:t>
      </w:r>
      <w:r w:rsidR="004A2550" w:rsidRPr="004D0CC2">
        <w:rPr>
          <w:rFonts w:ascii="Times New Roman" w:hAnsi="Times New Roman" w:cs="Times New Roman"/>
          <w:b/>
          <w:color w:val="000000" w:themeColor="text1"/>
          <w:sz w:val="24"/>
          <w:szCs w:val="24"/>
        </w:rPr>
        <w:tab/>
        <w:t xml:space="preserve">   </w:t>
      </w:r>
      <w:r w:rsidR="008C7E0F" w:rsidRPr="004D0CC2">
        <w:rPr>
          <w:rFonts w:ascii="Times New Roman" w:hAnsi="Times New Roman" w:cs="Times New Roman"/>
          <w:b/>
          <w:color w:val="000000" w:themeColor="text1"/>
          <w:sz w:val="24"/>
          <w:szCs w:val="24"/>
        </w:rPr>
        <w:t>areas of Bangalore</w:t>
      </w:r>
    </w:p>
    <w:p w14:paraId="3151B678" w14:textId="3E1F6C88" w:rsidR="00E5749A" w:rsidRPr="004D0CC2" w:rsidRDefault="00E5749A" w:rsidP="00F17ECA">
      <w:pPr>
        <w:spacing w:line="360" w:lineRule="auto"/>
        <w:rPr>
          <w:rFonts w:ascii="Times New Roman" w:hAnsi="Times New Roman" w:cs="Times New Roman"/>
          <w:b/>
          <w:color w:val="000000" w:themeColor="text1"/>
          <w:sz w:val="24"/>
          <w:szCs w:val="24"/>
        </w:rPr>
      </w:pPr>
    </w:p>
    <w:p w14:paraId="26D1E6D9" w14:textId="4940E516" w:rsidR="00E5749A" w:rsidRPr="004D0CC2" w:rsidRDefault="00E5749A" w:rsidP="00E5749A">
      <w:pPr>
        <w:spacing w:line="360" w:lineRule="auto"/>
        <w:jc w:val="center"/>
        <w:rPr>
          <w:rFonts w:ascii="Times New Roman" w:hAnsi="Times New Roman" w:cs="Times New Roman"/>
          <w:b/>
          <w:color w:val="000000" w:themeColor="text1"/>
          <w:sz w:val="24"/>
          <w:szCs w:val="24"/>
        </w:rPr>
      </w:pPr>
    </w:p>
    <w:p w14:paraId="5D91D0B9" w14:textId="00A3DDDA" w:rsidR="00E5749A" w:rsidRPr="004D0CC2" w:rsidRDefault="009B5A2D" w:rsidP="009B5A2D">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 xml:space="preserve">             </w:t>
      </w:r>
    </w:p>
    <w:p w14:paraId="3E012465" w14:textId="77777777" w:rsidR="00E5749A" w:rsidRPr="004D0CC2" w:rsidRDefault="00E5749A" w:rsidP="00E5749A">
      <w:pPr>
        <w:spacing w:line="360" w:lineRule="auto"/>
        <w:jc w:val="center"/>
        <w:rPr>
          <w:rFonts w:ascii="Times New Roman" w:hAnsi="Times New Roman" w:cs="Times New Roman"/>
          <w:color w:val="000000" w:themeColor="text1"/>
          <w:sz w:val="24"/>
          <w:szCs w:val="24"/>
        </w:rPr>
      </w:pPr>
      <w:r w:rsidRPr="004D0CC2">
        <w:rPr>
          <w:rFonts w:ascii="Times New Roman" w:hAnsi="Times New Roman" w:cs="Times New Roman"/>
          <w:noProof/>
          <w:color w:val="000000" w:themeColor="text1"/>
          <w:sz w:val="24"/>
          <w:szCs w:val="24"/>
        </w:rPr>
        <w:drawing>
          <wp:inline distT="0" distB="0" distL="0" distR="0" wp14:anchorId="688E2A90" wp14:editId="3103D398">
            <wp:extent cx="5511165" cy="3245485"/>
            <wp:effectExtent l="0" t="0" r="13335" b="12065"/>
            <wp:docPr id="8"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3"/>
              </a:graphicData>
            </a:graphic>
          </wp:inline>
        </w:drawing>
      </w:r>
    </w:p>
    <w:p w14:paraId="4F7B161B" w14:textId="775074DA" w:rsidR="008C7E0F" w:rsidRPr="004D0CC2" w:rsidRDefault="009B5A2D" w:rsidP="008C7E0F">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 xml:space="preserve">    </w:t>
      </w:r>
      <w:r w:rsidR="00E5749A" w:rsidRPr="004D0CC2">
        <w:rPr>
          <w:rFonts w:ascii="Times New Roman" w:hAnsi="Times New Roman" w:cs="Times New Roman"/>
          <w:b/>
          <w:color w:val="000000" w:themeColor="text1"/>
          <w:sz w:val="24"/>
          <w:szCs w:val="24"/>
        </w:rPr>
        <w:t>FIG.</w:t>
      </w:r>
      <w:r w:rsidR="0004583D" w:rsidRPr="004D0CC2">
        <w:rPr>
          <w:rFonts w:ascii="Times New Roman" w:hAnsi="Times New Roman" w:cs="Times New Roman"/>
          <w:b/>
          <w:color w:val="000000" w:themeColor="text1"/>
          <w:sz w:val="24"/>
          <w:szCs w:val="24"/>
        </w:rPr>
        <w:t>7</w:t>
      </w:r>
      <w:r w:rsidR="00E5749A" w:rsidRPr="004D0CC2">
        <w:rPr>
          <w:rFonts w:ascii="Times New Roman" w:hAnsi="Times New Roman" w:cs="Times New Roman"/>
          <w:b/>
          <w:color w:val="000000" w:themeColor="text1"/>
          <w:sz w:val="24"/>
          <w:szCs w:val="24"/>
        </w:rPr>
        <w:t xml:space="preserve">. Graph depicting </w:t>
      </w:r>
      <w:r w:rsidR="004A17C3" w:rsidRPr="004D0CC2">
        <w:rPr>
          <w:rFonts w:ascii="Times New Roman" w:hAnsi="Times New Roman" w:cs="Times New Roman"/>
          <w:b/>
          <w:color w:val="000000" w:themeColor="text1"/>
          <w:sz w:val="24"/>
          <w:szCs w:val="24"/>
        </w:rPr>
        <w:t>concentration</w:t>
      </w:r>
      <w:r w:rsidR="008C7E0F" w:rsidRPr="004D0CC2">
        <w:rPr>
          <w:rFonts w:ascii="Times New Roman" w:hAnsi="Times New Roman" w:cs="Times New Roman"/>
          <w:b/>
          <w:color w:val="000000" w:themeColor="text1"/>
          <w:sz w:val="24"/>
          <w:szCs w:val="24"/>
        </w:rPr>
        <w:t xml:space="preserve"> of </w:t>
      </w:r>
      <w:r w:rsidR="00E5749A" w:rsidRPr="004D0CC2">
        <w:rPr>
          <w:rFonts w:ascii="Times New Roman" w:hAnsi="Times New Roman" w:cs="Times New Roman"/>
          <w:b/>
          <w:color w:val="000000" w:themeColor="text1"/>
          <w:sz w:val="24"/>
          <w:szCs w:val="24"/>
        </w:rPr>
        <w:t xml:space="preserve">Lead (ppm) </w:t>
      </w:r>
      <w:r w:rsidR="008C7E0F" w:rsidRPr="004D0CC2">
        <w:rPr>
          <w:rFonts w:ascii="Times New Roman" w:hAnsi="Times New Roman" w:cs="Times New Roman"/>
          <w:b/>
          <w:color w:val="000000" w:themeColor="text1"/>
          <w:sz w:val="24"/>
          <w:szCs w:val="24"/>
        </w:rPr>
        <w:t xml:space="preserve">in soil samples from different areas </w:t>
      </w:r>
      <w:r w:rsidR="004A17C3" w:rsidRPr="004D0CC2">
        <w:rPr>
          <w:rFonts w:ascii="Times New Roman" w:hAnsi="Times New Roman" w:cs="Times New Roman"/>
          <w:b/>
          <w:color w:val="000000" w:themeColor="text1"/>
          <w:sz w:val="24"/>
          <w:szCs w:val="24"/>
        </w:rPr>
        <w:t xml:space="preserve">    </w:t>
      </w:r>
      <w:r w:rsidR="004A17C3" w:rsidRPr="004D0CC2">
        <w:rPr>
          <w:rFonts w:ascii="Times New Roman" w:hAnsi="Times New Roman" w:cs="Times New Roman"/>
          <w:b/>
          <w:color w:val="000000" w:themeColor="text1"/>
          <w:sz w:val="24"/>
          <w:szCs w:val="24"/>
        </w:rPr>
        <w:tab/>
      </w:r>
      <w:r w:rsidR="008C7E0F" w:rsidRPr="004D0CC2">
        <w:rPr>
          <w:rFonts w:ascii="Times New Roman" w:hAnsi="Times New Roman" w:cs="Times New Roman"/>
          <w:b/>
          <w:color w:val="000000" w:themeColor="text1"/>
          <w:sz w:val="24"/>
          <w:szCs w:val="24"/>
        </w:rPr>
        <w:t>of Bangalore</w:t>
      </w:r>
    </w:p>
    <w:p w14:paraId="7E805F53" w14:textId="400BF16F" w:rsidR="00E5749A" w:rsidRPr="004D0CC2" w:rsidRDefault="00E5749A" w:rsidP="009B5A2D">
      <w:pPr>
        <w:rPr>
          <w:rFonts w:ascii="Times New Roman" w:hAnsi="Times New Roman" w:cs="Times New Roman"/>
          <w:b/>
          <w:color w:val="000000" w:themeColor="text1"/>
          <w:sz w:val="24"/>
          <w:szCs w:val="24"/>
        </w:rPr>
      </w:pPr>
    </w:p>
    <w:p w14:paraId="1DD5EE7D" w14:textId="77777777" w:rsidR="00E5749A" w:rsidRPr="004D0CC2" w:rsidRDefault="00E5749A" w:rsidP="00E5749A">
      <w:pPr>
        <w:jc w:val="center"/>
        <w:rPr>
          <w:rFonts w:ascii="Times New Roman" w:hAnsi="Times New Roman" w:cs="Times New Roman"/>
          <w:color w:val="000000" w:themeColor="text1"/>
          <w:sz w:val="24"/>
          <w:szCs w:val="24"/>
          <w:lang w:eastAsia="zh-CN"/>
        </w:rPr>
      </w:pPr>
      <w:r w:rsidRPr="004D0CC2">
        <w:rPr>
          <w:rFonts w:ascii="Times New Roman" w:hAnsi="Times New Roman" w:cs="Times New Roman"/>
          <w:noProof/>
          <w:color w:val="000000" w:themeColor="text1"/>
          <w:sz w:val="24"/>
          <w:szCs w:val="24"/>
        </w:rPr>
        <w:lastRenderedPageBreak/>
        <w:drawing>
          <wp:inline distT="0" distB="0" distL="0" distR="0" wp14:anchorId="7AD93CAA" wp14:editId="7AF94CC6">
            <wp:extent cx="5280660" cy="3039110"/>
            <wp:effectExtent l="0" t="0" r="15240" b="27940"/>
            <wp:docPr id="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4"/>
              </a:graphicData>
            </a:graphic>
          </wp:inline>
        </w:drawing>
      </w:r>
    </w:p>
    <w:p w14:paraId="7041955A" w14:textId="649FD9D0" w:rsidR="008C7E0F" w:rsidRPr="004D0CC2" w:rsidRDefault="009B5A2D" w:rsidP="008C7E0F">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 xml:space="preserve">        </w:t>
      </w:r>
      <w:r w:rsidR="00E5749A" w:rsidRPr="004D0CC2">
        <w:rPr>
          <w:rFonts w:ascii="Times New Roman" w:hAnsi="Times New Roman" w:cs="Times New Roman"/>
          <w:b/>
          <w:color w:val="000000" w:themeColor="text1"/>
          <w:sz w:val="24"/>
          <w:szCs w:val="24"/>
        </w:rPr>
        <w:t>FIG.</w:t>
      </w:r>
      <w:r w:rsidR="0004583D" w:rsidRPr="004D0CC2">
        <w:rPr>
          <w:rFonts w:ascii="Times New Roman" w:hAnsi="Times New Roman" w:cs="Times New Roman"/>
          <w:b/>
          <w:color w:val="000000" w:themeColor="text1"/>
          <w:sz w:val="24"/>
          <w:szCs w:val="24"/>
        </w:rPr>
        <w:t>8</w:t>
      </w:r>
      <w:r w:rsidR="00E5749A" w:rsidRPr="004D0CC2">
        <w:rPr>
          <w:rFonts w:ascii="Times New Roman" w:hAnsi="Times New Roman" w:cs="Times New Roman"/>
          <w:b/>
          <w:color w:val="000000" w:themeColor="text1"/>
          <w:sz w:val="24"/>
          <w:szCs w:val="24"/>
        </w:rPr>
        <w:t>. Graph depicting</w:t>
      </w:r>
      <w:r w:rsidR="008C7E0F" w:rsidRPr="004D0CC2">
        <w:rPr>
          <w:rFonts w:ascii="Times New Roman" w:hAnsi="Times New Roman" w:cs="Times New Roman"/>
          <w:b/>
          <w:color w:val="000000" w:themeColor="text1"/>
          <w:sz w:val="24"/>
          <w:szCs w:val="24"/>
        </w:rPr>
        <w:t xml:space="preserve"> the concentration of </w:t>
      </w:r>
      <w:r w:rsidR="00E5749A" w:rsidRPr="004D0CC2">
        <w:rPr>
          <w:rFonts w:ascii="Times New Roman" w:hAnsi="Times New Roman" w:cs="Times New Roman"/>
          <w:b/>
          <w:color w:val="000000" w:themeColor="text1"/>
          <w:sz w:val="24"/>
          <w:szCs w:val="24"/>
        </w:rPr>
        <w:t>Mercury</w:t>
      </w:r>
      <w:r w:rsidR="00214F48" w:rsidRPr="004D0CC2">
        <w:rPr>
          <w:rFonts w:ascii="Times New Roman" w:hAnsi="Times New Roman" w:cs="Times New Roman"/>
          <w:b/>
          <w:color w:val="000000" w:themeColor="text1"/>
          <w:sz w:val="24"/>
          <w:szCs w:val="24"/>
        </w:rPr>
        <w:t xml:space="preserve"> </w:t>
      </w:r>
      <w:r w:rsidR="00E5749A" w:rsidRPr="004D0CC2">
        <w:rPr>
          <w:rFonts w:ascii="Times New Roman" w:hAnsi="Times New Roman" w:cs="Times New Roman"/>
          <w:b/>
          <w:color w:val="000000" w:themeColor="text1"/>
          <w:sz w:val="24"/>
          <w:szCs w:val="24"/>
        </w:rPr>
        <w:t xml:space="preserve">(ppm) </w:t>
      </w:r>
      <w:bookmarkStart w:id="4" w:name="_Hlk226240469"/>
      <w:r w:rsidR="008C7E0F" w:rsidRPr="004D0CC2">
        <w:rPr>
          <w:rFonts w:ascii="Times New Roman" w:hAnsi="Times New Roman" w:cs="Times New Roman"/>
          <w:b/>
          <w:color w:val="000000" w:themeColor="text1"/>
          <w:sz w:val="24"/>
          <w:szCs w:val="24"/>
        </w:rPr>
        <w:t xml:space="preserve">in soil samples from </w:t>
      </w:r>
      <w:r w:rsidR="00C112F1" w:rsidRPr="004D0CC2">
        <w:rPr>
          <w:rFonts w:ascii="Times New Roman" w:hAnsi="Times New Roman" w:cs="Times New Roman"/>
          <w:b/>
          <w:color w:val="000000" w:themeColor="text1"/>
          <w:sz w:val="24"/>
          <w:szCs w:val="24"/>
        </w:rPr>
        <w:tab/>
      </w:r>
      <w:r w:rsidR="008C7E0F" w:rsidRPr="004D0CC2">
        <w:rPr>
          <w:rFonts w:ascii="Times New Roman" w:hAnsi="Times New Roman" w:cs="Times New Roman"/>
          <w:b/>
          <w:color w:val="000000" w:themeColor="text1"/>
          <w:sz w:val="24"/>
          <w:szCs w:val="24"/>
        </w:rPr>
        <w:t>different areas of Bangalore</w:t>
      </w:r>
    </w:p>
    <w:bookmarkEnd w:id="4"/>
    <w:p w14:paraId="332AE44A" w14:textId="1F0B9476" w:rsidR="00E5749A" w:rsidRPr="004D0CC2" w:rsidRDefault="00E5749A" w:rsidP="009B5A2D">
      <w:pPr>
        <w:rPr>
          <w:rFonts w:ascii="Times New Roman" w:hAnsi="Times New Roman" w:cs="Times New Roman"/>
          <w:b/>
          <w:color w:val="000000" w:themeColor="text1"/>
          <w:sz w:val="24"/>
          <w:szCs w:val="24"/>
        </w:rPr>
      </w:pPr>
    </w:p>
    <w:p w14:paraId="0F84AB2D" w14:textId="77777777" w:rsidR="00E5749A" w:rsidRPr="004D0CC2" w:rsidRDefault="00E5749A" w:rsidP="00E5749A">
      <w:pPr>
        <w:jc w:val="center"/>
        <w:rPr>
          <w:rFonts w:ascii="Times New Roman" w:hAnsi="Times New Roman" w:cs="Times New Roman"/>
          <w:color w:val="000000" w:themeColor="text1"/>
          <w:sz w:val="24"/>
          <w:szCs w:val="24"/>
          <w:lang w:eastAsia="zh-CN"/>
        </w:rPr>
      </w:pPr>
      <w:r w:rsidRPr="004D0CC2">
        <w:rPr>
          <w:rFonts w:ascii="Times New Roman" w:hAnsi="Times New Roman" w:cs="Times New Roman"/>
          <w:noProof/>
          <w:color w:val="000000" w:themeColor="text1"/>
          <w:sz w:val="24"/>
          <w:szCs w:val="24"/>
        </w:rPr>
        <w:drawing>
          <wp:inline distT="0" distB="0" distL="0" distR="0" wp14:anchorId="4903546C" wp14:editId="1FCA7CE4">
            <wp:extent cx="5217795" cy="3039110"/>
            <wp:effectExtent l="0" t="0" r="20955" b="27940"/>
            <wp:docPr id="10"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5"/>
              </a:graphicData>
            </a:graphic>
          </wp:inline>
        </w:drawing>
      </w:r>
    </w:p>
    <w:p w14:paraId="07625890" w14:textId="4B92B69B" w:rsidR="00C112F1" w:rsidRPr="004D0CC2" w:rsidRDefault="009B5A2D" w:rsidP="00C112F1">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 xml:space="preserve">        </w:t>
      </w:r>
      <w:r w:rsidR="00E5749A" w:rsidRPr="004D0CC2">
        <w:rPr>
          <w:rFonts w:ascii="Times New Roman" w:hAnsi="Times New Roman" w:cs="Times New Roman"/>
          <w:b/>
          <w:color w:val="000000" w:themeColor="text1"/>
          <w:sz w:val="24"/>
          <w:szCs w:val="24"/>
        </w:rPr>
        <w:t>FIG.</w:t>
      </w:r>
      <w:r w:rsidR="0004583D" w:rsidRPr="004D0CC2">
        <w:rPr>
          <w:rFonts w:ascii="Times New Roman" w:hAnsi="Times New Roman" w:cs="Times New Roman"/>
          <w:b/>
          <w:color w:val="000000" w:themeColor="text1"/>
          <w:sz w:val="24"/>
          <w:szCs w:val="24"/>
        </w:rPr>
        <w:t>9</w:t>
      </w:r>
      <w:r w:rsidR="00E5749A" w:rsidRPr="004D0CC2">
        <w:rPr>
          <w:rFonts w:ascii="Times New Roman" w:hAnsi="Times New Roman" w:cs="Times New Roman"/>
          <w:b/>
          <w:color w:val="000000" w:themeColor="text1"/>
          <w:sz w:val="24"/>
          <w:szCs w:val="24"/>
        </w:rPr>
        <w:t xml:space="preserve">. Graph depicting </w:t>
      </w:r>
      <w:r w:rsidR="008C7E0F" w:rsidRPr="004D0CC2">
        <w:rPr>
          <w:rFonts w:ascii="Times New Roman" w:hAnsi="Times New Roman" w:cs="Times New Roman"/>
          <w:b/>
          <w:color w:val="000000" w:themeColor="text1"/>
          <w:sz w:val="24"/>
          <w:szCs w:val="24"/>
        </w:rPr>
        <w:t>the concentration</w:t>
      </w:r>
      <w:r w:rsidR="004A17C3" w:rsidRPr="004D0CC2">
        <w:rPr>
          <w:rFonts w:ascii="Times New Roman" w:hAnsi="Times New Roman" w:cs="Times New Roman"/>
          <w:b/>
          <w:color w:val="000000" w:themeColor="text1"/>
          <w:sz w:val="24"/>
          <w:szCs w:val="24"/>
        </w:rPr>
        <w:t xml:space="preserve"> of</w:t>
      </w:r>
      <w:r w:rsidR="008C7E0F" w:rsidRPr="004D0CC2">
        <w:rPr>
          <w:rFonts w:ascii="Times New Roman" w:hAnsi="Times New Roman" w:cs="Times New Roman"/>
          <w:b/>
          <w:color w:val="000000" w:themeColor="text1"/>
          <w:sz w:val="24"/>
          <w:szCs w:val="24"/>
        </w:rPr>
        <w:t xml:space="preserve"> </w:t>
      </w:r>
      <w:r w:rsidR="00E5749A" w:rsidRPr="004D0CC2">
        <w:rPr>
          <w:rFonts w:ascii="Times New Roman" w:hAnsi="Times New Roman" w:cs="Times New Roman"/>
          <w:b/>
          <w:color w:val="000000" w:themeColor="text1"/>
          <w:sz w:val="24"/>
          <w:szCs w:val="24"/>
        </w:rPr>
        <w:t>Zinc</w:t>
      </w:r>
      <w:r w:rsidR="00E94E11" w:rsidRPr="004D0CC2">
        <w:rPr>
          <w:rFonts w:ascii="Times New Roman" w:hAnsi="Times New Roman" w:cs="Times New Roman"/>
          <w:b/>
          <w:color w:val="000000" w:themeColor="text1"/>
          <w:sz w:val="24"/>
          <w:szCs w:val="24"/>
        </w:rPr>
        <w:t xml:space="preserve"> </w:t>
      </w:r>
      <w:r w:rsidR="00E5749A" w:rsidRPr="004D0CC2">
        <w:rPr>
          <w:rFonts w:ascii="Times New Roman" w:hAnsi="Times New Roman" w:cs="Times New Roman"/>
          <w:b/>
          <w:color w:val="000000" w:themeColor="text1"/>
          <w:sz w:val="24"/>
          <w:szCs w:val="24"/>
        </w:rPr>
        <w:t xml:space="preserve">(ppm) </w:t>
      </w:r>
      <w:r w:rsidR="00C112F1" w:rsidRPr="004D0CC2">
        <w:rPr>
          <w:rFonts w:ascii="Times New Roman" w:hAnsi="Times New Roman" w:cs="Times New Roman"/>
          <w:b/>
          <w:color w:val="000000" w:themeColor="text1"/>
          <w:sz w:val="24"/>
          <w:szCs w:val="24"/>
        </w:rPr>
        <w:t xml:space="preserve">in soil samples from </w:t>
      </w:r>
      <w:r w:rsidR="00C112F1" w:rsidRPr="004D0CC2">
        <w:rPr>
          <w:rFonts w:ascii="Times New Roman" w:hAnsi="Times New Roman" w:cs="Times New Roman"/>
          <w:b/>
          <w:color w:val="000000" w:themeColor="text1"/>
          <w:sz w:val="24"/>
          <w:szCs w:val="24"/>
        </w:rPr>
        <w:tab/>
        <w:t xml:space="preserve">different </w:t>
      </w:r>
      <w:r w:rsidR="001109F7" w:rsidRPr="004D0CC2">
        <w:rPr>
          <w:rFonts w:ascii="Times New Roman" w:hAnsi="Times New Roman" w:cs="Times New Roman"/>
          <w:b/>
          <w:color w:val="000000" w:themeColor="text1"/>
          <w:sz w:val="24"/>
          <w:szCs w:val="24"/>
        </w:rPr>
        <w:t xml:space="preserve">       </w:t>
      </w:r>
      <w:r w:rsidR="001109F7" w:rsidRPr="004D0CC2">
        <w:rPr>
          <w:rFonts w:ascii="Times New Roman" w:hAnsi="Times New Roman" w:cs="Times New Roman"/>
          <w:b/>
          <w:color w:val="000000" w:themeColor="text1"/>
          <w:sz w:val="24"/>
          <w:szCs w:val="24"/>
        </w:rPr>
        <w:tab/>
      </w:r>
      <w:r w:rsidR="00C112F1" w:rsidRPr="004D0CC2">
        <w:rPr>
          <w:rFonts w:ascii="Times New Roman" w:hAnsi="Times New Roman" w:cs="Times New Roman"/>
          <w:b/>
          <w:color w:val="000000" w:themeColor="text1"/>
          <w:sz w:val="24"/>
          <w:szCs w:val="24"/>
        </w:rPr>
        <w:t>areas of Bangalore</w:t>
      </w:r>
    </w:p>
    <w:p w14:paraId="6FA78AFA" w14:textId="62EC3BBE" w:rsidR="00E5749A" w:rsidRPr="004D0CC2" w:rsidRDefault="00E5749A" w:rsidP="009B5A2D">
      <w:pPr>
        <w:rPr>
          <w:rFonts w:ascii="Times New Roman" w:hAnsi="Times New Roman" w:cs="Times New Roman"/>
          <w:b/>
          <w:color w:val="000000" w:themeColor="text1"/>
          <w:sz w:val="24"/>
          <w:szCs w:val="24"/>
        </w:rPr>
      </w:pPr>
    </w:p>
    <w:p w14:paraId="098B8A6A" w14:textId="77777777" w:rsidR="00E5749A" w:rsidRPr="004D0CC2" w:rsidRDefault="00E5749A" w:rsidP="00E5749A">
      <w:pPr>
        <w:jc w:val="center"/>
        <w:rPr>
          <w:rFonts w:ascii="Times New Roman" w:hAnsi="Times New Roman" w:cs="Times New Roman"/>
          <w:color w:val="000000" w:themeColor="text1"/>
          <w:sz w:val="24"/>
          <w:szCs w:val="24"/>
          <w:lang w:eastAsia="zh-CN"/>
        </w:rPr>
      </w:pPr>
      <w:r w:rsidRPr="004D0CC2">
        <w:rPr>
          <w:rFonts w:ascii="Times New Roman" w:hAnsi="Times New Roman" w:cs="Times New Roman"/>
          <w:noProof/>
          <w:color w:val="000000" w:themeColor="text1"/>
          <w:sz w:val="24"/>
          <w:szCs w:val="24"/>
        </w:rPr>
        <w:drawing>
          <wp:inline distT="0" distB="0" distL="0" distR="0" wp14:anchorId="3625FF82" wp14:editId="6AC7FF68">
            <wp:extent cx="5226050" cy="3007360"/>
            <wp:effectExtent l="0" t="0" r="12700" b="21590"/>
            <wp:docPr id="11"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6"/>
              </a:graphicData>
            </a:graphic>
          </wp:inline>
        </w:drawing>
      </w:r>
    </w:p>
    <w:p w14:paraId="07A07944" w14:textId="35ED2E16" w:rsidR="008C7E0F" w:rsidRPr="004D0CC2" w:rsidRDefault="003F66A8" w:rsidP="008C7E0F">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color w:val="000000" w:themeColor="text1"/>
          <w:sz w:val="24"/>
          <w:szCs w:val="24"/>
          <w:lang w:eastAsia="zh-CN"/>
        </w:rPr>
        <w:t xml:space="preserve">            </w:t>
      </w:r>
      <w:r w:rsidR="00E5749A" w:rsidRPr="004D0CC2">
        <w:rPr>
          <w:rFonts w:ascii="Times New Roman" w:hAnsi="Times New Roman" w:cs="Times New Roman"/>
          <w:b/>
          <w:color w:val="000000" w:themeColor="text1"/>
          <w:sz w:val="24"/>
          <w:szCs w:val="24"/>
        </w:rPr>
        <w:t>FIG.1</w:t>
      </w:r>
      <w:r w:rsidR="0004583D" w:rsidRPr="004D0CC2">
        <w:rPr>
          <w:rFonts w:ascii="Times New Roman" w:hAnsi="Times New Roman" w:cs="Times New Roman"/>
          <w:b/>
          <w:color w:val="000000" w:themeColor="text1"/>
          <w:sz w:val="24"/>
          <w:szCs w:val="24"/>
        </w:rPr>
        <w:t>0</w:t>
      </w:r>
      <w:r w:rsidR="00E5749A" w:rsidRPr="004D0CC2">
        <w:rPr>
          <w:rFonts w:ascii="Times New Roman" w:hAnsi="Times New Roman" w:cs="Times New Roman"/>
          <w:b/>
          <w:color w:val="000000" w:themeColor="text1"/>
          <w:sz w:val="24"/>
          <w:szCs w:val="24"/>
        </w:rPr>
        <w:t xml:space="preserve">. Graph depicting </w:t>
      </w:r>
      <w:r w:rsidR="004A17C3" w:rsidRPr="004D0CC2">
        <w:rPr>
          <w:rFonts w:ascii="Times New Roman" w:hAnsi="Times New Roman" w:cs="Times New Roman"/>
          <w:b/>
          <w:color w:val="000000" w:themeColor="text1"/>
          <w:sz w:val="24"/>
          <w:szCs w:val="24"/>
        </w:rPr>
        <w:t xml:space="preserve">the concentration of </w:t>
      </w:r>
      <w:r w:rsidR="00C112F1" w:rsidRPr="004D0CC2">
        <w:rPr>
          <w:rFonts w:ascii="Times New Roman" w:hAnsi="Times New Roman" w:cs="Times New Roman"/>
          <w:b/>
          <w:color w:val="000000" w:themeColor="text1"/>
          <w:sz w:val="24"/>
          <w:szCs w:val="24"/>
        </w:rPr>
        <w:t>Copper</w:t>
      </w:r>
      <w:r w:rsidR="0004583D" w:rsidRPr="004D0CC2">
        <w:rPr>
          <w:rFonts w:ascii="Times New Roman" w:hAnsi="Times New Roman" w:cs="Times New Roman"/>
          <w:b/>
          <w:color w:val="000000" w:themeColor="text1"/>
          <w:sz w:val="24"/>
          <w:szCs w:val="24"/>
        </w:rPr>
        <w:t xml:space="preserve"> </w:t>
      </w:r>
      <w:r w:rsidR="00E5749A" w:rsidRPr="004D0CC2">
        <w:rPr>
          <w:rFonts w:ascii="Times New Roman" w:hAnsi="Times New Roman" w:cs="Times New Roman"/>
          <w:b/>
          <w:color w:val="000000" w:themeColor="text1"/>
          <w:sz w:val="24"/>
          <w:szCs w:val="24"/>
        </w:rPr>
        <w:t xml:space="preserve">(ppm) </w:t>
      </w:r>
      <w:r w:rsidR="008C7E0F" w:rsidRPr="004D0CC2">
        <w:rPr>
          <w:rFonts w:ascii="Times New Roman" w:hAnsi="Times New Roman" w:cs="Times New Roman"/>
          <w:b/>
          <w:color w:val="000000" w:themeColor="text1"/>
          <w:sz w:val="24"/>
          <w:szCs w:val="24"/>
        </w:rPr>
        <w:t xml:space="preserve">in soil samples from </w:t>
      </w:r>
      <w:r w:rsidR="004A17C3" w:rsidRPr="004D0CC2">
        <w:rPr>
          <w:rFonts w:ascii="Times New Roman" w:hAnsi="Times New Roman" w:cs="Times New Roman"/>
          <w:b/>
          <w:color w:val="000000" w:themeColor="text1"/>
          <w:sz w:val="24"/>
          <w:szCs w:val="24"/>
        </w:rPr>
        <w:tab/>
      </w:r>
      <w:r w:rsidR="008C7E0F" w:rsidRPr="004D0CC2">
        <w:rPr>
          <w:rFonts w:ascii="Times New Roman" w:hAnsi="Times New Roman" w:cs="Times New Roman"/>
          <w:b/>
          <w:color w:val="000000" w:themeColor="text1"/>
          <w:sz w:val="24"/>
          <w:szCs w:val="24"/>
        </w:rPr>
        <w:t xml:space="preserve">different areas </w:t>
      </w:r>
      <w:r w:rsidR="00A65479" w:rsidRPr="004D0CC2">
        <w:rPr>
          <w:rFonts w:ascii="Times New Roman" w:hAnsi="Times New Roman" w:cs="Times New Roman"/>
          <w:b/>
          <w:color w:val="000000" w:themeColor="text1"/>
          <w:sz w:val="24"/>
          <w:szCs w:val="24"/>
        </w:rPr>
        <w:t>of Bangalore</w:t>
      </w:r>
    </w:p>
    <w:p w14:paraId="7A44D12D" w14:textId="3258DDE7" w:rsidR="00E5749A" w:rsidRPr="004D0CC2" w:rsidRDefault="00E5749A" w:rsidP="003F66A8">
      <w:pPr>
        <w:rPr>
          <w:rFonts w:ascii="Times New Roman" w:hAnsi="Times New Roman" w:cs="Times New Roman"/>
          <w:b/>
          <w:color w:val="000000" w:themeColor="text1"/>
          <w:sz w:val="24"/>
          <w:szCs w:val="24"/>
        </w:rPr>
      </w:pPr>
    </w:p>
    <w:p w14:paraId="3D1999A5" w14:textId="77777777" w:rsidR="00E5749A" w:rsidRPr="004D0CC2" w:rsidRDefault="00E5749A" w:rsidP="00E5749A">
      <w:pPr>
        <w:jc w:val="center"/>
        <w:rPr>
          <w:rFonts w:ascii="Times New Roman" w:hAnsi="Times New Roman" w:cs="Times New Roman"/>
          <w:color w:val="000000" w:themeColor="text1"/>
          <w:sz w:val="24"/>
          <w:szCs w:val="24"/>
          <w:lang w:eastAsia="zh-CN"/>
        </w:rPr>
      </w:pPr>
      <w:r w:rsidRPr="004D0CC2">
        <w:rPr>
          <w:rFonts w:ascii="Times New Roman" w:hAnsi="Times New Roman" w:cs="Times New Roman"/>
          <w:noProof/>
          <w:color w:val="000000" w:themeColor="text1"/>
          <w:sz w:val="24"/>
          <w:szCs w:val="24"/>
        </w:rPr>
        <w:drawing>
          <wp:inline distT="0" distB="0" distL="0" distR="0" wp14:anchorId="159E292D" wp14:editId="6F9E6881">
            <wp:extent cx="5082540" cy="2849880"/>
            <wp:effectExtent l="0" t="0" r="22860" b="26670"/>
            <wp:docPr id="12"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7"/>
              </a:graphicData>
            </a:graphic>
          </wp:inline>
        </w:drawing>
      </w:r>
    </w:p>
    <w:p w14:paraId="2FAB5E00" w14:textId="65843806" w:rsidR="0004583D" w:rsidRPr="004D0CC2" w:rsidRDefault="003F66A8" w:rsidP="00D64967">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 xml:space="preserve">          </w:t>
      </w:r>
      <w:r w:rsidR="00E5749A" w:rsidRPr="004D0CC2">
        <w:rPr>
          <w:rFonts w:ascii="Times New Roman" w:hAnsi="Times New Roman" w:cs="Times New Roman"/>
          <w:b/>
          <w:color w:val="000000" w:themeColor="text1"/>
          <w:sz w:val="24"/>
          <w:szCs w:val="24"/>
        </w:rPr>
        <w:t>FIG.1</w:t>
      </w:r>
      <w:r w:rsidR="0004583D" w:rsidRPr="004D0CC2">
        <w:rPr>
          <w:rFonts w:ascii="Times New Roman" w:hAnsi="Times New Roman" w:cs="Times New Roman"/>
          <w:b/>
          <w:color w:val="000000" w:themeColor="text1"/>
          <w:sz w:val="24"/>
          <w:szCs w:val="24"/>
        </w:rPr>
        <w:t>1</w:t>
      </w:r>
      <w:r w:rsidR="00E5749A" w:rsidRPr="004D0CC2">
        <w:rPr>
          <w:rFonts w:ascii="Times New Roman" w:hAnsi="Times New Roman" w:cs="Times New Roman"/>
          <w:b/>
          <w:color w:val="000000" w:themeColor="text1"/>
          <w:sz w:val="24"/>
          <w:szCs w:val="24"/>
        </w:rPr>
        <w:t xml:space="preserve">. Graph depicting </w:t>
      </w:r>
      <w:r w:rsidR="00C112F1" w:rsidRPr="004D0CC2">
        <w:rPr>
          <w:rFonts w:ascii="Times New Roman" w:hAnsi="Times New Roman" w:cs="Times New Roman"/>
          <w:b/>
          <w:color w:val="000000" w:themeColor="text1"/>
          <w:sz w:val="24"/>
          <w:szCs w:val="24"/>
        </w:rPr>
        <w:t xml:space="preserve">the </w:t>
      </w:r>
      <w:r w:rsidR="002F31A2" w:rsidRPr="004D0CC2">
        <w:rPr>
          <w:rFonts w:ascii="Times New Roman" w:hAnsi="Times New Roman" w:cs="Times New Roman"/>
          <w:b/>
          <w:color w:val="000000" w:themeColor="text1"/>
          <w:sz w:val="24"/>
          <w:szCs w:val="24"/>
        </w:rPr>
        <w:t>concentration of</w:t>
      </w:r>
      <w:r w:rsidR="00E5749A" w:rsidRPr="004D0CC2">
        <w:rPr>
          <w:rFonts w:ascii="Times New Roman" w:hAnsi="Times New Roman" w:cs="Times New Roman"/>
          <w:b/>
          <w:color w:val="000000" w:themeColor="text1"/>
          <w:sz w:val="24"/>
          <w:szCs w:val="24"/>
        </w:rPr>
        <w:t xml:space="preserve"> Iron </w:t>
      </w:r>
      <w:r w:rsidR="008C7E0F" w:rsidRPr="004D0CC2">
        <w:rPr>
          <w:rFonts w:ascii="Times New Roman" w:hAnsi="Times New Roman" w:cs="Times New Roman"/>
          <w:b/>
          <w:color w:val="000000" w:themeColor="text1"/>
          <w:sz w:val="24"/>
          <w:szCs w:val="24"/>
        </w:rPr>
        <w:t xml:space="preserve">in soil samples from different areas of </w:t>
      </w:r>
      <w:r w:rsidR="00C112F1" w:rsidRPr="004D0CC2">
        <w:rPr>
          <w:rFonts w:ascii="Times New Roman" w:hAnsi="Times New Roman" w:cs="Times New Roman"/>
          <w:b/>
          <w:color w:val="000000" w:themeColor="text1"/>
          <w:sz w:val="24"/>
          <w:szCs w:val="24"/>
        </w:rPr>
        <w:tab/>
      </w:r>
      <w:r w:rsidR="008C7E0F" w:rsidRPr="004D0CC2">
        <w:rPr>
          <w:rFonts w:ascii="Times New Roman" w:hAnsi="Times New Roman" w:cs="Times New Roman"/>
          <w:b/>
          <w:color w:val="000000" w:themeColor="text1"/>
          <w:sz w:val="24"/>
          <w:szCs w:val="24"/>
        </w:rPr>
        <w:t>Bangalore</w:t>
      </w:r>
    </w:p>
    <w:p w14:paraId="0E197BB7" w14:textId="42288169" w:rsidR="00E5749A" w:rsidRPr="004D0CC2" w:rsidRDefault="0004583D" w:rsidP="00E5749A">
      <w:pPr>
        <w:jc w:val="center"/>
        <w:rPr>
          <w:rFonts w:ascii="Times New Roman" w:hAnsi="Times New Roman" w:cs="Times New Roman"/>
          <w:b/>
          <w:color w:val="000000" w:themeColor="text1"/>
          <w:sz w:val="24"/>
          <w:szCs w:val="24"/>
        </w:rPr>
      </w:pPr>
      <w:r w:rsidRPr="004D0CC2">
        <w:rPr>
          <w:rFonts w:ascii="Times New Roman" w:hAnsi="Times New Roman" w:cs="Times New Roman"/>
          <w:noProof/>
          <w:color w:val="000000" w:themeColor="text1"/>
          <w:sz w:val="24"/>
          <w:szCs w:val="24"/>
        </w:rPr>
        <w:lastRenderedPageBreak/>
        <w:drawing>
          <wp:inline distT="0" distB="0" distL="0" distR="0" wp14:anchorId="26F96AE5" wp14:editId="49868D30">
            <wp:extent cx="4853940" cy="3038475"/>
            <wp:effectExtent l="0" t="0" r="22860" b="9525"/>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8"/>
              </a:graphicData>
            </a:graphic>
          </wp:inline>
        </w:drawing>
      </w:r>
    </w:p>
    <w:p w14:paraId="02ABDCE6" w14:textId="77777777" w:rsidR="00E5749A" w:rsidRPr="004D0CC2" w:rsidRDefault="00E5749A" w:rsidP="00E5749A">
      <w:pPr>
        <w:jc w:val="center"/>
        <w:rPr>
          <w:rFonts w:ascii="Times New Roman" w:hAnsi="Times New Roman" w:cs="Times New Roman"/>
          <w:b/>
          <w:color w:val="000000" w:themeColor="text1"/>
          <w:sz w:val="24"/>
          <w:szCs w:val="24"/>
        </w:rPr>
      </w:pPr>
    </w:p>
    <w:p w14:paraId="7D5A0EA3" w14:textId="77777777" w:rsidR="007D4153" w:rsidRPr="004D0CC2" w:rsidRDefault="0004583D" w:rsidP="007D4153">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FIG.</w:t>
      </w:r>
      <w:r w:rsidR="000060E2" w:rsidRPr="004D0CC2">
        <w:rPr>
          <w:rFonts w:ascii="Times New Roman" w:hAnsi="Times New Roman" w:cs="Times New Roman"/>
          <w:b/>
          <w:color w:val="000000" w:themeColor="text1"/>
          <w:sz w:val="24"/>
          <w:szCs w:val="24"/>
        </w:rPr>
        <w:t>12</w:t>
      </w:r>
      <w:r w:rsidRPr="004D0CC2">
        <w:rPr>
          <w:rFonts w:ascii="Times New Roman" w:hAnsi="Times New Roman" w:cs="Times New Roman"/>
          <w:b/>
          <w:color w:val="000000" w:themeColor="text1"/>
          <w:sz w:val="24"/>
          <w:szCs w:val="24"/>
        </w:rPr>
        <w:t xml:space="preserve">. Graph depicting </w:t>
      </w:r>
      <w:r w:rsidR="00C112F1" w:rsidRPr="004D0CC2">
        <w:rPr>
          <w:rFonts w:ascii="Times New Roman" w:hAnsi="Times New Roman" w:cs="Times New Roman"/>
          <w:b/>
          <w:color w:val="000000" w:themeColor="text1"/>
          <w:sz w:val="24"/>
          <w:szCs w:val="24"/>
        </w:rPr>
        <w:t xml:space="preserve">the </w:t>
      </w:r>
      <w:r w:rsidRPr="004D0CC2">
        <w:rPr>
          <w:rFonts w:ascii="Times New Roman" w:hAnsi="Times New Roman" w:cs="Times New Roman"/>
          <w:b/>
          <w:color w:val="000000" w:themeColor="text1"/>
          <w:sz w:val="24"/>
          <w:szCs w:val="24"/>
        </w:rPr>
        <w:t xml:space="preserve">percentage of Acidity </w:t>
      </w:r>
      <w:r w:rsidR="008C7E0F" w:rsidRPr="004D0CC2">
        <w:rPr>
          <w:rFonts w:ascii="Times New Roman" w:hAnsi="Times New Roman" w:cs="Times New Roman"/>
          <w:b/>
          <w:color w:val="000000" w:themeColor="text1"/>
          <w:sz w:val="24"/>
          <w:szCs w:val="24"/>
        </w:rPr>
        <w:t>in soil samples from different areas of Bangalore</w:t>
      </w:r>
    </w:p>
    <w:p w14:paraId="0C14A0AF" w14:textId="54C3F9FC" w:rsidR="008C7E0F" w:rsidRPr="004D0CC2" w:rsidRDefault="00E5749A" w:rsidP="007D4153">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Table-1</w:t>
      </w:r>
      <w:r w:rsidR="008C7E0F" w:rsidRPr="004D0CC2">
        <w:rPr>
          <w:rFonts w:ascii="Times New Roman" w:hAnsi="Times New Roman" w:cs="Times New Roman"/>
          <w:b/>
          <w:color w:val="000000" w:themeColor="text1"/>
          <w:sz w:val="24"/>
          <w:szCs w:val="24"/>
        </w:rPr>
        <w:t>.</w:t>
      </w:r>
      <w:r w:rsidRPr="004D0CC2">
        <w:rPr>
          <w:rFonts w:ascii="Times New Roman" w:hAnsi="Times New Roman" w:cs="Times New Roman"/>
          <w:b/>
          <w:color w:val="000000" w:themeColor="text1"/>
          <w:sz w:val="24"/>
          <w:szCs w:val="24"/>
        </w:rPr>
        <w:t xml:space="preserve"> </w:t>
      </w:r>
      <w:r w:rsidR="008C7E0F" w:rsidRPr="004D0CC2">
        <w:rPr>
          <w:rFonts w:ascii="Times New Roman" w:hAnsi="Times New Roman" w:cs="Times New Roman"/>
          <w:b/>
          <w:color w:val="000000" w:themeColor="text1"/>
          <w:sz w:val="24"/>
          <w:szCs w:val="24"/>
        </w:rPr>
        <w:t>E</w:t>
      </w:r>
      <w:r w:rsidRPr="004D0CC2">
        <w:rPr>
          <w:rFonts w:ascii="Times New Roman" w:hAnsi="Times New Roman" w:cs="Times New Roman"/>
          <w:b/>
          <w:color w:val="000000" w:themeColor="text1"/>
          <w:sz w:val="24"/>
          <w:szCs w:val="24"/>
        </w:rPr>
        <w:t>stimation</w:t>
      </w:r>
      <w:r w:rsidR="008C7E0F" w:rsidRPr="004D0CC2">
        <w:rPr>
          <w:rFonts w:ascii="Times New Roman" w:hAnsi="Times New Roman" w:cs="Times New Roman"/>
          <w:b/>
          <w:color w:val="000000" w:themeColor="text1"/>
          <w:sz w:val="24"/>
          <w:szCs w:val="24"/>
        </w:rPr>
        <w:t xml:space="preserve"> of pH in soil samples from different areas of Bangalore</w:t>
      </w:r>
    </w:p>
    <w:tbl>
      <w:tblPr>
        <w:tblW w:w="0" w:type="auto"/>
        <w:tblLook w:val="0000" w:firstRow="0" w:lastRow="0" w:firstColumn="0" w:lastColumn="0" w:noHBand="0" w:noVBand="0"/>
      </w:tblPr>
      <w:tblGrid>
        <w:gridCol w:w="6487"/>
        <w:gridCol w:w="2028"/>
      </w:tblGrid>
      <w:tr w:rsidR="00195919" w:rsidRPr="004D0CC2" w14:paraId="144BCAA7" w14:textId="77777777" w:rsidTr="0055424F">
        <w:tc>
          <w:tcPr>
            <w:tcW w:w="6487" w:type="dxa"/>
            <w:tcBorders>
              <w:top w:val="single" w:sz="4" w:space="0" w:color="auto"/>
              <w:left w:val="single" w:sz="4" w:space="0" w:color="auto"/>
              <w:bottom w:val="single" w:sz="4" w:space="0" w:color="auto"/>
              <w:right w:val="single" w:sz="4" w:space="0" w:color="auto"/>
            </w:tcBorders>
          </w:tcPr>
          <w:p w14:paraId="1778DBE8" w14:textId="77777777" w:rsidR="00E5749A" w:rsidRPr="004D0CC2" w:rsidRDefault="00E5749A" w:rsidP="00D3621B">
            <w:pPr>
              <w:pStyle w:val="footer"/>
              <w:spacing w:line="360" w:lineRule="auto"/>
              <w:rPr>
                <w:rFonts w:ascii="Times New Roman" w:hAnsi="Times New Roman"/>
                <w:b/>
                <w:bCs/>
                <w:color w:val="000000" w:themeColor="text1"/>
              </w:rPr>
            </w:pPr>
            <w:r w:rsidRPr="004D0CC2">
              <w:rPr>
                <w:rFonts w:ascii="Times New Roman" w:hAnsi="Times New Roman"/>
                <w:b/>
                <w:bCs/>
                <w:color w:val="000000" w:themeColor="text1"/>
              </w:rPr>
              <w:t>Sample ID</w:t>
            </w:r>
          </w:p>
        </w:tc>
        <w:tc>
          <w:tcPr>
            <w:tcW w:w="2028" w:type="dxa"/>
            <w:tcBorders>
              <w:top w:val="single" w:sz="4" w:space="0" w:color="auto"/>
              <w:left w:val="single" w:sz="4" w:space="0" w:color="auto"/>
              <w:bottom w:val="single" w:sz="4" w:space="0" w:color="auto"/>
              <w:right w:val="single" w:sz="4" w:space="0" w:color="auto"/>
            </w:tcBorders>
          </w:tcPr>
          <w:p w14:paraId="12990B1B" w14:textId="77777777" w:rsidR="00E5749A" w:rsidRPr="004D0CC2" w:rsidRDefault="00E5749A" w:rsidP="00D3621B">
            <w:pPr>
              <w:pStyle w:val="footer"/>
              <w:spacing w:line="360" w:lineRule="auto"/>
              <w:rPr>
                <w:rFonts w:ascii="Times New Roman" w:hAnsi="Times New Roman"/>
                <w:b/>
                <w:bCs/>
                <w:color w:val="000000" w:themeColor="text1"/>
              </w:rPr>
            </w:pPr>
            <w:r w:rsidRPr="004D0CC2">
              <w:rPr>
                <w:rFonts w:ascii="Times New Roman" w:hAnsi="Times New Roman"/>
                <w:b/>
                <w:bCs/>
                <w:color w:val="000000" w:themeColor="text1"/>
              </w:rPr>
              <w:t>pH</w:t>
            </w:r>
          </w:p>
        </w:tc>
      </w:tr>
      <w:tr w:rsidR="00195919" w:rsidRPr="004D0CC2" w14:paraId="4AABAC7B" w14:textId="77777777" w:rsidTr="0055424F">
        <w:tc>
          <w:tcPr>
            <w:tcW w:w="6487" w:type="dxa"/>
            <w:tcBorders>
              <w:top w:val="single" w:sz="4" w:space="0" w:color="auto"/>
              <w:left w:val="single" w:sz="4" w:space="0" w:color="auto"/>
              <w:bottom w:val="single" w:sz="4" w:space="0" w:color="auto"/>
              <w:right w:val="single" w:sz="4" w:space="0" w:color="auto"/>
            </w:tcBorders>
          </w:tcPr>
          <w:p w14:paraId="3AAA12DA" w14:textId="77AC2385" w:rsidR="0055424F" w:rsidRPr="004D0CC2" w:rsidRDefault="0055424F" w:rsidP="0055424F">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Gen/2018/03/0006</w:t>
            </w:r>
            <w:r w:rsidRPr="004D0CC2">
              <w:rPr>
                <w:rFonts w:ascii="Times New Roman" w:hAnsi="Times New Roman"/>
                <w:color w:val="000000" w:themeColor="text1"/>
              </w:rPr>
              <w:t xml:space="preserve"> (A</w:t>
            </w:r>
            <w:r w:rsidRPr="004D0CC2">
              <w:rPr>
                <w:rFonts w:ascii="Times New Roman" w:hAnsi="Times New Roman"/>
                <w:bCs/>
                <w:color w:val="000000" w:themeColor="text1"/>
              </w:rPr>
              <w:t>gricultural field, Chikkaballapur)</w:t>
            </w:r>
          </w:p>
        </w:tc>
        <w:tc>
          <w:tcPr>
            <w:tcW w:w="2028" w:type="dxa"/>
            <w:tcBorders>
              <w:top w:val="single" w:sz="4" w:space="0" w:color="auto"/>
              <w:left w:val="single" w:sz="4" w:space="0" w:color="auto"/>
              <w:bottom w:val="single" w:sz="4" w:space="0" w:color="auto"/>
              <w:right w:val="single" w:sz="4" w:space="0" w:color="auto"/>
            </w:tcBorders>
          </w:tcPr>
          <w:p w14:paraId="29A21927" w14:textId="77777777" w:rsidR="0055424F" w:rsidRPr="004D0CC2" w:rsidRDefault="0055424F" w:rsidP="0055424F">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7.05</w:t>
            </w:r>
          </w:p>
        </w:tc>
      </w:tr>
      <w:tr w:rsidR="00195919" w:rsidRPr="004D0CC2" w14:paraId="0E20C6DD" w14:textId="77777777" w:rsidTr="0055424F">
        <w:tc>
          <w:tcPr>
            <w:tcW w:w="6487" w:type="dxa"/>
            <w:tcBorders>
              <w:top w:val="single" w:sz="4" w:space="0" w:color="auto"/>
              <w:left w:val="single" w:sz="4" w:space="0" w:color="auto"/>
              <w:bottom w:val="single" w:sz="4" w:space="0" w:color="auto"/>
              <w:right w:val="single" w:sz="4" w:space="0" w:color="auto"/>
            </w:tcBorders>
          </w:tcPr>
          <w:p w14:paraId="3704D72E" w14:textId="02D12C69" w:rsidR="0055424F" w:rsidRPr="004D0CC2" w:rsidRDefault="0055424F" w:rsidP="0055424F">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Gen/2018/03/0025 (Waste dumped area, Hosakote)</w:t>
            </w:r>
          </w:p>
        </w:tc>
        <w:tc>
          <w:tcPr>
            <w:tcW w:w="2028" w:type="dxa"/>
            <w:tcBorders>
              <w:top w:val="single" w:sz="4" w:space="0" w:color="auto"/>
              <w:left w:val="single" w:sz="4" w:space="0" w:color="auto"/>
              <w:bottom w:val="single" w:sz="4" w:space="0" w:color="auto"/>
              <w:right w:val="single" w:sz="4" w:space="0" w:color="auto"/>
            </w:tcBorders>
          </w:tcPr>
          <w:p w14:paraId="4FBFDA26" w14:textId="77777777" w:rsidR="0055424F" w:rsidRPr="004D0CC2" w:rsidRDefault="0055424F" w:rsidP="0055424F">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8.91</w:t>
            </w:r>
          </w:p>
        </w:tc>
      </w:tr>
      <w:tr w:rsidR="00195919" w:rsidRPr="004D0CC2" w14:paraId="51A360C3" w14:textId="77777777" w:rsidTr="0055424F">
        <w:tc>
          <w:tcPr>
            <w:tcW w:w="6487" w:type="dxa"/>
            <w:tcBorders>
              <w:top w:val="single" w:sz="4" w:space="0" w:color="auto"/>
              <w:left w:val="single" w:sz="4" w:space="0" w:color="auto"/>
              <w:bottom w:val="single" w:sz="4" w:space="0" w:color="auto"/>
              <w:right w:val="single" w:sz="4" w:space="0" w:color="auto"/>
            </w:tcBorders>
          </w:tcPr>
          <w:p w14:paraId="1A79C4B5" w14:textId="26681064" w:rsidR="0055424F" w:rsidRPr="004D0CC2" w:rsidRDefault="0055424F" w:rsidP="0055424F">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Gen/2018/03/0026 (Rajajinagar Industrial town)</w:t>
            </w:r>
          </w:p>
        </w:tc>
        <w:tc>
          <w:tcPr>
            <w:tcW w:w="2028" w:type="dxa"/>
            <w:tcBorders>
              <w:top w:val="single" w:sz="4" w:space="0" w:color="auto"/>
              <w:left w:val="single" w:sz="4" w:space="0" w:color="auto"/>
              <w:bottom w:val="single" w:sz="4" w:space="0" w:color="auto"/>
              <w:right w:val="single" w:sz="4" w:space="0" w:color="auto"/>
            </w:tcBorders>
          </w:tcPr>
          <w:p w14:paraId="4C7C24FA" w14:textId="77777777" w:rsidR="0055424F" w:rsidRPr="004D0CC2" w:rsidRDefault="0055424F" w:rsidP="0055424F">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8.23</w:t>
            </w:r>
          </w:p>
        </w:tc>
      </w:tr>
      <w:tr w:rsidR="0055424F" w:rsidRPr="004D0CC2" w14:paraId="4CCCF05B" w14:textId="77777777" w:rsidTr="0055424F">
        <w:tc>
          <w:tcPr>
            <w:tcW w:w="6487" w:type="dxa"/>
            <w:tcBorders>
              <w:top w:val="single" w:sz="4" w:space="0" w:color="auto"/>
              <w:left w:val="single" w:sz="4" w:space="0" w:color="auto"/>
              <w:bottom w:val="single" w:sz="4" w:space="0" w:color="auto"/>
              <w:right w:val="single" w:sz="4" w:space="0" w:color="auto"/>
            </w:tcBorders>
          </w:tcPr>
          <w:p w14:paraId="03C3FFCC" w14:textId="011C956F" w:rsidR="0055424F" w:rsidRPr="004D0CC2" w:rsidRDefault="0055424F" w:rsidP="0055424F">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Gen/2018/03/0027 (Magadi Road Residential area)</w:t>
            </w:r>
          </w:p>
        </w:tc>
        <w:tc>
          <w:tcPr>
            <w:tcW w:w="2028" w:type="dxa"/>
            <w:tcBorders>
              <w:top w:val="single" w:sz="4" w:space="0" w:color="auto"/>
              <w:left w:val="single" w:sz="4" w:space="0" w:color="auto"/>
              <w:bottom w:val="single" w:sz="4" w:space="0" w:color="auto"/>
              <w:right w:val="single" w:sz="4" w:space="0" w:color="auto"/>
            </w:tcBorders>
          </w:tcPr>
          <w:p w14:paraId="1138D841" w14:textId="77777777" w:rsidR="0055424F" w:rsidRPr="004D0CC2" w:rsidRDefault="0055424F" w:rsidP="0055424F">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8.72</w:t>
            </w:r>
          </w:p>
        </w:tc>
      </w:tr>
    </w:tbl>
    <w:p w14:paraId="2DD740AE" w14:textId="77777777" w:rsidR="00DD7429" w:rsidRPr="004D0CC2" w:rsidRDefault="00DD7429" w:rsidP="008A7761">
      <w:pPr>
        <w:rPr>
          <w:rFonts w:ascii="Times New Roman" w:hAnsi="Times New Roman" w:cs="Times New Roman"/>
          <w:b/>
          <w:color w:val="000000" w:themeColor="text1"/>
          <w:sz w:val="24"/>
          <w:szCs w:val="24"/>
        </w:rPr>
      </w:pPr>
    </w:p>
    <w:p w14:paraId="688F3CCF" w14:textId="25C5BC58" w:rsidR="008A7761" w:rsidRPr="004D0CC2" w:rsidRDefault="008A7761" w:rsidP="008A7761">
      <w:pPr>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Table-2. Estimation of Nitrogen in soil samples from different areas of Bangalore</w:t>
      </w:r>
    </w:p>
    <w:tbl>
      <w:tblPr>
        <w:tblpPr w:leftFromText="180" w:rightFromText="180" w:vertAnchor="text" w:horzAnchor="margin" w:tblpY="253"/>
        <w:tblW w:w="9519" w:type="dxa"/>
        <w:tblLook w:val="0000" w:firstRow="0" w:lastRow="0" w:firstColumn="0" w:lastColumn="0" w:noHBand="0" w:noVBand="0"/>
      </w:tblPr>
      <w:tblGrid>
        <w:gridCol w:w="2248"/>
        <w:gridCol w:w="1219"/>
        <w:gridCol w:w="1452"/>
        <w:gridCol w:w="965"/>
        <w:gridCol w:w="1270"/>
        <w:gridCol w:w="1242"/>
        <w:gridCol w:w="1123"/>
      </w:tblGrid>
      <w:tr w:rsidR="00195919" w:rsidRPr="004D0CC2" w14:paraId="4C900E74" w14:textId="77777777" w:rsidTr="008A7761">
        <w:trPr>
          <w:trHeight w:val="790"/>
        </w:trPr>
        <w:tc>
          <w:tcPr>
            <w:tcW w:w="2248" w:type="dxa"/>
            <w:tcBorders>
              <w:top w:val="single" w:sz="4" w:space="0" w:color="auto"/>
              <w:left w:val="single" w:sz="4" w:space="0" w:color="auto"/>
              <w:bottom w:val="single" w:sz="4" w:space="0" w:color="auto"/>
              <w:right w:val="single" w:sz="4" w:space="0" w:color="auto"/>
            </w:tcBorders>
          </w:tcPr>
          <w:p w14:paraId="642F5541" w14:textId="77777777" w:rsidR="008A7761" w:rsidRPr="004D0CC2" w:rsidRDefault="008A7761" w:rsidP="008A7761">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Sample ID</w:t>
            </w:r>
          </w:p>
        </w:tc>
        <w:tc>
          <w:tcPr>
            <w:tcW w:w="1219" w:type="dxa"/>
            <w:tcBorders>
              <w:top w:val="single" w:sz="4" w:space="0" w:color="auto"/>
              <w:left w:val="single" w:sz="4" w:space="0" w:color="auto"/>
              <w:bottom w:val="single" w:sz="4" w:space="0" w:color="auto"/>
              <w:right w:val="single" w:sz="4" w:space="0" w:color="auto"/>
            </w:tcBorders>
          </w:tcPr>
          <w:p w14:paraId="06E698E6" w14:textId="77777777" w:rsidR="008A7761" w:rsidRPr="004D0CC2" w:rsidRDefault="008A7761" w:rsidP="008A7761">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Sample weight</w:t>
            </w:r>
          </w:p>
        </w:tc>
        <w:tc>
          <w:tcPr>
            <w:tcW w:w="1452" w:type="dxa"/>
            <w:tcBorders>
              <w:top w:val="single" w:sz="4" w:space="0" w:color="auto"/>
              <w:left w:val="single" w:sz="4" w:space="0" w:color="auto"/>
              <w:bottom w:val="single" w:sz="4" w:space="0" w:color="auto"/>
              <w:right w:val="single" w:sz="4" w:space="0" w:color="auto"/>
            </w:tcBorders>
          </w:tcPr>
          <w:p w14:paraId="578473D0" w14:textId="77777777" w:rsidR="008A7761" w:rsidRPr="004D0CC2" w:rsidRDefault="008A7761" w:rsidP="008A7761">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Titre value</w:t>
            </w:r>
          </w:p>
        </w:tc>
        <w:tc>
          <w:tcPr>
            <w:tcW w:w="965" w:type="dxa"/>
            <w:tcBorders>
              <w:top w:val="single" w:sz="4" w:space="0" w:color="auto"/>
              <w:left w:val="single" w:sz="4" w:space="0" w:color="auto"/>
              <w:bottom w:val="single" w:sz="4" w:space="0" w:color="auto"/>
              <w:right w:val="single" w:sz="4" w:space="0" w:color="auto"/>
            </w:tcBorders>
          </w:tcPr>
          <w:p w14:paraId="0F5BDE9D" w14:textId="77777777" w:rsidR="008A7761" w:rsidRPr="004D0CC2" w:rsidRDefault="008A7761" w:rsidP="008A7761">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Blank</w:t>
            </w:r>
          </w:p>
        </w:tc>
        <w:tc>
          <w:tcPr>
            <w:tcW w:w="1270" w:type="dxa"/>
            <w:tcBorders>
              <w:top w:val="single" w:sz="4" w:space="0" w:color="auto"/>
              <w:left w:val="single" w:sz="4" w:space="0" w:color="auto"/>
              <w:bottom w:val="single" w:sz="4" w:space="0" w:color="auto"/>
              <w:right w:val="single" w:sz="4" w:space="0" w:color="auto"/>
            </w:tcBorders>
          </w:tcPr>
          <w:p w14:paraId="5277DDAA" w14:textId="77777777" w:rsidR="008A7761" w:rsidRPr="004D0CC2" w:rsidRDefault="008A7761" w:rsidP="008A7761">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Normality</w:t>
            </w:r>
          </w:p>
        </w:tc>
        <w:tc>
          <w:tcPr>
            <w:tcW w:w="1242" w:type="dxa"/>
            <w:tcBorders>
              <w:top w:val="single" w:sz="4" w:space="0" w:color="auto"/>
              <w:left w:val="single" w:sz="4" w:space="0" w:color="auto"/>
              <w:bottom w:val="single" w:sz="4" w:space="0" w:color="auto"/>
              <w:right w:val="single" w:sz="4" w:space="0" w:color="auto"/>
            </w:tcBorders>
          </w:tcPr>
          <w:p w14:paraId="5B7F982D" w14:textId="77777777" w:rsidR="008A7761" w:rsidRPr="004D0CC2" w:rsidRDefault="008A7761" w:rsidP="008A7761">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Nitrogen factor</w:t>
            </w:r>
          </w:p>
        </w:tc>
        <w:tc>
          <w:tcPr>
            <w:tcW w:w="1123" w:type="dxa"/>
            <w:tcBorders>
              <w:top w:val="single" w:sz="4" w:space="0" w:color="auto"/>
              <w:left w:val="single" w:sz="4" w:space="0" w:color="auto"/>
              <w:bottom w:val="single" w:sz="4" w:space="0" w:color="auto"/>
              <w:right w:val="single" w:sz="4" w:space="0" w:color="auto"/>
            </w:tcBorders>
          </w:tcPr>
          <w:p w14:paraId="48FDD2E2" w14:textId="77777777" w:rsidR="008A7761" w:rsidRPr="004D0CC2" w:rsidRDefault="008A7761" w:rsidP="008A7761">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Nitrogen</w:t>
            </w:r>
          </w:p>
        </w:tc>
      </w:tr>
      <w:tr w:rsidR="00195919" w:rsidRPr="004D0CC2" w14:paraId="56A23D3A" w14:textId="77777777" w:rsidTr="008A7761">
        <w:trPr>
          <w:trHeight w:val="383"/>
        </w:trPr>
        <w:tc>
          <w:tcPr>
            <w:tcW w:w="2248" w:type="dxa"/>
            <w:tcBorders>
              <w:top w:val="single" w:sz="4" w:space="0" w:color="auto"/>
              <w:left w:val="single" w:sz="4" w:space="0" w:color="auto"/>
              <w:bottom w:val="single" w:sz="4" w:space="0" w:color="auto"/>
              <w:right w:val="single" w:sz="4" w:space="0" w:color="auto"/>
            </w:tcBorders>
          </w:tcPr>
          <w:p w14:paraId="4D8756A0" w14:textId="77777777" w:rsidR="008A7761" w:rsidRPr="004D0CC2" w:rsidRDefault="008A7761" w:rsidP="008A7761">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color w:val="000000" w:themeColor="text1"/>
                <w:sz w:val="24"/>
                <w:szCs w:val="24"/>
              </w:rPr>
              <w:t xml:space="preserve">Gen/2018/03/0006 (Agricultural field, </w:t>
            </w:r>
            <w:r w:rsidRPr="004D0CC2">
              <w:rPr>
                <w:rFonts w:ascii="Times New Roman" w:hAnsi="Times New Roman" w:cs="Times New Roman"/>
                <w:color w:val="000000" w:themeColor="text1"/>
                <w:sz w:val="24"/>
                <w:szCs w:val="24"/>
              </w:rPr>
              <w:lastRenderedPageBreak/>
              <w:t>Chikkaballapur)</w:t>
            </w:r>
          </w:p>
        </w:tc>
        <w:tc>
          <w:tcPr>
            <w:tcW w:w="1219" w:type="dxa"/>
            <w:tcBorders>
              <w:top w:val="single" w:sz="4" w:space="0" w:color="auto"/>
              <w:left w:val="single" w:sz="4" w:space="0" w:color="auto"/>
              <w:bottom w:val="single" w:sz="4" w:space="0" w:color="auto"/>
              <w:right w:val="single" w:sz="4" w:space="0" w:color="auto"/>
            </w:tcBorders>
          </w:tcPr>
          <w:p w14:paraId="5C1313D6" w14:textId="77777777" w:rsidR="008A7761" w:rsidRPr="004D0CC2" w:rsidRDefault="008A7761" w:rsidP="008A7761">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lastRenderedPageBreak/>
              <w:t>0.7010g</w:t>
            </w:r>
          </w:p>
        </w:tc>
        <w:tc>
          <w:tcPr>
            <w:tcW w:w="1452" w:type="dxa"/>
            <w:tcBorders>
              <w:top w:val="single" w:sz="4" w:space="0" w:color="auto"/>
              <w:left w:val="single" w:sz="4" w:space="0" w:color="auto"/>
              <w:bottom w:val="single" w:sz="4" w:space="0" w:color="auto"/>
              <w:right w:val="single" w:sz="4" w:space="0" w:color="auto"/>
            </w:tcBorders>
          </w:tcPr>
          <w:p w14:paraId="62ECDF2B" w14:textId="77777777" w:rsidR="008A7761" w:rsidRPr="004D0CC2" w:rsidRDefault="008A7761" w:rsidP="008A7761">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23.4</w:t>
            </w:r>
          </w:p>
        </w:tc>
        <w:tc>
          <w:tcPr>
            <w:tcW w:w="965" w:type="dxa"/>
            <w:tcBorders>
              <w:top w:val="single" w:sz="4" w:space="0" w:color="auto"/>
              <w:left w:val="single" w:sz="4" w:space="0" w:color="auto"/>
              <w:bottom w:val="single" w:sz="4" w:space="0" w:color="auto"/>
              <w:right w:val="single" w:sz="4" w:space="0" w:color="auto"/>
            </w:tcBorders>
          </w:tcPr>
          <w:p w14:paraId="343A5A13" w14:textId="77777777" w:rsidR="008A7761" w:rsidRPr="004D0CC2" w:rsidRDefault="008A7761" w:rsidP="008A7761">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24</w:t>
            </w:r>
          </w:p>
        </w:tc>
        <w:tc>
          <w:tcPr>
            <w:tcW w:w="1270" w:type="dxa"/>
            <w:tcBorders>
              <w:top w:val="single" w:sz="4" w:space="0" w:color="auto"/>
              <w:left w:val="single" w:sz="4" w:space="0" w:color="auto"/>
              <w:bottom w:val="single" w:sz="4" w:space="0" w:color="auto"/>
              <w:right w:val="single" w:sz="4" w:space="0" w:color="auto"/>
            </w:tcBorders>
          </w:tcPr>
          <w:p w14:paraId="3D9E627E" w14:textId="77777777" w:rsidR="008A7761" w:rsidRPr="004D0CC2" w:rsidRDefault="008A7761" w:rsidP="008A7761">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0.1047</w:t>
            </w:r>
          </w:p>
        </w:tc>
        <w:tc>
          <w:tcPr>
            <w:tcW w:w="1242" w:type="dxa"/>
            <w:tcBorders>
              <w:top w:val="single" w:sz="4" w:space="0" w:color="auto"/>
              <w:left w:val="single" w:sz="4" w:space="0" w:color="auto"/>
              <w:bottom w:val="single" w:sz="4" w:space="0" w:color="auto"/>
              <w:right w:val="single" w:sz="4" w:space="0" w:color="auto"/>
            </w:tcBorders>
          </w:tcPr>
          <w:p w14:paraId="00356294" w14:textId="77777777" w:rsidR="008A7761" w:rsidRPr="004D0CC2" w:rsidRDefault="008A7761" w:rsidP="008A7761">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0.014</w:t>
            </w:r>
          </w:p>
        </w:tc>
        <w:tc>
          <w:tcPr>
            <w:tcW w:w="1123" w:type="dxa"/>
            <w:tcBorders>
              <w:top w:val="single" w:sz="4" w:space="0" w:color="auto"/>
              <w:left w:val="single" w:sz="4" w:space="0" w:color="auto"/>
              <w:bottom w:val="single" w:sz="4" w:space="0" w:color="auto"/>
              <w:right w:val="single" w:sz="4" w:space="0" w:color="auto"/>
            </w:tcBorders>
          </w:tcPr>
          <w:p w14:paraId="1B138356" w14:textId="77777777" w:rsidR="008A7761" w:rsidRPr="004D0CC2" w:rsidRDefault="008A7761" w:rsidP="008A7761">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0.13%</w:t>
            </w:r>
          </w:p>
        </w:tc>
      </w:tr>
      <w:tr w:rsidR="00195919" w:rsidRPr="004D0CC2" w14:paraId="7317FDC4" w14:textId="77777777" w:rsidTr="008A7761">
        <w:trPr>
          <w:trHeight w:val="394"/>
        </w:trPr>
        <w:tc>
          <w:tcPr>
            <w:tcW w:w="2248" w:type="dxa"/>
            <w:tcBorders>
              <w:top w:val="single" w:sz="4" w:space="0" w:color="auto"/>
              <w:left w:val="single" w:sz="4" w:space="0" w:color="auto"/>
              <w:bottom w:val="single" w:sz="4" w:space="0" w:color="auto"/>
              <w:right w:val="single" w:sz="4" w:space="0" w:color="auto"/>
            </w:tcBorders>
          </w:tcPr>
          <w:p w14:paraId="2913D122" w14:textId="77777777" w:rsidR="008A7761" w:rsidRPr="004D0CC2" w:rsidRDefault="008A7761" w:rsidP="008A7761">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color w:val="000000" w:themeColor="text1"/>
                <w:sz w:val="24"/>
                <w:szCs w:val="24"/>
              </w:rPr>
              <w:t>Gen/2018/03/0025 (Waste dumped area, Hosakote)</w:t>
            </w:r>
          </w:p>
        </w:tc>
        <w:tc>
          <w:tcPr>
            <w:tcW w:w="1219" w:type="dxa"/>
            <w:tcBorders>
              <w:top w:val="single" w:sz="4" w:space="0" w:color="auto"/>
              <w:left w:val="single" w:sz="4" w:space="0" w:color="auto"/>
              <w:bottom w:val="single" w:sz="4" w:space="0" w:color="auto"/>
              <w:right w:val="single" w:sz="4" w:space="0" w:color="auto"/>
            </w:tcBorders>
          </w:tcPr>
          <w:p w14:paraId="784AD0E0" w14:textId="77777777" w:rsidR="008A7761" w:rsidRPr="004D0CC2" w:rsidRDefault="008A7761" w:rsidP="008A7761">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0.7053g</w:t>
            </w:r>
          </w:p>
        </w:tc>
        <w:tc>
          <w:tcPr>
            <w:tcW w:w="1452" w:type="dxa"/>
            <w:tcBorders>
              <w:top w:val="single" w:sz="4" w:space="0" w:color="auto"/>
              <w:left w:val="single" w:sz="4" w:space="0" w:color="auto"/>
              <w:bottom w:val="single" w:sz="4" w:space="0" w:color="auto"/>
              <w:right w:val="single" w:sz="4" w:space="0" w:color="auto"/>
            </w:tcBorders>
          </w:tcPr>
          <w:p w14:paraId="693C252C" w14:textId="77777777" w:rsidR="008A7761" w:rsidRPr="004D0CC2" w:rsidRDefault="008A7761" w:rsidP="008A7761">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29</w:t>
            </w:r>
          </w:p>
        </w:tc>
        <w:tc>
          <w:tcPr>
            <w:tcW w:w="965" w:type="dxa"/>
            <w:tcBorders>
              <w:top w:val="single" w:sz="4" w:space="0" w:color="auto"/>
              <w:left w:val="single" w:sz="4" w:space="0" w:color="auto"/>
              <w:bottom w:val="single" w:sz="4" w:space="0" w:color="auto"/>
              <w:right w:val="single" w:sz="4" w:space="0" w:color="auto"/>
            </w:tcBorders>
          </w:tcPr>
          <w:p w14:paraId="436AF64E" w14:textId="77777777" w:rsidR="008A7761" w:rsidRPr="004D0CC2" w:rsidRDefault="008A7761" w:rsidP="008A7761">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28.9</w:t>
            </w:r>
          </w:p>
        </w:tc>
        <w:tc>
          <w:tcPr>
            <w:tcW w:w="1270" w:type="dxa"/>
            <w:tcBorders>
              <w:top w:val="single" w:sz="4" w:space="0" w:color="auto"/>
              <w:left w:val="single" w:sz="4" w:space="0" w:color="auto"/>
              <w:bottom w:val="single" w:sz="4" w:space="0" w:color="auto"/>
              <w:right w:val="single" w:sz="4" w:space="0" w:color="auto"/>
            </w:tcBorders>
          </w:tcPr>
          <w:p w14:paraId="7977E8B2" w14:textId="77777777" w:rsidR="008A7761" w:rsidRPr="004D0CC2" w:rsidRDefault="008A7761" w:rsidP="008A7761">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0.1004N</w:t>
            </w:r>
          </w:p>
        </w:tc>
        <w:tc>
          <w:tcPr>
            <w:tcW w:w="1242" w:type="dxa"/>
            <w:tcBorders>
              <w:top w:val="single" w:sz="4" w:space="0" w:color="auto"/>
              <w:left w:val="single" w:sz="4" w:space="0" w:color="auto"/>
              <w:bottom w:val="single" w:sz="4" w:space="0" w:color="auto"/>
              <w:right w:val="single" w:sz="4" w:space="0" w:color="auto"/>
            </w:tcBorders>
          </w:tcPr>
          <w:p w14:paraId="0826F71E" w14:textId="77777777" w:rsidR="008A7761" w:rsidRPr="004D0CC2" w:rsidRDefault="008A7761" w:rsidP="008A7761">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0.014</w:t>
            </w:r>
          </w:p>
        </w:tc>
        <w:tc>
          <w:tcPr>
            <w:tcW w:w="1123" w:type="dxa"/>
            <w:tcBorders>
              <w:top w:val="single" w:sz="4" w:space="0" w:color="auto"/>
              <w:left w:val="single" w:sz="4" w:space="0" w:color="auto"/>
              <w:bottom w:val="single" w:sz="4" w:space="0" w:color="auto"/>
              <w:right w:val="single" w:sz="4" w:space="0" w:color="auto"/>
            </w:tcBorders>
          </w:tcPr>
          <w:p w14:paraId="59E2F684" w14:textId="77777777" w:rsidR="008A7761" w:rsidRPr="004D0CC2" w:rsidRDefault="008A7761" w:rsidP="008A7761">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0.01%</w:t>
            </w:r>
          </w:p>
        </w:tc>
      </w:tr>
      <w:tr w:rsidR="00195919" w:rsidRPr="004D0CC2" w14:paraId="4437B19D" w14:textId="77777777" w:rsidTr="008A7761">
        <w:trPr>
          <w:trHeight w:val="394"/>
        </w:trPr>
        <w:tc>
          <w:tcPr>
            <w:tcW w:w="2248" w:type="dxa"/>
            <w:tcBorders>
              <w:top w:val="single" w:sz="4" w:space="0" w:color="auto"/>
              <w:left w:val="single" w:sz="4" w:space="0" w:color="auto"/>
              <w:bottom w:val="single" w:sz="4" w:space="0" w:color="auto"/>
              <w:right w:val="single" w:sz="4" w:space="0" w:color="auto"/>
            </w:tcBorders>
          </w:tcPr>
          <w:p w14:paraId="7A6F43E8" w14:textId="77777777" w:rsidR="008A7761" w:rsidRPr="004D0CC2" w:rsidRDefault="008A7761" w:rsidP="008A7761">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color w:val="000000" w:themeColor="text1"/>
                <w:sz w:val="24"/>
                <w:szCs w:val="24"/>
              </w:rPr>
              <w:t>Gen/2018/03/0026 (Rajajinagar Industrial town)</w:t>
            </w:r>
          </w:p>
        </w:tc>
        <w:tc>
          <w:tcPr>
            <w:tcW w:w="1219" w:type="dxa"/>
            <w:tcBorders>
              <w:top w:val="single" w:sz="4" w:space="0" w:color="auto"/>
              <w:left w:val="single" w:sz="4" w:space="0" w:color="auto"/>
              <w:bottom w:val="single" w:sz="4" w:space="0" w:color="auto"/>
              <w:right w:val="single" w:sz="4" w:space="0" w:color="auto"/>
            </w:tcBorders>
          </w:tcPr>
          <w:p w14:paraId="198D174A" w14:textId="77777777" w:rsidR="008A7761" w:rsidRPr="004D0CC2" w:rsidRDefault="008A7761" w:rsidP="008A7761">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0.7040g</w:t>
            </w:r>
          </w:p>
        </w:tc>
        <w:tc>
          <w:tcPr>
            <w:tcW w:w="1452" w:type="dxa"/>
            <w:tcBorders>
              <w:top w:val="single" w:sz="4" w:space="0" w:color="auto"/>
              <w:left w:val="single" w:sz="4" w:space="0" w:color="auto"/>
              <w:bottom w:val="single" w:sz="4" w:space="0" w:color="auto"/>
              <w:right w:val="single" w:sz="4" w:space="0" w:color="auto"/>
            </w:tcBorders>
          </w:tcPr>
          <w:p w14:paraId="54C33D09" w14:textId="77777777" w:rsidR="008A7761" w:rsidRPr="004D0CC2" w:rsidRDefault="008A7761" w:rsidP="008A7761">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29</w:t>
            </w:r>
          </w:p>
        </w:tc>
        <w:tc>
          <w:tcPr>
            <w:tcW w:w="965" w:type="dxa"/>
            <w:tcBorders>
              <w:top w:val="single" w:sz="4" w:space="0" w:color="auto"/>
              <w:left w:val="single" w:sz="4" w:space="0" w:color="auto"/>
              <w:bottom w:val="single" w:sz="4" w:space="0" w:color="auto"/>
              <w:right w:val="single" w:sz="4" w:space="0" w:color="auto"/>
            </w:tcBorders>
          </w:tcPr>
          <w:p w14:paraId="6109633A" w14:textId="77777777" w:rsidR="008A7761" w:rsidRPr="004D0CC2" w:rsidRDefault="008A7761" w:rsidP="008A7761">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28.3</w:t>
            </w:r>
          </w:p>
        </w:tc>
        <w:tc>
          <w:tcPr>
            <w:tcW w:w="1270" w:type="dxa"/>
            <w:tcBorders>
              <w:top w:val="single" w:sz="4" w:space="0" w:color="auto"/>
              <w:left w:val="single" w:sz="4" w:space="0" w:color="auto"/>
              <w:bottom w:val="single" w:sz="4" w:space="0" w:color="auto"/>
              <w:right w:val="single" w:sz="4" w:space="0" w:color="auto"/>
            </w:tcBorders>
          </w:tcPr>
          <w:p w14:paraId="4030838F" w14:textId="77777777" w:rsidR="008A7761" w:rsidRPr="004D0CC2" w:rsidRDefault="008A7761" w:rsidP="008A7761">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0.1004N</w:t>
            </w:r>
          </w:p>
        </w:tc>
        <w:tc>
          <w:tcPr>
            <w:tcW w:w="1242" w:type="dxa"/>
            <w:tcBorders>
              <w:top w:val="single" w:sz="4" w:space="0" w:color="auto"/>
              <w:left w:val="single" w:sz="4" w:space="0" w:color="auto"/>
              <w:bottom w:val="single" w:sz="4" w:space="0" w:color="auto"/>
              <w:right w:val="single" w:sz="4" w:space="0" w:color="auto"/>
            </w:tcBorders>
          </w:tcPr>
          <w:p w14:paraId="2033D679" w14:textId="77777777" w:rsidR="008A7761" w:rsidRPr="004D0CC2" w:rsidRDefault="008A7761" w:rsidP="008A7761">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0.014</w:t>
            </w:r>
          </w:p>
        </w:tc>
        <w:tc>
          <w:tcPr>
            <w:tcW w:w="1123" w:type="dxa"/>
            <w:tcBorders>
              <w:top w:val="single" w:sz="4" w:space="0" w:color="auto"/>
              <w:left w:val="single" w:sz="4" w:space="0" w:color="auto"/>
              <w:bottom w:val="single" w:sz="4" w:space="0" w:color="auto"/>
              <w:right w:val="single" w:sz="4" w:space="0" w:color="auto"/>
            </w:tcBorders>
          </w:tcPr>
          <w:p w14:paraId="7FB7AB68" w14:textId="77777777" w:rsidR="008A7761" w:rsidRPr="004D0CC2" w:rsidRDefault="008A7761" w:rsidP="008A7761">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0.14%</w:t>
            </w:r>
          </w:p>
        </w:tc>
      </w:tr>
      <w:tr w:rsidR="00195919" w:rsidRPr="004D0CC2" w14:paraId="132F2BDB" w14:textId="77777777" w:rsidTr="008A7761">
        <w:trPr>
          <w:trHeight w:val="406"/>
        </w:trPr>
        <w:tc>
          <w:tcPr>
            <w:tcW w:w="2248" w:type="dxa"/>
            <w:tcBorders>
              <w:top w:val="single" w:sz="4" w:space="0" w:color="auto"/>
              <w:left w:val="single" w:sz="4" w:space="0" w:color="auto"/>
              <w:bottom w:val="single" w:sz="4" w:space="0" w:color="auto"/>
              <w:right w:val="single" w:sz="4" w:space="0" w:color="auto"/>
            </w:tcBorders>
          </w:tcPr>
          <w:p w14:paraId="27A59F31" w14:textId="77777777" w:rsidR="008A7761" w:rsidRPr="004D0CC2" w:rsidRDefault="008A7761" w:rsidP="008A7761">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color w:val="000000" w:themeColor="text1"/>
                <w:sz w:val="24"/>
                <w:szCs w:val="24"/>
              </w:rPr>
              <w:t>Gen/2018/03/0027 (Magadi Road Residential area)</w:t>
            </w:r>
          </w:p>
        </w:tc>
        <w:tc>
          <w:tcPr>
            <w:tcW w:w="1219" w:type="dxa"/>
            <w:tcBorders>
              <w:top w:val="single" w:sz="4" w:space="0" w:color="auto"/>
              <w:left w:val="single" w:sz="4" w:space="0" w:color="auto"/>
              <w:bottom w:val="single" w:sz="4" w:space="0" w:color="auto"/>
              <w:right w:val="single" w:sz="4" w:space="0" w:color="auto"/>
            </w:tcBorders>
          </w:tcPr>
          <w:p w14:paraId="17D8D566" w14:textId="77777777" w:rsidR="008A7761" w:rsidRPr="004D0CC2" w:rsidRDefault="008A7761" w:rsidP="008A7761">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0.7059g</w:t>
            </w:r>
          </w:p>
        </w:tc>
        <w:tc>
          <w:tcPr>
            <w:tcW w:w="1452" w:type="dxa"/>
            <w:tcBorders>
              <w:top w:val="single" w:sz="4" w:space="0" w:color="auto"/>
              <w:left w:val="single" w:sz="4" w:space="0" w:color="auto"/>
              <w:bottom w:val="single" w:sz="4" w:space="0" w:color="auto"/>
              <w:right w:val="single" w:sz="4" w:space="0" w:color="auto"/>
            </w:tcBorders>
          </w:tcPr>
          <w:p w14:paraId="747F5F2D" w14:textId="77777777" w:rsidR="008A7761" w:rsidRPr="004D0CC2" w:rsidRDefault="008A7761" w:rsidP="008A7761">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29</w:t>
            </w:r>
          </w:p>
        </w:tc>
        <w:tc>
          <w:tcPr>
            <w:tcW w:w="965" w:type="dxa"/>
            <w:tcBorders>
              <w:top w:val="single" w:sz="4" w:space="0" w:color="auto"/>
              <w:left w:val="single" w:sz="4" w:space="0" w:color="auto"/>
              <w:bottom w:val="single" w:sz="4" w:space="0" w:color="auto"/>
              <w:right w:val="single" w:sz="4" w:space="0" w:color="auto"/>
            </w:tcBorders>
          </w:tcPr>
          <w:p w14:paraId="5573393B" w14:textId="77777777" w:rsidR="008A7761" w:rsidRPr="004D0CC2" w:rsidRDefault="008A7761" w:rsidP="008A7761">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28.0</w:t>
            </w:r>
          </w:p>
        </w:tc>
        <w:tc>
          <w:tcPr>
            <w:tcW w:w="1270" w:type="dxa"/>
            <w:tcBorders>
              <w:top w:val="single" w:sz="4" w:space="0" w:color="auto"/>
              <w:left w:val="single" w:sz="4" w:space="0" w:color="auto"/>
              <w:bottom w:val="single" w:sz="4" w:space="0" w:color="auto"/>
              <w:right w:val="single" w:sz="4" w:space="0" w:color="auto"/>
            </w:tcBorders>
          </w:tcPr>
          <w:p w14:paraId="40677E40" w14:textId="77777777" w:rsidR="008A7761" w:rsidRPr="004D0CC2" w:rsidRDefault="008A7761" w:rsidP="008A7761">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0.1004N</w:t>
            </w:r>
          </w:p>
        </w:tc>
        <w:tc>
          <w:tcPr>
            <w:tcW w:w="1242" w:type="dxa"/>
            <w:tcBorders>
              <w:top w:val="single" w:sz="4" w:space="0" w:color="auto"/>
              <w:left w:val="single" w:sz="4" w:space="0" w:color="auto"/>
              <w:bottom w:val="single" w:sz="4" w:space="0" w:color="auto"/>
              <w:right w:val="single" w:sz="4" w:space="0" w:color="auto"/>
            </w:tcBorders>
          </w:tcPr>
          <w:p w14:paraId="5D6333B7" w14:textId="77777777" w:rsidR="008A7761" w:rsidRPr="004D0CC2" w:rsidRDefault="008A7761" w:rsidP="008A7761">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0.014</w:t>
            </w:r>
          </w:p>
        </w:tc>
        <w:tc>
          <w:tcPr>
            <w:tcW w:w="1123" w:type="dxa"/>
            <w:tcBorders>
              <w:top w:val="single" w:sz="4" w:space="0" w:color="auto"/>
              <w:left w:val="single" w:sz="4" w:space="0" w:color="auto"/>
              <w:bottom w:val="single" w:sz="4" w:space="0" w:color="auto"/>
              <w:right w:val="single" w:sz="4" w:space="0" w:color="auto"/>
            </w:tcBorders>
          </w:tcPr>
          <w:p w14:paraId="41C3E4D9" w14:textId="77777777" w:rsidR="008A7761" w:rsidRPr="004D0CC2" w:rsidRDefault="008A7761" w:rsidP="008A7761">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0.20%</w:t>
            </w:r>
          </w:p>
        </w:tc>
      </w:tr>
    </w:tbl>
    <w:p w14:paraId="3153D7AF" w14:textId="77777777" w:rsidR="00D64967" w:rsidRPr="004D0CC2" w:rsidRDefault="00D64967" w:rsidP="00E5749A">
      <w:pPr>
        <w:jc w:val="center"/>
        <w:rPr>
          <w:rFonts w:ascii="Times New Roman" w:hAnsi="Times New Roman" w:cs="Times New Roman"/>
          <w:b/>
          <w:color w:val="000000" w:themeColor="text1"/>
          <w:sz w:val="24"/>
          <w:szCs w:val="24"/>
        </w:rPr>
      </w:pPr>
    </w:p>
    <w:p w14:paraId="7FD93D7B" w14:textId="77777777" w:rsidR="002F1AA7" w:rsidRPr="004D0CC2" w:rsidRDefault="002F1AA7" w:rsidP="00E5749A">
      <w:pPr>
        <w:rPr>
          <w:rFonts w:ascii="Times New Roman" w:hAnsi="Times New Roman" w:cs="Times New Roman"/>
          <w:b/>
          <w:color w:val="000000" w:themeColor="text1"/>
          <w:sz w:val="24"/>
          <w:szCs w:val="24"/>
        </w:rPr>
      </w:pPr>
    </w:p>
    <w:p w14:paraId="663FD485" w14:textId="77777777" w:rsidR="002F1AA7" w:rsidRPr="004D0CC2" w:rsidRDefault="002F1AA7" w:rsidP="00E5749A">
      <w:pPr>
        <w:rPr>
          <w:rFonts w:ascii="Times New Roman" w:hAnsi="Times New Roman" w:cs="Times New Roman"/>
          <w:b/>
          <w:color w:val="000000" w:themeColor="text1"/>
          <w:sz w:val="24"/>
          <w:szCs w:val="24"/>
        </w:rPr>
      </w:pPr>
    </w:p>
    <w:p w14:paraId="442AE491" w14:textId="77777777" w:rsidR="00E81E1F" w:rsidRPr="004D0CC2" w:rsidRDefault="00E81E1F" w:rsidP="00E5749A">
      <w:pPr>
        <w:rPr>
          <w:rFonts w:ascii="Times New Roman" w:hAnsi="Times New Roman" w:cs="Times New Roman"/>
          <w:b/>
          <w:color w:val="000000" w:themeColor="text1"/>
          <w:sz w:val="24"/>
          <w:szCs w:val="24"/>
        </w:rPr>
      </w:pPr>
    </w:p>
    <w:p w14:paraId="311B1966" w14:textId="35D927D8" w:rsidR="00E5749A" w:rsidRPr="004D0CC2" w:rsidRDefault="00DD7429" w:rsidP="00E5749A">
      <w:pPr>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ab/>
      </w:r>
      <w:r w:rsidR="00E5749A" w:rsidRPr="004D0CC2">
        <w:rPr>
          <w:rFonts w:ascii="Times New Roman" w:hAnsi="Times New Roman" w:cs="Times New Roman"/>
          <w:b/>
          <w:color w:val="000000" w:themeColor="text1"/>
          <w:sz w:val="24"/>
          <w:szCs w:val="24"/>
        </w:rPr>
        <w:t>Table-3</w:t>
      </w:r>
      <w:r w:rsidR="002F1AA7" w:rsidRPr="004D0CC2">
        <w:rPr>
          <w:rFonts w:ascii="Times New Roman" w:hAnsi="Times New Roman" w:cs="Times New Roman"/>
          <w:b/>
          <w:color w:val="000000" w:themeColor="text1"/>
          <w:sz w:val="24"/>
          <w:szCs w:val="24"/>
        </w:rPr>
        <w:t>.</w:t>
      </w:r>
      <w:r w:rsidR="00E5749A" w:rsidRPr="004D0CC2">
        <w:rPr>
          <w:rFonts w:ascii="Times New Roman" w:hAnsi="Times New Roman" w:cs="Times New Roman"/>
          <w:b/>
          <w:color w:val="000000" w:themeColor="text1"/>
          <w:sz w:val="24"/>
          <w:szCs w:val="24"/>
        </w:rPr>
        <w:t xml:space="preserve"> </w:t>
      </w:r>
      <w:r w:rsidR="002F1AA7" w:rsidRPr="004D0CC2">
        <w:rPr>
          <w:rFonts w:ascii="Times New Roman" w:hAnsi="Times New Roman" w:cs="Times New Roman"/>
          <w:b/>
          <w:color w:val="000000" w:themeColor="text1"/>
          <w:sz w:val="24"/>
          <w:szCs w:val="24"/>
        </w:rPr>
        <w:t>E</w:t>
      </w:r>
      <w:r w:rsidR="00E5749A" w:rsidRPr="004D0CC2">
        <w:rPr>
          <w:rFonts w:ascii="Times New Roman" w:hAnsi="Times New Roman" w:cs="Times New Roman"/>
          <w:b/>
          <w:color w:val="000000" w:themeColor="text1"/>
          <w:sz w:val="24"/>
          <w:szCs w:val="24"/>
        </w:rPr>
        <w:t>stimation of Phosphorus</w:t>
      </w:r>
      <w:r w:rsidR="002F1AA7" w:rsidRPr="004D0CC2">
        <w:rPr>
          <w:rFonts w:ascii="Times New Roman" w:hAnsi="Times New Roman" w:cs="Times New Roman"/>
          <w:b/>
          <w:color w:val="000000" w:themeColor="text1"/>
          <w:sz w:val="24"/>
          <w:szCs w:val="24"/>
        </w:rPr>
        <w:t xml:space="preserve"> in soil samples from different areas of Bangalore</w:t>
      </w:r>
    </w:p>
    <w:tbl>
      <w:tblPr>
        <w:tblpPr w:leftFromText="180" w:rightFromText="180" w:vertAnchor="text" w:horzAnchor="margin" w:tblpXSpec="center" w:tblpY="83"/>
        <w:tblW w:w="8989" w:type="dxa"/>
        <w:tblLayout w:type="fixed"/>
        <w:tblLook w:val="0000" w:firstRow="0" w:lastRow="0" w:firstColumn="0" w:lastColumn="0" w:noHBand="0" w:noVBand="0"/>
      </w:tblPr>
      <w:tblGrid>
        <w:gridCol w:w="1315"/>
        <w:gridCol w:w="866"/>
        <w:gridCol w:w="928"/>
        <w:gridCol w:w="928"/>
        <w:gridCol w:w="850"/>
        <w:gridCol w:w="850"/>
        <w:gridCol w:w="928"/>
        <w:gridCol w:w="1162"/>
        <w:gridCol w:w="1162"/>
      </w:tblGrid>
      <w:tr w:rsidR="00195919" w:rsidRPr="004D0CC2" w14:paraId="1A917A6A" w14:textId="77777777" w:rsidTr="00C112F1">
        <w:trPr>
          <w:trHeight w:val="1148"/>
        </w:trPr>
        <w:tc>
          <w:tcPr>
            <w:tcW w:w="1315" w:type="dxa"/>
            <w:tcBorders>
              <w:top w:val="single" w:sz="4" w:space="0" w:color="auto"/>
              <w:left w:val="single" w:sz="4" w:space="0" w:color="auto"/>
              <w:bottom w:val="single" w:sz="4" w:space="0" w:color="auto"/>
              <w:right w:val="single" w:sz="4" w:space="0" w:color="auto"/>
            </w:tcBorders>
          </w:tcPr>
          <w:p w14:paraId="77AA2682" w14:textId="77777777" w:rsidR="00E5749A" w:rsidRPr="004D0CC2" w:rsidRDefault="00E5749A" w:rsidP="00D3621B">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Sample ID</w:t>
            </w:r>
          </w:p>
        </w:tc>
        <w:tc>
          <w:tcPr>
            <w:tcW w:w="866" w:type="dxa"/>
            <w:tcBorders>
              <w:top w:val="single" w:sz="4" w:space="0" w:color="auto"/>
              <w:left w:val="single" w:sz="4" w:space="0" w:color="auto"/>
              <w:bottom w:val="single" w:sz="4" w:space="0" w:color="auto"/>
              <w:right w:val="single" w:sz="4" w:space="0" w:color="auto"/>
            </w:tcBorders>
          </w:tcPr>
          <w:p w14:paraId="55943BDE" w14:textId="77777777" w:rsidR="00E5749A" w:rsidRPr="004D0CC2" w:rsidRDefault="00E5749A" w:rsidP="00D3621B">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Sample weight</w:t>
            </w:r>
          </w:p>
        </w:tc>
        <w:tc>
          <w:tcPr>
            <w:tcW w:w="928" w:type="dxa"/>
            <w:tcBorders>
              <w:top w:val="single" w:sz="4" w:space="0" w:color="auto"/>
              <w:left w:val="single" w:sz="4" w:space="0" w:color="auto"/>
              <w:bottom w:val="single" w:sz="4" w:space="0" w:color="auto"/>
              <w:right w:val="single" w:sz="4" w:space="0" w:color="auto"/>
            </w:tcBorders>
          </w:tcPr>
          <w:p w14:paraId="32C98A31" w14:textId="77777777" w:rsidR="00E5749A" w:rsidRPr="004D0CC2" w:rsidRDefault="00E5749A" w:rsidP="00D3621B">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Dilution (ml)</w:t>
            </w:r>
          </w:p>
        </w:tc>
        <w:tc>
          <w:tcPr>
            <w:tcW w:w="928" w:type="dxa"/>
            <w:tcBorders>
              <w:top w:val="single" w:sz="4" w:space="0" w:color="auto"/>
              <w:left w:val="single" w:sz="4" w:space="0" w:color="auto"/>
              <w:bottom w:val="single" w:sz="4" w:space="0" w:color="auto"/>
              <w:right w:val="single" w:sz="4" w:space="0" w:color="auto"/>
            </w:tcBorders>
          </w:tcPr>
          <w:p w14:paraId="78C74BC5" w14:textId="77777777" w:rsidR="00E5749A" w:rsidRPr="004D0CC2" w:rsidRDefault="00E5749A" w:rsidP="00D3621B">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Aliquot (ml)</w:t>
            </w:r>
          </w:p>
        </w:tc>
        <w:tc>
          <w:tcPr>
            <w:tcW w:w="850" w:type="dxa"/>
            <w:tcBorders>
              <w:top w:val="single" w:sz="4" w:space="0" w:color="auto"/>
              <w:left w:val="single" w:sz="4" w:space="0" w:color="auto"/>
              <w:bottom w:val="single" w:sz="4" w:space="0" w:color="auto"/>
              <w:right w:val="single" w:sz="4" w:space="0" w:color="auto"/>
            </w:tcBorders>
          </w:tcPr>
          <w:p w14:paraId="10B2B9D5" w14:textId="77777777" w:rsidR="00E5749A" w:rsidRPr="004D0CC2" w:rsidRDefault="00E5749A" w:rsidP="00D3621B">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Second dilution (ml)</w:t>
            </w:r>
          </w:p>
        </w:tc>
        <w:tc>
          <w:tcPr>
            <w:tcW w:w="850" w:type="dxa"/>
            <w:tcBorders>
              <w:top w:val="single" w:sz="4" w:space="0" w:color="auto"/>
              <w:left w:val="single" w:sz="4" w:space="0" w:color="auto"/>
              <w:bottom w:val="single" w:sz="4" w:space="0" w:color="auto"/>
              <w:right w:val="single" w:sz="4" w:space="0" w:color="auto"/>
            </w:tcBorders>
          </w:tcPr>
          <w:p w14:paraId="338FDE32" w14:textId="77777777" w:rsidR="00E5749A" w:rsidRPr="004D0CC2" w:rsidRDefault="00E5749A" w:rsidP="00D3621B">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Sample Abs</w:t>
            </w:r>
          </w:p>
        </w:tc>
        <w:tc>
          <w:tcPr>
            <w:tcW w:w="928" w:type="dxa"/>
            <w:tcBorders>
              <w:top w:val="single" w:sz="4" w:space="0" w:color="auto"/>
              <w:left w:val="single" w:sz="4" w:space="0" w:color="auto"/>
              <w:bottom w:val="single" w:sz="4" w:space="0" w:color="auto"/>
              <w:right w:val="single" w:sz="4" w:space="0" w:color="auto"/>
            </w:tcBorders>
          </w:tcPr>
          <w:p w14:paraId="314BF862" w14:textId="77777777" w:rsidR="00E5749A" w:rsidRPr="004D0CC2" w:rsidRDefault="00E5749A" w:rsidP="00D3621B">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Standard Abs</w:t>
            </w:r>
          </w:p>
        </w:tc>
        <w:tc>
          <w:tcPr>
            <w:tcW w:w="1162" w:type="dxa"/>
            <w:tcBorders>
              <w:top w:val="single" w:sz="4" w:space="0" w:color="auto"/>
              <w:left w:val="single" w:sz="4" w:space="0" w:color="auto"/>
              <w:bottom w:val="single" w:sz="4" w:space="0" w:color="auto"/>
              <w:right w:val="single" w:sz="4" w:space="0" w:color="auto"/>
            </w:tcBorders>
          </w:tcPr>
          <w:p w14:paraId="4A84A7BC" w14:textId="77777777" w:rsidR="00E5749A" w:rsidRPr="004D0CC2" w:rsidRDefault="00E5749A" w:rsidP="00D3621B">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Phosphorus factor</w:t>
            </w:r>
          </w:p>
        </w:tc>
        <w:tc>
          <w:tcPr>
            <w:tcW w:w="1162" w:type="dxa"/>
            <w:tcBorders>
              <w:top w:val="single" w:sz="4" w:space="0" w:color="auto"/>
              <w:left w:val="single" w:sz="4" w:space="0" w:color="auto"/>
              <w:bottom w:val="single" w:sz="4" w:space="0" w:color="auto"/>
              <w:right w:val="single" w:sz="4" w:space="0" w:color="auto"/>
            </w:tcBorders>
          </w:tcPr>
          <w:p w14:paraId="5E23B2DC" w14:textId="77777777" w:rsidR="00E5749A" w:rsidRPr="004D0CC2" w:rsidRDefault="00E5749A" w:rsidP="00D3621B">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Phosphorus</w:t>
            </w:r>
          </w:p>
        </w:tc>
      </w:tr>
      <w:tr w:rsidR="001221CC" w:rsidRPr="004D0CC2" w14:paraId="3884A7EC" w14:textId="77777777" w:rsidTr="00C112F1">
        <w:trPr>
          <w:trHeight w:val="764"/>
        </w:trPr>
        <w:tc>
          <w:tcPr>
            <w:tcW w:w="1315" w:type="dxa"/>
            <w:tcBorders>
              <w:top w:val="single" w:sz="4" w:space="0" w:color="auto"/>
              <w:left w:val="single" w:sz="4" w:space="0" w:color="auto"/>
              <w:bottom w:val="single" w:sz="4" w:space="0" w:color="auto"/>
              <w:right w:val="single" w:sz="4" w:space="0" w:color="auto"/>
            </w:tcBorders>
          </w:tcPr>
          <w:p w14:paraId="5A11FBD7" w14:textId="6222D7F3"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color w:val="000000" w:themeColor="text1"/>
                <w:sz w:val="24"/>
                <w:szCs w:val="24"/>
              </w:rPr>
              <w:t>Gen/2018/03/0006 (Agricultural field, Chikkaballapur)</w:t>
            </w:r>
          </w:p>
        </w:tc>
        <w:tc>
          <w:tcPr>
            <w:tcW w:w="866" w:type="dxa"/>
            <w:tcBorders>
              <w:top w:val="single" w:sz="4" w:space="0" w:color="auto"/>
              <w:left w:val="single" w:sz="4" w:space="0" w:color="auto"/>
              <w:bottom w:val="single" w:sz="4" w:space="0" w:color="auto"/>
              <w:right w:val="single" w:sz="4" w:space="0" w:color="auto"/>
            </w:tcBorders>
          </w:tcPr>
          <w:p w14:paraId="7EF73DF2"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2.0097g</w:t>
            </w:r>
          </w:p>
        </w:tc>
        <w:tc>
          <w:tcPr>
            <w:tcW w:w="928" w:type="dxa"/>
            <w:tcBorders>
              <w:top w:val="single" w:sz="4" w:space="0" w:color="auto"/>
              <w:left w:val="single" w:sz="4" w:space="0" w:color="auto"/>
              <w:bottom w:val="single" w:sz="4" w:space="0" w:color="auto"/>
              <w:right w:val="single" w:sz="4" w:space="0" w:color="auto"/>
            </w:tcBorders>
          </w:tcPr>
          <w:p w14:paraId="6E105AC2"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100</w:t>
            </w:r>
          </w:p>
        </w:tc>
        <w:tc>
          <w:tcPr>
            <w:tcW w:w="928" w:type="dxa"/>
            <w:tcBorders>
              <w:top w:val="single" w:sz="4" w:space="0" w:color="auto"/>
              <w:left w:val="single" w:sz="4" w:space="0" w:color="auto"/>
              <w:bottom w:val="single" w:sz="4" w:space="0" w:color="auto"/>
              <w:right w:val="single" w:sz="4" w:space="0" w:color="auto"/>
            </w:tcBorders>
          </w:tcPr>
          <w:p w14:paraId="0476A969"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1</w:t>
            </w:r>
          </w:p>
        </w:tc>
        <w:tc>
          <w:tcPr>
            <w:tcW w:w="850" w:type="dxa"/>
            <w:tcBorders>
              <w:top w:val="single" w:sz="4" w:space="0" w:color="auto"/>
              <w:left w:val="single" w:sz="4" w:space="0" w:color="auto"/>
              <w:bottom w:val="single" w:sz="4" w:space="0" w:color="auto"/>
              <w:right w:val="single" w:sz="4" w:space="0" w:color="auto"/>
            </w:tcBorders>
          </w:tcPr>
          <w:p w14:paraId="574DC808"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50</w:t>
            </w:r>
          </w:p>
        </w:tc>
        <w:tc>
          <w:tcPr>
            <w:tcW w:w="850" w:type="dxa"/>
            <w:tcBorders>
              <w:top w:val="single" w:sz="4" w:space="0" w:color="auto"/>
              <w:left w:val="single" w:sz="4" w:space="0" w:color="auto"/>
              <w:bottom w:val="single" w:sz="4" w:space="0" w:color="auto"/>
              <w:right w:val="single" w:sz="4" w:space="0" w:color="auto"/>
            </w:tcBorders>
          </w:tcPr>
          <w:p w14:paraId="5DFFBF29"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0.071</w:t>
            </w:r>
          </w:p>
        </w:tc>
        <w:tc>
          <w:tcPr>
            <w:tcW w:w="928" w:type="dxa"/>
            <w:tcBorders>
              <w:top w:val="single" w:sz="4" w:space="0" w:color="auto"/>
              <w:left w:val="single" w:sz="4" w:space="0" w:color="auto"/>
              <w:bottom w:val="single" w:sz="4" w:space="0" w:color="auto"/>
              <w:right w:val="single" w:sz="4" w:space="0" w:color="auto"/>
            </w:tcBorders>
          </w:tcPr>
          <w:p w14:paraId="37556315"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0.092</w:t>
            </w:r>
          </w:p>
        </w:tc>
        <w:tc>
          <w:tcPr>
            <w:tcW w:w="1162" w:type="dxa"/>
            <w:tcBorders>
              <w:top w:val="single" w:sz="4" w:space="0" w:color="auto"/>
              <w:left w:val="single" w:sz="4" w:space="0" w:color="auto"/>
              <w:bottom w:val="single" w:sz="4" w:space="0" w:color="auto"/>
              <w:right w:val="single" w:sz="4" w:space="0" w:color="auto"/>
            </w:tcBorders>
          </w:tcPr>
          <w:p w14:paraId="61C6F8A4"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0.33</w:t>
            </w:r>
          </w:p>
        </w:tc>
        <w:tc>
          <w:tcPr>
            <w:tcW w:w="1162" w:type="dxa"/>
            <w:tcBorders>
              <w:top w:val="single" w:sz="4" w:space="0" w:color="auto"/>
              <w:left w:val="single" w:sz="4" w:space="0" w:color="auto"/>
              <w:bottom w:val="single" w:sz="4" w:space="0" w:color="auto"/>
              <w:right w:val="single" w:sz="4" w:space="0" w:color="auto"/>
            </w:tcBorders>
          </w:tcPr>
          <w:p w14:paraId="293D8784"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0.03%</w:t>
            </w:r>
          </w:p>
        </w:tc>
      </w:tr>
      <w:tr w:rsidR="001221CC" w:rsidRPr="004D0CC2" w14:paraId="43321911" w14:textId="77777777" w:rsidTr="00C112F1">
        <w:trPr>
          <w:trHeight w:val="764"/>
        </w:trPr>
        <w:tc>
          <w:tcPr>
            <w:tcW w:w="1315" w:type="dxa"/>
            <w:tcBorders>
              <w:top w:val="single" w:sz="4" w:space="0" w:color="auto"/>
              <w:left w:val="single" w:sz="4" w:space="0" w:color="auto"/>
              <w:bottom w:val="single" w:sz="4" w:space="0" w:color="auto"/>
              <w:right w:val="single" w:sz="4" w:space="0" w:color="auto"/>
            </w:tcBorders>
          </w:tcPr>
          <w:p w14:paraId="542AE1D3" w14:textId="7FFBBBD4"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color w:val="000000" w:themeColor="text1"/>
                <w:sz w:val="24"/>
                <w:szCs w:val="24"/>
              </w:rPr>
              <w:lastRenderedPageBreak/>
              <w:t>Gen/2018/03/0025 (Waste dumped area, Hosakote)</w:t>
            </w:r>
          </w:p>
        </w:tc>
        <w:tc>
          <w:tcPr>
            <w:tcW w:w="866" w:type="dxa"/>
            <w:tcBorders>
              <w:top w:val="single" w:sz="4" w:space="0" w:color="auto"/>
              <w:left w:val="single" w:sz="4" w:space="0" w:color="auto"/>
              <w:bottom w:val="single" w:sz="4" w:space="0" w:color="auto"/>
              <w:right w:val="single" w:sz="4" w:space="0" w:color="auto"/>
            </w:tcBorders>
          </w:tcPr>
          <w:p w14:paraId="0C26345F"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2.0584g</w:t>
            </w:r>
          </w:p>
        </w:tc>
        <w:tc>
          <w:tcPr>
            <w:tcW w:w="928" w:type="dxa"/>
            <w:tcBorders>
              <w:top w:val="single" w:sz="4" w:space="0" w:color="auto"/>
              <w:left w:val="single" w:sz="4" w:space="0" w:color="auto"/>
              <w:bottom w:val="single" w:sz="4" w:space="0" w:color="auto"/>
              <w:right w:val="single" w:sz="4" w:space="0" w:color="auto"/>
            </w:tcBorders>
          </w:tcPr>
          <w:p w14:paraId="30B3D663"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100</w:t>
            </w:r>
          </w:p>
        </w:tc>
        <w:tc>
          <w:tcPr>
            <w:tcW w:w="928" w:type="dxa"/>
            <w:tcBorders>
              <w:top w:val="single" w:sz="4" w:space="0" w:color="auto"/>
              <w:left w:val="single" w:sz="4" w:space="0" w:color="auto"/>
              <w:bottom w:val="single" w:sz="4" w:space="0" w:color="auto"/>
              <w:right w:val="single" w:sz="4" w:space="0" w:color="auto"/>
            </w:tcBorders>
          </w:tcPr>
          <w:p w14:paraId="7E345E71"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1</w:t>
            </w:r>
          </w:p>
        </w:tc>
        <w:tc>
          <w:tcPr>
            <w:tcW w:w="850" w:type="dxa"/>
            <w:tcBorders>
              <w:top w:val="single" w:sz="4" w:space="0" w:color="auto"/>
              <w:left w:val="single" w:sz="4" w:space="0" w:color="auto"/>
              <w:bottom w:val="single" w:sz="4" w:space="0" w:color="auto"/>
              <w:right w:val="single" w:sz="4" w:space="0" w:color="auto"/>
            </w:tcBorders>
          </w:tcPr>
          <w:p w14:paraId="3A180405"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50</w:t>
            </w:r>
          </w:p>
        </w:tc>
        <w:tc>
          <w:tcPr>
            <w:tcW w:w="850" w:type="dxa"/>
            <w:tcBorders>
              <w:top w:val="single" w:sz="4" w:space="0" w:color="auto"/>
              <w:left w:val="single" w:sz="4" w:space="0" w:color="auto"/>
              <w:bottom w:val="single" w:sz="4" w:space="0" w:color="auto"/>
              <w:right w:val="single" w:sz="4" w:space="0" w:color="auto"/>
            </w:tcBorders>
          </w:tcPr>
          <w:p w14:paraId="465F0E1B"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0.213</w:t>
            </w:r>
          </w:p>
        </w:tc>
        <w:tc>
          <w:tcPr>
            <w:tcW w:w="928" w:type="dxa"/>
            <w:tcBorders>
              <w:top w:val="single" w:sz="4" w:space="0" w:color="auto"/>
              <w:left w:val="single" w:sz="4" w:space="0" w:color="auto"/>
              <w:bottom w:val="single" w:sz="4" w:space="0" w:color="auto"/>
              <w:right w:val="single" w:sz="4" w:space="0" w:color="auto"/>
            </w:tcBorders>
          </w:tcPr>
          <w:p w14:paraId="47ACF6ED"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0.221</w:t>
            </w:r>
          </w:p>
        </w:tc>
        <w:tc>
          <w:tcPr>
            <w:tcW w:w="1162" w:type="dxa"/>
            <w:tcBorders>
              <w:top w:val="single" w:sz="4" w:space="0" w:color="auto"/>
              <w:left w:val="single" w:sz="4" w:space="0" w:color="auto"/>
              <w:bottom w:val="single" w:sz="4" w:space="0" w:color="auto"/>
              <w:right w:val="single" w:sz="4" w:space="0" w:color="auto"/>
            </w:tcBorders>
          </w:tcPr>
          <w:p w14:paraId="5189C920"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0.33</w:t>
            </w:r>
          </w:p>
        </w:tc>
        <w:tc>
          <w:tcPr>
            <w:tcW w:w="1162" w:type="dxa"/>
            <w:tcBorders>
              <w:top w:val="single" w:sz="4" w:space="0" w:color="auto"/>
              <w:left w:val="single" w:sz="4" w:space="0" w:color="auto"/>
              <w:bottom w:val="single" w:sz="4" w:space="0" w:color="auto"/>
              <w:right w:val="single" w:sz="4" w:space="0" w:color="auto"/>
            </w:tcBorders>
          </w:tcPr>
          <w:p w14:paraId="2DF5A119"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0.06%</w:t>
            </w:r>
          </w:p>
        </w:tc>
      </w:tr>
      <w:tr w:rsidR="001221CC" w:rsidRPr="004D0CC2" w14:paraId="4A08857A" w14:textId="77777777" w:rsidTr="00C112F1">
        <w:trPr>
          <w:trHeight w:val="1148"/>
        </w:trPr>
        <w:tc>
          <w:tcPr>
            <w:tcW w:w="1315" w:type="dxa"/>
            <w:tcBorders>
              <w:top w:val="single" w:sz="4" w:space="0" w:color="auto"/>
              <w:left w:val="single" w:sz="4" w:space="0" w:color="auto"/>
              <w:bottom w:val="single" w:sz="4" w:space="0" w:color="auto"/>
              <w:right w:val="single" w:sz="4" w:space="0" w:color="auto"/>
            </w:tcBorders>
          </w:tcPr>
          <w:p w14:paraId="73F88AF9" w14:textId="78856E85"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color w:val="000000" w:themeColor="text1"/>
                <w:sz w:val="24"/>
                <w:szCs w:val="24"/>
              </w:rPr>
              <w:t>Gen/2018/03/0026 (Rajajinagar Industrial town)</w:t>
            </w:r>
          </w:p>
        </w:tc>
        <w:tc>
          <w:tcPr>
            <w:tcW w:w="866" w:type="dxa"/>
            <w:tcBorders>
              <w:top w:val="single" w:sz="4" w:space="0" w:color="auto"/>
              <w:left w:val="single" w:sz="4" w:space="0" w:color="auto"/>
              <w:bottom w:val="single" w:sz="4" w:space="0" w:color="auto"/>
              <w:right w:val="single" w:sz="4" w:space="0" w:color="auto"/>
            </w:tcBorders>
          </w:tcPr>
          <w:p w14:paraId="20F85E95" w14:textId="77777777" w:rsidR="001221CC" w:rsidRPr="004D0CC2" w:rsidRDefault="001221CC" w:rsidP="001221CC">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2.0553g</w:t>
            </w:r>
          </w:p>
        </w:tc>
        <w:tc>
          <w:tcPr>
            <w:tcW w:w="928" w:type="dxa"/>
            <w:tcBorders>
              <w:top w:val="single" w:sz="4" w:space="0" w:color="auto"/>
              <w:left w:val="single" w:sz="4" w:space="0" w:color="auto"/>
              <w:bottom w:val="single" w:sz="4" w:space="0" w:color="auto"/>
              <w:right w:val="single" w:sz="4" w:space="0" w:color="auto"/>
            </w:tcBorders>
          </w:tcPr>
          <w:p w14:paraId="735131CC" w14:textId="77777777" w:rsidR="001221CC" w:rsidRPr="004D0CC2" w:rsidRDefault="001221CC" w:rsidP="001221CC">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100</w:t>
            </w:r>
          </w:p>
        </w:tc>
        <w:tc>
          <w:tcPr>
            <w:tcW w:w="928" w:type="dxa"/>
            <w:tcBorders>
              <w:top w:val="single" w:sz="4" w:space="0" w:color="auto"/>
              <w:left w:val="single" w:sz="4" w:space="0" w:color="auto"/>
              <w:bottom w:val="single" w:sz="4" w:space="0" w:color="auto"/>
              <w:right w:val="single" w:sz="4" w:space="0" w:color="auto"/>
            </w:tcBorders>
          </w:tcPr>
          <w:p w14:paraId="0CF05DBE" w14:textId="77777777" w:rsidR="001221CC" w:rsidRPr="004D0CC2" w:rsidRDefault="001221CC" w:rsidP="001221CC">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1</w:t>
            </w:r>
          </w:p>
        </w:tc>
        <w:tc>
          <w:tcPr>
            <w:tcW w:w="850" w:type="dxa"/>
            <w:tcBorders>
              <w:top w:val="single" w:sz="4" w:space="0" w:color="auto"/>
              <w:left w:val="single" w:sz="4" w:space="0" w:color="auto"/>
              <w:bottom w:val="single" w:sz="4" w:space="0" w:color="auto"/>
              <w:right w:val="single" w:sz="4" w:space="0" w:color="auto"/>
            </w:tcBorders>
          </w:tcPr>
          <w:p w14:paraId="7C48F499" w14:textId="77777777" w:rsidR="001221CC" w:rsidRPr="004D0CC2" w:rsidRDefault="001221CC" w:rsidP="001221CC">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50</w:t>
            </w:r>
          </w:p>
        </w:tc>
        <w:tc>
          <w:tcPr>
            <w:tcW w:w="850" w:type="dxa"/>
            <w:tcBorders>
              <w:top w:val="single" w:sz="4" w:space="0" w:color="auto"/>
              <w:left w:val="single" w:sz="4" w:space="0" w:color="auto"/>
              <w:bottom w:val="single" w:sz="4" w:space="0" w:color="auto"/>
              <w:right w:val="single" w:sz="4" w:space="0" w:color="auto"/>
            </w:tcBorders>
          </w:tcPr>
          <w:p w14:paraId="15DC82BA" w14:textId="77777777" w:rsidR="001221CC" w:rsidRPr="004D0CC2" w:rsidRDefault="001221CC" w:rsidP="001221CC">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0.020</w:t>
            </w:r>
          </w:p>
        </w:tc>
        <w:tc>
          <w:tcPr>
            <w:tcW w:w="928" w:type="dxa"/>
            <w:tcBorders>
              <w:top w:val="single" w:sz="4" w:space="0" w:color="auto"/>
              <w:left w:val="single" w:sz="4" w:space="0" w:color="auto"/>
              <w:bottom w:val="single" w:sz="4" w:space="0" w:color="auto"/>
              <w:right w:val="single" w:sz="4" w:space="0" w:color="auto"/>
            </w:tcBorders>
          </w:tcPr>
          <w:p w14:paraId="478FD7D6" w14:textId="77777777" w:rsidR="001221CC" w:rsidRPr="004D0CC2" w:rsidRDefault="001221CC" w:rsidP="001221CC">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0.036</w:t>
            </w:r>
          </w:p>
        </w:tc>
        <w:tc>
          <w:tcPr>
            <w:tcW w:w="1162" w:type="dxa"/>
            <w:tcBorders>
              <w:top w:val="single" w:sz="4" w:space="0" w:color="auto"/>
              <w:left w:val="single" w:sz="4" w:space="0" w:color="auto"/>
              <w:bottom w:val="single" w:sz="4" w:space="0" w:color="auto"/>
              <w:right w:val="single" w:sz="4" w:space="0" w:color="auto"/>
            </w:tcBorders>
          </w:tcPr>
          <w:p w14:paraId="74580468" w14:textId="77777777" w:rsidR="001221CC" w:rsidRPr="004D0CC2" w:rsidRDefault="001221CC" w:rsidP="001221CC">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0.33</w:t>
            </w:r>
          </w:p>
        </w:tc>
        <w:tc>
          <w:tcPr>
            <w:tcW w:w="1162" w:type="dxa"/>
            <w:tcBorders>
              <w:top w:val="single" w:sz="4" w:space="0" w:color="auto"/>
              <w:left w:val="single" w:sz="4" w:space="0" w:color="auto"/>
              <w:bottom w:val="single" w:sz="4" w:space="0" w:color="auto"/>
              <w:right w:val="single" w:sz="4" w:space="0" w:color="auto"/>
            </w:tcBorders>
          </w:tcPr>
          <w:p w14:paraId="6FADF78C" w14:textId="77777777" w:rsidR="001221CC" w:rsidRPr="004D0CC2" w:rsidRDefault="001221CC" w:rsidP="001221CC">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0.004%</w:t>
            </w:r>
          </w:p>
          <w:p w14:paraId="7FFEBA1B" w14:textId="77777777" w:rsidR="001221CC" w:rsidRPr="004D0CC2" w:rsidRDefault="001221CC" w:rsidP="001221CC">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 xml:space="preserve">(or) </w:t>
            </w:r>
          </w:p>
          <w:p w14:paraId="6A368E93" w14:textId="77777777" w:rsidR="001221CC" w:rsidRPr="004D0CC2" w:rsidRDefault="001221CC" w:rsidP="001221CC">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44.59 ppm</w:t>
            </w:r>
          </w:p>
        </w:tc>
      </w:tr>
      <w:tr w:rsidR="001221CC" w:rsidRPr="004D0CC2" w14:paraId="56C4F037" w14:textId="77777777" w:rsidTr="00C112F1">
        <w:trPr>
          <w:trHeight w:val="776"/>
        </w:trPr>
        <w:tc>
          <w:tcPr>
            <w:tcW w:w="1315" w:type="dxa"/>
            <w:tcBorders>
              <w:top w:val="single" w:sz="4" w:space="0" w:color="auto"/>
              <w:left w:val="single" w:sz="4" w:space="0" w:color="auto"/>
              <w:bottom w:val="single" w:sz="4" w:space="0" w:color="auto"/>
              <w:right w:val="single" w:sz="4" w:space="0" w:color="auto"/>
            </w:tcBorders>
          </w:tcPr>
          <w:p w14:paraId="43F57EA0" w14:textId="0F394A7F"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color w:val="000000" w:themeColor="text1"/>
                <w:sz w:val="24"/>
                <w:szCs w:val="24"/>
              </w:rPr>
              <w:t>Gen/2018/03/0027 (Magadi Road Residential area)</w:t>
            </w:r>
          </w:p>
        </w:tc>
        <w:tc>
          <w:tcPr>
            <w:tcW w:w="866" w:type="dxa"/>
            <w:tcBorders>
              <w:top w:val="single" w:sz="4" w:space="0" w:color="auto"/>
              <w:left w:val="single" w:sz="4" w:space="0" w:color="auto"/>
              <w:bottom w:val="single" w:sz="4" w:space="0" w:color="auto"/>
              <w:right w:val="single" w:sz="4" w:space="0" w:color="auto"/>
            </w:tcBorders>
          </w:tcPr>
          <w:p w14:paraId="3C0789C8"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2.0258g</w:t>
            </w:r>
          </w:p>
        </w:tc>
        <w:tc>
          <w:tcPr>
            <w:tcW w:w="928" w:type="dxa"/>
            <w:tcBorders>
              <w:top w:val="single" w:sz="4" w:space="0" w:color="auto"/>
              <w:left w:val="single" w:sz="4" w:space="0" w:color="auto"/>
              <w:bottom w:val="single" w:sz="4" w:space="0" w:color="auto"/>
              <w:right w:val="single" w:sz="4" w:space="0" w:color="auto"/>
            </w:tcBorders>
          </w:tcPr>
          <w:p w14:paraId="083D8657"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100</w:t>
            </w:r>
          </w:p>
        </w:tc>
        <w:tc>
          <w:tcPr>
            <w:tcW w:w="928" w:type="dxa"/>
            <w:tcBorders>
              <w:top w:val="single" w:sz="4" w:space="0" w:color="auto"/>
              <w:left w:val="single" w:sz="4" w:space="0" w:color="auto"/>
              <w:bottom w:val="single" w:sz="4" w:space="0" w:color="auto"/>
              <w:right w:val="single" w:sz="4" w:space="0" w:color="auto"/>
            </w:tcBorders>
          </w:tcPr>
          <w:p w14:paraId="3B57726D"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2</w:t>
            </w:r>
          </w:p>
        </w:tc>
        <w:tc>
          <w:tcPr>
            <w:tcW w:w="850" w:type="dxa"/>
            <w:tcBorders>
              <w:top w:val="single" w:sz="4" w:space="0" w:color="auto"/>
              <w:left w:val="single" w:sz="4" w:space="0" w:color="auto"/>
              <w:bottom w:val="single" w:sz="4" w:space="0" w:color="auto"/>
              <w:right w:val="single" w:sz="4" w:space="0" w:color="auto"/>
            </w:tcBorders>
          </w:tcPr>
          <w:p w14:paraId="24CD89A1"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50</w:t>
            </w:r>
          </w:p>
        </w:tc>
        <w:tc>
          <w:tcPr>
            <w:tcW w:w="850" w:type="dxa"/>
            <w:tcBorders>
              <w:top w:val="single" w:sz="4" w:space="0" w:color="auto"/>
              <w:left w:val="single" w:sz="4" w:space="0" w:color="auto"/>
              <w:bottom w:val="single" w:sz="4" w:space="0" w:color="auto"/>
              <w:right w:val="single" w:sz="4" w:space="0" w:color="auto"/>
            </w:tcBorders>
          </w:tcPr>
          <w:p w14:paraId="7C25AAA5"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0.145</w:t>
            </w:r>
          </w:p>
        </w:tc>
        <w:tc>
          <w:tcPr>
            <w:tcW w:w="928" w:type="dxa"/>
            <w:tcBorders>
              <w:top w:val="single" w:sz="4" w:space="0" w:color="auto"/>
              <w:left w:val="single" w:sz="4" w:space="0" w:color="auto"/>
              <w:bottom w:val="single" w:sz="4" w:space="0" w:color="auto"/>
              <w:right w:val="single" w:sz="4" w:space="0" w:color="auto"/>
            </w:tcBorders>
          </w:tcPr>
          <w:p w14:paraId="4C106EE2"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0.124</w:t>
            </w:r>
          </w:p>
        </w:tc>
        <w:tc>
          <w:tcPr>
            <w:tcW w:w="1162" w:type="dxa"/>
            <w:tcBorders>
              <w:top w:val="single" w:sz="4" w:space="0" w:color="auto"/>
              <w:left w:val="single" w:sz="4" w:space="0" w:color="auto"/>
              <w:bottom w:val="single" w:sz="4" w:space="0" w:color="auto"/>
              <w:right w:val="single" w:sz="4" w:space="0" w:color="auto"/>
            </w:tcBorders>
          </w:tcPr>
          <w:p w14:paraId="2D7AA028"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0.33</w:t>
            </w:r>
          </w:p>
        </w:tc>
        <w:tc>
          <w:tcPr>
            <w:tcW w:w="1162" w:type="dxa"/>
            <w:tcBorders>
              <w:top w:val="single" w:sz="4" w:space="0" w:color="auto"/>
              <w:left w:val="single" w:sz="4" w:space="0" w:color="auto"/>
              <w:bottom w:val="single" w:sz="4" w:space="0" w:color="auto"/>
              <w:right w:val="single" w:sz="4" w:space="0" w:color="auto"/>
            </w:tcBorders>
          </w:tcPr>
          <w:p w14:paraId="545EE005"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0.04%</w:t>
            </w:r>
          </w:p>
        </w:tc>
      </w:tr>
    </w:tbl>
    <w:p w14:paraId="302DEFC3" w14:textId="77777777" w:rsidR="00C303EF" w:rsidRPr="004D0CC2" w:rsidRDefault="00C303EF" w:rsidP="00E5749A">
      <w:pPr>
        <w:rPr>
          <w:rFonts w:ascii="Times New Roman" w:hAnsi="Times New Roman" w:cs="Times New Roman"/>
          <w:b/>
          <w:color w:val="000000" w:themeColor="text1"/>
          <w:sz w:val="24"/>
          <w:szCs w:val="24"/>
        </w:rPr>
      </w:pPr>
    </w:p>
    <w:p w14:paraId="5C4043FF" w14:textId="6D53C921" w:rsidR="00E5749A" w:rsidRPr="004D0CC2" w:rsidRDefault="00C303EF" w:rsidP="00E5749A">
      <w:pPr>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ab/>
      </w:r>
      <w:r w:rsidR="00E5749A" w:rsidRPr="004D0CC2">
        <w:rPr>
          <w:rFonts w:ascii="Times New Roman" w:hAnsi="Times New Roman" w:cs="Times New Roman"/>
          <w:b/>
          <w:color w:val="000000" w:themeColor="text1"/>
          <w:sz w:val="24"/>
          <w:szCs w:val="24"/>
        </w:rPr>
        <w:t>Table-4</w:t>
      </w:r>
      <w:r w:rsidR="002F1AA7" w:rsidRPr="004D0CC2">
        <w:rPr>
          <w:rFonts w:ascii="Times New Roman" w:hAnsi="Times New Roman" w:cs="Times New Roman"/>
          <w:b/>
          <w:color w:val="000000" w:themeColor="text1"/>
          <w:sz w:val="24"/>
          <w:szCs w:val="24"/>
        </w:rPr>
        <w:t>.</w:t>
      </w:r>
      <w:r w:rsidR="00E5749A" w:rsidRPr="004D0CC2">
        <w:rPr>
          <w:rFonts w:ascii="Times New Roman" w:hAnsi="Times New Roman" w:cs="Times New Roman"/>
          <w:b/>
          <w:color w:val="000000" w:themeColor="text1"/>
          <w:sz w:val="24"/>
          <w:szCs w:val="24"/>
        </w:rPr>
        <w:t xml:space="preserve"> </w:t>
      </w:r>
      <w:r w:rsidR="002F1AA7" w:rsidRPr="004D0CC2">
        <w:rPr>
          <w:rFonts w:ascii="Times New Roman" w:hAnsi="Times New Roman" w:cs="Times New Roman"/>
          <w:b/>
          <w:color w:val="000000" w:themeColor="text1"/>
          <w:sz w:val="24"/>
          <w:szCs w:val="24"/>
        </w:rPr>
        <w:t>E</w:t>
      </w:r>
      <w:r w:rsidR="00E5749A" w:rsidRPr="004D0CC2">
        <w:rPr>
          <w:rFonts w:ascii="Times New Roman" w:hAnsi="Times New Roman" w:cs="Times New Roman"/>
          <w:b/>
          <w:color w:val="000000" w:themeColor="text1"/>
          <w:sz w:val="24"/>
          <w:szCs w:val="24"/>
        </w:rPr>
        <w:t xml:space="preserve">stimation of </w:t>
      </w:r>
      <w:r w:rsidR="00B83A40" w:rsidRPr="004D0CC2">
        <w:rPr>
          <w:rFonts w:ascii="Times New Roman" w:hAnsi="Times New Roman" w:cs="Times New Roman"/>
          <w:b/>
          <w:color w:val="000000" w:themeColor="text1"/>
          <w:sz w:val="24"/>
          <w:szCs w:val="24"/>
        </w:rPr>
        <w:t>Potassium</w:t>
      </w:r>
      <w:r w:rsidR="002F1AA7" w:rsidRPr="004D0CC2">
        <w:rPr>
          <w:rFonts w:ascii="Times New Roman" w:hAnsi="Times New Roman" w:cs="Times New Roman"/>
          <w:b/>
          <w:color w:val="000000" w:themeColor="text1"/>
          <w:sz w:val="24"/>
          <w:szCs w:val="24"/>
        </w:rPr>
        <w:t xml:space="preserve"> in soil samples from different areas of Bangalore</w:t>
      </w:r>
    </w:p>
    <w:tbl>
      <w:tblPr>
        <w:tblpPr w:leftFromText="180" w:rightFromText="180" w:vertAnchor="text" w:horzAnchor="margin" w:tblpXSpec="center" w:tblpY="150"/>
        <w:tblW w:w="8857" w:type="dxa"/>
        <w:tblLook w:val="0000" w:firstRow="0" w:lastRow="0" w:firstColumn="0" w:lastColumn="0" w:noHBand="0" w:noVBand="0"/>
      </w:tblPr>
      <w:tblGrid>
        <w:gridCol w:w="2358"/>
        <w:gridCol w:w="1495"/>
        <w:gridCol w:w="1509"/>
        <w:gridCol w:w="1868"/>
        <w:gridCol w:w="1627"/>
      </w:tblGrid>
      <w:tr w:rsidR="00195919" w:rsidRPr="004D0CC2" w14:paraId="5B8CBCC1" w14:textId="77777777" w:rsidTr="00D3621B">
        <w:tc>
          <w:tcPr>
            <w:tcW w:w="2358" w:type="dxa"/>
            <w:tcBorders>
              <w:top w:val="single" w:sz="4" w:space="0" w:color="auto"/>
              <w:left w:val="single" w:sz="4" w:space="0" w:color="auto"/>
              <w:bottom w:val="single" w:sz="4" w:space="0" w:color="auto"/>
              <w:right w:val="single" w:sz="4" w:space="0" w:color="auto"/>
            </w:tcBorders>
          </w:tcPr>
          <w:p w14:paraId="287D7B8F" w14:textId="77777777" w:rsidR="00E5749A" w:rsidRPr="004D0CC2" w:rsidRDefault="00E5749A" w:rsidP="00D3621B">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Sample ID</w:t>
            </w:r>
          </w:p>
          <w:p w14:paraId="70F9E255" w14:textId="77777777" w:rsidR="00E5749A" w:rsidRPr="004D0CC2" w:rsidRDefault="00E5749A" w:rsidP="00D3621B">
            <w:pPr>
              <w:spacing w:line="360" w:lineRule="auto"/>
              <w:jc w:val="center"/>
              <w:rPr>
                <w:rFonts w:ascii="Times New Roman" w:hAnsi="Times New Roman" w:cs="Times New Roman"/>
                <w:b/>
                <w:color w:val="000000" w:themeColor="text1"/>
                <w:sz w:val="24"/>
                <w:szCs w:val="24"/>
              </w:rPr>
            </w:pPr>
          </w:p>
        </w:tc>
        <w:tc>
          <w:tcPr>
            <w:tcW w:w="1495" w:type="dxa"/>
            <w:tcBorders>
              <w:top w:val="single" w:sz="4" w:space="0" w:color="auto"/>
              <w:left w:val="single" w:sz="4" w:space="0" w:color="auto"/>
              <w:bottom w:val="single" w:sz="4" w:space="0" w:color="auto"/>
              <w:right w:val="single" w:sz="4" w:space="0" w:color="auto"/>
            </w:tcBorders>
          </w:tcPr>
          <w:p w14:paraId="3D6CB85C" w14:textId="77777777" w:rsidR="00E5749A" w:rsidRPr="004D0CC2" w:rsidRDefault="00E5749A" w:rsidP="00D3621B">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Sample weight</w:t>
            </w:r>
          </w:p>
        </w:tc>
        <w:tc>
          <w:tcPr>
            <w:tcW w:w="1509" w:type="dxa"/>
            <w:tcBorders>
              <w:top w:val="single" w:sz="4" w:space="0" w:color="auto"/>
              <w:left w:val="single" w:sz="4" w:space="0" w:color="auto"/>
              <w:bottom w:val="single" w:sz="4" w:space="0" w:color="auto"/>
              <w:right w:val="single" w:sz="4" w:space="0" w:color="auto"/>
            </w:tcBorders>
          </w:tcPr>
          <w:p w14:paraId="0EE98767" w14:textId="77777777" w:rsidR="00E5749A" w:rsidRPr="004D0CC2" w:rsidRDefault="00E5749A" w:rsidP="00D3621B">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Dilution (ml)</w:t>
            </w:r>
          </w:p>
        </w:tc>
        <w:tc>
          <w:tcPr>
            <w:tcW w:w="1868" w:type="dxa"/>
            <w:tcBorders>
              <w:top w:val="single" w:sz="4" w:space="0" w:color="auto"/>
              <w:left w:val="single" w:sz="4" w:space="0" w:color="auto"/>
              <w:bottom w:val="single" w:sz="4" w:space="0" w:color="auto"/>
              <w:right w:val="single" w:sz="4" w:space="0" w:color="auto"/>
            </w:tcBorders>
          </w:tcPr>
          <w:p w14:paraId="2FFC3610" w14:textId="77777777" w:rsidR="00E5749A" w:rsidRPr="004D0CC2" w:rsidRDefault="00E5749A" w:rsidP="00D3621B">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Concentration</w:t>
            </w:r>
          </w:p>
        </w:tc>
        <w:tc>
          <w:tcPr>
            <w:tcW w:w="1627" w:type="dxa"/>
            <w:tcBorders>
              <w:top w:val="single" w:sz="4" w:space="0" w:color="auto"/>
              <w:left w:val="single" w:sz="4" w:space="0" w:color="auto"/>
              <w:bottom w:val="single" w:sz="4" w:space="0" w:color="auto"/>
              <w:right w:val="single" w:sz="4" w:space="0" w:color="auto"/>
            </w:tcBorders>
          </w:tcPr>
          <w:p w14:paraId="79B2CDC3" w14:textId="77777777" w:rsidR="00E5749A" w:rsidRPr="004D0CC2" w:rsidRDefault="00E5749A" w:rsidP="00D3621B">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Potassium</w:t>
            </w:r>
          </w:p>
        </w:tc>
      </w:tr>
      <w:tr w:rsidR="001221CC" w:rsidRPr="004D0CC2" w14:paraId="02544E39" w14:textId="77777777" w:rsidTr="00D3621B">
        <w:tc>
          <w:tcPr>
            <w:tcW w:w="2358" w:type="dxa"/>
            <w:tcBorders>
              <w:top w:val="single" w:sz="4" w:space="0" w:color="auto"/>
              <w:left w:val="single" w:sz="4" w:space="0" w:color="auto"/>
              <w:bottom w:val="single" w:sz="4" w:space="0" w:color="auto"/>
              <w:right w:val="single" w:sz="4" w:space="0" w:color="auto"/>
            </w:tcBorders>
          </w:tcPr>
          <w:p w14:paraId="41322F53" w14:textId="01739B70"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color w:val="000000" w:themeColor="text1"/>
                <w:sz w:val="24"/>
                <w:szCs w:val="24"/>
              </w:rPr>
              <w:t>Gen/2018/03/0006 (Agricultural field, Chikkaballapur)</w:t>
            </w:r>
          </w:p>
        </w:tc>
        <w:tc>
          <w:tcPr>
            <w:tcW w:w="1495" w:type="dxa"/>
            <w:tcBorders>
              <w:top w:val="single" w:sz="4" w:space="0" w:color="auto"/>
              <w:left w:val="single" w:sz="4" w:space="0" w:color="auto"/>
              <w:bottom w:val="single" w:sz="4" w:space="0" w:color="auto"/>
              <w:right w:val="single" w:sz="4" w:space="0" w:color="auto"/>
            </w:tcBorders>
          </w:tcPr>
          <w:p w14:paraId="3D4E5C9E"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2.0097g</w:t>
            </w:r>
          </w:p>
        </w:tc>
        <w:tc>
          <w:tcPr>
            <w:tcW w:w="1509" w:type="dxa"/>
            <w:tcBorders>
              <w:top w:val="single" w:sz="4" w:space="0" w:color="auto"/>
              <w:left w:val="single" w:sz="4" w:space="0" w:color="auto"/>
              <w:bottom w:val="single" w:sz="4" w:space="0" w:color="auto"/>
              <w:right w:val="single" w:sz="4" w:space="0" w:color="auto"/>
            </w:tcBorders>
          </w:tcPr>
          <w:p w14:paraId="0243EE99"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100</w:t>
            </w:r>
          </w:p>
        </w:tc>
        <w:tc>
          <w:tcPr>
            <w:tcW w:w="1868" w:type="dxa"/>
            <w:tcBorders>
              <w:top w:val="single" w:sz="4" w:space="0" w:color="auto"/>
              <w:left w:val="single" w:sz="4" w:space="0" w:color="auto"/>
              <w:bottom w:val="single" w:sz="4" w:space="0" w:color="auto"/>
              <w:right w:val="single" w:sz="4" w:space="0" w:color="auto"/>
            </w:tcBorders>
          </w:tcPr>
          <w:p w14:paraId="032504DB"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11.27</w:t>
            </w:r>
          </w:p>
        </w:tc>
        <w:tc>
          <w:tcPr>
            <w:tcW w:w="1627" w:type="dxa"/>
            <w:tcBorders>
              <w:top w:val="single" w:sz="4" w:space="0" w:color="auto"/>
              <w:left w:val="single" w:sz="4" w:space="0" w:color="auto"/>
              <w:bottom w:val="single" w:sz="4" w:space="0" w:color="auto"/>
              <w:right w:val="single" w:sz="4" w:space="0" w:color="auto"/>
            </w:tcBorders>
          </w:tcPr>
          <w:p w14:paraId="3E37EB8D"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0.06%</w:t>
            </w:r>
          </w:p>
        </w:tc>
      </w:tr>
      <w:tr w:rsidR="001221CC" w:rsidRPr="004D0CC2" w14:paraId="51FDF119" w14:textId="77777777" w:rsidTr="00D3621B">
        <w:tc>
          <w:tcPr>
            <w:tcW w:w="2358" w:type="dxa"/>
            <w:tcBorders>
              <w:top w:val="single" w:sz="4" w:space="0" w:color="auto"/>
              <w:left w:val="single" w:sz="4" w:space="0" w:color="auto"/>
              <w:bottom w:val="single" w:sz="4" w:space="0" w:color="auto"/>
              <w:right w:val="single" w:sz="4" w:space="0" w:color="auto"/>
            </w:tcBorders>
          </w:tcPr>
          <w:p w14:paraId="77498FE9" w14:textId="74683E54"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color w:val="000000" w:themeColor="text1"/>
                <w:sz w:val="24"/>
                <w:szCs w:val="24"/>
              </w:rPr>
              <w:t xml:space="preserve">Gen/2018/03/0025 (Waste dumped area, </w:t>
            </w:r>
            <w:r w:rsidRPr="004D0CC2">
              <w:rPr>
                <w:rFonts w:ascii="Times New Roman" w:hAnsi="Times New Roman" w:cs="Times New Roman"/>
                <w:color w:val="000000" w:themeColor="text1"/>
                <w:sz w:val="24"/>
                <w:szCs w:val="24"/>
              </w:rPr>
              <w:lastRenderedPageBreak/>
              <w:t>Hosakote)</w:t>
            </w:r>
          </w:p>
        </w:tc>
        <w:tc>
          <w:tcPr>
            <w:tcW w:w="1495" w:type="dxa"/>
            <w:tcBorders>
              <w:top w:val="single" w:sz="4" w:space="0" w:color="auto"/>
              <w:left w:val="single" w:sz="4" w:space="0" w:color="auto"/>
              <w:bottom w:val="single" w:sz="4" w:space="0" w:color="auto"/>
              <w:right w:val="single" w:sz="4" w:space="0" w:color="auto"/>
            </w:tcBorders>
          </w:tcPr>
          <w:p w14:paraId="5C22C81E" w14:textId="77777777" w:rsidR="001221CC" w:rsidRPr="004D0CC2" w:rsidRDefault="001221CC" w:rsidP="001221CC">
            <w:pPr>
              <w:pStyle w:val="footer"/>
              <w:tabs>
                <w:tab w:val="clear" w:pos="4320"/>
                <w:tab w:val="clear" w:pos="8640"/>
                <w:tab w:val="left" w:pos="1185"/>
              </w:tabs>
              <w:spacing w:line="360" w:lineRule="auto"/>
              <w:rPr>
                <w:rFonts w:ascii="Times New Roman" w:hAnsi="Times New Roman"/>
                <w:bCs/>
                <w:color w:val="000000" w:themeColor="text1"/>
              </w:rPr>
            </w:pPr>
            <w:r w:rsidRPr="004D0CC2">
              <w:rPr>
                <w:rFonts w:ascii="Times New Roman" w:hAnsi="Times New Roman"/>
                <w:bCs/>
                <w:color w:val="000000" w:themeColor="text1"/>
              </w:rPr>
              <w:lastRenderedPageBreak/>
              <w:t>2.0584g</w:t>
            </w:r>
            <w:r w:rsidRPr="004D0CC2">
              <w:rPr>
                <w:rFonts w:ascii="Times New Roman" w:hAnsi="Times New Roman"/>
                <w:bCs/>
                <w:color w:val="000000" w:themeColor="text1"/>
              </w:rPr>
              <w:tab/>
            </w:r>
          </w:p>
        </w:tc>
        <w:tc>
          <w:tcPr>
            <w:tcW w:w="1509" w:type="dxa"/>
            <w:tcBorders>
              <w:top w:val="single" w:sz="4" w:space="0" w:color="auto"/>
              <w:left w:val="single" w:sz="4" w:space="0" w:color="auto"/>
              <w:bottom w:val="single" w:sz="4" w:space="0" w:color="auto"/>
              <w:right w:val="single" w:sz="4" w:space="0" w:color="auto"/>
            </w:tcBorders>
          </w:tcPr>
          <w:p w14:paraId="3D641C03" w14:textId="77777777" w:rsidR="001221CC" w:rsidRPr="004D0CC2" w:rsidRDefault="001221CC" w:rsidP="001221CC">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100</w:t>
            </w:r>
          </w:p>
        </w:tc>
        <w:tc>
          <w:tcPr>
            <w:tcW w:w="1868" w:type="dxa"/>
            <w:tcBorders>
              <w:top w:val="single" w:sz="4" w:space="0" w:color="auto"/>
              <w:left w:val="single" w:sz="4" w:space="0" w:color="auto"/>
              <w:bottom w:val="single" w:sz="4" w:space="0" w:color="auto"/>
              <w:right w:val="single" w:sz="4" w:space="0" w:color="auto"/>
            </w:tcBorders>
          </w:tcPr>
          <w:p w14:paraId="44937542" w14:textId="77777777" w:rsidR="001221CC" w:rsidRPr="004D0CC2" w:rsidRDefault="001221CC" w:rsidP="001221CC">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16.69</w:t>
            </w:r>
          </w:p>
        </w:tc>
        <w:tc>
          <w:tcPr>
            <w:tcW w:w="1627" w:type="dxa"/>
            <w:tcBorders>
              <w:top w:val="single" w:sz="4" w:space="0" w:color="auto"/>
              <w:left w:val="single" w:sz="4" w:space="0" w:color="auto"/>
              <w:bottom w:val="single" w:sz="4" w:space="0" w:color="auto"/>
              <w:right w:val="single" w:sz="4" w:space="0" w:color="auto"/>
            </w:tcBorders>
          </w:tcPr>
          <w:p w14:paraId="68063A78" w14:textId="77777777" w:rsidR="001221CC" w:rsidRPr="004D0CC2" w:rsidRDefault="001221CC" w:rsidP="001221CC">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0.08%</w:t>
            </w:r>
          </w:p>
        </w:tc>
      </w:tr>
      <w:tr w:rsidR="001221CC" w:rsidRPr="004D0CC2" w14:paraId="2FC8A603" w14:textId="77777777" w:rsidTr="00D3621B">
        <w:tc>
          <w:tcPr>
            <w:tcW w:w="2358" w:type="dxa"/>
            <w:tcBorders>
              <w:top w:val="single" w:sz="4" w:space="0" w:color="auto"/>
              <w:left w:val="single" w:sz="4" w:space="0" w:color="auto"/>
              <w:bottom w:val="single" w:sz="4" w:space="0" w:color="auto"/>
              <w:right w:val="single" w:sz="4" w:space="0" w:color="auto"/>
            </w:tcBorders>
          </w:tcPr>
          <w:p w14:paraId="16172E51" w14:textId="5C8A79B2"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color w:val="000000" w:themeColor="text1"/>
                <w:sz w:val="24"/>
                <w:szCs w:val="24"/>
              </w:rPr>
              <w:t>Gen/2018/03/0026 (Rajajinagar Industrial town)</w:t>
            </w:r>
          </w:p>
        </w:tc>
        <w:tc>
          <w:tcPr>
            <w:tcW w:w="1495" w:type="dxa"/>
            <w:tcBorders>
              <w:top w:val="single" w:sz="4" w:space="0" w:color="auto"/>
              <w:left w:val="single" w:sz="4" w:space="0" w:color="auto"/>
              <w:bottom w:val="single" w:sz="4" w:space="0" w:color="auto"/>
              <w:right w:val="single" w:sz="4" w:space="0" w:color="auto"/>
            </w:tcBorders>
          </w:tcPr>
          <w:p w14:paraId="125891ED" w14:textId="77777777" w:rsidR="001221CC" w:rsidRPr="004D0CC2" w:rsidRDefault="001221CC" w:rsidP="001221CC">
            <w:pPr>
              <w:pStyle w:val="footer"/>
              <w:tabs>
                <w:tab w:val="clear" w:pos="4320"/>
                <w:tab w:val="clear" w:pos="8640"/>
                <w:tab w:val="left" w:pos="1290"/>
              </w:tabs>
              <w:spacing w:line="360" w:lineRule="auto"/>
              <w:rPr>
                <w:rFonts w:ascii="Times New Roman" w:hAnsi="Times New Roman"/>
                <w:bCs/>
                <w:color w:val="000000" w:themeColor="text1"/>
              </w:rPr>
            </w:pPr>
            <w:r w:rsidRPr="004D0CC2">
              <w:rPr>
                <w:rFonts w:ascii="Times New Roman" w:hAnsi="Times New Roman"/>
                <w:bCs/>
                <w:color w:val="000000" w:themeColor="text1"/>
              </w:rPr>
              <w:t>2.0553g</w:t>
            </w:r>
            <w:r w:rsidRPr="004D0CC2">
              <w:rPr>
                <w:rFonts w:ascii="Times New Roman" w:hAnsi="Times New Roman"/>
                <w:bCs/>
                <w:color w:val="000000" w:themeColor="text1"/>
              </w:rPr>
              <w:tab/>
            </w:r>
          </w:p>
        </w:tc>
        <w:tc>
          <w:tcPr>
            <w:tcW w:w="1509" w:type="dxa"/>
            <w:tcBorders>
              <w:top w:val="single" w:sz="4" w:space="0" w:color="auto"/>
              <w:left w:val="single" w:sz="4" w:space="0" w:color="auto"/>
              <w:bottom w:val="single" w:sz="4" w:space="0" w:color="auto"/>
              <w:right w:val="single" w:sz="4" w:space="0" w:color="auto"/>
            </w:tcBorders>
          </w:tcPr>
          <w:p w14:paraId="6AE2E2EC" w14:textId="77777777" w:rsidR="001221CC" w:rsidRPr="004D0CC2" w:rsidRDefault="001221CC" w:rsidP="001221CC">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100</w:t>
            </w:r>
          </w:p>
        </w:tc>
        <w:tc>
          <w:tcPr>
            <w:tcW w:w="1868" w:type="dxa"/>
            <w:tcBorders>
              <w:top w:val="single" w:sz="4" w:space="0" w:color="auto"/>
              <w:left w:val="single" w:sz="4" w:space="0" w:color="auto"/>
              <w:bottom w:val="single" w:sz="4" w:space="0" w:color="auto"/>
              <w:right w:val="single" w:sz="4" w:space="0" w:color="auto"/>
            </w:tcBorders>
          </w:tcPr>
          <w:p w14:paraId="1D286FEC" w14:textId="77777777" w:rsidR="001221CC" w:rsidRPr="004D0CC2" w:rsidRDefault="001221CC" w:rsidP="001221CC">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5.30</w:t>
            </w:r>
          </w:p>
        </w:tc>
        <w:tc>
          <w:tcPr>
            <w:tcW w:w="1627" w:type="dxa"/>
            <w:tcBorders>
              <w:top w:val="single" w:sz="4" w:space="0" w:color="auto"/>
              <w:left w:val="single" w:sz="4" w:space="0" w:color="auto"/>
              <w:bottom w:val="single" w:sz="4" w:space="0" w:color="auto"/>
              <w:right w:val="single" w:sz="4" w:space="0" w:color="auto"/>
            </w:tcBorders>
          </w:tcPr>
          <w:p w14:paraId="335A71B3" w14:textId="77777777" w:rsidR="001221CC" w:rsidRPr="004D0CC2" w:rsidRDefault="001221CC" w:rsidP="001221CC">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0.03%</w:t>
            </w:r>
          </w:p>
        </w:tc>
      </w:tr>
      <w:tr w:rsidR="001221CC" w:rsidRPr="004D0CC2" w14:paraId="7D4CA5FE" w14:textId="77777777" w:rsidTr="00D3621B">
        <w:tc>
          <w:tcPr>
            <w:tcW w:w="2358" w:type="dxa"/>
            <w:tcBorders>
              <w:top w:val="single" w:sz="4" w:space="0" w:color="auto"/>
              <w:left w:val="single" w:sz="4" w:space="0" w:color="auto"/>
              <w:bottom w:val="single" w:sz="4" w:space="0" w:color="auto"/>
              <w:right w:val="single" w:sz="4" w:space="0" w:color="auto"/>
            </w:tcBorders>
          </w:tcPr>
          <w:p w14:paraId="3F958D98" w14:textId="04F74CCD"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color w:val="000000" w:themeColor="text1"/>
                <w:sz w:val="24"/>
                <w:szCs w:val="24"/>
              </w:rPr>
              <w:t>Gen/2018/03/0027 (Magadi Road Residential area)</w:t>
            </w:r>
          </w:p>
        </w:tc>
        <w:tc>
          <w:tcPr>
            <w:tcW w:w="1495" w:type="dxa"/>
            <w:tcBorders>
              <w:top w:val="single" w:sz="4" w:space="0" w:color="auto"/>
              <w:left w:val="single" w:sz="4" w:space="0" w:color="auto"/>
              <w:bottom w:val="single" w:sz="4" w:space="0" w:color="auto"/>
              <w:right w:val="single" w:sz="4" w:space="0" w:color="auto"/>
            </w:tcBorders>
          </w:tcPr>
          <w:p w14:paraId="6765C527" w14:textId="77777777" w:rsidR="001221CC" w:rsidRPr="004D0CC2" w:rsidRDefault="001221CC" w:rsidP="001221CC">
            <w:pPr>
              <w:pStyle w:val="header"/>
              <w:spacing w:line="360" w:lineRule="auto"/>
              <w:rPr>
                <w:rFonts w:ascii="Times New Roman" w:hAnsi="Times New Roman"/>
                <w:bCs/>
                <w:color w:val="000000" w:themeColor="text1"/>
              </w:rPr>
            </w:pPr>
            <w:r w:rsidRPr="004D0CC2">
              <w:rPr>
                <w:rFonts w:ascii="Times New Roman" w:hAnsi="Times New Roman"/>
                <w:bCs/>
                <w:color w:val="000000" w:themeColor="text1"/>
              </w:rPr>
              <w:t>2.0258g</w:t>
            </w:r>
          </w:p>
        </w:tc>
        <w:tc>
          <w:tcPr>
            <w:tcW w:w="1509" w:type="dxa"/>
            <w:tcBorders>
              <w:top w:val="single" w:sz="4" w:space="0" w:color="auto"/>
              <w:left w:val="single" w:sz="4" w:space="0" w:color="auto"/>
              <w:bottom w:val="single" w:sz="4" w:space="0" w:color="auto"/>
              <w:right w:val="single" w:sz="4" w:space="0" w:color="auto"/>
            </w:tcBorders>
          </w:tcPr>
          <w:p w14:paraId="46494734" w14:textId="77777777" w:rsidR="001221CC" w:rsidRPr="004D0CC2" w:rsidRDefault="001221CC" w:rsidP="001221CC">
            <w:pPr>
              <w:pStyle w:val="header"/>
              <w:spacing w:line="360" w:lineRule="auto"/>
              <w:rPr>
                <w:rFonts w:ascii="Times New Roman" w:hAnsi="Times New Roman"/>
                <w:bCs/>
                <w:color w:val="000000" w:themeColor="text1"/>
              </w:rPr>
            </w:pPr>
            <w:r w:rsidRPr="004D0CC2">
              <w:rPr>
                <w:rFonts w:ascii="Times New Roman" w:hAnsi="Times New Roman"/>
                <w:bCs/>
                <w:color w:val="000000" w:themeColor="text1"/>
              </w:rPr>
              <w:t>100</w:t>
            </w:r>
          </w:p>
        </w:tc>
        <w:tc>
          <w:tcPr>
            <w:tcW w:w="1868" w:type="dxa"/>
            <w:tcBorders>
              <w:top w:val="single" w:sz="4" w:space="0" w:color="auto"/>
              <w:left w:val="single" w:sz="4" w:space="0" w:color="auto"/>
              <w:bottom w:val="single" w:sz="4" w:space="0" w:color="auto"/>
              <w:right w:val="single" w:sz="4" w:space="0" w:color="auto"/>
            </w:tcBorders>
          </w:tcPr>
          <w:p w14:paraId="043D6E29" w14:textId="77777777" w:rsidR="001221CC" w:rsidRPr="004D0CC2" w:rsidRDefault="001221CC" w:rsidP="001221CC">
            <w:pPr>
              <w:pStyle w:val="header"/>
              <w:spacing w:line="360" w:lineRule="auto"/>
              <w:rPr>
                <w:rFonts w:ascii="Times New Roman" w:hAnsi="Times New Roman"/>
                <w:bCs/>
                <w:color w:val="000000" w:themeColor="text1"/>
              </w:rPr>
            </w:pPr>
            <w:r w:rsidRPr="004D0CC2">
              <w:rPr>
                <w:rFonts w:ascii="Times New Roman" w:hAnsi="Times New Roman"/>
                <w:bCs/>
                <w:color w:val="000000" w:themeColor="text1"/>
              </w:rPr>
              <w:t>7.18</w:t>
            </w:r>
          </w:p>
        </w:tc>
        <w:tc>
          <w:tcPr>
            <w:tcW w:w="1627" w:type="dxa"/>
            <w:tcBorders>
              <w:top w:val="single" w:sz="4" w:space="0" w:color="auto"/>
              <w:left w:val="single" w:sz="4" w:space="0" w:color="auto"/>
              <w:bottom w:val="single" w:sz="4" w:space="0" w:color="auto"/>
              <w:right w:val="single" w:sz="4" w:space="0" w:color="auto"/>
            </w:tcBorders>
          </w:tcPr>
          <w:p w14:paraId="43B7CD52" w14:textId="77777777" w:rsidR="001221CC" w:rsidRPr="004D0CC2" w:rsidRDefault="001221CC" w:rsidP="001221CC">
            <w:pPr>
              <w:pStyle w:val="header"/>
              <w:spacing w:line="360" w:lineRule="auto"/>
              <w:rPr>
                <w:rFonts w:ascii="Times New Roman" w:hAnsi="Times New Roman"/>
                <w:bCs/>
                <w:color w:val="000000" w:themeColor="text1"/>
              </w:rPr>
            </w:pPr>
            <w:r w:rsidRPr="004D0CC2">
              <w:rPr>
                <w:rFonts w:ascii="Times New Roman" w:hAnsi="Times New Roman"/>
                <w:bCs/>
                <w:color w:val="000000" w:themeColor="text1"/>
              </w:rPr>
              <w:t>0.04%</w:t>
            </w:r>
          </w:p>
        </w:tc>
      </w:tr>
    </w:tbl>
    <w:p w14:paraId="776074B4" w14:textId="77777777" w:rsidR="001074FA" w:rsidRDefault="00C303EF" w:rsidP="00E5749A">
      <w:pPr>
        <w:ind w:left="-1134" w:firstLine="1134"/>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ab/>
      </w:r>
    </w:p>
    <w:p w14:paraId="0088EE00" w14:textId="4A6A12F4" w:rsidR="00E5749A" w:rsidRPr="004D0CC2" w:rsidRDefault="001074FA" w:rsidP="00E5749A">
      <w:pPr>
        <w:ind w:left="-1134" w:firstLine="1134"/>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sidR="00E5749A" w:rsidRPr="004D0CC2">
        <w:rPr>
          <w:rFonts w:ascii="Times New Roman" w:hAnsi="Times New Roman" w:cs="Times New Roman"/>
          <w:b/>
          <w:color w:val="000000" w:themeColor="text1"/>
          <w:sz w:val="24"/>
          <w:szCs w:val="24"/>
        </w:rPr>
        <w:t>Table-5</w:t>
      </w:r>
      <w:r w:rsidR="002F1AA7" w:rsidRPr="004D0CC2">
        <w:rPr>
          <w:rFonts w:ascii="Times New Roman" w:hAnsi="Times New Roman" w:cs="Times New Roman"/>
          <w:b/>
          <w:color w:val="000000" w:themeColor="text1"/>
          <w:sz w:val="24"/>
          <w:szCs w:val="24"/>
        </w:rPr>
        <w:t>. E</w:t>
      </w:r>
      <w:r w:rsidR="00E5749A" w:rsidRPr="004D0CC2">
        <w:rPr>
          <w:rFonts w:ascii="Times New Roman" w:hAnsi="Times New Roman" w:cs="Times New Roman"/>
          <w:b/>
          <w:color w:val="000000" w:themeColor="text1"/>
          <w:sz w:val="24"/>
          <w:szCs w:val="24"/>
        </w:rPr>
        <w:t>stimation of calcium</w:t>
      </w:r>
      <w:r w:rsidR="002F1AA7" w:rsidRPr="004D0CC2">
        <w:rPr>
          <w:rFonts w:ascii="Times New Roman" w:hAnsi="Times New Roman" w:cs="Times New Roman"/>
          <w:b/>
          <w:color w:val="000000" w:themeColor="text1"/>
          <w:sz w:val="24"/>
          <w:szCs w:val="24"/>
        </w:rPr>
        <w:t xml:space="preserve"> in soil samples from different areas of Bangalore</w:t>
      </w:r>
    </w:p>
    <w:tbl>
      <w:tblPr>
        <w:tblpPr w:leftFromText="180" w:rightFromText="180" w:vertAnchor="text" w:horzAnchor="margin" w:tblpXSpec="center" w:tblpY="183"/>
        <w:tblW w:w="9586" w:type="dxa"/>
        <w:tblLook w:val="0000" w:firstRow="0" w:lastRow="0" w:firstColumn="0" w:lastColumn="0" w:noHBand="0" w:noVBand="0"/>
      </w:tblPr>
      <w:tblGrid>
        <w:gridCol w:w="2146"/>
        <w:gridCol w:w="1048"/>
        <w:gridCol w:w="1075"/>
        <w:gridCol w:w="1023"/>
        <w:gridCol w:w="853"/>
        <w:gridCol w:w="1270"/>
        <w:gridCol w:w="1088"/>
        <w:gridCol w:w="1083"/>
      </w:tblGrid>
      <w:tr w:rsidR="00195919" w:rsidRPr="004D0CC2" w14:paraId="0AD1AA88" w14:textId="77777777" w:rsidTr="001221CC">
        <w:trPr>
          <w:trHeight w:val="1251"/>
        </w:trPr>
        <w:tc>
          <w:tcPr>
            <w:tcW w:w="2146" w:type="dxa"/>
            <w:tcBorders>
              <w:top w:val="single" w:sz="4" w:space="0" w:color="auto"/>
              <w:left w:val="single" w:sz="4" w:space="0" w:color="auto"/>
              <w:bottom w:val="single" w:sz="4" w:space="0" w:color="auto"/>
              <w:right w:val="single" w:sz="4" w:space="0" w:color="auto"/>
            </w:tcBorders>
          </w:tcPr>
          <w:p w14:paraId="201F18B2" w14:textId="77777777" w:rsidR="00E5749A" w:rsidRPr="004D0CC2" w:rsidRDefault="00E5749A" w:rsidP="00D3621B">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Sample ID</w:t>
            </w:r>
          </w:p>
          <w:p w14:paraId="64031BF6" w14:textId="77777777" w:rsidR="00E5749A" w:rsidRPr="004D0CC2" w:rsidRDefault="00E5749A" w:rsidP="00D3621B">
            <w:pPr>
              <w:spacing w:line="360" w:lineRule="auto"/>
              <w:jc w:val="center"/>
              <w:rPr>
                <w:rFonts w:ascii="Times New Roman" w:hAnsi="Times New Roman" w:cs="Times New Roman"/>
                <w:b/>
                <w:color w:val="000000" w:themeColor="text1"/>
                <w:sz w:val="24"/>
                <w:szCs w:val="24"/>
              </w:rPr>
            </w:pPr>
          </w:p>
        </w:tc>
        <w:tc>
          <w:tcPr>
            <w:tcW w:w="1048" w:type="dxa"/>
            <w:tcBorders>
              <w:top w:val="single" w:sz="4" w:space="0" w:color="auto"/>
              <w:left w:val="single" w:sz="4" w:space="0" w:color="auto"/>
              <w:bottom w:val="single" w:sz="4" w:space="0" w:color="auto"/>
              <w:right w:val="single" w:sz="4" w:space="0" w:color="auto"/>
            </w:tcBorders>
          </w:tcPr>
          <w:p w14:paraId="665493A7" w14:textId="77777777" w:rsidR="00E5749A" w:rsidRPr="004D0CC2" w:rsidRDefault="00E5749A" w:rsidP="00D3621B">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Sample weight</w:t>
            </w:r>
          </w:p>
        </w:tc>
        <w:tc>
          <w:tcPr>
            <w:tcW w:w="1075" w:type="dxa"/>
            <w:tcBorders>
              <w:top w:val="single" w:sz="4" w:space="0" w:color="auto"/>
              <w:left w:val="single" w:sz="4" w:space="0" w:color="auto"/>
              <w:bottom w:val="single" w:sz="4" w:space="0" w:color="auto"/>
              <w:right w:val="single" w:sz="4" w:space="0" w:color="auto"/>
            </w:tcBorders>
          </w:tcPr>
          <w:p w14:paraId="55B169C0" w14:textId="77777777" w:rsidR="00E5749A" w:rsidRPr="004D0CC2" w:rsidRDefault="00E5749A" w:rsidP="00D3621B">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Dilution (ml)</w:t>
            </w:r>
          </w:p>
        </w:tc>
        <w:tc>
          <w:tcPr>
            <w:tcW w:w="1023" w:type="dxa"/>
            <w:tcBorders>
              <w:top w:val="single" w:sz="4" w:space="0" w:color="auto"/>
              <w:left w:val="single" w:sz="4" w:space="0" w:color="auto"/>
              <w:bottom w:val="single" w:sz="4" w:space="0" w:color="auto"/>
              <w:right w:val="single" w:sz="4" w:space="0" w:color="auto"/>
            </w:tcBorders>
          </w:tcPr>
          <w:p w14:paraId="1232BCCD" w14:textId="77777777" w:rsidR="00E5749A" w:rsidRPr="004D0CC2" w:rsidRDefault="00E5749A" w:rsidP="00D3621B">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Aliquot (ml)</w:t>
            </w:r>
          </w:p>
        </w:tc>
        <w:tc>
          <w:tcPr>
            <w:tcW w:w="853" w:type="dxa"/>
            <w:tcBorders>
              <w:top w:val="single" w:sz="4" w:space="0" w:color="auto"/>
              <w:left w:val="single" w:sz="4" w:space="0" w:color="auto"/>
              <w:bottom w:val="single" w:sz="4" w:space="0" w:color="auto"/>
              <w:right w:val="single" w:sz="4" w:space="0" w:color="auto"/>
            </w:tcBorders>
          </w:tcPr>
          <w:p w14:paraId="3F81B3FA" w14:textId="77777777" w:rsidR="00E5749A" w:rsidRPr="004D0CC2" w:rsidRDefault="00E5749A" w:rsidP="00D3621B">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Titre value (ml)</w:t>
            </w:r>
          </w:p>
        </w:tc>
        <w:tc>
          <w:tcPr>
            <w:tcW w:w="1270" w:type="dxa"/>
            <w:tcBorders>
              <w:top w:val="single" w:sz="4" w:space="0" w:color="auto"/>
              <w:left w:val="single" w:sz="4" w:space="0" w:color="auto"/>
              <w:bottom w:val="single" w:sz="4" w:space="0" w:color="auto"/>
              <w:right w:val="single" w:sz="4" w:space="0" w:color="auto"/>
            </w:tcBorders>
          </w:tcPr>
          <w:p w14:paraId="6DE25DCD" w14:textId="77777777" w:rsidR="00E5749A" w:rsidRPr="004D0CC2" w:rsidRDefault="00E5749A" w:rsidP="00D3621B">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Normality</w:t>
            </w:r>
          </w:p>
        </w:tc>
        <w:tc>
          <w:tcPr>
            <w:tcW w:w="1088" w:type="dxa"/>
            <w:tcBorders>
              <w:top w:val="single" w:sz="4" w:space="0" w:color="auto"/>
              <w:left w:val="single" w:sz="4" w:space="0" w:color="auto"/>
              <w:bottom w:val="single" w:sz="4" w:space="0" w:color="auto"/>
              <w:right w:val="single" w:sz="4" w:space="0" w:color="auto"/>
            </w:tcBorders>
          </w:tcPr>
          <w:p w14:paraId="20357577" w14:textId="77777777" w:rsidR="00E5749A" w:rsidRPr="004D0CC2" w:rsidRDefault="00E5749A" w:rsidP="00D3621B">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Calcium factor</w:t>
            </w:r>
          </w:p>
        </w:tc>
        <w:tc>
          <w:tcPr>
            <w:tcW w:w="1083" w:type="dxa"/>
            <w:tcBorders>
              <w:top w:val="single" w:sz="4" w:space="0" w:color="auto"/>
              <w:left w:val="single" w:sz="4" w:space="0" w:color="auto"/>
              <w:bottom w:val="single" w:sz="4" w:space="0" w:color="auto"/>
              <w:right w:val="single" w:sz="4" w:space="0" w:color="auto"/>
            </w:tcBorders>
          </w:tcPr>
          <w:p w14:paraId="3DE8109A" w14:textId="77777777" w:rsidR="00E5749A" w:rsidRPr="004D0CC2" w:rsidRDefault="00E5749A" w:rsidP="00D3621B">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Calcium (%)</w:t>
            </w:r>
          </w:p>
        </w:tc>
      </w:tr>
      <w:tr w:rsidR="001221CC" w:rsidRPr="004D0CC2" w14:paraId="0DF92BEB" w14:textId="77777777" w:rsidTr="001221CC">
        <w:trPr>
          <w:trHeight w:val="417"/>
        </w:trPr>
        <w:tc>
          <w:tcPr>
            <w:tcW w:w="2146" w:type="dxa"/>
            <w:tcBorders>
              <w:top w:val="single" w:sz="4" w:space="0" w:color="auto"/>
              <w:left w:val="single" w:sz="4" w:space="0" w:color="auto"/>
              <w:bottom w:val="single" w:sz="4" w:space="0" w:color="auto"/>
              <w:right w:val="single" w:sz="4" w:space="0" w:color="auto"/>
            </w:tcBorders>
          </w:tcPr>
          <w:p w14:paraId="2887DAEE" w14:textId="4F907F66"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color w:val="000000" w:themeColor="text1"/>
                <w:sz w:val="24"/>
                <w:szCs w:val="24"/>
              </w:rPr>
              <w:t>Gen/2018/03/0006 (Agricultural field, Chikkaballapur)</w:t>
            </w:r>
          </w:p>
        </w:tc>
        <w:tc>
          <w:tcPr>
            <w:tcW w:w="1048" w:type="dxa"/>
            <w:tcBorders>
              <w:top w:val="single" w:sz="4" w:space="0" w:color="auto"/>
              <w:left w:val="single" w:sz="4" w:space="0" w:color="auto"/>
              <w:bottom w:val="single" w:sz="4" w:space="0" w:color="auto"/>
              <w:right w:val="single" w:sz="4" w:space="0" w:color="auto"/>
            </w:tcBorders>
          </w:tcPr>
          <w:p w14:paraId="7EE6A6C9"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2.0058g</w:t>
            </w:r>
          </w:p>
        </w:tc>
        <w:tc>
          <w:tcPr>
            <w:tcW w:w="1075" w:type="dxa"/>
            <w:tcBorders>
              <w:top w:val="single" w:sz="4" w:space="0" w:color="auto"/>
              <w:left w:val="single" w:sz="4" w:space="0" w:color="auto"/>
              <w:bottom w:val="single" w:sz="4" w:space="0" w:color="auto"/>
              <w:right w:val="single" w:sz="4" w:space="0" w:color="auto"/>
            </w:tcBorders>
          </w:tcPr>
          <w:p w14:paraId="7199746A"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100</w:t>
            </w:r>
          </w:p>
        </w:tc>
        <w:tc>
          <w:tcPr>
            <w:tcW w:w="1023" w:type="dxa"/>
            <w:tcBorders>
              <w:top w:val="single" w:sz="4" w:space="0" w:color="auto"/>
              <w:left w:val="single" w:sz="4" w:space="0" w:color="auto"/>
              <w:bottom w:val="single" w:sz="4" w:space="0" w:color="auto"/>
              <w:right w:val="single" w:sz="4" w:space="0" w:color="auto"/>
            </w:tcBorders>
          </w:tcPr>
          <w:p w14:paraId="2713E90A"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50</w:t>
            </w:r>
          </w:p>
        </w:tc>
        <w:tc>
          <w:tcPr>
            <w:tcW w:w="853" w:type="dxa"/>
            <w:tcBorders>
              <w:top w:val="single" w:sz="4" w:space="0" w:color="auto"/>
              <w:left w:val="single" w:sz="4" w:space="0" w:color="auto"/>
              <w:bottom w:val="single" w:sz="4" w:space="0" w:color="auto"/>
              <w:right w:val="single" w:sz="4" w:space="0" w:color="auto"/>
            </w:tcBorders>
          </w:tcPr>
          <w:p w14:paraId="41DFF914"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0.8</w:t>
            </w:r>
          </w:p>
        </w:tc>
        <w:tc>
          <w:tcPr>
            <w:tcW w:w="1270" w:type="dxa"/>
            <w:tcBorders>
              <w:top w:val="single" w:sz="4" w:space="0" w:color="auto"/>
              <w:left w:val="single" w:sz="4" w:space="0" w:color="auto"/>
              <w:bottom w:val="single" w:sz="4" w:space="0" w:color="auto"/>
              <w:right w:val="single" w:sz="4" w:space="0" w:color="auto"/>
            </w:tcBorders>
          </w:tcPr>
          <w:p w14:paraId="486342F1"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0.0100N</w:t>
            </w:r>
          </w:p>
        </w:tc>
        <w:tc>
          <w:tcPr>
            <w:tcW w:w="1088" w:type="dxa"/>
            <w:tcBorders>
              <w:top w:val="single" w:sz="4" w:space="0" w:color="auto"/>
              <w:left w:val="single" w:sz="4" w:space="0" w:color="auto"/>
              <w:bottom w:val="single" w:sz="4" w:space="0" w:color="auto"/>
              <w:right w:val="single" w:sz="4" w:space="0" w:color="auto"/>
            </w:tcBorders>
          </w:tcPr>
          <w:p w14:paraId="230BE6C1"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0.03</w:t>
            </w:r>
          </w:p>
        </w:tc>
        <w:tc>
          <w:tcPr>
            <w:tcW w:w="1083" w:type="dxa"/>
            <w:tcBorders>
              <w:top w:val="single" w:sz="4" w:space="0" w:color="auto"/>
              <w:left w:val="single" w:sz="4" w:space="0" w:color="auto"/>
              <w:bottom w:val="single" w:sz="4" w:space="0" w:color="auto"/>
              <w:right w:val="single" w:sz="4" w:space="0" w:color="auto"/>
            </w:tcBorders>
          </w:tcPr>
          <w:p w14:paraId="1AA02D5E"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0.03%</w:t>
            </w:r>
          </w:p>
        </w:tc>
      </w:tr>
      <w:tr w:rsidR="001221CC" w:rsidRPr="004D0CC2" w14:paraId="4EF0B1A4" w14:textId="77777777" w:rsidTr="001221CC">
        <w:trPr>
          <w:trHeight w:val="417"/>
        </w:trPr>
        <w:tc>
          <w:tcPr>
            <w:tcW w:w="2146" w:type="dxa"/>
            <w:tcBorders>
              <w:top w:val="single" w:sz="4" w:space="0" w:color="auto"/>
              <w:left w:val="single" w:sz="4" w:space="0" w:color="auto"/>
              <w:bottom w:val="single" w:sz="4" w:space="0" w:color="auto"/>
              <w:right w:val="single" w:sz="4" w:space="0" w:color="auto"/>
            </w:tcBorders>
          </w:tcPr>
          <w:p w14:paraId="2B1695C3" w14:textId="07D57D70"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color w:val="000000" w:themeColor="text1"/>
                <w:sz w:val="24"/>
                <w:szCs w:val="24"/>
              </w:rPr>
              <w:t>Gen/2018/03/0025 (Waste dumped area, Hosakote)</w:t>
            </w:r>
          </w:p>
        </w:tc>
        <w:tc>
          <w:tcPr>
            <w:tcW w:w="1048" w:type="dxa"/>
            <w:tcBorders>
              <w:top w:val="single" w:sz="4" w:space="0" w:color="auto"/>
              <w:left w:val="single" w:sz="4" w:space="0" w:color="auto"/>
              <w:bottom w:val="single" w:sz="4" w:space="0" w:color="auto"/>
              <w:right w:val="single" w:sz="4" w:space="0" w:color="auto"/>
            </w:tcBorders>
          </w:tcPr>
          <w:p w14:paraId="1C7C26F2"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2.1190g</w:t>
            </w:r>
          </w:p>
        </w:tc>
        <w:tc>
          <w:tcPr>
            <w:tcW w:w="1075" w:type="dxa"/>
            <w:tcBorders>
              <w:top w:val="single" w:sz="4" w:space="0" w:color="auto"/>
              <w:left w:val="single" w:sz="4" w:space="0" w:color="auto"/>
              <w:bottom w:val="single" w:sz="4" w:space="0" w:color="auto"/>
              <w:right w:val="single" w:sz="4" w:space="0" w:color="auto"/>
            </w:tcBorders>
          </w:tcPr>
          <w:p w14:paraId="61EEC1DE"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100</w:t>
            </w:r>
          </w:p>
        </w:tc>
        <w:tc>
          <w:tcPr>
            <w:tcW w:w="1023" w:type="dxa"/>
            <w:tcBorders>
              <w:top w:val="single" w:sz="4" w:space="0" w:color="auto"/>
              <w:left w:val="single" w:sz="4" w:space="0" w:color="auto"/>
              <w:bottom w:val="single" w:sz="4" w:space="0" w:color="auto"/>
              <w:right w:val="single" w:sz="4" w:space="0" w:color="auto"/>
            </w:tcBorders>
          </w:tcPr>
          <w:p w14:paraId="1F904515"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50</w:t>
            </w:r>
          </w:p>
        </w:tc>
        <w:tc>
          <w:tcPr>
            <w:tcW w:w="853" w:type="dxa"/>
            <w:tcBorders>
              <w:top w:val="single" w:sz="4" w:space="0" w:color="auto"/>
              <w:left w:val="single" w:sz="4" w:space="0" w:color="auto"/>
              <w:bottom w:val="single" w:sz="4" w:space="0" w:color="auto"/>
              <w:right w:val="single" w:sz="4" w:space="0" w:color="auto"/>
            </w:tcBorders>
          </w:tcPr>
          <w:p w14:paraId="7CB6EB86"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2.0</w:t>
            </w:r>
          </w:p>
        </w:tc>
        <w:tc>
          <w:tcPr>
            <w:tcW w:w="1270" w:type="dxa"/>
            <w:tcBorders>
              <w:top w:val="single" w:sz="4" w:space="0" w:color="auto"/>
              <w:left w:val="single" w:sz="4" w:space="0" w:color="auto"/>
              <w:bottom w:val="single" w:sz="4" w:space="0" w:color="auto"/>
              <w:right w:val="single" w:sz="4" w:space="0" w:color="auto"/>
            </w:tcBorders>
          </w:tcPr>
          <w:p w14:paraId="10767D07"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0.0099N</w:t>
            </w:r>
          </w:p>
        </w:tc>
        <w:tc>
          <w:tcPr>
            <w:tcW w:w="1088" w:type="dxa"/>
            <w:tcBorders>
              <w:top w:val="single" w:sz="4" w:space="0" w:color="auto"/>
              <w:left w:val="single" w:sz="4" w:space="0" w:color="auto"/>
              <w:bottom w:val="single" w:sz="4" w:space="0" w:color="auto"/>
              <w:right w:val="single" w:sz="4" w:space="0" w:color="auto"/>
            </w:tcBorders>
          </w:tcPr>
          <w:p w14:paraId="2CA72712"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0.04</w:t>
            </w:r>
          </w:p>
        </w:tc>
        <w:tc>
          <w:tcPr>
            <w:tcW w:w="1083" w:type="dxa"/>
            <w:tcBorders>
              <w:top w:val="single" w:sz="4" w:space="0" w:color="auto"/>
              <w:left w:val="single" w:sz="4" w:space="0" w:color="auto"/>
              <w:bottom w:val="single" w:sz="4" w:space="0" w:color="auto"/>
              <w:right w:val="single" w:sz="4" w:space="0" w:color="auto"/>
            </w:tcBorders>
          </w:tcPr>
          <w:p w14:paraId="2392B9DA"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0.04%</w:t>
            </w:r>
          </w:p>
        </w:tc>
      </w:tr>
      <w:tr w:rsidR="001221CC" w:rsidRPr="004D0CC2" w14:paraId="50BA4A1A" w14:textId="77777777" w:rsidTr="001221CC">
        <w:trPr>
          <w:trHeight w:val="417"/>
        </w:trPr>
        <w:tc>
          <w:tcPr>
            <w:tcW w:w="2146" w:type="dxa"/>
            <w:tcBorders>
              <w:top w:val="single" w:sz="4" w:space="0" w:color="auto"/>
              <w:left w:val="single" w:sz="4" w:space="0" w:color="auto"/>
              <w:bottom w:val="single" w:sz="4" w:space="0" w:color="auto"/>
              <w:right w:val="single" w:sz="4" w:space="0" w:color="auto"/>
            </w:tcBorders>
          </w:tcPr>
          <w:p w14:paraId="02DBCB6E" w14:textId="5BBD5211"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color w:val="000000" w:themeColor="text1"/>
                <w:sz w:val="24"/>
                <w:szCs w:val="24"/>
              </w:rPr>
              <w:t>Gen/2018/03/0026 (Rajajinagar Industrial town)</w:t>
            </w:r>
          </w:p>
        </w:tc>
        <w:tc>
          <w:tcPr>
            <w:tcW w:w="1048" w:type="dxa"/>
            <w:tcBorders>
              <w:top w:val="single" w:sz="4" w:space="0" w:color="auto"/>
              <w:left w:val="single" w:sz="4" w:space="0" w:color="auto"/>
              <w:bottom w:val="single" w:sz="4" w:space="0" w:color="auto"/>
              <w:right w:val="single" w:sz="4" w:space="0" w:color="auto"/>
            </w:tcBorders>
          </w:tcPr>
          <w:p w14:paraId="4517EF30"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2.1190g</w:t>
            </w:r>
          </w:p>
        </w:tc>
        <w:tc>
          <w:tcPr>
            <w:tcW w:w="1075" w:type="dxa"/>
            <w:tcBorders>
              <w:top w:val="single" w:sz="4" w:space="0" w:color="auto"/>
              <w:left w:val="single" w:sz="4" w:space="0" w:color="auto"/>
              <w:bottom w:val="single" w:sz="4" w:space="0" w:color="auto"/>
              <w:right w:val="single" w:sz="4" w:space="0" w:color="auto"/>
            </w:tcBorders>
          </w:tcPr>
          <w:p w14:paraId="423FCF12"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100</w:t>
            </w:r>
          </w:p>
        </w:tc>
        <w:tc>
          <w:tcPr>
            <w:tcW w:w="1023" w:type="dxa"/>
            <w:tcBorders>
              <w:top w:val="single" w:sz="4" w:space="0" w:color="auto"/>
              <w:left w:val="single" w:sz="4" w:space="0" w:color="auto"/>
              <w:bottom w:val="single" w:sz="4" w:space="0" w:color="auto"/>
              <w:right w:val="single" w:sz="4" w:space="0" w:color="auto"/>
            </w:tcBorders>
          </w:tcPr>
          <w:p w14:paraId="24F7ACB9"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50</w:t>
            </w:r>
          </w:p>
        </w:tc>
        <w:tc>
          <w:tcPr>
            <w:tcW w:w="853" w:type="dxa"/>
            <w:tcBorders>
              <w:top w:val="single" w:sz="4" w:space="0" w:color="auto"/>
              <w:left w:val="single" w:sz="4" w:space="0" w:color="auto"/>
              <w:bottom w:val="single" w:sz="4" w:space="0" w:color="auto"/>
              <w:right w:val="single" w:sz="4" w:space="0" w:color="auto"/>
            </w:tcBorders>
          </w:tcPr>
          <w:p w14:paraId="4CA9FE1D"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1.1</w:t>
            </w:r>
          </w:p>
        </w:tc>
        <w:tc>
          <w:tcPr>
            <w:tcW w:w="1270" w:type="dxa"/>
            <w:tcBorders>
              <w:top w:val="single" w:sz="4" w:space="0" w:color="auto"/>
              <w:left w:val="single" w:sz="4" w:space="0" w:color="auto"/>
              <w:bottom w:val="single" w:sz="4" w:space="0" w:color="auto"/>
              <w:right w:val="single" w:sz="4" w:space="0" w:color="auto"/>
            </w:tcBorders>
          </w:tcPr>
          <w:p w14:paraId="30866E43"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0.0099N</w:t>
            </w:r>
          </w:p>
        </w:tc>
        <w:tc>
          <w:tcPr>
            <w:tcW w:w="1088" w:type="dxa"/>
            <w:tcBorders>
              <w:top w:val="single" w:sz="4" w:space="0" w:color="auto"/>
              <w:left w:val="single" w:sz="4" w:space="0" w:color="auto"/>
              <w:bottom w:val="single" w:sz="4" w:space="0" w:color="auto"/>
              <w:right w:val="single" w:sz="4" w:space="0" w:color="auto"/>
            </w:tcBorders>
          </w:tcPr>
          <w:p w14:paraId="3040BE02"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0.04</w:t>
            </w:r>
          </w:p>
        </w:tc>
        <w:tc>
          <w:tcPr>
            <w:tcW w:w="1083" w:type="dxa"/>
            <w:tcBorders>
              <w:top w:val="single" w:sz="4" w:space="0" w:color="auto"/>
              <w:left w:val="single" w:sz="4" w:space="0" w:color="auto"/>
              <w:bottom w:val="single" w:sz="4" w:space="0" w:color="auto"/>
              <w:right w:val="single" w:sz="4" w:space="0" w:color="auto"/>
            </w:tcBorders>
          </w:tcPr>
          <w:p w14:paraId="3EC61902"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0.02%</w:t>
            </w:r>
          </w:p>
        </w:tc>
      </w:tr>
      <w:tr w:rsidR="001221CC" w:rsidRPr="004D0CC2" w14:paraId="5DF776B4" w14:textId="77777777" w:rsidTr="001221CC">
        <w:trPr>
          <w:trHeight w:val="430"/>
        </w:trPr>
        <w:tc>
          <w:tcPr>
            <w:tcW w:w="2146" w:type="dxa"/>
            <w:tcBorders>
              <w:top w:val="single" w:sz="4" w:space="0" w:color="auto"/>
              <w:left w:val="single" w:sz="4" w:space="0" w:color="auto"/>
              <w:bottom w:val="single" w:sz="4" w:space="0" w:color="auto"/>
              <w:right w:val="single" w:sz="4" w:space="0" w:color="auto"/>
            </w:tcBorders>
          </w:tcPr>
          <w:p w14:paraId="15B9A243" w14:textId="366B7EEF"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color w:val="000000" w:themeColor="text1"/>
                <w:sz w:val="24"/>
                <w:szCs w:val="24"/>
              </w:rPr>
              <w:t>Gen/2018/03/0027 (Magadi Road Residential area)</w:t>
            </w:r>
          </w:p>
        </w:tc>
        <w:tc>
          <w:tcPr>
            <w:tcW w:w="1048" w:type="dxa"/>
            <w:tcBorders>
              <w:top w:val="single" w:sz="4" w:space="0" w:color="auto"/>
              <w:left w:val="single" w:sz="4" w:space="0" w:color="auto"/>
              <w:bottom w:val="single" w:sz="4" w:space="0" w:color="auto"/>
              <w:right w:val="single" w:sz="4" w:space="0" w:color="auto"/>
            </w:tcBorders>
          </w:tcPr>
          <w:p w14:paraId="0D929D83"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2.0518g</w:t>
            </w:r>
          </w:p>
        </w:tc>
        <w:tc>
          <w:tcPr>
            <w:tcW w:w="1075" w:type="dxa"/>
            <w:tcBorders>
              <w:top w:val="single" w:sz="4" w:space="0" w:color="auto"/>
              <w:left w:val="single" w:sz="4" w:space="0" w:color="auto"/>
              <w:bottom w:val="single" w:sz="4" w:space="0" w:color="auto"/>
              <w:right w:val="single" w:sz="4" w:space="0" w:color="auto"/>
            </w:tcBorders>
          </w:tcPr>
          <w:p w14:paraId="4CB174C5"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100</w:t>
            </w:r>
          </w:p>
        </w:tc>
        <w:tc>
          <w:tcPr>
            <w:tcW w:w="1023" w:type="dxa"/>
            <w:tcBorders>
              <w:top w:val="single" w:sz="4" w:space="0" w:color="auto"/>
              <w:left w:val="single" w:sz="4" w:space="0" w:color="auto"/>
              <w:bottom w:val="single" w:sz="4" w:space="0" w:color="auto"/>
              <w:right w:val="single" w:sz="4" w:space="0" w:color="auto"/>
            </w:tcBorders>
          </w:tcPr>
          <w:p w14:paraId="4ED97CA9"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50</w:t>
            </w:r>
          </w:p>
        </w:tc>
        <w:tc>
          <w:tcPr>
            <w:tcW w:w="853" w:type="dxa"/>
            <w:tcBorders>
              <w:top w:val="single" w:sz="4" w:space="0" w:color="auto"/>
              <w:left w:val="single" w:sz="4" w:space="0" w:color="auto"/>
              <w:bottom w:val="single" w:sz="4" w:space="0" w:color="auto"/>
              <w:right w:val="single" w:sz="4" w:space="0" w:color="auto"/>
            </w:tcBorders>
          </w:tcPr>
          <w:p w14:paraId="08904A19"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1.0</w:t>
            </w:r>
          </w:p>
        </w:tc>
        <w:tc>
          <w:tcPr>
            <w:tcW w:w="1270" w:type="dxa"/>
            <w:tcBorders>
              <w:top w:val="single" w:sz="4" w:space="0" w:color="auto"/>
              <w:left w:val="single" w:sz="4" w:space="0" w:color="auto"/>
              <w:bottom w:val="single" w:sz="4" w:space="0" w:color="auto"/>
              <w:right w:val="single" w:sz="4" w:space="0" w:color="auto"/>
            </w:tcBorders>
          </w:tcPr>
          <w:p w14:paraId="2277475F"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0.0099N</w:t>
            </w:r>
          </w:p>
        </w:tc>
        <w:tc>
          <w:tcPr>
            <w:tcW w:w="1088" w:type="dxa"/>
            <w:tcBorders>
              <w:top w:val="single" w:sz="4" w:space="0" w:color="auto"/>
              <w:left w:val="single" w:sz="4" w:space="0" w:color="auto"/>
              <w:bottom w:val="single" w:sz="4" w:space="0" w:color="auto"/>
              <w:right w:val="single" w:sz="4" w:space="0" w:color="auto"/>
            </w:tcBorders>
          </w:tcPr>
          <w:p w14:paraId="54F9DA62"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0.04</w:t>
            </w:r>
          </w:p>
        </w:tc>
        <w:tc>
          <w:tcPr>
            <w:tcW w:w="1083" w:type="dxa"/>
            <w:tcBorders>
              <w:top w:val="single" w:sz="4" w:space="0" w:color="auto"/>
              <w:left w:val="single" w:sz="4" w:space="0" w:color="auto"/>
              <w:bottom w:val="single" w:sz="4" w:space="0" w:color="auto"/>
              <w:right w:val="single" w:sz="4" w:space="0" w:color="auto"/>
            </w:tcBorders>
          </w:tcPr>
          <w:p w14:paraId="103BB766"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0.02%</w:t>
            </w:r>
          </w:p>
        </w:tc>
      </w:tr>
    </w:tbl>
    <w:p w14:paraId="7CC49DE1" w14:textId="1CB9A183" w:rsidR="00C303EF" w:rsidRPr="004D0CC2" w:rsidRDefault="00E5749A" w:rsidP="007D4153">
      <w:pPr>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 xml:space="preserve"> </w:t>
      </w:r>
    </w:p>
    <w:p w14:paraId="0915C604" w14:textId="77777777" w:rsidR="00152E46" w:rsidRDefault="00C303EF" w:rsidP="00E5749A">
      <w:pPr>
        <w:ind w:left="-284"/>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 xml:space="preserve">   </w:t>
      </w:r>
      <w:r w:rsidR="00DD7429" w:rsidRPr="004D0CC2">
        <w:rPr>
          <w:rFonts w:ascii="Times New Roman" w:hAnsi="Times New Roman" w:cs="Times New Roman"/>
          <w:b/>
          <w:color w:val="000000" w:themeColor="text1"/>
          <w:sz w:val="24"/>
          <w:szCs w:val="24"/>
        </w:rPr>
        <w:tab/>
      </w:r>
      <w:r w:rsidRPr="004D0CC2">
        <w:rPr>
          <w:rFonts w:ascii="Times New Roman" w:hAnsi="Times New Roman" w:cs="Times New Roman"/>
          <w:b/>
          <w:color w:val="000000" w:themeColor="text1"/>
          <w:sz w:val="24"/>
          <w:szCs w:val="24"/>
        </w:rPr>
        <w:t xml:space="preserve"> </w:t>
      </w:r>
      <w:r w:rsidR="00E81E1F" w:rsidRPr="004D0CC2">
        <w:rPr>
          <w:rFonts w:ascii="Times New Roman" w:hAnsi="Times New Roman" w:cs="Times New Roman"/>
          <w:b/>
          <w:color w:val="000000" w:themeColor="text1"/>
          <w:sz w:val="24"/>
          <w:szCs w:val="24"/>
        </w:rPr>
        <w:tab/>
      </w:r>
    </w:p>
    <w:p w14:paraId="7991CF7F" w14:textId="58A4A1D8" w:rsidR="00E5749A" w:rsidRPr="004D0CC2" w:rsidRDefault="00152E46" w:rsidP="00E5749A">
      <w:pPr>
        <w:ind w:left="-284"/>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ab/>
      </w:r>
      <w:r>
        <w:rPr>
          <w:rFonts w:ascii="Times New Roman" w:hAnsi="Times New Roman" w:cs="Times New Roman"/>
          <w:b/>
          <w:color w:val="000000" w:themeColor="text1"/>
          <w:sz w:val="24"/>
          <w:szCs w:val="24"/>
        </w:rPr>
        <w:tab/>
      </w:r>
      <w:r w:rsidR="00E5749A" w:rsidRPr="004D0CC2">
        <w:rPr>
          <w:rFonts w:ascii="Times New Roman" w:hAnsi="Times New Roman" w:cs="Times New Roman"/>
          <w:b/>
          <w:color w:val="000000" w:themeColor="text1"/>
          <w:sz w:val="24"/>
          <w:szCs w:val="24"/>
        </w:rPr>
        <w:t>Table-6</w:t>
      </w:r>
      <w:r w:rsidR="002F1AA7" w:rsidRPr="004D0CC2">
        <w:rPr>
          <w:rFonts w:ascii="Times New Roman" w:hAnsi="Times New Roman" w:cs="Times New Roman"/>
          <w:b/>
          <w:color w:val="000000" w:themeColor="text1"/>
          <w:sz w:val="24"/>
          <w:szCs w:val="24"/>
        </w:rPr>
        <w:t>.</w:t>
      </w:r>
      <w:r w:rsidR="00E5749A" w:rsidRPr="004D0CC2">
        <w:rPr>
          <w:rFonts w:ascii="Times New Roman" w:hAnsi="Times New Roman" w:cs="Times New Roman"/>
          <w:b/>
          <w:color w:val="000000" w:themeColor="text1"/>
          <w:sz w:val="24"/>
          <w:szCs w:val="24"/>
        </w:rPr>
        <w:t xml:space="preserve"> Estimation of Magnesium</w:t>
      </w:r>
      <w:r w:rsidR="002F1AA7" w:rsidRPr="004D0CC2">
        <w:rPr>
          <w:rFonts w:ascii="Times New Roman" w:hAnsi="Times New Roman" w:cs="Times New Roman"/>
          <w:b/>
          <w:color w:val="000000" w:themeColor="text1"/>
          <w:sz w:val="24"/>
          <w:szCs w:val="24"/>
        </w:rPr>
        <w:t xml:space="preserve"> in soil samples from different areas of Bangalore</w:t>
      </w:r>
    </w:p>
    <w:tbl>
      <w:tblPr>
        <w:tblpPr w:leftFromText="180" w:rightFromText="180" w:vertAnchor="text" w:horzAnchor="margin" w:tblpXSpec="center" w:tblpY="83"/>
        <w:tblW w:w="9867" w:type="dxa"/>
        <w:tblLook w:val="0000" w:firstRow="0" w:lastRow="0" w:firstColumn="0" w:lastColumn="0" w:noHBand="0" w:noVBand="0"/>
      </w:tblPr>
      <w:tblGrid>
        <w:gridCol w:w="2016"/>
        <w:gridCol w:w="996"/>
        <w:gridCol w:w="1017"/>
        <w:gridCol w:w="950"/>
        <w:gridCol w:w="985"/>
        <w:gridCol w:w="1203"/>
        <w:gridCol w:w="1350"/>
        <w:gridCol w:w="1350"/>
      </w:tblGrid>
      <w:tr w:rsidR="00195919" w:rsidRPr="004D0CC2" w14:paraId="59040F01" w14:textId="77777777" w:rsidTr="00D3621B">
        <w:trPr>
          <w:trHeight w:val="1250"/>
        </w:trPr>
        <w:tc>
          <w:tcPr>
            <w:tcW w:w="2016" w:type="dxa"/>
            <w:tcBorders>
              <w:top w:val="single" w:sz="4" w:space="0" w:color="auto"/>
              <w:left w:val="single" w:sz="4" w:space="0" w:color="auto"/>
              <w:bottom w:val="single" w:sz="4" w:space="0" w:color="auto"/>
              <w:right w:val="single" w:sz="4" w:space="0" w:color="auto"/>
            </w:tcBorders>
          </w:tcPr>
          <w:p w14:paraId="69D241DB" w14:textId="77777777" w:rsidR="00E5749A" w:rsidRPr="004D0CC2" w:rsidRDefault="00E5749A" w:rsidP="00D3621B">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Sample ID</w:t>
            </w:r>
          </w:p>
          <w:p w14:paraId="42355F2D" w14:textId="77777777" w:rsidR="00E5749A" w:rsidRPr="004D0CC2" w:rsidRDefault="00E5749A" w:rsidP="00D3621B">
            <w:pPr>
              <w:spacing w:line="360" w:lineRule="auto"/>
              <w:jc w:val="center"/>
              <w:rPr>
                <w:rFonts w:ascii="Times New Roman" w:hAnsi="Times New Roman" w:cs="Times New Roman"/>
                <w:color w:val="000000" w:themeColor="text1"/>
                <w:sz w:val="24"/>
                <w:szCs w:val="24"/>
              </w:rPr>
            </w:pPr>
          </w:p>
        </w:tc>
        <w:tc>
          <w:tcPr>
            <w:tcW w:w="996" w:type="dxa"/>
            <w:tcBorders>
              <w:top w:val="single" w:sz="4" w:space="0" w:color="auto"/>
              <w:left w:val="single" w:sz="4" w:space="0" w:color="auto"/>
              <w:bottom w:val="single" w:sz="4" w:space="0" w:color="auto"/>
              <w:right w:val="single" w:sz="4" w:space="0" w:color="auto"/>
            </w:tcBorders>
          </w:tcPr>
          <w:p w14:paraId="14911B6A" w14:textId="77777777" w:rsidR="00E5749A" w:rsidRPr="004D0CC2" w:rsidRDefault="00E5749A" w:rsidP="00D3621B">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Sample weight</w:t>
            </w:r>
          </w:p>
        </w:tc>
        <w:tc>
          <w:tcPr>
            <w:tcW w:w="1017" w:type="dxa"/>
            <w:tcBorders>
              <w:top w:val="single" w:sz="4" w:space="0" w:color="auto"/>
              <w:left w:val="single" w:sz="4" w:space="0" w:color="auto"/>
              <w:bottom w:val="single" w:sz="4" w:space="0" w:color="auto"/>
              <w:right w:val="single" w:sz="4" w:space="0" w:color="auto"/>
            </w:tcBorders>
          </w:tcPr>
          <w:p w14:paraId="1DD571B9" w14:textId="77777777" w:rsidR="00E5749A" w:rsidRPr="004D0CC2" w:rsidRDefault="00E5749A" w:rsidP="00D3621B">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Dilution (ml)</w:t>
            </w:r>
          </w:p>
        </w:tc>
        <w:tc>
          <w:tcPr>
            <w:tcW w:w="950" w:type="dxa"/>
            <w:tcBorders>
              <w:top w:val="single" w:sz="4" w:space="0" w:color="auto"/>
              <w:left w:val="single" w:sz="4" w:space="0" w:color="auto"/>
              <w:bottom w:val="single" w:sz="4" w:space="0" w:color="auto"/>
              <w:right w:val="single" w:sz="4" w:space="0" w:color="auto"/>
            </w:tcBorders>
          </w:tcPr>
          <w:p w14:paraId="2078933C" w14:textId="77777777" w:rsidR="00E5749A" w:rsidRPr="004D0CC2" w:rsidRDefault="00E5749A" w:rsidP="00D3621B">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Aliquot (ml)</w:t>
            </w:r>
          </w:p>
        </w:tc>
        <w:tc>
          <w:tcPr>
            <w:tcW w:w="985" w:type="dxa"/>
            <w:tcBorders>
              <w:top w:val="single" w:sz="4" w:space="0" w:color="auto"/>
              <w:left w:val="single" w:sz="4" w:space="0" w:color="auto"/>
              <w:bottom w:val="single" w:sz="4" w:space="0" w:color="auto"/>
              <w:right w:val="single" w:sz="4" w:space="0" w:color="auto"/>
            </w:tcBorders>
          </w:tcPr>
          <w:p w14:paraId="4CB53425" w14:textId="77777777" w:rsidR="00E5749A" w:rsidRPr="004D0CC2" w:rsidRDefault="00E5749A" w:rsidP="00D3621B">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Titre value (ml)</w:t>
            </w:r>
          </w:p>
        </w:tc>
        <w:tc>
          <w:tcPr>
            <w:tcW w:w="1203" w:type="dxa"/>
            <w:tcBorders>
              <w:top w:val="single" w:sz="4" w:space="0" w:color="auto"/>
              <w:left w:val="single" w:sz="4" w:space="0" w:color="auto"/>
              <w:bottom w:val="single" w:sz="4" w:space="0" w:color="auto"/>
              <w:right w:val="single" w:sz="4" w:space="0" w:color="auto"/>
            </w:tcBorders>
          </w:tcPr>
          <w:p w14:paraId="5E9E56FE" w14:textId="77777777" w:rsidR="00E5749A" w:rsidRPr="004D0CC2" w:rsidRDefault="00E5749A" w:rsidP="00D3621B">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Normality</w:t>
            </w:r>
          </w:p>
        </w:tc>
        <w:tc>
          <w:tcPr>
            <w:tcW w:w="1350" w:type="dxa"/>
            <w:tcBorders>
              <w:top w:val="single" w:sz="4" w:space="0" w:color="auto"/>
              <w:left w:val="single" w:sz="4" w:space="0" w:color="auto"/>
              <w:bottom w:val="single" w:sz="4" w:space="0" w:color="auto"/>
              <w:right w:val="single" w:sz="4" w:space="0" w:color="auto"/>
            </w:tcBorders>
          </w:tcPr>
          <w:p w14:paraId="7B7C2928" w14:textId="77777777" w:rsidR="00E5749A" w:rsidRPr="004D0CC2" w:rsidRDefault="00E5749A" w:rsidP="00D3621B">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Magnesium factor</w:t>
            </w:r>
          </w:p>
        </w:tc>
        <w:tc>
          <w:tcPr>
            <w:tcW w:w="1350" w:type="dxa"/>
            <w:tcBorders>
              <w:top w:val="single" w:sz="4" w:space="0" w:color="auto"/>
              <w:left w:val="single" w:sz="4" w:space="0" w:color="auto"/>
              <w:bottom w:val="single" w:sz="4" w:space="0" w:color="auto"/>
              <w:right w:val="single" w:sz="4" w:space="0" w:color="auto"/>
            </w:tcBorders>
          </w:tcPr>
          <w:p w14:paraId="6543F065" w14:textId="77777777" w:rsidR="00E5749A" w:rsidRPr="004D0CC2" w:rsidRDefault="00E5749A" w:rsidP="00D3621B">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Magnesium</w:t>
            </w:r>
          </w:p>
          <w:p w14:paraId="7A6A3F1C" w14:textId="77777777" w:rsidR="00E5749A" w:rsidRPr="004D0CC2" w:rsidRDefault="00E5749A" w:rsidP="00D3621B">
            <w:pPr>
              <w:rPr>
                <w:rFonts w:ascii="Times New Roman" w:hAnsi="Times New Roman" w:cs="Times New Roman"/>
                <w:color w:val="000000" w:themeColor="text1"/>
                <w:sz w:val="24"/>
                <w:szCs w:val="24"/>
              </w:rPr>
            </w:pPr>
            <w:r w:rsidRPr="004D0CC2">
              <w:rPr>
                <w:rFonts w:ascii="Times New Roman" w:hAnsi="Times New Roman" w:cs="Times New Roman"/>
                <w:color w:val="000000" w:themeColor="text1"/>
                <w:sz w:val="24"/>
                <w:szCs w:val="24"/>
              </w:rPr>
              <w:t>(%)</w:t>
            </w:r>
          </w:p>
        </w:tc>
      </w:tr>
      <w:tr w:rsidR="001221CC" w:rsidRPr="004D0CC2" w14:paraId="4F59FACB" w14:textId="77777777" w:rsidTr="00D3621B">
        <w:trPr>
          <w:trHeight w:val="832"/>
        </w:trPr>
        <w:tc>
          <w:tcPr>
            <w:tcW w:w="2016" w:type="dxa"/>
            <w:tcBorders>
              <w:top w:val="single" w:sz="4" w:space="0" w:color="auto"/>
              <w:left w:val="single" w:sz="4" w:space="0" w:color="auto"/>
              <w:bottom w:val="single" w:sz="4" w:space="0" w:color="auto"/>
              <w:right w:val="single" w:sz="4" w:space="0" w:color="auto"/>
            </w:tcBorders>
          </w:tcPr>
          <w:p w14:paraId="0BC080B1" w14:textId="2D51871B"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color w:val="000000" w:themeColor="text1"/>
                <w:sz w:val="24"/>
                <w:szCs w:val="24"/>
              </w:rPr>
              <w:t>Gen/2018/03/0006 (Agricultural field, Chikkaballapur)</w:t>
            </w:r>
          </w:p>
        </w:tc>
        <w:tc>
          <w:tcPr>
            <w:tcW w:w="996" w:type="dxa"/>
            <w:tcBorders>
              <w:top w:val="single" w:sz="4" w:space="0" w:color="auto"/>
              <w:left w:val="single" w:sz="4" w:space="0" w:color="auto"/>
              <w:bottom w:val="single" w:sz="4" w:space="0" w:color="auto"/>
              <w:right w:val="single" w:sz="4" w:space="0" w:color="auto"/>
            </w:tcBorders>
          </w:tcPr>
          <w:p w14:paraId="7315CC48"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2.0078g</w:t>
            </w:r>
          </w:p>
        </w:tc>
        <w:tc>
          <w:tcPr>
            <w:tcW w:w="1017" w:type="dxa"/>
            <w:tcBorders>
              <w:top w:val="single" w:sz="4" w:space="0" w:color="auto"/>
              <w:left w:val="single" w:sz="4" w:space="0" w:color="auto"/>
              <w:bottom w:val="single" w:sz="4" w:space="0" w:color="auto"/>
              <w:right w:val="single" w:sz="4" w:space="0" w:color="auto"/>
            </w:tcBorders>
          </w:tcPr>
          <w:p w14:paraId="264AD906"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100</w:t>
            </w:r>
          </w:p>
        </w:tc>
        <w:tc>
          <w:tcPr>
            <w:tcW w:w="950" w:type="dxa"/>
            <w:tcBorders>
              <w:top w:val="single" w:sz="4" w:space="0" w:color="auto"/>
              <w:left w:val="single" w:sz="4" w:space="0" w:color="auto"/>
              <w:bottom w:val="single" w:sz="4" w:space="0" w:color="auto"/>
              <w:right w:val="single" w:sz="4" w:space="0" w:color="auto"/>
            </w:tcBorders>
          </w:tcPr>
          <w:p w14:paraId="20748031"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20</w:t>
            </w:r>
          </w:p>
        </w:tc>
        <w:tc>
          <w:tcPr>
            <w:tcW w:w="985" w:type="dxa"/>
            <w:tcBorders>
              <w:top w:val="single" w:sz="4" w:space="0" w:color="auto"/>
              <w:left w:val="single" w:sz="4" w:space="0" w:color="auto"/>
              <w:bottom w:val="single" w:sz="4" w:space="0" w:color="auto"/>
              <w:right w:val="single" w:sz="4" w:space="0" w:color="auto"/>
            </w:tcBorders>
          </w:tcPr>
          <w:p w14:paraId="30669671"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Mg=1.3</w:t>
            </w:r>
          </w:p>
          <w:p w14:paraId="6AA64131"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Ca=0.8</w:t>
            </w:r>
          </w:p>
        </w:tc>
        <w:tc>
          <w:tcPr>
            <w:tcW w:w="1203" w:type="dxa"/>
            <w:tcBorders>
              <w:top w:val="single" w:sz="4" w:space="0" w:color="auto"/>
              <w:left w:val="single" w:sz="4" w:space="0" w:color="auto"/>
              <w:bottom w:val="single" w:sz="4" w:space="0" w:color="auto"/>
              <w:right w:val="single" w:sz="4" w:space="0" w:color="auto"/>
            </w:tcBorders>
          </w:tcPr>
          <w:p w14:paraId="071FF455"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0.0100N</w:t>
            </w:r>
          </w:p>
        </w:tc>
        <w:tc>
          <w:tcPr>
            <w:tcW w:w="1350" w:type="dxa"/>
            <w:tcBorders>
              <w:top w:val="single" w:sz="4" w:space="0" w:color="auto"/>
              <w:left w:val="single" w:sz="4" w:space="0" w:color="auto"/>
              <w:bottom w:val="single" w:sz="4" w:space="0" w:color="auto"/>
              <w:right w:val="single" w:sz="4" w:space="0" w:color="auto"/>
            </w:tcBorders>
          </w:tcPr>
          <w:p w14:paraId="6FED1A32"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0.0.3</w:t>
            </w:r>
          </w:p>
        </w:tc>
        <w:tc>
          <w:tcPr>
            <w:tcW w:w="1350" w:type="dxa"/>
            <w:tcBorders>
              <w:top w:val="single" w:sz="4" w:space="0" w:color="auto"/>
              <w:left w:val="single" w:sz="4" w:space="0" w:color="auto"/>
              <w:bottom w:val="single" w:sz="4" w:space="0" w:color="auto"/>
              <w:right w:val="single" w:sz="4" w:space="0" w:color="auto"/>
            </w:tcBorders>
          </w:tcPr>
          <w:p w14:paraId="7612EEA4"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0.03%</w:t>
            </w:r>
          </w:p>
        </w:tc>
      </w:tr>
      <w:tr w:rsidR="001221CC" w:rsidRPr="004D0CC2" w14:paraId="2A58691E" w14:textId="77777777" w:rsidTr="00D3621B">
        <w:trPr>
          <w:trHeight w:val="832"/>
        </w:trPr>
        <w:tc>
          <w:tcPr>
            <w:tcW w:w="2016" w:type="dxa"/>
            <w:tcBorders>
              <w:top w:val="single" w:sz="4" w:space="0" w:color="auto"/>
              <w:left w:val="single" w:sz="4" w:space="0" w:color="auto"/>
              <w:bottom w:val="single" w:sz="4" w:space="0" w:color="auto"/>
              <w:right w:val="single" w:sz="4" w:space="0" w:color="auto"/>
            </w:tcBorders>
          </w:tcPr>
          <w:p w14:paraId="49F72945" w14:textId="6FF50D7C"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color w:val="000000" w:themeColor="text1"/>
                <w:sz w:val="24"/>
                <w:szCs w:val="24"/>
              </w:rPr>
              <w:t>Gen/2018/03/0025 (Waste dumped area, Hosakote)</w:t>
            </w:r>
          </w:p>
        </w:tc>
        <w:tc>
          <w:tcPr>
            <w:tcW w:w="996" w:type="dxa"/>
            <w:tcBorders>
              <w:top w:val="single" w:sz="4" w:space="0" w:color="auto"/>
              <w:left w:val="single" w:sz="4" w:space="0" w:color="auto"/>
              <w:bottom w:val="single" w:sz="4" w:space="0" w:color="auto"/>
              <w:right w:val="single" w:sz="4" w:space="0" w:color="auto"/>
            </w:tcBorders>
          </w:tcPr>
          <w:p w14:paraId="29F708A5" w14:textId="77777777" w:rsidR="001221CC" w:rsidRPr="004D0CC2" w:rsidRDefault="001221CC" w:rsidP="001221CC">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2.0055g</w:t>
            </w:r>
          </w:p>
        </w:tc>
        <w:tc>
          <w:tcPr>
            <w:tcW w:w="1017" w:type="dxa"/>
            <w:tcBorders>
              <w:top w:val="single" w:sz="4" w:space="0" w:color="auto"/>
              <w:left w:val="single" w:sz="4" w:space="0" w:color="auto"/>
              <w:bottom w:val="single" w:sz="4" w:space="0" w:color="auto"/>
              <w:right w:val="single" w:sz="4" w:space="0" w:color="auto"/>
            </w:tcBorders>
          </w:tcPr>
          <w:p w14:paraId="05136DD9" w14:textId="77777777" w:rsidR="001221CC" w:rsidRPr="004D0CC2" w:rsidRDefault="001221CC" w:rsidP="001221CC">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100</w:t>
            </w:r>
          </w:p>
        </w:tc>
        <w:tc>
          <w:tcPr>
            <w:tcW w:w="950" w:type="dxa"/>
            <w:tcBorders>
              <w:top w:val="single" w:sz="4" w:space="0" w:color="auto"/>
              <w:left w:val="single" w:sz="4" w:space="0" w:color="auto"/>
              <w:bottom w:val="single" w:sz="4" w:space="0" w:color="auto"/>
              <w:right w:val="single" w:sz="4" w:space="0" w:color="auto"/>
            </w:tcBorders>
          </w:tcPr>
          <w:p w14:paraId="5569D162" w14:textId="77777777" w:rsidR="001221CC" w:rsidRPr="004D0CC2" w:rsidRDefault="001221CC" w:rsidP="001221CC">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20</w:t>
            </w:r>
          </w:p>
        </w:tc>
        <w:tc>
          <w:tcPr>
            <w:tcW w:w="985" w:type="dxa"/>
            <w:tcBorders>
              <w:top w:val="single" w:sz="4" w:space="0" w:color="auto"/>
              <w:left w:val="single" w:sz="4" w:space="0" w:color="auto"/>
              <w:bottom w:val="single" w:sz="4" w:space="0" w:color="auto"/>
              <w:right w:val="single" w:sz="4" w:space="0" w:color="auto"/>
            </w:tcBorders>
          </w:tcPr>
          <w:p w14:paraId="5792753E" w14:textId="77777777" w:rsidR="001221CC" w:rsidRPr="004D0CC2" w:rsidRDefault="001221CC" w:rsidP="001221CC">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Mg=3.3</w:t>
            </w:r>
          </w:p>
          <w:p w14:paraId="28A8A0CB" w14:textId="77777777" w:rsidR="001221CC" w:rsidRPr="004D0CC2" w:rsidRDefault="001221CC" w:rsidP="001221CC">
            <w:pPr>
              <w:spacing w:line="360" w:lineRule="auto"/>
              <w:rPr>
                <w:rFonts w:ascii="Times New Roman" w:hAnsi="Times New Roman" w:cs="Times New Roman"/>
                <w:color w:val="000000" w:themeColor="text1"/>
                <w:sz w:val="24"/>
                <w:szCs w:val="24"/>
              </w:rPr>
            </w:pPr>
            <w:r w:rsidRPr="004D0CC2">
              <w:rPr>
                <w:rFonts w:ascii="Times New Roman" w:hAnsi="Times New Roman" w:cs="Times New Roman"/>
                <w:color w:val="000000" w:themeColor="text1"/>
                <w:sz w:val="24"/>
                <w:szCs w:val="24"/>
              </w:rPr>
              <w:t>Ca=2.0</w:t>
            </w:r>
          </w:p>
        </w:tc>
        <w:tc>
          <w:tcPr>
            <w:tcW w:w="1203" w:type="dxa"/>
            <w:tcBorders>
              <w:top w:val="single" w:sz="4" w:space="0" w:color="auto"/>
              <w:left w:val="single" w:sz="4" w:space="0" w:color="auto"/>
              <w:bottom w:val="single" w:sz="4" w:space="0" w:color="auto"/>
              <w:right w:val="single" w:sz="4" w:space="0" w:color="auto"/>
            </w:tcBorders>
          </w:tcPr>
          <w:p w14:paraId="682D5A58" w14:textId="77777777" w:rsidR="001221CC" w:rsidRPr="004D0CC2" w:rsidRDefault="001221CC" w:rsidP="001221CC">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0.0099N</w:t>
            </w:r>
          </w:p>
        </w:tc>
        <w:tc>
          <w:tcPr>
            <w:tcW w:w="1350" w:type="dxa"/>
            <w:tcBorders>
              <w:top w:val="single" w:sz="4" w:space="0" w:color="auto"/>
              <w:left w:val="single" w:sz="4" w:space="0" w:color="auto"/>
              <w:bottom w:val="single" w:sz="4" w:space="0" w:color="auto"/>
              <w:right w:val="single" w:sz="4" w:space="0" w:color="auto"/>
            </w:tcBorders>
          </w:tcPr>
          <w:p w14:paraId="2EEFD090" w14:textId="77777777" w:rsidR="001221CC" w:rsidRPr="004D0CC2" w:rsidRDefault="001221CC" w:rsidP="001221CC">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0.0243</w:t>
            </w:r>
          </w:p>
        </w:tc>
        <w:tc>
          <w:tcPr>
            <w:tcW w:w="1350" w:type="dxa"/>
            <w:tcBorders>
              <w:top w:val="single" w:sz="4" w:space="0" w:color="auto"/>
              <w:left w:val="single" w:sz="4" w:space="0" w:color="auto"/>
              <w:bottom w:val="single" w:sz="4" w:space="0" w:color="auto"/>
              <w:right w:val="single" w:sz="4" w:space="0" w:color="auto"/>
            </w:tcBorders>
          </w:tcPr>
          <w:p w14:paraId="4121020C"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0.02%</w:t>
            </w:r>
          </w:p>
        </w:tc>
      </w:tr>
      <w:tr w:rsidR="001221CC" w:rsidRPr="004D0CC2" w14:paraId="70051898" w14:textId="77777777" w:rsidTr="00D3621B">
        <w:trPr>
          <w:trHeight w:val="832"/>
        </w:trPr>
        <w:tc>
          <w:tcPr>
            <w:tcW w:w="2016" w:type="dxa"/>
            <w:tcBorders>
              <w:top w:val="single" w:sz="4" w:space="0" w:color="auto"/>
              <w:left w:val="single" w:sz="4" w:space="0" w:color="auto"/>
              <w:bottom w:val="single" w:sz="4" w:space="0" w:color="auto"/>
              <w:right w:val="single" w:sz="4" w:space="0" w:color="auto"/>
            </w:tcBorders>
          </w:tcPr>
          <w:p w14:paraId="1CC566D0" w14:textId="2815BCCC"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color w:val="000000" w:themeColor="text1"/>
                <w:sz w:val="24"/>
                <w:szCs w:val="24"/>
              </w:rPr>
              <w:t>Gen/2018/03/0026 (Rajajinagar Industrial town)</w:t>
            </w:r>
          </w:p>
        </w:tc>
        <w:tc>
          <w:tcPr>
            <w:tcW w:w="996" w:type="dxa"/>
            <w:tcBorders>
              <w:top w:val="single" w:sz="4" w:space="0" w:color="auto"/>
              <w:left w:val="single" w:sz="4" w:space="0" w:color="auto"/>
              <w:bottom w:val="single" w:sz="4" w:space="0" w:color="auto"/>
              <w:right w:val="single" w:sz="4" w:space="0" w:color="auto"/>
            </w:tcBorders>
          </w:tcPr>
          <w:p w14:paraId="5C05F4E8"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2.0718g</w:t>
            </w:r>
          </w:p>
        </w:tc>
        <w:tc>
          <w:tcPr>
            <w:tcW w:w="1017" w:type="dxa"/>
            <w:tcBorders>
              <w:top w:val="single" w:sz="4" w:space="0" w:color="auto"/>
              <w:left w:val="single" w:sz="4" w:space="0" w:color="auto"/>
              <w:bottom w:val="single" w:sz="4" w:space="0" w:color="auto"/>
              <w:right w:val="single" w:sz="4" w:space="0" w:color="auto"/>
            </w:tcBorders>
          </w:tcPr>
          <w:p w14:paraId="6B913CB9"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100</w:t>
            </w:r>
          </w:p>
        </w:tc>
        <w:tc>
          <w:tcPr>
            <w:tcW w:w="950" w:type="dxa"/>
            <w:tcBorders>
              <w:top w:val="single" w:sz="4" w:space="0" w:color="auto"/>
              <w:left w:val="single" w:sz="4" w:space="0" w:color="auto"/>
              <w:bottom w:val="single" w:sz="4" w:space="0" w:color="auto"/>
              <w:right w:val="single" w:sz="4" w:space="0" w:color="auto"/>
            </w:tcBorders>
          </w:tcPr>
          <w:p w14:paraId="3DD37A3F"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20</w:t>
            </w:r>
          </w:p>
        </w:tc>
        <w:tc>
          <w:tcPr>
            <w:tcW w:w="985" w:type="dxa"/>
            <w:tcBorders>
              <w:top w:val="single" w:sz="4" w:space="0" w:color="auto"/>
              <w:left w:val="single" w:sz="4" w:space="0" w:color="auto"/>
              <w:bottom w:val="single" w:sz="4" w:space="0" w:color="auto"/>
              <w:right w:val="single" w:sz="4" w:space="0" w:color="auto"/>
            </w:tcBorders>
          </w:tcPr>
          <w:p w14:paraId="7505923C"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Mg=2.9</w:t>
            </w:r>
          </w:p>
          <w:p w14:paraId="71C7EF58" w14:textId="77777777" w:rsidR="001221CC" w:rsidRPr="004D0CC2" w:rsidRDefault="001221CC" w:rsidP="001221CC">
            <w:pPr>
              <w:spacing w:line="360" w:lineRule="auto"/>
              <w:rPr>
                <w:rFonts w:ascii="Times New Roman" w:hAnsi="Times New Roman" w:cs="Times New Roman"/>
                <w:color w:val="000000" w:themeColor="text1"/>
                <w:sz w:val="24"/>
                <w:szCs w:val="24"/>
              </w:rPr>
            </w:pPr>
            <w:r w:rsidRPr="004D0CC2">
              <w:rPr>
                <w:rFonts w:ascii="Times New Roman" w:hAnsi="Times New Roman" w:cs="Times New Roman"/>
                <w:color w:val="000000" w:themeColor="text1"/>
                <w:sz w:val="24"/>
                <w:szCs w:val="24"/>
              </w:rPr>
              <w:t>Ca=1.1</w:t>
            </w:r>
          </w:p>
        </w:tc>
        <w:tc>
          <w:tcPr>
            <w:tcW w:w="1203" w:type="dxa"/>
            <w:tcBorders>
              <w:top w:val="single" w:sz="4" w:space="0" w:color="auto"/>
              <w:left w:val="single" w:sz="4" w:space="0" w:color="auto"/>
              <w:bottom w:val="single" w:sz="4" w:space="0" w:color="auto"/>
              <w:right w:val="single" w:sz="4" w:space="0" w:color="auto"/>
            </w:tcBorders>
          </w:tcPr>
          <w:p w14:paraId="1E36045F"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0.0099N</w:t>
            </w:r>
          </w:p>
        </w:tc>
        <w:tc>
          <w:tcPr>
            <w:tcW w:w="1350" w:type="dxa"/>
            <w:tcBorders>
              <w:top w:val="single" w:sz="4" w:space="0" w:color="auto"/>
              <w:left w:val="single" w:sz="4" w:space="0" w:color="auto"/>
              <w:bottom w:val="single" w:sz="4" w:space="0" w:color="auto"/>
              <w:right w:val="single" w:sz="4" w:space="0" w:color="auto"/>
            </w:tcBorders>
          </w:tcPr>
          <w:p w14:paraId="19527EAA"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0.0243</w:t>
            </w:r>
          </w:p>
        </w:tc>
        <w:tc>
          <w:tcPr>
            <w:tcW w:w="1350" w:type="dxa"/>
            <w:tcBorders>
              <w:top w:val="single" w:sz="4" w:space="0" w:color="auto"/>
              <w:left w:val="single" w:sz="4" w:space="0" w:color="auto"/>
              <w:bottom w:val="single" w:sz="4" w:space="0" w:color="auto"/>
              <w:right w:val="single" w:sz="4" w:space="0" w:color="auto"/>
            </w:tcBorders>
          </w:tcPr>
          <w:p w14:paraId="0CD2048C"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0.02%</w:t>
            </w:r>
          </w:p>
        </w:tc>
      </w:tr>
      <w:tr w:rsidR="001221CC" w:rsidRPr="004D0CC2" w14:paraId="2355AF2F" w14:textId="77777777" w:rsidTr="00D3621B">
        <w:trPr>
          <w:trHeight w:val="846"/>
        </w:trPr>
        <w:tc>
          <w:tcPr>
            <w:tcW w:w="2016" w:type="dxa"/>
            <w:tcBorders>
              <w:top w:val="single" w:sz="4" w:space="0" w:color="auto"/>
              <w:left w:val="single" w:sz="4" w:space="0" w:color="auto"/>
              <w:bottom w:val="single" w:sz="4" w:space="0" w:color="auto"/>
              <w:right w:val="single" w:sz="4" w:space="0" w:color="auto"/>
            </w:tcBorders>
          </w:tcPr>
          <w:p w14:paraId="0E8D5FBB" w14:textId="33936403"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color w:val="000000" w:themeColor="text1"/>
                <w:sz w:val="24"/>
                <w:szCs w:val="24"/>
              </w:rPr>
              <w:t>Gen/2018/03/0027 (Magadi Road Residential area)</w:t>
            </w:r>
          </w:p>
        </w:tc>
        <w:tc>
          <w:tcPr>
            <w:tcW w:w="996" w:type="dxa"/>
            <w:tcBorders>
              <w:top w:val="single" w:sz="4" w:space="0" w:color="auto"/>
              <w:left w:val="single" w:sz="4" w:space="0" w:color="auto"/>
              <w:bottom w:val="single" w:sz="4" w:space="0" w:color="auto"/>
              <w:right w:val="single" w:sz="4" w:space="0" w:color="auto"/>
            </w:tcBorders>
          </w:tcPr>
          <w:p w14:paraId="609E3A9C"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2.1278g</w:t>
            </w:r>
          </w:p>
        </w:tc>
        <w:tc>
          <w:tcPr>
            <w:tcW w:w="1017" w:type="dxa"/>
            <w:tcBorders>
              <w:top w:val="single" w:sz="4" w:space="0" w:color="auto"/>
              <w:left w:val="single" w:sz="4" w:space="0" w:color="auto"/>
              <w:bottom w:val="single" w:sz="4" w:space="0" w:color="auto"/>
              <w:right w:val="single" w:sz="4" w:space="0" w:color="auto"/>
            </w:tcBorders>
          </w:tcPr>
          <w:p w14:paraId="313B5CEC"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100</w:t>
            </w:r>
          </w:p>
        </w:tc>
        <w:tc>
          <w:tcPr>
            <w:tcW w:w="950" w:type="dxa"/>
            <w:tcBorders>
              <w:top w:val="single" w:sz="4" w:space="0" w:color="auto"/>
              <w:left w:val="single" w:sz="4" w:space="0" w:color="auto"/>
              <w:bottom w:val="single" w:sz="4" w:space="0" w:color="auto"/>
              <w:right w:val="single" w:sz="4" w:space="0" w:color="auto"/>
            </w:tcBorders>
          </w:tcPr>
          <w:p w14:paraId="4D6892F0"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20</w:t>
            </w:r>
          </w:p>
        </w:tc>
        <w:tc>
          <w:tcPr>
            <w:tcW w:w="985" w:type="dxa"/>
            <w:tcBorders>
              <w:top w:val="single" w:sz="4" w:space="0" w:color="auto"/>
              <w:left w:val="single" w:sz="4" w:space="0" w:color="auto"/>
              <w:bottom w:val="single" w:sz="4" w:space="0" w:color="auto"/>
              <w:right w:val="single" w:sz="4" w:space="0" w:color="auto"/>
            </w:tcBorders>
          </w:tcPr>
          <w:p w14:paraId="3FD9ECC9"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Mg=2.0</w:t>
            </w:r>
          </w:p>
          <w:p w14:paraId="265DAE91"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Ca=1.0</w:t>
            </w:r>
          </w:p>
        </w:tc>
        <w:tc>
          <w:tcPr>
            <w:tcW w:w="1203" w:type="dxa"/>
            <w:tcBorders>
              <w:top w:val="single" w:sz="4" w:space="0" w:color="auto"/>
              <w:left w:val="single" w:sz="4" w:space="0" w:color="auto"/>
              <w:bottom w:val="single" w:sz="4" w:space="0" w:color="auto"/>
              <w:right w:val="single" w:sz="4" w:space="0" w:color="auto"/>
            </w:tcBorders>
          </w:tcPr>
          <w:p w14:paraId="72FEB874"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0.0099N</w:t>
            </w:r>
          </w:p>
        </w:tc>
        <w:tc>
          <w:tcPr>
            <w:tcW w:w="1350" w:type="dxa"/>
            <w:tcBorders>
              <w:top w:val="single" w:sz="4" w:space="0" w:color="auto"/>
              <w:left w:val="single" w:sz="4" w:space="0" w:color="auto"/>
              <w:bottom w:val="single" w:sz="4" w:space="0" w:color="auto"/>
              <w:right w:val="single" w:sz="4" w:space="0" w:color="auto"/>
            </w:tcBorders>
          </w:tcPr>
          <w:p w14:paraId="30F73ACB"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0.0243</w:t>
            </w:r>
          </w:p>
        </w:tc>
        <w:tc>
          <w:tcPr>
            <w:tcW w:w="1350" w:type="dxa"/>
            <w:tcBorders>
              <w:top w:val="single" w:sz="4" w:space="0" w:color="auto"/>
              <w:left w:val="single" w:sz="4" w:space="0" w:color="auto"/>
              <w:bottom w:val="single" w:sz="4" w:space="0" w:color="auto"/>
              <w:right w:val="single" w:sz="4" w:space="0" w:color="auto"/>
            </w:tcBorders>
          </w:tcPr>
          <w:p w14:paraId="179752F1"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0.01%</w:t>
            </w:r>
          </w:p>
        </w:tc>
      </w:tr>
    </w:tbl>
    <w:p w14:paraId="47AE5AA9" w14:textId="1042FE36" w:rsidR="00E60C89" w:rsidRPr="004D0CC2" w:rsidRDefault="00E5749A" w:rsidP="00E5749A">
      <w:pPr>
        <w:ind w:left="-1418"/>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 xml:space="preserve">                                      </w:t>
      </w:r>
    </w:p>
    <w:p w14:paraId="292E6A6E" w14:textId="39AF886C" w:rsidR="00E5749A" w:rsidRPr="004D0CC2" w:rsidRDefault="00E5749A" w:rsidP="00E5749A">
      <w:pPr>
        <w:ind w:left="-1418"/>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 xml:space="preserve">  </w:t>
      </w:r>
      <w:r w:rsidR="00D91912" w:rsidRPr="004D0CC2">
        <w:rPr>
          <w:rFonts w:ascii="Times New Roman" w:hAnsi="Times New Roman" w:cs="Times New Roman"/>
          <w:b/>
          <w:color w:val="000000" w:themeColor="text1"/>
          <w:sz w:val="24"/>
          <w:szCs w:val="24"/>
        </w:rPr>
        <w:tab/>
      </w:r>
      <w:r w:rsidR="0071715A" w:rsidRPr="004D0CC2">
        <w:rPr>
          <w:rFonts w:ascii="Times New Roman" w:hAnsi="Times New Roman" w:cs="Times New Roman"/>
          <w:b/>
          <w:color w:val="000000" w:themeColor="text1"/>
          <w:sz w:val="24"/>
          <w:szCs w:val="24"/>
        </w:rPr>
        <w:tab/>
      </w:r>
      <w:bookmarkStart w:id="5" w:name="_Hlk227410326"/>
      <w:r w:rsidRPr="004D0CC2">
        <w:rPr>
          <w:rFonts w:ascii="Times New Roman" w:hAnsi="Times New Roman" w:cs="Times New Roman"/>
          <w:b/>
          <w:color w:val="000000" w:themeColor="text1"/>
          <w:sz w:val="24"/>
          <w:szCs w:val="24"/>
        </w:rPr>
        <w:t>Table-7</w:t>
      </w:r>
      <w:r w:rsidR="002F1AA7" w:rsidRPr="004D0CC2">
        <w:rPr>
          <w:rFonts w:ascii="Times New Roman" w:hAnsi="Times New Roman" w:cs="Times New Roman"/>
          <w:b/>
          <w:color w:val="000000" w:themeColor="text1"/>
          <w:sz w:val="24"/>
          <w:szCs w:val="24"/>
        </w:rPr>
        <w:t>. E</w:t>
      </w:r>
      <w:r w:rsidRPr="004D0CC2">
        <w:rPr>
          <w:rFonts w:ascii="Times New Roman" w:hAnsi="Times New Roman" w:cs="Times New Roman"/>
          <w:b/>
          <w:color w:val="000000" w:themeColor="text1"/>
          <w:sz w:val="24"/>
          <w:szCs w:val="24"/>
        </w:rPr>
        <w:t>stimation of lead,</w:t>
      </w:r>
      <w:r w:rsidR="0043781E" w:rsidRPr="004D0CC2">
        <w:rPr>
          <w:rFonts w:ascii="Times New Roman" w:hAnsi="Times New Roman" w:cs="Times New Roman"/>
          <w:b/>
          <w:color w:val="000000" w:themeColor="text1"/>
          <w:sz w:val="24"/>
          <w:szCs w:val="24"/>
        </w:rPr>
        <w:t xml:space="preserve"> </w:t>
      </w:r>
      <w:r w:rsidRPr="004D0CC2">
        <w:rPr>
          <w:rFonts w:ascii="Times New Roman" w:hAnsi="Times New Roman" w:cs="Times New Roman"/>
          <w:b/>
          <w:color w:val="000000" w:themeColor="text1"/>
          <w:sz w:val="24"/>
          <w:szCs w:val="24"/>
        </w:rPr>
        <w:t>Mercury, Zinc, copper and Iron</w:t>
      </w:r>
      <w:r w:rsidR="002F1AA7" w:rsidRPr="004D0CC2">
        <w:rPr>
          <w:rFonts w:ascii="Times New Roman" w:hAnsi="Times New Roman" w:cs="Times New Roman"/>
          <w:b/>
          <w:color w:val="000000" w:themeColor="text1"/>
          <w:sz w:val="24"/>
          <w:szCs w:val="24"/>
        </w:rPr>
        <w:t xml:space="preserve"> in soil samples from </w:t>
      </w:r>
      <w:r w:rsidR="00AB4D15" w:rsidRPr="004D0CC2">
        <w:rPr>
          <w:rFonts w:ascii="Times New Roman" w:hAnsi="Times New Roman" w:cs="Times New Roman"/>
          <w:b/>
          <w:color w:val="000000" w:themeColor="text1"/>
          <w:sz w:val="24"/>
          <w:szCs w:val="24"/>
        </w:rPr>
        <w:t xml:space="preserve">different </w:t>
      </w:r>
      <w:r w:rsidR="00AB4D15" w:rsidRPr="004D0CC2">
        <w:rPr>
          <w:rFonts w:ascii="Times New Roman" w:hAnsi="Times New Roman" w:cs="Times New Roman"/>
          <w:b/>
          <w:color w:val="000000" w:themeColor="text1"/>
          <w:sz w:val="24"/>
          <w:szCs w:val="24"/>
        </w:rPr>
        <w:tab/>
      </w:r>
      <w:r w:rsidR="002F1AA7" w:rsidRPr="004D0CC2">
        <w:rPr>
          <w:rFonts w:ascii="Times New Roman" w:hAnsi="Times New Roman" w:cs="Times New Roman"/>
          <w:b/>
          <w:color w:val="000000" w:themeColor="text1"/>
          <w:sz w:val="24"/>
          <w:szCs w:val="24"/>
        </w:rPr>
        <w:tab/>
      </w:r>
      <w:r w:rsidR="002F1AA7" w:rsidRPr="004D0CC2">
        <w:rPr>
          <w:rFonts w:ascii="Times New Roman" w:hAnsi="Times New Roman" w:cs="Times New Roman"/>
          <w:b/>
          <w:color w:val="000000" w:themeColor="text1"/>
          <w:sz w:val="24"/>
          <w:szCs w:val="24"/>
        </w:rPr>
        <w:tab/>
        <w:t>areas of Bangalore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788"/>
        <w:gridCol w:w="4788"/>
      </w:tblGrid>
      <w:tr w:rsidR="00195919" w:rsidRPr="004D0CC2" w14:paraId="6DF9FEBF" w14:textId="77777777" w:rsidTr="00D3621B">
        <w:tc>
          <w:tcPr>
            <w:tcW w:w="4788" w:type="dxa"/>
            <w:tcBorders>
              <w:top w:val="single" w:sz="4" w:space="0" w:color="auto"/>
              <w:left w:val="single" w:sz="4" w:space="0" w:color="auto"/>
              <w:bottom w:val="single" w:sz="4" w:space="0" w:color="auto"/>
              <w:right w:val="single" w:sz="4" w:space="0" w:color="auto"/>
            </w:tcBorders>
            <w:hideMark/>
          </w:tcPr>
          <w:bookmarkEnd w:id="5"/>
          <w:p w14:paraId="74B5B4F5" w14:textId="77777777" w:rsidR="00E5749A" w:rsidRPr="004D0CC2" w:rsidRDefault="00E5749A" w:rsidP="00D3621B">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 xml:space="preserve">Sample ID </w:t>
            </w:r>
          </w:p>
        </w:tc>
        <w:tc>
          <w:tcPr>
            <w:tcW w:w="4788" w:type="dxa"/>
            <w:tcBorders>
              <w:top w:val="single" w:sz="4" w:space="0" w:color="auto"/>
              <w:left w:val="single" w:sz="4" w:space="0" w:color="auto"/>
              <w:bottom w:val="single" w:sz="4" w:space="0" w:color="auto"/>
              <w:right w:val="single" w:sz="4" w:space="0" w:color="auto"/>
            </w:tcBorders>
            <w:hideMark/>
          </w:tcPr>
          <w:p w14:paraId="79EC0147" w14:textId="77777777" w:rsidR="00E5749A" w:rsidRPr="004D0CC2" w:rsidRDefault="00E5749A" w:rsidP="00D3621B">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Lead in ppm</w:t>
            </w:r>
          </w:p>
        </w:tc>
      </w:tr>
      <w:tr w:rsidR="00195919" w:rsidRPr="004D0CC2" w14:paraId="1E5B5C43" w14:textId="77777777" w:rsidTr="00D3621B">
        <w:tc>
          <w:tcPr>
            <w:tcW w:w="4788" w:type="dxa"/>
            <w:tcBorders>
              <w:top w:val="single" w:sz="4" w:space="0" w:color="auto"/>
              <w:left w:val="single" w:sz="4" w:space="0" w:color="auto"/>
              <w:bottom w:val="single" w:sz="4" w:space="0" w:color="auto"/>
              <w:right w:val="single" w:sz="4" w:space="0" w:color="auto"/>
            </w:tcBorders>
            <w:hideMark/>
          </w:tcPr>
          <w:p w14:paraId="208F7574" w14:textId="77777777" w:rsidR="00E5749A" w:rsidRDefault="00E5749A" w:rsidP="00D3621B">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 xml:space="preserve">GEN/2018/03/0006 </w:t>
            </w:r>
          </w:p>
          <w:p w14:paraId="2AAECC44" w14:textId="3A99B064" w:rsidR="0041227B" w:rsidRPr="004D0CC2" w:rsidRDefault="0041227B" w:rsidP="00D3621B">
            <w:pPr>
              <w:spacing w:line="360" w:lineRule="auto"/>
              <w:rPr>
                <w:rFonts w:ascii="Times New Roman" w:hAnsi="Times New Roman" w:cs="Times New Roman"/>
                <w:bCs/>
                <w:color w:val="000000" w:themeColor="text1"/>
                <w:sz w:val="24"/>
                <w:szCs w:val="24"/>
              </w:rPr>
            </w:pPr>
            <w:r w:rsidRPr="004D0CC2">
              <w:rPr>
                <w:rFonts w:ascii="Times New Roman" w:hAnsi="Times New Roman"/>
                <w:color w:val="000000" w:themeColor="text1"/>
              </w:rPr>
              <w:t>(A</w:t>
            </w:r>
            <w:r w:rsidRPr="004D0CC2">
              <w:rPr>
                <w:rFonts w:ascii="Times New Roman" w:hAnsi="Times New Roman"/>
                <w:bCs/>
                <w:color w:val="000000" w:themeColor="text1"/>
              </w:rPr>
              <w:t>gricultural field, Chikkaballapur)</w:t>
            </w:r>
          </w:p>
        </w:tc>
        <w:tc>
          <w:tcPr>
            <w:tcW w:w="4788" w:type="dxa"/>
            <w:tcBorders>
              <w:top w:val="single" w:sz="4" w:space="0" w:color="auto"/>
              <w:left w:val="single" w:sz="4" w:space="0" w:color="auto"/>
              <w:bottom w:val="single" w:sz="4" w:space="0" w:color="auto"/>
              <w:right w:val="single" w:sz="4" w:space="0" w:color="auto"/>
            </w:tcBorders>
            <w:hideMark/>
          </w:tcPr>
          <w:p w14:paraId="0EDF0F51" w14:textId="77777777" w:rsidR="00E5749A" w:rsidRPr="004D0CC2" w:rsidRDefault="00E5749A" w:rsidP="00D3621B">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0.2</w:t>
            </w:r>
          </w:p>
        </w:tc>
      </w:tr>
      <w:tr w:rsidR="00195919" w:rsidRPr="004D0CC2" w14:paraId="251FE6CB" w14:textId="77777777" w:rsidTr="00D3621B">
        <w:tc>
          <w:tcPr>
            <w:tcW w:w="4788" w:type="dxa"/>
            <w:tcBorders>
              <w:top w:val="single" w:sz="4" w:space="0" w:color="auto"/>
              <w:left w:val="single" w:sz="4" w:space="0" w:color="auto"/>
              <w:bottom w:val="single" w:sz="4" w:space="0" w:color="auto"/>
              <w:right w:val="single" w:sz="4" w:space="0" w:color="auto"/>
            </w:tcBorders>
            <w:hideMark/>
          </w:tcPr>
          <w:p w14:paraId="739E626F" w14:textId="77777777" w:rsidR="00E5749A" w:rsidRDefault="00E5749A" w:rsidP="00D3621B">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 xml:space="preserve">GEN/2018/03 /0025 </w:t>
            </w:r>
          </w:p>
          <w:p w14:paraId="31EF34E8" w14:textId="1E333EA0" w:rsidR="0041227B" w:rsidRPr="004D0CC2" w:rsidRDefault="0041227B" w:rsidP="00D3621B">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color w:val="000000" w:themeColor="text1"/>
                <w:sz w:val="24"/>
                <w:szCs w:val="24"/>
              </w:rPr>
              <w:t>Waste dumped area, Hosakote)</w:t>
            </w:r>
          </w:p>
        </w:tc>
        <w:tc>
          <w:tcPr>
            <w:tcW w:w="4788" w:type="dxa"/>
            <w:tcBorders>
              <w:top w:val="single" w:sz="4" w:space="0" w:color="auto"/>
              <w:left w:val="single" w:sz="4" w:space="0" w:color="auto"/>
              <w:bottom w:val="single" w:sz="4" w:space="0" w:color="auto"/>
              <w:right w:val="single" w:sz="4" w:space="0" w:color="auto"/>
            </w:tcBorders>
            <w:hideMark/>
          </w:tcPr>
          <w:p w14:paraId="40CD7575" w14:textId="77777777" w:rsidR="00E5749A" w:rsidRPr="004D0CC2" w:rsidRDefault="00E5749A" w:rsidP="00D3621B">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21.38</w:t>
            </w:r>
          </w:p>
        </w:tc>
      </w:tr>
      <w:tr w:rsidR="00195919" w:rsidRPr="004D0CC2" w14:paraId="12A7D5A6" w14:textId="77777777" w:rsidTr="00D3621B">
        <w:tc>
          <w:tcPr>
            <w:tcW w:w="4788" w:type="dxa"/>
            <w:tcBorders>
              <w:top w:val="single" w:sz="4" w:space="0" w:color="auto"/>
              <w:left w:val="single" w:sz="4" w:space="0" w:color="auto"/>
              <w:bottom w:val="single" w:sz="4" w:space="0" w:color="auto"/>
              <w:right w:val="single" w:sz="4" w:space="0" w:color="auto"/>
            </w:tcBorders>
            <w:hideMark/>
          </w:tcPr>
          <w:p w14:paraId="765B11CD" w14:textId="77777777" w:rsidR="00E5749A" w:rsidRDefault="00E5749A" w:rsidP="00D3621B">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lastRenderedPageBreak/>
              <w:t xml:space="preserve">GEN/2018/03/0026 </w:t>
            </w:r>
          </w:p>
          <w:p w14:paraId="53E5B2B1" w14:textId="1EC6E873" w:rsidR="0041227B" w:rsidRPr="004D0CC2" w:rsidRDefault="0041227B" w:rsidP="00D3621B">
            <w:pPr>
              <w:spacing w:line="360" w:lineRule="auto"/>
              <w:rPr>
                <w:rFonts w:ascii="Times New Roman" w:hAnsi="Times New Roman" w:cs="Times New Roman"/>
                <w:bCs/>
                <w:color w:val="000000" w:themeColor="text1"/>
                <w:sz w:val="24"/>
                <w:szCs w:val="24"/>
              </w:rPr>
            </w:pPr>
            <w:r w:rsidRPr="004D0CC2">
              <w:rPr>
                <w:rFonts w:ascii="Times New Roman" w:hAnsi="Times New Roman"/>
                <w:bCs/>
                <w:color w:val="000000" w:themeColor="text1"/>
              </w:rPr>
              <w:t>(Rajajinagar Industrial town)</w:t>
            </w:r>
          </w:p>
        </w:tc>
        <w:tc>
          <w:tcPr>
            <w:tcW w:w="4788" w:type="dxa"/>
            <w:tcBorders>
              <w:top w:val="single" w:sz="4" w:space="0" w:color="auto"/>
              <w:left w:val="single" w:sz="4" w:space="0" w:color="auto"/>
              <w:bottom w:val="single" w:sz="4" w:space="0" w:color="auto"/>
              <w:right w:val="single" w:sz="4" w:space="0" w:color="auto"/>
            </w:tcBorders>
            <w:hideMark/>
          </w:tcPr>
          <w:p w14:paraId="2E050BF1" w14:textId="77777777" w:rsidR="00E5749A" w:rsidRPr="004D0CC2" w:rsidRDefault="00E5749A" w:rsidP="00D3621B">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BDL</w:t>
            </w:r>
          </w:p>
        </w:tc>
      </w:tr>
      <w:tr w:rsidR="00195919" w:rsidRPr="004D0CC2" w14:paraId="0F1A42F3" w14:textId="77777777" w:rsidTr="00D3621B">
        <w:tc>
          <w:tcPr>
            <w:tcW w:w="4788" w:type="dxa"/>
            <w:tcBorders>
              <w:top w:val="single" w:sz="4" w:space="0" w:color="auto"/>
              <w:left w:val="single" w:sz="4" w:space="0" w:color="auto"/>
              <w:bottom w:val="single" w:sz="4" w:space="0" w:color="auto"/>
              <w:right w:val="single" w:sz="4" w:space="0" w:color="auto"/>
            </w:tcBorders>
            <w:hideMark/>
          </w:tcPr>
          <w:p w14:paraId="371D777B" w14:textId="77777777" w:rsidR="00E5749A" w:rsidRDefault="00E5749A" w:rsidP="00D3621B">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 xml:space="preserve">GEN/2018/03/0027 </w:t>
            </w:r>
          </w:p>
          <w:p w14:paraId="4BBC0484" w14:textId="007D8C98" w:rsidR="0041227B" w:rsidRPr="004D0CC2" w:rsidRDefault="0041227B" w:rsidP="00D3621B">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color w:val="000000" w:themeColor="text1"/>
                <w:sz w:val="24"/>
                <w:szCs w:val="24"/>
              </w:rPr>
              <w:t>(Magadi Road Residential area)</w:t>
            </w:r>
          </w:p>
        </w:tc>
        <w:tc>
          <w:tcPr>
            <w:tcW w:w="4788" w:type="dxa"/>
            <w:tcBorders>
              <w:top w:val="single" w:sz="4" w:space="0" w:color="auto"/>
              <w:left w:val="single" w:sz="4" w:space="0" w:color="auto"/>
              <w:bottom w:val="single" w:sz="4" w:space="0" w:color="auto"/>
              <w:right w:val="single" w:sz="4" w:space="0" w:color="auto"/>
            </w:tcBorders>
            <w:hideMark/>
          </w:tcPr>
          <w:p w14:paraId="0706132C" w14:textId="77777777" w:rsidR="00E5749A" w:rsidRPr="004D0CC2" w:rsidRDefault="00E5749A" w:rsidP="00D3621B">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23.76</w:t>
            </w:r>
          </w:p>
        </w:tc>
      </w:tr>
      <w:tr w:rsidR="00195919" w:rsidRPr="004D0CC2" w14:paraId="0DF35497" w14:textId="77777777" w:rsidTr="00D3621B">
        <w:tc>
          <w:tcPr>
            <w:tcW w:w="4788" w:type="dxa"/>
            <w:tcBorders>
              <w:top w:val="single" w:sz="4" w:space="0" w:color="auto"/>
              <w:left w:val="single" w:sz="4" w:space="0" w:color="auto"/>
              <w:bottom w:val="single" w:sz="4" w:space="0" w:color="auto"/>
              <w:right w:val="single" w:sz="4" w:space="0" w:color="auto"/>
            </w:tcBorders>
            <w:hideMark/>
          </w:tcPr>
          <w:p w14:paraId="7D870E15" w14:textId="77777777" w:rsidR="00E5749A" w:rsidRPr="004D0CC2" w:rsidRDefault="00E5749A" w:rsidP="00D3621B">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 xml:space="preserve">Sample ID </w:t>
            </w:r>
          </w:p>
        </w:tc>
        <w:tc>
          <w:tcPr>
            <w:tcW w:w="4788" w:type="dxa"/>
            <w:tcBorders>
              <w:top w:val="single" w:sz="4" w:space="0" w:color="auto"/>
              <w:left w:val="single" w:sz="4" w:space="0" w:color="auto"/>
              <w:bottom w:val="single" w:sz="4" w:space="0" w:color="auto"/>
              <w:right w:val="single" w:sz="4" w:space="0" w:color="auto"/>
            </w:tcBorders>
            <w:hideMark/>
          </w:tcPr>
          <w:p w14:paraId="41344978" w14:textId="77777777" w:rsidR="00E5749A" w:rsidRPr="004D0CC2" w:rsidRDefault="00E5749A" w:rsidP="00D3621B">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 xml:space="preserve">Mercury in ppm </w:t>
            </w:r>
          </w:p>
        </w:tc>
      </w:tr>
      <w:tr w:rsidR="00195919" w:rsidRPr="004D0CC2" w14:paraId="76D147F3" w14:textId="77777777" w:rsidTr="00D3621B">
        <w:tc>
          <w:tcPr>
            <w:tcW w:w="4788" w:type="dxa"/>
            <w:tcBorders>
              <w:top w:val="single" w:sz="4" w:space="0" w:color="auto"/>
              <w:left w:val="single" w:sz="4" w:space="0" w:color="auto"/>
              <w:bottom w:val="single" w:sz="4" w:space="0" w:color="auto"/>
              <w:right w:val="single" w:sz="4" w:space="0" w:color="auto"/>
            </w:tcBorders>
            <w:hideMark/>
          </w:tcPr>
          <w:p w14:paraId="4B642A1B" w14:textId="77777777" w:rsidR="00E5749A" w:rsidRDefault="00E5749A" w:rsidP="00D3621B">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 xml:space="preserve">GEN/2018/03/0006 </w:t>
            </w:r>
          </w:p>
          <w:p w14:paraId="4B00F015" w14:textId="5CB019C9" w:rsidR="00F231E2" w:rsidRPr="004D0CC2" w:rsidRDefault="00F231E2" w:rsidP="00D3621B">
            <w:pPr>
              <w:spacing w:line="360" w:lineRule="auto"/>
              <w:rPr>
                <w:rFonts w:ascii="Times New Roman" w:hAnsi="Times New Roman" w:cs="Times New Roman"/>
                <w:bCs/>
                <w:color w:val="000000" w:themeColor="text1"/>
                <w:sz w:val="24"/>
                <w:szCs w:val="24"/>
              </w:rPr>
            </w:pPr>
            <w:r w:rsidRPr="004D0CC2">
              <w:rPr>
                <w:rFonts w:ascii="Times New Roman" w:hAnsi="Times New Roman"/>
                <w:color w:val="000000" w:themeColor="text1"/>
              </w:rPr>
              <w:t>(A</w:t>
            </w:r>
            <w:r w:rsidRPr="004D0CC2">
              <w:rPr>
                <w:rFonts w:ascii="Times New Roman" w:hAnsi="Times New Roman"/>
                <w:bCs/>
                <w:color w:val="000000" w:themeColor="text1"/>
              </w:rPr>
              <w:t>gricultural field, Chikkaballapur)</w:t>
            </w:r>
          </w:p>
        </w:tc>
        <w:tc>
          <w:tcPr>
            <w:tcW w:w="4788" w:type="dxa"/>
            <w:tcBorders>
              <w:top w:val="single" w:sz="4" w:space="0" w:color="auto"/>
              <w:left w:val="single" w:sz="4" w:space="0" w:color="auto"/>
              <w:bottom w:val="single" w:sz="4" w:space="0" w:color="auto"/>
              <w:right w:val="single" w:sz="4" w:space="0" w:color="auto"/>
            </w:tcBorders>
            <w:hideMark/>
          </w:tcPr>
          <w:p w14:paraId="7E073D8D" w14:textId="77777777" w:rsidR="00E5749A" w:rsidRPr="004D0CC2" w:rsidRDefault="00E5749A" w:rsidP="00D3621B">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&lt;0.1</w:t>
            </w:r>
          </w:p>
        </w:tc>
      </w:tr>
      <w:tr w:rsidR="00195919" w:rsidRPr="004D0CC2" w14:paraId="0DF934B1" w14:textId="77777777" w:rsidTr="00D3621B">
        <w:tc>
          <w:tcPr>
            <w:tcW w:w="4788" w:type="dxa"/>
            <w:tcBorders>
              <w:top w:val="single" w:sz="4" w:space="0" w:color="auto"/>
              <w:left w:val="single" w:sz="4" w:space="0" w:color="auto"/>
              <w:bottom w:val="single" w:sz="4" w:space="0" w:color="auto"/>
              <w:right w:val="single" w:sz="4" w:space="0" w:color="auto"/>
            </w:tcBorders>
            <w:hideMark/>
          </w:tcPr>
          <w:p w14:paraId="5843BC54" w14:textId="77777777" w:rsidR="00E5749A" w:rsidRDefault="00E5749A" w:rsidP="00D3621B">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 xml:space="preserve">GEN/2018/03/0025 </w:t>
            </w:r>
          </w:p>
          <w:p w14:paraId="55C22DB0" w14:textId="7F05EF97" w:rsidR="00F231E2" w:rsidRPr="004D0CC2" w:rsidRDefault="00F231E2" w:rsidP="00D3621B">
            <w:pPr>
              <w:spacing w:line="360" w:lineRule="auto"/>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w:t>
            </w:r>
            <w:r w:rsidRPr="004D0CC2">
              <w:rPr>
                <w:rFonts w:ascii="Times New Roman" w:hAnsi="Times New Roman" w:cs="Times New Roman"/>
                <w:color w:val="000000" w:themeColor="text1"/>
                <w:sz w:val="24"/>
                <w:szCs w:val="24"/>
              </w:rPr>
              <w:t>Waste dumped area, Hosakote)</w:t>
            </w:r>
          </w:p>
        </w:tc>
        <w:tc>
          <w:tcPr>
            <w:tcW w:w="4788" w:type="dxa"/>
            <w:tcBorders>
              <w:top w:val="single" w:sz="4" w:space="0" w:color="auto"/>
              <w:left w:val="single" w:sz="4" w:space="0" w:color="auto"/>
              <w:bottom w:val="single" w:sz="4" w:space="0" w:color="auto"/>
              <w:right w:val="single" w:sz="4" w:space="0" w:color="auto"/>
            </w:tcBorders>
            <w:hideMark/>
          </w:tcPr>
          <w:p w14:paraId="155F8EE2" w14:textId="77777777" w:rsidR="00E5749A" w:rsidRPr="004D0CC2" w:rsidRDefault="00E5749A" w:rsidP="00D3621B">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 xml:space="preserve">BDL </w:t>
            </w:r>
          </w:p>
        </w:tc>
      </w:tr>
      <w:tr w:rsidR="00195919" w:rsidRPr="004D0CC2" w14:paraId="131D74FA" w14:textId="77777777" w:rsidTr="00D3621B">
        <w:tc>
          <w:tcPr>
            <w:tcW w:w="4788" w:type="dxa"/>
            <w:tcBorders>
              <w:top w:val="single" w:sz="4" w:space="0" w:color="auto"/>
              <w:left w:val="single" w:sz="4" w:space="0" w:color="auto"/>
              <w:bottom w:val="single" w:sz="4" w:space="0" w:color="auto"/>
              <w:right w:val="single" w:sz="4" w:space="0" w:color="auto"/>
            </w:tcBorders>
            <w:hideMark/>
          </w:tcPr>
          <w:p w14:paraId="7B4BB13F" w14:textId="77777777" w:rsidR="00E5749A" w:rsidRDefault="00E5749A" w:rsidP="00D3621B">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GEN/2018/03/0026</w:t>
            </w:r>
          </w:p>
          <w:p w14:paraId="2C6733CF" w14:textId="21DBB33A" w:rsidR="00F231E2" w:rsidRPr="004D0CC2" w:rsidRDefault="00F231E2" w:rsidP="00D3621B">
            <w:pPr>
              <w:spacing w:line="360" w:lineRule="auto"/>
              <w:rPr>
                <w:rFonts w:ascii="Times New Roman" w:hAnsi="Times New Roman" w:cs="Times New Roman"/>
                <w:bCs/>
                <w:color w:val="000000" w:themeColor="text1"/>
                <w:sz w:val="24"/>
                <w:szCs w:val="24"/>
              </w:rPr>
            </w:pPr>
            <w:r w:rsidRPr="004D0CC2">
              <w:rPr>
                <w:rFonts w:ascii="Times New Roman" w:hAnsi="Times New Roman"/>
                <w:bCs/>
                <w:color w:val="000000" w:themeColor="text1"/>
              </w:rPr>
              <w:t>(Rajajinagar Industrial town)</w:t>
            </w:r>
          </w:p>
        </w:tc>
        <w:tc>
          <w:tcPr>
            <w:tcW w:w="4788" w:type="dxa"/>
            <w:tcBorders>
              <w:top w:val="single" w:sz="4" w:space="0" w:color="auto"/>
              <w:left w:val="single" w:sz="4" w:space="0" w:color="auto"/>
              <w:bottom w:val="single" w:sz="4" w:space="0" w:color="auto"/>
              <w:right w:val="single" w:sz="4" w:space="0" w:color="auto"/>
            </w:tcBorders>
            <w:hideMark/>
          </w:tcPr>
          <w:p w14:paraId="0E3B46F2" w14:textId="77777777" w:rsidR="00E5749A" w:rsidRPr="004D0CC2" w:rsidRDefault="00E5749A" w:rsidP="00D3621B">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 xml:space="preserve">BDL </w:t>
            </w:r>
          </w:p>
        </w:tc>
      </w:tr>
      <w:tr w:rsidR="00195919" w:rsidRPr="004D0CC2" w14:paraId="1C6380CE" w14:textId="77777777" w:rsidTr="00D3621B">
        <w:tc>
          <w:tcPr>
            <w:tcW w:w="4788" w:type="dxa"/>
            <w:tcBorders>
              <w:top w:val="single" w:sz="4" w:space="0" w:color="auto"/>
              <w:left w:val="single" w:sz="4" w:space="0" w:color="auto"/>
              <w:bottom w:val="single" w:sz="4" w:space="0" w:color="auto"/>
              <w:right w:val="single" w:sz="4" w:space="0" w:color="auto"/>
            </w:tcBorders>
            <w:hideMark/>
          </w:tcPr>
          <w:p w14:paraId="0EB57CA7" w14:textId="77777777" w:rsidR="00E5749A" w:rsidRDefault="00E5749A" w:rsidP="00D3621B">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 xml:space="preserve">GEN/2018/03/0027 </w:t>
            </w:r>
          </w:p>
          <w:p w14:paraId="6C1D6419" w14:textId="71046D40" w:rsidR="00F231E2" w:rsidRPr="004D0CC2" w:rsidRDefault="00F231E2" w:rsidP="00D3621B">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color w:val="000000" w:themeColor="text1"/>
                <w:sz w:val="24"/>
                <w:szCs w:val="24"/>
              </w:rPr>
              <w:t>(Magadi Road Residential area</w:t>
            </w:r>
            <w:r>
              <w:rPr>
                <w:rFonts w:ascii="Times New Roman" w:hAnsi="Times New Roman" w:cs="Times New Roman"/>
                <w:color w:val="000000" w:themeColor="text1"/>
                <w:sz w:val="24"/>
                <w:szCs w:val="24"/>
              </w:rPr>
              <w:t>)</w:t>
            </w:r>
          </w:p>
        </w:tc>
        <w:tc>
          <w:tcPr>
            <w:tcW w:w="4788" w:type="dxa"/>
            <w:tcBorders>
              <w:top w:val="single" w:sz="4" w:space="0" w:color="auto"/>
              <w:left w:val="single" w:sz="4" w:space="0" w:color="auto"/>
              <w:bottom w:val="single" w:sz="4" w:space="0" w:color="auto"/>
              <w:right w:val="single" w:sz="4" w:space="0" w:color="auto"/>
            </w:tcBorders>
            <w:hideMark/>
          </w:tcPr>
          <w:p w14:paraId="3E9605A6" w14:textId="77777777" w:rsidR="00E5749A" w:rsidRPr="004D0CC2" w:rsidRDefault="00E5749A" w:rsidP="00D3621B">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 xml:space="preserve">BDL </w:t>
            </w:r>
          </w:p>
        </w:tc>
      </w:tr>
      <w:tr w:rsidR="00195919" w:rsidRPr="004D0CC2" w14:paraId="4D2F9F57" w14:textId="77777777" w:rsidTr="00D3621B">
        <w:tc>
          <w:tcPr>
            <w:tcW w:w="4788" w:type="dxa"/>
            <w:tcBorders>
              <w:top w:val="single" w:sz="4" w:space="0" w:color="auto"/>
              <w:left w:val="single" w:sz="4" w:space="0" w:color="auto"/>
              <w:bottom w:val="single" w:sz="4" w:space="0" w:color="auto"/>
              <w:right w:val="single" w:sz="4" w:space="0" w:color="auto"/>
            </w:tcBorders>
            <w:hideMark/>
          </w:tcPr>
          <w:p w14:paraId="30512DF6" w14:textId="77777777" w:rsidR="00E5749A" w:rsidRPr="004D0CC2" w:rsidRDefault="00E5749A" w:rsidP="00D3621B">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 xml:space="preserve">Sample ID </w:t>
            </w:r>
          </w:p>
        </w:tc>
        <w:tc>
          <w:tcPr>
            <w:tcW w:w="4788" w:type="dxa"/>
            <w:tcBorders>
              <w:top w:val="single" w:sz="4" w:space="0" w:color="auto"/>
              <w:left w:val="single" w:sz="4" w:space="0" w:color="auto"/>
              <w:bottom w:val="single" w:sz="4" w:space="0" w:color="auto"/>
              <w:right w:val="single" w:sz="4" w:space="0" w:color="auto"/>
            </w:tcBorders>
            <w:hideMark/>
          </w:tcPr>
          <w:p w14:paraId="355D0904" w14:textId="77777777" w:rsidR="00E5749A" w:rsidRPr="004D0CC2" w:rsidRDefault="00E5749A" w:rsidP="00D3621B">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 xml:space="preserve">Zinc in ppm </w:t>
            </w:r>
          </w:p>
        </w:tc>
      </w:tr>
      <w:tr w:rsidR="00195919" w:rsidRPr="004D0CC2" w14:paraId="3FA3198B" w14:textId="77777777" w:rsidTr="00D3621B">
        <w:tc>
          <w:tcPr>
            <w:tcW w:w="4788" w:type="dxa"/>
            <w:tcBorders>
              <w:top w:val="single" w:sz="4" w:space="0" w:color="auto"/>
              <w:left w:val="single" w:sz="4" w:space="0" w:color="auto"/>
              <w:bottom w:val="single" w:sz="4" w:space="0" w:color="auto"/>
              <w:right w:val="single" w:sz="4" w:space="0" w:color="auto"/>
            </w:tcBorders>
            <w:hideMark/>
          </w:tcPr>
          <w:p w14:paraId="2A8B3CA6" w14:textId="77777777" w:rsidR="00E5749A" w:rsidRDefault="00E5749A" w:rsidP="00D3621B">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 xml:space="preserve">GEN/2018/03/0006 </w:t>
            </w:r>
          </w:p>
          <w:p w14:paraId="3700B1FC" w14:textId="3AA26793" w:rsidR="00F231E2" w:rsidRPr="004D0CC2" w:rsidRDefault="00F231E2" w:rsidP="00D3621B">
            <w:pPr>
              <w:spacing w:line="360" w:lineRule="auto"/>
              <w:rPr>
                <w:rFonts w:ascii="Times New Roman" w:hAnsi="Times New Roman" w:cs="Times New Roman"/>
                <w:bCs/>
                <w:color w:val="000000" w:themeColor="text1"/>
                <w:sz w:val="24"/>
                <w:szCs w:val="24"/>
              </w:rPr>
            </w:pPr>
            <w:r w:rsidRPr="004D0CC2">
              <w:rPr>
                <w:rFonts w:ascii="Times New Roman" w:hAnsi="Times New Roman"/>
                <w:color w:val="000000" w:themeColor="text1"/>
              </w:rPr>
              <w:t>(A</w:t>
            </w:r>
            <w:r w:rsidRPr="004D0CC2">
              <w:rPr>
                <w:rFonts w:ascii="Times New Roman" w:hAnsi="Times New Roman"/>
                <w:bCs/>
                <w:color w:val="000000" w:themeColor="text1"/>
              </w:rPr>
              <w:t>gricultural field, Chikkaballapur)</w:t>
            </w:r>
          </w:p>
        </w:tc>
        <w:tc>
          <w:tcPr>
            <w:tcW w:w="4788" w:type="dxa"/>
            <w:tcBorders>
              <w:top w:val="single" w:sz="4" w:space="0" w:color="auto"/>
              <w:left w:val="single" w:sz="4" w:space="0" w:color="auto"/>
              <w:bottom w:val="single" w:sz="4" w:space="0" w:color="auto"/>
              <w:right w:val="single" w:sz="4" w:space="0" w:color="auto"/>
            </w:tcBorders>
            <w:hideMark/>
          </w:tcPr>
          <w:p w14:paraId="30B8E12C" w14:textId="77777777" w:rsidR="00E5749A" w:rsidRPr="004D0CC2" w:rsidRDefault="00E5749A" w:rsidP="00D3621B">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 xml:space="preserve">BDL </w:t>
            </w:r>
          </w:p>
        </w:tc>
      </w:tr>
      <w:tr w:rsidR="00195919" w:rsidRPr="004D0CC2" w14:paraId="64320435" w14:textId="77777777" w:rsidTr="00D3621B">
        <w:tc>
          <w:tcPr>
            <w:tcW w:w="4788" w:type="dxa"/>
            <w:tcBorders>
              <w:top w:val="single" w:sz="4" w:space="0" w:color="auto"/>
              <w:left w:val="single" w:sz="4" w:space="0" w:color="auto"/>
              <w:bottom w:val="single" w:sz="4" w:space="0" w:color="auto"/>
              <w:right w:val="single" w:sz="4" w:space="0" w:color="auto"/>
            </w:tcBorders>
            <w:hideMark/>
          </w:tcPr>
          <w:p w14:paraId="21C5775B" w14:textId="77777777" w:rsidR="00E5749A" w:rsidRDefault="00E5749A" w:rsidP="00D3621B">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 xml:space="preserve">GEN/2018/03/0025 </w:t>
            </w:r>
          </w:p>
          <w:p w14:paraId="6F17CB0D" w14:textId="07F12779" w:rsidR="00F231E2" w:rsidRPr="004D0CC2" w:rsidRDefault="00F231E2" w:rsidP="00D3621B">
            <w:pPr>
              <w:spacing w:line="360" w:lineRule="auto"/>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w:t>
            </w:r>
            <w:r w:rsidRPr="004D0CC2">
              <w:rPr>
                <w:rFonts w:ascii="Times New Roman" w:hAnsi="Times New Roman" w:cs="Times New Roman"/>
                <w:color w:val="000000" w:themeColor="text1"/>
                <w:sz w:val="24"/>
                <w:szCs w:val="24"/>
              </w:rPr>
              <w:t>Waste dumped area, Hosakote)</w:t>
            </w:r>
          </w:p>
        </w:tc>
        <w:tc>
          <w:tcPr>
            <w:tcW w:w="4788" w:type="dxa"/>
            <w:tcBorders>
              <w:top w:val="single" w:sz="4" w:space="0" w:color="auto"/>
              <w:left w:val="single" w:sz="4" w:space="0" w:color="auto"/>
              <w:bottom w:val="single" w:sz="4" w:space="0" w:color="auto"/>
              <w:right w:val="single" w:sz="4" w:space="0" w:color="auto"/>
            </w:tcBorders>
            <w:hideMark/>
          </w:tcPr>
          <w:p w14:paraId="7ED59E97" w14:textId="77777777" w:rsidR="00E5749A" w:rsidRPr="004D0CC2" w:rsidRDefault="00E5749A" w:rsidP="00D3621B">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77.54</w:t>
            </w:r>
          </w:p>
        </w:tc>
      </w:tr>
      <w:tr w:rsidR="00195919" w:rsidRPr="004D0CC2" w14:paraId="56FA9914" w14:textId="77777777" w:rsidTr="00D3621B">
        <w:tc>
          <w:tcPr>
            <w:tcW w:w="4788" w:type="dxa"/>
            <w:tcBorders>
              <w:top w:val="single" w:sz="4" w:space="0" w:color="auto"/>
              <w:left w:val="single" w:sz="4" w:space="0" w:color="auto"/>
              <w:bottom w:val="single" w:sz="4" w:space="0" w:color="auto"/>
              <w:right w:val="single" w:sz="4" w:space="0" w:color="auto"/>
            </w:tcBorders>
            <w:hideMark/>
          </w:tcPr>
          <w:p w14:paraId="3C8B6C75" w14:textId="77777777" w:rsidR="00E5749A" w:rsidRDefault="00E5749A" w:rsidP="00D3621B">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GEN/2018/03/0026</w:t>
            </w:r>
          </w:p>
          <w:p w14:paraId="6DD8611C" w14:textId="4BCCA204" w:rsidR="00F231E2" w:rsidRPr="004D0CC2" w:rsidRDefault="00F231E2" w:rsidP="00D3621B">
            <w:pPr>
              <w:spacing w:line="360" w:lineRule="auto"/>
              <w:rPr>
                <w:rFonts w:ascii="Times New Roman" w:hAnsi="Times New Roman" w:cs="Times New Roman"/>
                <w:bCs/>
                <w:color w:val="000000" w:themeColor="text1"/>
                <w:sz w:val="24"/>
                <w:szCs w:val="24"/>
              </w:rPr>
            </w:pPr>
            <w:r w:rsidRPr="004D0CC2">
              <w:rPr>
                <w:rFonts w:ascii="Times New Roman" w:hAnsi="Times New Roman"/>
                <w:bCs/>
                <w:color w:val="000000" w:themeColor="text1"/>
              </w:rPr>
              <w:t>(Rajajinagar Industrial town)</w:t>
            </w:r>
          </w:p>
        </w:tc>
        <w:tc>
          <w:tcPr>
            <w:tcW w:w="4788" w:type="dxa"/>
            <w:tcBorders>
              <w:top w:val="single" w:sz="4" w:space="0" w:color="auto"/>
              <w:left w:val="single" w:sz="4" w:space="0" w:color="auto"/>
              <w:bottom w:val="single" w:sz="4" w:space="0" w:color="auto"/>
              <w:right w:val="single" w:sz="4" w:space="0" w:color="auto"/>
            </w:tcBorders>
            <w:hideMark/>
          </w:tcPr>
          <w:p w14:paraId="211252AE" w14:textId="77777777" w:rsidR="00E5749A" w:rsidRPr="004D0CC2" w:rsidRDefault="00E5749A" w:rsidP="00D3621B">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41.02</w:t>
            </w:r>
          </w:p>
        </w:tc>
      </w:tr>
      <w:tr w:rsidR="00195919" w:rsidRPr="004D0CC2" w14:paraId="3C8EA5BF" w14:textId="77777777" w:rsidTr="00D3621B">
        <w:tc>
          <w:tcPr>
            <w:tcW w:w="4788" w:type="dxa"/>
            <w:tcBorders>
              <w:top w:val="single" w:sz="4" w:space="0" w:color="auto"/>
              <w:left w:val="single" w:sz="4" w:space="0" w:color="auto"/>
              <w:bottom w:val="single" w:sz="4" w:space="0" w:color="auto"/>
              <w:right w:val="single" w:sz="4" w:space="0" w:color="auto"/>
            </w:tcBorders>
            <w:hideMark/>
          </w:tcPr>
          <w:p w14:paraId="2F94FA1F" w14:textId="77777777" w:rsidR="00E5749A" w:rsidRDefault="00E5749A" w:rsidP="00D3621B">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 xml:space="preserve">GEN/2018/03/0027 </w:t>
            </w:r>
          </w:p>
          <w:p w14:paraId="66CF731F" w14:textId="014C43D8" w:rsidR="00F231E2" w:rsidRPr="004D0CC2" w:rsidRDefault="00F231E2" w:rsidP="00D3621B">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color w:val="000000" w:themeColor="text1"/>
                <w:sz w:val="24"/>
                <w:szCs w:val="24"/>
              </w:rPr>
              <w:lastRenderedPageBreak/>
              <w:t>(Magadi Road Residential area</w:t>
            </w:r>
            <w:r>
              <w:rPr>
                <w:rFonts w:ascii="Times New Roman" w:hAnsi="Times New Roman" w:cs="Times New Roman"/>
                <w:color w:val="000000" w:themeColor="text1"/>
                <w:sz w:val="24"/>
                <w:szCs w:val="24"/>
              </w:rPr>
              <w:t>)</w:t>
            </w:r>
          </w:p>
        </w:tc>
        <w:tc>
          <w:tcPr>
            <w:tcW w:w="4788" w:type="dxa"/>
            <w:tcBorders>
              <w:top w:val="single" w:sz="4" w:space="0" w:color="auto"/>
              <w:left w:val="single" w:sz="4" w:space="0" w:color="auto"/>
              <w:bottom w:val="single" w:sz="4" w:space="0" w:color="auto"/>
              <w:right w:val="single" w:sz="4" w:space="0" w:color="auto"/>
            </w:tcBorders>
            <w:hideMark/>
          </w:tcPr>
          <w:p w14:paraId="3F806AD1" w14:textId="77777777" w:rsidR="00E5749A" w:rsidRPr="004D0CC2" w:rsidRDefault="00E5749A" w:rsidP="00D3621B">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lastRenderedPageBreak/>
              <w:t>63.98</w:t>
            </w:r>
          </w:p>
        </w:tc>
      </w:tr>
      <w:tr w:rsidR="00195919" w:rsidRPr="004D0CC2" w14:paraId="045E3ABC" w14:textId="77777777" w:rsidTr="00D3621B">
        <w:tc>
          <w:tcPr>
            <w:tcW w:w="4788" w:type="dxa"/>
            <w:tcBorders>
              <w:top w:val="single" w:sz="4" w:space="0" w:color="auto"/>
              <w:left w:val="single" w:sz="4" w:space="0" w:color="auto"/>
              <w:bottom w:val="single" w:sz="4" w:space="0" w:color="auto"/>
              <w:right w:val="single" w:sz="4" w:space="0" w:color="auto"/>
            </w:tcBorders>
            <w:hideMark/>
          </w:tcPr>
          <w:p w14:paraId="477977B6" w14:textId="77777777" w:rsidR="00E5749A" w:rsidRPr="004D0CC2" w:rsidRDefault="00E5749A" w:rsidP="00D3621B">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 xml:space="preserve">Sample ID </w:t>
            </w:r>
          </w:p>
        </w:tc>
        <w:tc>
          <w:tcPr>
            <w:tcW w:w="4788" w:type="dxa"/>
            <w:tcBorders>
              <w:top w:val="single" w:sz="4" w:space="0" w:color="auto"/>
              <w:left w:val="single" w:sz="4" w:space="0" w:color="auto"/>
              <w:bottom w:val="single" w:sz="4" w:space="0" w:color="auto"/>
              <w:right w:val="single" w:sz="4" w:space="0" w:color="auto"/>
            </w:tcBorders>
            <w:hideMark/>
          </w:tcPr>
          <w:p w14:paraId="19F26D77" w14:textId="77777777" w:rsidR="00E5749A" w:rsidRPr="004D0CC2" w:rsidRDefault="00E5749A" w:rsidP="00D3621B">
            <w:pPr>
              <w:spacing w:line="360" w:lineRule="auto"/>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Copper in ppm</w:t>
            </w:r>
          </w:p>
        </w:tc>
      </w:tr>
      <w:tr w:rsidR="00195919" w:rsidRPr="004D0CC2" w14:paraId="0818EFDD" w14:textId="77777777" w:rsidTr="00D3621B">
        <w:tc>
          <w:tcPr>
            <w:tcW w:w="4788" w:type="dxa"/>
            <w:tcBorders>
              <w:top w:val="single" w:sz="4" w:space="0" w:color="auto"/>
              <w:left w:val="single" w:sz="4" w:space="0" w:color="auto"/>
              <w:bottom w:val="single" w:sz="4" w:space="0" w:color="auto"/>
              <w:right w:val="single" w:sz="4" w:space="0" w:color="auto"/>
            </w:tcBorders>
            <w:hideMark/>
          </w:tcPr>
          <w:p w14:paraId="2EDDB819" w14:textId="77777777" w:rsidR="00E5749A" w:rsidRDefault="00E5749A" w:rsidP="00D3621B">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 xml:space="preserve">GEN/2018/03/0006 </w:t>
            </w:r>
          </w:p>
          <w:p w14:paraId="2E00033B" w14:textId="0AEC53ED" w:rsidR="00F231E2" w:rsidRPr="004D0CC2" w:rsidRDefault="00F231E2" w:rsidP="00D3621B">
            <w:pPr>
              <w:spacing w:line="360" w:lineRule="auto"/>
              <w:rPr>
                <w:rFonts w:ascii="Times New Roman" w:hAnsi="Times New Roman" w:cs="Times New Roman"/>
                <w:bCs/>
                <w:color w:val="000000" w:themeColor="text1"/>
                <w:sz w:val="24"/>
                <w:szCs w:val="24"/>
              </w:rPr>
            </w:pPr>
            <w:r w:rsidRPr="004D0CC2">
              <w:rPr>
                <w:rFonts w:ascii="Times New Roman" w:hAnsi="Times New Roman"/>
                <w:color w:val="000000" w:themeColor="text1"/>
              </w:rPr>
              <w:t>(A</w:t>
            </w:r>
            <w:r w:rsidRPr="004D0CC2">
              <w:rPr>
                <w:rFonts w:ascii="Times New Roman" w:hAnsi="Times New Roman"/>
                <w:bCs/>
                <w:color w:val="000000" w:themeColor="text1"/>
              </w:rPr>
              <w:t>gricultural field, Chikkaballapur)</w:t>
            </w:r>
          </w:p>
        </w:tc>
        <w:tc>
          <w:tcPr>
            <w:tcW w:w="4788" w:type="dxa"/>
            <w:tcBorders>
              <w:top w:val="single" w:sz="4" w:space="0" w:color="auto"/>
              <w:left w:val="single" w:sz="4" w:space="0" w:color="auto"/>
              <w:bottom w:val="single" w:sz="4" w:space="0" w:color="auto"/>
              <w:right w:val="single" w:sz="4" w:space="0" w:color="auto"/>
            </w:tcBorders>
            <w:hideMark/>
          </w:tcPr>
          <w:p w14:paraId="5188CC78" w14:textId="77777777" w:rsidR="00E5749A" w:rsidRPr="004D0CC2" w:rsidRDefault="00E5749A" w:rsidP="00D3621B">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 xml:space="preserve">BDL </w:t>
            </w:r>
          </w:p>
        </w:tc>
      </w:tr>
      <w:tr w:rsidR="00195919" w:rsidRPr="004D0CC2" w14:paraId="68831682" w14:textId="77777777" w:rsidTr="00D3621B">
        <w:tc>
          <w:tcPr>
            <w:tcW w:w="4788" w:type="dxa"/>
            <w:tcBorders>
              <w:top w:val="single" w:sz="4" w:space="0" w:color="auto"/>
              <w:left w:val="single" w:sz="4" w:space="0" w:color="auto"/>
              <w:bottom w:val="single" w:sz="4" w:space="0" w:color="auto"/>
              <w:right w:val="single" w:sz="4" w:space="0" w:color="auto"/>
            </w:tcBorders>
            <w:hideMark/>
          </w:tcPr>
          <w:p w14:paraId="4984029B" w14:textId="77777777" w:rsidR="00E5749A" w:rsidRDefault="00E5749A" w:rsidP="00D3621B">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 xml:space="preserve">GEN/2018/03/0025 </w:t>
            </w:r>
          </w:p>
          <w:p w14:paraId="3FB6A3B6" w14:textId="74792198" w:rsidR="00F231E2" w:rsidRPr="004D0CC2" w:rsidRDefault="00F231E2" w:rsidP="00D3621B">
            <w:pPr>
              <w:spacing w:line="360" w:lineRule="auto"/>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w:t>
            </w:r>
            <w:r w:rsidRPr="004D0CC2">
              <w:rPr>
                <w:rFonts w:ascii="Times New Roman" w:hAnsi="Times New Roman" w:cs="Times New Roman"/>
                <w:color w:val="000000" w:themeColor="text1"/>
                <w:sz w:val="24"/>
                <w:szCs w:val="24"/>
              </w:rPr>
              <w:t>Waste dumped area, Hosakote)</w:t>
            </w:r>
          </w:p>
        </w:tc>
        <w:tc>
          <w:tcPr>
            <w:tcW w:w="4788" w:type="dxa"/>
            <w:tcBorders>
              <w:top w:val="single" w:sz="4" w:space="0" w:color="auto"/>
              <w:left w:val="single" w:sz="4" w:space="0" w:color="auto"/>
              <w:bottom w:val="single" w:sz="4" w:space="0" w:color="auto"/>
              <w:right w:val="single" w:sz="4" w:space="0" w:color="auto"/>
            </w:tcBorders>
            <w:hideMark/>
          </w:tcPr>
          <w:p w14:paraId="5CB36052" w14:textId="77777777" w:rsidR="00E5749A" w:rsidRPr="004D0CC2" w:rsidRDefault="00E5749A" w:rsidP="00D3621B">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20.21</w:t>
            </w:r>
          </w:p>
        </w:tc>
      </w:tr>
      <w:tr w:rsidR="00195919" w:rsidRPr="004D0CC2" w14:paraId="046408D9" w14:textId="77777777" w:rsidTr="00D3621B">
        <w:tc>
          <w:tcPr>
            <w:tcW w:w="4788" w:type="dxa"/>
            <w:tcBorders>
              <w:top w:val="single" w:sz="4" w:space="0" w:color="auto"/>
              <w:left w:val="single" w:sz="4" w:space="0" w:color="auto"/>
              <w:bottom w:val="single" w:sz="4" w:space="0" w:color="auto"/>
              <w:right w:val="single" w:sz="4" w:space="0" w:color="auto"/>
            </w:tcBorders>
            <w:hideMark/>
          </w:tcPr>
          <w:p w14:paraId="08036893" w14:textId="44B1B8AF" w:rsidR="00E5749A" w:rsidRPr="004D0CC2" w:rsidRDefault="00E5749A" w:rsidP="00D3621B">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 xml:space="preserve">GEN/2018/03/0026 </w:t>
            </w:r>
            <w:r w:rsidR="00F231E2" w:rsidRPr="004D0CC2">
              <w:rPr>
                <w:rFonts w:ascii="Times New Roman" w:hAnsi="Times New Roman"/>
                <w:bCs/>
                <w:color w:val="000000" w:themeColor="text1"/>
              </w:rPr>
              <w:t>(Rajajinagar Industrial town)</w:t>
            </w:r>
          </w:p>
        </w:tc>
        <w:tc>
          <w:tcPr>
            <w:tcW w:w="4788" w:type="dxa"/>
            <w:tcBorders>
              <w:top w:val="single" w:sz="4" w:space="0" w:color="auto"/>
              <w:left w:val="single" w:sz="4" w:space="0" w:color="auto"/>
              <w:bottom w:val="single" w:sz="4" w:space="0" w:color="auto"/>
              <w:right w:val="single" w:sz="4" w:space="0" w:color="auto"/>
            </w:tcBorders>
            <w:hideMark/>
          </w:tcPr>
          <w:p w14:paraId="05CF7FBC" w14:textId="77777777" w:rsidR="00E5749A" w:rsidRPr="004D0CC2" w:rsidRDefault="00E5749A" w:rsidP="00D3621B">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62.61</w:t>
            </w:r>
          </w:p>
        </w:tc>
      </w:tr>
      <w:tr w:rsidR="00195919" w:rsidRPr="004D0CC2" w14:paraId="2AA359E5" w14:textId="77777777" w:rsidTr="00D3621B">
        <w:tc>
          <w:tcPr>
            <w:tcW w:w="4788" w:type="dxa"/>
            <w:tcBorders>
              <w:top w:val="single" w:sz="4" w:space="0" w:color="auto"/>
              <w:left w:val="single" w:sz="4" w:space="0" w:color="auto"/>
              <w:bottom w:val="single" w:sz="4" w:space="0" w:color="auto"/>
              <w:right w:val="single" w:sz="4" w:space="0" w:color="auto"/>
            </w:tcBorders>
            <w:hideMark/>
          </w:tcPr>
          <w:p w14:paraId="51E0359F" w14:textId="77777777" w:rsidR="00E5749A" w:rsidRDefault="00E5749A" w:rsidP="00D3621B">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 xml:space="preserve">GEN/2018/03/0027 </w:t>
            </w:r>
          </w:p>
          <w:p w14:paraId="0CB40D21" w14:textId="4626C668" w:rsidR="00F231E2" w:rsidRPr="004D0CC2" w:rsidRDefault="00F231E2" w:rsidP="00D3621B">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color w:val="000000" w:themeColor="text1"/>
                <w:sz w:val="24"/>
                <w:szCs w:val="24"/>
              </w:rPr>
              <w:t>(Magadi Road Residential area</w:t>
            </w:r>
            <w:r>
              <w:rPr>
                <w:rFonts w:ascii="Times New Roman" w:hAnsi="Times New Roman" w:cs="Times New Roman"/>
                <w:color w:val="000000" w:themeColor="text1"/>
                <w:sz w:val="24"/>
                <w:szCs w:val="24"/>
              </w:rPr>
              <w:t>)</w:t>
            </w:r>
          </w:p>
        </w:tc>
        <w:tc>
          <w:tcPr>
            <w:tcW w:w="4788" w:type="dxa"/>
            <w:tcBorders>
              <w:top w:val="single" w:sz="4" w:space="0" w:color="auto"/>
              <w:left w:val="single" w:sz="4" w:space="0" w:color="auto"/>
              <w:bottom w:val="single" w:sz="4" w:space="0" w:color="auto"/>
              <w:right w:val="single" w:sz="4" w:space="0" w:color="auto"/>
            </w:tcBorders>
            <w:hideMark/>
          </w:tcPr>
          <w:p w14:paraId="7268697A" w14:textId="77777777" w:rsidR="00E5749A" w:rsidRPr="004D0CC2" w:rsidRDefault="00E5749A" w:rsidP="00D3621B">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19.3</w:t>
            </w:r>
          </w:p>
        </w:tc>
      </w:tr>
      <w:tr w:rsidR="00195919" w:rsidRPr="004D0CC2" w14:paraId="748D63FB" w14:textId="77777777" w:rsidTr="00D3621B">
        <w:tc>
          <w:tcPr>
            <w:tcW w:w="4788" w:type="dxa"/>
            <w:tcBorders>
              <w:top w:val="single" w:sz="4" w:space="0" w:color="auto"/>
              <w:left w:val="single" w:sz="4" w:space="0" w:color="auto"/>
              <w:bottom w:val="single" w:sz="4" w:space="0" w:color="auto"/>
              <w:right w:val="single" w:sz="4" w:space="0" w:color="auto"/>
            </w:tcBorders>
            <w:hideMark/>
          </w:tcPr>
          <w:p w14:paraId="57BC614F" w14:textId="77777777" w:rsidR="00E5749A" w:rsidRPr="004D0CC2" w:rsidRDefault="00E5749A" w:rsidP="00D3621B">
            <w:pPr>
              <w:spacing w:line="360" w:lineRule="auto"/>
              <w:rPr>
                <w:rFonts w:ascii="Times New Roman" w:hAnsi="Times New Roman" w:cs="Times New Roman"/>
                <w:b/>
                <w:color w:val="000000" w:themeColor="text1"/>
                <w:sz w:val="24"/>
                <w:szCs w:val="24"/>
                <w:lang w:eastAsia="zh-CN"/>
              </w:rPr>
            </w:pPr>
            <w:r w:rsidRPr="004D0CC2">
              <w:rPr>
                <w:rFonts w:ascii="Times New Roman" w:hAnsi="Times New Roman" w:cs="Times New Roman"/>
                <w:b/>
                <w:color w:val="000000" w:themeColor="text1"/>
                <w:sz w:val="24"/>
                <w:szCs w:val="24"/>
              </w:rPr>
              <w:t xml:space="preserve">Sample ID </w:t>
            </w:r>
          </w:p>
        </w:tc>
        <w:tc>
          <w:tcPr>
            <w:tcW w:w="4788" w:type="dxa"/>
            <w:tcBorders>
              <w:top w:val="single" w:sz="4" w:space="0" w:color="auto"/>
              <w:left w:val="single" w:sz="4" w:space="0" w:color="auto"/>
              <w:bottom w:val="single" w:sz="4" w:space="0" w:color="auto"/>
              <w:right w:val="single" w:sz="4" w:space="0" w:color="auto"/>
            </w:tcBorders>
            <w:hideMark/>
          </w:tcPr>
          <w:p w14:paraId="70EDF999" w14:textId="77777777" w:rsidR="00E5749A" w:rsidRPr="004D0CC2" w:rsidRDefault="00E5749A" w:rsidP="00D3621B">
            <w:pPr>
              <w:spacing w:line="360" w:lineRule="auto"/>
              <w:rPr>
                <w:rFonts w:ascii="Times New Roman" w:hAnsi="Times New Roman" w:cs="Times New Roman"/>
                <w:b/>
                <w:color w:val="000000" w:themeColor="text1"/>
                <w:sz w:val="24"/>
                <w:szCs w:val="24"/>
                <w:lang w:eastAsia="zh-CN"/>
              </w:rPr>
            </w:pPr>
            <w:r w:rsidRPr="004D0CC2">
              <w:rPr>
                <w:rFonts w:ascii="Times New Roman" w:hAnsi="Times New Roman" w:cs="Times New Roman"/>
                <w:b/>
                <w:color w:val="000000" w:themeColor="text1"/>
                <w:sz w:val="24"/>
                <w:szCs w:val="24"/>
              </w:rPr>
              <w:t>Iron in percentage</w:t>
            </w:r>
          </w:p>
        </w:tc>
      </w:tr>
      <w:tr w:rsidR="00195919" w:rsidRPr="004D0CC2" w14:paraId="0CD67E9C" w14:textId="77777777" w:rsidTr="00D3621B">
        <w:tc>
          <w:tcPr>
            <w:tcW w:w="4788" w:type="dxa"/>
            <w:tcBorders>
              <w:top w:val="single" w:sz="4" w:space="0" w:color="auto"/>
              <w:left w:val="single" w:sz="4" w:space="0" w:color="auto"/>
              <w:bottom w:val="single" w:sz="4" w:space="0" w:color="auto"/>
              <w:right w:val="single" w:sz="4" w:space="0" w:color="auto"/>
            </w:tcBorders>
            <w:hideMark/>
          </w:tcPr>
          <w:p w14:paraId="729A63D9" w14:textId="77777777" w:rsidR="00E5749A" w:rsidRDefault="00E5749A" w:rsidP="00D3621B">
            <w:pPr>
              <w:spacing w:line="360" w:lineRule="auto"/>
              <w:rPr>
                <w:rFonts w:ascii="Times New Roman" w:hAnsi="Times New Roman" w:cs="Times New Roman"/>
                <w:color w:val="000000" w:themeColor="text1"/>
                <w:sz w:val="24"/>
                <w:szCs w:val="24"/>
              </w:rPr>
            </w:pPr>
            <w:r w:rsidRPr="004D0CC2">
              <w:rPr>
                <w:rFonts w:ascii="Times New Roman" w:hAnsi="Times New Roman" w:cs="Times New Roman"/>
                <w:color w:val="000000" w:themeColor="text1"/>
                <w:sz w:val="24"/>
                <w:szCs w:val="24"/>
              </w:rPr>
              <w:t xml:space="preserve">GEN/2018/03/0006 </w:t>
            </w:r>
          </w:p>
          <w:p w14:paraId="6F4188B2" w14:textId="27F58268" w:rsidR="00F231E2" w:rsidRPr="004D0CC2" w:rsidRDefault="00F231E2" w:rsidP="00D3621B">
            <w:pPr>
              <w:spacing w:line="360" w:lineRule="auto"/>
              <w:rPr>
                <w:rFonts w:ascii="Times New Roman" w:hAnsi="Times New Roman" w:cs="Times New Roman"/>
                <w:color w:val="000000" w:themeColor="text1"/>
                <w:sz w:val="24"/>
                <w:szCs w:val="24"/>
                <w:lang w:eastAsia="zh-CN"/>
              </w:rPr>
            </w:pPr>
            <w:r w:rsidRPr="004D0CC2">
              <w:rPr>
                <w:rFonts w:ascii="Times New Roman" w:hAnsi="Times New Roman"/>
                <w:color w:val="000000" w:themeColor="text1"/>
              </w:rPr>
              <w:t>(A</w:t>
            </w:r>
            <w:r w:rsidRPr="004D0CC2">
              <w:rPr>
                <w:rFonts w:ascii="Times New Roman" w:hAnsi="Times New Roman"/>
                <w:bCs/>
                <w:color w:val="000000" w:themeColor="text1"/>
              </w:rPr>
              <w:t>gricultural field, Chikkaballapur)</w:t>
            </w:r>
          </w:p>
        </w:tc>
        <w:tc>
          <w:tcPr>
            <w:tcW w:w="4788" w:type="dxa"/>
            <w:tcBorders>
              <w:top w:val="single" w:sz="4" w:space="0" w:color="auto"/>
              <w:left w:val="single" w:sz="4" w:space="0" w:color="auto"/>
              <w:bottom w:val="single" w:sz="4" w:space="0" w:color="auto"/>
              <w:right w:val="single" w:sz="4" w:space="0" w:color="auto"/>
            </w:tcBorders>
            <w:hideMark/>
          </w:tcPr>
          <w:p w14:paraId="4025FFE3" w14:textId="77777777" w:rsidR="00E5749A" w:rsidRPr="004D0CC2" w:rsidRDefault="00E5749A" w:rsidP="00D3621B">
            <w:pPr>
              <w:spacing w:line="360" w:lineRule="auto"/>
              <w:rPr>
                <w:rFonts w:ascii="Times New Roman" w:hAnsi="Times New Roman" w:cs="Times New Roman"/>
                <w:color w:val="000000" w:themeColor="text1"/>
                <w:sz w:val="24"/>
                <w:szCs w:val="24"/>
                <w:lang w:eastAsia="zh-CN"/>
              </w:rPr>
            </w:pPr>
            <w:r w:rsidRPr="004D0CC2">
              <w:rPr>
                <w:rFonts w:ascii="Times New Roman" w:hAnsi="Times New Roman" w:cs="Times New Roman"/>
                <w:color w:val="000000" w:themeColor="text1"/>
                <w:sz w:val="24"/>
                <w:szCs w:val="24"/>
              </w:rPr>
              <w:t>NIL</w:t>
            </w:r>
          </w:p>
        </w:tc>
      </w:tr>
      <w:tr w:rsidR="00195919" w:rsidRPr="004D0CC2" w14:paraId="6FF16AD2" w14:textId="77777777" w:rsidTr="00D3621B">
        <w:tc>
          <w:tcPr>
            <w:tcW w:w="4788" w:type="dxa"/>
            <w:tcBorders>
              <w:top w:val="single" w:sz="4" w:space="0" w:color="auto"/>
              <w:left w:val="single" w:sz="4" w:space="0" w:color="auto"/>
              <w:bottom w:val="single" w:sz="4" w:space="0" w:color="auto"/>
              <w:right w:val="single" w:sz="4" w:space="0" w:color="auto"/>
            </w:tcBorders>
            <w:hideMark/>
          </w:tcPr>
          <w:p w14:paraId="660AA998" w14:textId="77777777" w:rsidR="00E5749A" w:rsidRDefault="00E5749A" w:rsidP="00D3621B">
            <w:pPr>
              <w:spacing w:line="360" w:lineRule="auto"/>
              <w:rPr>
                <w:rFonts w:ascii="Times New Roman" w:hAnsi="Times New Roman" w:cs="Times New Roman"/>
                <w:color w:val="000000" w:themeColor="text1"/>
                <w:sz w:val="24"/>
                <w:szCs w:val="24"/>
              </w:rPr>
            </w:pPr>
            <w:r w:rsidRPr="004D0CC2">
              <w:rPr>
                <w:rFonts w:ascii="Times New Roman" w:hAnsi="Times New Roman" w:cs="Times New Roman"/>
                <w:color w:val="000000" w:themeColor="text1"/>
                <w:sz w:val="24"/>
                <w:szCs w:val="24"/>
              </w:rPr>
              <w:t xml:space="preserve">GEN/2018/03/0025 </w:t>
            </w:r>
          </w:p>
          <w:p w14:paraId="1BC3E3AB" w14:textId="596B4CAF" w:rsidR="00F231E2" w:rsidRPr="004D0CC2" w:rsidRDefault="00F231E2" w:rsidP="00D3621B">
            <w:pPr>
              <w:spacing w:line="360" w:lineRule="auto"/>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rPr>
              <w:t>(</w:t>
            </w:r>
            <w:r w:rsidRPr="004D0CC2">
              <w:rPr>
                <w:rFonts w:ascii="Times New Roman" w:hAnsi="Times New Roman" w:cs="Times New Roman"/>
                <w:color w:val="000000" w:themeColor="text1"/>
                <w:sz w:val="24"/>
                <w:szCs w:val="24"/>
              </w:rPr>
              <w:t>Waste dumped area, Hosakote)</w:t>
            </w:r>
          </w:p>
        </w:tc>
        <w:tc>
          <w:tcPr>
            <w:tcW w:w="4788" w:type="dxa"/>
            <w:tcBorders>
              <w:top w:val="single" w:sz="4" w:space="0" w:color="auto"/>
              <w:left w:val="single" w:sz="4" w:space="0" w:color="auto"/>
              <w:bottom w:val="single" w:sz="4" w:space="0" w:color="auto"/>
              <w:right w:val="single" w:sz="4" w:space="0" w:color="auto"/>
            </w:tcBorders>
            <w:hideMark/>
          </w:tcPr>
          <w:p w14:paraId="4501C50D" w14:textId="77777777" w:rsidR="00E5749A" w:rsidRPr="004D0CC2" w:rsidRDefault="00E5749A" w:rsidP="00D3621B">
            <w:pPr>
              <w:spacing w:line="360" w:lineRule="auto"/>
              <w:rPr>
                <w:rFonts w:ascii="Times New Roman" w:hAnsi="Times New Roman" w:cs="Times New Roman"/>
                <w:color w:val="000000" w:themeColor="text1"/>
                <w:sz w:val="24"/>
                <w:szCs w:val="24"/>
                <w:lang w:eastAsia="zh-CN"/>
              </w:rPr>
            </w:pPr>
            <w:r w:rsidRPr="004D0CC2">
              <w:rPr>
                <w:rFonts w:ascii="Times New Roman" w:hAnsi="Times New Roman" w:cs="Times New Roman"/>
                <w:color w:val="000000" w:themeColor="text1"/>
                <w:sz w:val="24"/>
                <w:szCs w:val="24"/>
              </w:rPr>
              <w:t>0.02</w:t>
            </w:r>
          </w:p>
        </w:tc>
      </w:tr>
      <w:tr w:rsidR="00195919" w:rsidRPr="004D0CC2" w14:paraId="3C72E32C" w14:textId="77777777" w:rsidTr="00D3621B">
        <w:tc>
          <w:tcPr>
            <w:tcW w:w="4788" w:type="dxa"/>
            <w:tcBorders>
              <w:top w:val="single" w:sz="4" w:space="0" w:color="auto"/>
              <w:left w:val="single" w:sz="4" w:space="0" w:color="auto"/>
              <w:bottom w:val="single" w:sz="4" w:space="0" w:color="auto"/>
              <w:right w:val="single" w:sz="4" w:space="0" w:color="auto"/>
            </w:tcBorders>
            <w:hideMark/>
          </w:tcPr>
          <w:p w14:paraId="7F7BDB85" w14:textId="77777777" w:rsidR="00E5749A" w:rsidRDefault="00E5749A" w:rsidP="00D3621B">
            <w:pPr>
              <w:spacing w:line="360" w:lineRule="auto"/>
              <w:rPr>
                <w:rFonts w:ascii="Times New Roman" w:hAnsi="Times New Roman" w:cs="Times New Roman"/>
                <w:color w:val="000000" w:themeColor="text1"/>
                <w:sz w:val="24"/>
                <w:szCs w:val="24"/>
              </w:rPr>
            </w:pPr>
            <w:r w:rsidRPr="004D0CC2">
              <w:rPr>
                <w:rFonts w:ascii="Times New Roman" w:hAnsi="Times New Roman" w:cs="Times New Roman"/>
                <w:color w:val="000000" w:themeColor="text1"/>
                <w:sz w:val="24"/>
                <w:szCs w:val="24"/>
              </w:rPr>
              <w:t xml:space="preserve">GEN/2018/03/0026 </w:t>
            </w:r>
          </w:p>
          <w:p w14:paraId="1B9BF819" w14:textId="4DA18517" w:rsidR="00F231E2" w:rsidRPr="004D0CC2" w:rsidRDefault="00F231E2" w:rsidP="00D3621B">
            <w:pPr>
              <w:spacing w:line="360" w:lineRule="auto"/>
              <w:rPr>
                <w:rFonts w:ascii="Times New Roman" w:hAnsi="Times New Roman" w:cs="Times New Roman"/>
                <w:color w:val="000000" w:themeColor="text1"/>
                <w:sz w:val="24"/>
                <w:szCs w:val="24"/>
                <w:lang w:eastAsia="zh-CN"/>
              </w:rPr>
            </w:pPr>
            <w:r w:rsidRPr="004D0CC2">
              <w:rPr>
                <w:rFonts w:ascii="Times New Roman" w:hAnsi="Times New Roman"/>
                <w:bCs/>
                <w:color w:val="000000" w:themeColor="text1"/>
              </w:rPr>
              <w:t>(Rajajinagar Industrial town)</w:t>
            </w:r>
          </w:p>
        </w:tc>
        <w:tc>
          <w:tcPr>
            <w:tcW w:w="4788" w:type="dxa"/>
            <w:tcBorders>
              <w:top w:val="single" w:sz="4" w:space="0" w:color="auto"/>
              <w:left w:val="single" w:sz="4" w:space="0" w:color="auto"/>
              <w:bottom w:val="single" w:sz="4" w:space="0" w:color="auto"/>
              <w:right w:val="single" w:sz="4" w:space="0" w:color="auto"/>
            </w:tcBorders>
            <w:hideMark/>
          </w:tcPr>
          <w:p w14:paraId="498989A9" w14:textId="77777777" w:rsidR="00E5749A" w:rsidRPr="004D0CC2" w:rsidRDefault="00E5749A" w:rsidP="00D3621B">
            <w:pPr>
              <w:spacing w:line="360" w:lineRule="auto"/>
              <w:rPr>
                <w:rFonts w:ascii="Times New Roman" w:hAnsi="Times New Roman" w:cs="Times New Roman"/>
                <w:color w:val="000000" w:themeColor="text1"/>
                <w:sz w:val="24"/>
                <w:szCs w:val="24"/>
                <w:lang w:eastAsia="zh-CN"/>
              </w:rPr>
            </w:pPr>
            <w:r w:rsidRPr="004D0CC2">
              <w:rPr>
                <w:rFonts w:ascii="Times New Roman" w:hAnsi="Times New Roman" w:cs="Times New Roman"/>
                <w:color w:val="000000" w:themeColor="text1"/>
                <w:sz w:val="24"/>
                <w:szCs w:val="24"/>
              </w:rPr>
              <w:t>0.01</w:t>
            </w:r>
          </w:p>
        </w:tc>
      </w:tr>
      <w:tr w:rsidR="00E5749A" w:rsidRPr="004D0CC2" w14:paraId="3233DE04" w14:textId="77777777" w:rsidTr="00D3621B">
        <w:tc>
          <w:tcPr>
            <w:tcW w:w="4788" w:type="dxa"/>
            <w:tcBorders>
              <w:top w:val="single" w:sz="4" w:space="0" w:color="auto"/>
              <w:left w:val="single" w:sz="4" w:space="0" w:color="auto"/>
              <w:bottom w:val="single" w:sz="4" w:space="0" w:color="auto"/>
              <w:right w:val="single" w:sz="4" w:space="0" w:color="auto"/>
            </w:tcBorders>
            <w:hideMark/>
          </w:tcPr>
          <w:p w14:paraId="33E608F1" w14:textId="77777777" w:rsidR="00E5749A" w:rsidRDefault="00E5749A" w:rsidP="00D3621B">
            <w:pPr>
              <w:spacing w:line="360" w:lineRule="auto"/>
              <w:rPr>
                <w:rFonts w:ascii="Times New Roman" w:hAnsi="Times New Roman" w:cs="Times New Roman"/>
                <w:color w:val="000000" w:themeColor="text1"/>
                <w:sz w:val="24"/>
                <w:szCs w:val="24"/>
              </w:rPr>
            </w:pPr>
            <w:r w:rsidRPr="004D0CC2">
              <w:rPr>
                <w:rFonts w:ascii="Times New Roman" w:hAnsi="Times New Roman" w:cs="Times New Roman"/>
                <w:color w:val="000000" w:themeColor="text1"/>
                <w:sz w:val="24"/>
                <w:szCs w:val="24"/>
              </w:rPr>
              <w:t xml:space="preserve">GEN/2018/03/0027 </w:t>
            </w:r>
          </w:p>
          <w:p w14:paraId="1E81F377" w14:textId="487B92DB" w:rsidR="00F231E2" w:rsidRPr="004D0CC2" w:rsidRDefault="00F231E2" w:rsidP="00D3621B">
            <w:pPr>
              <w:spacing w:line="360" w:lineRule="auto"/>
              <w:rPr>
                <w:rFonts w:ascii="Times New Roman" w:hAnsi="Times New Roman" w:cs="Times New Roman"/>
                <w:color w:val="000000" w:themeColor="text1"/>
                <w:sz w:val="24"/>
                <w:szCs w:val="24"/>
                <w:lang w:eastAsia="zh-CN"/>
              </w:rPr>
            </w:pPr>
            <w:r w:rsidRPr="004D0CC2">
              <w:rPr>
                <w:rFonts w:ascii="Times New Roman" w:hAnsi="Times New Roman" w:cs="Times New Roman"/>
                <w:color w:val="000000" w:themeColor="text1"/>
                <w:sz w:val="24"/>
                <w:szCs w:val="24"/>
              </w:rPr>
              <w:t xml:space="preserve"> (Magadi Road Residential area</w:t>
            </w:r>
            <w:r>
              <w:rPr>
                <w:rFonts w:ascii="Times New Roman" w:hAnsi="Times New Roman" w:cs="Times New Roman"/>
                <w:color w:val="000000" w:themeColor="text1"/>
                <w:sz w:val="24"/>
                <w:szCs w:val="24"/>
              </w:rPr>
              <w:t>)</w:t>
            </w:r>
          </w:p>
        </w:tc>
        <w:tc>
          <w:tcPr>
            <w:tcW w:w="4788" w:type="dxa"/>
            <w:tcBorders>
              <w:top w:val="single" w:sz="4" w:space="0" w:color="auto"/>
              <w:left w:val="single" w:sz="4" w:space="0" w:color="auto"/>
              <w:bottom w:val="single" w:sz="4" w:space="0" w:color="auto"/>
              <w:right w:val="single" w:sz="4" w:space="0" w:color="auto"/>
            </w:tcBorders>
            <w:hideMark/>
          </w:tcPr>
          <w:p w14:paraId="7A65E5F5" w14:textId="77777777" w:rsidR="00E5749A" w:rsidRPr="004D0CC2" w:rsidRDefault="00E5749A" w:rsidP="00D3621B">
            <w:pPr>
              <w:spacing w:line="360" w:lineRule="auto"/>
              <w:rPr>
                <w:rFonts w:ascii="Times New Roman" w:hAnsi="Times New Roman" w:cs="Times New Roman"/>
                <w:color w:val="000000" w:themeColor="text1"/>
                <w:sz w:val="24"/>
                <w:szCs w:val="24"/>
                <w:lang w:eastAsia="zh-CN"/>
              </w:rPr>
            </w:pPr>
            <w:r w:rsidRPr="004D0CC2">
              <w:rPr>
                <w:rFonts w:ascii="Times New Roman" w:hAnsi="Times New Roman" w:cs="Times New Roman"/>
                <w:color w:val="000000" w:themeColor="text1"/>
                <w:sz w:val="24"/>
                <w:szCs w:val="24"/>
              </w:rPr>
              <w:t xml:space="preserve">NIL </w:t>
            </w:r>
          </w:p>
        </w:tc>
      </w:tr>
    </w:tbl>
    <w:p w14:paraId="0F3C4D0D" w14:textId="77777777" w:rsidR="00E5749A" w:rsidRPr="004D0CC2" w:rsidRDefault="00E5749A" w:rsidP="00E5749A">
      <w:pPr>
        <w:rPr>
          <w:rFonts w:ascii="Times New Roman" w:hAnsi="Times New Roman" w:cs="Times New Roman"/>
          <w:b/>
          <w:color w:val="000000" w:themeColor="text1"/>
          <w:sz w:val="24"/>
          <w:szCs w:val="24"/>
        </w:rPr>
      </w:pPr>
    </w:p>
    <w:p w14:paraId="695265B4" w14:textId="77777777" w:rsidR="006310E1" w:rsidRDefault="00837239" w:rsidP="00E5749A">
      <w:pPr>
        <w:ind w:left="-993"/>
        <w:rPr>
          <w:rFonts w:ascii="Times New Roman" w:hAnsi="Times New Roman" w:cs="Times New Roman"/>
          <w:b/>
          <w:color w:val="000000" w:themeColor="text1"/>
          <w:sz w:val="24"/>
          <w:szCs w:val="24"/>
        </w:rPr>
      </w:pPr>
      <w:r w:rsidRPr="004D0CC2">
        <w:rPr>
          <w:rFonts w:ascii="Times New Roman" w:hAnsi="Times New Roman" w:cs="Times New Roman"/>
          <w:b/>
          <w:color w:val="000000" w:themeColor="text1"/>
          <w:sz w:val="24"/>
          <w:szCs w:val="24"/>
        </w:rPr>
        <w:tab/>
      </w:r>
      <w:r w:rsidRPr="004D0CC2">
        <w:rPr>
          <w:rFonts w:ascii="Times New Roman" w:hAnsi="Times New Roman" w:cs="Times New Roman"/>
          <w:b/>
          <w:color w:val="000000" w:themeColor="text1"/>
          <w:sz w:val="24"/>
          <w:szCs w:val="24"/>
        </w:rPr>
        <w:tab/>
      </w:r>
    </w:p>
    <w:p w14:paraId="463AF969" w14:textId="77777777" w:rsidR="006310E1" w:rsidRDefault="006310E1" w:rsidP="00E5749A">
      <w:pPr>
        <w:ind w:left="-993"/>
        <w:rPr>
          <w:rFonts w:ascii="Times New Roman" w:hAnsi="Times New Roman" w:cs="Times New Roman"/>
          <w:b/>
          <w:color w:val="000000" w:themeColor="text1"/>
          <w:sz w:val="24"/>
          <w:szCs w:val="24"/>
        </w:rPr>
      </w:pPr>
    </w:p>
    <w:p w14:paraId="29C960B8" w14:textId="77777777" w:rsidR="006310E1" w:rsidRDefault="006310E1" w:rsidP="00E5749A">
      <w:pPr>
        <w:ind w:left="-993"/>
        <w:rPr>
          <w:rFonts w:ascii="Times New Roman" w:hAnsi="Times New Roman" w:cs="Times New Roman"/>
          <w:b/>
          <w:color w:val="000000" w:themeColor="text1"/>
          <w:sz w:val="24"/>
          <w:szCs w:val="24"/>
        </w:rPr>
      </w:pPr>
    </w:p>
    <w:p w14:paraId="4C645B37" w14:textId="0FCFD5CE" w:rsidR="00E5749A" w:rsidRPr="004D0CC2" w:rsidRDefault="006310E1" w:rsidP="00E5749A">
      <w:pPr>
        <w:ind w:left="-993"/>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ab/>
      </w:r>
      <w:r>
        <w:rPr>
          <w:rFonts w:ascii="Times New Roman" w:hAnsi="Times New Roman" w:cs="Times New Roman"/>
          <w:b/>
          <w:color w:val="000000" w:themeColor="text1"/>
          <w:sz w:val="24"/>
          <w:szCs w:val="24"/>
        </w:rPr>
        <w:tab/>
      </w:r>
      <w:r w:rsidR="00E5749A" w:rsidRPr="004D0CC2">
        <w:rPr>
          <w:rFonts w:ascii="Times New Roman" w:hAnsi="Times New Roman" w:cs="Times New Roman"/>
          <w:b/>
          <w:color w:val="000000" w:themeColor="text1"/>
          <w:sz w:val="24"/>
          <w:szCs w:val="24"/>
        </w:rPr>
        <w:t>Table- 8</w:t>
      </w:r>
      <w:r w:rsidR="002F1AA7" w:rsidRPr="004D0CC2">
        <w:rPr>
          <w:rFonts w:ascii="Times New Roman" w:hAnsi="Times New Roman" w:cs="Times New Roman"/>
          <w:b/>
          <w:color w:val="000000" w:themeColor="text1"/>
          <w:sz w:val="24"/>
          <w:szCs w:val="24"/>
        </w:rPr>
        <w:t>.</w:t>
      </w:r>
      <w:r w:rsidR="00E5749A" w:rsidRPr="004D0CC2">
        <w:rPr>
          <w:rFonts w:ascii="Times New Roman" w:hAnsi="Times New Roman" w:cs="Times New Roman"/>
          <w:b/>
          <w:color w:val="000000" w:themeColor="text1"/>
          <w:sz w:val="24"/>
          <w:szCs w:val="24"/>
        </w:rPr>
        <w:t xml:space="preserve"> Estimation of Acidity</w:t>
      </w:r>
      <w:r w:rsidR="002F1AA7" w:rsidRPr="004D0CC2">
        <w:rPr>
          <w:rFonts w:ascii="Times New Roman" w:hAnsi="Times New Roman" w:cs="Times New Roman"/>
          <w:b/>
          <w:color w:val="000000" w:themeColor="text1"/>
          <w:sz w:val="24"/>
          <w:szCs w:val="24"/>
        </w:rPr>
        <w:t xml:space="preserve"> in soil samples from different areas of Bangalore</w:t>
      </w:r>
    </w:p>
    <w:tbl>
      <w:tblPr>
        <w:tblW w:w="10212" w:type="dxa"/>
        <w:tblLook w:val="0000" w:firstRow="0" w:lastRow="0" w:firstColumn="0" w:lastColumn="0" w:noHBand="0" w:noVBand="0"/>
      </w:tblPr>
      <w:tblGrid>
        <w:gridCol w:w="2017"/>
        <w:gridCol w:w="1130"/>
        <w:gridCol w:w="1163"/>
        <w:gridCol w:w="1127"/>
        <w:gridCol w:w="1140"/>
        <w:gridCol w:w="1483"/>
        <w:gridCol w:w="1021"/>
        <w:gridCol w:w="1131"/>
      </w:tblGrid>
      <w:tr w:rsidR="00195919" w:rsidRPr="004D0CC2" w14:paraId="76F56139" w14:textId="77777777" w:rsidTr="00837239">
        <w:trPr>
          <w:trHeight w:val="862"/>
        </w:trPr>
        <w:tc>
          <w:tcPr>
            <w:tcW w:w="2017" w:type="dxa"/>
            <w:tcBorders>
              <w:top w:val="single" w:sz="4" w:space="0" w:color="auto"/>
              <w:left w:val="single" w:sz="4" w:space="0" w:color="auto"/>
              <w:bottom w:val="single" w:sz="4" w:space="0" w:color="auto"/>
              <w:right w:val="single" w:sz="4" w:space="0" w:color="auto"/>
            </w:tcBorders>
          </w:tcPr>
          <w:p w14:paraId="410C2805" w14:textId="77777777" w:rsidR="00E5749A" w:rsidRPr="004D0CC2" w:rsidRDefault="00E5749A" w:rsidP="00D3621B">
            <w:pPr>
              <w:spacing w:line="360" w:lineRule="auto"/>
              <w:rPr>
                <w:rFonts w:ascii="Times New Roman" w:hAnsi="Times New Roman" w:cs="Times New Roman"/>
                <w:b/>
                <w:bCs/>
                <w:color w:val="000000" w:themeColor="text1"/>
                <w:sz w:val="24"/>
                <w:szCs w:val="24"/>
              </w:rPr>
            </w:pPr>
            <w:r w:rsidRPr="004D0CC2">
              <w:rPr>
                <w:rFonts w:ascii="Times New Roman" w:hAnsi="Times New Roman" w:cs="Times New Roman"/>
                <w:b/>
                <w:bCs/>
                <w:color w:val="000000" w:themeColor="text1"/>
                <w:sz w:val="24"/>
                <w:szCs w:val="24"/>
              </w:rPr>
              <w:t>Sample ID</w:t>
            </w:r>
          </w:p>
          <w:p w14:paraId="0A6815E5" w14:textId="77777777" w:rsidR="00E5749A" w:rsidRPr="004D0CC2" w:rsidRDefault="00E5749A" w:rsidP="00D3621B">
            <w:pPr>
              <w:spacing w:line="360" w:lineRule="auto"/>
              <w:jc w:val="center"/>
              <w:rPr>
                <w:rFonts w:ascii="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561CB002" w14:textId="77777777" w:rsidR="00E5749A" w:rsidRPr="004D0CC2" w:rsidRDefault="00E5749A" w:rsidP="00D3621B">
            <w:pPr>
              <w:spacing w:line="360" w:lineRule="auto"/>
              <w:rPr>
                <w:rFonts w:ascii="Times New Roman" w:hAnsi="Times New Roman" w:cs="Times New Roman"/>
                <w:b/>
                <w:bCs/>
                <w:color w:val="000000" w:themeColor="text1"/>
                <w:sz w:val="24"/>
                <w:szCs w:val="24"/>
              </w:rPr>
            </w:pPr>
            <w:r w:rsidRPr="004D0CC2">
              <w:rPr>
                <w:rFonts w:ascii="Times New Roman" w:hAnsi="Times New Roman" w:cs="Times New Roman"/>
                <w:b/>
                <w:bCs/>
                <w:color w:val="000000" w:themeColor="text1"/>
                <w:sz w:val="24"/>
                <w:szCs w:val="24"/>
              </w:rPr>
              <w:t>Sample weight</w:t>
            </w:r>
          </w:p>
        </w:tc>
        <w:tc>
          <w:tcPr>
            <w:tcW w:w="1163" w:type="dxa"/>
            <w:tcBorders>
              <w:top w:val="single" w:sz="4" w:space="0" w:color="auto"/>
              <w:left w:val="single" w:sz="4" w:space="0" w:color="auto"/>
              <w:bottom w:val="single" w:sz="4" w:space="0" w:color="auto"/>
              <w:right w:val="single" w:sz="4" w:space="0" w:color="auto"/>
            </w:tcBorders>
          </w:tcPr>
          <w:p w14:paraId="259910F3" w14:textId="77777777" w:rsidR="00E5749A" w:rsidRPr="004D0CC2" w:rsidRDefault="00E5749A" w:rsidP="00D3621B">
            <w:pPr>
              <w:spacing w:line="360" w:lineRule="auto"/>
              <w:rPr>
                <w:rFonts w:ascii="Times New Roman" w:hAnsi="Times New Roman" w:cs="Times New Roman"/>
                <w:b/>
                <w:bCs/>
                <w:color w:val="000000" w:themeColor="text1"/>
                <w:sz w:val="24"/>
                <w:szCs w:val="24"/>
              </w:rPr>
            </w:pPr>
            <w:r w:rsidRPr="004D0CC2">
              <w:rPr>
                <w:rFonts w:ascii="Times New Roman" w:hAnsi="Times New Roman" w:cs="Times New Roman"/>
                <w:b/>
                <w:bCs/>
                <w:color w:val="000000" w:themeColor="text1"/>
                <w:sz w:val="24"/>
                <w:szCs w:val="24"/>
              </w:rPr>
              <w:t>Dilution (ml)</w:t>
            </w:r>
          </w:p>
        </w:tc>
        <w:tc>
          <w:tcPr>
            <w:tcW w:w="1127" w:type="dxa"/>
            <w:tcBorders>
              <w:top w:val="single" w:sz="4" w:space="0" w:color="auto"/>
              <w:left w:val="single" w:sz="4" w:space="0" w:color="auto"/>
              <w:bottom w:val="single" w:sz="4" w:space="0" w:color="auto"/>
              <w:right w:val="single" w:sz="4" w:space="0" w:color="auto"/>
            </w:tcBorders>
          </w:tcPr>
          <w:p w14:paraId="7C2BF40B" w14:textId="77777777" w:rsidR="00E5749A" w:rsidRPr="004D0CC2" w:rsidRDefault="00E5749A" w:rsidP="00D3621B">
            <w:pPr>
              <w:spacing w:line="360" w:lineRule="auto"/>
              <w:rPr>
                <w:rFonts w:ascii="Times New Roman" w:hAnsi="Times New Roman" w:cs="Times New Roman"/>
                <w:b/>
                <w:bCs/>
                <w:color w:val="000000" w:themeColor="text1"/>
                <w:sz w:val="24"/>
                <w:szCs w:val="24"/>
              </w:rPr>
            </w:pPr>
            <w:r w:rsidRPr="004D0CC2">
              <w:rPr>
                <w:rFonts w:ascii="Times New Roman" w:hAnsi="Times New Roman" w:cs="Times New Roman"/>
                <w:b/>
                <w:bCs/>
                <w:color w:val="000000" w:themeColor="text1"/>
                <w:sz w:val="24"/>
                <w:szCs w:val="24"/>
              </w:rPr>
              <w:t>Titre value (ml)</w:t>
            </w:r>
          </w:p>
        </w:tc>
        <w:tc>
          <w:tcPr>
            <w:tcW w:w="1140" w:type="dxa"/>
            <w:tcBorders>
              <w:top w:val="single" w:sz="4" w:space="0" w:color="auto"/>
              <w:left w:val="single" w:sz="4" w:space="0" w:color="auto"/>
              <w:bottom w:val="single" w:sz="4" w:space="0" w:color="auto"/>
              <w:right w:val="single" w:sz="4" w:space="0" w:color="auto"/>
            </w:tcBorders>
          </w:tcPr>
          <w:p w14:paraId="3D3E4BEC" w14:textId="77777777" w:rsidR="00E5749A" w:rsidRPr="004D0CC2" w:rsidRDefault="00E5749A" w:rsidP="00D3621B">
            <w:pPr>
              <w:spacing w:line="360" w:lineRule="auto"/>
              <w:rPr>
                <w:rFonts w:ascii="Times New Roman" w:hAnsi="Times New Roman" w:cs="Times New Roman"/>
                <w:b/>
                <w:bCs/>
                <w:color w:val="000000" w:themeColor="text1"/>
                <w:sz w:val="24"/>
                <w:szCs w:val="24"/>
              </w:rPr>
            </w:pPr>
            <w:r w:rsidRPr="004D0CC2">
              <w:rPr>
                <w:rFonts w:ascii="Times New Roman" w:hAnsi="Times New Roman" w:cs="Times New Roman"/>
                <w:b/>
                <w:bCs/>
                <w:color w:val="000000" w:themeColor="text1"/>
                <w:sz w:val="24"/>
                <w:szCs w:val="24"/>
              </w:rPr>
              <w:t>Aliquot (ml)</w:t>
            </w:r>
          </w:p>
        </w:tc>
        <w:tc>
          <w:tcPr>
            <w:tcW w:w="1483" w:type="dxa"/>
            <w:tcBorders>
              <w:top w:val="single" w:sz="4" w:space="0" w:color="auto"/>
              <w:left w:val="single" w:sz="4" w:space="0" w:color="auto"/>
              <w:bottom w:val="single" w:sz="4" w:space="0" w:color="auto"/>
              <w:right w:val="single" w:sz="4" w:space="0" w:color="auto"/>
            </w:tcBorders>
          </w:tcPr>
          <w:p w14:paraId="19F37561" w14:textId="77777777" w:rsidR="00E5749A" w:rsidRPr="004D0CC2" w:rsidRDefault="00E5749A" w:rsidP="00D3621B">
            <w:pPr>
              <w:spacing w:line="360" w:lineRule="auto"/>
              <w:rPr>
                <w:rFonts w:ascii="Times New Roman" w:hAnsi="Times New Roman" w:cs="Times New Roman"/>
                <w:b/>
                <w:bCs/>
                <w:color w:val="000000" w:themeColor="text1"/>
                <w:sz w:val="24"/>
                <w:szCs w:val="24"/>
              </w:rPr>
            </w:pPr>
            <w:r w:rsidRPr="004D0CC2">
              <w:rPr>
                <w:rFonts w:ascii="Times New Roman" w:hAnsi="Times New Roman" w:cs="Times New Roman"/>
                <w:b/>
                <w:bCs/>
                <w:color w:val="000000" w:themeColor="text1"/>
                <w:sz w:val="24"/>
                <w:szCs w:val="24"/>
              </w:rPr>
              <w:t>Normality</w:t>
            </w:r>
          </w:p>
        </w:tc>
        <w:tc>
          <w:tcPr>
            <w:tcW w:w="1021" w:type="dxa"/>
            <w:tcBorders>
              <w:top w:val="single" w:sz="4" w:space="0" w:color="auto"/>
              <w:left w:val="single" w:sz="4" w:space="0" w:color="auto"/>
              <w:bottom w:val="single" w:sz="4" w:space="0" w:color="auto"/>
              <w:right w:val="single" w:sz="4" w:space="0" w:color="auto"/>
            </w:tcBorders>
          </w:tcPr>
          <w:p w14:paraId="2BEAB925" w14:textId="77777777" w:rsidR="00E5749A" w:rsidRPr="004D0CC2" w:rsidRDefault="00E5749A" w:rsidP="00D3621B">
            <w:pPr>
              <w:spacing w:line="360" w:lineRule="auto"/>
              <w:rPr>
                <w:rFonts w:ascii="Times New Roman" w:hAnsi="Times New Roman" w:cs="Times New Roman"/>
                <w:b/>
                <w:bCs/>
                <w:color w:val="000000" w:themeColor="text1"/>
                <w:sz w:val="24"/>
                <w:szCs w:val="24"/>
              </w:rPr>
            </w:pPr>
            <w:r w:rsidRPr="004D0CC2">
              <w:rPr>
                <w:rFonts w:ascii="Times New Roman" w:hAnsi="Times New Roman" w:cs="Times New Roman"/>
                <w:b/>
                <w:bCs/>
                <w:color w:val="000000" w:themeColor="text1"/>
                <w:sz w:val="24"/>
                <w:szCs w:val="24"/>
              </w:rPr>
              <w:t>Acidity factor</w:t>
            </w:r>
          </w:p>
        </w:tc>
        <w:tc>
          <w:tcPr>
            <w:tcW w:w="1131" w:type="dxa"/>
            <w:tcBorders>
              <w:top w:val="single" w:sz="4" w:space="0" w:color="auto"/>
              <w:left w:val="single" w:sz="4" w:space="0" w:color="auto"/>
              <w:bottom w:val="single" w:sz="4" w:space="0" w:color="auto"/>
              <w:right w:val="single" w:sz="4" w:space="0" w:color="auto"/>
            </w:tcBorders>
          </w:tcPr>
          <w:p w14:paraId="66CD8F0A" w14:textId="77777777" w:rsidR="00E5749A" w:rsidRPr="004D0CC2" w:rsidRDefault="00E5749A" w:rsidP="00D3621B">
            <w:pPr>
              <w:spacing w:line="360" w:lineRule="auto"/>
              <w:rPr>
                <w:rFonts w:ascii="Times New Roman" w:hAnsi="Times New Roman" w:cs="Times New Roman"/>
                <w:b/>
                <w:bCs/>
                <w:color w:val="000000" w:themeColor="text1"/>
                <w:sz w:val="24"/>
                <w:szCs w:val="24"/>
              </w:rPr>
            </w:pPr>
            <w:r w:rsidRPr="004D0CC2">
              <w:rPr>
                <w:rFonts w:ascii="Times New Roman" w:hAnsi="Times New Roman" w:cs="Times New Roman"/>
                <w:b/>
                <w:bCs/>
                <w:color w:val="000000" w:themeColor="text1"/>
                <w:sz w:val="24"/>
                <w:szCs w:val="24"/>
              </w:rPr>
              <w:t>Acidity</w:t>
            </w:r>
          </w:p>
        </w:tc>
      </w:tr>
      <w:tr w:rsidR="001221CC" w:rsidRPr="004D0CC2" w14:paraId="16293030" w14:textId="77777777" w:rsidTr="00837239">
        <w:trPr>
          <w:trHeight w:val="431"/>
        </w:trPr>
        <w:tc>
          <w:tcPr>
            <w:tcW w:w="2017" w:type="dxa"/>
            <w:tcBorders>
              <w:top w:val="single" w:sz="4" w:space="0" w:color="auto"/>
              <w:left w:val="single" w:sz="4" w:space="0" w:color="auto"/>
              <w:bottom w:val="single" w:sz="4" w:space="0" w:color="auto"/>
              <w:right w:val="single" w:sz="4" w:space="0" w:color="auto"/>
            </w:tcBorders>
          </w:tcPr>
          <w:p w14:paraId="3E9FCBCE" w14:textId="4D7CC195"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color w:val="000000" w:themeColor="text1"/>
                <w:sz w:val="24"/>
                <w:szCs w:val="24"/>
              </w:rPr>
              <w:t>Gen/2018/03/0006 (Agricultural field, Chikkaballapur)</w:t>
            </w:r>
          </w:p>
        </w:tc>
        <w:tc>
          <w:tcPr>
            <w:tcW w:w="1130" w:type="dxa"/>
            <w:tcBorders>
              <w:top w:val="single" w:sz="4" w:space="0" w:color="auto"/>
              <w:left w:val="single" w:sz="4" w:space="0" w:color="auto"/>
              <w:bottom w:val="single" w:sz="4" w:space="0" w:color="auto"/>
              <w:right w:val="single" w:sz="4" w:space="0" w:color="auto"/>
            </w:tcBorders>
          </w:tcPr>
          <w:p w14:paraId="135A80AB"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2.0035g</w:t>
            </w:r>
          </w:p>
        </w:tc>
        <w:tc>
          <w:tcPr>
            <w:tcW w:w="1163" w:type="dxa"/>
            <w:tcBorders>
              <w:top w:val="single" w:sz="4" w:space="0" w:color="auto"/>
              <w:left w:val="single" w:sz="4" w:space="0" w:color="auto"/>
              <w:bottom w:val="single" w:sz="4" w:space="0" w:color="auto"/>
              <w:right w:val="single" w:sz="4" w:space="0" w:color="auto"/>
            </w:tcBorders>
          </w:tcPr>
          <w:p w14:paraId="1206EA01"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100</w:t>
            </w:r>
          </w:p>
        </w:tc>
        <w:tc>
          <w:tcPr>
            <w:tcW w:w="1127" w:type="dxa"/>
            <w:tcBorders>
              <w:top w:val="single" w:sz="4" w:space="0" w:color="auto"/>
              <w:left w:val="single" w:sz="4" w:space="0" w:color="auto"/>
              <w:bottom w:val="single" w:sz="4" w:space="0" w:color="auto"/>
              <w:right w:val="single" w:sz="4" w:space="0" w:color="auto"/>
            </w:tcBorders>
          </w:tcPr>
          <w:p w14:paraId="2E4BDF96"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0.6</w:t>
            </w:r>
          </w:p>
        </w:tc>
        <w:tc>
          <w:tcPr>
            <w:tcW w:w="1140" w:type="dxa"/>
            <w:tcBorders>
              <w:top w:val="single" w:sz="4" w:space="0" w:color="auto"/>
              <w:left w:val="single" w:sz="4" w:space="0" w:color="auto"/>
              <w:bottom w:val="single" w:sz="4" w:space="0" w:color="auto"/>
              <w:right w:val="single" w:sz="4" w:space="0" w:color="auto"/>
            </w:tcBorders>
          </w:tcPr>
          <w:p w14:paraId="2FCD5250"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50</w:t>
            </w:r>
          </w:p>
        </w:tc>
        <w:tc>
          <w:tcPr>
            <w:tcW w:w="1483" w:type="dxa"/>
            <w:tcBorders>
              <w:top w:val="single" w:sz="4" w:space="0" w:color="auto"/>
              <w:left w:val="single" w:sz="4" w:space="0" w:color="auto"/>
              <w:bottom w:val="single" w:sz="4" w:space="0" w:color="auto"/>
              <w:right w:val="single" w:sz="4" w:space="0" w:color="auto"/>
            </w:tcBorders>
          </w:tcPr>
          <w:p w14:paraId="72DB9236"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0.0098N</w:t>
            </w:r>
          </w:p>
        </w:tc>
        <w:tc>
          <w:tcPr>
            <w:tcW w:w="1021" w:type="dxa"/>
            <w:tcBorders>
              <w:top w:val="single" w:sz="4" w:space="0" w:color="auto"/>
              <w:left w:val="single" w:sz="4" w:space="0" w:color="auto"/>
              <w:bottom w:val="single" w:sz="4" w:space="0" w:color="auto"/>
              <w:right w:val="single" w:sz="4" w:space="0" w:color="auto"/>
            </w:tcBorders>
          </w:tcPr>
          <w:p w14:paraId="6C8528EF"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0.053</w:t>
            </w:r>
          </w:p>
        </w:tc>
        <w:tc>
          <w:tcPr>
            <w:tcW w:w="1131" w:type="dxa"/>
            <w:tcBorders>
              <w:top w:val="single" w:sz="4" w:space="0" w:color="auto"/>
              <w:left w:val="single" w:sz="4" w:space="0" w:color="auto"/>
              <w:bottom w:val="single" w:sz="4" w:space="0" w:color="auto"/>
              <w:right w:val="single" w:sz="4" w:space="0" w:color="auto"/>
            </w:tcBorders>
          </w:tcPr>
          <w:p w14:paraId="4B805AD3"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0.03%</w:t>
            </w:r>
          </w:p>
        </w:tc>
      </w:tr>
      <w:tr w:rsidR="001221CC" w:rsidRPr="004D0CC2" w14:paraId="44E40239" w14:textId="77777777" w:rsidTr="00837239">
        <w:trPr>
          <w:trHeight w:val="431"/>
        </w:trPr>
        <w:tc>
          <w:tcPr>
            <w:tcW w:w="2017" w:type="dxa"/>
            <w:tcBorders>
              <w:top w:val="single" w:sz="4" w:space="0" w:color="auto"/>
              <w:left w:val="single" w:sz="4" w:space="0" w:color="auto"/>
              <w:bottom w:val="single" w:sz="4" w:space="0" w:color="auto"/>
              <w:right w:val="single" w:sz="4" w:space="0" w:color="auto"/>
            </w:tcBorders>
          </w:tcPr>
          <w:p w14:paraId="452A6B9E" w14:textId="214E4FCD"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color w:val="000000" w:themeColor="text1"/>
                <w:sz w:val="24"/>
                <w:szCs w:val="24"/>
              </w:rPr>
              <w:t>Gen/2018/03/0025 (Waste dumped area, Hosakote)</w:t>
            </w:r>
          </w:p>
        </w:tc>
        <w:tc>
          <w:tcPr>
            <w:tcW w:w="1130" w:type="dxa"/>
            <w:tcBorders>
              <w:top w:val="single" w:sz="4" w:space="0" w:color="auto"/>
              <w:left w:val="single" w:sz="4" w:space="0" w:color="auto"/>
              <w:bottom w:val="single" w:sz="4" w:space="0" w:color="auto"/>
              <w:right w:val="single" w:sz="4" w:space="0" w:color="auto"/>
            </w:tcBorders>
          </w:tcPr>
          <w:p w14:paraId="076F5F7F" w14:textId="77777777" w:rsidR="001221CC" w:rsidRPr="004D0CC2" w:rsidRDefault="001221CC" w:rsidP="001221CC">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2.0121g</w:t>
            </w:r>
          </w:p>
        </w:tc>
        <w:tc>
          <w:tcPr>
            <w:tcW w:w="1163" w:type="dxa"/>
            <w:tcBorders>
              <w:top w:val="single" w:sz="4" w:space="0" w:color="auto"/>
              <w:left w:val="single" w:sz="4" w:space="0" w:color="auto"/>
              <w:bottom w:val="single" w:sz="4" w:space="0" w:color="auto"/>
              <w:right w:val="single" w:sz="4" w:space="0" w:color="auto"/>
            </w:tcBorders>
          </w:tcPr>
          <w:p w14:paraId="56AF4F78" w14:textId="77777777" w:rsidR="001221CC" w:rsidRPr="004D0CC2" w:rsidRDefault="001221CC" w:rsidP="001221CC">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100</w:t>
            </w:r>
          </w:p>
        </w:tc>
        <w:tc>
          <w:tcPr>
            <w:tcW w:w="1127" w:type="dxa"/>
            <w:tcBorders>
              <w:top w:val="single" w:sz="4" w:space="0" w:color="auto"/>
              <w:left w:val="single" w:sz="4" w:space="0" w:color="auto"/>
              <w:bottom w:val="single" w:sz="4" w:space="0" w:color="auto"/>
              <w:right w:val="single" w:sz="4" w:space="0" w:color="auto"/>
            </w:tcBorders>
          </w:tcPr>
          <w:p w14:paraId="1E88A19C" w14:textId="77777777" w:rsidR="001221CC" w:rsidRPr="004D0CC2" w:rsidRDefault="001221CC" w:rsidP="001221CC">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0.0</w:t>
            </w:r>
          </w:p>
        </w:tc>
        <w:tc>
          <w:tcPr>
            <w:tcW w:w="1140" w:type="dxa"/>
            <w:tcBorders>
              <w:top w:val="single" w:sz="4" w:space="0" w:color="auto"/>
              <w:left w:val="single" w:sz="4" w:space="0" w:color="auto"/>
              <w:bottom w:val="single" w:sz="4" w:space="0" w:color="auto"/>
              <w:right w:val="single" w:sz="4" w:space="0" w:color="auto"/>
            </w:tcBorders>
          </w:tcPr>
          <w:p w14:paraId="7AACB08A" w14:textId="77777777" w:rsidR="001221CC" w:rsidRPr="004D0CC2" w:rsidRDefault="001221CC" w:rsidP="001221CC">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50</w:t>
            </w:r>
          </w:p>
        </w:tc>
        <w:tc>
          <w:tcPr>
            <w:tcW w:w="1483" w:type="dxa"/>
            <w:tcBorders>
              <w:top w:val="single" w:sz="4" w:space="0" w:color="auto"/>
              <w:left w:val="single" w:sz="4" w:space="0" w:color="auto"/>
              <w:bottom w:val="single" w:sz="4" w:space="0" w:color="auto"/>
              <w:right w:val="single" w:sz="4" w:space="0" w:color="auto"/>
            </w:tcBorders>
          </w:tcPr>
          <w:p w14:paraId="4DFD9A4A" w14:textId="77777777" w:rsidR="001221CC" w:rsidRPr="004D0CC2" w:rsidRDefault="001221CC" w:rsidP="001221CC">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0.0186N</w:t>
            </w:r>
          </w:p>
        </w:tc>
        <w:tc>
          <w:tcPr>
            <w:tcW w:w="1021" w:type="dxa"/>
            <w:tcBorders>
              <w:top w:val="single" w:sz="4" w:space="0" w:color="auto"/>
              <w:left w:val="single" w:sz="4" w:space="0" w:color="auto"/>
              <w:bottom w:val="single" w:sz="4" w:space="0" w:color="auto"/>
              <w:right w:val="single" w:sz="4" w:space="0" w:color="auto"/>
            </w:tcBorders>
          </w:tcPr>
          <w:p w14:paraId="1514E1FA" w14:textId="77777777" w:rsidR="001221CC" w:rsidRPr="004D0CC2" w:rsidRDefault="001221CC" w:rsidP="001221CC">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0.053</w:t>
            </w:r>
          </w:p>
        </w:tc>
        <w:tc>
          <w:tcPr>
            <w:tcW w:w="1131" w:type="dxa"/>
            <w:tcBorders>
              <w:top w:val="single" w:sz="4" w:space="0" w:color="auto"/>
              <w:left w:val="single" w:sz="4" w:space="0" w:color="auto"/>
              <w:bottom w:val="single" w:sz="4" w:space="0" w:color="auto"/>
              <w:right w:val="single" w:sz="4" w:space="0" w:color="auto"/>
            </w:tcBorders>
          </w:tcPr>
          <w:p w14:paraId="5D2DE62C"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Nil</w:t>
            </w:r>
          </w:p>
        </w:tc>
      </w:tr>
      <w:tr w:rsidR="001221CC" w:rsidRPr="004D0CC2" w14:paraId="7F36D611" w14:textId="77777777" w:rsidTr="00837239">
        <w:trPr>
          <w:trHeight w:val="431"/>
        </w:trPr>
        <w:tc>
          <w:tcPr>
            <w:tcW w:w="2017" w:type="dxa"/>
            <w:tcBorders>
              <w:top w:val="single" w:sz="4" w:space="0" w:color="auto"/>
              <w:left w:val="single" w:sz="4" w:space="0" w:color="auto"/>
              <w:bottom w:val="single" w:sz="4" w:space="0" w:color="auto"/>
              <w:right w:val="single" w:sz="4" w:space="0" w:color="auto"/>
            </w:tcBorders>
          </w:tcPr>
          <w:p w14:paraId="7A360F2F" w14:textId="55E1485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color w:val="000000" w:themeColor="text1"/>
                <w:sz w:val="24"/>
                <w:szCs w:val="24"/>
              </w:rPr>
              <w:t>Gen/2018/03/0026 (Rajajinagar Industrial town)</w:t>
            </w:r>
          </w:p>
        </w:tc>
        <w:tc>
          <w:tcPr>
            <w:tcW w:w="1130" w:type="dxa"/>
            <w:tcBorders>
              <w:top w:val="single" w:sz="4" w:space="0" w:color="auto"/>
              <w:left w:val="single" w:sz="4" w:space="0" w:color="auto"/>
              <w:bottom w:val="single" w:sz="4" w:space="0" w:color="auto"/>
              <w:right w:val="single" w:sz="4" w:space="0" w:color="auto"/>
            </w:tcBorders>
          </w:tcPr>
          <w:p w14:paraId="06F16D0C" w14:textId="77777777" w:rsidR="001221CC" w:rsidRPr="004D0CC2" w:rsidRDefault="001221CC" w:rsidP="001221CC">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2.0382g</w:t>
            </w:r>
          </w:p>
        </w:tc>
        <w:tc>
          <w:tcPr>
            <w:tcW w:w="1163" w:type="dxa"/>
            <w:tcBorders>
              <w:top w:val="single" w:sz="4" w:space="0" w:color="auto"/>
              <w:left w:val="single" w:sz="4" w:space="0" w:color="auto"/>
              <w:bottom w:val="single" w:sz="4" w:space="0" w:color="auto"/>
              <w:right w:val="single" w:sz="4" w:space="0" w:color="auto"/>
            </w:tcBorders>
          </w:tcPr>
          <w:p w14:paraId="76F11948" w14:textId="77777777" w:rsidR="001221CC" w:rsidRPr="004D0CC2" w:rsidRDefault="001221CC" w:rsidP="001221CC">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100</w:t>
            </w:r>
          </w:p>
        </w:tc>
        <w:tc>
          <w:tcPr>
            <w:tcW w:w="1127" w:type="dxa"/>
            <w:tcBorders>
              <w:top w:val="single" w:sz="4" w:space="0" w:color="auto"/>
              <w:left w:val="single" w:sz="4" w:space="0" w:color="auto"/>
              <w:bottom w:val="single" w:sz="4" w:space="0" w:color="auto"/>
              <w:right w:val="single" w:sz="4" w:space="0" w:color="auto"/>
            </w:tcBorders>
          </w:tcPr>
          <w:p w14:paraId="1A63DAA4" w14:textId="77777777" w:rsidR="001221CC" w:rsidRPr="004D0CC2" w:rsidRDefault="001221CC" w:rsidP="001221CC">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0.3</w:t>
            </w:r>
          </w:p>
        </w:tc>
        <w:tc>
          <w:tcPr>
            <w:tcW w:w="1140" w:type="dxa"/>
            <w:tcBorders>
              <w:top w:val="single" w:sz="4" w:space="0" w:color="auto"/>
              <w:left w:val="single" w:sz="4" w:space="0" w:color="auto"/>
              <w:bottom w:val="single" w:sz="4" w:space="0" w:color="auto"/>
              <w:right w:val="single" w:sz="4" w:space="0" w:color="auto"/>
            </w:tcBorders>
          </w:tcPr>
          <w:p w14:paraId="03C7863F" w14:textId="77777777" w:rsidR="001221CC" w:rsidRPr="004D0CC2" w:rsidRDefault="001221CC" w:rsidP="001221CC">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50</w:t>
            </w:r>
          </w:p>
        </w:tc>
        <w:tc>
          <w:tcPr>
            <w:tcW w:w="1483" w:type="dxa"/>
            <w:tcBorders>
              <w:top w:val="single" w:sz="4" w:space="0" w:color="auto"/>
              <w:left w:val="single" w:sz="4" w:space="0" w:color="auto"/>
              <w:bottom w:val="single" w:sz="4" w:space="0" w:color="auto"/>
              <w:right w:val="single" w:sz="4" w:space="0" w:color="auto"/>
            </w:tcBorders>
          </w:tcPr>
          <w:p w14:paraId="1875C900" w14:textId="77777777" w:rsidR="001221CC" w:rsidRPr="004D0CC2" w:rsidRDefault="001221CC" w:rsidP="001221CC">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0.0186N</w:t>
            </w:r>
          </w:p>
        </w:tc>
        <w:tc>
          <w:tcPr>
            <w:tcW w:w="1021" w:type="dxa"/>
            <w:tcBorders>
              <w:top w:val="single" w:sz="4" w:space="0" w:color="auto"/>
              <w:left w:val="single" w:sz="4" w:space="0" w:color="auto"/>
              <w:bottom w:val="single" w:sz="4" w:space="0" w:color="auto"/>
              <w:right w:val="single" w:sz="4" w:space="0" w:color="auto"/>
            </w:tcBorders>
          </w:tcPr>
          <w:p w14:paraId="79ACBB9F" w14:textId="77777777" w:rsidR="001221CC" w:rsidRPr="004D0CC2" w:rsidRDefault="001221CC" w:rsidP="001221CC">
            <w:pPr>
              <w:pStyle w:val="footer"/>
              <w:spacing w:line="360" w:lineRule="auto"/>
              <w:rPr>
                <w:rFonts w:ascii="Times New Roman" w:hAnsi="Times New Roman"/>
                <w:bCs/>
                <w:color w:val="000000" w:themeColor="text1"/>
              </w:rPr>
            </w:pPr>
            <w:r w:rsidRPr="004D0CC2">
              <w:rPr>
                <w:rFonts w:ascii="Times New Roman" w:hAnsi="Times New Roman"/>
                <w:bCs/>
                <w:color w:val="000000" w:themeColor="text1"/>
              </w:rPr>
              <w:t>0.053</w:t>
            </w:r>
          </w:p>
        </w:tc>
        <w:tc>
          <w:tcPr>
            <w:tcW w:w="1131" w:type="dxa"/>
            <w:tcBorders>
              <w:top w:val="single" w:sz="4" w:space="0" w:color="auto"/>
              <w:left w:val="single" w:sz="4" w:space="0" w:color="auto"/>
              <w:bottom w:val="single" w:sz="4" w:space="0" w:color="auto"/>
              <w:right w:val="single" w:sz="4" w:space="0" w:color="auto"/>
            </w:tcBorders>
          </w:tcPr>
          <w:p w14:paraId="72A6AC8F"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0.01%</w:t>
            </w:r>
          </w:p>
        </w:tc>
      </w:tr>
      <w:tr w:rsidR="001221CC" w:rsidRPr="004D0CC2" w14:paraId="174A1530" w14:textId="77777777" w:rsidTr="00837239">
        <w:trPr>
          <w:trHeight w:val="478"/>
        </w:trPr>
        <w:tc>
          <w:tcPr>
            <w:tcW w:w="2017" w:type="dxa"/>
            <w:tcBorders>
              <w:top w:val="single" w:sz="4" w:space="0" w:color="auto"/>
              <w:left w:val="single" w:sz="4" w:space="0" w:color="auto"/>
              <w:bottom w:val="single" w:sz="4" w:space="0" w:color="auto"/>
              <w:right w:val="single" w:sz="4" w:space="0" w:color="auto"/>
            </w:tcBorders>
          </w:tcPr>
          <w:p w14:paraId="75BF4E92" w14:textId="4762B67E"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color w:val="000000" w:themeColor="text1"/>
                <w:sz w:val="24"/>
                <w:szCs w:val="24"/>
              </w:rPr>
              <w:t>Gen/2018/03/0027 (Magadi Road Residential area)</w:t>
            </w:r>
          </w:p>
        </w:tc>
        <w:tc>
          <w:tcPr>
            <w:tcW w:w="1130" w:type="dxa"/>
            <w:tcBorders>
              <w:top w:val="single" w:sz="4" w:space="0" w:color="auto"/>
              <w:left w:val="single" w:sz="4" w:space="0" w:color="auto"/>
              <w:bottom w:val="single" w:sz="4" w:space="0" w:color="auto"/>
              <w:right w:val="single" w:sz="4" w:space="0" w:color="auto"/>
            </w:tcBorders>
          </w:tcPr>
          <w:p w14:paraId="473635BE"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2.0206g</w:t>
            </w:r>
          </w:p>
        </w:tc>
        <w:tc>
          <w:tcPr>
            <w:tcW w:w="1163" w:type="dxa"/>
            <w:tcBorders>
              <w:top w:val="single" w:sz="4" w:space="0" w:color="auto"/>
              <w:left w:val="single" w:sz="4" w:space="0" w:color="auto"/>
              <w:bottom w:val="single" w:sz="4" w:space="0" w:color="auto"/>
              <w:right w:val="single" w:sz="4" w:space="0" w:color="auto"/>
            </w:tcBorders>
          </w:tcPr>
          <w:p w14:paraId="05B899DC"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100</w:t>
            </w:r>
          </w:p>
        </w:tc>
        <w:tc>
          <w:tcPr>
            <w:tcW w:w="1127" w:type="dxa"/>
            <w:tcBorders>
              <w:top w:val="single" w:sz="4" w:space="0" w:color="auto"/>
              <w:left w:val="single" w:sz="4" w:space="0" w:color="auto"/>
              <w:bottom w:val="single" w:sz="4" w:space="0" w:color="auto"/>
              <w:right w:val="single" w:sz="4" w:space="0" w:color="auto"/>
            </w:tcBorders>
          </w:tcPr>
          <w:p w14:paraId="15F34C9D"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w:t>
            </w:r>
          </w:p>
        </w:tc>
        <w:tc>
          <w:tcPr>
            <w:tcW w:w="1140" w:type="dxa"/>
            <w:tcBorders>
              <w:top w:val="single" w:sz="4" w:space="0" w:color="auto"/>
              <w:left w:val="single" w:sz="4" w:space="0" w:color="auto"/>
              <w:bottom w:val="single" w:sz="4" w:space="0" w:color="auto"/>
              <w:right w:val="single" w:sz="4" w:space="0" w:color="auto"/>
            </w:tcBorders>
          </w:tcPr>
          <w:p w14:paraId="31CEE5A6"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50</w:t>
            </w:r>
          </w:p>
        </w:tc>
        <w:tc>
          <w:tcPr>
            <w:tcW w:w="1483" w:type="dxa"/>
            <w:tcBorders>
              <w:top w:val="single" w:sz="4" w:space="0" w:color="auto"/>
              <w:left w:val="single" w:sz="4" w:space="0" w:color="auto"/>
              <w:bottom w:val="single" w:sz="4" w:space="0" w:color="auto"/>
              <w:right w:val="single" w:sz="4" w:space="0" w:color="auto"/>
            </w:tcBorders>
          </w:tcPr>
          <w:p w14:paraId="694CD723"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0.0186N</w:t>
            </w:r>
          </w:p>
        </w:tc>
        <w:tc>
          <w:tcPr>
            <w:tcW w:w="1021" w:type="dxa"/>
            <w:tcBorders>
              <w:top w:val="single" w:sz="4" w:space="0" w:color="auto"/>
              <w:left w:val="single" w:sz="4" w:space="0" w:color="auto"/>
              <w:bottom w:val="single" w:sz="4" w:space="0" w:color="auto"/>
              <w:right w:val="single" w:sz="4" w:space="0" w:color="auto"/>
            </w:tcBorders>
          </w:tcPr>
          <w:p w14:paraId="43E63EA5"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0.053</w:t>
            </w:r>
          </w:p>
        </w:tc>
        <w:tc>
          <w:tcPr>
            <w:tcW w:w="1131" w:type="dxa"/>
            <w:tcBorders>
              <w:top w:val="single" w:sz="4" w:space="0" w:color="auto"/>
              <w:left w:val="single" w:sz="4" w:space="0" w:color="auto"/>
              <w:bottom w:val="single" w:sz="4" w:space="0" w:color="auto"/>
              <w:right w:val="single" w:sz="4" w:space="0" w:color="auto"/>
            </w:tcBorders>
          </w:tcPr>
          <w:p w14:paraId="72FE0D1D" w14:textId="77777777" w:rsidR="001221CC" w:rsidRPr="004D0CC2" w:rsidRDefault="001221CC" w:rsidP="001221CC">
            <w:pPr>
              <w:spacing w:line="360" w:lineRule="auto"/>
              <w:rPr>
                <w:rFonts w:ascii="Times New Roman" w:hAnsi="Times New Roman" w:cs="Times New Roman"/>
                <w:bCs/>
                <w:color w:val="000000" w:themeColor="text1"/>
                <w:sz w:val="24"/>
                <w:szCs w:val="24"/>
              </w:rPr>
            </w:pPr>
            <w:r w:rsidRPr="004D0CC2">
              <w:rPr>
                <w:rFonts w:ascii="Times New Roman" w:hAnsi="Times New Roman" w:cs="Times New Roman"/>
                <w:bCs/>
                <w:color w:val="000000" w:themeColor="text1"/>
                <w:sz w:val="24"/>
                <w:szCs w:val="24"/>
              </w:rPr>
              <w:t>Nil</w:t>
            </w:r>
          </w:p>
        </w:tc>
      </w:tr>
    </w:tbl>
    <w:p w14:paraId="101B8B76" w14:textId="77777777" w:rsidR="00E5749A" w:rsidRPr="004D0CC2" w:rsidRDefault="00E5749A" w:rsidP="00E5749A">
      <w:pPr>
        <w:spacing w:line="360" w:lineRule="auto"/>
        <w:jc w:val="center"/>
        <w:rPr>
          <w:rFonts w:ascii="Times New Roman" w:hAnsi="Times New Roman" w:cs="Times New Roman"/>
          <w:b/>
          <w:color w:val="000000" w:themeColor="text1"/>
          <w:sz w:val="24"/>
          <w:szCs w:val="24"/>
        </w:rPr>
      </w:pPr>
    </w:p>
    <w:p w14:paraId="0BC1EA1D" w14:textId="77777777" w:rsidR="00E5749A" w:rsidRPr="004D0CC2" w:rsidRDefault="00E5749A" w:rsidP="00E5749A">
      <w:pPr>
        <w:spacing w:line="360" w:lineRule="auto"/>
        <w:jc w:val="center"/>
        <w:rPr>
          <w:rFonts w:ascii="Times New Roman" w:hAnsi="Times New Roman" w:cs="Times New Roman"/>
          <w:b/>
          <w:color w:val="000000" w:themeColor="text1"/>
          <w:sz w:val="24"/>
          <w:szCs w:val="24"/>
        </w:rPr>
      </w:pPr>
    </w:p>
    <w:p w14:paraId="271C1EB2" w14:textId="1F455768" w:rsidR="00DC6D2B" w:rsidRPr="00DC6D2B" w:rsidRDefault="00DC6D2B" w:rsidP="00DC6D2B">
      <w:pPr>
        <w:spacing w:after="0" w:line="360" w:lineRule="auto"/>
        <w:jc w:val="both"/>
        <w:rPr>
          <w:rFonts w:ascii="Times New Roman" w:eastAsia="Times New Roman" w:hAnsi="Times New Roman" w:cs="Times New Roman"/>
          <w:color w:val="000000" w:themeColor="text1"/>
          <w:sz w:val="24"/>
          <w:szCs w:val="24"/>
          <w:lang w:val="en-IN"/>
        </w:rPr>
      </w:pPr>
      <w:r>
        <w:rPr>
          <w:rFonts w:ascii="Times New Roman" w:eastAsia="Times New Roman" w:hAnsi="Times New Roman" w:cs="Times New Roman"/>
          <w:color w:val="000000" w:themeColor="text1"/>
          <w:sz w:val="24"/>
          <w:szCs w:val="24"/>
          <w:lang w:val="en-IN"/>
        </w:rPr>
        <w:lastRenderedPageBreak/>
        <w:t xml:space="preserve">          </w:t>
      </w:r>
      <w:r w:rsidRPr="00DC6D2B">
        <w:rPr>
          <w:rFonts w:ascii="Times New Roman" w:eastAsia="Times New Roman" w:hAnsi="Times New Roman" w:cs="Times New Roman"/>
          <w:noProof/>
          <w:color w:val="000000" w:themeColor="text1"/>
          <w:sz w:val="24"/>
          <w:szCs w:val="24"/>
        </w:rPr>
        <w:drawing>
          <wp:inline distT="0" distB="0" distL="0" distR="0" wp14:anchorId="3A77F5C3" wp14:editId="1D57BD26">
            <wp:extent cx="5527675" cy="3346269"/>
            <wp:effectExtent l="76200" t="76200" r="130175" b="140335"/>
            <wp:docPr id="111017925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5546071" cy="335740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259C1C2" w14:textId="56011F2D" w:rsidR="00DC6D2B" w:rsidRPr="00FB2124" w:rsidRDefault="00201283" w:rsidP="00DC6D2B">
      <w:pPr>
        <w:spacing w:after="0" w:line="360" w:lineRule="auto"/>
        <w:jc w:val="both"/>
        <w:rPr>
          <w:rFonts w:ascii="Times New Roman" w:eastAsia="Times New Roman" w:hAnsi="Times New Roman" w:cs="Times New Roman"/>
          <w:b/>
          <w:bCs/>
          <w:color w:val="000000" w:themeColor="text1"/>
          <w:sz w:val="24"/>
          <w:szCs w:val="24"/>
          <w:lang w:val="en-IN"/>
        </w:rPr>
      </w:pPr>
      <w:r w:rsidRPr="00FB2124">
        <w:rPr>
          <w:rFonts w:ascii="Times New Roman" w:eastAsia="Times New Roman" w:hAnsi="Times New Roman" w:cs="Times New Roman"/>
          <w:b/>
          <w:bCs/>
          <w:color w:val="000000" w:themeColor="text1"/>
          <w:sz w:val="24"/>
          <w:szCs w:val="24"/>
          <w:lang w:val="en-IN"/>
        </w:rPr>
        <w:t xml:space="preserve">     </w:t>
      </w:r>
      <w:r w:rsidR="00ED4CD7" w:rsidRPr="00FB2124">
        <w:rPr>
          <w:rFonts w:ascii="Times New Roman" w:eastAsia="Times New Roman" w:hAnsi="Times New Roman" w:cs="Times New Roman"/>
          <w:b/>
          <w:bCs/>
          <w:color w:val="000000" w:themeColor="text1"/>
          <w:sz w:val="24"/>
          <w:szCs w:val="24"/>
          <w:lang w:val="en-IN"/>
        </w:rPr>
        <w:t>Figure</w:t>
      </w:r>
      <w:r w:rsidR="00DB5320" w:rsidRPr="00FB2124">
        <w:rPr>
          <w:rFonts w:ascii="Times New Roman" w:eastAsia="Times New Roman" w:hAnsi="Times New Roman" w:cs="Times New Roman"/>
          <w:b/>
          <w:bCs/>
          <w:color w:val="000000" w:themeColor="text1"/>
          <w:sz w:val="24"/>
          <w:szCs w:val="24"/>
          <w:lang w:val="en-IN"/>
        </w:rPr>
        <w:t xml:space="preserve"> 13</w:t>
      </w:r>
      <w:r w:rsidR="00ED4CD7" w:rsidRPr="00FB2124">
        <w:rPr>
          <w:rFonts w:ascii="Times New Roman" w:eastAsia="Times New Roman" w:hAnsi="Times New Roman" w:cs="Times New Roman"/>
          <w:b/>
          <w:bCs/>
          <w:color w:val="000000" w:themeColor="text1"/>
          <w:sz w:val="24"/>
          <w:szCs w:val="24"/>
          <w:lang w:val="en-IN"/>
        </w:rPr>
        <w:t>: Pyramid showing the relative Pb concentration (ppm) in soil samples from three study sites.</w:t>
      </w:r>
    </w:p>
    <w:p w14:paraId="321B3754" w14:textId="77777777" w:rsidR="00201283" w:rsidRDefault="00201283" w:rsidP="00DC6D2B">
      <w:pPr>
        <w:spacing w:after="0" w:line="360" w:lineRule="auto"/>
        <w:jc w:val="both"/>
        <w:rPr>
          <w:rFonts w:ascii="Times New Roman" w:eastAsia="Times New Roman" w:hAnsi="Times New Roman" w:cs="Times New Roman"/>
          <w:color w:val="000000" w:themeColor="text1"/>
          <w:sz w:val="24"/>
          <w:szCs w:val="24"/>
          <w:lang w:val="en-IN"/>
        </w:rPr>
      </w:pPr>
    </w:p>
    <w:p w14:paraId="38735CD7" w14:textId="2201F68F" w:rsidR="00201283" w:rsidRPr="00201283" w:rsidRDefault="00201283" w:rsidP="00201283">
      <w:pPr>
        <w:spacing w:after="0" w:line="360" w:lineRule="auto"/>
        <w:jc w:val="both"/>
        <w:rPr>
          <w:rFonts w:ascii="Times New Roman" w:eastAsia="Times New Roman" w:hAnsi="Times New Roman" w:cs="Times New Roman"/>
          <w:color w:val="000000" w:themeColor="text1"/>
          <w:sz w:val="24"/>
          <w:szCs w:val="24"/>
          <w:lang w:val="en-IN"/>
        </w:rPr>
      </w:pPr>
      <w:r w:rsidRPr="00201283">
        <w:rPr>
          <w:rFonts w:ascii="Times New Roman" w:eastAsia="Times New Roman" w:hAnsi="Times New Roman" w:cs="Times New Roman"/>
          <w:noProof/>
          <w:color w:val="000000" w:themeColor="text1"/>
          <w:sz w:val="24"/>
          <w:szCs w:val="24"/>
        </w:rPr>
        <w:drawing>
          <wp:inline distT="0" distB="0" distL="0" distR="0" wp14:anchorId="6CCABAF6" wp14:editId="247AFD64">
            <wp:extent cx="5279390" cy="3268980"/>
            <wp:effectExtent l="76200" t="76200" r="130810" b="140970"/>
            <wp:docPr id="81475401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5292483" cy="327708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8C4BFA8" w14:textId="3041A6FD" w:rsidR="00201283" w:rsidRPr="00FB2124" w:rsidRDefault="00201283" w:rsidP="00201283">
      <w:pPr>
        <w:spacing w:after="0" w:line="360" w:lineRule="auto"/>
        <w:jc w:val="both"/>
        <w:rPr>
          <w:rFonts w:ascii="Times New Roman" w:eastAsia="Times New Roman" w:hAnsi="Times New Roman" w:cs="Times New Roman"/>
          <w:b/>
          <w:bCs/>
          <w:color w:val="000000" w:themeColor="text1"/>
          <w:sz w:val="24"/>
          <w:szCs w:val="24"/>
          <w:lang w:val="en-IN"/>
        </w:rPr>
      </w:pPr>
      <w:r w:rsidRPr="00FB2124">
        <w:rPr>
          <w:rFonts w:ascii="Times New Roman" w:eastAsia="Times New Roman" w:hAnsi="Times New Roman" w:cs="Times New Roman"/>
          <w:b/>
          <w:bCs/>
          <w:color w:val="000000" w:themeColor="text1"/>
          <w:sz w:val="24"/>
          <w:szCs w:val="24"/>
          <w:lang w:val="en-IN"/>
        </w:rPr>
        <w:t>Figure</w:t>
      </w:r>
      <w:r w:rsidR="00DB5320" w:rsidRPr="00FB2124">
        <w:rPr>
          <w:rFonts w:ascii="Times New Roman" w:eastAsia="Times New Roman" w:hAnsi="Times New Roman" w:cs="Times New Roman"/>
          <w:b/>
          <w:bCs/>
          <w:color w:val="000000" w:themeColor="text1"/>
          <w:sz w:val="24"/>
          <w:szCs w:val="24"/>
          <w:lang w:val="en-IN"/>
        </w:rPr>
        <w:t xml:space="preserve"> 14</w:t>
      </w:r>
      <w:r w:rsidRPr="00FB2124">
        <w:rPr>
          <w:rFonts w:ascii="Times New Roman" w:eastAsia="Times New Roman" w:hAnsi="Times New Roman" w:cs="Times New Roman"/>
          <w:b/>
          <w:bCs/>
          <w:color w:val="000000" w:themeColor="text1"/>
          <w:sz w:val="24"/>
          <w:szCs w:val="24"/>
          <w:lang w:val="en-IN"/>
        </w:rPr>
        <w:t>: Illustration of elevated Hg concentration in various soil samples tested.</w:t>
      </w:r>
    </w:p>
    <w:p w14:paraId="6C46B7CB" w14:textId="73D8CC87" w:rsidR="00926D96" w:rsidRDefault="00926D96" w:rsidP="005C081B">
      <w:pPr>
        <w:spacing w:after="0" w:line="360" w:lineRule="auto"/>
        <w:jc w:val="both"/>
        <w:rPr>
          <w:rFonts w:ascii="Times New Roman" w:eastAsia="Times New Roman" w:hAnsi="Times New Roman" w:cs="Times New Roman"/>
          <w:color w:val="000000" w:themeColor="text1"/>
          <w:sz w:val="24"/>
          <w:szCs w:val="24"/>
        </w:rPr>
      </w:pPr>
    </w:p>
    <w:p w14:paraId="750A4634" w14:textId="4A59A511" w:rsidR="00DC6D2B" w:rsidRPr="00FB2124" w:rsidRDefault="00E537F3" w:rsidP="005C081B">
      <w:pPr>
        <w:spacing w:after="0" w:line="360" w:lineRule="auto"/>
        <w:jc w:val="both"/>
        <w:rPr>
          <w:rFonts w:ascii="Times New Roman" w:eastAsia="Times New Roman" w:hAnsi="Times New Roman" w:cs="Times New Roman"/>
          <w:b/>
          <w:bCs/>
          <w:color w:val="000000" w:themeColor="text1"/>
          <w:sz w:val="24"/>
          <w:szCs w:val="24"/>
        </w:rPr>
      </w:pPr>
      <w:r w:rsidRPr="00FB2124">
        <w:rPr>
          <w:b/>
          <w:bCs/>
          <w:noProof/>
        </w:rPr>
        <w:drawing>
          <wp:inline distT="0" distB="0" distL="0" distR="0" wp14:anchorId="420C40F7" wp14:editId="5474EB7D">
            <wp:extent cx="5410200" cy="3140075"/>
            <wp:effectExtent l="76200" t="76200" r="133350" b="136525"/>
            <wp:docPr id="183021886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5431827" cy="315262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E59C032" w14:textId="631F2EAE" w:rsidR="00E537F3" w:rsidRPr="00FB2124" w:rsidRDefault="00E537F3" w:rsidP="00E537F3">
      <w:pPr>
        <w:spacing w:after="0" w:line="360" w:lineRule="auto"/>
        <w:jc w:val="both"/>
        <w:rPr>
          <w:rFonts w:ascii="Times New Roman" w:eastAsia="Times New Roman" w:hAnsi="Times New Roman" w:cs="Times New Roman"/>
          <w:b/>
          <w:bCs/>
          <w:color w:val="000000" w:themeColor="text1"/>
          <w:sz w:val="24"/>
          <w:szCs w:val="24"/>
        </w:rPr>
      </w:pPr>
      <w:r w:rsidRPr="00FB2124">
        <w:rPr>
          <w:rFonts w:ascii="Times New Roman" w:eastAsia="Times New Roman" w:hAnsi="Times New Roman" w:cs="Times New Roman"/>
          <w:b/>
          <w:bCs/>
          <w:color w:val="000000" w:themeColor="text1"/>
          <w:sz w:val="24"/>
          <w:szCs w:val="24"/>
        </w:rPr>
        <w:t xml:space="preserve">  Figure</w:t>
      </w:r>
      <w:r w:rsidR="00DB5320" w:rsidRPr="00FB2124">
        <w:rPr>
          <w:rFonts w:ascii="Times New Roman" w:eastAsia="Times New Roman" w:hAnsi="Times New Roman" w:cs="Times New Roman"/>
          <w:b/>
          <w:bCs/>
          <w:color w:val="000000" w:themeColor="text1"/>
          <w:sz w:val="24"/>
          <w:szCs w:val="24"/>
        </w:rPr>
        <w:t xml:space="preserve"> 15</w:t>
      </w:r>
      <w:r w:rsidRPr="00FB2124">
        <w:rPr>
          <w:rFonts w:ascii="Times New Roman" w:eastAsia="Times New Roman" w:hAnsi="Times New Roman" w:cs="Times New Roman"/>
          <w:b/>
          <w:bCs/>
          <w:color w:val="000000" w:themeColor="text1"/>
          <w:sz w:val="24"/>
          <w:szCs w:val="24"/>
        </w:rPr>
        <w:t xml:space="preserve">: Illustration of elevated </w:t>
      </w:r>
      <w:r w:rsidR="00E741EE" w:rsidRPr="00FB2124">
        <w:rPr>
          <w:rFonts w:ascii="Times New Roman" w:eastAsia="Times New Roman" w:hAnsi="Times New Roman" w:cs="Times New Roman"/>
          <w:b/>
          <w:bCs/>
          <w:color w:val="000000" w:themeColor="text1"/>
          <w:sz w:val="24"/>
          <w:szCs w:val="24"/>
        </w:rPr>
        <w:t>Z</w:t>
      </w:r>
      <w:r w:rsidR="00CC164E" w:rsidRPr="00FB2124">
        <w:rPr>
          <w:rFonts w:ascii="Times New Roman" w:eastAsia="Times New Roman" w:hAnsi="Times New Roman" w:cs="Times New Roman"/>
          <w:b/>
          <w:bCs/>
          <w:color w:val="000000" w:themeColor="text1"/>
          <w:sz w:val="24"/>
          <w:szCs w:val="24"/>
        </w:rPr>
        <w:t>n</w:t>
      </w:r>
      <w:r w:rsidRPr="00FB2124">
        <w:rPr>
          <w:rFonts w:ascii="Times New Roman" w:eastAsia="Times New Roman" w:hAnsi="Times New Roman" w:cs="Times New Roman"/>
          <w:b/>
          <w:bCs/>
          <w:color w:val="000000" w:themeColor="text1"/>
          <w:sz w:val="24"/>
          <w:szCs w:val="24"/>
        </w:rPr>
        <w:t xml:space="preserve"> concentration in different soil samples tested.</w:t>
      </w:r>
    </w:p>
    <w:p w14:paraId="511841BC" w14:textId="77777777" w:rsidR="00CC164E" w:rsidRDefault="00CC164E" w:rsidP="00E537F3">
      <w:pPr>
        <w:spacing w:after="0" w:line="360" w:lineRule="auto"/>
        <w:jc w:val="both"/>
        <w:rPr>
          <w:rFonts w:ascii="Times New Roman" w:eastAsia="Times New Roman" w:hAnsi="Times New Roman" w:cs="Times New Roman"/>
          <w:color w:val="000000" w:themeColor="text1"/>
          <w:sz w:val="24"/>
          <w:szCs w:val="24"/>
          <w:lang w:val="en-IN"/>
        </w:rPr>
      </w:pPr>
    </w:p>
    <w:p w14:paraId="7F1CE367" w14:textId="70B0FE4A" w:rsidR="00A25E8F" w:rsidRDefault="00CC164E" w:rsidP="00E537F3">
      <w:pPr>
        <w:spacing w:after="0" w:line="360" w:lineRule="auto"/>
        <w:jc w:val="both"/>
        <w:rPr>
          <w:rFonts w:ascii="Times New Roman" w:eastAsia="Times New Roman" w:hAnsi="Times New Roman" w:cs="Times New Roman"/>
          <w:color w:val="000000" w:themeColor="text1"/>
          <w:sz w:val="24"/>
          <w:szCs w:val="24"/>
        </w:rPr>
      </w:pPr>
      <w:r w:rsidRPr="00A25E8F">
        <w:rPr>
          <w:rFonts w:ascii="Times New Roman" w:eastAsia="Times New Roman" w:hAnsi="Times New Roman" w:cs="Times New Roman"/>
          <w:noProof/>
          <w:color w:val="000000" w:themeColor="text1"/>
          <w:sz w:val="24"/>
          <w:szCs w:val="24"/>
        </w:rPr>
        <w:drawing>
          <wp:inline distT="0" distB="0" distL="0" distR="0" wp14:anchorId="2965925E" wp14:editId="57939982">
            <wp:extent cx="5606143" cy="3276331"/>
            <wp:effectExtent l="76200" t="76200" r="128270" b="133985"/>
            <wp:docPr id="85741303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5617583" cy="328301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5B9A6CC" w14:textId="6625585C" w:rsidR="00CC164E" w:rsidRPr="00FB2124" w:rsidRDefault="00CC164E" w:rsidP="00E537F3">
      <w:pPr>
        <w:spacing w:after="0" w:line="360" w:lineRule="auto"/>
        <w:jc w:val="both"/>
        <w:rPr>
          <w:rFonts w:ascii="Times New Roman" w:eastAsia="Times New Roman" w:hAnsi="Times New Roman" w:cs="Times New Roman"/>
          <w:b/>
          <w:bCs/>
          <w:color w:val="000000" w:themeColor="text1"/>
          <w:sz w:val="24"/>
          <w:szCs w:val="24"/>
        </w:rPr>
      </w:pPr>
      <w:r w:rsidRPr="00FB2124">
        <w:rPr>
          <w:rFonts w:ascii="Times New Roman" w:eastAsia="Times New Roman" w:hAnsi="Times New Roman" w:cs="Times New Roman"/>
          <w:b/>
          <w:bCs/>
          <w:color w:val="000000" w:themeColor="text1"/>
          <w:sz w:val="24"/>
          <w:szCs w:val="24"/>
        </w:rPr>
        <w:t>Figure</w:t>
      </w:r>
      <w:r w:rsidR="00DB5320" w:rsidRPr="00FB2124">
        <w:rPr>
          <w:rFonts w:ascii="Times New Roman" w:eastAsia="Times New Roman" w:hAnsi="Times New Roman" w:cs="Times New Roman"/>
          <w:b/>
          <w:bCs/>
          <w:color w:val="000000" w:themeColor="text1"/>
          <w:sz w:val="24"/>
          <w:szCs w:val="24"/>
        </w:rPr>
        <w:t xml:space="preserve"> 16</w:t>
      </w:r>
      <w:r w:rsidRPr="00FB2124">
        <w:rPr>
          <w:rFonts w:ascii="Times New Roman" w:eastAsia="Times New Roman" w:hAnsi="Times New Roman" w:cs="Times New Roman"/>
          <w:b/>
          <w:bCs/>
          <w:color w:val="000000" w:themeColor="text1"/>
          <w:sz w:val="24"/>
          <w:szCs w:val="24"/>
        </w:rPr>
        <w:t>: Illustration of elevated Cu concentration in various soil samples tested.</w:t>
      </w:r>
    </w:p>
    <w:p w14:paraId="1D41FE39" w14:textId="0ADB3EDD" w:rsidR="00A25E8F" w:rsidRPr="00A25E8F" w:rsidRDefault="00A25E8F" w:rsidP="00A25E8F">
      <w:pPr>
        <w:spacing w:after="0" w:line="360" w:lineRule="auto"/>
        <w:jc w:val="both"/>
        <w:rPr>
          <w:rFonts w:ascii="Times New Roman" w:eastAsia="Times New Roman" w:hAnsi="Times New Roman" w:cs="Times New Roman"/>
          <w:color w:val="000000" w:themeColor="text1"/>
          <w:sz w:val="24"/>
          <w:szCs w:val="24"/>
          <w:lang w:val="en-IN"/>
        </w:rPr>
      </w:pPr>
    </w:p>
    <w:p w14:paraId="3B45AF87" w14:textId="08C2DABA" w:rsidR="00A61F93" w:rsidRPr="00A61F93" w:rsidRDefault="00A61F93" w:rsidP="00A61F93">
      <w:pPr>
        <w:spacing w:after="0" w:line="360" w:lineRule="auto"/>
        <w:jc w:val="both"/>
        <w:rPr>
          <w:rFonts w:ascii="Times New Roman" w:eastAsia="Times New Roman" w:hAnsi="Times New Roman" w:cs="Times New Roman"/>
          <w:color w:val="000000" w:themeColor="text1"/>
          <w:sz w:val="24"/>
          <w:szCs w:val="24"/>
          <w:lang w:val="en-IN"/>
        </w:rPr>
      </w:pPr>
      <w:r w:rsidRPr="00A61F93">
        <w:rPr>
          <w:rFonts w:ascii="Times New Roman" w:eastAsia="Times New Roman" w:hAnsi="Times New Roman" w:cs="Times New Roman"/>
          <w:noProof/>
          <w:color w:val="000000" w:themeColor="text1"/>
          <w:sz w:val="24"/>
          <w:szCs w:val="24"/>
        </w:rPr>
        <w:drawing>
          <wp:inline distT="0" distB="0" distL="0" distR="0" wp14:anchorId="3CCA6306" wp14:editId="3BAF8524">
            <wp:extent cx="5580017" cy="3411217"/>
            <wp:effectExtent l="76200" t="76200" r="135255" b="132715"/>
            <wp:docPr id="188271008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5602031" cy="342467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B663171" w14:textId="4F8184C2" w:rsidR="00A25E8F" w:rsidRPr="00FB2124" w:rsidRDefault="00A61F93" w:rsidP="00E537F3">
      <w:pPr>
        <w:spacing w:after="0" w:line="360" w:lineRule="auto"/>
        <w:jc w:val="both"/>
        <w:rPr>
          <w:rFonts w:ascii="Times New Roman" w:eastAsia="Times New Roman" w:hAnsi="Times New Roman" w:cs="Times New Roman"/>
          <w:b/>
          <w:bCs/>
          <w:color w:val="000000" w:themeColor="text1"/>
          <w:sz w:val="24"/>
          <w:szCs w:val="24"/>
        </w:rPr>
      </w:pPr>
      <w:r w:rsidRPr="00FB2124">
        <w:rPr>
          <w:rFonts w:ascii="Times New Roman" w:eastAsia="Times New Roman" w:hAnsi="Times New Roman" w:cs="Times New Roman"/>
          <w:b/>
          <w:bCs/>
          <w:color w:val="000000" w:themeColor="text1"/>
          <w:sz w:val="24"/>
          <w:szCs w:val="24"/>
        </w:rPr>
        <w:t xml:space="preserve"> Figure</w:t>
      </w:r>
      <w:r w:rsidR="00DB5320" w:rsidRPr="00FB2124">
        <w:rPr>
          <w:rFonts w:ascii="Times New Roman" w:eastAsia="Times New Roman" w:hAnsi="Times New Roman" w:cs="Times New Roman"/>
          <w:b/>
          <w:bCs/>
          <w:color w:val="000000" w:themeColor="text1"/>
          <w:sz w:val="24"/>
          <w:szCs w:val="24"/>
        </w:rPr>
        <w:t xml:space="preserve"> 17</w:t>
      </w:r>
      <w:r w:rsidRPr="00FB2124">
        <w:rPr>
          <w:rFonts w:ascii="Times New Roman" w:eastAsia="Times New Roman" w:hAnsi="Times New Roman" w:cs="Times New Roman"/>
          <w:b/>
          <w:bCs/>
          <w:color w:val="000000" w:themeColor="text1"/>
          <w:sz w:val="24"/>
          <w:szCs w:val="24"/>
        </w:rPr>
        <w:t xml:space="preserve">: Illustration of elevated Fe concentration in various soil samples tested. </w:t>
      </w:r>
    </w:p>
    <w:sectPr w:rsidR="00A25E8F" w:rsidRPr="00FB2124" w:rsidSect="00C656BD">
      <w:headerReference w:type="even" r:id="rId134"/>
      <w:headerReference w:type="default" r:id="rId135"/>
      <w:headerReference w:type="first" r:id="rId136"/>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54F42" w14:textId="77777777" w:rsidR="004E4971" w:rsidRDefault="004E4971" w:rsidP="00A108F6">
      <w:pPr>
        <w:spacing w:after="0" w:line="240" w:lineRule="auto"/>
      </w:pPr>
      <w:r>
        <w:separator/>
      </w:r>
    </w:p>
  </w:endnote>
  <w:endnote w:type="continuationSeparator" w:id="0">
    <w:p w14:paraId="521B13E9" w14:textId="77777777" w:rsidR="004E4971" w:rsidRDefault="004E4971" w:rsidP="00A10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Sans">
    <w:altName w:val="Times New Roman"/>
    <w:charset w:val="00"/>
    <w:family w:val="auto"/>
    <w:pitch w:val="variable"/>
    <w:sig w:usb0="A00004FF" w:usb1="40002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5238F" w14:textId="77777777" w:rsidR="004E4971" w:rsidRDefault="004E4971" w:rsidP="00A108F6">
      <w:pPr>
        <w:spacing w:after="0" w:line="240" w:lineRule="auto"/>
      </w:pPr>
      <w:r>
        <w:separator/>
      </w:r>
    </w:p>
  </w:footnote>
  <w:footnote w:type="continuationSeparator" w:id="0">
    <w:p w14:paraId="3A1F4110" w14:textId="77777777" w:rsidR="004E4971" w:rsidRDefault="004E4971" w:rsidP="00A10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84814" w14:textId="6717EE13" w:rsidR="00D3621B" w:rsidRDefault="004E4971">
    <w:pPr>
      <w:pStyle w:val="Header0"/>
    </w:pPr>
    <w:r>
      <w:rPr>
        <w:noProof/>
      </w:rPr>
      <w:pict w14:anchorId="7753DB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285766" o:spid="_x0000_s2050" type="#_x0000_t136" style="position:absolute;margin-left:0;margin-top:0;width:587.6pt;height:11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EAFCE" w14:textId="35564816" w:rsidR="00D3621B" w:rsidRDefault="004E4971">
    <w:pPr>
      <w:pStyle w:val="Header0"/>
    </w:pPr>
    <w:r>
      <w:rPr>
        <w:noProof/>
      </w:rPr>
      <w:pict w14:anchorId="2821D7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285767" o:spid="_x0000_s2051" type="#_x0000_t136" style="position:absolute;margin-left:0;margin-top:0;width:587.6pt;height:11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DA734" w14:textId="01ABD1BC" w:rsidR="00D3621B" w:rsidRDefault="004E4971">
    <w:pPr>
      <w:pStyle w:val="Header0"/>
    </w:pPr>
    <w:r>
      <w:rPr>
        <w:noProof/>
      </w:rPr>
      <w:pict w14:anchorId="5DE3A7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285765" o:spid="_x0000_s2049" type="#_x0000_t136" style="position:absolute;margin-left:0;margin-top:0;width:587.6pt;height:11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912D70"/>
    <w:multiLevelType w:val="multilevel"/>
    <w:tmpl w:val="C25E4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445AD4"/>
    <w:multiLevelType w:val="multilevel"/>
    <w:tmpl w:val="8ED0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ED73FC"/>
    <w:multiLevelType w:val="hybridMultilevel"/>
    <w:tmpl w:val="934684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7E27A35"/>
    <w:multiLevelType w:val="hybridMultilevel"/>
    <w:tmpl w:val="4AD8D3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9ED257B"/>
    <w:multiLevelType w:val="multilevel"/>
    <w:tmpl w:val="26B0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0E5FB1"/>
    <w:multiLevelType w:val="hybridMultilevel"/>
    <w:tmpl w:val="AA0C2610"/>
    <w:lvl w:ilvl="0" w:tplc="40090001">
      <w:start w:val="1"/>
      <w:numFmt w:val="bullet"/>
      <w:lvlText w:val=""/>
      <w:lvlJc w:val="left"/>
      <w:pPr>
        <w:ind w:left="436" w:hanging="360"/>
      </w:pPr>
      <w:rPr>
        <w:rFonts w:ascii="Symbol" w:hAnsi="Symbol" w:hint="default"/>
      </w:rPr>
    </w:lvl>
    <w:lvl w:ilvl="1" w:tplc="40090003" w:tentative="1">
      <w:start w:val="1"/>
      <w:numFmt w:val="bullet"/>
      <w:lvlText w:val="o"/>
      <w:lvlJc w:val="left"/>
      <w:pPr>
        <w:ind w:left="1156" w:hanging="360"/>
      </w:pPr>
      <w:rPr>
        <w:rFonts w:ascii="Courier New" w:hAnsi="Courier New" w:cs="Courier New" w:hint="default"/>
      </w:rPr>
    </w:lvl>
    <w:lvl w:ilvl="2" w:tplc="40090005" w:tentative="1">
      <w:start w:val="1"/>
      <w:numFmt w:val="bullet"/>
      <w:lvlText w:val=""/>
      <w:lvlJc w:val="left"/>
      <w:pPr>
        <w:ind w:left="1876" w:hanging="360"/>
      </w:pPr>
      <w:rPr>
        <w:rFonts w:ascii="Wingdings" w:hAnsi="Wingdings" w:hint="default"/>
      </w:rPr>
    </w:lvl>
    <w:lvl w:ilvl="3" w:tplc="40090001" w:tentative="1">
      <w:start w:val="1"/>
      <w:numFmt w:val="bullet"/>
      <w:lvlText w:val=""/>
      <w:lvlJc w:val="left"/>
      <w:pPr>
        <w:ind w:left="2596" w:hanging="360"/>
      </w:pPr>
      <w:rPr>
        <w:rFonts w:ascii="Symbol" w:hAnsi="Symbol" w:hint="default"/>
      </w:rPr>
    </w:lvl>
    <w:lvl w:ilvl="4" w:tplc="40090003" w:tentative="1">
      <w:start w:val="1"/>
      <w:numFmt w:val="bullet"/>
      <w:lvlText w:val="o"/>
      <w:lvlJc w:val="left"/>
      <w:pPr>
        <w:ind w:left="3316" w:hanging="360"/>
      </w:pPr>
      <w:rPr>
        <w:rFonts w:ascii="Courier New" w:hAnsi="Courier New" w:cs="Courier New" w:hint="default"/>
      </w:rPr>
    </w:lvl>
    <w:lvl w:ilvl="5" w:tplc="40090005" w:tentative="1">
      <w:start w:val="1"/>
      <w:numFmt w:val="bullet"/>
      <w:lvlText w:val=""/>
      <w:lvlJc w:val="left"/>
      <w:pPr>
        <w:ind w:left="4036" w:hanging="360"/>
      </w:pPr>
      <w:rPr>
        <w:rFonts w:ascii="Wingdings" w:hAnsi="Wingdings" w:hint="default"/>
      </w:rPr>
    </w:lvl>
    <w:lvl w:ilvl="6" w:tplc="40090001" w:tentative="1">
      <w:start w:val="1"/>
      <w:numFmt w:val="bullet"/>
      <w:lvlText w:val=""/>
      <w:lvlJc w:val="left"/>
      <w:pPr>
        <w:ind w:left="4756" w:hanging="360"/>
      </w:pPr>
      <w:rPr>
        <w:rFonts w:ascii="Symbol" w:hAnsi="Symbol" w:hint="default"/>
      </w:rPr>
    </w:lvl>
    <w:lvl w:ilvl="7" w:tplc="40090003" w:tentative="1">
      <w:start w:val="1"/>
      <w:numFmt w:val="bullet"/>
      <w:lvlText w:val="o"/>
      <w:lvlJc w:val="left"/>
      <w:pPr>
        <w:ind w:left="5476" w:hanging="360"/>
      </w:pPr>
      <w:rPr>
        <w:rFonts w:ascii="Courier New" w:hAnsi="Courier New" w:cs="Courier New" w:hint="default"/>
      </w:rPr>
    </w:lvl>
    <w:lvl w:ilvl="8" w:tplc="40090005" w:tentative="1">
      <w:start w:val="1"/>
      <w:numFmt w:val="bullet"/>
      <w:lvlText w:val=""/>
      <w:lvlJc w:val="left"/>
      <w:pPr>
        <w:ind w:left="6196" w:hanging="360"/>
      </w:pPr>
      <w:rPr>
        <w:rFonts w:ascii="Wingdings" w:hAnsi="Wingdings" w:hint="default"/>
      </w:rPr>
    </w:lvl>
  </w:abstractNum>
  <w:abstractNum w:abstractNumId="6" w15:restartNumberingAfterBreak="0">
    <w:nsid w:val="7B3446BD"/>
    <w:multiLevelType w:val="hybridMultilevel"/>
    <w:tmpl w:val="2E06F5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FB51F80"/>
    <w:multiLevelType w:val="hybridMultilevel"/>
    <w:tmpl w:val="4134E4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5"/>
  </w:num>
  <w:num w:numId="5">
    <w:abstractNumId w:val="3"/>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D96"/>
    <w:rsid w:val="000022A7"/>
    <w:rsid w:val="0000532D"/>
    <w:rsid w:val="00005916"/>
    <w:rsid w:val="000060E2"/>
    <w:rsid w:val="00010F8E"/>
    <w:rsid w:val="00020A1B"/>
    <w:rsid w:val="00024470"/>
    <w:rsid w:val="0002586E"/>
    <w:rsid w:val="00031DEF"/>
    <w:rsid w:val="00037851"/>
    <w:rsid w:val="0004051E"/>
    <w:rsid w:val="0004246F"/>
    <w:rsid w:val="0004583D"/>
    <w:rsid w:val="00047CE9"/>
    <w:rsid w:val="00052B8D"/>
    <w:rsid w:val="00055BC0"/>
    <w:rsid w:val="00055E8A"/>
    <w:rsid w:val="000563AC"/>
    <w:rsid w:val="00057DBA"/>
    <w:rsid w:val="0006267D"/>
    <w:rsid w:val="00064632"/>
    <w:rsid w:val="0006760B"/>
    <w:rsid w:val="00070231"/>
    <w:rsid w:val="000722E6"/>
    <w:rsid w:val="00076B0D"/>
    <w:rsid w:val="0007744D"/>
    <w:rsid w:val="00087834"/>
    <w:rsid w:val="00092096"/>
    <w:rsid w:val="00092970"/>
    <w:rsid w:val="00096C8E"/>
    <w:rsid w:val="000A2790"/>
    <w:rsid w:val="000A5331"/>
    <w:rsid w:val="000A7CCA"/>
    <w:rsid w:val="000B279D"/>
    <w:rsid w:val="000B4B06"/>
    <w:rsid w:val="000B6FE2"/>
    <w:rsid w:val="000C0E62"/>
    <w:rsid w:val="000C4FC1"/>
    <w:rsid w:val="000D235E"/>
    <w:rsid w:val="000D39BF"/>
    <w:rsid w:val="000D7C2A"/>
    <w:rsid w:val="000E15B2"/>
    <w:rsid w:val="000E277D"/>
    <w:rsid w:val="000F1415"/>
    <w:rsid w:val="000F1775"/>
    <w:rsid w:val="000F1F3A"/>
    <w:rsid w:val="00101A80"/>
    <w:rsid w:val="00103A69"/>
    <w:rsid w:val="0010481C"/>
    <w:rsid w:val="00105A27"/>
    <w:rsid w:val="001074FA"/>
    <w:rsid w:val="001109F7"/>
    <w:rsid w:val="00111314"/>
    <w:rsid w:val="00115C29"/>
    <w:rsid w:val="00116428"/>
    <w:rsid w:val="00116ADA"/>
    <w:rsid w:val="001221CC"/>
    <w:rsid w:val="00124F08"/>
    <w:rsid w:val="001326AC"/>
    <w:rsid w:val="00132BA6"/>
    <w:rsid w:val="00132E4B"/>
    <w:rsid w:val="00133253"/>
    <w:rsid w:val="00135410"/>
    <w:rsid w:val="00135BB9"/>
    <w:rsid w:val="00137660"/>
    <w:rsid w:val="001378DC"/>
    <w:rsid w:val="00137E02"/>
    <w:rsid w:val="001415BB"/>
    <w:rsid w:val="00151478"/>
    <w:rsid w:val="00152E46"/>
    <w:rsid w:val="00161DED"/>
    <w:rsid w:val="00161E2B"/>
    <w:rsid w:val="00163D64"/>
    <w:rsid w:val="001646EE"/>
    <w:rsid w:val="00165546"/>
    <w:rsid w:val="0016598E"/>
    <w:rsid w:val="00170F90"/>
    <w:rsid w:val="001739EC"/>
    <w:rsid w:val="00176055"/>
    <w:rsid w:val="00182F24"/>
    <w:rsid w:val="00185EB1"/>
    <w:rsid w:val="001917C6"/>
    <w:rsid w:val="00192248"/>
    <w:rsid w:val="00195919"/>
    <w:rsid w:val="001A5F90"/>
    <w:rsid w:val="001A612B"/>
    <w:rsid w:val="001A6DDA"/>
    <w:rsid w:val="001A78BD"/>
    <w:rsid w:val="001B0DDB"/>
    <w:rsid w:val="001B1272"/>
    <w:rsid w:val="001B29FA"/>
    <w:rsid w:val="001C1C53"/>
    <w:rsid w:val="001C2292"/>
    <w:rsid w:val="001C4994"/>
    <w:rsid w:val="001C5847"/>
    <w:rsid w:val="001C5E0C"/>
    <w:rsid w:val="001C6B56"/>
    <w:rsid w:val="001D3D9F"/>
    <w:rsid w:val="001E7872"/>
    <w:rsid w:val="001F30D2"/>
    <w:rsid w:val="001F5038"/>
    <w:rsid w:val="001F527B"/>
    <w:rsid w:val="001F5A65"/>
    <w:rsid w:val="00201283"/>
    <w:rsid w:val="002022CF"/>
    <w:rsid w:val="0020319F"/>
    <w:rsid w:val="002059CD"/>
    <w:rsid w:val="00206671"/>
    <w:rsid w:val="002106B3"/>
    <w:rsid w:val="00214F48"/>
    <w:rsid w:val="002151BC"/>
    <w:rsid w:val="00216216"/>
    <w:rsid w:val="002203B3"/>
    <w:rsid w:val="0022751F"/>
    <w:rsid w:val="0023011A"/>
    <w:rsid w:val="00241599"/>
    <w:rsid w:val="00244D8C"/>
    <w:rsid w:val="00250B20"/>
    <w:rsid w:val="00252AF9"/>
    <w:rsid w:val="002536C0"/>
    <w:rsid w:val="00261024"/>
    <w:rsid w:val="00262626"/>
    <w:rsid w:val="002656F5"/>
    <w:rsid w:val="00267402"/>
    <w:rsid w:val="00270A6E"/>
    <w:rsid w:val="00273417"/>
    <w:rsid w:val="00273AE9"/>
    <w:rsid w:val="002819CD"/>
    <w:rsid w:val="00284C24"/>
    <w:rsid w:val="0028741E"/>
    <w:rsid w:val="00292CD3"/>
    <w:rsid w:val="002933C8"/>
    <w:rsid w:val="002977EC"/>
    <w:rsid w:val="002A39EF"/>
    <w:rsid w:val="002A47A7"/>
    <w:rsid w:val="002A526D"/>
    <w:rsid w:val="002B6467"/>
    <w:rsid w:val="002C5682"/>
    <w:rsid w:val="002C69B5"/>
    <w:rsid w:val="002D071B"/>
    <w:rsid w:val="002D086B"/>
    <w:rsid w:val="002D25DB"/>
    <w:rsid w:val="002D3551"/>
    <w:rsid w:val="002D4F6E"/>
    <w:rsid w:val="002D59D0"/>
    <w:rsid w:val="002E080C"/>
    <w:rsid w:val="002E0FD3"/>
    <w:rsid w:val="002E1990"/>
    <w:rsid w:val="002E2575"/>
    <w:rsid w:val="002E2992"/>
    <w:rsid w:val="002E67E9"/>
    <w:rsid w:val="002F1AA7"/>
    <w:rsid w:val="002F2093"/>
    <w:rsid w:val="002F28B6"/>
    <w:rsid w:val="002F31A2"/>
    <w:rsid w:val="002F6A2E"/>
    <w:rsid w:val="00303728"/>
    <w:rsid w:val="003043F9"/>
    <w:rsid w:val="00306AC0"/>
    <w:rsid w:val="00306B82"/>
    <w:rsid w:val="00306C81"/>
    <w:rsid w:val="003072AF"/>
    <w:rsid w:val="00311ABD"/>
    <w:rsid w:val="00315731"/>
    <w:rsid w:val="00315F27"/>
    <w:rsid w:val="00321476"/>
    <w:rsid w:val="00325A1C"/>
    <w:rsid w:val="0032695D"/>
    <w:rsid w:val="00332A69"/>
    <w:rsid w:val="0033730D"/>
    <w:rsid w:val="003410DB"/>
    <w:rsid w:val="00345B09"/>
    <w:rsid w:val="00345B18"/>
    <w:rsid w:val="003516D0"/>
    <w:rsid w:val="003518F7"/>
    <w:rsid w:val="003532F8"/>
    <w:rsid w:val="00357067"/>
    <w:rsid w:val="00361007"/>
    <w:rsid w:val="003637E0"/>
    <w:rsid w:val="003644FF"/>
    <w:rsid w:val="00364C07"/>
    <w:rsid w:val="003752AC"/>
    <w:rsid w:val="003802E7"/>
    <w:rsid w:val="0038070E"/>
    <w:rsid w:val="003832A7"/>
    <w:rsid w:val="003848B6"/>
    <w:rsid w:val="00387211"/>
    <w:rsid w:val="00390ADD"/>
    <w:rsid w:val="003973EC"/>
    <w:rsid w:val="003A39EF"/>
    <w:rsid w:val="003B58A5"/>
    <w:rsid w:val="003B60F3"/>
    <w:rsid w:val="003B6773"/>
    <w:rsid w:val="003C1F84"/>
    <w:rsid w:val="003C3628"/>
    <w:rsid w:val="003D062D"/>
    <w:rsid w:val="003D479C"/>
    <w:rsid w:val="003D716B"/>
    <w:rsid w:val="003D723A"/>
    <w:rsid w:val="003D76E5"/>
    <w:rsid w:val="003F20F2"/>
    <w:rsid w:val="003F38E6"/>
    <w:rsid w:val="003F3AEC"/>
    <w:rsid w:val="003F5502"/>
    <w:rsid w:val="003F66A8"/>
    <w:rsid w:val="003F7B12"/>
    <w:rsid w:val="00401FEE"/>
    <w:rsid w:val="004026D6"/>
    <w:rsid w:val="00402B27"/>
    <w:rsid w:val="0041227B"/>
    <w:rsid w:val="00416FC1"/>
    <w:rsid w:val="00417328"/>
    <w:rsid w:val="00420BDE"/>
    <w:rsid w:val="00420DEE"/>
    <w:rsid w:val="00422F6C"/>
    <w:rsid w:val="004233D2"/>
    <w:rsid w:val="00423E60"/>
    <w:rsid w:val="00424FDB"/>
    <w:rsid w:val="00430E62"/>
    <w:rsid w:val="00432BB6"/>
    <w:rsid w:val="0043435E"/>
    <w:rsid w:val="0043468E"/>
    <w:rsid w:val="004357F1"/>
    <w:rsid w:val="0043601A"/>
    <w:rsid w:val="004372D0"/>
    <w:rsid w:val="0043781E"/>
    <w:rsid w:val="00441AC5"/>
    <w:rsid w:val="0044222E"/>
    <w:rsid w:val="004470DF"/>
    <w:rsid w:val="004475CB"/>
    <w:rsid w:val="00447857"/>
    <w:rsid w:val="0045298C"/>
    <w:rsid w:val="004540F1"/>
    <w:rsid w:val="00455FF7"/>
    <w:rsid w:val="00471219"/>
    <w:rsid w:val="00473BC0"/>
    <w:rsid w:val="004847F5"/>
    <w:rsid w:val="00487C06"/>
    <w:rsid w:val="004908C9"/>
    <w:rsid w:val="0049564E"/>
    <w:rsid w:val="00497D1E"/>
    <w:rsid w:val="004A17C3"/>
    <w:rsid w:val="004A2550"/>
    <w:rsid w:val="004A274F"/>
    <w:rsid w:val="004A2759"/>
    <w:rsid w:val="004B00ED"/>
    <w:rsid w:val="004B379A"/>
    <w:rsid w:val="004B71DC"/>
    <w:rsid w:val="004C276C"/>
    <w:rsid w:val="004D0CC2"/>
    <w:rsid w:val="004D589A"/>
    <w:rsid w:val="004E06E0"/>
    <w:rsid w:val="004E4971"/>
    <w:rsid w:val="004E7246"/>
    <w:rsid w:val="004F1F1F"/>
    <w:rsid w:val="004F20F6"/>
    <w:rsid w:val="004F5D7E"/>
    <w:rsid w:val="004F62D5"/>
    <w:rsid w:val="004F636C"/>
    <w:rsid w:val="004F76D6"/>
    <w:rsid w:val="005011F0"/>
    <w:rsid w:val="00503ACC"/>
    <w:rsid w:val="00503D8D"/>
    <w:rsid w:val="00504B20"/>
    <w:rsid w:val="0050691A"/>
    <w:rsid w:val="00506E50"/>
    <w:rsid w:val="005107D1"/>
    <w:rsid w:val="00515ABB"/>
    <w:rsid w:val="0051799C"/>
    <w:rsid w:val="005211DF"/>
    <w:rsid w:val="00521DB3"/>
    <w:rsid w:val="005258CC"/>
    <w:rsid w:val="00525FBF"/>
    <w:rsid w:val="00527326"/>
    <w:rsid w:val="00531CC8"/>
    <w:rsid w:val="00532EDC"/>
    <w:rsid w:val="0054128B"/>
    <w:rsid w:val="00542589"/>
    <w:rsid w:val="005448F7"/>
    <w:rsid w:val="00545F49"/>
    <w:rsid w:val="00547F8D"/>
    <w:rsid w:val="0055424F"/>
    <w:rsid w:val="00565728"/>
    <w:rsid w:val="00565FE8"/>
    <w:rsid w:val="00572C88"/>
    <w:rsid w:val="00576920"/>
    <w:rsid w:val="00585BE6"/>
    <w:rsid w:val="00590169"/>
    <w:rsid w:val="00592BC1"/>
    <w:rsid w:val="00592BDF"/>
    <w:rsid w:val="00592D4C"/>
    <w:rsid w:val="0059664A"/>
    <w:rsid w:val="005A7381"/>
    <w:rsid w:val="005B32B8"/>
    <w:rsid w:val="005B4230"/>
    <w:rsid w:val="005B6CBE"/>
    <w:rsid w:val="005C081B"/>
    <w:rsid w:val="005C1019"/>
    <w:rsid w:val="005C436E"/>
    <w:rsid w:val="005D289B"/>
    <w:rsid w:val="005D5FA0"/>
    <w:rsid w:val="005D6235"/>
    <w:rsid w:val="005D6502"/>
    <w:rsid w:val="005E2375"/>
    <w:rsid w:val="005E2CDC"/>
    <w:rsid w:val="005E7DA3"/>
    <w:rsid w:val="005F0CA1"/>
    <w:rsid w:val="005F30D2"/>
    <w:rsid w:val="005F3123"/>
    <w:rsid w:val="005F3F66"/>
    <w:rsid w:val="005F4862"/>
    <w:rsid w:val="005F5D13"/>
    <w:rsid w:val="006024BA"/>
    <w:rsid w:val="00603443"/>
    <w:rsid w:val="006047D2"/>
    <w:rsid w:val="0060489E"/>
    <w:rsid w:val="00605DA7"/>
    <w:rsid w:val="00616EC6"/>
    <w:rsid w:val="00624328"/>
    <w:rsid w:val="006257EF"/>
    <w:rsid w:val="00625E2A"/>
    <w:rsid w:val="00627796"/>
    <w:rsid w:val="006310E1"/>
    <w:rsid w:val="006311E6"/>
    <w:rsid w:val="006329F7"/>
    <w:rsid w:val="0063352F"/>
    <w:rsid w:val="00634FCA"/>
    <w:rsid w:val="006427FD"/>
    <w:rsid w:val="00651480"/>
    <w:rsid w:val="00657C7D"/>
    <w:rsid w:val="00660A4D"/>
    <w:rsid w:val="006621DA"/>
    <w:rsid w:val="00663E68"/>
    <w:rsid w:val="006675BA"/>
    <w:rsid w:val="00672855"/>
    <w:rsid w:val="006741A9"/>
    <w:rsid w:val="00675D38"/>
    <w:rsid w:val="00690C03"/>
    <w:rsid w:val="00692628"/>
    <w:rsid w:val="006939D2"/>
    <w:rsid w:val="006A2009"/>
    <w:rsid w:val="006A21A9"/>
    <w:rsid w:val="006A254A"/>
    <w:rsid w:val="006A42EB"/>
    <w:rsid w:val="006A737A"/>
    <w:rsid w:val="006B082D"/>
    <w:rsid w:val="006B1342"/>
    <w:rsid w:val="006B3957"/>
    <w:rsid w:val="006B7A46"/>
    <w:rsid w:val="006C698D"/>
    <w:rsid w:val="006D0798"/>
    <w:rsid w:val="006D22B8"/>
    <w:rsid w:val="006D2F6D"/>
    <w:rsid w:val="006D64AE"/>
    <w:rsid w:val="006D70AB"/>
    <w:rsid w:val="006D710C"/>
    <w:rsid w:val="006D71B8"/>
    <w:rsid w:val="006E044F"/>
    <w:rsid w:val="006E0721"/>
    <w:rsid w:val="006E09E5"/>
    <w:rsid w:val="006E1AD7"/>
    <w:rsid w:val="006E337D"/>
    <w:rsid w:val="006E69C3"/>
    <w:rsid w:val="006F1AE7"/>
    <w:rsid w:val="006F28C1"/>
    <w:rsid w:val="006F5304"/>
    <w:rsid w:val="006F5C35"/>
    <w:rsid w:val="006F5F16"/>
    <w:rsid w:val="006F69DC"/>
    <w:rsid w:val="006F6C6C"/>
    <w:rsid w:val="0070157B"/>
    <w:rsid w:val="00707829"/>
    <w:rsid w:val="00712A5B"/>
    <w:rsid w:val="00713E84"/>
    <w:rsid w:val="007140F2"/>
    <w:rsid w:val="0071715A"/>
    <w:rsid w:val="007209B3"/>
    <w:rsid w:val="00725012"/>
    <w:rsid w:val="0072642D"/>
    <w:rsid w:val="00727CAE"/>
    <w:rsid w:val="0073670C"/>
    <w:rsid w:val="00741213"/>
    <w:rsid w:val="00744AC8"/>
    <w:rsid w:val="00746588"/>
    <w:rsid w:val="00753BE8"/>
    <w:rsid w:val="00760585"/>
    <w:rsid w:val="00760BE8"/>
    <w:rsid w:val="007616F0"/>
    <w:rsid w:val="0077294B"/>
    <w:rsid w:val="00774325"/>
    <w:rsid w:val="00776927"/>
    <w:rsid w:val="0078065C"/>
    <w:rsid w:val="00780754"/>
    <w:rsid w:val="00785987"/>
    <w:rsid w:val="00785F5A"/>
    <w:rsid w:val="007861BE"/>
    <w:rsid w:val="007A0A1F"/>
    <w:rsid w:val="007A596A"/>
    <w:rsid w:val="007A72BB"/>
    <w:rsid w:val="007B1380"/>
    <w:rsid w:val="007B27DF"/>
    <w:rsid w:val="007B3D82"/>
    <w:rsid w:val="007B4A6D"/>
    <w:rsid w:val="007C034B"/>
    <w:rsid w:val="007C2246"/>
    <w:rsid w:val="007C2DB4"/>
    <w:rsid w:val="007C5EBC"/>
    <w:rsid w:val="007D1B7D"/>
    <w:rsid w:val="007D4153"/>
    <w:rsid w:val="007E1C43"/>
    <w:rsid w:val="007E2EC8"/>
    <w:rsid w:val="007E57C8"/>
    <w:rsid w:val="007E59C2"/>
    <w:rsid w:val="007E739C"/>
    <w:rsid w:val="007F2E1D"/>
    <w:rsid w:val="007F5389"/>
    <w:rsid w:val="00807439"/>
    <w:rsid w:val="008075AB"/>
    <w:rsid w:val="00810DED"/>
    <w:rsid w:val="008137FA"/>
    <w:rsid w:val="008177E2"/>
    <w:rsid w:val="00817BD0"/>
    <w:rsid w:val="00822146"/>
    <w:rsid w:val="0083011F"/>
    <w:rsid w:val="00830E73"/>
    <w:rsid w:val="008312C5"/>
    <w:rsid w:val="0083464F"/>
    <w:rsid w:val="008362D3"/>
    <w:rsid w:val="00837239"/>
    <w:rsid w:val="0084136C"/>
    <w:rsid w:val="00845CB4"/>
    <w:rsid w:val="0084632E"/>
    <w:rsid w:val="00852D89"/>
    <w:rsid w:val="0085365C"/>
    <w:rsid w:val="008557F7"/>
    <w:rsid w:val="00865440"/>
    <w:rsid w:val="00870E1D"/>
    <w:rsid w:val="00871D41"/>
    <w:rsid w:val="008723E9"/>
    <w:rsid w:val="00872413"/>
    <w:rsid w:val="0087412B"/>
    <w:rsid w:val="00880AEF"/>
    <w:rsid w:val="008869E6"/>
    <w:rsid w:val="00892D64"/>
    <w:rsid w:val="00894801"/>
    <w:rsid w:val="008A2EDD"/>
    <w:rsid w:val="008A3F6B"/>
    <w:rsid w:val="008A5365"/>
    <w:rsid w:val="008A7761"/>
    <w:rsid w:val="008B1746"/>
    <w:rsid w:val="008B231C"/>
    <w:rsid w:val="008B2B0F"/>
    <w:rsid w:val="008B337E"/>
    <w:rsid w:val="008C041C"/>
    <w:rsid w:val="008C5054"/>
    <w:rsid w:val="008C5BEA"/>
    <w:rsid w:val="008C5F28"/>
    <w:rsid w:val="008C76D5"/>
    <w:rsid w:val="008C7E0F"/>
    <w:rsid w:val="008D074E"/>
    <w:rsid w:val="008D1661"/>
    <w:rsid w:val="008D3D5F"/>
    <w:rsid w:val="008D50B9"/>
    <w:rsid w:val="008E01E6"/>
    <w:rsid w:val="008E30E5"/>
    <w:rsid w:val="008E7A95"/>
    <w:rsid w:val="008F01DA"/>
    <w:rsid w:val="008F28F2"/>
    <w:rsid w:val="00901CEC"/>
    <w:rsid w:val="009025A4"/>
    <w:rsid w:val="00903ADF"/>
    <w:rsid w:val="00904E9C"/>
    <w:rsid w:val="00906F59"/>
    <w:rsid w:val="0090793B"/>
    <w:rsid w:val="00907DD8"/>
    <w:rsid w:val="00911E3D"/>
    <w:rsid w:val="00912FB8"/>
    <w:rsid w:val="00914F23"/>
    <w:rsid w:val="00915A58"/>
    <w:rsid w:val="009179DD"/>
    <w:rsid w:val="00925A4E"/>
    <w:rsid w:val="00926D96"/>
    <w:rsid w:val="00930F06"/>
    <w:rsid w:val="009312B0"/>
    <w:rsid w:val="00934DD5"/>
    <w:rsid w:val="009371CF"/>
    <w:rsid w:val="009377E2"/>
    <w:rsid w:val="009470F1"/>
    <w:rsid w:val="00950620"/>
    <w:rsid w:val="00950DB6"/>
    <w:rsid w:val="00954509"/>
    <w:rsid w:val="0095587A"/>
    <w:rsid w:val="00962D6B"/>
    <w:rsid w:val="009658AC"/>
    <w:rsid w:val="00967CA5"/>
    <w:rsid w:val="009754FA"/>
    <w:rsid w:val="00975B8C"/>
    <w:rsid w:val="00977489"/>
    <w:rsid w:val="009801E8"/>
    <w:rsid w:val="00981389"/>
    <w:rsid w:val="00983449"/>
    <w:rsid w:val="009858AF"/>
    <w:rsid w:val="00986B3C"/>
    <w:rsid w:val="0098764C"/>
    <w:rsid w:val="00987ED9"/>
    <w:rsid w:val="0099044F"/>
    <w:rsid w:val="00994E03"/>
    <w:rsid w:val="00997C4B"/>
    <w:rsid w:val="009A011F"/>
    <w:rsid w:val="009A1378"/>
    <w:rsid w:val="009A16C6"/>
    <w:rsid w:val="009A7880"/>
    <w:rsid w:val="009A7C19"/>
    <w:rsid w:val="009B2B77"/>
    <w:rsid w:val="009B42CA"/>
    <w:rsid w:val="009B5A2D"/>
    <w:rsid w:val="009B5B13"/>
    <w:rsid w:val="009C005F"/>
    <w:rsid w:val="009D6AFD"/>
    <w:rsid w:val="009E08CC"/>
    <w:rsid w:val="009E1380"/>
    <w:rsid w:val="009E1815"/>
    <w:rsid w:val="009E1AC8"/>
    <w:rsid w:val="009E1DF4"/>
    <w:rsid w:val="009E460D"/>
    <w:rsid w:val="009E6001"/>
    <w:rsid w:val="009E65A3"/>
    <w:rsid w:val="009F496C"/>
    <w:rsid w:val="009F4DB1"/>
    <w:rsid w:val="009F59C8"/>
    <w:rsid w:val="00A040C3"/>
    <w:rsid w:val="00A05059"/>
    <w:rsid w:val="00A108F6"/>
    <w:rsid w:val="00A128E4"/>
    <w:rsid w:val="00A15050"/>
    <w:rsid w:val="00A177B6"/>
    <w:rsid w:val="00A217DB"/>
    <w:rsid w:val="00A218D8"/>
    <w:rsid w:val="00A239FB"/>
    <w:rsid w:val="00A25E8F"/>
    <w:rsid w:val="00A30855"/>
    <w:rsid w:val="00A31A39"/>
    <w:rsid w:val="00A37CF6"/>
    <w:rsid w:val="00A42249"/>
    <w:rsid w:val="00A426DD"/>
    <w:rsid w:val="00A47C4B"/>
    <w:rsid w:val="00A51435"/>
    <w:rsid w:val="00A54419"/>
    <w:rsid w:val="00A57B0A"/>
    <w:rsid w:val="00A60F99"/>
    <w:rsid w:val="00A61F59"/>
    <w:rsid w:val="00A61F93"/>
    <w:rsid w:val="00A65479"/>
    <w:rsid w:val="00A678DB"/>
    <w:rsid w:val="00A73CF7"/>
    <w:rsid w:val="00A73E2D"/>
    <w:rsid w:val="00A856F0"/>
    <w:rsid w:val="00A91942"/>
    <w:rsid w:val="00A91E19"/>
    <w:rsid w:val="00A924C3"/>
    <w:rsid w:val="00A92DDB"/>
    <w:rsid w:val="00A94D38"/>
    <w:rsid w:val="00AA248C"/>
    <w:rsid w:val="00AA2825"/>
    <w:rsid w:val="00AA3951"/>
    <w:rsid w:val="00AB096E"/>
    <w:rsid w:val="00AB36AF"/>
    <w:rsid w:val="00AB4D15"/>
    <w:rsid w:val="00AB63A3"/>
    <w:rsid w:val="00AB75BB"/>
    <w:rsid w:val="00AC0AF5"/>
    <w:rsid w:val="00AC1A1D"/>
    <w:rsid w:val="00AC1F10"/>
    <w:rsid w:val="00AC603D"/>
    <w:rsid w:val="00AC6232"/>
    <w:rsid w:val="00AC68A7"/>
    <w:rsid w:val="00AD1C4B"/>
    <w:rsid w:val="00AD2815"/>
    <w:rsid w:val="00AD2BA6"/>
    <w:rsid w:val="00AE063B"/>
    <w:rsid w:val="00AE7FB3"/>
    <w:rsid w:val="00AF0383"/>
    <w:rsid w:val="00AF2914"/>
    <w:rsid w:val="00AF59AC"/>
    <w:rsid w:val="00AF7016"/>
    <w:rsid w:val="00B03DC1"/>
    <w:rsid w:val="00B041C6"/>
    <w:rsid w:val="00B04D49"/>
    <w:rsid w:val="00B10DCF"/>
    <w:rsid w:val="00B11F27"/>
    <w:rsid w:val="00B1207E"/>
    <w:rsid w:val="00B147CC"/>
    <w:rsid w:val="00B14A06"/>
    <w:rsid w:val="00B15DBD"/>
    <w:rsid w:val="00B20422"/>
    <w:rsid w:val="00B20745"/>
    <w:rsid w:val="00B2299C"/>
    <w:rsid w:val="00B31E65"/>
    <w:rsid w:val="00B35143"/>
    <w:rsid w:val="00B36A33"/>
    <w:rsid w:val="00B435A9"/>
    <w:rsid w:val="00B44389"/>
    <w:rsid w:val="00B51E0E"/>
    <w:rsid w:val="00B548BF"/>
    <w:rsid w:val="00B54E99"/>
    <w:rsid w:val="00B579B0"/>
    <w:rsid w:val="00B61228"/>
    <w:rsid w:val="00B63848"/>
    <w:rsid w:val="00B63EDD"/>
    <w:rsid w:val="00B641EB"/>
    <w:rsid w:val="00B64FF0"/>
    <w:rsid w:val="00B66E5D"/>
    <w:rsid w:val="00B702FC"/>
    <w:rsid w:val="00B72E98"/>
    <w:rsid w:val="00B764BA"/>
    <w:rsid w:val="00B7681C"/>
    <w:rsid w:val="00B801C8"/>
    <w:rsid w:val="00B80838"/>
    <w:rsid w:val="00B82651"/>
    <w:rsid w:val="00B83A40"/>
    <w:rsid w:val="00B85017"/>
    <w:rsid w:val="00B85814"/>
    <w:rsid w:val="00B90F6F"/>
    <w:rsid w:val="00B9490B"/>
    <w:rsid w:val="00B97095"/>
    <w:rsid w:val="00BA52BC"/>
    <w:rsid w:val="00BA59F2"/>
    <w:rsid w:val="00BA76E8"/>
    <w:rsid w:val="00BB0320"/>
    <w:rsid w:val="00BB3307"/>
    <w:rsid w:val="00BB5213"/>
    <w:rsid w:val="00BB5B7E"/>
    <w:rsid w:val="00BB79E4"/>
    <w:rsid w:val="00BB7EA3"/>
    <w:rsid w:val="00BD063D"/>
    <w:rsid w:val="00BD06FF"/>
    <w:rsid w:val="00BD1111"/>
    <w:rsid w:val="00BE0062"/>
    <w:rsid w:val="00BE1370"/>
    <w:rsid w:val="00BE5410"/>
    <w:rsid w:val="00BE5944"/>
    <w:rsid w:val="00BE5D53"/>
    <w:rsid w:val="00BF055B"/>
    <w:rsid w:val="00BF428D"/>
    <w:rsid w:val="00BF5AE0"/>
    <w:rsid w:val="00BF7E53"/>
    <w:rsid w:val="00C02A7A"/>
    <w:rsid w:val="00C067CC"/>
    <w:rsid w:val="00C112F1"/>
    <w:rsid w:val="00C12F68"/>
    <w:rsid w:val="00C147E3"/>
    <w:rsid w:val="00C22C7A"/>
    <w:rsid w:val="00C27448"/>
    <w:rsid w:val="00C302D7"/>
    <w:rsid w:val="00C303EF"/>
    <w:rsid w:val="00C33542"/>
    <w:rsid w:val="00C4304C"/>
    <w:rsid w:val="00C462AD"/>
    <w:rsid w:val="00C51D8F"/>
    <w:rsid w:val="00C540DC"/>
    <w:rsid w:val="00C552EB"/>
    <w:rsid w:val="00C57046"/>
    <w:rsid w:val="00C63F34"/>
    <w:rsid w:val="00C656BD"/>
    <w:rsid w:val="00C6600C"/>
    <w:rsid w:val="00C80224"/>
    <w:rsid w:val="00C819F4"/>
    <w:rsid w:val="00C971CA"/>
    <w:rsid w:val="00CA1907"/>
    <w:rsid w:val="00CA2B27"/>
    <w:rsid w:val="00CA538B"/>
    <w:rsid w:val="00CB56C5"/>
    <w:rsid w:val="00CB6257"/>
    <w:rsid w:val="00CB7AA4"/>
    <w:rsid w:val="00CC164E"/>
    <w:rsid w:val="00CC4C58"/>
    <w:rsid w:val="00CC6B28"/>
    <w:rsid w:val="00CC7563"/>
    <w:rsid w:val="00CC789D"/>
    <w:rsid w:val="00CD0F55"/>
    <w:rsid w:val="00CD5525"/>
    <w:rsid w:val="00CD635D"/>
    <w:rsid w:val="00CD7342"/>
    <w:rsid w:val="00CE264C"/>
    <w:rsid w:val="00CE3BF1"/>
    <w:rsid w:val="00CE507B"/>
    <w:rsid w:val="00CF03C9"/>
    <w:rsid w:val="00CF1405"/>
    <w:rsid w:val="00CF5A47"/>
    <w:rsid w:val="00CF64E2"/>
    <w:rsid w:val="00D01B18"/>
    <w:rsid w:val="00D03E85"/>
    <w:rsid w:val="00D05300"/>
    <w:rsid w:val="00D178DB"/>
    <w:rsid w:val="00D21DAF"/>
    <w:rsid w:val="00D23895"/>
    <w:rsid w:val="00D25D82"/>
    <w:rsid w:val="00D3621B"/>
    <w:rsid w:val="00D41430"/>
    <w:rsid w:val="00D45EEC"/>
    <w:rsid w:val="00D502E6"/>
    <w:rsid w:val="00D52B55"/>
    <w:rsid w:val="00D531AC"/>
    <w:rsid w:val="00D53F64"/>
    <w:rsid w:val="00D5410A"/>
    <w:rsid w:val="00D546E8"/>
    <w:rsid w:val="00D573EC"/>
    <w:rsid w:val="00D6197F"/>
    <w:rsid w:val="00D61C98"/>
    <w:rsid w:val="00D6374B"/>
    <w:rsid w:val="00D64967"/>
    <w:rsid w:val="00D73FF9"/>
    <w:rsid w:val="00D755C3"/>
    <w:rsid w:val="00D75A44"/>
    <w:rsid w:val="00D84678"/>
    <w:rsid w:val="00D84A9F"/>
    <w:rsid w:val="00D87D5F"/>
    <w:rsid w:val="00D90A1C"/>
    <w:rsid w:val="00D91912"/>
    <w:rsid w:val="00D92951"/>
    <w:rsid w:val="00D92C8D"/>
    <w:rsid w:val="00D9350F"/>
    <w:rsid w:val="00D94B9D"/>
    <w:rsid w:val="00D955FD"/>
    <w:rsid w:val="00D96032"/>
    <w:rsid w:val="00DA1653"/>
    <w:rsid w:val="00DA732E"/>
    <w:rsid w:val="00DA7BDF"/>
    <w:rsid w:val="00DB0E79"/>
    <w:rsid w:val="00DB5320"/>
    <w:rsid w:val="00DB7029"/>
    <w:rsid w:val="00DC016D"/>
    <w:rsid w:val="00DC1B61"/>
    <w:rsid w:val="00DC5428"/>
    <w:rsid w:val="00DC651A"/>
    <w:rsid w:val="00DC6807"/>
    <w:rsid w:val="00DC6D2B"/>
    <w:rsid w:val="00DD37AF"/>
    <w:rsid w:val="00DD3AB2"/>
    <w:rsid w:val="00DD50CF"/>
    <w:rsid w:val="00DD553D"/>
    <w:rsid w:val="00DD57DD"/>
    <w:rsid w:val="00DD7429"/>
    <w:rsid w:val="00DE23C1"/>
    <w:rsid w:val="00DE5C43"/>
    <w:rsid w:val="00DE696F"/>
    <w:rsid w:val="00DF026B"/>
    <w:rsid w:val="00DF0E51"/>
    <w:rsid w:val="00DF16D4"/>
    <w:rsid w:val="00DF2368"/>
    <w:rsid w:val="00DF497D"/>
    <w:rsid w:val="00DF6378"/>
    <w:rsid w:val="00DF7A61"/>
    <w:rsid w:val="00E00F0A"/>
    <w:rsid w:val="00E02C1A"/>
    <w:rsid w:val="00E05A53"/>
    <w:rsid w:val="00E06BE6"/>
    <w:rsid w:val="00E16C5F"/>
    <w:rsid w:val="00E17741"/>
    <w:rsid w:val="00E23BD3"/>
    <w:rsid w:val="00E2667C"/>
    <w:rsid w:val="00E30571"/>
    <w:rsid w:val="00E3201A"/>
    <w:rsid w:val="00E3337F"/>
    <w:rsid w:val="00E34ECA"/>
    <w:rsid w:val="00E35BA7"/>
    <w:rsid w:val="00E537F3"/>
    <w:rsid w:val="00E548FC"/>
    <w:rsid w:val="00E55250"/>
    <w:rsid w:val="00E567B2"/>
    <w:rsid w:val="00E5749A"/>
    <w:rsid w:val="00E60C89"/>
    <w:rsid w:val="00E62336"/>
    <w:rsid w:val="00E623BF"/>
    <w:rsid w:val="00E62901"/>
    <w:rsid w:val="00E6439A"/>
    <w:rsid w:val="00E67454"/>
    <w:rsid w:val="00E67EAC"/>
    <w:rsid w:val="00E741EE"/>
    <w:rsid w:val="00E771E5"/>
    <w:rsid w:val="00E81E1F"/>
    <w:rsid w:val="00E86BD7"/>
    <w:rsid w:val="00E90F85"/>
    <w:rsid w:val="00E9131C"/>
    <w:rsid w:val="00E9175E"/>
    <w:rsid w:val="00E920DF"/>
    <w:rsid w:val="00E93696"/>
    <w:rsid w:val="00E94E11"/>
    <w:rsid w:val="00E964ED"/>
    <w:rsid w:val="00E9725D"/>
    <w:rsid w:val="00E97798"/>
    <w:rsid w:val="00E97905"/>
    <w:rsid w:val="00EA2605"/>
    <w:rsid w:val="00EA4217"/>
    <w:rsid w:val="00EA4EEE"/>
    <w:rsid w:val="00EA5985"/>
    <w:rsid w:val="00EB037A"/>
    <w:rsid w:val="00EB0F2A"/>
    <w:rsid w:val="00EB10CA"/>
    <w:rsid w:val="00EB4310"/>
    <w:rsid w:val="00EB5B6E"/>
    <w:rsid w:val="00EC1689"/>
    <w:rsid w:val="00EC19ED"/>
    <w:rsid w:val="00EC4E63"/>
    <w:rsid w:val="00EC6031"/>
    <w:rsid w:val="00EC7D7B"/>
    <w:rsid w:val="00ED2FFF"/>
    <w:rsid w:val="00ED4CD7"/>
    <w:rsid w:val="00ED6E03"/>
    <w:rsid w:val="00EE0F65"/>
    <w:rsid w:val="00EE5451"/>
    <w:rsid w:val="00EE5B83"/>
    <w:rsid w:val="00EE5CDB"/>
    <w:rsid w:val="00F043FC"/>
    <w:rsid w:val="00F049C1"/>
    <w:rsid w:val="00F0531B"/>
    <w:rsid w:val="00F10023"/>
    <w:rsid w:val="00F1013E"/>
    <w:rsid w:val="00F11323"/>
    <w:rsid w:val="00F141F6"/>
    <w:rsid w:val="00F15311"/>
    <w:rsid w:val="00F15E6E"/>
    <w:rsid w:val="00F160AA"/>
    <w:rsid w:val="00F17ECA"/>
    <w:rsid w:val="00F20413"/>
    <w:rsid w:val="00F20500"/>
    <w:rsid w:val="00F2069E"/>
    <w:rsid w:val="00F231E2"/>
    <w:rsid w:val="00F24878"/>
    <w:rsid w:val="00F26B31"/>
    <w:rsid w:val="00F3056C"/>
    <w:rsid w:val="00F3170F"/>
    <w:rsid w:val="00F3588A"/>
    <w:rsid w:val="00F379F4"/>
    <w:rsid w:val="00F4125E"/>
    <w:rsid w:val="00F41AD6"/>
    <w:rsid w:val="00F446EC"/>
    <w:rsid w:val="00F44F41"/>
    <w:rsid w:val="00F46376"/>
    <w:rsid w:val="00F51B32"/>
    <w:rsid w:val="00F526B8"/>
    <w:rsid w:val="00F53B23"/>
    <w:rsid w:val="00F558E1"/>
    <w:rsid w:val="00F560B6"/>
    <w:rsid w:val="00F56D7B"/>
    <w:rsid w:val="00F6375D"/>
    <w:rsid w:val="00F64242"/>
    <w:rsid w:val="00F64C1B"/>
    <w:rsid w:val="00F737C9"/>
    <w:rsid w:val="00F75012"/>
    <w:rsid w:val="00F76D08"/>
    <w:rsid w:val="00F773FF"/>
    <w:rsid w:val="00F8260A"/>
    <w:rsid w:val="00F83E9C"/>
    <w:rsid w:val="00F84343"/>
    <w:rsid w:val="00F86B53"/>
    <w:rsid w:val="00F86D5B"/>
    <w:rsid w:val="00F8744B"/>
    <w:rsid w:val="00F87A1B"/>
    <w:rsid w:val="00F87ED8"/>
    <w:rsid w:val="00F87F8B"/>
    <w:rsid w:val="00F9565D"/>
    <w:rsid w:val="00F956E3"/>
    <w:rsid w:val="00FA56ED"/>
    <w:rsid w:val="00FA7726"/>
    <w:rsid w:val="00FB0E9B"/>
    <w:rsid w:val="00FB2124"/>
    <w:rsid w:val="00FC0412"/>
    <w:rsid w:val="00FC4E23"/>
    <w:rsid w:val="00FD1BBC"/>
    <w:rsid w:val="00FD1D59"/>
    <w:rsid w:val="00FD2A7D"/>
    <w:rsid w:val="00FE3678"/>
    <w:rsid w:val="00FE39D0"/>
    <w:rsid w:val="00FE4B22"/>
    <w:rsid w:val="00FF106A"/>
    <w:rsid w:val="00FF2EB5"/>
    <w:rsid w:val="00FF3696"/>
    <w:rsid w:val="00FF7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87D7B8"/>
  <w15:docId w15:val="{113F4477-A9B0-4A03-BADD-64BDA0F5E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
    <w:name w:val="&quot;&quot;&quot;&quot;&quot;&quot;&quot;&quot;&quot;&quot;&quot;&quot;&quot;&quot;&quot;&quot;&quot;&quot;&quot;&quot;&quot;&quot;&quot;&quot;&quot;&quot;&quot;&quot;&quot;&quot;&quot;&quot;&quot;&quot;&quot;&quot;&quot;&quot;&quot;&quot;&quot;&quot;&quot;&quot;&quot;&quot;&quot;&quot;&quot;footer&quot;&quot;&quot;&quot;&quot;&quot;&quot;&quot;&quot;&quot;&quot;&quot;&quot;&quot;&quot;&quot;&quot;&quot;&quot;&quot;&quot;&quot;&quot;&quot;&quot;&quot;&quot;&quot;&quot;&quot;&quot;&quot;&quot;&quot;&quot;&quot;&quot;&quot;&quot;&quot;&quot;&quot;&quot;&quot;&quot;&quot;&quot;&quot;&quot;"/>
    <w:rsid w:val="00926D96"/>
    <w:pPr>
      <w:tabs>
        <w:tab w:val="center" w:pos="4320"/>
        <w:tab w:val="right" w:pos="8640"/>
      </w:tabs>
      <w:spacing w:after="0" w:line="240" w:lineRule="auto"/>
    </w:pPr>
    <w:rPr>
      <w:rFonts w:ascii="Calibri" w:eastAsia="SimSun" w:hAnsi="Calibri" w:cs="Times New Roman"/>
      <w:sz w:val="24"/>
      <w:szCs w:val="24"/>
    </w:rPr>
  </w:style>
  <w:style w:type="character" w:customStyle="1" w:styleId="bold">
    <w:name w:val="bold"/>
    <w:basedOn w:val="DefaultParagraphFont"/>
    <w:rsid w:val="0078065C"/>
  </w:style>
  <w:style w:type="character" w:customStyle="1" w:styleId="al-author-delim">
    <w:name w:val="al-author-delim"/>
    <w:basedOn w:val="DefaultParagraphFont"/>
    <w:rsid w:val="0078065C"/>
  </w:style>
  <w:style w:type="character" w:customStyle="1" w:styleId="topiccitationitalics">
    <w:name w:val="topiccitationitalics"/>
    <w:basedOn w:val="DefaultParagraphFont"/>
    <w:rsid w:val="008869E6"/>
  </w:style>
  <w:style w:type="character" w:styleId="Hyperlink">
    <w:name w:val="Hyperlink"/>
    <w:basedOn w:val="DefaultParagraphFont"/>
    <w:uiPriority w:val="99"/>
    <w:unhideWhenUsed/>
    <w:rsid w:val="008869E6"/>
    <w:rPr>
      <w:color w:val="0000FF" w:themeColor="hyperlink"/>
      <w:u w:val="single"/>
    </w:rPr>
  </w:style>
  <w:style w:type="paragraph" w:customStyle="1" w:styleId="header">
    <w:name w:val="&quot;&quot;&quot;&quot;&quot;&quot;&quot;&quot;&quot;&quot;&quot;&quot;&quot;&quot;&quot;&quot;&quot;&quot;&quot;&quot;&quot;&quot;&quot;&quot;&quot;&quot;&quot;&quot;&quot;&quot;&quot;&quot;&quot;&quot;&quot;header&quot;&quot;&quot;&quot;&quot;&quot;&quot;&quot;&quot;&quot;&quot;&quot;&quot;&quot;&quot;&quot;&quot;&quot;&quot;&quot;&quot;&quot;&quot;&quot;&quot;&quot;&quot;&quot;&quot;&quot;&quot;&quot;&quot;&quot;&quot;"/>
    <w:rsid w:val="00E5749A"/>
    <w:pPr>
      <w:tabs>
        <w:tab w:val="center" w:pos="4320"/>
        <w:tab w:val="right" w:pos="8640"/>
      </w:tabs>
      <w:spacing w:after="0" w:line="240" w:lineRule="auto"/>
    </w:pPr>
    <w:rPr>
      <w:rFonts w:ascii="Calibri" w:eastAsia="SimSun" w:hAnsi="Calibri" w:cs="Times New Roman"/>
      <w:sz w:val="24"/>
      <w:szCs w:val="24"/>
    </w:rPr>
  </w:style>
  <w:style w:type="paragraph" w:styleId="ListParagraph">
    <w:name w:val="List Paragraph"/>
    <w:basedOn w:val="Normal"/>
    <w:uiPriority w:val="34"/>
    <w:qFormat/>
    <w:rsid w:val="00605DA7"/>
    <w:pPr>
      <w:spacing w:after="0" w:line="240" w:lineRule="auto"/>
      <w:ind w:left="720"/>
      <w:contextualSpacing/>
    </w:pPr>
    <w:rPr>
      <w:rFonts w:ascii="Calibri" w:eastAsia="SimSun" w:hAnsi="Calibri" w:cs="Times New Roman"/>
      <w:sz w:val="21"/>
      <w:szCs w:val="20"/>
    </w:rPr>
  </w:style>
  <w:style w:type="character" w:customStyle="1" w:styleId="UnresolvedMention1">
    <w:name w:val="Unresolved Mention1"/>
    <w:basedOn w:val="DefaultParagraphFont"/>
    <w:uiPriority w:val="99"/>
    <w:semiHidden/>
    <w:unhideWhenUsed/>
    <w:rsid w:val="0090793B"/>
    <w:rPr>
      <w:color w:val="605E5C"/>
      <w:shd w:val="clear" w:color="auto" w:fill="E1DFDD"/>
    </w:rPr>
  </w:style>
  <w:style w:type="paragraph" w:styleId="Header0">
    <w:name w:val="header"/>
    <w:basedOn w:val="Normal"/>
    <w:link w:val="HeaderChar"/>
    <w:uiPriority w:val="99"/>
    <w:unhideWhenUsed/>
    <w:rsid w:val="00A108F6"/>
    <w:pPr>
      <w:tabs>
        <w:tab w:val="center" w:pos="4513"/>
        <w:tab w:val="right" w:pos="9026"/>
      </w:tabs>
      <w:spacing w:after="0" w:line="240" w:lineRule="auto"/>
    </w:pPr>
  </w:style>
  <w:style w:type="character" w:customStyle="1" w:styleId="HeaderChar">
    <w:name w:val="Header Char"/>
    <w:basedOn w:val="DefaultParagraphFont"/>
    <w:link w:val="Header0"/>
    <w:uiPriority w:val="99"/>
    <w:rsid w:val="00A108F6"/>
  </w:style>
  <w:style w:type="paragraph" w:styleId="Footer0">
    <w:name w:val="footer"/>
    <w:basedOn w:val="Normal"/>
    <w:link w:val="FooterChar"/>
    <w:uiPriority w:val="99"/>
    <w:unhideWhenUsed/>
    <w:rsid w:val="00A108F6"/>
    <w:pPr>
      <w:tabs>
        <w:tab w:val="center" w:pos="4513"/>
        <w:tab w:val="right" w:pos="9026"/>
      </w:tabs>
      <w:spacing w:after="0" w:line="240" w:lineRule="auto"/>
    </w:pPr>
  </w:style>
  <w:style w:type="character" w:customStyle="1" w:styleId="FooterChar">
    <w:name w:val="Footer Char"/>
    <w:basedOn w:val="DefaultParagraphFont"/>
    <w:link w:val="Footer0"/>
    <w:uiPriority w:val="99"/>
    <w:rsid w:val="00A108F6"/>
  </w:style>
  <w:style w:type="paragraph" w:styleId="BalloonText">
    <w:name w:val="Balloon Text"/>
    <w:basedOn w:val="Normal"/>
    <w:link w:val="BalloonTextChar"/>
    <w:uiPriority w:val="99"/>
    <w:semiHidden/>
    <w:unhideWhenUsed/>
    <w:rsid w:val="004122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27B"/>
    <w:rPr>
      <w:rFonts w:ascii="Tahoma" w:hAnsi="Tahoma" w:cs="Tahoma"/>
      <w:sz w:val="16"/>
      <w:szCs w:val="16"/>
    </w:rPr>
  </w:style>
  <w:style w:type="character" w:customStyle="1" w:styleId="UnresolvedMention2">
    <w:name w:val="Unresolved Mention2"/>
    <w:basedOn w:val="DefaultParagraphFont"/>
    <w:uiPriority w:val="99"/>
    <w:semiHidden/>
    <w:unhideWhenUsed/>
    <w:rsid w:val="005A73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1600">
      <w:bodyDiv w:val="1"/>
      <w:marLeft w:val="0"/>
      <w:marRight w:val="0"/>
      <w:marTop w:val="0"/>
      <w:marBottom w:val="0"/>
      <w:divBdr>
        <w:top w:val="none" w:sz="0" w:space="0" w:color="auto"/>
        <w:left w:val="none" w:sz="0" w:space="0" w:color="auto"/>
        <w:bottom w:val="none" w:sz="0" w:space="0" w:color="auto"/>
        <w:right w:val="none" w:sz="0" w:space="0" w:color="auto"/>
      </w:divBdr>
    </w:div>
    <w:div w:id="62872650">
      <w:bodyDiv w:val="1"/>
      <w:marLeft w:val="0"/>
      <w:marRight w:val="0"/>
      <w:marTop w:val="0"/>
      <w:marBottom w:val="0"/>
      <w:divBdr>
        <w:top w:val="none" w:sz="0" w:space="0" w:color="auto"/>
        <w:left w:val="none" w:sz="0" w:space="0" w:color="auto"/>
        <w:bottom w:val="none" w:sz="0" w:space="0" w:color="auto"/>
        <w:right w:val="none" w:sz="0" w:space="0" w:color="auto"/>
      </w:divBdr>
    </w:div>
    <w:div w:id="94904562">
      <w:bodyDiv w:val="1"/>
      <w:marLeft w:val="0"/>
      <w:marRight w:val="0"/>
      <w:marTop w:val="0"/>
      <w:marBottom w:val="0"/>
      <w:divBdr>
        <w:top w:val="none" w:sz="0" w:space="0" w:color="auto"/>
        <w:left w:val="none" w:sz="0" w:space="0" w:color="auto"/>
        <w:bottom w:val="none" w:sz="0" w:space="0" w:color="auto"/>
        <w:right w:val="none" w:sz="0" w:space="0" w:color="auto"/>
      </w:divBdr>
    </w:div>
    <w:div w:id="109403094">
      <w:bodyDiv w:val="1"/>
      <w:marLeft w:val="0"/>
      <w:marRight w:val="0"/>
      <w:marTop w:val="0"/>
      <w:marBottom w:val="0"/>
      <w:divBdr>
        <w:top w:val="none" w:sz="0" w:space="0" w:color="auto"/>
        <w:left w:val="none" w:sz="0" w:space="0" w:color="auto"/>
        <w:bottom w:val="none" w:sz="0" w:space="0" w:color="auto"/>
        <w:right w:val="none" w:sz="0" w:space="0" w:color="auto"/>
      </w:divBdr>
    </w:div>
    <w:div w:id="123695826">
      <w:bodyDiv w:val="1"/>
      <w:marLeft w:val="0"/>
      <w:marRight w:val="0"/>
      <w:marTop w:val="0"/>
      <w:marBottom w:val="0"/>
      <w:divBdr>
        <w:top w:val="none" w:sz="0" w:space="0" w:color="auto"/>
        <w:left w:val="none" w:sz="0" w:space="0" w:color="auto"/>
        <w:bottom w:val="none" w:sz="0" w:space="0" w:color="auto"/>
        <w:right w:val="none" w:sz="0" w:space="0" w:color="auto"/>
      </w:divBdr>
    </w:div>
    <w:div w:id="166218359">
      <w:bodyDiv w:val="1"/>
      <w:marLeft w:val="0"/>
      <w:marRight w:val="0"/>
      <w:marTop w:val="0"/>
      <w:marBottom w:val="0"/>
      <w:divBdr>
        <w:top w:val="none" w:sz="0" w:space="0" w:color="auto"/>
        <w:left w:val="none" w:sz="0" w:space="0" w:color="auto"/>
        <w:bottom w:val="none" w:sz="0" w:space="0" w:color="auto"/>
        <w:right w:val="none" w:sz="0" w:space="0" w:color="auto"/>
      </w:divBdr>
    </w:div>
    <w:div w:id="218438498">
      <w:bodyDiv w:val="1"/>
      <w:marLeft w:val="0"/>
      <w:marRight w:val="0"/>
      <w:marTop w:val="0"/>
      <w:marBottom w:val="0"/>
      <w:divBdr>
        <w:top w:val="none" w:sz="0" w:space="0" w:color="auto"/>
        <w:left w:val="none" w:sz="0" w:space="0" w:color="auto"/>
        <w:bottom w:val="none" w:sz="0" w:space="0" w:color="auto"/>
        <w:right w:val="none" w:sz="0" w:space="0" w:color="auto"/>
      </w:divBdr>
    </w:div>
    <w:div w:id="322709186">
      <w:bodyDiv w:val="1"/>
      <w:marLeft w:val="0"/>
      <w:marRight w:val="0"/>
      <w:marTop w:val="0"/>
      <w:marBottom w:val="0"/>
      <w:divBdr>
        <w:top w:val="none" w:sz="0" w:space="0" w:color="auto"/>
        <w:left w:val="none" w:sz="0" w:space="0" w:color="auto"/>
        <w:bottom w:val="none" w:sz="0" w:space="0" w:color="auto"/>
        <w:right w:val="none" w:sz="0" w:space="0" w:color="auto"/>
      </w:divBdr>
    </w:div>
    <w:div w:id="394204852">
      <w:bodyDiv w:val="1"/>
      <w:marLeft w:val="0"/>
      <w:marRight w:val="0"/>
      <w:marTop w:val="0"/>
      <w:marBottom w:val="0"/>
      <w:divBdr>
        <w:top w:val="none" w:sz="0" w:space="0" w:color="auto"/>
        <w:left w:val="none" w:sz="0" w:space="0" w:color="auto"/>
        <w:bottom w:val="none" w:sz="0" w:space="0" w:color="auto"/>
        <w:right w:val="none" w:sz="0" w:space="0" w:color="auto"/>
      </w:divBdr>
    </w:div>
    <w:div w:id="409618524">
      <w:bodyDiv w:val="1"/>
      <w:marLeft w:val="0"/>
      <w:marRight w:val="0"/>
      <w:marTop w:val="0"/>
      <w:marBottom w:val="0"/>
      <w:divBdr>
        <w:top w:val="none" w:sz="0" w:space="0" w:color="auto"/>
        <w:left w:val="none" w:sz="0" w:space="0" w:color="auto"/>
        <w:bottom w:val="none" w:sz="0" w:space="0" w:color="auto"/>
        <w:right w:val="none" w:sz="0" w:space="0" w:color="auto"/>
      </w:divBdr>
    </w:div>
    <w:div w:id="629744047">
      <w:bodyDiv w:val="1"/>
      <w:marLeft w:val="0"/>
      <w:marRight w:val="0"/>
      <w:marTop w:val="0"/>
      <w:marBottom w:val="0"/>
      <w:divBdr>
        <w:top w:val="none" w:sz="0" w:space="0" w:color="auto"/>
        <w:left w:val="none" w:sz="0" w:space="0" w:color="auto"/>
        <w:bottom w:val="none" w:sz="0" w:space="0" w:color="auto"/>
        <w:right w:val="none" w:sz="0" w:space="0" w:color="auto"/>
      </w:divBdr>
    </w:div>
    <w:div w:id="647174279">
      <w:bodyDiv w:val="1"/>
      <w:marLeft w:val="0"/>
      <w:marRight w:val="0"/>
      <w:marTop w:val="0"/>
      <w:marBottom w:val="0"/>
      <w:divBdr>
        <w:top w:val="none" w:sz="0" w:space="0" w:color="auto"/>
        <w:left w:val="none" w:sz="0" w:space="0" w:color="auto"/>
        <w:bottom w:val="none" w:sz="0" w:space="0" w:color="auto"/>
        <w:right w:val="none" w:sz="0" w:space="0" w:color="auto"/>
      </w:divBdr>
    </w:div>
    <w:div w:id="665668914">
      <w:bodyDiv w:val="1"/>
      <w:marLeft w:val="0"/>
      <w:marRight w:val="0"/>
      <w:marTop w:val="0"/>
      <w:marBottom w:val="0"/>
      <w:divBdr>
        <w:top w:val="none" w:sz="0" w:space="0" w:color="auto"/>
        <w:left w:val="none" w:sz="0" w:space="0" w:color="auto"/>
        <w:bottom w:val="none" w:sz="0" w:space="0" w:color="auto"/>
        <w:right w:val="none" w:sz="0" w:space="0" w:color="auto"/>
      </w:divBdr>
    </w:div>
    <w:div w:id="689573757">
      <w:bodyDiv w:val="1"/>
      <w:marLeft w:val="0"/>
      <w:marRight w:val="0"/>
      <w:marTop w:val="0"/>
      <w:marBottom w:val="0"/>
      <w:divBdr>
        <w:top w:val="none" w:sz="0" w:space="0" w:color="auto"/>
        <w:left w:val="none" w:sz="0" w:space="0" w:color="auto"/>
        <w:bottom w:val="none" w:sz="0" w:space="0" w:color="auto"/>
        <w:right w:val="none" w:sz="0" w:space="0" w:color="auto"/>
      </w:divBdr>
    </w:div>
    <w:div w:id="705330826">
      <w:bodyDiv w:val="1"/>
      <w:marLeft w:val="0"/>
      <w:marRight w:val="0"/>
      <w:marTop w:val="0"/>
      <w:marBottom w:val="0"/>
      <w:divBdr>
        <w:top w:val="none" w:sz="0" w:space="0" w:color="auto"/>
        <w:left w:val="none" w:sz="0" w:space="0" w:color="auto"/>
        <w:bottom w:val="none" w:sz="0" w:space="0" w:color="auto"/>
        <w:right w:val="none" w:sz="0" w:space="0" w:color="auto"/>
      </w:divBdr>
    </w:div>
    <w:div w:id="756831816">
      <w:bodyDiv w:val="1"/>
      <w:marLeft w:val="0"/>
      <w:marRight w:val="0"/>
      <w:marTop w:val="0"/>
      <w:marBottom w:val="0"/>
      <w:divBdr>
        <w:top w:val="none" w:sz="0" w:space="0" w:color="auto"/>
        <w:left w:val="none" w:sz="0" w:space="0" w:color="auto"/>
        <w:bottom w:val="none" w:sz="0" w:space="0" w:color="auto"/>
        <w:right w:val="none" w:sz="0" w:space="0" w:color="auto"/>
      </w:divBdr>
    </w:div>
    <w:div w:id="781413968">
      <w:bodyDiv w:val="1"/>
      <w:marLeft w:val="0"/>
      <w:marRight w:val="0"/>
      <w:marTop w:val="0"/>
      <w:marBottom w:val="0"/>
      <w:divBdr>
        <w:top w:val="none" w:sz="0" w:space="0" w:color="auto"/>
        <w:left w:val="none" w:sz="0" w:space="0" w:color="auto"/>
        <w:bottom w:val="none" w:sz="0" w:space="0" w:color="auto"/>
        <w:right w:val="none" w:sz="0" w:space="0" w:color="auto"/>
      </w:divBdr>
    </w:div>
    <w:div w:id="931745243">
      <w:bodyDiv w:val="1"/>
      <w:marLeft w:val="0"/>
      <w:marRight w:val="0"/>
      <w:marTop w:val="0"/>
      <w:marBottom w:val="0"/>
      <w:divBdr>
        <w:top w:val="none" w:sz="0" w:space="0" w:color="auto"/>
        <w:left w:val="none" w:sz="0" w:space="0" w:color="auto"/>
        <w:bottom w:val="none" w:sz="0" w:space="0" w:color="auto"/>
        <w:right w:val="none" w:sz="0" w:space="0" w:color="auto"/>
      </w:divBdr>
    </w:div>
    <w:div w:id="935020326">
      <w:bodyDiv w:val="1"/>
      <w:marLeft w:val="0"/>
      <w:marRight w:val="0"/>
      <w:marTop w:val="0"/>
      <w:marBottom w:val="0"/>
      <w:divBdr>
        <w:top w:val="none" w:sz="0" w:space="0" w:color="auto"/>
        <w:left w:val="none" w:sz="0" w:space="0" w:color="auto"/>
        <w:bottom w:val="none" w:sz="0" w:space="0" w:color="auto"/>
        <w:right w:val="none" w:sz="0" w:space="0" w:color="auto"/>
      </w:divBdr>
    </w:div>
    <w:div w:id="952830705">
      <w:bodyDiv w:val="1"/>
      <w:marLeft w:val="0"/>
      <w:marRight w:val="0"/>
      <w:marTop w:val="0"/>
      <w:marBottom w:val="0"/>
      <w:divBdr>
        <w:top w:val="none" w:sz="0" w:space="0" w:color="auto"/>
        <w:left w:val="none" w:sz="0" w:space="0" w:color="auto"/>
        <w:bottom w:val="none" w:sz="0" w:space="0" w:color="auto"/>
        <w:right w:val="none" w:sz="0" w:space="0" w:color="auto"/>
      </w:divBdr>
    </w:div>
    <w:div w:id="958686356">
      <w:bodyDiv w:val="1"/>
      <w:marLeft w:val="0"/>
      <w:marRight w:val="0"/>
      <w:marTop w:val="0"/>
      <w:marBottom w:val="0"/>
      <w:divBdr>
        <w:top w:val="none" w:sz="0" w:space="0" w:color="auto"/>
        <w:left w:val="none" w:sz="0" w:space="0" w:color="auto"/>
        <w:bottom w:val="none" w:sz="0" w:space="0" w:color="auto"/>
        <w:right w:val="none" w:sz="0" w:space="0" w:color="auto"/>
      </w:divBdr>
    </w:div>
    <w:div w:id="976229307">
      <w:bodyDiv w:val="1"/>
      <w:marLeft w:val="0"/>
      <w:marRight w:val="0"/>
      <w:marTop w:val="0"/>
      <w:marBottom w:val="0"/>
      <w:divBdr>
        <w:top w:val="none" w:sz="0" w:space="0" w:color="auto"/>
        <w:left w:val="none" w:sz="0" w:space="0" w:color="auto"/>
        <w:bottom w:val="none" w:sz="0" w:space="0" w:color="auto"/>
        <w:right w:val="none" w:sz="0" w:space="0" w:color="auto"/>
      </w:divBdr>
    </w:div>
    <w:div w:id="977414762">
      <w:bodyDiv w:val="1"/>
      <w:marLeft w:val="0"/>
      <w:marRight w:val="0"/>
      <w:marTop w:val="0"/>
      <w:marBottom w:val="0"/>
      <w:divBdr>
        <w:top w:val="none" w:sz="0" w:space="0" w:color="auto"/>
        <w:left w:val="none" w:sz="0" w:space="0" w:color="auto"/>
        <w:bottom w:val="none" w:sz="0" w:space="0" w:color="auto"/>
        <w:right w:val="none" w:sz="0" w:space="0" w:color="auto"/>
      </w:divBdr>
    </w:div>
    <w:div w:id="984966328">
      <w:bodyDiv w:val="1"/>
      <w:marLeft w:val="0"/>
      <w:marRight w:val="0"/>
      <w:marTop w:val="0"/>
      <w:marBottom w:val="0"/>
      <w:divBdr>
        <w:top w:val="none" w:sz="0" w:space="0" w:color="auto"/>
        <w:left w:val="none" w:sz="0" w:space="0" w:color="auto"/>
        <w:bottom w:val="none" w:sz="0" w:space="0" w:color="auto"/>
        <w:right w:val="none" w:sz="0" w:space="0" w:color="auto"/>
      </w:divBdr>
    </w:div>
    <w:div w:id="1070998987">
      <w:bodyDiv w:val="1"/>
      <w:marLeft w:val="0"/>
      <w:marRight w:val="0"/>
      <w:marTop w:val="0"/>
      <w:marBottom w:val="0"/>
      <w:divBdr>
        <w:top w:val="none" w:sz="0" w:space="0" w:color="auto"/>
        <w:left w:val="none" w:sz="0" w:space="0" w:color="auto"/>
        <w:bottom w:val="none" w:sz="0" w:space="0" w:color="auto"/>
        <w:right w:val="none" w:sz="0" w:space="0" w:color="auto"/>
      </w:divBdr>
    </w:div>
    <w:div w:id="1072049260">
      <w:bodyDiv w:val="1"/>
      <w:marLeft w:val="0"/>
      <w:marRight w:val="0"/>
      <w:marTop w:val="0"/>
      <w:marBottom w:val="0"/>
      <w:divBdr>
        <w:top w:val="none" w:sz="0" w:space="0" w:color="auto"/>
        <w:left w:val="none" w:sz="0" w:space="0" w:color="auto"/>
        <w:bottom w:val="none" w:sz="0" w:space="0" w:color="auto"/>
        <w:right w:val="none" w:sz="0" w:space="0" w:color="auto"/>
      </w:divBdr>
    </w:div>
    <w:div w:id="1137725257">
      <w:bodyDiv w:val="1"/>
      <w:marLeft w:val="0"/>
      <w:marRight w:val="0"/>
      <w:marTop w:val="0"/>
      <w:marBottom w:val="0"/>
      <w:divBdr>
        <w:top w:val="none" w:sz="0" w:space="0" w:color="auto"/>
        <w:left w:val="none" w:sz="0" w:space="0" w:color="auto"/>
        <w:bottom w:val="none" w:sz="0" w:space="0" w:color="auto"/>
        <w:right w:val="none" w:sz="0" w:space="0" w:color="auto"/>
      </w:divBdr>
    </w:div>
    <w:div w:id="1219167874">
      <w:bodyDiv w:val="1"/>
      <w:marLeft w:val="0"/>
      <w:marRight w:val="0"/>
      <w:marTop w:val="0"/>
      <w:marBottom w:val="0"/>
      <w:divBdr>
        <w:top w:val="none" w:sz="0" w:space="0" w:color="auto"/>
        <w:left w:val="none" w:sz="0" w:space="0" w:color="auto"/>
        <w:bottom w:val="none" w:sz="0" w:space="0" w:color="auto"/>
        <w:right w:val="none" w:sz="0" w:space="0" w:color="auto"/>
      </w:divBdr>
    </w:div>
    <w:div w:id="1491362615">
      <w:bodyDiv w:val="1"/>
      <w:marLeft w:val="0"/>
      <w:marRight w:val="0"/>
      <w:marTop w:val="0"/>
      <w:marBottom w:val="0"/>
      <w:divBdr>
        <w:top w:val="none" w:sz="0" w:space="0" w:color="auto"/>
        <w:left w:val="none" w:sz="0" w:space="0" w:color="auto"/>
        <w:bottom w:val="none" w:sz="0" w:space="0" w:color="auto"/>
        <w:right w:val="none" w:sz="0" w:space="0" w:color="auto"/>
      </w:divBdr>
    </w:div>
    <w:div w:id="1492328247">
      <w:bodyDiv w:val="1"/>
      <w:marLeft w:val="0"/>
      <w:marRight w:val="0"/>
      <w:marTop w:val="0"/>
      <w:marBottom w:val="0"/>
      <w:divBdr>
        <w:top w:val="none" w:sz="0" w:space="0" w:color="auto"/>
        <w:left w:val="none" w:sz="0" w:space="0" w:color="auto"/>
        <w:bottom w:val="none" w:sz="0" w:space="0" w:color="auto"/>
        <w:right w:val="none" w:sz="0" w:space="0" w:color="auto"/>
      </w:divBdr>
    </w:div>
    <w:div w:id="1581452027">
      <w:bodyDiv w:val="1"/>
      <w:marLeft w:val="0"/>
      <w:marRight w:val="0"/>
      <w:marTop w:val="0"/>
      <w:marBottom w:val="0"/>
      <w:divBdr>
        <w:top w:val="none" w:sz="0" w:space="0" w:color="auto"/>
        <w:left w:val="none" w:sz="0" w:space="0" w:color="auto"/>
        <w:bottom w:val="none" w:sz="0" w:space="0" w:color="auto"/>
        <w:right w:val="none" w:sz="0" w:space="0" w:color="auto"/>
      </w:divBdr>
    </w:div>
    <w:div w:id="1639534932">
      <w:bodyDiv w:val="1"/>
      <w:marLeft w:val="0"/>
      <w:marRight w:val="0"/>
      <w:marTop w:val="0"/>
      <w:marBottom w:val="0"/>
      <w:divBdr>
        <w:top w:val="none" w:sz="0" w:space="0" w:color="auto"/>
        <w:left w:val="none" w:sz="0" w:space="0" w:color="auto"/>
        <w:bottom w:val="none" w:sz="0" w:space="0" w:color="auto"/>
        <w:right w:val="none" w:sz="0" w:space="0" w:color="auto"/>
      </w:divBdr>
    </w:div>
    <w:div w:id="1645816690">
      <w:bodyDiv w:val="1"/>
      <w:marLeft w:val="0"/>
      <w:marRight w:val="0"/>
      <w:marTop w:val="0"/>
      <w:marBottom w:val="0"/>
      <w:divBdr>
        <w:top w:val="none" w:sz="0" w:space="0" w:color="auto"/>
        <w:left w:val="none" w:sz="0" w:space="0" w:color="auto"/>
        <w:bottom w:val="none" w:sz="0" w:space="0" w:color="auto"/>
        <w:right w:val="none" w:sz="0" w:space="0" w:color="auto"/>
      </w:divBdr>
    </w:div>
    <w:div w:id="1752845669">
      <w:bodyDiv w:val="1"/>
      <w:marLeft w:val="0"/>
      <w:marRight w:val="0"/>
      <w:marTop w:val="0"/>
      <w:marBottom w:val="0"/>
      <w:divBdr>
        <w:top w:val="none" w:sz="0" w:space="0" w:color="auto"/>
        <w:left w:val="none" w:sz="0" w:space="0" w:color="auto"/>
        <w:bottom w:val="none" w:sz="0" w:space="0" w:color="auto"/>
        <w:right w:val="none" w:sz="0" w:space="0" w:color="auto"/>
      </w:divBdr>
    </w:div>
    <w:div w:id="1840727981">
      <w:bodyDiv w:val="1"/>
      <w:marLeft w:val="0"/>
      <w:marRight w:val="0"/>
      <w:marTop w:val="0"/>
      <w:marBottom w:val="0"/>
      <w:divBdr>
        <w:top w:val="none" w:sz="0" w:space="0" w:color="auto"/>
        <w:left w:val="none" w:sz="0" w:space="0" w:color="auto"/>
        <w:bottom w:val="none" w:sz="0" w:space="0" w:color="auto"/>
        <w:right w:val="none" w:sz="0" w:space="0" w:color="auto"/>
      </w:divBdr>
    </w:div>
    <w:div w:id="1865365678">
      <w:bodyDiv w:val="1"/>
      <w:marLeft w:val="0"/>
      <w:marRight w:val="0"/>
      <w:marTop w:val="0"/>
      <w:marBottom w:val="0"/>
      <w:divBdr>
        <w:top w:val="none" w:sz="0" w:space="0" w:color="auto"/>
        <w:left w:val="none" w:sz="0" w:space="0" w:color="auto"/>
        <w:bottom w:val="none" w:sz="0" w:space="0" w:color="auto"/>
        <w:right w:val="none" w:sz="0" w:space="0" w:color="auto"/>
      </w:divBdr>
    </w:div>
    <w:div w:id="2000572369">
      <w:bodyDiv w:val="1"/>
      <w:marLeft w:val="0"/>
      <w:marRight w:val="0"/>
      <w:marTop w:val="0"/>
      <w:marBottom w:val="0"/>
      <w:divBdr>
        <w:top w:val="none" w:sz="0" w:space="0" w:color="auto"/>
        <w:left w:val="none" w:sz="0" w:space="0" w:color="auto"/>
        <w:bottom w:val="none" w:sz="0" w:space="0" w:color="auto"/>
        <w:right w:val="none" w:sz="0" w:space="0" w:color="auto"/>
      </w:divBdr>
    </w:div>
    <w:div w:id="2018073678">
      <w:bodyDiv w:val="1"/>
      <w:marLeft w:val="0"/>
      <w:marRight w:val="0"/>
      <w:marTop w:val="0"/>
      <w:marBottom w:val="0"/>
      <w:divBdr>
        <w:top w:val="none" w:sz="0" w:space="0" w:color="auto"/>
        <w:left w:val="none" w:sz="0" w:space="0" w:color="auto"/>
        <w:bottom w:val="none" w:sz="0" w:space="0" w:color="auto"/>
        <w:right w:val="none" w:sz="0" w:space="0" w:color="auto"/>
      </w:divBdr>
    </w:div>
    <w:div w:id="206690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hart" Target="charts/chart1.xml"/><Relationship Id="rId21" Type="http://schemas.openxmlformats.org/officeDocument/2006/relationships/hyperlink" Target="https://doi.org/10.3389/ftox.2024.1323681" TargetMode="External"/><Relationship Id="rId42" Type="http://schemas.openxmlformats.org/officeDocument/2006/relationships/hyperlink" Target="https://doi.org/10.3389/feart.2023.1082714" TargetMode="External"/><Relationship Id="rId63" Type="http://schemas.openxmlformats.org/officeDocument/2006/relationships/hyperlink" Target="https://doi.org/10.1186/s40643-025-00930-4" TargetMode="External"/><Relationship Id="rId84" Type="http://schemas.openxmlformats.org/officeDocument/2006/relationships/hyperlink" Target="https://doi.org/10.6088/ijaser.0020101062" TargetMode="External"/><Relationship Id="rId138" Type="http://schemas.openxmlformats.org/officeDocument/2006/relationships/theme" Target="theme/theme1.xml"/><Relationship Id="rId16" Type="http://schemas.openxmlformats.org/officeDocument/2006/relationships/hyperlink" Target="https://doi.org/10.3389/fphar.2021.643972" TargetMode="External"/><Relationship Id="rId107" Type="http://schemas.openxmlformats.org/officeDocument/2006/relationships/hyperlink" Target="https://doi.org/10.1016/j.ecoenv.2020.111245" TargetMode="External"/><Relationship Id="rId11" Type="http://schemas.openxmlformats.org/officeDocument/2006/relationships/hyperlink" Target="https://doi.org/10.1016/j.ecoenv.2024.116189" TargetMode="External"/><Relationship Id="rId32" Type="http://schemas.openxmlformats.org/officeDocument/2006/relationships/hyperlink" Target="https://doi.org/10.1016/j.fmre.2024.10.012" TargetMode="External"/><Relationship Id="rId37" Type="http://schemas.openxmlformats.org/officeDocument/2006/relationships/hyperlink" Target="https://doi.org/10.3390/crops5040040" TargetMode="External"/><Relationship Id="rId53" Type="http://schemas.openxmlformats.org/officeDocument/2006/relationships/hyperlink" Target="https://doi.org/10.3390/land14102030" TargetMode="External"/><Relationship Id="rId58" Type="http://schemas.openxmlformats.org/officeDocument/2006/relationships/hyperlink" Target="https://doi.org/10.3390/plants12142649" TargetMode="External"/><Relationship Id="rId74" Type="http://schemas.openxmlformats.org/officeDocument/2006/relationships/hyperlink" Target="https://doi.org/10.1016/B978-0-443-33329-3.00010-6" TargetMode="External"/><Relationship Id="rId79" Type="http://schemas.openxmlformats.org/officeDocument/2006/relationships/hyperlink" Target="https://doi.org/10.1016/j.chemosphere.2020.127436" TargetMode="External"/><Relationship Id="rId102" Type="http://schemas.openxmlformats.org/officeDocument/2006/relationships/hyperlink" Target="https://doi.org/10.1016/j.rsurfi.2024.100360" TargetMode="External"/><Relationship Id="rId123" Type="http://schemas.openxmlformats.org/officeDocument/2006/relationships/chart" Target="charts/chart7.xml"/><Relationship Id="rId128" Type="http://schemas.openxmlformats.org/officeDocument/2006/relationships/chart" Target="charts/chart12.xml"/><Relationship Id="rId5" Type="http://schemas.openxmlformats.org/officeDocument/2006/relationships/webSettings" Target="webSettings.xml"/><Relationship Id="rId90" Type="http://schemas.openxmlformats.org/officeDocument/2006/relationships/hyperlink" Target="https://doi.org/10.1016/j.ecolind.2024.111621" TargetMode="External"/><Relationship Id="rId95" Type="http://schemas.openxmlformats.org/officeDocument/2006/relationships/hyperlink" Target="https://doi.org/10.1038/s41598-025-07799-5" TargetMode="External"/><Relationship Id="rId22" Type="http://schemas.openxmlformats.org/officeDocument/2006/relationships/hyperlink" Target="https://doi.org/10.1088/1755-1315/807/4/042071" TargetMode="External"/><Relationship Id="rId27" Type="http://schemas.openxmlformats.org/officeDocument/2006/relationships/hyperlink" Target="https://doi.org/10.1016/S0003-2670(00)01123-5" TargetMode="External"/><Relationship Id="rId43" Type="http://schemas.openxmlformats.org/officeDocument/2006/relationships/hyperlink" Target="https://doi.org/10.1029/2019EF001287" TargetMode="External"/><Relationship Id="rId48" Type="http://schemas.openxmlformats.org/officeDocument/2006/relationships/hyperlink" Target="https://doi.org/10.1007/s00204-024-03903-2" TargetMode="External"/><Relationship Id="rId64" Type="http://schemas.openxmlformats.org/officeDocument/2006/relationships/hyperlink" Target="https://doi.org/10.1038/jes.2014.17" TargetMode="External"/><Relationship Id="rId69" Type="http://schemas.openxmlformats.org/officeDocument/2006/relationships/hyperlink" Target="https://doi.org/10.3390/environments1206018" TargetMode="External"/><Relationship Id="rId113" Type="http://schemas.openxmlformats.org/officeDocument/2006/relationships/hyperlink" Target="https://doi.org/10.3390/agronomy12112693" TargetMode="External"/><Relationship Id="rId118" Type="http://schemas.openxmlformats.org/officeDocument/2006/relationships/chart" Target="charts/chart2.xml"/><Relationship Id="rId134" Type="http://schemas.openxmlformats.org/officeDocument/2006/relationships/header" Target="header1.xml"/><Relationship Id="rId80" Type="http://schemas.openxmlformats.org/officeDocument/2006/relationships/hyperlink" Target="https://doi.org/10.1088/1755-1315/889/1/012071" TargetMode="External"/><Relationship Id="rId85" Type="http://schemas.openxmlformats.org/officeDocument/2006/relationships/hyperlink" Target="https://doi.org/10.1007/s40726-015-0004-2" TargetMode="External"/><Relationship Id="rId12" Type="http://schemas.openxmlformats.org/officeDocument/2006/relationships/hyperlink" Target="https://doi.org/10.1016/j.sciaf.2020.e00390" TargetMode="External"/><Relationship Id="rId17" Type="http://schemas.openxmlformats.org/officeDocument/2006/relationships/hyperlink" Target="https://dx.doi.org/10.5772/intechopen.108304" TargetMode="External"/><Relationship Id="rId33" Type="http://schemas.openxmlformats.org/officeDocument/2006/relationships/hyperlink" Target="https://doi.org/10.13140/RG.2.2.32017.68964" TargetMode="External"/><Relationship Id="rId38" Type="http://schemas.openxmlformats.org/officeDocument/2006/relationships/hyperlink" Target="https://doi.org/10.1155/2013/238347" TargetMode="External"/><Relationship Id="rId59" Type="http://schemas.openxmlformats.org/officeDocument/2006/relationships/hyperlink" Target="https://doi.org/10.3390/nu14173478" TargetMode="External"/><Relationship Id="rId103" Type="http://schemas.openxmlformats.org/officeDocument/2006/relationships/hyperlink" Target="https://doi.org/10.1016/j.heliyon.2024.e25113" TargetMode="External"/><Relationship Id="rId108" Type="http://schemas.openxmlformats.org/officeDocument/2006/relationships/hyperlink" Target="https://doi.org/10.1186/s13098-025-01772-y" TargetMode="External"/><Relationship Id="rId124" Type="http://schemas.openxmlformats.org/officeDocument/2006/relationships/chart" Target="charts/chart8.xml"/><Relationship Id="rId129" Type="http://schemas.openxmlformats.org/officeDocument/2006/relationships/image" Target="media/image1.jpeg"/><Relationship Id="rId54" Type="http://schemas.openxmlformats.org/officeDocument/2006/relationships/hyperlink" Target="https://doi.org/10.1016/j.aeolia.2015.09.002" TargetMode="External"/><Relationship Id="rId70" Type="http://schemas.openxmlformats.org/officeDocument/2006/relationships/hyperlink" Target="https://doi.org/10.1016/j.scitotenv.2018.06.090" TargetMode="External"/><Relationship Id="rId75" Type="http://schemas.openxmlformats.org/officeDocument/2006/relationships/hyperlink" Target="https://doi.org/10.9734/ijpss/2023/v35i244297" TargetMode="External"/><Relationship Id="rId91" Type="http://schemas.openxmlformats.org/officeDocument/2006/relationships/hyperlink" Target="https://doi.org/10.1016/j.scitotenv.2024.174460" TargetMode="External"/><Relationship Id="rId96" Type="http://schemas.openxmlformats.org/officeDocument/2006/relationships/hyperlink" Target="https://doi.org/10.3390/encyclopedia5020045"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55863/ijees.2023.294" TargetMode="External"/><Relationship Id="rId28" Type="http://schemas.openxmlformats.org/officeDocument/2006/relationships/hyperlink" Target="https://doi.org/10.1016/B978-0-12-801980-1.00008-8" TargetMode="External"/><Relationship Id="rId49" Type="http://schemas.openxmlformats.org/officeDocument/2006/relationships/hyperlink" Target="https://doi.org/10.1016/j.scitotenv.2025.180460" TargetMode="External"/><Relationship Id="rId114" Type="http://schemas.openxmlformats.org/officeDocument/2006/relationships/hyperlink" Target="https://doi.org/10.3303/CET1655072" TargetMode="External"/><Relationship Id="rId119" Type="http://schemas.openxmlformats.org/officeDocument/2006/relationships/chart" Target="charts/chart3.xml"/><Relationship Id="rId44" Type="http://schemas.openxmlformats.org/officeDocument/2006/relationships/hyperlink" Target="https://doi.org/10.3390/plants13030358" TargetMode="External"/><Relationship Id="rId60" Type="http://schemas.openxmlformats.org/officeDocument/2006/relationships/hyperlink" Target="https://doi.org/10.1016/j.totert.2023.100025" TargetMode="External"/><Relationship Id="rId65" Type="http://schemas.openxmlformats.org/officeDocument/2006/relationships/hyperlink" Target="https://doi.org/10.59400/jts.v2i1.1135" TargetMode="External"/><Relationship Id="rId81" Type="http://schemas.openxmlformats.org/officeDocument/2006/relationships/hyperlink" Target="https://doi.org/10.1016/j.tplants.2025.01.009" TargetMode="External"/><Relationship Id="rId86" Type="http://schemas.openxmlformats.org/officeDocument/2006/relationships/hyperlink" Target="https://doi.org/10.3390/molecules27061983" TargetMode="External"/><Relationship Id="rId130" Type="http://schemas.openxmlformats.org/officeDocument/2006/relationships/image" Target="media/image2.jpeg"/><Relationship Id="rId135" Type="http://schemas.openxmlformats.org/officeDocument/2006/relationships/header" Target="header2.xml"/><Relationship Id="rId13" Type="http://schemas.openxmlformats.org/officeDocument/2006/relationships/hyperlink" Target="https://doi.org/10.3389/fpls.2023.1285512" TargetMode="External"/><Relationship Id="rId18" Type="http://schemas.openxmlformats.org/officeDocument/2006/relationships/hyperlink" Target="https://doi.org/10.1016/j.heliyon.2020.e04691" TargetMode="External"/><Relationship Id="rId39" Type="http://schemas.openxmlformats.org/officeDocument/2006/relationships/hyperlink" Target="https://doi.org/10.1111/sum.12270" TargetMode="External"/><Relationship Id="rId109" Type="http://schemas.openxmlformats.org/officeDocument/2006/relationships/hyperlink" Target="https://doi.org/10.1016/j.ecoenv.2025.117703" TargetMode="External"/><Relationship Id="rId34" Type="http://schemas.openxmlformats.org/officeDocument/2006/relationships/hyperlink" Target="https://doi.org/10.1016/j.scitotenv.2020.139434" TargetMode="External"/><Relationship Id="rId50" Type="http://schemas.openxmlformats.org/officeDocument/2006/relationships/hyperlink" Target="https://doi.org/10.3390/ma18071422" TargetMode="External"/><Relationship Id="rId55" Type="http://schemas.openxmlformats.org/officeDocument/2006/relationships/hyperlink" Target="https://doi.org/10.1002/cft2.20210" TargetMode="External"/><Relationship Id="rId76" Type="http://schemas.openxmlformats.org/officeDocument/2006/relationships/hyperlink" Target="https://doi.org/10.1016/j.envadv.2024.100603" TargetMode="External"/><Relationship Id="rId97" Type="http://schemas.openxmlformats.org/officeDocument/2006/relationships/hyperlink" Target="https://doi.org/10.1016/B978-0-12-409548-9.11153-4" TargetMode="External"/><Relationship Id="rId104" Type="http://schemas.openxmlformats.org/officeDocument/2006/relationships/hyperlink" Target="https://doi.org/10.1016/j.ecoenv.2022.113669" TargetMode="External"/><Relationship Id="rId120" Type="http://schemas.openxmlformats.org/officeDocument/2006/relationships/chart" Target="charts/chart4.xml"/><Relationship Id="rId125" Type="http://schemas.openxmlformats.org/officeDocument/2006/relationships/chart" Target="charts/chart9.xml"/><Relationship Id="rId7" Type="http://schemas.openxmlformats.org/officeDocument/2006/relationships/endnotes" Target="endnotes.xml"/><Relationship Id="rId71" Type="http://schemas.openxmlformats.org/officeDocument/2006/relationships/hyperlink" Target="https://doi.org/10.1186/s12889-021-11217-6" TargetMode="External"/><Relationship Id="rId92" Type="http://schemas.openxmlformats.org/officeDocument/2006/relationships/hyperlink" Target="https://doi.org/10.1016/B978-0-443-14034-1.00009-5" TargetMode="External"/><Relationship Id="rId2" Type="http://schemas.openxmlformats.org/officeDocument/2006/relationships/numbering" Target="numbering.xml"/><Relationship Id="rId29" Type="http://schemas.openxmlformats.org/officeDocument/2006/relationships/hyperlink" Target="https://doi.org/10.1016/j.hazl.2022.100064" TargetMode="External"/><Relationship Id="rId24" Type="http://schemas.openxmlformats.org/officeDocument/2006/relationships/hyperlink" Target="https://doi.org/10.3390/ijms232112950" TargetMode="External"/><Relationship Id="rId40" Type="http://schemas.openxmlformats.org/officeDocument/2006/relationships/hyperlink" Target="https://doi.org/10.1088/1755-1315/723/3/032060" TargetMode="External"/><Relationship Id="rId45" Type="http://schemas.openxmlformats.org/officeDocument/2006/relationships/hyperlink" Target="https://doi.org/10.1038/s43017-020-0061-y" TargetMode="External"/><Relationship Id="rId66" Type="http://schemas.openxmlformats.org/officeDocument/2006/relationships/hyperlink" Target="https://doi.org/10.3390/ijms140510197" TargetMode="External"/><Relationship Id="rId87" Type="http://schemas.openxmlformats.org/officeDocument/2006/relationships/hyperlink" Target="https://doi.org/10.1016/j.engeos.2022.03.003" TargetMode="External"/><Relationship Id="rId110" Type="http://schemas.openxmlformats.org/officeDocument/2006/relationships/hyperlink" Target="https://doi.org/10.3390/app11094212" TargetMode="External"/><Relationship Id="rId115" Type="http://schemas.openxmlformats.org/officeDocument/2006/relationships/hyperlink" Target="https://doi.org/10.1016/j.scitotenv.2017.08.095" TargetMode="External"/><Relationship Id="rId131" Type="http://schemas.openxmlformats.org/officeDocument/2006/relationships/image" Target="media/image3.jpeg"/><Relationship Id="rId136" Type="http://schemas.openxmlformats.org/officeDocument/2006/relationships/header" Target="header3.xml"/><Relationship Id="rId61" Type="http://schemas.openxmlformats.org/officeDocument/2006/relationships/hyperlink" Target="https://doi.org/10.3389/fenvs.2019.00074" TargetMode="External"/><Relationship Id="rId82" Type="http://schemas.openxmlformats.org/officeDocument/2006/relationships/hyperlink" Target="https://doi.org/10.1016/j.heliyon.2023.e19496" TargetMode="External"/><Relationship Id="rId19" Type="http://schemas.openxmlformats.org/officeDocument/2006/relationships/hyperlink" Target="https://doi.org/10.1079/9780851990989.0015" TargetMode="External"/><Relationship Id="rId14" Type="http://schemas.openxmlformats.org/officeDocument/2006/relationships/hyperlink" Target="https://doi.org/10.3390/agronomy12112643" TargetMode="External"/><Relationship Id="rId30" Type="http://schemas.openxmlformats.org/officeDocument/2006/relationships/hyperlink" Target="https://doi.org/10.1016/j.indic.2020.100047" TargetMode="External"/><Relationship Id="rId35" Type="http://schemas.openxmlformats.org/officeDocument/2006/relationships/hyperlink" Target="https://doi.org/10.1186/s12937-023-00888-z" TargetMode="External"/><Relationship Id="rId56" Type="http://schemas.openxmlformats.org/officeDocument/2006/relationships/hyperlink" Target="https://doi.org/10.1038/s41598-021-02521-7" TargetMode="External"/><Relationship Id="rId77" Type="http://schemas.openxmlformats.org/officeDocument/2006/relationships/hyperlink" Target="https://doi.org/10.3390/ijerph18168423" TargetMode="External"/><Relationship Id="rId100" Type="http://schemas.openxmlformats.org/officeDocument/2006/relationships/hyperlink" Target="https://doi.org/10.1029/2021RG000763" TargetMode="External"/><Relationship Id="rId105" Type="http://schemas.openxmlformats.org/officeDocument/2006/relationships/hyperlink" Target="https://doi.org/10.1021/acs.est.1c07051" TargetMode="External"/><Relationship Id="rId126" Type="http://schemas.openxmlformats.org/officeDocument/2006/relationships/chart" Target="charts/chart10.xml"/><Relationship Id="rId8" Type="http://schemas.openxmlformats.org/officeDocument/2006/relationships/hyperlink" Target="https://doi.org/10.1016/j.apgeochem.2011.05.003" TargetMode="External"/><Relationship Id="rId51" Type="http://schemas.openxmlformats.org/officeDocument/2006/relationships/hyperlink" Target="https://doi.org/10.1007/978-3-319-53121-2_61-1" TargetMode="External"/><Relationship Id="rId72" Type="http://schemas.openxmlformats.org/officeDocument/2006/relationships/hyperlink" Target="https://doi.org/10.1016/j.hazadv.2023.100264" TargetMode="External"/><Relationship Id="rId93" Type="http://schemas.openxmlformats.org/officeDocument/2006/relationships/hyperlink" Target="https://doi.org/10.3390/pollutants5040037" TargetMode="External"/><Relationship Id="rId98" Type="http://schemas.openxmlformats.org/officeDocument/2006/relationships/hyperlink" Target="https://doi.org/10.1007/978-3-7643-8340-4_6" TargetMode="External"/><Relationship Id="rId121" Type="http://schemas.openxmlformats.org/officeDocument/2006/relationships/chart" Target="charts/chart5.xml"/><Relationship Id="rId3" Type="http://schemas.openxmlformats.org/officeDocument/2006/relationships/styles" Target="styles.xml"/><Relationship Id="rId25" Type="http://schemas.openxmlformats.org/officeDocument/2006/relationships/hyperlink" Target="https://doi.org/10.3390/ijms251910409" TargetMode="External"/><Relationship Id="rId46" Type="http://schemas.openxmlformats.org/officeDocument/2006/relationships/hyperlink" Target="https://doi.org/10.1016/B978-0-12-386464-2.00017-3" TargetMode="External"/><Relationship Id="rId67" Type="http://schemas.openxmlformats.org/officeDocument/2006/relationships/hyperlink" Target="https://doi.org/10.1038/s41598-023-33986-3" TargetMode="External"/><Relationship Id="rId116" Type="http://schemas.openxmlformats.org/officeDocument/2006/relationships/hyperlink" Target="https://doi.org/10.1016/j.soilbio.2019.107636" TargetMode="External"/><Relationship Id="rId137" Type="http://schemas.openxmlformats.org/officeDocument/2006/relationships/fontTable" Target="fontTable.xml"/><Relationship Id="rId20" Type="http://schemas.openxmlformats.org/officeDocument/2006/relationships/hyperlink" Target="https://doi.org/10.1016/j.scienta.2021.110310" TargetMode="External"/><Relationship Id="rId41" Type="http://schemas.openxmlformats.org/officeDocument/2006/relationships/hyperlink" Target="https://doi.org/10.18805/ag.D-5596" TargetMode="External"/><Relationship Id="rId62" Type="http://schemas.openxmlformats.org/officeDocument/2006/relationships/hyperlink" Target="https://doi.org/10.3390/toxics13050333" TargetMode="External"/><Relationship Id="rId83" Type="http://schemas.openxmlformats.org/officeDocument/2006/relationships/hyperlink" Target="https://doi.org/10.1016/j.wasman.2016.07.031" TargetMode="External"/><Relationship Id="rId88" Type="http://schemas.openxmlformats.org/officeDocument/2006/relationships/hyperlink" Target="https://doi.org/10.1098/rstb.2020.0181" TargetMode="External"/><Relationship Id="rId111" Type="http://schemas.openxmlformats.org/officeDocument/2006/relationships/hyperlink" Target="https://doi.org/10.1371/journal.pone.0316840" TargetMode="External"/><Relationship Id="rId132" Type="http://schemas.openxmlformats.org/officeDocument/2006/relationships/image" Target="media/image4.jpeg"/><Relationship Id="rId15" Type="http://schemas.openxmlformats.org/officeDocument/2006/relationships/hyperlink" Target="https://doi.org/10.1016/j.hazadv.2025.100846" TargetMode="External"/><Relationship Id="rId36" Type="http://schemas.openxmlformats.org/officeDocument/2006/relationships/hyperlink" Target="https://doi.org/10.1021/acs.chemrestox.5b00421" TargetMode="External"/><Relationship Id="rId57" Type="http://schemas.openxmlformats.org/officeDocument/2006/relationships/hyperlink" Target="https://doi.org/10.1016/B978-0-12-822974-3.00198-1" TargetMode="External"/><Relationship Id="rId106" Type="http://schemas.openxmlformats.org/officeDocument/2006/relationships/hyperlink" Target="https://doi.org/10.1515/intox-2015-0009" TargetMode="External"/><Relationship Id="rId127" Type="http://schemas.openxmlformats.org/officeDocument/2006/relationships/chart" Target="charts/chart11.xml"/><Relationship Id="rId10" Type="http://schemas.openxmlformats.org/officeDocument/2006/relationships/hyperlink" Target="https://doi.org/10.1016/j.sajb.2016.09.002" TargetMode="External"/><Relationship Id="rId31" Type="http://schemas.openxmlformats.org/officeDocument/2006/relationships/hyperlink" Target="https://doi.org/10.1016/j.geoderma.2023.116457" TargetMode="External"/><Relationship Id="rId52" Type="http://schemas.openxmlformats.org/officeDocument/2006/relationships/hyperlink" Target="https://doi.org/10.1016/j.cosust.2012.10.007" TargetMode="External"/><Relationship Id="rId73" Type="http://schemas.openxmlformats.org/officeDocument/2006/relationships/hyperlink" Target="https://doi.org/10.1007/s12649-016-9516-2" TargetMode="External"/><Relationship Id="rId78" Type="http://schemas.openxmlformats.org/officeDocument/2006/relationships/hyperlink" Target="https://doi.org/10.20546/ijcmas.2017.612.038" TargetMode="External"/><Relationship Id="rId94" Type="http://schemas.openxmlformats.org/officeDocument/2006/relationships/hyperlink" Target="https://doi.org/10.1111/ejss.12451" TargetMode="External"/><Relationship Id="rId99" Type="http://schemas.openxmlformats.org/officeDocument/2006/relationships/hyperlink" Target="https://doi.org/10.1007/s10653-020-00550-1" TargetMode="External"/><Relationship Id="rId101" Type="http://schemas.openxmlformats.org/officeDocument/2006/relationships/hyperlink" Target="https://doi.org/10.1016/j.soilbio.2024.109354" TargetMode="External"/><Relationship Id="rId122"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yperlink" Target="https://doi.org/10.1098/rspb.2008.1960" TargetMode="External"/><Relationship Id="rId26" Type="http://schemas.openxmlformats.org/officeDocument/2006/relationships/hyperlink" Target="https://doi.org/10.1016/j.catena.2025.108976" TargetMode="External"/><Relationship Id="rId47" Type="http://schemas.openxmlformats.org/officeDocument/2006/relationships/hyperlink" Target="https://doi.org/10.1016/j.cppeds.2019.03.002" TargetMode="External"/><Relationship Id="rId68" Type="http://schemas.openxmlformats.org/officeDocument/2006/relationships/hyperlink" Target="https://doi.org/10.35724/maef-j.v1i2.1847" TargetMode="External"/><Relationship Id="rId89" Type="http://schemas.openxmlformats.org/officeDocument/2006/relationships/hyperlink" Target="https://doi.org/10.3390/agriengineering7030058" TargetMode="External"/><Relationship Id="rId112" Type="http://schemas.openxmlformats.org/officeDocument/2006/relationships/hyperlink" Target="https://doi.org/10.1016/j.catena.2021.105766" TargetMode="External"/><Relationship Id="rId133" Type="http://schemas.openxmlformats.org/officeDocument/2006/relationships/image" Target="media/image5.jpeg"/></Relationships>
</file>

<file path=word/charts/_rels/chart1.xml.rels><?xml version="1.0" encoding="UTF-8" standalone="yes"?>
<Relationships xmlns="http://schemas.openxmlformats.org/package/2006/relationships"><Relationship Id="rId2" Type="http://schemas.openxmlformats.org/officeDocument/2006/relationships/oleObject" Target="file:///C:\Users\Home\Desktop\Report%20graph.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C:\Users\Home\Desktop\Book1.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Home\Desktop\Report%20graph.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Home\Desktop\Report%20graph.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Home\Desktop\Report%20graph.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Home\Desktop\Report%20graph.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Home\Desktop\Report%20graph.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p H</c:v>
                </c:pt>
              </c:strCache>
            </c:strRef>
          </c:tx>
          <c:spPr>
            <a:solidFill>
              <a:schemeClr val="accent6">
                <a:lumMod val="75000"/>
              </a:schemeClr>
            </a:solidFill>
          </c:spPr>
          <c:invertIfNegative val="0"/>
          <c:dPt>
            <c:idx val="1"/>
            <c:invertIfNegative val="0"/>
            <c:bubble3D val="0"/>
            <c:spPr>
              <a:solidFill>
                <a:schemeClr val="accent5">
                  <a:lumMod val="75000"/>
                </a:schemeClr>
              </a:solidFill>
            </c:spPr>
            <c:extLst>
              <c:ext xmlns:c16="http://schemas.microsoft.com/office/drawing/2014/chart" uri="{C3380CC4-5D6E-409C-BE32-E72D297353CC}">
                <c16:uniqueId val="{00000001-03CF-4E02-8BD4-21F3FE5EE34F}"/>
              </c:ext>
            </c:extLst>
          </c:dPt>
          <c:dPt>
            <c:idx val="2"/>
            <c:invertIfNegative val="0"/>
            <c:bubble3D val="0"/>
            <c:spPr>
              <a:solidFill>
                <a:schemeClr val="accent3">
                  <a:lumMod val="75000"/>
                </a:schemeClr>
              </a:solidFill>
            </c:spPr>
            <c:extLst>
              <c:ext xmlns:c16="http://schemas.microsoft.com/office/drawing/2014/chart" uri="{C3380CC4-5D6E-409C-BE32-E72D297353CC}">
                <c16:uniqueId val="{00000003-03CF-4E02-8BD4-21F3FE5EE34F}"/>
              </c:ext>
            </c:extLst>
          </c:dPt>
          <c:dPt>
            <c:idx val="3"/>
            <c:invertIfNegative val="0"/>
            <c:bubble3D val="0"/>
            <c:spPr>
              <a:solidFill>
                <a:srgbClr val="EB31C8"/>
              </a:solidFill>
            </c:spPr>
            <c:extLst>
              <c:ext xmlns:c16="http://schemas.microsoft.com/office/drawing/2014/chart" uri="{C3380CC4-5D6E-409C-BE32-E72D297353CC}">
                <c16:uniqueId val="{00000005-03CF-4E02-8BD4-21F3FE5EE34F}"/>
              </c:ext>
            </c:extLst>
          </c:dPt>
          <c:cat>
            <c:strRef>
              <c:f>Sheet1!$A$2:$A$5</c:f>
              <c:strCache>
                <c:ptCount val="4"/>
                <c:pt idx="0">
                  <c:v>Agricultural field</c:v>
                </c:pt>
                <c:pt idx="1">
                  <c:v>Waste dumped area</c:v>
                </c:pt>
                <c:pt idx="2">
                  <c:v>Industrial area</c:v>
                </c:pt>
                <c:pt idx="3">
                  <c:v>Residential area</c:v>
                </c:pt>
              </c:strCache>
            </c:strRef>
          </c:cat>
          <c:val>
            <c:numRef>
              <c:f>Sheet1!$B$2:$B$5</c:f>
              <c:numCache>
                <c:formatCode>General</c:formatCode>
                <c:ptCount val="4"/>
                <c:pt idx="0">
                  <c:v>7.05</c:v>
                </c:pt>
                <c:pt idx="1">
                  <c:v>8.91</c:v>
                </c:pt>
                <c:pt idx="2">
                  <c:v>8.27</c:v>
                </c:pt>
                <c:pt idx="3">
                  <c:v>8.7200000000000006</c:v>
                </c:pt>
              </c:numCache>
            </c:numRef>
          </c:val>
          <c:extLst>
            <c:ext xmlns:c16="http://schemas.microsoft.com/office/drawing/2014/chart" uri="{C3380CC4-5D6E-409C-BE32-E72D297353CC}">
              <c16:uniqueId val="{00000006-03CF-4E02-8BD4-21F3FE5EE34F}"/>
            </c:ext>
          </c:extLst>
        </c:ser>
        <c:dLbls>
          <c:showLegendKey val="0"/>
          <c:showVal val="0"/>
          <c:showCatName val="0"/>
          <c:showSerName val="0"/>
          <c:showPercent val="0"/>
          <c:showBubbleSize val="0"/>
        </c:dLbls>
        <c:gapWidth val="150"/>
        <c:shape val="box"/>
        <c:axId val="173682048"/>
        <c:axId val="173683840"/>
        <c:axId val="0"/>
      </c:bar3DChart>
      <c:catAx>
        <c:axId val="173682048"/>
        <c:scaling>
          <c:orientation val="minMax"/>
        </c:scaling>
        <c:delete val="0"/>
        <c:axPos val="b"/>
        <c:numFmt formatCode="General" sourceLinked="0"/>
        <c:majorTickMark val="out"/>
        <c:minorTickMark val="none"/>
        <c:tickLblPos val="nextTo"/>
        <c:crossAx val="173683840"/>
        <c:crosses val="autoZero"/>
        <c:auto val="1"/>
        <c:lblAlgn val="ctr"/>
        <c:lblOffset val="100"/>
        <c:noMultiLvlLbl val="0"/>
      </c:catAx>
      <c:valAx>
        <c:axId val="173683840"/>
        <c:scaling>
          <c:orientation val="minMax"/>
        </c:scaling>
        <c:delete val="0"/>
        <c:axPos val="l"/>
        <c:majorGridlines/>
        <c:numFmt formatCode="General" sourceLinked="1"/>
        <c:majorTickMark val="out"/>
        <c:minorTickMark val="none"/>
        <c:tickLblPos val="nextTo"/>
        <c:crossAx val="173682048"/>
        <c:crosses val="autoZero"/>
        <c:crossBetween val="between"/>
      </c:valAx>
    </c:plotArea>
    <c:legend>
      <c:legendPos val="r"/>
      <c:overlay val="0"/>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Copper in ppm</c:v>
                </c:pt>
              </c:strCache>
            </c:strRef>
          </c:tx>
          <c:invertIfNegative val="0"/>
          <c:dPt>
            <c:idx val="1"/>
            <c:invertIfNegative val="0"/>
            <c:bubble3D val="0"/>
            <c:spPr>
              <a:solidFill>
                <a:schemeClr val="accent6">
                  <a:lumMod val="75000"/>
                </a:schemeClr>
              </a:solidFill>
            </c:spPr>
            <c:extLst>
              <c:ext xmlns:c16="http://schemas.microsoft.com/office/drawing/2014/chart" uri="{C3380CC4-5D6E-409C-BE32-E72D297353CC}">
                <c16:uniqueId val="{00000001-4496-4BC5-B826-11653D2A690F}"/>
              </c:ext>
            </c:extLst>
          </c:dPt>
          <c:dPt>
            <c:idx val="2"/>
            <c:invertIfNegative val="0"/>
            <c:bubble3D val="0"/>
            <c:spPr>
              <a:solidFill>
                <a:srgbClr val="FF00FF"/>
              </a:solidFill>
            </c:spPr>
            <c:extLst>
              <c:ext xmlns:c16="http://schemas.microsoft.com/office/drawing/2014/chart" uri="{C3380CC4-5D6E-409C-BE32-E72D297353CC}">
                <c16:uniqueId val="{00000003-4496-4BC5-B826-11653D2A690F}"/>
              </c:ext>
            </c:extLst>
          </c:dPt>
          <c:dPt>
            <c:idx val="3"/>
            <c:invertIfNegative val="0"/>
            <c:bubble3D val="0"/>
            <c:spPr>
              <a:solidFill>
                <a:schemeClr val="accent3">
                  <a:lumMod val="75000"/>
                </a:schemeClr>
              </a:solidFill>
            </c:spPr>
            <c:extLst>
              <c:ext xmlns:c16="http://schemas.microsoft.com/office/drawing/2014/chart" uri="{C3380CC4-5D6E-409C-BE32-E72D297353CC}">
                <c16:uniqueId val="{00000005-4496-4BC5-B826-11653D2A690F}"/>
              </c:ext>
            </c:extLst>
          </c:dPt>
          <c:cat>
            <c:strRef>
              <c:f>Sheet1!$A$2:$A$5</c:f>
              <c:strCache>
                <c:ptCount val="4"/>
                <c:pt idx="0">
                  <c:v>Agricultural field</c:v>
                </c:pt>
                <c:pt idx="1">
                  <c:v>Waste dumped area</c:v>
                </c:pt>
                <c:pt idx="2">
                  <c:v>Industrial area</c:v>
                </c:pt>
                <c:pt idx="3">
                  <c:v>Residential area</c:v>
                </c:pt>
              </c:strCache>
            </c:strRef>
          </c:cat>
          <c:val>
            <c:numRef>
              <c:f>Sheet1!$B$2:$B$5</c:f>
              <c:numCache>
                <c:formatCode>General</c:formatCode>
                <c:ptCount val="4"/>
                <c:pt idx="0">
                  <c:v>0</c:v>
                </c:pt>
                <c:pt idx="1">
                  <c:v>20.21</c:v>
                </c:pt>
                <c:pt idx="2">
                  <c:v>62.61</c:v>
                </c:pt>
                <c:pt idx="3">
                  <c:v>19.2</c:v>
                </c:pt>
              </c:numCache>
            </c:numRef>
          </c:val>
          <c:extLst>
            <c:ext xmlns:c16="http://schemas.microsoft.com/office/drawing/2014/chart" uri="{C3380CC4-5D6E-409C-BE32-E72D297353CC}">
              <c16:uniqueId val="{00000006-4496-4BC5-B826-11653D2A690F}"/>
            </c:ext>
          </c:extLst>
        </c:ser>
        <c:dLbls>
          <c:showLegendKey val="0"/>
          <c:showVal val="0"/>
          <c:showCatName val="0"/>
          <c:showSerName val="0"/>
          <c:showPercent val="0"/>
          <c:showBubbleSize val="0"/>
        </c:dLbls>
        <c:gapWidth val="150"/>
        <c:shape val="box"/>
        <c:axId val="305413120"/>
        <c:axId val="305435392"/>
        <c:axId val="0"/>
      </c:bar3DChart>
      <c:catAx>
        <c:axId val="305413120"/>
        <c:scaling>
          <c:orientation val="minMax"/>
        </c:scaling>
        <c:delete val="0"/>
        <c:axPos val="b"/>
        <c:numFmt formatCode="General" sourceLinked="0"/>
        <c:majorTickMark val="out"/>
        <c:minorTickMark val="none"/>
        <c:tickLblPos val="nextTo"/>
        <c:crossAx val="305435392"/>
        <c:crosses val="autoZero"/>
        <c:auto val="1"/>
        <c:lblAlgn val="ctr"/>
        <c:lblOffset val="100"/>
        <c:noMultiLvlLbl val="0"/>
      </c:catAx>
      <c:valAx>
        <c:axId val="305435392"/>
        <c:scaling>
          <c:orientation val="minMax"/>
        </c:scaling>
        <c:delete val="0"/>
        <c:axPos val="l"/>
        <c:majorGridlines/>
        <c:numFmt formatCode="General" sourceLinked="1"/>
        <c:majorTickMark val="out"/>
        <c:minorTickMark val="none"/>
        <c:tickLblPos val="nextTo"/>
        <c:crossAx val="305413120"/>
        <c:crosses val="autoZero"/>
        <c:crossBetween val="between"/>
      </c:valAx>
    </c:plotArea>
    <c:legend>
      <c:legendPos val="r"/>
      <c:overlay val="0"/>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Iron in percentage</c:v>
                </c:pt>
              </c:strCache>
            </c:strRef>
          </c:tx>
          <c:invertIfNegative val="0"/>
          <c:dPt>
            <c:idx val="1"/>
            <c:invertIfNegative val="0"/>
            <c:bubble3D val="0"/>
            <c:spPr>
              <a:solidFill>
                <a:schemeClr val="accent6">
                  <a:lumMod val="75000"/>
                </a:schemeClr>
              </a:solidFill>
            </c:spPr>
            <c:extLst>
              <c:ext xmlns:c16="http://schemas.microsoft.com/office/drawing/2014/chart" uri="{C3380CC4-5D6E-409C-BE32-E72D297353CC}">
                <c16:uniqueId val="{00000001-C470-48C3-A14F-EE0866603479}"/>
              </c:ext>
            </c:extLst>
          </c:dPt>
          <c:dPt>
            <c:idx val="2"/>
            <c:invertIfNegative val="0"/>
            <c:bubble3D val="0"/>
            <c:spPr>
              <a:solidFill>
                <a:srgbClr val="FF00FF"/>
              </a:solidFill>
            </c:spPr>
            <c:extLst>
              <c:ext xmlns:c16="http://schemas.microsoft.com/office/drawing/2014/chart" uri="{C3380CC4-5D6E-409C-BE32-E72D297353CC}">
                <c16:uniqueId val="{00000003-C470-48C3-A14F-EE0866603479}"/>
              </c:ext>
            </c:extLst>
          </c:dPt>
          <c:dPt>
            <c:idx val="3"/>
            <c:invertIfNegative val="0"/>
            <c:bubble3D val="0"/>
            <c:spPr>
              <a:solidFill>
                <a:schemeClr val="accent3">
                  <a:lumMod val="75000"/>
                </a:schemeClr>
              </a:solidFill>
            </c:spPr>
            <c:extLst>
              <c:ext xmlns:c16="http://schemas.microsoft.com/office/drawing/2014/chart" uri="{C3380CC4-5D6E-409C-BE32-E72D297353CC}">
                <c16:uniqueId val="{00000005-C470-48C3-A14F-EE0866603479}"/>
              </c:ext>
            </c:extLst>
          </c:dPt>
          <c:cat>
            <c:strRef>
              <c:f>Sheet1!$A$2:$A$5</c:f>
              <c:strCache>
                <c:ptCount val="4"/>
                <c:pt idx="0">
                  <c:v>Agricultural field</c:v>
                </c:pt>
                <c:pt idx="1">
                  <c:v>Waste dumped area</c:v>
                </c:pt>
                <c:pt idx="2">
                  <c:v>Industrial area</c:v>
                </c:pt>
                <c:pt idx="3">
                  <c:v>Residential area</c:v>
                </c:pt>
              </c:strCache>
            </c:strRef>
          </c:cat>
          <c:val>
            <c:numRef>
              <c:f>Sheet1!$B$2:$B$5</c:f>
              <c:numCache>
                <c:formatCode>General</c:formatCode>
                <c:ptCount val="4"/>
                <c:pt idx="0">
                  <c:v>0</c:v>
                </c:pt>
                <c:pt idx="1">
                  <c:v>0.02</c:v>
                </c:pt>
                <c:pt idx="2">
                  <c:v>0.01</c:v>
                </c:pt>
                <c:pt idx="3">
                  <c:v>0</c:v>
                </c:pt>
              </c:numCache>
            </c:numRef>
          </c:val>
          <c:extLst>
            <c:ext xmlns:c16="http://schemas.microsoft.com/office/drawing/2014/chart" uri="{C3380CC4-5D6E-409C-BE32-E72D297353CC}">
              <c16:uniqueId val="{00000006-C470-48C3-A14F-EE0866603479}"/>
            </c:ext>
          </c:extLst>
        </c:ser>
        <c:dLbls>
          <c:showLegendKey val="0"/>
          <c:showVal val="0"/>
          <c:showCatName val="0"/>
          <c:showSerName val="0"/>
          <c:showPercent val="0"/>
          <c:showBubbleSize val="0"/>
        </c:dLbls>
        <c:gapWidth val="150"/>
        <c:shape val="box"/>
        <c:axId val="305541120"/>
        <c:axId val="305542656"/>
        <c:axId val="0"/>
      </c:bar3DChart>
      <c:catAx>
        <c:axId val="305541120"/>
        <c:scaling>
          <c:orientation val="minMax"/>
        </c:scaling>
        <c:delete val="0"/>
        <c:axPos val="b"/>
        <c:numFmt formatCode="General" sourceLinked="0"/>
        <c:majorTickMark val="out"/>
        <c:minorTickMark val="none"/>
        <c:tickLblPos val="nextTo"/>
        <c:crossAx val="305542656"/>
        <c:crosses val="autoZero"/>
        <c:auto val="1"/>
        <c:lblAlgn val="ctr"/>
        <c:lblOffset val="100"/>
        <c:noMultiLvlLbl val="0"/>
      </c:catAx>
      <c:valAx>
        <c:axId val="305542656"/>
        <c:scaling>
          <c:orientation val="minMax"/>
        </c:scaling>
        <c:delete val="0"/>
        <c:axPos val="l"/>
        <c:majorGridlines/>
        <c:numFmt formatCode="General" sourceLinked="1"/>
        <c:majorTickMark val="out"/>
        <c:minorTickMark val="none"/>
        <c:tickLblPos val="nextTo"/>
        <c:crossAx val="305541120"/>
        <c:crosses val="autoZero"/>
        <c:crossBetween val="between"/>
      </c:valAx>
    </c:plotArea>
    <c:legend>
      <c:legendPos val="r"/>
      <c:overlay val="0"/>
    </c:legend>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Sheet7!$B$1</c:f>
              <c:strCache>
                <c:ptCount val="1"/>
                <c:pt idx="0">
                  <c:v>ACIDITY</c:v>
                </c:pt>
              </c:strCache>
            </c:strRef>
          </c:tx>
          <c:invertIfNegative val="0"/>
          <c:dPt>
            <c:idx val="0"/>
            <c:invertIfNegative val="0"/>
            <c:bubble3D val="0"/>
            <c:spPr>
              <a:solidFill>
                <a:schemeClr val="accent6">
                  <a:lumMod val="75000"/>
                </a:schemeClr>
              </a:solidFill>
            </c:spPr>
            <c:extLst>
              <c:ext xmlns:c16="http://schemas.microsoft.com/office/drawing/2014/chart" uri="{C3380CC4-5D6E-409C-BE32-E72D297353CC}">
                <c16:uniqueId val="{00000001-96E2-4475-9246-93F27B34BAF3}"/>
              </c:ext>
            </c:extLst>
          </c:dPt>
          <c:dPt>
            <c:idx val="1"/>
            <c:invertIfNegative val="0"/>
            <c:bubble3D val="0"/>
            <c:spPr>
              <a:solidFill>
                <a:schemeClr val="accent5">
                  <a:lumMod val="75000"/>
                </a:schemeClr>
              </a:solidFill>
            </c:spPr>
            <c:extLst>
              <c:ext xmlns:c16="http://schemas.microsoft.com/office/drawing/2014/chart" uri="{C3380CC4-5D6E-409C-BE32-E72D297353CC}">
                <c16:uniqueId val="{00000003-96E2-4475-9246-93F27B34BAF3}"/>
              </c:ext>
            </c:extLst>
          </c:dPt>
          <c:dPt>
            <c:idx val="2"/>
            <c:invertIfNegative val="0"/>
            <c:bubble3D val="0"/>
            <c:spPr>
              <a:solidFill>
                <a:schemeClr val="accent3">
                  <a:lumMod val="75000"/>
                </a:schemeClr>
              </a:solidFill>
            </c:spPr>
            <c:extLst>
              <c:ext xmlns:c16="http://schemas.microsoft.com/office/drawing/2014/chart" uri="{C3380CC4-5D6E-409C-BE32-E72D297353CC}">
                <c16:uniqueId val="{00000005-96E2-4475-9246-93F27B34BAF3}"/>
              </c:ext>
            </c:extLst>
          </c:dPt>
          <c:dPt>
            <c:idx val="3"/>
            <c:invertIfNegative val="0"/>
            <c:bubble3D val="0"/>
            <c:spPr>
              <a:solidFill>
                <a:srgbClr val="EB31C8"/>
              </a:solidFill>
            </c:spPr>
            <c:extLst>
              <c:ext xmlns:c16="http://schemas.microsoft.com/office/drawing/2014/chart" uri="{C3380CC4-5D6E-409C-BE32-E72D297353CC}">
                <c16:uniqueId val="{00000007-96E2-4475-9246-93F27B34BAF3}"/>
              </c:ext>
            </c:extLst>
          </c:dPt>
          <c:cat>
            <c:strRef>
              <c:f>Sheet7!$A$2:$A$5</c:f>
              <c:strCache>
                <c:ptCount val="4"/>
                <c:pt idx="0">
                  <c:v>Agricultural field</c:v>
                </c:pt>
                <c:pt idx="1">
                  <c:v>Waste dumped area</c:v>
                </c:pt>
                <c:pt idx="2">
                  <c:v>Industrial area</c:v>
                </c:pt>
                <c:pt idx="3">
                  <c:v>Residential area</c:v>
                </c:pt>
              </c:strCache>
            </c:strRef>
          </c:cat>
          <c:val>
            <c:numRef>
              <c:f>Sheet7!$B$2:$B$5</c:f>
              <c:numCache>
                <c:formatCode>General</c:formatCode>
                <c:ptCount val="4"/>
                <c:pt idx="0">
                  <c:v>0.03</c:v>
                </c:pt>
                <c:pt idx="1">
                  <c:v>0</c:v>
                </c:pt>
                <c:pt idx="2">
                  <c:v>0.01</c:v>
                </c:pt>
                <c:pt idx="3">
                  <c:v>0</c:v>
                </c:pt>
              </c:numCache>
            </c:numRef>
          </c:val>
          <c:extLst>
            <c:ext xmlns:c16="http://schemas.microsoft.com/office/drawing/2014/chart" uri="{C3380CC4-5D6E-409C-BE32-E72D297353CC}">
              <c16:uniqueId val="{00000008-96E2-4475-9246-93F27B34BAF3}"/>
            </c:ext>
          </c:extLst>
        </c:ser>
        <c:dLbls>
          <c:showLegendKey val="0"/>
          <c:showVal val="0"/>
          <c:showCatName val="0"/>
          <c:showSerName val="0"/>
          <c:showPercent val="0"/>
          <c:showBubbleSize val="0"/>
        </c:dLbls>
        <c:gapWidth val="150"/>
        <c:shape val="box"/>
        <c:axId val="305591808"/>
        <c:axId val="305593344"/>
        <c:axId val="0"/>
      </c:bar3DChart>
      <c:catAx>
        <c:axId val="305591808"/>
        <c:scaling>
          <c:orientation val="minMax"/>
        </c:scaling>
        <c:delete val="0"/>
        <c:axPos val="b"/>
        <c:numFmt formatCode="General" sourceLinked="0"/>
        <c:majorTickMark val="out"/>
        <c:minorTickMark val="none"/>
        <c:tickLblPos val="nextTo"/>
        <c:crossAx val="305593344"/>
        <c:crosses val="autoZero"/>
        <c:auto val="1"/>
        <c:lblAlgn val="ctr"/>
        <c:lblOffset val="100"/>
        <c:noMultiLvlLbl val="0"/>
      </c:catAx>
      <c:valAx>
        <c:axId val="305593344"/>
        <c:scaling>
          <c:orientation val="minMax"/>
        </c:scaling>
        <c:delete val="0"/>
        <c:axPos val="l"/>
        <c:majorGridlines/>
        <c:numFmt formatCode="General" sourceLinked="1"/>
        <c:majorTickMark val="out"/>
        <c:minorTickMark val="none"/>
        <c:tickLblPos val="nextTo"/>
        <c:crossAx val="305591808"/>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Sheet2!$B$1</c:f>
              <c:strCache>
                <c:ptCount val="1"/>
                <c:pt idx="0">
                  <c:v>NITROGEN %</c:v>
                </c:pt>
              </c:strCache>
            </c:strRef>
          </c:tx>
          <c:invertIfNegative val="0"/>
          <c:dPt>
            <c:idx val="0"/>
            <c:invertIfNegative val="0"/>
            <c:bubble3D val="0"/>
            <c:spPr>
              <a:solidFill>
                <a:schemeClr val="accent6">
                  <a:lumMod val="75000"/>
                </a:schemeClr>
              </a:solidFill>
            </c:spPr>
            <c:extLst>
              <c:ext xmlns:c16="http://schemas.microsoft.com/office/drawing/2014/chart" uri="{C3380CC4-5D6E-409C-BE32-E72D297353CC}">
                <c16:uniqueId val="{00000001-D78A-4A2F-8A0E-EC55F51C5606}"/>
              </c:ext>
            </c:extLst>
          </c:dPt>
          <c:dPt>
            <c:idx val="1"/>
            <c:invertIfNegative val="0"/>
            <c:bubble3D val="0"/>
            <c:spPr>
              <a:solidFill>
                <a:schemeClr val="accent5">
                  <a:lumMod val="75000"/>
                </a:schemeClr>
              </a:solidFill>
            </c:spPr>
            <c:extLst>
              <c:ext xmlns:c16="http://schemas.microsoft.com/office/drawing/2014/chart" uri="{C3380CC4-5D6E-409C-BE32-E72D297353CC}">
                <c16:uniqueId val="{00000003-D78A-4A2F-8A0E-EC55F51C5606}"/>
              </c:ext>
            </c:extLst>
          </c:dPt>
          <c:dPt>
            <c:idx val="2"/>
            <c:invertIfNegative val="0"/>
            <c:bubble3D val="0"/>
            <c:spPr>
              <a:solidFill>
                <a:schemeClr val="accent3">
                  <a:lumMod val="75000"/>
                </a:schemeClr>
              </a:solidFill>
            </c:spPr>
            <c:extLst>
              <c:ext xmlns:c16="http://schemas.microsoft.com/office/drawing/2014/chart" uri="{C3380CC4-5D6E-409C-BE32-E72D297353CC}">
                <c16:uniqueId val="{00000005-D78A-4A2F-8A0E-EC55F51C5606}"/>
              </c:ext>
            </c:extLst>
          </c:dPt>
          <c:dPt>
            <c:idx val="3"/>
            <c:invertIfNegative val="0"/>
            <c:bubble3D val="0"/>
            <c:spPr>
              <a:solidFill>
                <a:srgbClr val="EB31C8"/>
              </a:solidFill>
            </c:spPr>
            <c:extLst>
              <c:ext xmlns:c16="http://schemas.microsoft.com/office/drawing/2014/chart" uri="{C3380CC4-5D6E-409C-BE32-E72D297353CC}">
                <c16:uniqueId val="{00000007-D78A-4A2F-8A0E-EC55F51C5606}"/>
              </c:ext>
            </c:extLst>
          </c:dPt>
          <c:cat>
            <c:strRef>
              <c:f>Sheet2!$A$2:$A$5</c:f>
              <c:strCache>
                <c:ptCount val="4"/>
                <c:pt idx="0">
                  <c:v>Agricultural field</c:v>
                </c:pt>
                <c:pt idx="1">
                  <c:v>Waste dumped area</c:v>
                </c:pt>
                <c:pt idx="2">
                  <c:v>Industrial area</c:v>
                </c:pt>
                <c:pt idx="3">
                  <c:v>Residential area</c:v>
                </c:pt>
              </c:strCache>
            </c:strRef>
          </c:cat>
          <c:val>
            <c:numRef>
              <c:f>Sheet2!$B$2:$B$5</c:f>
              <c:numCache>
                <c:formatCode>General</c:formatCode>
                <c:ptCount val="4"/>
                <c:pt idx="0">
                  <c:v>0.13</c:v>
                </c:pt>
                <c:pt idx="1">
                  <c:v>0.01</c:v>
                </c:pt>
                <c:pt idx="2">
                  <c:v>0.14000000000000001</c:v>
                </c:pt>
                <c:pt idx="3">
                  <c:v>0.2</c:v>
                </c:pt>
              </c:numCache>
            </c:numRef>
          </c:val>
          <c:extLst>
            <c:ext xmlns:c16="http://schemas.microsoft.com/office/drawing/2014/chart" uri="{C3380CC4-5D6E-409C-BE32-E72D297353CC}">
              <c16:uniqueId val="{00000008-D78A-4A2F-8A0E-EC55F51C5606}"/>
            </c:ext>
          </c:extLst>
        </c:ser>
        <c:dLbls>
          <c:showLegendKey val="0"/>
          <c:showVal val="0"/>
          <c:showCatName val="0"/>
          <c:showSerName val="0"/>
          <c:showPercent val="0"/>
          <c:showBubbleSize val="0"/>
        </c:dLbls>
        <c:gapWidth val="150"/>
        <c:shape val="box"/>
        <c:axId val="173720704"/>
        <c:axId val="173722240"/>
        <c:axId val="0"/>
      </c:bar3DChart>
      <c:catAx>
        <c:axId val="173720704"/>
        <c:scaling>
          <c:orientation val="minMax"/>
        </c:scaling>
        <c:delete val="0"/>
        <c:axPos val="b"/>
        <c:numFmt formatCode="General" sourceLinked="0"/>
        <c:majorTickMark val="out"/>
        <c:minorTickMark val="none"/>
        <c:tickLblPos val="nextTo"/>
        <c:crossAx val="173722240"/>
        <c:crosses val="autoZero"/>
        <c:auto val="1"/>
        <c:lblAlgn val="ctr"/>
        <c:lblOffset val="100"/>
        <c:noMultiLvlLbl val="0"/>
      </c:catAx>
      <c:valAx>
        <c:axId val="173722240"/>
        <c:scaling>
          <c:orientation val="minMax"/>
        </c:scaling>
        <c:delete val="0"/>
        <c:axPos val="l"/>
        <c:majorGridlines>
          <c:spPr>
            <a:effectLst>
              <a:outerShdw blurRad="50800" dist="50800" dir="5400000" algn="ctr" rotWithShape="0">
                <a:srgbClr val="000000"/>
              </a:outerShdw>
            </a:effectLst>
          </c:spPr>
        </c:majorGridlines>
        <c:numFmt formatCode="General" sourceLinked="1"/>
        <c:majorTickMark val="out"/>
        <c:minorTickMark val="none"/>
        <c:tickLblPos val="nextTo"/>
        <c:crossAx val="173720704"/>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Sheet3!$B$1</c:f>
              <c:strCache>
                <c:ptCount val="1"/>
                <c:pt idx="0">
                  <c:v>PHOSPHORUS %</c:v>
                </c:pt>
              </c:strCache>
            </c:strRef>
          </c:tx>
          <c:invertIfNegative val="0"/>
          <c:dPt>
            <c:idx val="0"/>
            <c:invertIfNegative val="0"/>
            <c:bubble3D val="0"/>
            <c:spPr>
              <a:solidFill>
                <a:schemeClr val="accent6">
                  <a:lumMod val="75000"/>
                </a:schemeClr>
              </a:solidFill>
            </c:spPr>
            <c:extLst>
              <c:ext xmlns:c16="http://schemas.microsoft.com/office/drawing/2014/chart" uri="{C3380CC4-5D6E-409C-BE32-E72D297353CC}">
                <c16:uniqueId val="{00000001-303A-4018-A976-B237C539427C}"/>
              </c:ext>
            </c:extLst>
          </c:dPt>
          <c:dPt>
            <c:idx val="1"/>
            <c:invertIfNegative val="0"/>
            <c:bubble3D val="0"/>
            <c:spPr>
              <a:solidFill>
                <a:schemeClr val="accent5">
                  <a:lumMod val="75000"/>
                </a:schemeClr>
              </a:solidFill>
            </c:spPr>
            <c:extLst>
              <c:ext xmlns:c16="http://schemas.microsoft.com/office/drawing/2014/chart" uri="{C3380CC4-5D6E-409C-BE32-E72D297353CC}">
                <c16:uniqueId val="{00000003-303A-4018-A976-B237C539427C}"/>
              </c:ext>
            </c:extLst>
          </c:dPt>
          <c:dPt>
            <c:idx val="2"/>
            <c:invertIfNegative val="0"/>
            <c:bubble3D val="0"/>
            <c:spPr>
              <a:solidFill>
                <a:schemeClr val="accent3">
                  <a:lumMod val="75000"/>
                </a:schemeClr>
              </a:solidFill>
            </c:spPr>
            <c:extLst>
              <c:ext xmlns:c16="http://schemas.microsoft.com/office/drawing/2014/chart" uri="{C3380CC4-5D6E-409C-BE32-E72D297353CC}">
                <c16:uniqueId val="{00000005-303A-4018-A976-B237C539427C}"/>
              </c:ext>
            </c:extLst>
          </c:dPt>
          <c:dPt>
            <c:idx val="3"/>
            <c:invertIfNegative val="0"/>
            <c:bubble3D val="0"/>
            <c:spPr>
              <a:solidFill>
                <a:srgbClr val="EB31C8"/>
              </a:solidFill>
            </c:spPr>
            <c:extLst>
              <c:ext xmlns:c16="http://schemas.microsoft.com/office/drawing/2014/chart" uri="{C3380CC4-5D6E-409C-BE32-E72D297353CC}">
                <c16:uniqueId val="{00000007-303A-4018-A976-B237C539427C}"/>
              </c:ext>
            </c:extLst>
          </c:dPt>
          <c:cat>
            <c:strRef>
              <c:f>Sheet3!$A$2:$A$5</c:f>
              <c:strCache>
                <c:ptCount val="4"/>
                <c:pt idx="0">
                  <c:v>Agricultural field</c:v>
                </c:pt>
                <c:pt idx="1">
                  <c:v>Waste dumped area</c:v>
                </c:pt>
                <c:pt idx="2">
                  <c:v>Industrial area</c:v>
                </c:pt>
                <c:pt idx="3">
                  <c:v>Residential area</c:v>
                </c:pt>
              </c:strCache>
            </c:strRef>
          </c:cat>
          <c:val>
            <c:numRef>
              <c:f>Sheet3!$B$2:$B$5</c:f>
              <c:numCache>
                <c:formatCode>General</c:formatCode>
                <c:ptCount val="4"/>
                <c:pt idx="0">
                  <c:v>0.03</c:v>
                </c:pt>
                <c:pt idx="1">
                  <c:v>0.06</c:v>
                </c:pt>
                <c:pt idx="2">
                  <c:v>4.0000000000000001E-3</c:v>
                </c:pt>
                <c:pt idx="3">
                  <c:v>0.04</c:v>
                </c:pt>
              </c:numCache>
            </c:numRef>
          </c:val>
          <c:extLst>
            <c:ext xmlns:c16="http://schemas.microsoft.com/office/drawing/2014/chart" uri="{C3380CC4-5D6E-409C-BE32-E72D297353CC}">
              <c16:uniqueId val="{00000008-303A-4018-A976-B237C539427C}"/>
            </c:ext>
          </c:extLst>
        </c:ser>
        <c:dLbls>
          <c:showLegendKey val="0"/>
          <c:showVal val="0"/>
          <c:showCatName val="0"/>
          <c:showSerName val="0"/>
          <c:showPercent val="0"/>
          <c:showBubbleSize val="0"/>
        </c:dLbls>
        <c:gapWidth val="150"/>
        <c:shape val="box"/>
        <c:axId val="293563008"/>
        <c:axId val="293568896"/>
        <c:axId val="0"/>
      </c:bar3DChart>
      <c:catAx>
        <c:axId val="293563008"/>
        <c:scaling>
          <c:orientation val="minMax"/>
        </c:scaling>
        <c:delete val="0"/>
        <c:axPos val="b"/>
        <c:numFmt formatCode="General" sourceLinked="0"/>
        <c:majorTickMark val="out"/>
        <c:minorTickMark val="none"/>
        <c:tickLblPos val="nextTo"/>
        <c:crossAx val="293568896"/>
        <c:crosses val="autoZero"/>
        <c:auto val="1"/>
        <c:lblAlgn val="ctr"/>
        <c:lblOffset val="100"/>
        <c:noMultiLvlLbl val="0"/>
      </c:catAx>
      <c:valAx>
        <c:axId val="293568896"/>
        <c:scaling>
          <c:orientation val="minMax"/>
        </c:scaling>
        <c:delete val="0"/>
        <c:axPos val="l"/>
        <c:majorGridlines/>
        <c:numFmt formatCode="General" sourceLinked="1"/>
        <c:majorTickMark val="out"/>
        <c:minorTickMark val="none"/>
        <c:tickLblPos val="nextTo"/>
        <c:crossAx val="293563008"/>
        <c:crosses val="autoZero"/>
        <c:crossBetween val="between"/>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Sheet4!$B$1</c:f>
              <c:strCache>
                <c:ptCount val="1"/>
                <c:pt idx="0">
                  <c:v>POTASSIUM %</c:v>
                </c:pt>
              </c:strCache>
            </c:strRef>
          </c:tx>
          <c:invertIfNegative val="0"/>
          <c:dPt>
            <c:idx val="0"/>
            <c:invertIfNegative val="0"/>
            <c:bubble3D val="0"/>
            <c:spPr>
              <a:solidFill>
                <a:schemeClr val="accent6">
                  <a:lumMod val="75000"/>
                </a:schemeClr>
              </a:solidFill>
            </c:spPr>
            <c:extLst>
              <c:ext xmlns:c16="http://schemas.microsoft.com/office/drawing/2014/chart" uri="{C3380CC4-5D6E-409C-BE32-E72D297353CC}">
                <c16:uniqueId val="{00000001-5B2E-4F75-B95F-4B298809A4A2}"/>
              </c:ext>
            </c:extLst>
          </c:dPt>
          <c:dPt>
            <c:idx val="1"/>
            <c:invertIfNegative val="0"/>
            <c:bubble3D val="0"/>
            <c:spPr>
              <a:solidFill>
                <a:schemeClr val="accent5">
                  <a:lumMod val="75000"/>
                </a:schemeClr>
              </a:solidFill>
            </c:spPr>
            <c:extLst>
              <c:ext xmlns:c16="http://schemas.microsoft.com/office/drawing/2014/chart" uri="{C3380CC4-5D6E-409C-BE32-E72D297353CC}">
                <c16:uniqueId val="{00000003-5B2E-4F75-B95F-4B298809A4A2}"/>
              </c:ext>
            </c:extLst>
          </c:dPt>
          <c:dPt>
            <c:idx val="2"/>
            <c:invertIfNegative val="0"/>
            <c:bubble3D val="0"/>
            <c:spPr>
              <a:solidFill>
                <a:schemeClr val="accent3">
                  <a:lumMod val="75000"/>
                </a:schemeClr>
              </a:solidFill>
            </c:spPr>
            <c:extLst>
              <c:ext xmlns:c16="http://schemas.microsoft.com/office/drawing/2014/chart" uri="{C3380CC4-5D6E-409C-BE32-E72D297353CC}">
                <c16:uniqueId val="{00000005-5B2E-4F75-B95F-4B298809A4A2}"/>
              </c:ext>
            </c:extLst>
          </c:dPt>
          <c:dPt>
            <c:idx val="3"/>
            <c:invertIfNegative val="0"/>
            <c:bubble3D val="0"/>
            <c:spPr>
              <a:solidFill>
                <a:srgbClr val="EB31C8"/>
              </a:solidFill>
            </c:spPr>
            <c:extLst>
              <c:ext xmlns:c16="http://schemas.microsoft.com/office/drawing/2014/chart" uri="{C3380CC4-5D6E-409C-BE32-E72D297353CC}">
                <c16:uniqueId val="{00000007-5B2E-4F75-B95F-4B298809A4A2}"/>
              </c:ext>
            </c:extLst>
          </c:dPt>
          <c:cat>
            <c:strRef>
              <c:f>Sheet4!$A$2:$A$5</c:f>
              <c:strCache>
                <c:ptCount val="4"/>
                <c:pt idx="0">
                  <c:v>Agricultural field</c:v>
                </c:pt>
                <c:pt idx="1">
                  <c:v>Waste dumped area</c:v>
                </c:pt>
                <c:pt idx="2">
                  <c:v>Indusrtrial area</c:v>
                </c:pt>
                <c:pt idx="3">
                  <c:v>Residential area</c:v>
                </c:pt>
              </c:strCache>
            </c:strRef>
          </c:cat>
          <c:val>
            <c:numRef>
              <c:f>Sheet4!$B$2:$B$5</c:f>
              <c:numCache>
                <c:formatCode>General</c:formatCode>
                <c:ptCount val="4"/>
                <c:pt idx="0">
                  <c:v>0.03</c:v>
                </c:pt>
                <c:pt idx="1">
                  <c:v>0.08</c:v>
                </c:pt>
                <c:pt idx="2">
                  <c:v>0.03</c:v>
                </c:pt>
                <c:pt idx="3">
                  <c:v>0.04</c:v>
                </c:pt>
              </c:numCache>
            </c:numRef>
          </c:val>
          <c:extLst>
            <c:ext xmlns:c16="http://schemas.microsoft.com/office/drawing/2014/chart" uri="{C3380CC4-5D6E-409C-BE32-E72D297353CC}">
              <c16:uniqueId val="{00000008-5B2E-4F75-B95F-4B298809A4A2}"/>
            </c:ext>
          </c:extLst>
        </c:ser>
        <c:dLbls>
          <c:showLegendKey val="0"/>
          <c:showVal val="0"/>
          <c:showCatName val="0"/>
          <c:showSerName val="0"/>
          <c:showPercent val="0"/>
          <c:showBubbleSize val="0"/>
        </c:dLbls>
        <c:gapWidth val="150"/>
        <c:shape val="box"/>
        <c:axId val="293273984"/>
        <c:axId val="293275520"/>
        <c:axId val="0"/>
      </c:bar3DChart>
      <c:catAx>
        <c:axId val="293273984"/>
        <c:scaling>
          <c:orientation val="minMax"/>
        </c:scaling>
        <c:delete val="0"/>
        <c:axPos val="b"/>
        <c:numFmt formatCode="General" sourceLinked="0"/>
        <c:majorTickMark val="out"/>
        <c:minorTickMark val="none"/>
        <c:tickLblPos val="nextTo"/>
        <c:crossAx val="293275520"/>
        <c:crosses val="autoZero"/>
        <c:auto val="1"/>
        <c:lblAlgn val="ctr"/>
        <c:lblOffset val="100"/>
        <c:noMultiLvlLbl val="0"/>
      </c:catAx>
      <c:valAx>
        <c:axId val="293275520"/>
        <c:scaling>
          <c:orientation val="minMax"/>
        </c:scaling>
        <c:delete val="0"/>
        <c:axPos val="l"/>
        <c:majorGridlines/>
        <c:numFmt formatCode="General" sourceLinked="1"/>
        <c:majorTickMark val="out"/>
        <c:minorTickMark val="none"/>
        <c:tickLblPos val="nextTo"/>
        <c:crossAx val="293273984"/>
        <c:crosses val="autoZero"/>
        <c:crossBetween val="between"/>
      </c:valAx>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Sheet5!$B$1</c:f>
              <c:strCache>
                <c:ptCount val="1"/>
                <c:pt idx="0">
                  <c:v>CALCIUM %</c:v>
                </c:pt>
              </c:strCache>
            </c:strRef>
          </c:tx>
          <c:invertIfNegative val="0"/>
          <c:dPt>
            <c:idx val="0"/>
            <c:invertIfNegative val="0"/>
            <c:bubble3D val="0"/>
            <c:spPr>
              <a:solidFill>
                <a:schemeClr val="accent6">
                  <a:lumMod val="75000"/>
                </a:schemeClr>
              </a:solidFill>
            </c:spPr>
            <c:extLst>
              <c:ext xmlns:c16="http://schemas.microsoft.com/office/drawing/2014/chart" uri="{C3380CC4-5D6E-409C-BE32-E72D297353CC}">
                <c16:uniqueId val="{00000001-E985-4D0D-BE38-2EFB9A6ECCBC}"/>
              </c:ext>
            </c:extLst>
          </c:dPt>
          <c:dPt>
            <c:idx val="1"/>
            <c:invertIfNegative val="0"/>
            <c:bubble3D val="0"/>
            <c:spPr>
              <a:solidFill>
                <a:schemeClr val="accent5">
                  <a:lumMod val="75000"/>
                </a:schemeClr>
              </a:solidFill>
            </c:spPr>
            <c:extLst>
              <c:ext xmlns:c16="http://schemas.microsoft.com/office/drawing/2014/chart" uri="{C3380CC4-5D6E-409C-BE32-E72D297353CC}">
                <c16:uniqueId val="{00000003-E985-4D0D-BE38-2EFB9A6ECCBC}"/>
              </c:ext>
            </c:extLst>
          </c:dPt>
          <c:dPt>
            <c:idx val="2"/>
            <c:invertIfNegative val="0"/>
            <c:bubble3D val="0"/>
            <c:spPr>
              <a:solidFill>
                <a:schemeClr val="accent3">
                  <a:lumMod val="75000"/>
                </a:schemeClr>
              </a:solidFill>
            </c:spPr>
            <c:extLst>
              <c:ext xmlns:c16="http://schemas.microsoft.com/office/drawing/2014/chart" uri="{C3380CC4-5D6E-409C-BE32-E72D297353CC}">
                <c16:uniqueId val="{00000005-E985-4D0D-BE38-2EFB9A6ECCBC}"/>
              </c:ext>
            </c:extLst>
          </c:dPt>
          <c:dPt>
            <c:idx val="3"/>
            <c:invertIfNegative val="0"/>
            <c:bubble3D val="0"/>
            <c:spPr>
              <a:solidFill>
                <a:srgbClr val="EB31C8"/>
              </a:solidFill>
            </c:spPr>
            <c:extLst>
              <c:ext xmlns:c16="http://schemas.microsoft.com/office/drawing/2014/chart" uri="{C3380CC4-5D6E-409C-BE32-E72D297353CC}">
                <c16:uniqueId val="{00000007-E985-4D0D-BE38-2EFB9A6ECCBC}"/>
              </c:ext>
            </c:extLst>
          </c:dPt>
          <c:cat>
            <c:strRef>
              <c:f>Sheet5!$A$2:$A$5</c:f>
              <c:strCache>
                <c:ptCount val="4"/>
                <c:pt idx="0">
                  <c:v>Agricultural field</c:v>
                </c:pt>
                <c:pt idx="1">
                  <c:v>Waste dumped area</c:v>
                </c:pt>
                <c:pt idx="2">
                  <c:v>Industrial area</c:v>
                </c:pt>
                <c:pt idx="3">
                  <c:v>Residential area</c:v>
                </c:pt>
              </c:strCache>
            </c:strRef>
          </c:cat>
          <c:val>
            <c:numRef>
              <c:f>Sheet5!$B$2:$B$5</c:f>
              <c:numCache>
                <c:formatCode>General</c:formatCode>
                <c:ptCount val="4"/>
                <c:pt idx="0">
                  <c:v>0.03</c:v>
                </c:pt>
                <c:pt idx="1">
                  <c:v>0.04</c:v>
                </c:pt>
                <c:pt idx="2">
                  <c:v>0.02</c:v>
                </c:pt>
                <c:pt idx="3">
                  <c:v>0.02</c:v>
                </c:pt>
              </c:numCache>
            </c:numRef>
          </c:val>
          <c:extLst>
            <c:ext xmlns:c16="http://schemas.microsoft.com/office/drawing/2014/chart" uri="{C3380CC4-5D6E-409C-BE32-E72D297353CC}">
              <c16:uniqueId val="{00000008-E985-4D0D-BE38-2EFB9A6ECCBC}"/>
            </c:ext>
          </c:extLst>
        </c:ser>
        <c:dLbls>
          <c:showLegendKey val="0"/>
          <c:showVal val="0"/>
          <c:showCatName val="0"/>
          <c:showSerName val="0"/>
          <c:showPercent val="0"/>
          <c:showBubbleSize val="0"/>
        </c:dLbls>
        <c:gapWidth val="150"/>
        <c:shape val="box"/>
        <c:axId val="293300096"/>
        <c:axId val="293301632"/>
        <c:axId val="0"/>
      </c:bar3DChart>
      <c:catAx>
        <c:axId val="293300096"/>
        <c:scaling>
          <c:orientation val="minMax"/>
        </c:scaling>
        <c:delete val="0"/>
        <c:axPos val="b"/>
        <c:numFmt formatCode="General" sourceLinked="0"/>
        <c:majorTickMark val="out"/>
        <c:minorTickMark val="none"/>
        <c:tickLblPos val="nextTo"/>
        <c:crossAx val="293301632"/>
        <c:crosses val="autoZero"/>
        <c:auto val="1"/>
        <c:lblAlgn val="ctr"/>
        <c:lblOffset val="100"/>
        <c:noMultiLvlLbl val="0"/>
      </c:catAx>
      <c:valAx>
        <c:axId val="293301632"/>
        <c:scaling>
          <c:orientation val="minMax"/>
        </c:scaling>
        <c:delete val="0"/>
        <c:axPos val="l"/>
        <c:majorGridlines/>
        <c:numFmt formatCode="General" sourceLinked="1"/>
        <c:majorTickMark val="out"/>
        <c:minorTickMark val="none"/>
        <c:tickLblPos val="nextTo"/>
        <c:crossAx val="293300096"/>
        <c:crosses val="autoZero"/>
        <c:crossBetween val="between"/>
      </c:valAx>
    </c:plotArea>
    <c:legend>
      <c:legendPos val="tr"/>
      <c:layout>
        <c:manualLayout>
          <c:xMode val="edge"/>
          <c:yMode val="edge"/>
          <c:x val="0.75828575170905943"/>
          <c:y val="0.25927067627184902"/>
          <c:w val="0.20076735129797835"/>
          <c:h val="0.58087802854430426"/>
        </c:manualLayout>
      </c:layout>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Sheet6!$B$1</c:f>
              <c:strCache>
                <c:ptCount val="1"/>
                <c:pt idx="0">
                  <c:v>MAGNESIUM %</c:v>
                </c:pt>
              </c:strCache>
            </c:strRef>
          </c:tx>
          <c:invertIfNegative val="0"/>
          <c:dPt>
            <c:idx val="0"/>
            <c:invertIfNegative val="0"/>
            <c:bubble3D val="0"/>
            <c:spPr>
              <a:solidFill>
                <a:schemeClr val="accent6">
                  <a:lumMod val="75000"/>
                </a:schemeClr>
              </a:solidFill>
            </c:spPr>
            <c:extLst>
              <c:ext xmlns:c16="http://schemas.microsoft.com/office/drawing/2014/chart" uri="{C3380CC4-5D6E-409C-BE32-E72D297353CC}">
                <c16:uniqueId val="{00000001-EE2B-4FF9-A753-EF19377BE7BC}"/>
              </c:ext>
            </c:extLst>
          </c:dPt>
          <c:dPt>
            <c:idx val="1"/>
            <c:invertIfNegative val="0"/>
            <c:bubble3D val="0"/>
            <c:spPr>
              <a:solidFill>
                <a:schemeClr val="accent5">
                  <a:lumMod val="75000"/>
                </a:schemeClr>
              </a:solidFill>
            </c:spPr>
            <c:extLst>
              <c:ext xmlns:c16="http://schemas.microsoft.com/office/drawing/2014/chart" uri="{C3380CC4-5D6E-409C-BE32-E72D297353CC}">
                <c16:uniqueId val="{00000003-EE2B-4FF9-A753-EF19377BE7BC}"/>
              </c:ext>
            </c:extLst>
          </c:dPt>
          <c:dPt>
            <c:idx val="2"/>
            <c:invertIfNegative val="0"/>
            <c:bubble3D val="0"/>
            <c:spPr>
              <a:solidFill>
                <a:schemeClr val="accent3">
                  <a:lumMod val="75000"/>
                </a:schemeClr>
              </a:solidFill>
            </c:spPr>
            <c:extLst>
              <c:ext xmlns:c16="http://schemas.microsoft.com/office/drawing/2014/chart" uri="{C3380CC4-5D6E-409C-BE32-E72D297353CC}">
                <c16:uniqueId val="{00000005-EE2B-4FF9-A753-EF19377BE7BC}"/>
              </c:ext>
            </c:extLst>
          </c:dPt>
          <c:dPt>
            <c:idx val="3"/>
            <c:invertIfNegative val="0"/>
            <c:bubble3D val="0"/>
            <c:spPr>
              <a:solidFill>
                <a:srgbClr val="EB31C8"/>
              </a:solidFill>
            </c:spPr>
            <c:extLst>
              <c:ext xmlns:c16="http://schemas.microsoft.com/office/drawing/2014/chart" uri="{C3380CC4-5D6E-409C-BE32-E72D297353CC}">
                <c16:uniqueId val="{00000007-EE2B-4FF9-A753-EF19377BE7BC}"/>
              </c:ext>
            </c:extLst>
          </c:dPt>
          <c:cat>
            <c:strRef>
              <c:f>Sheet6!$A$2:$A$5</c:f>
              <c:strCache>
                <c:ptCount val="4"/>
                <c:pt idx="0">
                  <c:v>Agricultural field</c:v>
                </c:pt>
                <c:pt idx="1">
                  <c:v>Waste dumped area</c:v>
                </c:pt>
                <c:pt idx="2">
                  <c:v>Industrial area</c:v>
                </c:pt>
                <c:pt idx="3">
                  <c:v>Residential area</c:v>
                </c:pt>
              </c:strCache>
            </c:strRef>
          </c:cat>
          <c:val>
            <c:numRef>
              <c:f>Sheet6!$B$2:$B$5</c:f>
              <c:numCache>
                <c:formatCode>General</c:formatCode>
                <c:ptCount val="4"/>
                <c:pt idx="0">
                  <c:v>0.03</c:v>
                </c:pt>
                <c:pt idx="1">
                  <c:v>0.02</c:v>
                </c:pt>
                <c:pt idx="2">
                  <c:v>0.02</c:v>
                </c:pt>
                <c:pt idx="3">
                  <c:v>0.01</c:v>
                </c:pt>
              </c:numCache>
            </c:numRef>
          </c:val>
          <c:extLst>
            <c:ext xmlns:c16="http://schemas.microsoft.com/office/drawing/2014/chart" uri="{C3380CC4-5D6E-409C-BE32-E72D297353CC}">
              <c16:uniqueId val="{00000008-EE2B-4FF9-A753-EF19377BE7BC}"/>
            </c:ext>
          </c:extLst>
        </c:ser>
        <c:dLbls>
          <c:showLegendKey val="0"/>
          <c:showVal val="0"/>
          <c:showCatName val="0"/>
          <c:showSerName val="0"/>
          <c:showPercent val="0"/>
          <c:showBubbleSize val="0"/>
        </c:dLbls>
        <c:gapWidth val="150"/>
        <c:shape val="box"/>
        <c:axId val="293809536"/>
        <c:axId val="293811328"/>
        <c:axId val="0"/>
      </c:bar3DChart>
      <c:catAx>
        <c:axId val="293809536"/>
        <c:scaling>
          <c:orientation val="minMax"/>
        </c:scaling>
        <c:delete val="0"/>
        <c:axPos val="b"/>
        <c:numFmt formatCode="General" sourceLinked="0"/>
        <c:majorTickMark val="out"/>
        <c:minorTickMark val="none"/>
        <c:tickLblPos val="nextTo"/>
        <c:crossAx val="293811328"/>
        <c:crosses val="autoZero"/>
        <c:auto val="1"/>
        <c:lblAlgn val="ctr"/>
        <c:lblOffset val="100"/>
        <c:noMultiLvlLbl val="0"/>
      </c:catAx>
      <c:valAx>
        <c:axId val="293811328"/>
        <c:scaling>
          <c:orientation val="minMax"/>
        </c:scaling>
        <c:delete val="0"/>
        <c:axPos val="l"/>
        <c:majorGridlines/>
        <c:numFmt formatCode="General" sourceLinked="1"/>
        <c:majorTickMark val="out"/>
        <c:minorTickMark val="none"/>
        <c:tickLblPos val="nextTo"/>
        <c:crossAx val="293809536"/>
        <c:crosses val="autoZero"/>
        <c:crossBetween val="between"/>
      </c:valAx>
    </c:plotArea>
    <c:legend>
      <c:legendPos val="r"/>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Lead in ppm</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lead in ppm</c:v>
                </c:pt>
              </c:strCache>
            </c:strRef>
          </c:tx>
          <c:invertIfNegative val="0"/>
          <c:dPt>
            <c:idx val="1"/>
            <c:invertIfNegative val="0"/>
            <c:bubble3D val="0"/>
            <c:spPr>
              <a:solidFill>
                <a:schemeClr val="accent6">
                  <a:lumMod val="75000"/>
                </a:schemeClr>
              </a:solidFill>
            </c:spPr>
            <c:extLst>
              <c:ext xmlns:c16="http://schemas.microsoft.com/office/drawing/2014/chart" uri="{C3380CC4-5D6E-409C-BE32-E72D297353CC}">
                <c16:uniqueId val="{00000001-4043-43F6-9FCE-AE82789B38D5}"/>
              </c:ext>
            </c:extLst>
          </c:dPt>
          <c:dPt>
            <c:idx val="2"/>
            <c:invertIfNegative val="0"/>
            <c:bubble3D val="0"/>
            <c:spPr>
              <a:solidFill>
                <a:srgbClr val="FF00FF"/>
              </a:solidFill>
            </c:spPr>
            <c:extLst>
              <c:ext xmlns:c16="http://schemas.microsoft.com/office/drawing/2014/chart" uri="{C3380CC4-5D6E-409C-BE32-E72D297353CC}">
                <c16:uniqueId val="{00000003-4043-43F6-9FCE-AE82789B38D5}"/>
              </c:ext>
            </c:extLst>
          </c:dPt>
          <c:dPt>
            <c:idx val="3"/>
            <c:invertIfNegative val="0"/>
            <c:bubble3D val="0"/>
            <c:spPr>
              <a:solidFill>
                <a:schemeClr val="accent3">
                  <a:lumMod val="75000"/>
                </a:schemeClr>
              </a:solidFill>
            </c:spPr>
            <c:extLst>
              <c:ext xmlns:c16="http://schemas.microsoft.com/office/drawing/2014/chart" uri="{C3380CC4-5D6E-409C-BE32-E72D297353CC}">
                <c16:uniqueId val="{00000005-4043-43F6-9FCE-AE82789B38D5}"/>
              </c:ext>
            </c:extLst>
          </c:dPt>
          <c:cat>
            <c:strRef>
              <c:f>Sheet1!$A$2:$A$5</c:f>
              <c:strCache>
                <c:ptCount val="4"/>
                <c:pt idx="0">
                  <c:v>Agricultural field</c:v>
                </c:pt>
                <c:pt idx="1">
                  <c:v>Waste dumped area</c:v>
                </c:pt>
                <c:pt idx="2">
                  <c:v>Industrial area</c:v>
                </c:pt>
                <c:pt idx="3">
                  <c:v>Residential area</c:v>
                </c:pt>
              </c:strCache>
            </c:strRef>
          </c:cat>
          <c:val>
            <c:numRef>
              <c:f>Sheet1!$B$2:$B$5</c:f>
              <c:numCache>
                <c:formatCode>General</c:formatCode>
                <c:ptCount val="4"/>
                <c:pt idx="0">
                  <c:v>0.2</c:v>
                </c:pt>
                <c:pt idx="1">
                  <c:v>21.38</c:v>
                </c:pt>
                <c:pt idx="2">
                  <c:v>0</c:v>
                </c:pt>
                <c:pt idx="3">
                  <c:v>23.76</c:v>
                </c:pt>
              </c:numCache>
            </c:numRef>
          </c:val>
          <c:extLst>
            <c:ext xmlns:c16="http://schemas.microsoft.com/office/drawing/2014/chart" uri="{C3380CC4-5D6E-409C-BE32-E72D297353CC}">
              <c16:uniqueId val="{00000006-4043-43F6-9FCE-AE82789B38D5}"/>
            </c:ext>
          </c:extLst>
        </c:ser>
        <c:dLbls>
          <c:showLegendKey val="0"/>
          <c:showVal val="0"/>
          <c:showCatName val="0"/>
          <c:showSerName val="0"/>
          <c:showPercent val="0"/>
          <c:showBubbleSize val="0"/>
        </c:dLbls>
        <c:gapWidth val="150"/>
        <c:shape val="box"/>
        <c:axId val="293855616"/>
        <c:axId val="293857152"/>
        <c:axId val="0"/>
      </c:bar3DChart>
      <c:catAx>
        <c:axId val="293855616"/>
        <c:scaling>
          <c:orientation val="minMax"/>
        </c:scaling>
        <c:delete val="0"/>
        <c:axPos val="b"/>
        <c:numFmt formatCode="General" sourceLinked="0"/>
        <c:majorTickMark val="out"/>
        <c:minorTickMark val="none"/>
        <c:tickLblPos val="nextTo"/>
        <c:crossAx val="293857152"/>
        <c:crosses val="autoZero"/>
        <c:auto val="1"/>
        <c:lblAlgn val="ctr"/>
        <c:lblOffset val="100"/>
        <c:noMultiLvlLbl val="0"/>
      </c:catAx>
      <c:valAx>
        <c:axId val="293857152"/>
        <c:scaling>
          <c:orientation val="minMax"/>
        </c:scaling>
        <c:delete val="0"/>
        <c:axPos val="l"/>
        <c:majorGridlines/>
        <c:numFmt formatCode="General" sourceLinked="1"/>
        <c:majorTickMark val="out"/>
        <c:minorTickMark val="none"/>
        <c:tickLblPos val="nextTo"/>
        <c:crossAx val="293855616"/>
        <c:crosses val="autoZero"/>
        <c:crossBetween val="between"/>
      </c:valAx>
    </c:plotArea>
    <c:legend>
      <c:legendPos val="r"/>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Mercury in ppm</c:v>
                </c:pt>
              </c:strCache>
            </c:strRef>
          </c:tx>
          <c:invertIfNegative val="0"/>
          <c:dPt>
            <c:idx val="1"/>
            <c:invertIfNegative val="0"/>
            <c:bubble3D val="0"/>
            <c:spPr>
              <a:solidFill>
                <a:schemeClr val="accent6">
                  <a:lumMod val="75000"/>
                </a:schemeClr>
              </a:solidFill>
            </c:spPr>
            <c:extLst>
              <c:ext xmlns:c16="http://schemas.microsoft.com/office/drawing/2014/chart" uri="{C3380CC4-5D6E-409C-BE32-E72D297353CC}">
                <c16:uniqueId val="{00000001-35EE-4686-9AF5-68382D8E21D7}"/>
              </c:ext>
            </c:extLst>
          </c:dPt>
          <c:dPt>
            <c:idx val="2"/>
            <c:invertIfNegative val="0"/>
            <c:bubble3D val="0"/>
            <c:spPr>
              <a:solidFill>
                <a:srgbClr val="FF00FF"/>
              </a:solidFill>
            </c:spPr>
            <c:extLst>
              <c:ext xmlns:c16="http://schemas.microsoft.com/office/drawing/2014/chart" uri="{C3380CC4-5D6E-409C-BE32-E72D297353CC}">
                <c16:uniqueId val="{00000003-35EE-4686-9AF5-68382D8E21D7}"/>
              </c:ext>
            </c:extLst>
          </c:dPt>
          <c:dPt>
            <c:idx val="3"/>
            <c:invertIfNegative val="0"/>
            <c:bubble3D val="0"/>
            <c:spPr>
              <a:solidFill>
                <a:schemeClr val="accent3">
                  <a:lumMod val="75000"/>
                </a:schemeClr>
              </a:solidFill>
            </c:spPr>
            <c:extLst>
              <c:ext xmlns:c16="http://schemas.microsoft.com/office/drawing/2014/chart" uri="{C3380CC4-5D6E-409C-BE32-E72D297353CC}">
                <c16:uniqueId val="{00000005-35EE-4686-9AF5-68382D8E21D7}"/>
              </c:ext>
            </c:extLst>
          </c:dPt>
          <c:cat>
            <c:strRef>
              <c:f>Sheet1!$A$2:$A$5</c:f>
              <c:strCache>
                <c:ptCount val="4"/>
                <c:pt idx="0">
                  <c:v>Agricultural field</c:v>
                </c:pt>
                <c:pt idx="1">
                  <c:v>Waste dumped area</c:v>
                </c:pt>
                <c:pt idx="2">
                  <c:v>Industrial area</c:v>
                </c:pt>
                <c:pt idx="3">
                  <c:v>Residential area</c:v>
                </c:pt>
              </c:strCache>
            </c:strRef>
          </c:cat>
          <c:val>
            <c:numRef>
              <c:f>Sheet1!$B$2:$B$5</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6-35EE-4686-9AF5-68382D8E21D7}"/>
            </c:ext>
          </c:extLst>
        </c:ser>
        <c:dLbls>
          <c:showLegendKey val="0"/>
          <c:showVal val="0"/>
          <c:showCatName val="0"/>
          <c:showSerName val="0"/>
          <c:showPercent val="0"/>
          <c:showBubbleSize val="0"/>
        </c:dLbls>
        <c:gapWidth val="150"/>
        <c:shape val="box"/>
        <c:axId val="293704832"/>
        <c:axId val="293706368"/>
        <c:axId val="0"/>
      </c:bar3DChart>
      <c:catAx>
        <c:axId val="293704832"/>
        <c:scaling>
          <c:orientation val="minMax"/>
        </c:scaling>
        <c:delete val="0"/>
        <c:axPos val="b"/>
        <c:numFmt formatCode="General" sourceLinked="0"/>
        <c:majorTickMark val="out"/>
        <c:minorTickMark val="none"/>
        <c:tickLblPos val="nextTo"/>
        <c:crossAx val="293706368"/>
        <c:crosses val="autoZero"/>
        <c:auto val="1"/>
        <c:lblAlgn val="ctr"/>
        <c:lblOffset val="100"/>
        <c:noMultiLvlLbl val="0"/>
      </c:catAx>
      <c:valAx>
        <c:axId val="293706368"/>
        <c:scaling>
          <c:orientation val="minMax"/>
        </c:scaling>
        <c:delete val="0"/>
        <c:axPos val="l"/>
        <c:majorGridlines/>
        <c:numFmt formatCode="General" sourceLinked="1"/>
        <c:majorTickMark val="out"/>
        <c:minorTickMark val="none"/>
        <c:tickLblPos val="nextTo"/>
        <c:crossAx val="293704832"/>
        <c:crosses val="autoZero"/>
        <c:crossBetween val="between"/>
      </c:valAx>
    </c:plotArea>
    <c:legend>
      <c:legendPos val="r"/>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Zinc in ppm</c:v>
                </c:pt>
              </c:strCache>
            </c:strRef>
          </c:tx>
          <c:invertIfNegative val="0"/>
          <c:dPt>
            <c:idx val="1"/>
            <c:invertIfNegative val="0"/>
            <c:bubble3D val="0"/>
            <c:spPr>
              <a:solidFill>
                <a:schemeClr val="accent6">
                  <a:lumMod val="75000"/>
                </a:schemeClr>
              </a:solidFill>
            </c:spPr>
            <c:extLst>
              <c:ext xmlns:c16="http://schemas.microsoft.com/office/drawing/2014/chart" uri="{C3380CC4-5D6E-409C-BE32-E72D297353CC}">
                <c16:uniqueId val="{00000001-AD9F-447E-9599-F79594F0A871}"/>
              </c:ext>
            </c:extLst>
          </c:dPt>
          <c:dPt>
            <c:idx val="2"/>
            <c:invertIfNegative val="0"/>
            <c:bubble3D val="0"/>
            <c:spPr>
              <a:solidFill>
                <a:srgbClr val="FF00FF"/>
              </a:solidFill>
            </c:spPr>
            <c:extLst>
              <c:ext xmlns:c16="http://schemas.microsoft.com/office/drawing/2014/chart" uri="{C3380CC4-5D6E-409C-BE32-E72D297353CC}">
                <c16:uniqueId val="{00000003-AD9F-447E-9599-F79594F0A871}"/>
              </c:ext>
            </c:extLst>
          </c:dPt>
          <c:dPt>
            <c:idx val="3"/>
            <c:invertIfNegative val="0"/>
            <c:bubble3D val="0"/>
            <c:spPr>
              <a:solidFill>
                <a:schemeClr val="accent3">
                  <a:lumMod val="75000"/>
                </a:schemeClr>
              </a:solidFill>
            </c:spPr>
            <c:extLst>
              <c:ext xmlns:c16="http://schemas.microsoft.com/office/drawing/2014/chart" uri="{C3380CC4-5D6E-409C-BE32-E72D297353CC}">
                <c16:uniqueId val="{00000005-AD9F-447E-9599-F79594F0A871}"/>
              </c:ext>
            </c:extLst>
          </c:dPt>
          <c:cat>
            <c:strRef>
              <c:f>Sheet1!$A$2:$A$5</c:f>
              <c:strCache>
                <c:ptCount val="4"/>
                <c:pt idx="0">
                  <c:v>Agricultural field</c:v>
                </c:pt>
                <c:pt idx="1">
                  <c:v>Waste dumped area</c:v>
                </c:pt>
                <c:pt idx="2">
                  <c:v>Industrial area</c:v>
                </c:pt>
                <c:pt idx="3">
                  <c:v>Residential area</c:v>
                </c:pt>
              </c:strCache>
            </c:strRef>
          </c:cat>
          <c:val>
            <c:numRef>
              <c:f>Sheet1!$B$2:$B$5</c:f>
              <c:numCache>
                <c:formatCode>General</c:formatCode>
                <c:ptCount val="4"/>
                <c:pt idx="0">
                  <c:v>0</c:v>
                </c:pt>
                <c:pt idx="1">
                  <c:v>77.540000000000006</c:v>
                </c:pt>
                <c:pt idx="2">
                  <c:v>41.02</c:v>
                </c:pt>
                <c:pt idx="3">
                  <c:v>63.98</c:v>
                </c:pt>
              </c:numCache>
            </c:numRef>
          </c:val>
          <c:extLst>
            <c:ext xmlns:c16="http://schemas.microsoft.com/office/drawing/2014/chart" uri="{C3380CC4-5D6E-409C-BE32-E72D297353CC}">
              <c16:uniqueId val="{00000006-AD9F-447E-9599-F79594F0A871}"/>
            </c:ext>
          </c:extLst>
        </c:ser>
        <c:dLbls>
          <c:showLegendKey val="0"/>
          <c:showVal val="0"/>
          <c:showCatName val="0"/>
          <c:showSerName val="0"/>
          <c:showPercent val="0"/>
          <c:showBubbleSize val="0"/>
        </c:dLbls>
        <c:gapWidth val="150"/>
        <c:shape val="box"/>
        <c:axId val="305399680"/>
        <c:axId val="305401216"/>
        <c:axId val="0"/>
      </c:bar3DChart>
      <c:catAx>
        <c:axId val="305399680"/>
        <c:scaling>
          <c:orientation val="minMax"/>
        </c:scaling>
        <c:delete val="0"/>
        <c:axPos val="b"/>
        <c:numFmt formatCode="General" sourceLinked="0"/>
        <c:majorTickMark val="out"/>
        <c:minorTickMark val="none"/>
        <c:tickLblPos val="nextTo"/>
        <c:crossAx val="305401216"/>
        <c:crosses val="autoZero"/>
        <c:auto val="1"/>
        <c:lblAlgn val="ctr"/>
        <c:lblOffset val="100"/>
        <c:noMultiLvlLbl val="0"/>
      </c:catAx>
      <c:valAx>
        <c:axId val="305401216"/>
        <c:scaling>
          <c:orientation val="minMax"/>
        </c:scaling>
        <c:delete val="0"/>
        <c:axPos val="l"/>
        <c:majorGridlines/>
        <c:numFmt formatCode="General" sourceLinked="1"/>
        <c:majorTickMark val="out"/>
        <c:minorTickMark val="none"/>
        <c:tickLblPos val="nextTo"/>
        <c:crossAx val="305399680"/>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695C0-4399-4F63-9B03-C319B0E94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2001</TotalTime>
  <Pages>46</Pages>
  <Words>11563</Words>
  <Characters>65913</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First American</Company>
  <LinksUpToDate>false</LinksUpToDate>
  <CharactersWithSpaces>77322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Editor-1183</cp:lastModifiedBy>
  <cp:revision>1018</cp:revision>
  <dcterms:created xsi:type="dcterms:W3CDTF">2026-04-02T11:48:00Z</dcterms:created>
  <dcterms:modified xsi:type="dcterms:W3CDTF">2026-04-20T08:00:00Z</dcterms:modified>
</cp:coreProperties>
</file>