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12979" w14:textId="388CBA47" w:rsidR="004802C9" w:rsidRPr="00074854" w:rsidRDefault="004802C9" w:rsidP="003E3930">
      <w:pPr>
        <w:jc w:val="center"/>
        <w:rPr>
          <w:rFonts w:asciiTheme="majorBidi" w:hAnsiTheme="majorBidi" w:cstheme="majorBidi"/>
          <w:b/>
          <w:bCs/>
        </w:rPr>
      </w:pPr>
      <w:r w:rsidRPr="00074854">
        <w:rPr>
          <w:rFonts w:asciiTheme="majorBidi" w:hAnsiTheme="majorBidi" w:cstheme="majorBidi"/>
          <w:b/>
          <w:bCs/>
        </w:rPr>
        <w:t>From Tokenism to Co Governance: Rethinking Public Engagement in Urban Parking Management in Ghana</w:t>
      </w:r>
    </w:p>
    <w:p w14:paraId="0638A6CD" w14:textId="37DBCACD" w:rsidR="00F765B3" w:rsidRPr="00074854" w:rsidRDefault="00F765B3" w:rsidP="003E3930">
      <w:pPr>
        <w:spacing w:before="100" w:beforeAutospacing="1" w:after="100" w:afterAutospacing="1" w:line="360" w:lineRule="auto"/>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Abstract</w:t>
      </w:r>
    </w:p>
    <w:p w14:paraId="4663C004" w14:textId="6F676518" w:rsidR="00F765B3" w:rsidRPr="00074854" w:rsidRDefault="00F765B3" w:rsidP="00074854">
      <w:pPr>
        <w:spacing w:before="100" w:beforeAutospacing="1" w:after="100" w:afterAutospacing="1" w:line="360" w:lineRule="auto"/>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Urban parking management in Ghana has largely been approached as a technical and administrative issue, with limited attention to its participatory and governance dimensions. This article examines the extent to which public engagement in urban parking management reflects meaningful participation or merely symbolic consultation. </w:t>
      </w:r>
      <w:r w:rsidR="00182E11" w:rsidRPr="00074854">
        <w:rPr>
          <w:rFonts w:asciiTheme="majorBidi" w:hAnsiTheme="majorBidi" w:cstheme="majorBidi"/>
        </w:rPr>
        <w:t xml:space="preserve">The objective of the study is to assess existing engagement practices, identify the barriers that constrain effective citizen participation, and propose a shift toward co governance as a more inclusive and effective model of urban parking policy. </w:t>
      </w:r>
      <w:r w:rsidRPr="00074854">
        <w:rPr>
          <w:rFonts w:asciiTheme="majorBidi" w:eastAsia="Times New Roman" w:hAnsiTheme="majorBidi" w:cstheme="majorBidi"/>
          <w:kern w:val="0"/>
          <w14:ligatures w14:val="none"/>
        </w:rPr>
        <w:t xml:space="preserve">Drawing on evidence from a broader mixed methods doctoral study, the article uses survey data from 466 respondents and qualitative interviews with key stakeholders in selected Ghanaian cities, including Accra, Kumasi, and Takoradi, to assess existing engagement practices, identify barriers to effective participation, and explore pathways toward more inclusive governance. The findings show that public engagement is present but remains moderate, inconsistent, and weakly institutionalised. While citizens are sometimes consulted on parking related decisions, communication channels are limited, participation is often shallow, and citizen influence over final outcomes remains weak. The study further reveals that tokenistic participation is sustained by overlapping institutional, socio cultural, and logistical barriers, including fragmented governance structures, low civic literacy, bureaucratic rigidity, cultural deference to authority, and unequal access to digital engagement tools. Comparative </w:t>
      </w:r>
      <w:r w:rsidR="00074854" w:rsidRPr="00074854">
        <w:rPr>
          <w:rFonts w:asciiTheme="majorBidi" w:eastAsia="Times New Roman" w:hAnsiTheme="majorBidi" w:cstheme="majorBidi"/>
          <w:kern w:val="0"/>
          <w14:ligatures w14:val="none"/>
        </w:rPr>
        <w:t xml:space="preserve">views </w:t>
      </w:r>
      <w:r w:rsidRPr="00074854">
        <w:rPr>
          <w:rFonts w:asciiTheme="majorBidi" w:eastAsia="Times New Roman" w:hAnsiTheme="majorBidi" w:cstheme="majorBidi"/>
          <w:kern w:val="0"/>
          <w14:ligatures w14:val="none"/>
        </w:rPr>
        <w:t xml:space="preserve">from selected international cases indicate that more structured and inclusive participation systems are possible when supported by clear legal frameworks and stronger coordination mechanisms. The article argues that the key challenge in Ghanaian parking governance is not simply inadequate regulation or infrastructure, but the persistence of tokenistic participation. It concludes that a shift from tokenism to co governance is necessary to improve the legitimacy, responsiveness, and sustainability of urban parking policy in Ghana. </w:t>
      </w:r>
    </w:p>
    <w:p w14:paraId="64D29A79" w14:textId="5BE8042B" w:rsidR="004802C9" w:rsidRPr="00074854" w:rsidRDefault="00F765B3" w:rsidP="00F765B3">
      <w:pPr>
        <w:spacing w:before="100" w:beforeAutospacing="1" w:after="100" w:afterAutospacing="1" w:line="360" w:lineRule="auto"/>
        <w:jc w:val="both"/>
        <w:rPr>
          <w:rFonts w:asciiTheme="majorBidi" w:hAnsiTheme="majorBidi" w:cstheme="majorBidi"/>
        </w:rPr>
      </w:pPr>
      <w:r w:rsidRPr="00074854">
        <w:rPr>
          <w:rStyle w:val="Strong"/>
          <w:rFonts w:asciiTheme="majorBidi" w:hAnsiTheme="majorBidi" w:cstheme="majorBidi"/>
        </w:rPr>
        <w:t>Keywords:</w:t>
      </w:r>
      <w:r w:rsidRPr="00074854">
        <w:rPr>
          <w:rFonts w:asciiTheme="majorBidi" w:hAnsiTheme="majorBidi" w:cstheme="majorBidi"/>
        </w:rPr>
        <w:t xml:space="preserve"> public engagement, parking governance, urban parking management, participatory governance, co governance, urban policy, Ghana</w:t>
      </w:r>
    </w:p>
    <w:p w14:paraId="30FEFE38" w14:textId="77777777" w:rsidR="003E3930" w:rsidRPr="00074854" w:rsidRDefault="003E3930" w:rsidP="00F765B3">
      <w:pPr>
        <w:spacing w:before="100" w:beforeAutospacing="1" w:after="100" w:afterAutospacing="1" w:line="360" w:lineRule="auto"/>
        <w:jc w:val="both"/>
        <w:rPr>
          <w:rFonts w:asciiTheme="majorBidi" w:eastAsia="Times New Roman" w:hAnsiTheme="majorBidi" w:cstheme="majorBidi"/>
          <w:kern w:val="0"/>
          <w14:ligatures w14:val="none"/>
        </w:rPr>
      </w:pPr>
    </w:p>
    <w:p w14:paraId="6568CE9C" w14:textId="00CB25B8" w:rsidR="00E50676" w:rsidRPr="00074854" w:rsidRDefault="004802C9" w:rsidP="00E50676">
      <w:pPr>
        <w:pStyle w:val="ListParagraph"/>
        <w:numPr>
          <w:ilvl w:val="0"/>
          <w:numId w:val="1"/>
        </w:numPr>
        <w:spacing w:before="100" w:beforeAutospacing="1" w:after="100" w:afterAutospacing="1" w:line="240" w:lineRule="auto"/>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lastRenderedPageBreak/>
        <w:t>Introduction</w:t>
      </w:r>
    </w:p>
    <w:p w14:paraId="30185DFC" w14:textId="133CDF2B" w:rsidR="00E50676" w:rsidRPr="00074854" w:rsidRDefault="004802C9" w:rsidP="00E50676">
      <w:pPr>
        <w:spacing w:before="100" w:beforeAutospacing="1" w:after="100" w:afterAutospacing="1" w:line="360" w:lineRule="auto"/>
        <w:ind w:firstLine="360"/>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kern w:val="0"/>
          <w14:ligatures w14:val="none"/>
        </w:rPr>
        <w:t>Urban parking management has long been treated as a technical matter concerned with traffic flow, enforcement, pricing and the allocation of limited curb space</w:t>
      </w:r>
      <w:r w:rsidR="002263AF" w:rsidRPr="00074854">
        <w:rPr>
          <w:rFonts w:asciiTheme="majorBidi" w:hAnsiTheme="majorBidi" w:cstheme="majorBidi"/>
        </w:rPr>
        <w:t xml:space="preserve"> (</w:t>
      </w:r>
      <w:proofErr w:type="spellStart"/>
      <w:r w:rsidR="002263AF" w:rsidRPr="00074854">
        <w:rPr>
          <w:rFonts w:asciiTheme="majorBidi" w:hAnsiTheme="majorBidi" w:cstheme="majorBidi"/>
        </w:rPr>
        <w:t>Ahmadian</w:t>
      </w:r>
      <w:proofErr w:type="spellEnd"/>
      <w:r w:rsidR="002263AF" w:rsidRPr="00074854">
        <w:rPr>
          <w:rFonts w:asciiTheme="majorBidi" w:hAnsiTheme="majorBidi" w:cstheme="majorBidi"/>
        </w:rPr>
        <w:t xml:space="preserve"> et al., 2025)</w:t>
      </w:r>
      <w:r w:rsidRPr="00074854">
        <w:rPr>
          <w:rFonts w:asciiTheme="majorBidi" w:eastAsia="Times New Roman" w:hAnsiTheme="majorBidi" w:cstheme="majorBidi"/>
          <w:kern w:val="0"/>
          <w14:ligatures w14:val="none"/>
        </w:rPr>
        <w:t>. Yet this narrow administrative view is increasingly inadequate. In rapidly urbanising cities, parking is not simply a logistical issue</w:t>
      </w:r>
      <w:r w:rsidR="002263AF" w:rsidRPr="00074854">
        <w:rPr>
          <w:rFonts w:asciiTheme="majorBidi" w:hAnsiTheme="majorBidi" w:cstheme="majorBidi"/>
        </w:rPr>
        <w:t xml:space="preserve"> (Chen et al., 2025)</w:t>
      </w:r>
      <w:r w:rsidRPr="00074854">
        <w:rPr>
          <w:rFonts w:asciiTheme="majorBidi" w:eastAsia="Times New Roman" w:hAnsiTheme="majorBidi" w:cstheme="majorBidi"/>
          <w:kern w:val="0"/>
          <w14:ligatures w14:val="none"/>
        </w:rPr>
        <w:t>. It is also a governance question that shapes mobility choices, land use, commercial activity, environmental quality, and everyday experiences of access and exclusion</w:t>
      </w:r>
      <w:r w:rsidR="002263AF" w:rsidRPr="00074854">
        <w:rPr>
          <w:rFonts w:asciiTheme="majorBidi" w:hAnsiTheme="majorBidi" w:cstheme="majorBidi"/>
        </w:rPr>
        <w:t xml:space="preserve"> (</w:t>
      </w:r>
      <w:proofErr w:type="spellStart"/>
      <w:r w:rsidR="002263AF" w:rsidRPr="00074854">
        <w:rPr>
          <w:rFonts w:asciiTheme="majorBidi" w:hAnsiTheme="majorBidi" w:cstheme="majorBidi"/>
        </w:rPr>
        <w:t>Nuuyandja</w:t>
      </w:r>
      <w:proofErr w:type="spellEnd"/>
      <w:r w:rsidR="002263AF" w:rsidRPr="00074854">
        <w:rPr>
          <w:rFonts w:asciiTheme="majorBidi" w:hAnsiTheme="majorBidi" w:cstheme="majorBidi"/>
        </w:rPr>
        <w:t xml:space="preserve"> et al., 2025)</w:t>
      </w:r>
      <w:r w:rsidRPr="00074854">
        <w:rPr>
          <w:rFonts w:asciiTheme="majorBidi" w:eastAsia="Times New Roman" w:hAnsiTheme="majorBidi" w:cstheme="majorBidi"/>
          <w:kern w:val="0"/>
          <w14:ligatures w14:val="none"/>
        </w:rPr>
        <w:t xml:space="preserve">. As urban growth intensifies pressure on finite public space, decisions about who parks, where, under what conditions, and with what degree of regulation become inherently political and socially contested. Parking policy therefore needs to be understood not only as an instrument of transport management but also as a site of public decision making and urban citizenship </w:t>
      </w:r>
      <w:r w:rsidR="00BD5B94" w:rsidRPr="00074854">
        <w:rPr>
          <w:rFonts w:asciiTheme="majorBidi" w:hAnsiTheme="majorBidi" w:cstheme="majorBidi"/>
        </w:rPr>
        <w:t>(</w:t>
      </w:r>
      <w:proofErr w:type="spellStart"/>
      <w:r w:rsidR="00BD5B94" w:rsidRPr="00074854">
        <w:rPr>
          <w:rFonts w:asciiTheme="majorBidi" w:hAnsiTheme="majorBidi" w:cstheme="majorBidi"/>
        </w:rPr>
        <w:t>Mouratidis</w:t>
      </w:r>
      <w:proofErr w:type="spellEnd"/>
      <w:r w:rsidR="00BD5B94" w:rsidRPr="00074854">
        <w:rPr>
          <w:rFonts w:asciiTheme="majorBidi" w:hAnsiTheme="majorBidi" w:cstheme="majorBidi"/>
        </w:rPr>
        <w:t xml:space="preserve"> et al., 2026)</w:t>
      </w:r>
      <w:r w:rsidRPr="00074854">
        <w:rPr>
          <w:rFonts w:asciiTheme="majorBidi" w:eastAsia="Times New Roman" w:hAnsiTheme="majorBidi" w:cstheme="majorBidi"/>
          <w:kern w:val="0"/>
          <w14:ligatures w14:val="none"/>
        </w:rPr>
        <w:t xml:space="preserve">. At the same time, global urbanisation continues to place increasing pressure on city systems, making more inclusive and sustainable approaches to urban governance even more necessary </w:t>
      </w:r>
      <w:r w:rsidR="00BD5B94" w:rsidRPr="00074854">
        <w:rPr>
          <w:rFonts w:asciiTheme="majorBidi" w:hAnsiTheme="majorBidi" w:cstheme="majorBidi"/>
        </w:rPr>
        <w:t>(</w:t>
      </w:r>
      <w:proofErr w:type="spellStart"/>
      <w:r w:rsidR="00BD5B94" w:rsidRPr="00074854">
        <w:rPr>
          <w:rFonts w:asciiTheme="majorBidi" w:hAnsiTheme="majorBidi" w:cstheme="majorBidi"/>
        </w:rPr>
        <w:t>Kamana</w:t>
      </w:r>
      <w:proofErr w:type="spellEnd"/>
      <w:r w:rsidR="00BD5B94" w:rsidRPr="00074854">
        <w:rPr>
          <w:rFonts w:asciiTheme="majorBidi" w:hAnsiTheme="majorBidi" w:cstheme="majorBidi"/>
        </w:rPr>
        <w:t xml:space="preserve"> et al., 2023)</w:t>
      </w:r>
      <w:r w:rsidRPr="00074854">
        <w:rPr>
          <w:rFonts w:asciiTheme="majorBidi" w:eastAsia="Times New Roman" w:hAnsiTheme="majorBidi" w:cstheme="majorBidi"/>
          <w:kern w:val="0"/>
          <w14:ligatures w14:val="none"/>
        </w:rPr>
        <w:t xml:space="preserve">. </w:t>
      </w:r>
    </w:p>
    <w:p w14:paraId="5AECBD44" w14:textId="0AEB4789" w:rsidR="00E50676" w:rsidRPr="00074854" w:rsidRDefault="004802C9" w:rsidP="00E50676">
      <w:pPr>
        <w:spacing w:before="100" w:beforeAutospacing="1" w:after="100" w:afterAutospacing="1" w:line="360" w:lineRule="auto"/>
        <w:ind w:firstLine="720"/>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kern w:val="0"/>
          <w14:ligatures w14:val="none"/>
        </w:rPr>
        <w:t xml:space="preserve">This governance dimension becomes especially important when parking reforms involve </w:t>
      </w:r>
      <w:proofErr w:type="spellStart"/>
      <w:r w:rsidRPr="00074854">
        <w:rPr>
          <w:rFonts w:asciiTheme="majorBidi" w:eastAsia="Times New Roman" w:hAnsiTheme="majorBidi" w:cstheme="majorBidi"/>
          <w:kern w:val="0"/>
          <w14:ligatures w14:val="none"/>
        </w:rPr>
        <w:t>trade offs</w:t>
      </w:r>
      <w:proofErr w:type="spellEnd"/>
      <w:r w:rsidRPr="00074854">
        <w:rPr>
          <w:rFonts w:asciiTheme="majorBidi" w:eastAsia="Times New Roman" w:hAnsiTheme="majorBidi" w:cstheme="majorBidi"/>
          <w:kern w:val="0"/>
          <w14:ligatures w14:val="none"/>
        </w:rPr>
        <w:t xml:space="preserve"> among residents, traders, commuters, transport operators, local authorities, and other urban users</w:t>
      </w:r>
      <w:r w:rsidR="00BD5B94" w:rsidRPr="00074854">
        <w:rPr>
          <w:rFonts w:asciiTheme="majorBidi" w:hAnsiTheme="majorBidi" w:cstheme="majorBidi"/>
        </w:rPr>
        <w:t xml:space="preserve"> (Zhang et al., 2026)</w:t>
      </w:r>
      <w:r w:rsidRPr="00074854">
        <w:rPr>
          <w:rFonts w:asciiTheme="majorBidi" w:eastAsia="Times New Roman" w:hAnsiTheme="majorBidi" w:cstheme="majorBidi"/>
          <w:kern w:val="0"/>
          <w14:ligatures w14:val="none"/>
        </w:rPr>
        <w:t>. Measures such as permit systems, parking charges, digital parking technologies, restricted zones, and reallocation of street space may be technically rational, but they often provoke resistance when affected communities perceive them as opaque, imposed, or unfair</w:t>
      </w:r>
      <w:r w:rsidR="00BD5B94" w:rsidRPr="00074854">
        <w:rPr>
          <w:rFonts w:asciiTheme="majorBidi" w:hAnsiTheme="majorBidi" w:cstheme="majorBidi"/>
        </w:rPr>
        <w:t xml:space="preserve"> (Wang &amp; Liu, 2025)</w:t>
      </w:r>
      <w:r w:rsidRPr="00074854">
        <w:rPr>
          <w:rFonts w:asciiTheme="majorBidi" w:eastAsia="Times New Roman" w:hAnsiTheme="majorBidi" w:cstheme="majorBidi"/>
          <w:kern w:val="0"/>
          <w14:ligatures w14:val="none"/>
        </w:rPr>
        <w:t>. The literature on participation has consistently shown that policies are more legitimate and more likely to command compliance when those affected have meaningful opportunities to shape them</w:t>
      </w:r>
      <w:r w:rsidR="00BD5B94" w:rsidRPr="00074854">
        <w:rPr>
          <w:rFonts w:asciiTheme="majorBidi" w:hAnsiTheme="majorBidi" w:cstheme="majorBidi"/>
        </w:rPr>
        <w:t xml:space="preserve"> (Augustin-</w:t>
      </w:r>
      <w:proofErr w:type="spellStart"/>
      <w:r w:rsidR="00BD5B94" w:rsidRPr="00074854">
        <w:rPr>
          <w:rFonts w:asciiTheme="majorBidi" w:hAnsiTheme="majorBidi" w:cstheme="majorBidi"/>
        </w:rPr>
        <w:t>Behravesh</w:t>
      </w:r>
      <w:proofErr w:type="spellEnd"/>
      <w:r w:rsidR="00BD5B94" w:rsidRPr="00074854">
        <w:rPr>
          <w:rFonts w:asciiTheme="majorBidi" w:hAnsiTheme="majorBidi" w:cstheme="majorBidi"/>
        </w:rPr>
        <w:t xml:space="preserve"> et al., 2025; </w:t>
      </w:r>
      <w:proofErr w:type="spellStart"/>
      <w:r w:rsidR="00BD5B94" w:rsidRPr="00074854">
        <w:rPr>
          <w:rFonts w:asciiTheme="majorBidi" w:hAnsiTheme="majorBidi" w:cstheme="majorBidi"/>
        </w:rPr>
        <w:t>İnaç</w:t>
      </w:r>
      <w:proofErr w:type="spellEnd"/>
      <w:r w:rsidR="00BD5B94" w:rsidRPr="00074854">
        <w:rPr>
          <w:rFonts w:asciiTheme="majorBidi" w:hAnsiTheme="majorBidi" w:cstheme="majorBidi"/>
        </w:rPr>
        <w:t>, 2025)</w:t>
      </w:r>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Arnstein’s</w:t>
      </w:r>
      <w:proofErr w:type="spellEnd"/>
      <w:r w:rsidRPr="00074854">
        <w:rPr>
          <w:rFonts w:asciiTheme="majorBidi" w:eastAsia="Times New Roman" w:hAnsiTheme="majorBidi" w:cstheme="majorBidi"/>
          <w:kern w:val="0"/>
          <w14:ligatures w14:val="none"/>
        </w:rPr>
        <w:t xml:space="preserve"> classic ladder reminds us that not all participation is equal, because consultation without influence may simply reproduce tokenism rather than citizen power </w:t>
      </w:r>
      <w:r w:rsidR="00BD5B94" w:rsidRPr="00074854">
        <w:rPr>
          <w:rFonts w:asciiTheme="majorBidi" w:hAnsiTheme="majorBidi" w:cstheme="majorBidi"/>
        </w:rPr>
        <w:t>(Gaber, 2019)</w:t>
      </w:r>
      <w:r w:rsidRPr="00074854">
        <w:rPr>
          <w:rFonts w:asciiTheme="majorBidi" w:eastAsia="Times New Roman" w:hAnsiTheme="majorBidi" w:cstheme="majorBidi"/>
          <w:kern w:val="0"/>
          <w14:ligatures w14:val="none"/>
        </w:rPr>
        <w:t xml:space="preserve">. In a similar vein, collaborative governance scholarship emphasises that complex public problems are better addressed when public agencies engage stakeholders directly in shared, </w:t>
      </w:r>
      <w:proofErr w:type="gramStart"/>
      <w:r w:rsidRPr="00074854">
        <w:rPr>
          <w:rFonts w:asciiTheme="majorBidi" w:eastAsia="Times New Roman" w:hAnsiTheme="majorBidi" w:cstheme="majorBidi"/>
          <w:kern w:val="0"/>
          <w14:ligatures w14:val="none"/>
        </w:rPr>
        <w:t>consensus oriented</w:t>
      </w:r>
      <w:proofErr w:type="gramEnd"/>
      <w:r w:rsidRPr="00074854">
        <w:rPr>
          <w:rFonts w:asciiTheme="majorBidi" w:eastAsia="Times New Roman" w:hAnsiTheme="majorBidi" w:cstheme="majorBidi"/>
          <w:kern w:val="0"/>
          <w14:ligatures w14:val="none"/>
        </w:rPr>
        <w:t xml:space="preserve"> processes rather than relying solely on managerial command structures </w:t>
      </w:r>
      <w:r w:rsidR="00BD5B94" w:rsidRPr="00074854">
        <w:rPr>
          <w:rFonts w:asciiTheme="majorBidi" w:hAnsiTheme="majorBidi" w:cstheme="majorBidi"/>
        </w:rPr>
        <w:t>(Wang &amp; Ran, 2021)</w:t>
      </w:r>
      <w:r w:rsidRPr="00074854">
        <w:rPr>
          <w:rFonts w:asciiTheme="majorBidi" w:eastAsia="Times New Roman" w:hAnsiTheme="majorBidi" w:cstheme="majorBidi"/>
          <w:kern w:val="0"/>
          <w14:ligatures w14:val="none"/>
        </w:rPr>
        <w:t xml:space="preserve">. </w:t>
      </w:r>
    </w:p>
    <w:p w14:paraId="1C23C49B" w14:textId="05D8A935" w:rsidR="00E50676" w:rsidRPr="00074854" w:rsidRDefault="004802C9" w:rsidP="00E50676">
      <w:pPr>
        <w:spacing w:before="100" w:beforeAutospacing="1" w:after="100" w:afterAutospacing="1" w:line="360" w:lineRule="auto"/>
        <w:ind w:firstLine="720"/>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kern w:val="0"/>
          <w14:ligatures w14:val="none"/>
        </w:rPr>
        <w:t>Within urban mobility debates, however, the participatory dimension of parking remains underdeveloped compared with the substantial attention given to parking supply, pricing, enforcement, and technological optimisation</w:t>
      </w:r>
      <w:r w:rsidR="00BD5B94" w:rsidRPr="00074854">
        <w:rPr>
          <w:rFonts w:asciiTheme="majorBidi" w:hAnsiTheme="majorBidi" w:cstheme="majorBidi"/>
        </w:rPr>
        <w:t xml:space="preserve"> (Chen et al., 2024)</w:t>
      </w:r>
      <w:r w:rsidRPr="00074854">
        <w:rPr>
          <w:rFonts w:asciiTheme="majorBidi" w:eastAsia="Times New Roman" w:hAnsiTheme="majorBidi" w:cstheme="majorBidi"/>
          <w:kern w:val="0"/>
          <w14:ligatures w14:val="none"/>
        </w:rPr>
        <w:t xml:space="preserve">. Parking scholarship has been </w:t>
      </w:r>
      <w:r w:rsidRPr="00074854">
        <w:rPr>
          <w:rFonts w:asciiTheme="majorBidi" w:eastAsia="Times New Roman" w:hAnsiTheme="majorBidi" w:cstheme="majorBidi"/>
          <w:kern w:val="0"/>
          <w14:ligatures w14:val="none"/>
        </w:rPr>
        <w:lastRenderedPageBreak/>
        <w:t>highly influential in showing how conventional parking policy can distort transport behaviour and undermine broader urban goals</w:t>
      </w:r>
      <w:r w:rsidR="00BD5B94"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 xml:space="preserve">Even so, much of this literature still treats the public as users to be managed rather than as actors who should help shape policy design. More recent work on community engagement and urban innovation has begun to challenge such technocratic tendencies by arguing that urban policy becomes more responsive and socially sustainable when cities create platforms for co creation rather than </w:t>
      </w:r>
      <w:proofErr w:type="gramStart"/>
      <w:r w:rsidRPr="00074854">
        <w:rPr>
          <w:rFonts w:asciiTheme="majorBidi" w:eastAsia="Times New Roman" w:hAnsiTheme="majorBidi" w:cstheme="majorBidi"/>
          <w:kern w:val="0"/>
          <w14:ligatures w14:val="none"/>
        </w:rPr>
        <w:t>one way</w:t>
      </w:r>
      <w:proofErr w:type="gramEnd"/>
      <w:r w:rsidRPr="00074854">
        <w:rPr>
          <w:rFonts w:asciiTheme="majorBidi" w:eastAsia="Times New Roman" w:hAnsiTheme="majorBidi" w:cstheme="majorBidi"/>
          <w:kern w:val="0"/>
          <w14:ligatures w14:val="none"/>
        </w:rPr>
        <w:t xml:space="preserve"> consultation</w:t>
      </w:r>
      <w:r w:rsidR="00BD5B94" w:rsidRPr="00074854">
        <w:rPr>
          <w:rFonts w:asciiTheme="majorBidi" w:hAnsiTheme="majorBidi" w:cstheme="majorBidi"/>
        </w:rPr>
        <w:t xml:space="preserve"> (Shaker, 2025; </w:t>
      </w:r>
      <w:proofErr w:type="spellStart"/>
      <w:r w:rsidR="00BD5B94" w:rsidRPr="00074854">
        <w:rPr>
          <w:rFonts w:asciiTheme="majorBidi" w:hAnsiTheme="majorBidi" w:cstheme="majorBidi"/>
        </w:rPr>
        <w:t>Almulhim</w:t>
      </w:r>
      <w:proofErr w:type="spellEnd"/>
      <w:r w:rsidR="00BD5B94" w:rsidRPr="00074854">
        <w:rPr>
          <w:rFonts w:asciiTheme="majorBidi" w:hAnsiTheme="majorBidi" w:cstheme="majorBidi"/>
        </w:rPr>
        <w:t xml:space="preserve"> &amp; </w:t>
      </w:r>
      <w:proofErr w:type="spellStart"/>
      <w:r w:rsidR="00BD5B94" w:rsidRPr="00074854">
        <w:rPr>
          <w:rFonts w:asciiTheme="majorBidi" w:hAnsiTheme="majorBidi" w:cstheme="majorBidi"/>
        </w:rPr>
        <w:t>Yigitcanlar</w:t>
      </w:r>
      <w:proofErr w:type="spellEnd"/>
      <w:r w:rsidR="00BD5B94" w:rsidRPr="00074854">
        <w:rPr>
          <w:rFonts w:asciiTheme="majorBidi" w:hAnsiTheme="majorBidi" w:cstheme="majorBidi"/>
        </w:rPr>
        <w:t>, 2025)</w:t>
      </w:r>
      <w:r w:rsidRPr="00074854">
        <w:rPr>
          <w:rFonts w:asciiTheme="majorBidi" w:eastAsia="Times New Roman" w:hAnsiTheme="majorBidi" w:cstheme="majorBidi"/>
          <w:kern w:val="0"/>
          <w14:ligatures w14:val="none"/>
        </w:rPr>
        <w:t xml:space="preserve">. Related research in African urban planning also shows that the effectiveness of participation depends not merely on formal opportunities for engagement but on the extent to which citizens can exercise real influence within local governance structures </w:t>
      </w:r>
      <w:r w:rsidR="00BD5B94" w:rsidRPr="00074854">
        <w:rPr>
          <w:rFonts w:asciiTheme="majorBidi" w:hAnsiTheme="majorBidi" w:cstheme="majorBidi"/>
        </w:rPr>
        <w:t>(</w:t>
      </w:r>
      <w:proofErr w:type="spellStart"/>
      <w:r w:rsidR="00BD5B94" w:rsidRPr="00074854">
        <w:rPr>
          <w:rFonts w:asciiTheme="majorBidi" w:hAnsiTheme="majorBidi" w:cstheme="majorBidi"/>
        </w:rPr>
        <w:t>Tchakouni</w:t>
      </w:r>
      <w:proofErr w:type="spellEnd"/>
      <w:r w:rsidR="00BD5B94" w:rsidRPr="00074854">
        <w:rPr>
          <w:rFonts w:asciiTheme="majorBidi" w:hAnsiTheme="majorBidi" w:cstheme="majorBidi"/>
        </w:rPr>
        <w:t xml:space="preserve"> </w:t>
      </w:r>
      <w:proofErr w:type="spellStart"/>
      <w:r w:rsidR="00BD5B94" w:rsidRPr="00074854">
        <w:rPr>
          <w:rFonts w:asciiTheme="majorBidi" w:hAnsiTheme="majorBidi" w:cstheme="majorBidi"/>
        </w:rPr>
        <w:t>Sondou</w:t>
      </w:r>
      <w:proofErr w:type="spellEnd"/>
      <w:r w:rsidR="00BD5B94" w:rsidRPr="00074854">
        <w:rPr>
          <w:rFonts w:asciiTheme="majorBidi" w:hAnsiTheme="majorBidi" w:cstheme="majorBidi"/>
        </w:rPr>
        <w:t xml:space="preserve"> et al., 2025; Anthony, 2023)</w:t>
      </w:r>
      <w:r w:rsidRPr="00074854">
        <w:rPr>
          <w:rFonts w:asciiTheme="majorBidi" w:eastAsia="Times New Roman" w:hAnsiTheme="majorBidi" w:cstheme="majorBidi"/>
          <w:kern w:val="0"/>
          <w14:ligatures w14:val="none"/>
        </w:rPr>
        <w:t xml:space="preserve">. </w:t>
      </w:r>
    </w:p>
    <w:p w14:paraId="5DD0469E" w14:textId="1E4A9C07" w:rsidR="00E50676" w:rsidRPr="00074854" w:rsidRDefault="004802C9" w:rsidP="00E50676">
      <w:pPr>
        <w:spacing w:before="100" w:beforeAutospacing="1" w:after="100" w:afterAutospacing="1" w:line="360" w:lineRule="auto"/>
        <w:ind w:firstLine="720"/>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kern w:val="0"/>
          <w14:ligatures w14:val="none"/>
        </w:rPr>
        <w:t>These debates are highly relevant to Ghana, where urban expansion, increasing vehicle ownership, congestion, and unregulated parking have intensified pressure on local transport governance. Evidence from the underlying doctoral study indicates that, in cities such as Accra, Kumasi, and Takoradi, public engagement in parking governance remains weak, irregular, and largely symbolic</w:t>
      </w:r>
      <w:r w:rsidR="00BD5B94" w:rsidRPr="00074854">
        <w:rPr>
          <w:rFonts w:asciiTheme="majorBidi" w:hAnsiTheme="majorBidi" w:cstheme="majorBidi"/>
        </w:rPr>
        <w:t xml:space="preserve"> (</w:t>
      </w:r>
      <w:proofErr w:type="spellStart"/>
      <w:r w:rsidR="00BD5B94" w:rsidRPr="00074854">
        <w:rPr>
          <w:rFonts w:asciiTheme="majorBidi" w:hAnsiTheme="majorBidi" w:cstheme="majorBidi"/>
        </w:rPr>
        <w:t>Korah</w:t>
      </w:r>
      <w:proofErr w:type="spellEnd"/>
      <w:r w:rsidR="00BD5B94" w:rsidRPr="00074854">
        <w:rPr>
          <w:rFonts w:asciiTheme="majorBidi" w:hAnsiTheme="majorBidi" w:cstheme="majorBidi"/>
        </w:rPr>
        <w:t xml:space="preserve">, 2020; </w:t>
      </w:r>
      <w:proofErr w:type="spellStart"/>
      <w:r w:rsidR="00BD5B94" w:rsidRPr="00074854">
        <w:rPr>
          <w:rFonts w:asciiTheme="majorBidi" w:hAnsiTheme="majorBidi" w:cstheme="majorBidi"/>
        </w:rPr>
        <w:t>Ntim</w:t>
      </w:r>
      <w:proofErr w:type="spellEnd"/>
      <w:r w:rsidR="00BD5B94" w:rsidRPr="00074854">
        <w:rPr>
          <w:rFonts w:asciiTheme="majorBidi" w:hAnsiTheme="majorBidi" w:cstheme="majorBidi"/>
        </w:rPr>
        <w:t xml:space="preserve"> et al., 2022)</w:t>
      </w:r>
      <w:r w:rsidRPr="00074854">
        <w:rPr>
          <w:rFonts w:asciiTheme="majorBidi" w:eastAsia="Times New Roman" w:hAnsiTheme="majorBidi" w:cstheme="majorBidi"/>
          <w:kern w:val="0"/>
          <w14:ligatures w14:val="none"/>
        </w:rPr>
        <w:t>. Participation is often confined to limited consultation, with little influence over final decisions, while institutional fragmentation, low civic literacy, political interference, and logistical barriers further constrain meaningful citizen involvement. International examples from the United Kingdom, the Netherlands, South Africa, and Kenya suggest that more inclusive, structured, and legally supported participation is possible, but such practices remain insufficiently institutionalised in the Ghanaian context</w:t>
      </w:r>
      <w:r w:rsidR="00BD5B94" w:rsidRPr="00074854">
        <w:rPr>
          <w:rFonts w:asciiTheme="majorBidi" w:hAnsiTheme="majorBidi" w:cstheme="majorBidi"/>
        </w:rPr>
        <w:t xml:space="preserve"> (Das &amp; Espinoza, 2020)</w:t>
      </w:r>
      <w:r w:rsidRPr="00074854">
        <w:rPr>
          <w:rFonts w:asciiTheme="majorBidi" w:eastAsia="Times New Roman" w:hAnsiTheme="majorBidi" w:cstheme="majorBidi"/>
          <w:kern w:val="0"/>
          <w14:ligatures w14:val="none"/>
        </w:rPr>
        <w:t xml:space="preserve">. The result is a pattern in which parking governance is still dominated by administrative and technocratic logics rather than shared problem solving with citizens. </w:t>
      </w:r>
    </w:p>
    <w:p w14:paraId="2F9E4FC3" w14:textId="40CADE40" w:rsidR="004802C9" w:rsidRPr="00074854" w:rsidRDefault="004802C9" w:rsidP="00E50676">
      <w:pPr>
        <w:spacing w:before="100" w:beforeAutospacing="1" w:after="100" w:afterAutospacing="1" w:line="360" w:lineRule="auto"/>
        <w:ind w:firstLine="720"/>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kern w:val="0"/>
          <w14:ligatures w14:val="none"/>
        </w:rPr>
        <w:t xml:space="preserve">Against this background, this article argues that the central problem in urban parking management in Ghana is not simply one of inadequate enforcement or infrastructure, but one of governance design. Specifically, the prevailing model of public engagement remains too close to tokenism and too far from co governance. The article therefore examines how current engagement practices in urban parking management reproduce shallow participation and proposes a shift toward co governance as a more legitimate, inclusive, and effective framework. </w:t>
      </w:r>
      <w:r w:rsidR="00074854" w:rsidRPr="00074854">
        <w:rPr>
          <w:rFonts w:asciiTheme="majorBidi" w:hAnsiTheme="majorBidi" w:cstheme="majorBidi"/>
        </w:rPr>
        <w:t xml:space="preserve">The </w:t>
      </w:r>
      <w:r w:rsidR="00074854">
        <w:rPr>
          <w:rFonts w:asciiTheme="majorBidi" w:hAnsiTheme="majorBidi" w:cstheme="majorBidi"/>
        </w:rPr>
        <w:t xml:space="preserve">main </w:t>
      </w:r>
      <w:r w:rsidR="00074854" w:rsidRPr="00074854">
        <w:rPr>
          <w:rFonts w:asciiTheme="majorBidi" w:hAnsiTheme="majorBidi" w:cstheme="majorBidi"/>
        </w:rPr>
        <w:t xml:space="preserve">objective of the study is to assess existing engagement practices, identify the barriers that constrain effective citizen participation, and propose a shift toward co governance as a more inclusive and </w:t>
      </w:r>
      <w:r w:rsidR="00074854" w:rsidRPr="00074854">
        <w:rPr>
          <w:rFonts w:asciiTheme="majorBidi" w:hAnsiTheme="majorBidi" w:cstheme="majorBidi"/>
        </w:rPr>
        <w:lastRenderedPageBreak/>
        <w:t>effective model of urban parking policy.</w:t>
      </w:r>
      <w:r w:rsidR="00074854">
        <w:rPr>
          <w:rFonts w:asciiTheme="majorBidi" w:hAnsiTheme="majorBidi" w:cstheme="majorBidi"/>
        </w:rPr>
        <w:t xml:space="preserve"> </w:t>
      </w:r>
      <w:r w:rsidRPr="00074854">
        <w:rPr>
          <w:rFonts w:asciiTheme="majorBidi" w:eastAsia="Times New Roman" w:hAnsiTheme="majorBidi" w:cstheme="majorBidi"/>
          <w:kern w:val="0"/>
          <w14:ligatures w14:val="none"/>
        </w:rPr>
        <w:t xml:space="preserve">By reframing parking as a democratic and participatory issue rather than merely a technical one, the article contributes to debates in public administration, urban governance, and mobility policy. Its core claim is that parking reform will be more sustainable, more context sensitive, and more publicly legitimate when citizens are treated not as passive recipients of policy but as active partners in its formation, implementation and review. </w:t>
      </w:r>
    </w:p>
    <w:p w14:paraId="379B5CDD" w14:textId="12F050AD" w:rsidR="004802C9" w:rsidRPr="00074854" w:rsidRDefault="00BA0415" w:rsidP="00E50676">
      <w:pPr>
        <w:spacing w:before="100" w:beforeAutospacing="1" w:after="100" w:afterAutospacing="1" w:line="360" w:lineRule="auto"/>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2</w:t>
      </w:r>
      <w:r w:rsidR="004802C9" w:rsidRPr="00074854">
        <w:rPr>
          <w:rFonts w:asciiTheme="majorBidi" w:eastAsia="Times New Roman" w:hAnsiTheme="majorBidi" w:cstheme="majorBidi"/>
          <w:b/>
          <w:bCs/>
          <w:kern w:val="0"/>
          <w14:ligatures w14:val="none"/>
        </w:rPr>
        <w:t>.</w:t>
      </w:r>
      <w:r w:rsidRPr="00074854">
        <w:rPr>
          <w:rFonts w:asciiTheme="majorBidi" w:eastAsia="Times New Roman" w:hAnsiTheme="majorBidi" w:cstheme="majorBidi"/>
          <w:b/>
          <w:bCs/>
          <w:kern w:val="0"/>
          <w14:ligatures w14:val="none"/>
        </w:rPr>
        <w:t>0</w:t>
      </w:r>
      <w:r w:rsidR="004802C9" w:rsidRPr="00074854">
        <w:rPr>
          <w:rFonts w:asciiTheme="majorBidi" w:eastAsia="Times New Roman" w:hAnsiTheme="majorBidi" w:cstheme="majorBidi"/>
          <w:b/>
          <w:bCs/>
          <w:kern w:val="0"/>
          <w14:ligatures w14:val="none"/>
        </w:rPr>
        <w:t xml:space="preserve"> Literature Review</w:t>
      </w:r>
    </w:p>
    <w:p w14:paraId="5E4663AC" w14:textId="770C97EE" w:rsidR="004802C9" w:rsidRPr="00074854" w:rsidRDefault="00BA0415" w:rsidP="00E50676">
      <w:pPr>
        <w:spacing w:before="100" w:beforeAutospacing="1" w:after="100" w:afterAutospacing="1" w:line="360" w:lineRule="auto"/>
        <w:jc w:val="both"/>
        <w:outlineLvl w:val="2"/>
        <w:rPr>
          <w:rFonts w:asciiTheme="majorBidi" w:eastAsia="Times New Roman" w:hAnsiTheme="majorBidi" w:cstheme="majorBidi"/>
          <w:i/>
          <w:iCs/>
          <w:kern w:val="0"/>
          <w14:ligatures w14:val="none"/>
        </w:rPr>
      </w:pPr>
      <w:r w:rsidRPr="00074854">
        <w:rPr>
          <w:rFonts w:asciiTheme="majorBidi" w:eastAsia="Times New Roman" w:hAnsiTheme="majorBidi" w:cstheme="majorBidi"/>
          <w:i/>
          <w:iCs/>
          <w:kern w:val="0"/>
          <w14:ligatures w14:val="none"/>
        </w:rPr>
        <w:t>2</w:t>
      </w:r>
      <w:r w:rsidR="004802C9" w:rsidRPr="00074854">
        <w:rPr>
          <w:rFonts w:asciiTheme="majorBidi" w:eastAsia="Times New Roman" w:hAnsiTheme="majorBidi" w:cstheme="majorBidi"/>
          <w:i/>
          <w:iCs/>
          <w:kern w:val="0"/>
          <w14:ligatures w14:val="none"/>
        </w:rPr>
        <w:t>.1 Parking Management as an Urban Governance Issue</w:t>
      </w:r>
    </w:p>
    <w:p w14:paraId="113E4EA8" w14:textId="6CD7BCEA" w:rsidR="004802C9" w:rsidRPr="00074854" w:rsidRDefault="004802C9"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Parking management is often presented as a technical matter involving supply, pricing, enforcement, and traffic control</w:t>
      </w:r>
      <w:r w:rsidR="00BF704B" w:rsidRPr="00074854">
        <w:rPr>
          <w:rFonts w:asciiTheme="majorBidi" w:hAnsiTheme="majorBidi" w:cstheme="majorBidi"/>
        </w:rPr>
        <w:t xml:space="preserve"> (Zhang et al., 2026)</w:t>
      </w:r>
      <w:r w:rsidRPr="00074854">
        <w:rPr>
          <w:rFonts w:asciiTheme="majorBidi" w:eastAsia="Times New Roman" w:hAnsiTheme="majorBidi" w:cstheme="majorBidi"/>
          <w:kern w:val="0"/>
          <w14:ligatures w14:val="none"/>
        </w:rPr>
        <w:t>. However, the literature shows that parking also shapes land use, travel behaviour, environmental outcomes, and access to urban space</w:t>
      </w:r>
      <w:r w:rsidR="00BF704B" w:rsidRPr="00074854">
        <w:rPr>
          <w:rFonts w:asciiTheme="majorBidi" w:hAnsiTheme="majorBidi" w:cstheme="majorBidi"/>
        </w:rPr>
        <w:t xml:space="preserve"> (Combes et al., 2026)</w:t>
      </w:r>
      <w:r w:rsidRPr="00074854">
        <w:rPr>
          <w:rFonts w:asciiTheme="majorBidi" w:eastAsia="Times New Roman" w:hAnsiTheme="majorBidi" w:cstheme="majorBidi"/>
          <w:kern w:val="0"/>
          <w14:ligatures w14:val="none"/>
        </w:rPr>
        <w:t xml:space="preserve">. </w:t>
      </w:r>
      <w:r w:rsidR="00BF704B" w:rsidRPr="00074854">
        <w:rPr>
          <w:rFonts w:asciiTheme="majorBidi" w:eastAsia="Times New Roman" w:hAnsiTheme="majorBidi" w:cstheme="majorBidi"/>
          <w:kern w:val="0"/>
          <w14:ligatures w14:val="none"/>
        </w:rPr>
        <w:t>P</w:t>
      </w:r>
      <w:r w:rsidRPr="00074854">
        <w:rPr>
          <w:rFonts w:asciiTheme="majorBidi" w:eastAsia="Times New Roman" w:hAnsiTheme="majorBidi" w:cstheme="majorBidi"/>
          <w:kern w:val="0"/>
          <w14:ligatures w14:val="none"/>
        </w:rPr>
        <w:t>arking policy is never neutral because it influences car dependence, congestion, and development patterns</w:t>
      </w:r>
      <w:r w:rsidR="00BF704B" w:rsidRPr="00074854">
        <w:rPr>
          <w:rFonts w:asciiTheme="majorBidi" w:hAnsiTheme="majorBidi" w:cstheme="majorBidi"/>
        </w:rPr>
        <w:t xml:space="preserve"> (Kong et al., 2024)</w:t>
      </w:r>
      <w:r w:rsidRPr="00074854">
        <w:rPr>
          <w:rFonts w:asciiTheme="majorBidi" w:eastAsia="Times New Roman" w:hAnsiTheme="majorBidi" w:cstheme="majorBidi"/>
          <w:kern w:val="0"/>
          <w14:ligatures w14:val="none"/>
        </w:rPr>
        <w:t>. Similarly, parking management is closely linked to wider goals of liveable and sustainable cities. This means that parking should be understood not only as a transport issue but also as an urban governance issue</w:t>
      </w:r>
      <w:r w:rsidR="00BF704B" w:rsidRPr="00074854">
        <w:rPr>
          <w:rFonts w:asciiTheme="majorBidi" w:hAnsiTheme="majorBidi" w:cstheme="majorBidi"/>
        </w:rPr>
        <w:t xml:space="preserve"> (</w:t>
      </w:r>
      <w:proofErr w:type="spellStart"/>
      <w:r w:rsidR="00BF704B" w:rsidRPr="00074854">
        <w:rPr>
          <w:rFonts w:asciiTheme="majorBidi" w:hAnsiTheme="majorBidi" w:cstheme="majorBidi"/>
        </w:rPr>
        <w:t>Zellmann</w:t>
      </w:r>
      <w:proofErr w:type="spellEnd"/>
      <w:r w:rsidR="00BF704B" w:rsidRPr="00074854">
        <w:rPr>
          <w:rFonts w:asciiTheme="majorBidi" w:hAnsiTheme="majorBidi" w:cstheme="majorBidi"/>
        </w:rPr>
        <w:t xml:space="preserve"> et al., 2026)</w:t>
      </w:r>
      <w:r w:rsidRPr="00074854">
        <w:rPr>
          <w:rFonts w:asciiTheme="majorBidi" w:eastAsia="Times New Roman" w:hAnsiTheme="majorBidi" w:cstheme="majorBidi"/>
          <w:kern w:val="0"/>
          <w14:ligatures w14:val="none"/>
        </w:rPr>
        <w:t>.</w:t>
      </w:r>
      <w:r w:rsidR="00E50676"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 xml:space="preserve">In African cities, this governance dimension is even more visible because parking problems are frequently linked to weak planning systems, fragmented institutional responsibilities, and rapid urban growth. Research from Ghana shows that parking challenges in places such as Kumasi and Accra are shaped not only by infrastructure deficits but also by governance failures and poor coordination </w:t>
      </w:r>
      <w:r w:rsidR="00BF704B" w:rsidRPr="00074854">
        <w:rPr>
          <w:rFonts w:asciiTheme="majorBidi" w:hAnsiTheme="majorBidi" w:cstheme="majorBidi"/>
        </w:rPr>
        <w:t>(</w:t>
      </w:r>
      <w:proofErr w:type="spellStart"/>
      <w:r w:rsidR="00BF704B" w:rsidRPr="00074854">
        <w:rPr>
          <w:rFonts w:asciiTheme="majorBidi" w:hAnsiTheme="majorBidi" w:cstheme="majorBidi"/>
        </w:rPr>
        <w:t>Anarfi</w:t>
      </w:r>
      <w:proofErr w:type="spellEnd"/>
      <w:r w:rsidR="00BF704B" w:rsidRPr="00074854">
        <w:rPr>
          <w:rFonts w:asciiTheme="majorBidi" w:hAnsiTheme="majorBidi" w:cstheme="majorBidi"/>
        </w:rPr>
        <w:t xml:space="preserve"> et al., 2022).</w:t>
      </w:r>
      <w:r w:rsidR="00BF704B"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Parking management therefore involves decisions about how scarce public space is allocated and whose interests are prioritised. In that sense, it is fundamentally a public policy and governance concern.</w:t>
      </w:r>
    </w:p>
    <w:p w14:paraId="1E5C4F03" w14:textId="1F292211" w:rsidR="004802C9" w:rsidRPr="00074854" w:rsidRDefault="00BA0415" w:rsidP="00E50676">
      <w:pPr>
        <w:spacing w:before="100" w:beforeAutospacing="1" w:after="100" w:afterAutospacing="1" w:line="360" w:lineRule="auto"/>
        <w:jc w:val="both"/>
        <w:outlineLvl w:val="2"/>
        <w:rPr>
          <w:rFonts w:asciiTheme="majorBidi" w:eastAsia="Times New Roman" w:hAnsiTheme="majorBidi" w:cstheme="majorBidi"/>
          <w:i/>
          <w:iCs/>
          <w:kern w:val="0"/>
          <w14:ligatures w14:val="none"/>
        </w:rPr>
      </w:pPr>
      <w:r w:rsidRPr="00074854">
        <w:rPr>
          <w:rFonts w:asciiTheme="majorBidi" w:eastAsia="Times New Roman" w:hAnsiTheme="majorBidi" w:cstheme="majorBidi"/>
          <w:i/>
          <w:iCs/>
          <w:kern w:val="0"/>
          <w14:ligatures w14:val="none"/>
        </w:rPr>
        <w:t>2</w:t>
      </w:r>
      <w:r w:rsidR="004802C9" w:rsidRPr="00074854">
        <w:rPr>
          <w:rFonts w:asciiTheme="majorBidi" w:eastAsia="Times New Roman" w:hAnsiTheme="majorBidi" w:cstheme="majorBidi"/>
          <w:i/>
          <w:iCs/>
          <w:kern w:val="0"/>
          <w14:ligatures w14:val="none"/>
        </w:rPr>
        <w:t>.2 Public Engagement, Tokenism, and Co Governance</w:t>
      </w:r>
    </w:p>
    <w:p w14:paraId="51689531" w14:textId="3494E5BC" w:rsidR="004802C9" w:rsidRPr="00074854" w:rsidRDefault="004802C9"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participation literature shows that public engagement is meaningful only when citizens have some real influence over decisions. </w:t>
      </w:r>
      <w:proofErr w:type="spellStart"/>
      <w:r w:rsidRPr="00074854">
        <w:rPr>
          <w:rFonts w:asciiTheme="majorBidi" w:eastAsia="Times New Roman" w:hAnsiTheme="majorBidi" w:cstheme="majorBidi"/>
          <w:kern w:val="0"/>
          <w14:ligatures w14:val="none"/>
        </w:rPr>
        <w:t>Arnstein’s</w:t>
      </w:r>
      <w:proofErr w:type="spellEnd"/>
      <w:r w:rsidRPr="00074854">
        <w:rPr>
          <w:rFonts w:asciiTheme="majorBidi" w:eastAsia="Times New Roman" w:hAnsiTheme="majorBidi" w:cstheme="majorBidi"/>
          <w:kern w:val="0"/>
          <w14:ligatures w14:val="none"/>
        </w:rPr>
        <w:t xml:space="preserve"> (1969) ladder of citizen participation remains important because it distinguishes between tokenistic participation and genuine citizen power</w:t>
      </w:r>
      <w:r w:rsidR="008E593C" w:rsidRPr="00074854">
        <w:rPr>
          <w:rFonts w:asciiTheme="majorBidi" w:hAnsiTheme="majorBidi" w:cstheme="majorBidi"/>
        </w:rPr>
        <w:t xml:space="preserve"> (Gonçalves, 2025)</w:t>
      </w:r>
      <w:r w:rsidRPr="00074854">
        <w:rPr>
          <w:rFonts w:asciiTheme="majorBidi" w:eastAsia="Times New Roman" w:hAnsiTheme="majorBidi" w:cstheme="majorBidi"/>
          <w:kern w:val="0"/>
          <w14:ligatures w14:val="none"/>
        </w:rPr>
        <w:t>. Consultation alone is not enough if decisions remain fully controlled by authorities. This distinction is relevant to parking governance, where public engagement may exist formally but still fail to shape final outcomes.</w:t>
      </w:r>
      <w:r w:rsidR="00E50676"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 xml:space="preserve">Collaborative governance scholarship deepens this </w:t>
      </w:r>
      <w:r w:rsidRPr="00074854">
        <w:rPr>
          <w:rFonts w:asciiTheme="majorBidi" w:eastAsia="Times New Roman" w:hAnsiTheme="majorBidi" w:cstheme="majorBidi"/>
          <w:kern w:val="0"/>
          <w14:ligatures w14:val="none"/>
        </w:rPr>
        <w:lastRenderedPageBreak/>
        <w:t>argument by showing that complex public problems are better addressed when public agencies and stakeholders work together in a structured and sustained way</w:t>
      </w:r>
      <w:r w:rsidR="008E593C" w:rsidRPr="00074854">
        <w:rPr>
          <w:rFonts w:asciiTheme="majorBidi" w:hAnsiTheme="majorBidi" w:cstheme="majorBidi"/>
        </w:rPr>
        <w:t xml:space="preserve"> (Bonny &amp; Tereza </w:t>
      </w:r>
      <w:proofErr w:type="spellStart"/>
      <w:r w:rsidR="008E593C" w:rsidRPr="00074854">
        <w:rPr>
          <w:rFonts w:asciiTheme="majorBidi" w:hAnsiTheme="majorBidi" w:cstheme="majorBidi"/>
        </w:rPr>
        <w:t>Cahlikova</w:t>
      </w:r>
      <w:proofErr w:type="spellEnd"/>
      <w:r w:rsidR="008E593C" w:rsidRPr="00074854">
        <w:rPr>
          <w:rFonts w:asciiTheme="majorBidi" w:hAnsiTheme="majorBidi" w:cstheme="majorBidi"/>
        </w:rPr>
        <w:t>, 2024)</w:t>
      </w:r>
      <w:r w:rsidRPr="00074854">
        <w:rPr>
          <w:rFonts w:asciiTheme="majorBidi" w:eastAsia="Times New Roman" w:hAnsiTheme="majorBidi" w:cstheme="majorBidi"/>
          <w:kern w:val="0"/>
          <w14:ligatures w14:val="none"/>
        </w:rPr>
        <w:t xml:space="preserve">. Recent work on urban co creation makes a similar point by stressing that communities should be involved not only in reacting to policy but also in helping define problems and design solutions </w:t>
      </w:r>
      <w:r w:rsidR="008E593C" w:rsidRPr="00074854">
        <w:rPr>
          <w:rFonts w:asciiTheme="majorBidi" w:hAnsiTheme="majorBidi" w:cstheme="majorBidi"/>
        </w:rPr>
        <w:t xml:space="preserve">(Bradley &amp; Mahmoud, 2024; </w:t>
      </w:r>
      <w:proofErr w:type="spellStart"/>
      <w:r w:rsidR="008E593C" w:rsidRPr="00074854">
        <w:rPr>
          <w:rFonts w:asciiTheme="majorBidi" w:hAnsiTheme="majorBidi" w:cstheme="majorBidi"/>
        </w:rPr>
        <w:t>Gálvez</w:t>
      </w:r>
      <w:proofErr w:type="spellEnd"/>
      <w:r w:rsidR="008E593C" w:rsidRPr="00074854">
        <w:rPr>
          <w:rFonts w:asciiTheme="majorBidi" w:hAnsiTheme="majorBidi" w:cstheme="majorBidi"/>
        </w:rPr>
        <w:t xml:space="preserve"> &amp; </w:t>
      </w:r>
      <w:proofErr w:type="spellStart"/>
      <w:r w:rsidR="008E593C" w:rsidRPr="00074854">
        <w:rPr>
          <w:rFonts w:asciiTheme="majorBidi" w:hAnsiTheme="majorBidi" w:cstheme="majorBidi"/>
        </w:rPr>
        <w:t>Sandholz</w:t>
      </w:r>
      <w:proofErr w:type="spellEnd"/>
      <w:r w:rsidR="008E593C" w:rsidRPr="00074854">
        <w:rPr>
          <w:rFonts w:asciiTheme="majorBidi" w:hAnsiTheme="majorBidi" w:cstheme="majorBidi"/>
        </w:rPr>
        <w:t>, 2026))</w:t>
      </w:r>
      <w:r w:rsidRPr="00074854">
        <w:rPr>
          <w:rFonts w:asciiTheme="majorBidi" w:eastAsia="Times New Roman" w:hAnsiTheme="majorBidi" w:cstheme="majorBidi"/>
          <w:kern w:val="0"/>
          <w14:ligatures w14:val="none"/>
        </w:rPr>
        <w:t>. In this article, co governance is therefore understood as a stronger and more democratic alternative to symbolic consultation.</w:t>
      </w:r>
    </w:p>
    <w:p w14:paraId="34304E72" w14:textId="67DC7CEA" w:rsidR="004802C9" w:rsidRPr="00074854" w:rsidRDefault="00BA0415" w:rsidP="00E50676">
      <w:pPr>
        <w:spacing w:before="100" w:beforeAutospacing="1" w:after="100" w:afterAutospacing="1" w:line="360" w:lineRule="auto"/>
        <w:jc w:val="both"/>
        <w:outlineLvl w:val="2"/>
        <w:rPr>
          <w:rFonts w:asciiTheme="majorBidi" w:eastAsia="Times New Roman" w:hAnsiTheme="majorBidi" w:cstheme="majorBidi"/>
          <w:i/>
          <w:iCs/>
          <w:kern w:val="0"/>
          <w14:ligatures w14:val="none"/>
        </w:rPr>
      </w:pPr>
      <w:r w:rsidRPr="00074854">
        <w:rPr>
          <w:rFonts w:asciiTheme="majorBidi" w:eastAsia="Times New Roman" w:hAnsiTheme="majorBidi" w:cstheme="majorBidi"/>
          <w:i/>
          <w:iCs/>
          <w:kern w:val="0"/>
          <w14:ligatures w14:val="none"/>
        </w:rPr>
        <w:t>2</w:t>
      </w:r>
      <w:r w:rsidR="004802C9" w:rsidRPr="00074854">
        <w:rPr>
          <w:rFonts w:asciiTheme="majorBidi" w:eastAsia="Times New Roman" w:hAnsiTheme="majorBidi" w:cstheme="majorBidi"/>
          <w:i/>
          <w:iCs/>
          <w:kern w:val="0"/>
          <w14:ligatures w14:val="none"/>
        </w:rPr>
        <w:t>.3 Gaps in the Literature</w:t>
      </w:r>
    </w:p>
    <w:p w14:paraId="39BD59C3" w14:textId="195D9C5F" w:rsidR="004802C9" w:rsidRPr="00074854" w:rsidRDefault="004802C9"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Although parking research is extensive, most studies focus on efficiency, pricing, regulation, and infrastructure rather than participation and legitimacy. The public is often treated as a group to be managed rather than as partners in policy making. This leaves a gap between parking scholarship and participatory governance theory.</w:t>
      </w:r>
      <w:r w:rsidR="00E50676"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 xml:space="preserve">There is also a geographical gap. Much of the influential literature comes from Europe and North America, while African urban contexts remain underexplored. In Ghana, existing studies have paid more attention to parking conditions and management challenges than to the quality of public engagement itself </w:t>
      </w:r>
      <w:r w:rsidR="008E593C" w:rsidRPr="00074854">
        <w:rPr>
          <w:rFonts w:asciiTheme="majorBidi" w:hAnsiTheme="majorBidi" w:cstheme="majorBidi"/>
        </w:rPr>
        <w:t xml:space="preserve">(Abdul-Aziz et al., 2025; Appiah </w:t>
      </w:r>
      <w:proofErr w:type="spellStart"/>
      <w:r w:rsidR="008E593C" w:rsidRPr="00074854">
        <w:rPr>
          <w:rFonts w:asciiTheme="majorBidi" w:hAnsiTheme="majorBidi" w:cstheme="majorBidi"/>
        </w:rPr>
        <w:t>Kissi</w:t>
      </w:r>
      <w:proofErr w:type="spellEnd"/>
      <w:r w:rsidR="008E593C" w:rsidRPr="00074854">
        <w:rPr>
          <w:rFonts w:asciiTheme="majorBidi" w:hAnsiTheme="majorBidi" w:cstheme="majorBidi"/>
        </w:rPr>
        <w:t xml:space="preserve"> et al., 2024)</w:t>
      </w:r>
      <w:r w:rsidRPr="00074854">
        <w:rPr>
          <w:rFonts w:asciiTheme="majorBidi" w:eastAsia="Times New Roman" w:hAnsiTheme="majorBidi" w:cstheme="majorBidi"/>
          <w:kern w:val="0"/>
          <w14:ligatures w14:val="none"/>
        </w:rPr>
        <w:t>. This article addresses that gap by arguing that the real issue in urban parking reform is not only technical inefficiency but also tokenistic participation. It therefore advances the case for a shift from tokenism to co governance in Ghanaian parking management.</w:t>
      </w:r>
    </w:p>
    <w:p w14:paraId="528A27BA" w14:textId="3E9AC8E7" w:rsidR="004802C9" w:rsidRPr="00074854" w:rsidRDefault="00BA0415" w:rsidP="00E50676">
      <w:pPr>
        <w:spacing w:before="100" w:beforeAutospacing="1" w:after="100" w:afterAutospacing="1" w:line="360" w:lineRule="auto"/>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3</w:t>
      </w:r>
      <w:r w:rsidR="004802C9" w:rsidRPr="00074854">
        <w:rPr>
          <w:rFonts w:asciiTheme="majorBidi" w:eastAsia="Times New Roman" w:hAnsiTheme="majorBidi" w:cstheme="majorBidi"/>
          <w:b/>
          <w:bCs/>
          <w:kern w:val="0"/>
          <w14:ligatures w14:val="none"/>
        </w:rPr>
        <w:t>.</w:t>
      </w:r>
      <w:r w:rsidRPr="00074854">
        <w:rPr>
          <w:rFonts w:asciiTheme="majorBidi" w:eastAsia="Times New Roman" w:hAnsiTheme="majorBidi" w:cstheme="majorBidi"/>
          <w:b/>
          <w:bCs/>
          <w:kern w:val="0"/>
          <w14:ligatures w14:val="none"/>
        </w:rPr>
        <w:t>0</w:t>
      </w:r>
      <w:r w:rsidR="004802C9" w:rsidRPr="00074854">
        <w:rPr>
          <w:rFonts w:asciiTheme="majorBidi" w:eastAsia="Times New Roman" w:hAnsiTheme="majorBidi" w:cstheme="majorBidi"/>
          <w:b/>
          <w:bCs/>
          <w:kern w:val="0"/>
          <w14:ligatures w14:val="none"/>
        </w:rPr>
        <w:t xml:space="preserve"> Theoretical Lens</w:t>
      </w:r>
    </w:p>
    <w:p w14:paraId="57F7D829" w14:textId="48F1428D" w:rsidR="00E50676" w:rsidRPr="00074854" w:rsidRDefault="004802C9"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This article is guided by three related theoretical ideas: </w:t>
      </w:r>
      <w:proofErr w:type="spellStart"/>
      <w:r w:rsidRPr="00074854">
        <w:rPr>
          <w:rFonts w:asciiTheme="majorBidi" w:eastAsia="Times New Roman" w:hAnsiTheme="majorBidi" w:cstheme="majorBidi"/>
          <w:kern w:val="0"/>
          <w14:ligatures w14:val="none"/>
        </w:rPr>
        <w:t>Arnstein’s</w:t>
      </w:r>
      <w:proofErr w:type="spellEnd"/>
      <w:r w:rsidRPr="00074854">
        <w:rPr>
          <w:rFonts w:asciiTheme="majorBidi" w:eastAsia="Times New Roman" w:hAnsiTheme="majorBidi" w:cstheme="majorBidi"/>
          <w:kern w:val="0"/>
          <w14:ligatures w14:val="none"/>
        </w:rPr>
        <w:t xml:space="preserve"> ladder of citizen participation, deliberative democracy and collaborative governance. Together, they provide a useful basis for understanding why public engagement in parking management can remain shallow and why a shift toward co governance is necessary. </w:t>
      </w:r>
      <w:proofErr w:type="spellStart"/>
      <w:r w:rsidRPr="00074854">
        <w:rPr>
          <w:rFonts w:asciiTheme="majorBidi" w:eastAsia="Times New Roman" w:hAnsiTheme="majorBidi" w:cstheme="majorBidi"/>
          <w:kern w:val="0"/>
          <w14:ligatures w14:val="none"/>
        </w:rPr>
        <w:t>Arnstein’s</w:t>
      </w:r>
      <w:proofErr w:type="spellEnd"/>
      <w:r w:rsidRPr="00074854">
        <w:rPr>
          <w:rFonts w:asciiTheme="majorBidi" w:eastAsia="Times New Roman" w:hAnsiTheme="majorBidi" w:cstheme="majorBidi"/>
          <w:kern w:val="0"/>
          <w14:ligatures w14:val="none"/>
        </w:rPr>
        <w:t xml:space="preserve"> framework is particularly important because it distinguishes between symbolic participation and meaningful citizen influence</w:t>
      </w:r>
      <w:r w:rsidR="00A17314" w:rsidRPr="00074854">
        <w:rPr>
          <w:rFonts w:asciiTheme="majorBidi" w:hAnsiTheme="majorBidi" w:cstheme="majorBidi"/>
        </w:rPr>
        <w:t xml:space="preserve"> (Gonçalves, 2025)</w:t>
      </w:r>
      <w:r w:rsidRPr="00074854">
        <w:rPr>
          <w:rFonts w:asciiTheme="majorBidi" w:eastAsia="Times New Roman" w:hAnsiTheme="majorBidi" w:cstheme="majorBidi"/>
          <w:kern w:val="0"/>
          <w14:ligatures w14:val="none"/>
        </w:rPr>
        <w:t>. It shows that public engagement may exist in form but still remain tokenistic if citizens are only informed or consulted without having real power to shape outcomes</w:t>
      </w:r>
      <w:r w:rsidR="00A17314" w:rsidRPr="00074854">
        <w:rPr>
          <w:rFonts w:asciiTheme="majorBidi" w:hAnsiTheme="majorBidi" w:cstheme="majorBidi"/>
        </w:rPr>
        <w:t xml:space="preserve"> (</w:t>
      </w:r>
      <w:proofErr w:type="spellStart"/>
      <w:r w:rsidR="00A17314" w:rsidRPr="00074854">
        <w:rPr>
          <w:rFonts w:asciiTheme="majorBidi" w:hAnsiTheme="majorBidi" w:cstheme="majorBidi"/>
        </w:rPr>
        <w:t>Jánová</w:t>
      </w:r>
      <w:proofErr w:type="spellEnd"/>
      <w:r w:rsidR="00A17314" w:rsidRPr="00074854">
        <w:rPr>
          <w:rFonts w:asciiTheme="majorBidi" w:hAnsiTheme="majorBidi" w:cstheme="majorBidi"/>
        </w:rPr>
        <w:t xml:space="preserve"> et al., 2025)</w:t>
      </w:r>
      <w:r w:rsidRPr="00074854">
        <w:rPr>
          <w:rFonts w:asciiTheme="majorBidi" w:eastAsia="Times New Roman" w:hAnsiTheme="majorBidi" w:cstheme="majorBidi"/>
          <w:kern w:val="0"/>
          <w14:ligatures w14:val="none"/>
        </w:rPr>
        <w:t xml:space="preserve">. This distinction is central to the present article because the evidence from Ghana suggests that public engagement in parking governance often remains closer to consultation than partnership. Deliberative democracy adds a normative dimension to this analysis. It argues that </w:t>
      </w:r>
      <w:r w:rsidRPr="00074854">
        <w:rPr>
          <w:rFonts w:asciiTheme="majorBidi" w:eastAsia="Times New Roman" w:hAnsiTheme="majorBidi" w:cstheme="majorBidi"/>
          <w:kern w:val="0"/>
          <w14:ligatures w14:val="none"/>
        </w:rPr>
        <w:lastRenderedPageBreak/>
        <w:t>decisions affecting citizens gain legitimacy when those affected have the opportunity to participate in authentic public reasoning and discussion</w:t>
      </w:r>
      <w:r w:rsidR="00A17314" w:rsidRPr="00074854">
        <w:rPr>
          <w:rFonts w:asciiTheme="majorBidi" w:hAnsiTheme="majorBidi" w:cstheme="majorBidi"/>
        </w:rPr>
        <w:t xml:space="preserve"> (</w:t>
      </w:r>
      <w:proofErr w:type="spellStart"/>
      <w:r w:rsidR="00FB3EA6">
        <w:t>Channamallu</w:t>
      </w:r>
      <w:proofErr w:type="spellEnd"/>
      <w:r w:rsidR="00FB3EA6">
        <w:t xml:space="preserve"> et al., 2026; </w:t>
      </w:r>
      <w:proofErr w:type="spellStart"/>
      <w:r w:rsidR="00A17314" w:rsidRPr="00074854">
        <w:rPr>
          <w:rFonts w:asciiTheme="majorBidi" w:hAnsiTheme="majorBidi" w:cstheme="majorBidi"/>
        </w:rPr>
        <w:t>Erkuş</w:t>
      </w:r>
      <w:proofErr w:type="spellEnd"/>
      <w:r w:rsidR="00A17314" w:rsidRPr="00074854">
        <w:rPr>
          <w:rFonts w:asciiTheme="majorBidi" w:hAnsiTheme="majorBidi" w:cstheme="majorBidi"/>
        </w:rPr>
        <w:t xml:space="preserve"> et al., 2024)</w:t>
      </w:r>
      <w:r w:rsidRPr="00074854">
        <w:rPr>
          <w:rFonts w:asciiTheme="majorBidi" w:eastAsia="Times New Roman" w:hAnsiTheme="majorBidi" w:cstheme="majorBidi"/>
          <w:kern w:val="0"/>
          <w14:ligatures w14:val="none"/>
        </w:rPr>
        <w:t>. In this view, legitimacy is not derived only from formal authority or administrative expertise, but also from the quality of dialogue through which policies are developed</w:t>
      </w:r>
      <w:r w:rsidR="00A17314" w:rsidRPr="00074854">
        <w:rPr>
          <w:rFonts w:asciiTheme="majorBidi" w:hAnsiTheme="majorBidi" w:cstheme="majorBidi"/>
        </w:rPr>
        <w:t xml:space="preserve"> (</w:t>
      </w:r>
      <w:proofErr w:type="spellStart"/>
      <w:r w:rsidR="00A17314" w:rsidRPr="00074854">
        <w:rPr>
          <w:rFonts w:asciiTheme="majorBidi" w:hAnsiTheme="majorBidi" w:cstheme="majorBidi"/>
        </w:rPr>
        <w:t>Balarabe</w:t>
      </w:r>
      <w:proofErr w:type="spellEnd"/>
      <w:r w:rsidR="00A17314" w:rsidRPr="00074854">
        <w:rPr>
          <w:rFonts w:asciiTheme="majorBidi" w:hAnsiTheme="majorBidi" w:cstheme="majorBidi"/>
        </w:rPr>
        <w:t>, 2025)</w:t>
      </w:r>
      <w:r w:rsidRPr="00074854">
        <w:rPr>
          <w:rFonts w:asciiTheme="majorBidi" w:eastAsia="Times New Roman" w:hAnsiTheme="majorBidi" w:cstheme="majorBidi"/>
          <w:kern w:val="0"/>
          <w14:ligatures w14:val="none"/>
        </w:rPr>
        <w:t>. For urban parking management, this means that effective governance should not be limited to rules and enforcement. It should also involve open, inclusive, and reasoned engagement with the people who experience the consequences of parking policy in everyday urban life</w:t>
      </w:r>
      <w:r w:rsidR="00A17314" w:rsidRPr="00074854">
        <w:rPr>
          <w:rFonts w:asciiTheme="majorBidi" w:hAnsiTheme="majorBidi" w:cstheme="majorBidi"/>
        </w:rPr>
        <w:t xml:space="preserve"> (</w:t>
      </w:r>
      <w:proofErr w:type="spellStart"/>
      <w:r w:rsidR="00A17314" w:rsidRPr="00074854">
        <w:rPr>
          <w:rFonts w:asciiTheme="majorBidi" w:hAnsiTheme="majorBidi" w:cstheme="majorBidi"/>
        </w:rPr>
        <w:t>Ahmadian</w:t>
      </w:r>
      <w:proofErr w:type="spellEnd"/>
      <w:r w:rsidR="00A17314" w:rsidRPr="00074854">
        <w:rPr>
          <w:rFonts w:asciiTheme="majorBidi" w:hAnsiTheme="majorBidi" w:cstheme="majorBidi"/>
        </w:rPr>
        <w:t xml:space="preserve"> et al., 2024)</w:t>
      </w:r>
      <w:r w:rsidRPr="00074854">
        <w:rPr>
          <w:rFonts w:asciiTheme="majorBidi" w:eastAsia="Times New Roman" w:hAnsiTheme="majorBidi" w:cstheme="majorBidi"/>
          <w:kern w:val="0"/>
          <w14:ligatures w14:val="none"/>
        </w:rPr>
        <w:t xml:space="preserve">. </w:t>
      </w:r>
    </w:p>
    <w:p w14:paraId="28DF56F7" w14:textId="1D1E9B8E" w:rsidR="004802C9" w:rsidRPr="00074854" w:rsidRDefault="004802C9"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Collaborative governance provides the practical bridge from tokenism to co governance. Ansell and Gash describe collaborative governance as a process in which public agencies engage stakeholders directly in </w:t>
      </w:r>
      <w:proofErr w:type="gramStart"/>
      <w:r w:rsidRPr="00074854">
        <w:rPr>
          <w:rFonts w:asciiTheme="majorBidi" w:eastAsia="Times New Roman" w:hAnsiTheme="majorBidi" w:cstheme="majorBidi"/>
          <w:kern w:val="0"/>
          <w14:ligatures w14:val="none"/>
        </w:rPr>
        <w:t>consensus oriented</w:t>
      </w:r>
      <w:proofErr w:type="gramEnd"/>
      <w:r w:rsidRPr="00074854">
        <w:rPr>
          <w:rFonts w:asciiTheme="majorBidi" w:eastAsia="Times New Roman" w:hAnsiTheme="majorBidi" w:cstheme="majorBidi"/>
          <w:kern w:val="0"/>
          <w14:ligatures w14:val="none"/>
        </w:rPr>
        <w:t xml:space="preserve"> decision making</w:t>
      </w:r>
      <w:r w:rsidR="00BA0415" w:rsidRPr="00074854">
        <w:rPr>
          <w:rFonts w:asciiTheme="majorBidi" w:hAnsiTheme="majorBidi" w:cstheme="majorBidi"/>
        </w:rPr>
        <w:t xml:space="preserve"> (Ulibarri et al., 2023)</w:t>
      </w:r>
      <w:r w:rsidRPr="00074854">
        <w:rPr>
          <w:rFonts w:asciiTheme="majorBidi" w:eastAsia="Times New Roman" w:hAnsiTheme="majorBidi" w:cstheme="majorBidi"/>
          <w:kern w:val="0"/>
          <w14:ligatures w14:val="none"/>
        </w:rPr>
        <w:t xml:space="preserve">. Their work is useful here because parking management involves multiple actors, competing interests, and context specific knowledge that government alone cannot fully command. From this perspective, co governance is not simply more participation. It is a more structured form of shared problem solving in which public institutions and citizens jointly shape policy design, implementation, and review. </w:t>
      </w:r>
      <w:r w:rsidR="00E50676"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 xml:space="preserve">Taken together, these theories allow the article to interpret Ghana’s parking governance through a clear analytical lens. </w:t>
      </w:r>
      <w:proofErr w:type="spellStart"/>
      <w:r w:rsidRPr="00074854">
        <w:rPr>
          <w:rFonts w:asciiTheme="majorBidi" w:eastAsia="Times New Roman" w:hAnsiTheme="majorBidi" w:cstheme="majorBidi"/>
          <w:kern w:val="0"/>
          <w14:ligatures w14:val="none"/>
        </w:rPr>
        <w:t>Arnstein</w:t>
      </w:r>
      <w:proofErr w:type="spellEnd"/>
      <w:r w:rsidRPr="00074854">
        <w:rPr>
          <w:rFonts w:asciiTheme="majorBidi" w:eastAsia="Times New Roman" w:hAnsiTheme="majorBidi" w:cstheme="majorBidi"/>
          <w:kern w:val="0"/>
          <w14:ligatures w14:val="none"/>
        </w:rPr>
        <w:t xml:space="preserve"> helps identify the limits of tokenistic participation, deliberative democracy explains why meaningful engagement matters for legitimacy, and collaborative governance supports the case for a more inclusive and </w:t>
      </w:r>
      <w:proofErr w:type="gramStart"/>
      <w:r w:rsidRPr="00074854">
        <w:rPr>
          <w:rFonts w:asciiTheme="majorBidi" w:eastAsia="Times New Roman" w:hAnsiTheme="majorBidi" w:cstheme="majorBidi"/>
          <w:kern w:val="0"/>
          <w14:ligatures w14:val="none"/>
        </w:rPr>
        <w:t>problem solving</w:t>
      </w:r>
      <w:proofErr w:type="gramEnd"/>
      <w:r w:rsidRPr="00074854">
        <w:rPr>
          <w:rFonts w:asciiTheme="majorBidi" w:eastAsia="Times New Roman" w:hAnsiTheme="majorBidi" w:cstheme="majorBidi"/>
          <w:kern w:val="0"/>
          <w14:ligatures w14:val="none"/>
        </w:rPr>
        <w:t xml:space="preserve"> oriented model</w:t>
      </w:r>
      <w:r w:rsidR="00BA0415" w:rsidRPr="00074854">
        <w:rPr>
          <w:rFonts w:asciiTheme="majorBidi" w:hAnsiTheme="majorBidi" w:cstheme="majorBidi"/>
        </w:rPr>
        <w:t xml:space="preserve"> (</w:t>
      </w:r>
      <w:proofErr w:type="spellStart"/>
      <w:r w:rsidR="00BA0415" w:rsidRPr="00074854">
        <w:rPr>
          <w:rFonts w:asciiTheme="majorBidi" w:hAnsiTheme="majorBidi" w:cstheme="majorBidi"/>
        </w:rPr>
        <w:t>Hurlbert</w:t>
      </w:r>
      <w:proofErr w:type="spellEnd"/>
      <w:r w:rsidR="00BA0415" w:rsidRPr="00074854">
        <w:rPr>
          <w:rFonts w:asciiTheme="majorBidi" w:hAnsiTheme="majorBidi" w:cstheme="majorBidi"/>
        </w:rPr>
        <w:t xml:space="preserve"> &amp; Gupta, 2024)</w:t>
      </w:r>
      <w:r w:rsidRPr="00074854">
        <w:rPr>
          <w:rFonts w:asciiTheme="majorBidi" w:eastAsia="Times New Roman" w:hAnsiTheme="majorBidi" w:cstheme="majorBidi"/>
          <w:kern w:val="0"/>
          <w14:ligatures w14:val="none"/>
        </w:rPr>
        <w:t xml:space="preserve">. The article therefore uses these frameworks to argue that improving parking governance in Ghana requires moving beyond </w:t>
      </w:r>
      <w:proofErr w:type="gramStart"/>
      <w:r w:rsidRPr="00074854">
        <w:rPr>
          <w:rFonts w:asciiTheme="majorBidi" w:eastAsia="Times New Roman" w:hAnsiTheme="majorBidi" w:cstheme="majorBidi"/>
          <w:kern w:val="0"/>
          <w14:ligatures w14:val="none"/>
        </w:rPr>
        <w:t>one way</w:t>
      </w:r>
      <w:proofErr w:type="gramEnd"/>
      <w:r w:rsidRPr="00074854">
        <w:rPr>
          <w:rFonts w:asciiTheme="majorBidi" w:eastAsia="Times New Roman" w:hAnsiTheme="majorBidi" w:cstheme="majorBidi"/>
          <w:kern w:val="0"/>
          <w14:ligatures w14:val="none"/>
        </w:rPr>
        <w:t xml:space="preserve"> consultation toward co governance based on dialogue, partnership, and shared responsibility.</w:t>
      </w:r>
    </w:p>
    <w:p w14:paraId="1776DD79" w14:textId="6059EF2E" w:rsidR="005C2C2D" w:rsidRPr="00074854" w:rsidRDefault="00BA0415" w:rsidP="00E50676">
      <w:pPr>
        <w:spacing w:before="100" w:beforeAutospacing="1" w:after="100" w:afterAutospacing="1" w:line="360" w:lineRule="auto"/>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 xml:space="preserve">4.0 </w:t>
      </w:r>
      <w:r w:rsidR="005C2C2D" w:rsidRPr="00074854">
        <w:rPr>
          <w:rFonts w:asciiTheme="majorBidi" w:eastAsia="Times New Roman" w:hAnsiTheme="majorBidi" w:cstheme="majorBidi"/>
          <w:b/>
          <w:bCs/>
          <w:kern w:val="0"/>
          <w14:ligatures w14:val="none"/>
        </w:rPr>
        <w:t>Methods</w:t>
      </w:r>
    </w:p>
    <w:p w14:paraId="1F035299" w14:textId="77777777" w:rsidR="00E50676" w:rsidRPr="00074854" w:rsidRDefault="005C2C2D"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This article draws on data from the broader doctoral study on public engagement in urban parking governance in Ghana. The study adopted a </w:t>
      </w:r>
      <w:proofErr w:type="gramStart"/>
      <w:r w:rsidRPr="00074854">
        <w:rPr>
          <w:rFonts w:asciiTheme="majorBidi" w:eastAsia="Times New Roman" w:hAnsiTheme="majorBidi" w:cstheme="majorBidi"/>
          <w:kern w:val="0"/>
          <w14:ligatures w14:val="none"/>
        </w:rPr>
        <w:t>mixed methods</w:t>
      </w:r>
      <w:proofErr w:type="gramEnd"/>
      <w:r w:rsidRPr="00074854">
        <w:rPr>
          <w:rFonts w:asciiTheme="majorBidi" w:eastAsia="Times New Roman" w:hAnsiTheme="majorBidi" w:cstheme="majorBidi"/>
          <w:kern w:val="0"/>
          <w14:ligatures w14:val="none"/>
        </w:rPr>
        <w:t xml:space="preserve"> design in order to capture both the measurable patterns of citizen participation and the deeper institutional and experiential dimensions underlying them. Quantitative data were collected through a structured questionnaire administered to 466 respondents across selected Ghanaian cities, while qualitative data were generated through interviews with key stakeholders, including urban planning officials, civil society actors, and community representatives. This design was appropriate because the study </w:t>
      </w:r>
      <w:r w:rsidRPr="00074854">
        <w:rPr>
          <w:rFonts w:asciiTheme="majorBidi" w:eastAsia="Times New Roman" w:hAnsiTheme="majorBidi" w:cstheme="majorBidi"/>
          <w:kern w:val="0"/>
          <w14:ligatures w14:val="none"/>
        </w:rPr>
        <w:lastRenderedPageBreak/>
        <w:t xml:space="preserve">sought not only to describe existing engagement practices but also to understand the barriers, perceptions, and governance dynamics that shape them. </w:t>
      </w:r>
      <w:r w:rsidR="00E50676"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 xml:space="preserve">The research focused on urban centres in Ghana, particularly Accra, Kumasi, and Takoradi, where parking pressures, congestion, and governance challenges are increasingly evident. The questionnaire was used to gather evidence on current public engagement practices, barriers to participation, and perceptions of parking governance. The interviews complemented this by providing context sensitive insights into institutional arrangements, policy processes, and stakeholder experiences that could not be fully captured through survey responses alone. In addition, the wider study incorporated comparative reflections from international cases to support the interpretation of findings and framework development. </w:t>
      </w:r>
    </w:p>
    <w:p w14:paraId="3A0623CA" w14:textId="7AB8CFA8" w:rsidR="005C2C2D" w:rsidRPr="00074854" w:rsidRDefault="005C2C2D"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Quantitative data were analysed using descriptive statistics and reliability testing, while qualitative interview data were examined thematically to identify recurring patterns and explanatory themes. Ethical standards were observed throughout the research process, including informed consent, confidentiality, and careful handling of politically sensitive information. For the purposes of this article, the analysis is selectively focused on the evidence most relevant to the argument that public engagement in parking governance in Ghana remains largely tokenistic and requires a shift toward co governance.</w:t>
      </w:r>
    </w:p>
    <w:p w14:paraId="2A0106C4" w14:textId="092243C1" w:rsidR="005C2C2D" w:rsidRPr="00074854" w:rsidRDefault="00BA0415" w:rsidP="00E50676">
      <w:pPr>
        <w:spacing w:before="100" w:beforeAutospacing="1" w:after="100" w:afterAutospacing="1" w:line="360" w:lineRule="auto"/>
        <w:jc w:val="both"/>
        <w:outlineLvl w:val="1"/>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5.0 Results</w:t>
      </w:r>
    </w:p>
    <w:p w14:paraId="046D5776" w14:textId="77777777" w:rsidR="005C2C2D" w:rsidRPr="00074854" w:rsidRDefault="005C2C2D" w:rsidP="00E50676">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findings show that public engagement in urban parking management in Ghana is present, but only at a moderate and uneven level. Across the survey items on existing engagement practices, mean scores ranged from 3.35 to 3.39 on a </w:t>
      </w:r>
      <w:proofErr w:type="gramStart"/>
      <w:r w:rsidRPr="00074854">
        <w:rPr>
          <w:rFonts w:asciiTheme="majorBidi" w:eastAsia="Times New Roman" w:hAnsiTheme="majorBidi" w:cstheme="majorBidi"/>
          <w:kern w:val="0"/>
          <w14:ligatures w14:val="none"/>
        </w:rPr>
        <w:t>five point</w:t>
      </w:r>
      <w:proofErr w:type="gramEnd"/>
      <w:r w:rsidRPr="00074854">
        <w:rPr>
          <w:rFonts w:asciiTheme="majorBidi" w:eastAsia="Times New Roman" w:hAnsiTheme="majorBidi" w:cstheme="majorBidi"/>
          <w:kern w:val="0"/>
          <w14:ligatures w14:val="none"/>
        </w:rPr>
        <w:t xml:space="preserve"> scale, suggesting that respondents recognised some efforts at consultation and engagement, but did not view them as consistently strong, inclusive, or well institutionalised. The highest mean was recorded for the statement, “I feel my opinion matters in decisions about urban parking” with a mean of 3.39 and a standard deviation of 1.30, while the lowest mean was recorded for “There are clear communication channels between city officials and residents” with a mean of 3.35. This pattern indicates that although some respondents perceive limited space for citizen voice, the institutional channels through which that voice should travel remain weak and uneven. </w:t>
      </w:r>
    </w:p>
    <w:p w14:paraId="71C0FD91" w14:textId="77777777" w:rsidR="005C2C2D" w:rsidRPr="00074854" w:rsidRDefault="005C2C2D" w:rsidP="005C2C2D">
      <w:pPr>
        <w:spacing w:before="100" w:beforeAutospacing="1" w:after="100" w:afterAutospacing="1" w:line="240" w:lineRule="auto"/>
        <w:outlineLvl w:val="2"/>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lastRenderedPageBreak/>
        <w:t>Table 1: Public Engagement Practices in Urban Parking Management</w:t>
      </w:r>
    </w:p>
    <w:tbl>
      <w:tblPr>
        <w:tblStyle w:val="TableGrid"/>
        <w:tblW w:w="0" w:type="auto"/>
        <w:tblLook w:val="04A0" w:firstRow="1" w:lastRow="0" w:firstColumn="1" w:lastColumn="0" w:noHBand="0" w:noVBand="1"/>
      </w:tblPr>
      <w:tblGrid>
        <w:gridCol w:w="3822"/>
        <w:gridCol w:w="709"/>
        <w:gridCol w:w="567"/>
        <w:gridCol w:w="709"/>
        <w:gridCol w:w="851"/>
        <w:gridCol w:w="850"/>
        <w:gridCol w:w="992"/>
        <w:gridCol w:w="850"/>
      </w:tblGrid>
      <w:tr w:rsidR="00E50676" w:rsidRPr="00074854" w14:paraId="03315AFF" w14:textId="77777777" w:rsidTr="00E50676">
        <w:tc>
          <w:tcPr>
            <w:tcW w:w="0" w:type="auto"/>
            <w:hideMark/>
          </w:tcPr>
          <w:p w14:paraId="13CC8A41"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Survey statement</w:t>
            </w:r>
          </w:p>
        </w:tc>
        <w:tc>
          <w:tcPr>
            <w:tcW w:w="709" w:type="dxa"/>
            <w:hideMark/>
          </w:tcPr>
          <w:p w14:paraId="28E0ACB7"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SD</w:t>
            </w:r>
          </w:p>
        </w:tc>
        <w:tc>
          <w:tcPr>
            <w:tcW w:w="567" w:type="dxa"/>
            <w:hideMark/>
          </w:tcPr>
          <w:p w14:paraId="4E4EBECC"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D</w:t>
            </w:r>
          </w:p>
        </w:tc>
        <w:tc>
          <w:tcPr>
            <w:tcW w:w="709" w:type="dxa"/>
            <w:hideMark/>
          </w:tcPr>
          <w:p w14:paraId="3DFA7B8A"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N</w:t>
            </w:r>
          </w:p>
        </w:tc>
        <w:tc>
          <w:tcPr>
            <w:tcW w:w="851" w:type="dxa"/>
            <w:hideMark/>
          </w:tcPr>
          <w:p w14:paraId="4D623865"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A</w:t>
            </w:r>
          </w:p>
        </w:tc>
        <w:tc>
          <w:tcPr>
            <w:tcW w:w="850" w:type="dxa"/>
            <w:hideMark/>
          </w:tcPr>
          <w:p w14:paraId="4C1A5DAC"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SA</w:t>
            </w:r>
          </w:p>
        </w:tc>
        <w:tc>
          <w:tcPr>
            <w:tcW w:w="992" w:type="dxa"/>
            <w:hideMark/>
          </w:tcPr>
          <w:p w14:paraId="2A88674D"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Mean</w:t>
            </w:r>
          </w:p>
        </w:tc>
        <w:tc>
          <w:tcPr>
            <w:tcW w:w="850" w:type="dxa"/>
            <w:hideMark/>
          </w:tcPr>
          <w:p w14:paraId="4DEFCA51" w14:textId="77777777" w:rsidR="005C2C2D" w:rsidRPr="00074854" w:rsidRDefault="005C2C2D" w:rsidP="00E50676">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SD</w:t>
            </w:r>
          </w:p>
        </w:tc>
      </w:tr>
      <w:tr w:rsidR="00E50676" w:rsidRPr="00074854" w14:paraId="6148F891" w14:textId="77777777" w:rsidTr="00E50676">
        <w:tc>
          <w:tcPr>
            <w:tcW w:w="0" w:type="auto"/>
            <w:hideMark/>
          </w:tcPr>
          <w:p w14:paraId="177CACC0"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City authorities consult the public before implementing parking policies</w:t>
            </w:r>
          </w:p>
        </w:tc>
        <w:tc>
          <w:tcPr>
            <w:tcW w:w="709" w:type="dxa"/>
            <w:hideMark/>
          </w:tcPr>
          <w:p w14:paraId="24FBF980"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49</w:t>
            </w:r>
          </w:p>
        </w:tc>
        <w:tc>
          <w:tcPr>
            <w:tcW w:w="567" w:type="dxa"/>
            <w:hideMark/>
          </w:tcPr>
          <w:p w14:paraId="719F735F"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68</w:t>
            </w:r>
          </w:p>
        </w:tc>
        <w:tc>
          <w:tcPr>
            <w:tcW w:w="709" w:type="dxa"/>
            <w:hideMark/>
          </w:tcPr>
          <w:p w14:paraId="0D19F57B"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109</w:t>
            </w:r>
          </w:p>
        </w:tc>
        <w:tc>
          <w:tcPr>
            <w:tcW w:w="851" w:type="dxa"/>
            <w:hideMark/>
          </w:tcPr>
          <w:p w14:paraId="37EB2DCD"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146</w:t>
            </w:r>
          </w:p>
        </w:tc>
        <w:tc>
          <w:tcPr>
            <w:tcW w:w="850" w:type="dxa"/>
            <w:hideMark/>
          </w:tcPr>
          <w:p w14:paraId="5448DB34"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94</w:t>
            </w:r>
          </w:p>
        </w:tc>
        <w:tc>
          <w:tcPr>
            <w:tcW w:w="992" w:type="dxa"/>
            <w:hideMark/>
          </w:tcPr>
          <w:p w14:paraId="0A0E298B"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3.36</w:t>
            </w:r>
          </w:p>
        </w:tc>
        <w:tc>
          <w:tcPr>
            <w:tcW w:w="850" w:type="dxa"/>
            <w:hideMark/>
          </w:tcPr>
          <w:p w14:paraId="5C5C7031"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1.25</w:t>
            </w:r>
          </w:p>
        </w:tc>
      </w:tr>
      <w:tr w:rsidR="00E50676" w:rsidRPr="00074854" w14:paraId="30BD94FE" w14:textId="77777777" w:rsidTr="00E50676">
        <w:tc>
          <w:tcPr>
            <w:tcW w:w="0" w:type="auto"/>
            <w:hideMark/>
          </w:tcPr>
          <w:p w14:paraId="4774BAAD"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Public engagement platforms such as town halls and surveys are accessible to citizens</w:t>
            </w:r>
          </w:p>
        </w:tc>
        <w:tc>
          <w:tcPr>
            <w:tcW w:w="709" w:type="dxa"/>
            <w:hideMark/>
          </w:tcPr>
          <w:p w14:paraId="642A5D2E"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47</w:t>
            </w:r>
          </w:p>
        </w:tc>
        <w:tc>
          <w:tcPr>
            <w:tcW w:w="567" w:type="dxa"/>
            <w:hideMark/>
          </w:tcPr>
          <w:p w14:paraId="4845A1D9"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80</w:t>
            </w:r>
          </w:p>
        </w:tc>
        <w:tc>
          <w:tcPr>
            <w:tcW w:w="709" w:type="dxa"/>
            <w:hideMark/>
          </w:tcPr>
          <w:p w14:paraId="325EF081"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90</w:t>
            </w:r>
          </w:p>
        </w:tc>
        <w:tc>
          <w:tcPr>
            <w:tcW w:w="851" w:type="dxa"/>
            <w:hideMark/>
          </w:tcPr>
          <w:p w14:paraId="7F3D4333"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157</w:t>
            </w:r>
          </w:p>
        </w:tc>
        <w:tc>
          <w:tcPr>
            <w:tcW w:w="850" w:type="dxa"/>
            <w:hideMark/>
          </w:tcPr>
          <w:p w14:paraId="6C480086"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92</w:t>
            </w:r>
          </w:p>
        </w:tc>
        <w:tc>
          <w:tcPr>
            <w:tcW w:w="992" w:type="dxa"/>
            <w:hideMark/>
          </w:tcPr>
          <w:p w14:paraId="2148FE68"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3.36</w:t>
            </w:r>
          </w:p>
        </w:tc>
        <w:tc>
          <w:tcPr>
            <w:tcW w:w="850" w:type="dxa"/>
            <w:hideMark/>
          </w:tcPr>
          <w:p w14:paraId="08549AA6"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1.25</w:t>
            </w:r>
          </w:p>
        </w:tc>
      </w:tr>
      <w:tr w:rsidR="00E50676" w:rsidRPr="00074854" w14:paraId="0EFA8BD8" w14:textId="77777777" w:rsidTr="00E50676">
        <w:tc>
          <w:tcPr>
            <w:tcW w:w="0" w:type="auto"/>
            <w:hideMark/>
          </w:tcPr>
          <w:p w14:paraId="7409A112"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There are clear communication channels between city officials and residents</w:t>
            </w:r>
          </w:p>
        </w:tc>
        <w:tc>
          <w:tcPr>
            <w:tcW w:w="709" w:type="dxa"/>
            <w:hideMark/>
          </w:tcPr>
          <w:p w14:paraId="307536B6"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50</w:t>
            </w:r>
          </w:p>
        </w:tc>
        <w:tc>
          <w:tcPr>
            <w:tcW w:w="567" w:type="dxa"/>
            <w:hideMark/>
          </w:tcPr>
          <w:p w14:paraId="1BC0B1AC"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75</w:t>
            </w:r>
          </w:p>
        </w:tc>
        <w:tc>
          <w:tcPr>
            <w:tcW w:w="709" w:type="dxa"/>
            <w:hideMark/>
          </w:tcPr>
          <w:p w14:paraId="4A6CC6E3"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90</w:t>
            </w:r>
          </w:p>
        </w:tc>
        <w:tc>
          <w:tcPr>
            <w:tcW w:w="851" w:type="dxa"/>
            <w:hideMark/>
          </w:tcPr>
          <w:p w14:paraId="4A16BD2B"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164</w:t>
            </w:r>
          </w:p>
        </w:tc>
        <w:tc>
          <w:tcPr>
            <w:tcW w:w="850" w:type="dxa"/>
            <w:hideMark/>
          </w:tcPr>
          <w:p w14:paraId="6563F821"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87</w:t>
            </w:r>
          </w:p>
        </w:tc>
        <w:tc>
          <w:tcPr>
            <w:tcW w:w="992" w:type="dxa"/>
            <w:hideMark/>
          </w:tcPr>
          <w:p w14:paraId="4732FE34"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3.35</w:t>
            </w:r>
          </w:p>
        </w:tc>
        <w:tc>
          <w:tcPr>
            <w:tcW w:w="850" w:type="dxa"/>
            <w:hideMark/>
          </w:tcPr>
          <w:p w14:paraId="0A4EE02B"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1.25</w:t>
            </w:r>
          </w:p>
        </w:tc>
      </w:tr>
      <w:tr w:rsidR="00E50676" w:rsidRPr="00074854" w14:paraId="3302091B" w14:textId="77777777" w:rsidTr="00E50676">
        <w:tc>
          <w:tcPr>
            <w:tcW w:w="0" w:type="auto"/>
            <w:hideMark/>
          </w:tcPr>
          <w:p w14:paraId="3CD3961D"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I feel my opinion matters in decisions about urban parking</w:t>
            </w:r>
          </w:p>
        </w:tc>
        <w:tc>
          <w:tcPr>
            <w:tcW w:w="709" w:type="dxa"/>
            <w:hideMark/>
          </w:tcPr>
          <w:p w14:paraId="1C32BCAA"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51</w:t>
            </w:r>
          </w:p>
        </w:tc>
        <w:tc>
          <w:tcPr>
            <w:tcW w:w="567" w:type="dxa"/>
            <w:hideMark/>
          </w:tcPr>
          <w:p w14:paraId="617C8F56"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76</w:t>
            </w:r>
          </w:p>
        </w:tc>
        <w:tc>
          <w:tcPr>
            <w:tcW w:w="709" w:type="dxa"/>
            <w:hideMark/>
          </w:tcPr>
          <w:p w14:paraId="0293BE52"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89</w:t>
            </w:r>
          </w:p>
        </w:tc>
        <w:tc>
          <w:tcPr>
            <w:tcW w:w="851" w:type="dxa"/>
            <w:hideMark/>
          </w:tcPr>
          <w:p w14:paraId="78F90EBA"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142</w:t>
            </w:r>
          </w:p>
        </w:tc>
        <w:tc>
          <w:tcPr>
            <w:tcW w:w="850" w:type="dxa"/>
            <w:hideMark/>
          </w:tcPr>
          <w:p w14:paraId="05B6E598"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108</w:t>
            </w:r>
          </w:p>
        </w:tc>
        <w:tc>
          <w:tcPr>
            <w:tcW w:w="992" w:type="dxa"/>
            <w:hideMark/>
          </w:tcPr>
          <w:p w14:paraId="5492B18A"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3.39</w:t>
            </w:r>
          </w:p>
        </w:tc>
        <w:tc>
          <w:tcPr>
            <w:tcW w:w="850" w:type="dxa"/>
            <w:hideMark/>
          </w:tcPr>
          <w:p w14:paraId="1AB1D340"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1.30</w:t>
            </w:r>
          </w:p>
        </w:tc>
      </w:tr>
      <w:tr w:rsidR="00E50676" w:rsidRPr="00074854" w14:paraId="050BC0FC" w14:textId="77777777" w:rsidTr="00E50676">
        <w:tc>
          <w:tcPr>
            <w:tcW w:w="0" w:type="auto"/>
            <w:hideMark/>
          </w:tcPr>
          <w:p w14:paraId="702415E4"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Public engagement in parking is consistent and well organised</w:t>
            </w:r>
          </w:p>
        </w:tc>
        <w:tc>
          <w:tcPr>
            <w:tcW w:w="709" w:type="dxa"/>
            <w:hideMark/>
          </w:tcPr>
          <w:p w14:paraId="3368B7CD"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45</w:t>
            </w:r>
          </w:p>
        </w:tc>
        <w:tc>
          <w:tcPr>
            <w:tcW w:w="567" w:type="dxa"/>
            <w:hideMark/>
          </w:tcPr>
          <w:p w14:paraId="53600392"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73</w:t>
            </w:r>
          </w:p>
        </w:tc>
        <w:tc>
          <w:tcPr>
            <w:tcW w:w="709" w:type="dxa"/>
            <w:hideMark/>
          </w:tcPr>
          <w:p w14:paraId="2575D88C"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106</w:t>
            </w:r>
          </w:p>
        </w:tc>
        <w:tc>
          <w:tcPr>
            <w:tcW w:w="851" w:type="dxa"/>
            <w:hideMark/>
          </w:tcPr>
          <w:p w14:paraId="35014AE7"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155</w:t>
            </w:r>
          </w:p>
        </w:tc>
        <w:tc>
          <w:tcPr>
            <w:tcW w:w="850" w:type="dxa"/>
            <w:hideMark/>
          </w:tcPr>
          <w:p w14:paraId="0DA343CE"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87</w:t>
            </w:r>
          </w:p>
        </w:tc>
        <w:tc>
          <w:tcPr>
            <w:tcW w:w="992" w:type="dxa"/>
            <w:hideMark/>
          </w:tcPr>
          <w:p w14:paraId="4B6CFF0A" w14:textId="77777777"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3.36</w:t>
            </w:r>
          </w:p>
        </w:tc>
        <w:tc>
          <w:tcPr>
            <w:tcW w:w="850" w:type="dxa"/>
            <w:hideMark/>
          </w:tcPr>
          <w:p w14:paraId="2F810E3B" w14:textId="7A1AFA32" w:rsidR="005C2C2D" w:rsidRPr="00074854" w:rsidRDefault="005C2C2D" w:rsidP="00E50676">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1.22 to 1.30*</w:t>
            </w:r>
          </w:p>
        </w:tc>
      </w:tr>
    </w:tbl>
    <w:p w14:paraId="2EF724F7" w14:textId="77777777" w:rsidR="005C2C2D" w:rsidRPr="00074854" w:rsidRDefault="005C2C2D" w:rsidP="005C2C2D">
      <w:pPr>
        <w:spacing w:before="100" w:beforeAutospacing="1" w:after="100" w:afterAutospacing="1" w:line="24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thesis notes that standard deviations across the items ranged from 1.22 to 1.30. </w:t>
      </w:r>
    </w:p>
    <w:p w14:paraId="6930C28A" w14:textId="77777777" w:rsidR="001A63C0" w:rsidRPr="00074854" w:rsidRDefault="005C2C2D" w:rsidP="001A63C0">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Table 1 suggests that the main issue is not the total absence of engagement, but its limited depth and consistency. For example, while many respondents agreed that authorities consult the public before implementing parking policies, the mean score of 3.36 still reflects only modest endorsement rather than strong approval. The same pattern appears in relation to platform accessibility and consistency of engagement. Particularly important is the communication item, which received the lowest score, reinforcing the argument that tokenism often operates through weak feedback structures. In practice, this means that citizens may be invited to participate, but the processes remain poorly communicated, weakly coordinated, or insufficiently responsive. The relatively high standard deviations also suggest variation in experience across different respondent groups, which points to inequality in how participation is perceived and accessed. </w:t>
      </w:r>
    </w:p>
    <w:p w14:paraId="14BE7EF0" w14:textId="4565B07F" w:rsidR="005C2C2D" w:rsidRPr="00074854" w:rsidRDefault="005C2C2D" w:rsidP="001A63C0">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second set of findings examined the barriers to effective participation. Here too, responses clustered around moderate agreement, with mean scores ranging from 3.23 to 3.28. This indicates that respondents generally viewed institutional, socio cultural, and logistical constraints </w:t>
      </w:r>
      <w:r w:rsidRPr="00074854">
        <w:rPr>
          <w:rFonts w:asciiTheme="majorBidi" w:eastAsia="Times New Roman" w:hAnsiTheme="majorBidi" w:cstheme="majorBidi"/>
          <w:kern w:val="0"/>
          <w14:ligatures w14:val="none"/>
        </w:rPr>
        <w:lastRenderedPageBreak/>
        <w:t xml:space="preserve">as real and persistent barriers to meaningful engagement. The highest mean was recorded for the statement that cultural norms discourage citizens from challenging authority in public forums at 3.28, followed closely by the item on lack of civic education at 3.27. The lowest mean, though still substantial, was found for the statement that bureaucratic procedures hinder timely public input, with a mean of 3.23. Overall, the results point to a governance environment in which weak participation is sustained not only by administrative shortcomings but also by social norms, civic knowledge gaps, and technological exclusion. </w:t>
      </w:r>
    </w:p>
    <w:p w14:paraId="6B187DD9" w14:textId="77777777" w:rsidR="005C2C2D" w:rsidRPr="00074854" w:rsidRDefault="005C2C2D" w:rsidP="005C2C2D">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Table 2: Barriers to Public Participation in Parking Governance</w:t>
      </w:r>
    </w:p>
    <w:tbl>
      <w:tblPr>
        <w:tblStyle w:val="TableGrid"/>
        <w:tblW w:w="9398" w:type="dxa"/>
        <w:tblLook w:val="04A0" w:firstRow="1" w:lastRow="0" w:firstColumn="1" w:lastColumn="0" w:noHBand="0" w:noVBand="1"/>
      </w:tblPr>
      <w:tblGrid>
        <w:gridCol w:w="5425"/>
        <w:gridCol w:w="523"/>
        <w:gridCol w:w="456"/>
        <w:gridCol w:w="456"/>
        <w:gridCol w:w="576"/>
        <w:gridCol w:w="523"/>
        <w:gridCol w:w="803"/>
        <w:gridCol w:w="636"/>
      </w:tblGrid>
      <w:tr w:rsidR="005C2C2D" w:rsidRPr="00074854" w14:paraId="6C241C5E" w14:textId="77777777" w:rsidTr="001A63C0">
        <w:trPr>
          <w:trHeight w:val="352"/>
        </w:trPr>
        <w:tc>
          <w:tcPr>
            <w:tcW w:w="0" w:type="auto"/>
            <w:hideMark/>
          </w:tcPr>
          <w:p w14:paraId="25A0E4AC"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Survey statement</w:t>
            </w:r>
          </w:p>
        </w:tc>
        <w:tc>
          <w:tcPr>
            <w:tcW w:w="0" w:type="auto"/>
            <w:hideMark/>
          </w:tcPr>
          <w:p w14:paraId="28715142"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SD</w:t>
            </w:r>
          </w:p>
        </w:tc>
        <w:tc>
          <w:tcPr>
            <w:tcW w:w="0" w:type="auto"/>
            <w:hideMark/>
          </w:tcPr>
          <w:p w14:paraId="1E47225A"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D</w:t>
            </w:r>
          </w:p>
        </w:tc>
        <w:tc>
          <w:tcPr>
            <w:tcW w:w="0" w:type="auto"/>
            <w:hideMark/>
          </w:tcPr>
          <w:p w14:paraId="29FD9437"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N</w:t>
            </w:r>
          </w:p>
        </w:tc>
        <w:tc>
          <w:tcPr>
            <w:tcW w:w="0" w:type="auto"/>
            <w:hideMark/>
          </w:tcPr>
          <w:p w14:paraId="002BBA55"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A</w:t>
            </w:r>
          </w:p>
        </w:tc>
        <w:tc>
          <w:tcPr>
            <w:tcW w:w="0" w:type="auto"/>
            <w:hideMark/>
          </w:tcPr>
          <w:p w14:paraId="2897F2C5"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SA</w:t>
            </w:r>
          </w:p>
        </w:tc>
        <w:tc>
          <w:tcPr>
            <w:tcW w:w="0" w:type="auto"/>
            <w:hideMark/>
          </w:tcPr>
          <w:p w14:paraId="684949A1"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Mean</w:t>
            </w:r>
          </w:p>
        </w:tc>
        <w:tc>
          <w:tcPr>
            <w:tcW w:w="0" w:type="auto"/>
            <w:hideMark/>
          </w:tcPr>
          <w:p w14:paraId="5E9A9A73" w14:textId="77777777" w:rsidR="005C2C2D" w:rsidRPr="00074854" w:rsidRDefault="005C2C2D" w:rsidP="001A63C0">
            <w:pPr>
              <w:spacing w:line="360" w:lineRule="auto"/>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SD</w:t>
            </w:r>
          </w:p>
        </w:tc>
      </w:tr>
      <w:tr w:rsidR="005C2C2D" w:rsidRPr="00074854" w14:paraId="41364F53" w14:textId="77777777" w:rsidTr="001A63C0">
        <w:trPr>
          <w:trHeight w:val="738"/>
        </w:trPr>
        <w:tc>
          <w:tcPr>
            <w:tcW w:w="0" w:type="auto"/>
            <w:hideMark/>
          </w:tcPr>
          <w:p w14:paraId="4061463F"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Institutional policies support consistent public engagement in parking decisions</w:t>
            </w:r>
          </w:p>
        </w:tc>
        <w:tc>
          <w:tcPr>
            <w:tcW w:w="0" w:type="auto"/>
            <w:hideMark/>
          </w:tcPr>
          <w:p w14:paraId="6ED0C1B7"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46</w:t>
            </w:r>
          </w:p>
        </w:tc>
        <w:tc>
          <w:tcPr>
            <w:tcW w:w="0" w:type="auto"/>
            <w:hideMark/>
          </w:tcPr>
          <w:p w14:paraId="59A479B9"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15DE8BF2"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15AB7F4F"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140</w:t>
            </w:r>
          </w:p>
        </w:tc>
        <w:tc>
          <w:tcPr>
            <w:tcW w:w="0" w:type="auto"/>
            <w:hideMark/>
          </w:tcPr>
          <w:p w14:paraId="6F3FBC9C"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94</w:t>
            </w:r>
          </w:p>
        </w:tc>
        <w:tc>
          <w:tcPr>
            <w:tcW w:w="0" w:type="auto"/>
            <w:hideMark/>
          </w:tcPr>
          <w:p w14:paraId="7B338E6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3.25</w:t>
            </w:r>
          </w:p>
        </w:tc>
        <w:tc>
          <w:tcPr>
            <w:tcW w:w="0" w:type="auto"/>
            <w:hideMark/>
          </w:tcPr>
          <w:p w14:paraId="03E9F3B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1.28</w:t>
            </w:r>
          </w:p>
        </w:tc>
      </w:tr>
      <w:tr w:rsidR="005C2C2D" w:rsidRPr="00074854" w14:paraId="5C533412" w14:textId="77777777" w:rsidTr="001A63C0">
        <w:trPr>
          <w:trHeight w:val="721"/>
        </w:trPr>
        <w:tc>
          <w:tcPr>
            <w:tcW w:w="0" w:type="auto"/>
            <w:hideMark/>
          </w:tcPr>
          <w:p w14:paraId="5B8DF952"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Bureaucratic procedures hinder timely public input in parking planning</w:t>
            </w:r>
          </w:p>
        </w:tc>
        <w:tc>
          <w:tcPr>
            <w:tcW w:w="0" w:type="auto"/>
            <w:hideMark/>
          </w:tcPr>
          <w:p w14:paraId="70A29448"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51</w:t>
            </w:r>
          </w:p>
        </w:tc>
        <w:tc>
          <w:tcPr>
            <w:tcW w:w="0" w:type="auto"/>
            <w:hideMark/>
          </w:tcPr>
          <w:p w14:paraId="281F71AA"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92</w:t>
            </w:r>
          </w:p>
        </w:tc>
        <w:tc>
          <w:tcPr>
            <w:tcW w:w="0" w:type="auto"/>
            <w:hideMark/>
          </w:tcPr>
          <w:p w14:paraId="595842A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2A00D2FC"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140</w:t>
            </w:r>
          </w:p>
        </w:tc>
        <w:tc>
          <w:tcPr>
            <w:tcW w:w="0" w:type="auto"/>
            <w:hideMark/>
          </w:tcPr>
          <w:p w14:paraId="7CAAE5BC"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90</w:t>
            </w:r>
          </w:p>
        </w:tc>
        <w:tc>
          <w:tcPr>
            <w:tcW w:w="0" w:type="auto"/>
            <w:hideMark/>
          </w:tcPr>
          <w:p w14:paraId="433C557B"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3.23</w:t>
            </w:r>
          </w:p>
        </w:tc>
        <w:tc>
          <w:tcPr>
            <w:tcW w:w="0" w:type="auto"/>
            <w:hideMark/>
          </w:tcPr>
          <w:p w14:paraId="7CA83702"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1.27</w:t>
            </w:r>
          </w:p>
        </w:tc>
      </w:tr>
      <w:tr w:rsidR="005C2C2D" w:rsidRPr="00074854" w14:paraId="149908DD" w14:textId="77777777" w:rsidTr="001A63C0">
        <w:trPr>
          <w:trHeight w:val="721"/>
        </w:trPr>
        <w:tc>
          <w:tcPr>
            <w:tcW w:w="0" w:type="auto"/>
            <w:hideMark/>
          </w:tcPr>
          <w:p w14:paraId="7F01898D"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Lack of civic education reduces citizens’ interest in participation</w:t>
            </w:r>
          </w:p>
        </w:tc>
        <w:tc>
          <w:tcPr>
            <w:tcW w:w="0" w:type="auto"/>
            <w:hideMark/>
          </w:tcPr>
          <w:p w14:paraId="7906DF74"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47</w:t>
            </w:r>
          </w:p>
        </w:tc>
        <w:tc>
          <w:tcPr>
            <w:tcW w:w="0" w:type="auto"/>
            <w:hideMark/>
          </w:tcPr>
          <w:p w14:paraId="17B76173"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7122397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49027486"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140</w:t>
            </w:r>
          </w:p>
        </w:tc>
        <w:tc>
          <w:tcPr>
            <w:tcW w:w="0" w:type="auto"/>
            <w:hideMark/>
          </w:tcPr>
          <w:p w14:paraId="7E3D15D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087AC44D"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3.27</w:t>
            </w:r>
          </w:p>
        </w:tc>
        <w:tc>
          <w:tcPr>
            <w:tcW w:w="0" w:type="auto"/>
            <w:hideMark/>
          </w:tcPr>
          <w:p w14:paraId="68C97BA3"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1.27</w:t>
            </w:r>
          </w:p>
        </w:tc>
      </w:tr>
      <w:tr w:rsidR="005C2C2D" w:rsidRPr="00074854" w14:paraId="7FC3F393" w14:textId="77777777" w:rsidTr="001A63C0">
        <w:trPr>
          <w:trHeight w:val="721"/>
        </w:trPr>
        <w:tc>
          <w:tcPr>
            <w:tcW w:w="0" w:type="auto"/>
            <w:hideMark/>
          </w:tcPr>
          <w:p w14:paraId="4DF5C84C"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Cultural norms discourage citizens from challenging authority in public forums</w:t>
            </w:r>
          </w:p>
        </w:tc>
        <w:tc>
          <w:tcPr>
            <w:tcW w:w="0" w:type="auto"/>
            <w:hideMark/>
          </w:tcPr>
          <w:p w14:paraId="6911E66C"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45</w:t>
            </w:r>
          </w:p>
        </w:tc>
        <w:tc>
          <w:tcPr>
            <w:tcW w:w="0" w:type="auto"/>
            <w:hideMark/>
          </w:tcPr>
          <w:p w14:paraId="6EC19CC4"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14A7FBC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0B71A1A3"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140</w:t>
            </w:r>
          </w:p>
        </w:tc>
        <w:tc>
          <w:tcPr>
            <w:tcW w:w="0" w:type="auto"/>
            <w:hideMark/>
          </w:tcPr>
          <w:p w14:paraId="2152962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95</w:t>
            </w:r>
          </w:p>
        </w:tc>
        <w:tc>
          <w:tcPr>
            <w:tcW w:w="0" w:type="auto"/>
            <w:hideMark/>
          </w:tcPr>
          <w:p w14:paraId="78560E08"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3.28</w:t>
            </w:r>
          </w:p>
        </w:tc>
        <w:tc>
          <w:tcPr>
            <w:tcW w:w="0" w:type="auto"/>
            <w:hideMark/>
          </w:tcPr>
          <w:p w14:paraId="186542E4"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1.27</w:t>
            </w:r>
          </w:p>
        </w:tc>
      </w:tr>
      <w:tr w:rsidR="005C2C2D" w:rsidRPr="00074854" w14:paraId="671AB6D6" w14:textId="77777777" w:rsidTr="001A63C0">
        <w:trPr>
          <w:trHeight w:val="721"/>
        </w:trPr>
        <w:tc>
          <w:tcPr>
            <w:tcW w:w="0" w:type="auto"/>
            <w:hideMark/>
          </w:tcPr>
          <w:p w14:paraId="1B644AF0"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Limited access to digital tools prevents many people from engaging with parking authorities</w:t>
            </w:r>
          </w:p>
        </w:tc>
        <w:tc>
          <w:tcPr>
            <w:tcW w:w="0" w:type="auto"/>
            <w:hideMark/>
          </w:tcPr>
          <w:p w14:paraId="719B8877"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46</w:t>
            </w:r>
          </w:p>
        </w:tc>
        <w:tc>
          <w:tcPr>
            <w:tcW w:w="0" w:type="auto"/>
            <w:hideMark/>
          </w:tcPr>
          <w:p w14:paraId="76CF2EAB"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053E56A1"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93</w:t>
            </w:r>
          </w:p>
        </w:tc>
        <w:tc>
          <w:tcPr>
            <w:tcW w:w="0" w:type="auto"/>
            <w:hideMark/>
          </w:tcPr>
          <w:p w14:paraId="438DFF62"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140</w:t>
            </w:r>
          </w:p>
        </w:tc>
        <w:tc>
          <w:tcPr>
            <w:tcW w:w="0" w:type="auto"/>
            <w:hideMark/>
          </w:tcPr>
          <w:p w14:paraId="398B227A"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94</w:t>
            </w:r>
          </w:p>
        </w:tc>
        <w:tc>
          <w:tcPr>
            <w:tcW w:w="0" w:type="auto"/>
            <w:hideMark/>
          </w:tcPr>
          <w:p w14:paraId="29B66DED"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3.26</w:t>
            </w:r>
          </w:p>
        </w:tc>
        <w:tc>
          <w:tcPr>
            <w:tcW w:w="0" w:type="auto"/>
            <w:hideMark/>
          </w:tcPr>
          <w:p w14:paraId="56A3DB23" w14:textId="77777777" w:rsidR="005C2C2D" w:rsidRPr="00074854" w:rsidRDefault="005C2C2D" w:rsidP="001A63C0">
            <w:pPr>
              <w:spacing w:line="360" w:lineRule="auto"/>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1.28</w:t>
            </w:r>
          </w:p>
        </w:tc>
      </w:tr>
    </w:tbl>
    <w:p w14:paraId="06E529E1" w14:textId="77777777" w:rsidR="005C2C2D" w:rsidRPr="00074854" w:rsidRDefault="005C2C2D" w:rsidP="005C2C2D">
      <w:pPr>
        <w:spacing w:before="100" w:beforeAutospacing="1" w:after="100" w:afterAutospacing="1" w:line="240" w:lineRule="auto"/>
        <w:rPr>
          <w:rFonts w:asciiTheme="majorBidi" w:eastAsia="Times New Roman" w:hAnsiTheme="majorBidi" w:cstheme="majorBidi"/>
          <w:i/>
          <w:iCs/>
          <w:kern w:val="0"/>
          <w14:ligatures w14:val="none"/>
        </w:rPr>
      </w:pPr>
      <w:r w:rsidRPr="00074854">
        <w:rPr>
          <w:rFonts w:asciiTheme="majorBidi" w:eastAsia="Times New Roman" w:hAnsiTheme="majorBidi" w:cstheme="majorBidi"/>
          <w:i/>
          <w:iCs/>
          <w:kern w:val="0"/>
          <w14:ligatures w14:val="none"/>
        </w:rPr>
        <w:t xml:space="preserve">Source: Thesis field data, N = 466. </w:t>
      </w:r>
    </w:p>
    <w:p w14:paraId="2721C9E7" w14:textId="77777777" w:rsidR="001A63C0" w:rsidRPr="00074854" w:rsidRDefault="005C2C2D" w:rsidP="001A63C0">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pattern in Table 2 is analytically important because it shows that tokenistic engagement is not produced by one factor alone. Institutional barriers matter, but they operate alongside deeper socio cultural and infrastructural constraints. The finding on civic education suggests that many citizens may not fully understand their role or rights in urban decision making. The cultural norms item is equally important because it points to a setting where deference to authority may limit open participation, especially in formal consultations. The digital access result also has practical significance. If public engagement increasingly depends on digital platforms, then uneven access to digital tools will reproduce exclusion rather than inclusion. Together, these results suggest that moving from tokenism to co governance requires more than holding consultations. It requires </w:t>
      </w:r>
      <w:r w:rsidRPr="00074854">
        <w:rPr>
          <w:rFonts w:asciiTheme="majorBidi" w:eastAsia="Times New Roman" w:hAnsiTheme="majorBidi" w:cstheme="majorBidi"/>
          <w:kern w:val="0"/>
          <w14:ligatures w14:val="none"/>
        </w:rPr>
        <w:lastRenderedPageBreak/>
        <w:t xml:space="preserve">institutional reform, civic capacity building, and inclusive participation channels that reflect the realities of different urban groups. </w:t>
      </w:r>
    </w:p>
    <w:p w14:paraId="0F735ABE" w14:textId="070A09AC" w:rsidR="005C2C2D" w:rsidRPr="00074854" w:rsidRDefault="005C2C2D" w:rsidP="001A63C0">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internal reliability of the barrier items was also very high. The thesis reports a Cronbach’s alpha of 0.996 for the five item scale measuring barriers to public participation, which it interprets as excellent internal consistency. This means the barrier items worked together very strongly as a measure of the same underlying construct. From an article perspective, this adds empirical strength to the claim that the identified institutional, socio cultural, and logistical constraints form a coherent pattern rather than isolated observations. </w:t>
      </w:r>
    </w:p>
    <w:p w14:paraId="576CDAE7" w14:textId="77777777" w:rsidR="005C2C2D" w:rsidRPr="00074854" w:rsidRDefault="005C2C2D" w:rsidP="005C2C2D">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Table 3: Reliability Test for Barriers to Public Participation</w:t>
      </w:r>
    </w:p>
    <w:tbl>
      <w:tblPr>
        <w:tblStyle w:val="TableGrid"/>
        <w:tblW w:w="0" w:type="auto"/>
        <w:tblLook w:val="04A0" w:firstRow="1" w:lastRow="0" w:firstColumn="1" w:lastColumn="0" w:noHBand="0" w:noVBand="1"/>
      </w:tblPr>
      <w:tblGrid>
        <w:gridCol w:w="2832"/>
        <w:gridCol w:w="1768"/>
        <w:gridCol w:w="1928"/>
        <w:gridCol w:w="2822"/>
      </w:tblGrid>
      <w:tr w:rsidR="005C2C2D" w:rsidRPr="00074854" w14:paraId="685F65FE" w14:textId="77777777" w:rsidTr="001A63C0">
        <w:tc>
          <w:tcPr>
            <w:tcW w:w="0" w:type="auto"/>
            <w:hideMark/>
          </w:tcPr>
          <w:p w14:paraId="0616AC62" w14:textId="77777777" w:rsidR="005C2C2D" w:rsidRPr="00074854" w:rsidRDefault="005C2C2D" w:rsidP="005C2C2D">
            <w:pPr>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Construct</w:t>
            </w:r>
          </w:p>
        </w:tc>
        <w:tc>
          <w:tcPr>
            <w:tcW w:w="0" w:type="auto"/>
            <w:hideMark/>
          </w:tcPr>
          <w:p w14:paraId="2EDFE4A0" w14:textId="77777777" w:rsidR="005C2C2D" w:rsidRPr="00074854" w:rsidRDefault="005C2C2D" w:rsidP="005C2C2D">
            <w:pPr>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Number of items</w:t>
            </w:r>
          </w:p>
        </w:tc>
        <w:tc>
          <w:tcPr>
            <w:tcW w:w="0" w:type="auto"/>
            <w:hideMark/>
          </w:tcPr>
          <w:p w14:paraId="5E528A5E" w14:textId="77777777" w:rsidR="005C2C2D" w:rsidRPr="00074854" w:rsidRDefault="005C2C2D" w:rsidP="005C2C2D">
            <w:pPr>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Cronbach’s alpha</w:t>
            </w:r>
          </w:p>
        </w:tc>
        <w:tc>
          <w:tcPr>
            <w:tcW w:w="0" w:type="auto"/>
            <w:hideMark/>
          </w:tcPr>
          <w:p w14:paraId="1F93137D" w14:textId="77777777" w:rsidR="005C2C2D" w:rsidRPr="00074854" w:rsidRDefault="005C2C2D" w:rsidP="005C2C2D">
            <w:pPr>
              <w:jc w:val="center"/>
              <w:rPr>
                <w:rFonts w:asciiTheme="majorBidi" w:eastAsia="Times New Roman" w:hAnsiTheme="majorBidi" w:cstheme="majorBidi"/>
                <w:b/>
                <w:bCs/>
                <w:kern w:val="0"/>
                <w14:ligatures w14:val="none"/>
              </w:rPr>
            </w:pPr>
            <w:r w:rsidRPr="00074854">
              <w:rPr>
                <w:rFonts w:asciiTheme="majorBidi" w:eastAsia="Times New Roman" w:hAnsiTheme="majorBidi" w:cstheme="majorBidi"/>
                <w:b/>
                <w:bCs/>
                <w:kern w:val="0"/>
                <w14:ligatures w14:val="none"/>
              </w:rPr>
              <w:t>Interpretation</w:t>
            </w:r>
          </w:p>
        </w:tc>
      </w:tr>
      <w:tr w:rsidR="005C2C2D" w:rsidRPr="00074854" w14:paraId="51DD5D0A" w14:textId="77777777" w:rsidTr="001A63C0">
        <w:tc>
          <w:tcPr>
            <w:tcW w:w="0" w:type="auto"/>
            <w:hideMark/>
          </w:tcPr>
          <w:p w14:paraId="2ED8BB55" w14:textId="77777777" w:rsidR="005C2C2D" w:rsidRPr="00074854" w:rsidRDefault="005C2C2D" w:rsidP="005C2C2D">
            <w:pPr>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Barriers to public participation</w:t>
            </w:r>
          </w:p>
        </w:tc>
        <w:tc>
          <w:tcPr>
            <w:tcW w:w="0" w:type="auto"/>
            <w:hideMark/>
          </w:tcPr>
          <w:p w14:paraId="4B978199" w14:textId="77777777" w:rsidR="005C2C2D" w:rsidRPr="00074854" w:rsidRDefault="005C2C2D" w:rsidP="005C2C2D">
            <w:pPr>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5</w:t>
            </w:r>
          </w:p>
        </w:tc>
        <w:tc>
          <w:tcPr>
            <w:tcW w:w="0" w:type="auto"/>
            <w:hideMark/>
          </w:tcPr>
          <w:p w14:paraId="0E539CA2" w14:textId="77777777" w:rsidR="005C2C2D" w:rsidRPr="00074854" w:rsidRDefault="005C2C2D" w:rsidP="005C2C2D">
            <w:pPr>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0.996</w:t>
            </w:r>
          </w:p>
        </w:tc>
        <w:tc>
          <w:tcPr>
            <w:tcW w:w="0" w:type="auto"/>
            <w:hideMark/>
          </w:tcPr>
          <w:p w14:paraId="38ACA25B" w14:textId="77777777" w:rsidR="005C2C2D" w:rsidRPr="00074854" w:rsidRDefault="005C2C2D" w:rsidP="005C2C2D">
            <w:pPr>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Excellent internal consistency</w:t>
            </w:r>
          </w:p>
        </w:tc>
      </w:tr>
    </w:tbl>
    <w:p w14:paraId="34473C9F" w14:textId="77777777" w:rsidR="005C2C2D" w:rsidRPr="00074854" w:rsidRDefault="005C2C2D" w:rsidP="005C2C2D">
      <w:pPr>
        <w:spacing w:before="100" w:beforeAutospacing="1" w:after="100" w:afterAutospacing="1" w:line="240" w:lineRule="auto"/>
        <w:rPr>
          <w:rFonts w:asciiTheme="majorBidi" w:eastAsia="Times New Roman" w:hAnsiTheme="majorBidi" w:cstheme="majorBidi"/>
          <w:i/>
          <w:iCs/>
          <w:kern w:val="0"/>
          <w14:ligatures w14:val="none"/>
        </w:rPr>
      </w:pPr>
      <w:r w:rsidRPr="00074854">
        <w:rPr>
          <w:rFonts w:asciiTheme="majorBidi" w:eastAsia="Times New Roman" w:hAnsiTheme="majorBidi" w:cstheme="majorBidi"/>
          <w:i/>
          <w:iCs/>
          <w:kern w:val="0"/>
          <w14:ligatures w14:val="none"/>
        </w:rPr>
        <w:t xml:space="preserve">Source: Thesis field data. </w:t>
      </w:r>
    </w:p>
    <w:p w14:paraId="476F480C" w14:textId="77777777" w:rsidR="001A63C0" w:rsidRPr="00074854" w:rsidRDefault="005C2C2D" w:rsidP="001A63C0">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comparative analysis further strengthened the article’s argument by showing that Ghana differs sharply from selected international cases in the degree to which public engagement is legally embedded, procedurally organised, and socially inclusive. The thesis comparative matrix shows that Ghana relies on fragmented regulations, limited stakeholder meetings, community durbars, and occasional radio discussions, with relatively low inclusivity and weak effects on compliance and legitimacy. In contrast, the United Kingdom and the Netherlands were presented as cases with stronger statutory backing, more formalised consultation channels, and greater use of digital and </w:t>
      </w:r>
      <w:proofErr w:type="gramStart"/>
      <w:r w:rsidRPr="00074854">
        <w:rPr>
          <w:rFonts w:asciiTheme="majorBidi" w:eastAsia="Times New Roman" w:hAnsiTheme="majorBidi" w:cstheme="majorBidi"/>
          <w:kern w:val="0"/>
          <w14:ligatures w14:val="none"/>
        </w:rPr>
        <w:t>community based</w:t>
      </w:r>
      <w:proofErr w:type="gramEnd"/>
      <w:r w:rsidRPr="00074854">
        <w:rPr>
          <w:rFonts w:asciiTheme="majorBidi" w:eastAsia="Times New Roman" w:hAnsiTheme="majorBidi" w:cstheme="majorBidi"/>
          <w:kern w:val="0"/>
          <w14:ligatures w14:val="none"/>
        </w:rPr>
        <w:t xml:space="preserve"> engagement tools. South Africa and Kenya showed more mixed but still more structured models than Ghana. This comparative evidence suggests that the weakness of engagement in Ghana is not inevitable. It is a product of institutional design and policy choice, which means it can be reformed. </w:t>
      </w:r>
    </w:p>
    <w:p w14:paraId="51674EB8" w14:textId="5046CE90" w:rsidR="005C2C2D" w:rsidRPr="00074854" w:rsidRDefault="005C2C2D" w:rsidP="001A63C0">
      <w:pPr>
        <w:spacing w:before="100" w:beforeAutospacing="1" w:after="100" w:afterAutospacing="1"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Taken together, these findings support the article’s central argument. Public engagement in Ghanaian parking governance cannot be described as wholly absent, but neither can it be regarded as fully participatory. Instead, it sits in an intermediate but fragile zone characterised by moderate consultation, weak communication, institutional inconsistency, and multiple barriers to </w:t>
      </w:r>
      <w:r w:rsidRPr="00074854">
        <w:rPr>
          <w:rFonts w:asciiTheme="majorBidi" w:eastAsia="Times New Roman" w:hAnsiTheme="majorBidi" w:cstheme="majorBidi"/>
          <w:kern w:val="0"/>
          <w14:ligatures w14:val="none"/>
        </w:rPr>
        <w:lastRenderedPageBreak/>
        <w:t>meaningful influence. This is precisely why the article frames the issue as a movement from tokenism to co governance. The evidence suggests that what exists now is not complete exclusion, but an underdeveloped form of participation that lacks the depth, inclusivity, and institutional support required for truly shared governance.</w:t>
      </w:r>
    </w:p>
    <w:p w14:paraId="62626964" w14:textId="446C564D" w:rsidR="00146D8C" w:rsidRPr="00074854" w:rsidRDefault="007E0E49" w:rsidP="001A63C0">
      <w:pPr>
        <w:spacing w:after="0" w:line="360" w:lineRule="auto"/>
        <w:jc w:val="both"/>
        <w:outlineLvl w:val="1"/>
        <w:rPr>
          <w:rFonts w:asciiTheme="majorBidi" w:eastAsia="Times New Roman" w:hAnsiTheme="majorBidi" w:cstheme="majorBidi"/>
          <w:b/>
          <w:bCs/>
          <w:kern w:val="0"/>
          <w14:ligatures w14:val="none"/>
        </w:rPr>
      </w:pPr>
      <w:r>
        <w:rPr>
          <w:rFonts w:asciiTheme="majorBidi" w:eastAsia="Times New Roman" w:hAnsiTheme="majorBidi" w:cstheme="majorBidi"/>
          <w:b/>
          <w:bCs/>
          <w:kern w:val="0"/>
          <w14:ligatures w14:val="none"/>
        </w:rPr>
        <w:t xml:space="preserve">6.0 </w:t>
      </w:r>
      <w:r w:rsidR="00146D8C" w:rsidRPr="00074854">
        <w:rPr>
          <w:rFonts w:asciiTheme="majorBidi" w:eastAsia="Times New Roman" w:hAnsiTheme="majorBidi" w:cstheme="majorBidi"/>
          <w:b/>
          <w:bCs/>
          <w:kern w:val="0"/>
          <w14:ligatures w14:val="none"/>
        </w:rPr>
        <w:t>Conclusion</w:t>
      </w:r>
    </w:p>
    <w:p w14:paraId="5C7AE879" w14:textId="77777777" w:rsidR="001A63C0" w:rsidRPr="00074854" w:rsidRDefault="00146D8C" w:rsidP="001A63C0">
      <w:pPr>
        <w:spacing w:after="0"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This article set out to examine whether public engagement in urban parking management in Ghana reflects meaningful participation or merely symbolic involvement. The findings show that public engagement is present, but it remains moderate, inconsistent, and weakly institutionalised. Citizens are sometimes consulted on parking related issues, and some engagement platforms exist, but these mechanisms do not yet amount to strong participatory governance. The evidence therefore suggests that parking governance in Ghana operates within a narrow space between exclusion and collaboration, where consultation is visible but citizen influence remains limited. </w:t>
      </w:r>
    </w:p>
    <w:p w14:paraId="0B427455" w14:textId="77777777" w:rsidR="001A63C0" w:rsidRPr="00074854" w:rsidRDefault="00146D8C" w:rsidP="001A63C0">
      <w:pPr>
        <w:spacing w:after="0"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A major finding of the study is that the weakness of participation is sustained by multiple and overlapping barriers. Institutional limitations such as weak policy support, bureaucratic rigidity, and fragmented governance structures reduce the ability of authorities to organise sustained engagement. At the same time, socio cultural barriers, especially low civic education and cultural reluctance to challenge authority, constrain active citizen voice. Logistical barriers, including limited access to digital tools, further reinforce exclusion. These findings show that tokenistic participation is not caused by a single problem, but by a wider governance environment that does not yet support inclusive and continuous public involvement. </w:t>
      </w:r>
    </w:p>
    <w:p w14:paraId="366BA7D5" w14:textId="77777777" w:rsidR="001A63C0" w:rsidRPr="00074854" w:rsidRDefault="00146D8C" w:rsidP="001A63C0">
      <w:pPr>
        <w:spacing w:after="0"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The comparative evidence deepens this conclusion. The selected international cases demonstrate that more structured and inclusive engagement systems are possible when participation is supported by clearer legal frameworks, stronger coordination mechanisms, and more accessible channels for citizen input. Ghana’s relatively weaker performance in these areas suggests that the current state of engagement is not inevitable. It reflects policy and institutional choices that can be changed. The article therefore concludes that the central challenge in Ghanaian parking governance is not simply ineffective regulation, but the persistence of tokenistic participation. Moving toward co governance is necessary if parking policy is to become more legitimate, responsive, and sustainable. </w:t>
      </w:r>
    </w:p>
    <w:p w14:paraId="1F2B61D2" w14:textId="2CF4624B" w:rsidR="00146D8C" w:rsidRPr="00074854" w:rsidRDefault="00146D8C" w:rsidP="001A63C0">
      <w:pPr>
        <w:spacing w:after="0" w:line="360" w:lineRule="auto"/>
        <w:ind w:firstLine="720"/>
        <w:jc w:val="both"/>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lastRenderedPageBreak/>
        <w:t>Based on these findings, several recommendations emerge. First, public engagement in parking governance should be formally embedded in legal and policy frameworks so that consultation becomes a routine and enforceable part of decision making rather than an occasional administrative gesture. Second, metropolitan and municipal authorities should establish stronger multi stakeholder coordination systems that bring together residents, traders, transport operators, civil society actors, and relevant agencies in structured parking governance forums. Third, civic education should be strengthened so that citizens better understand both their rights and their responsibilities in urban policy processes. Fourth, authorities should adopt more inclusive participation channels by combining face to face community engagement with accessible digital tools, while taking care not to exclude groups with limited technological access. Finally, parking policy should incorporate clear feedback mechanisms so that citizens can see how their contributions shape decisions, thereby improving trust, transparency, and policy ownership.</w:t>
      </w:r>
    </w:p>
    <w:p w14:paraId="1AC19E1E" w14:textId="77777777" w:rsidR="007E0E49" w:rsidRDefault="007E0E49" w:rsidP="007E0E49">
      <w:pPr>
        <w:spacing w:after="0" w:line="360" w:lineRule="auto"/>
        <w:jc w:val="both"/>
        <w:outlineLvl w:val="1"/>
        <w:rPr>
          <w:rFonts w:ascii="Times New Roman" w:eastAsia="Times New Roman" w:hAnsi="Times New Roman" w:cs="Times New Roman"/>
          <w:b/>
          <w:bCs/>
          <w:kern w:val="0"/>
          <w:lang/>
          <w14:ligatures w14:val="none"/>
        </w:rPr>
      </w:pPr>
    </w:p>
    <w:p w14:paraId="6B90B84E" w14:textId="29DCE81E" w:rsidR="007E0E49" w:rsidRPr="007E0E49" w:rsidRDefault="007E0E49" w:rsidP="007E0E49">
      <w:pPr>
        <w:spacing w:after="0" w:line="360" w:lineRule="auto"/>
        <w:jc w:val="both"/>
        <w:outlineLvl w:val="1"/>
        <w:rPr>
          <w:rFonts w:ascii="Times New Roman" w:eastAsia="Times New Roman" w:hAnsi="Times New Roman" w:cs="Times New Roman"/>
          <w:b/>
          <w:bCs/>
          <w:kern w:val="0"/>
          <w:lang/>
          <w14:ligatures w14:val="none"/>
        </w:rPr>
      </w:pPr>
      <w:r w:rsidRPr="007E0E49">
        <w:rPr>
          <w:rFonts w:ascii="Times New Roman" w:eastAsia="Times New Roman" w:hAnsi="Times New Roman" w:cs="Times New Roman"/>
          <w:b/>
          <w:bCs/>
          <w:kern w:val="0"/>
          <w:lang/>
          <w14:ligatures w14:val="none"/>
        </w:rPr>
        <w:t>7.0 Study Limitations</w:t>
      </w:r>
    </w:p>
    <w:p w14:paraId="04F79A08" w14:textId="63D18D82" w:rsidR="007E0E49" w:rsidRDefault="007E0E49" w:rsidP="00FB3EA6">
      <w:pPr>
        <w:spacing w:after="0" w:line="360" w:lineRule="auto"/>
        <w:jc w:val="both"/>
        <w:rPr>
          <w:rFonts w:ascii="Times New Roman" w:eastAsia="Times New Roman" w:hAnsi="Times New Roman" w:cs="Times New Roman"/>
          <w:kern w:val="0"/>
          <w:lang/>
          <w14:ligatures w14:val="none"/>
        </w:rPr>
      </w:pPr>
      <w:r w:rsidRPr="007E0E49">
        <w:rPr>
          <w:rFonts w:ascii="Times New Roman" w:eastAsia="Times New Roman" w:hAnsi="Times New Roman" w:cs="Times New Roman"/>
          <w:kern w:val="0"/>
          <w:lang/>
          <w14:ligatures w14:val="none"/>
        </w:rPr>
        <w:t>This study has several limitations that should be acknowledged. First, the research focuses on selected urban centres in Ghana, namely Accra, Kum</w:t>
      </w:r>
      <w:bookmarkStart w:id="0" w:name="_GoBack"/>
      <w:bookmarkEnd w:id="0"/>
      <w:r w:rsidRPr="007E0E49">
        <w:rPr>
          <w:rFonts w:ascii="Times New Roman" w:eastAsia="Times New Roman" w:hAnsi="Times New Roman" w:cs="Times New Roman"/>
          <w:kern w:val="0"/>
          <w:lang/>
          <w14:ligatures w14:val="none"/>
        </w:rPr>
        <w:t>asi, and Takoradi, which may limit the generalisability of the findings to other cities or rural contexts with different institutional and socio economic conditions. Second, the study relies partly on self reported survey data, which may be influenced by respondent perceptions, biases, or varying levels of awareness about parking governance processes. Third, although the mixed methods approach strengthens the depth of analysis, the qualitative component is based on a limited number of stakeholder interviews and may not fully capture all perspectives within the broader urban population. Finally, the study adopts a cross sectional design, which restricts the ability to assess changes in public engagement practices over time. Future research could address these limitations by expanding the geographical scope, incorporating longitudinal data, and examining the impact of specific policy interventions on participatory parking governance.</w:t>
      </w:r>
    </w:p>
    <w:p w14:paraId="33319057" w14:textId="77777777" w:rsidR="00012A80" w:rsidRPr="00012A80" w:rsidRDefault="00012A80" w:rsidP="00012A80">
      <w:pPr>
        <w:spacing w:after="0" w:line="360" w:lineRule="auto"/>
        <w:jc w:val="both"/>
        <w:rPr>
          <w:rFonts w:asciiTheme="majorBidi" w:hAnsiTheme="majorBidi" w:cstheme="majorBidi"/>
          <w:b/>
        </w:rPr>
      </w:pPr>
      <w:r w:rsidRPr="00012A80">
        <w:rPr>
          <w:rFonts w:asciiTheme="majorBidi" w:hAnsiTheme="majorBidi" w:cstheme="majorBidi"/>
          <w:b/>
        </w:rPr>
        <w:t xml:space="preserve">Consent </w:t>
      </w:r>
    </w:p>
    <w:p w14:paraId="064DEAD2" w14:textId="77777777" w:rsidR="00012A80" w:rsidRDefault="00012A80" w:rsidP="00012A80">
      <w:pPr>
        <w:spacing w:after="0" w:line="360" w:lineRule="auto"/>
        <w:jc w:val="both"/>
        <w:rPr>
          <w:rFonts w:asciiTheme="majorBidi" w:hAnsiTheme="majorBidi" w:cstheme="majorBidi"/>
        </w:rPr>
      </w:pPr>
      <w:r w:rsidRPr="00012A80">
        <w:rPr>
          <w:rFonts w:asciiTheme="majorBidi" w:hAnsiTheme="majorBidi" w:cstheme="majorBidi"/>
        </w:rPr>
        <w:t>As per international standards or university standards, respondents’ written consent has been collected and preserved by the author(s).</w:t>
      </w:r>
    </w:p>
    <w:p w14:paraId="43439B84" w14:textId="4793A5D6" w:rsidR="002772DD" w:rsidRPr="007E0E49" w:rsidRDefault="007E0E49" w:rsidP="00012A80">
      <w:pPr>
        <w:spacing w:after="0" w:line="360" w:lineRule="auto"/>
        <w:jc w:val="both"/>
        <w:rPr>
          <w:rFonts w:asciiTheme="majorBidi" w:hAnsiTheme="majorBidi" w:cstheme="majorBidi"/>
          <w:b/>
        </w:rPr>
      </w:pPr>
      <w:r w:rsidRPr="007E0E49">
        <w:rPr>
          <w:rFonts w:asciiTheme="majorBidi" w:hAnsiTheme="majorBidi" w:cstheme="majorBidi"/>
          <w:b/>
        </w:rPr>
        <w:t xml:space="preserve">8.0 </w:t>
      </w:r>
      <w:r w:rsidR="002772DD" w:rsidRPr="007E0E49">
        <w:rPr>
          <w:rFonts w:asciiTheme="majorBidi" w:hAnsiTheme="majorBidi" w:cstheme="majorBidi"/>
          <w:b/>
        </w:rPr>
        <w:t>Disclaimer (Artificial intelligence)</w:t>
      </w:r>
    </w:p>
    <w:p w14:paraId="13B1E867" w14:textId="77777777" w:rsidR="002772DD" w:rsidRPr="007E0E49" w:rsidRDefault="002772DD" w:rsidP="00FB3EA6">
      <w:pPr>
        <w:spacing w:after="0" w:line="360" w:lineRule="auto"/>
        <w:rPr>
          <w:rFonts w:asciiTheme="majorBidi" w:hAnsiTheme="majorBidi" w:cstheme="majorBidi"/>
        </w:rPr>
      </w:pPr>
      <w:r w:rsidRPr="007E0E49">
        <w:rPr>
          <w:rFonts w:asciiTheme="majorBidi" w:hAnsiTheme="majorBidi" w:cstheme="majorBidi"/>
        </w:rPr>
        <w:lastRenderedPageBreak/>
        <w:t>Author(s) hereby declare that NO generative AI technologies such as Large Language Models (</w:t>
      </w:r>
      <w:proofErr w:type="spellStart"/>
      <w:r w:rsidRPr="007E0E49">
        <w:rPr>
          <w:rFonts w:asciiTheme="majorBidi" w:hAnsiTheme="majorBidi" w:cstheme="majorBidi"/>
        </w:rPr>
        <w:t>ChatGPT</w:t>
      </w:r>
      <w:proofErr w:type="spellEnd"/>
      <w:r w:rsidRPr="007E0E49">
        <w:rPr>
          <w:rFonts w:asciiTheme="majorBidi" w:hAnsiTheme="majorBidi" w:cstheme="majorBidi"/>
        </w:rPr>
        <w:t xml:space="preserve">, COPILOT, etc.) and text-to-image generators have been used during the writing or editing of this manuscript. </w:t>
      </w:r>
    </w:p>
    <w:p w14:paraId="5653D036" w14:textId="77777777" w:rsidR="00FB3EA6" w:rsidRDefault="00FB3EA6" w:rsidP="00BA0415">
      <w:pPr>
        <w:spacing w:after="0" w:line="480" w:lineRule="auto"/>
        <w:outlineLvl w:val="0"/>
        <w:rPr>
          <w:rFonts w:asciiTheme="majorBidi" w:eastAsia="Times New Roman" w:hAnsiTheme="majorBidi" w:cstheme="majorBidi"/>
          <w:b/>
          <w:bCs/>
          <w:kern w:val="36"/>
          <w14:ligatures w14:val="none"/>
        </w:rPr>
      </w:pPr>
    </w:p>
    <w:p w14:paraId="034C4EA5" w14:textId="49C99B33" w:rsidR="00BA0415" w:rsidRPr="00074854" w:rsidRDefault="007E0E49" w:rsidP="00BA0415">
      <w:pPr>
        <w:spacing w:after="0" w:line="480" w:lineRule="auto"/>
        <w:outlineLvl w:val="0"/>
        <w:rPr>
          <w:rFonts w:asciiTheme="majorBidi" w:eastAsia="Times New Roman" w:hAnsiTheme="majorBidi" w:cstheme="majorBidi"/>
          <w:b/>
          <w:bCs/>
          <w:kern w:val="36"/>
          <w14:ligatures w14:val="none"/>
        </w:rPr>
      </w:pPr>
      <w:r>
        <w:rPr>
          <w:rFonts w:asciiTheme="majorBidi" w:eastAsia="Times New Roman" w:hAnsiTheme="majorBidi" w:cstheme="majorBidi"/>
          <w:b/>
          <w:bCs/>
          <w:kern w:val="36"/>
          <w14:ligatures w14:val="none"/>
        </w:rPr>
        <w:t>9</w:t>
      </w:r>
      <w:r w:rsidR="00BA0415" w:rsidRPr="00074854">
        <w:rPr>
          <w:rFonts w:asciiTheme="majorBidi" w:eastAsia="Times New Roman" w:hAnsiTheme="majorBidi" w:cstheme="majorBidi"/>
          <w:b/>
          <w:bCs/>
          <w:kern w:val="36"/>
          <w14:ligatures w14:val="none"/>
        </w:rPr>
        <w:t>.0 References</w:t>
      </w:r>
    </w:p>
    <w:p w14:paraId="2171AEF7" w14:textId="24E3FCDA"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Abdul-Aziz, A. R., Owusu-Ansah, P., </w:t>
      </w:r>
      <w:proofErr w:type="spellStart"/>
      <w:r w:rsidRPr="00074854">
        <w:rPr>
          <w:rFonts w:asciiTheme="majorBidi" w:eastAsia="Times New Roman" w:hAnsiTheme="majorBidi" w:cstheme="majorBidi"/>
          <w:kern w:val="0"/>
          <w14:ligatures w14:val="none"/>
        </w:rPr>
        <w:t>Obiri</w:t>
      </w:r>
      <w:proofErr w:type="spellEnd"/>
      <w:r w:rsidRPr="00074854">
        <w:rPr>
          <w:rFonts w:asciiTheme="majorBidi" w:eastAsia="Times New Roman" w:hAnsiTheme="majorBidi" w:cstheme="majorBidi"/>
          <w:kern w:val="0"/>
          <w14:ligatures w14:val="none"/>
        </w:rPr>
        <w:t xml:space="preserve">-Yeboah, A. A., </w:t>
      </w:r>
      <w:proofErr w:type="spellStart"/>
      <w:r w:rsidRPr="00074854">
        <w:rPr>
          <w:rFonts w:asciiTheme="majorBidi" w:eastAsia="Times New Roman" w:hAnsiTheme="majorBidi" w:cstheme="majorBidi"/>
          <w:kern w:val="0"/>
          <w14:ligatures w14:val="none"/>
        </w:rPr>
        <w:t>Woangbah</w:t>
      </w:r>
      <w:proofErr w:type="spellEnd"/>
      <w:r w:rsidRPr="00074854">
        <w:rPr>
          <w:rFonts w:asciiTheme="majorBidi" w:eastAsia="Times New Roman" w:hAnsiTheme="majorBidi" w:cstheme="majorBidi"/>
          <w:kern w:val="0"/>
          <w14:ligatures w14:val="none"/>
        </w:rPr>
        <w:t xml:space="preserve">, S. K., </w:t>
      </w:r>
      <w:proofErr w:type="spellStart"/>
      <w:r w:rsidRPr="00074854">
        <w:rPr>
          <w:rFonts w:asciiTheme="majorBidi" w:eastAsia="Times New Roman" w:hAnsiTheme="majorBidi" w:cstheme="majorBidi"/>
          <w:kern w:val="0"/>
          <w14:ligatures w14:val="none"/>
        </w:rPr>
        <w:t>Adusei</w:t>
      </w:r>
      <w:proofErr w:type="spellEnd"/>
      <w:r w:rsidRPr="00074854">
        <w:rPr>
          <w:rFonts w:asciiTheme="majorBidi" w:eastAsia="Times New Roman" w:hAnsiTheme="majorBidi" w:cstheme="majorBidi"/>
          <w:kern w:val="0"/>
          <w14:ligatures w14:val="none"/>
        </w:rPr>
        <w:t xml:space="preserve">, E., Frimpong, A. J., Amoah, A. S., &amp; </w:t>
      </w:r>
      <w:proofErr w:type="spellStart"/>
      <w:r w:rsidRPr="00074854">
        <w:rPr>
          <w:rFonts w:asciiTheme="majorBidi" w:eastAsia="Times New Roman" w:hAnsiTheme="majorBidi" w:cstheme="majorBidi"/>
          <w:kern w:val="0"/>
          <w14:ligatures w14:val="none"/>
        </w:rPr>
        <w:t>Yaabo</w:t>
      </w:r>
      <w:proofErr w:type="spellEnd"/>
      <w:r w:rsidRPr="00074854">
        <w:rPr>
          <w:rFonts w:asciiTheme="majorBidi" w:eastAsia="Times New Roman" w:hAnsiTheme="majorBidi" w:cstheme="majorBidi"/>
          <w:kern w:val="0"/>
          <w14:ligatures w14:val="none"/>
        </w:rPr>
        <w:t xml:space="preserve">, I. K. (2025). Recursive Structural Equation </w:t>
      </w:r>
      <w:proofErr w:type="spellStart"/>
      <w:r w:rsidRPr="00074854">
        <w:rPr>
          <w:rFonts w:asciiTheme="majorBidi" w:eastAsia="Times New Roman" w:hAnsiTheme="majorBidi" w:cstheme="majorBidi"/>
          <w:kern w:val="0"/>
          <w14:ligatures w14:val="none"/>
        </w:rPr>
        <w:t>Modeling</w:t>
      </w:r>
      <w:proofErr w:type="spellEnd"/>
      <w:r w:rsidRPr="00074854">
        <w:rPr>
          <w:rFonts w:asciiTheme="majorBidi" w:eastAsia="Times New Roman" w:hAnsiTheme="majorBidi" w:cstheme="majorBidi"/>
          <w:kern w:val="0"/>
          <w14:ligatures w14:val="none"/>
        </w:rPr>
        <w:t xml:space="preserve"> of Determinants of Motorist Parking Challenges in Ghana: A Greater Kumasi Perspective. </w:t>
      </w:r>
      <w:r w:rsidRPr="00074854">
        <w:rPr>
          <w:rFonts w:asciiTheme="majorBidi" w:eastAsia="Times New Roman" w:hAnsiTheme="majorBidi" w:cstheme="majorBidi"/>
          <w:i/>
          <w:iCs/>
          <w:kern w:val="0"/>
          <w14:ligatures w14:val="none"/>
        </w:rPr>
        <w:t>Future Transportation</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5</w:t>
      </w:r>
      <w:r w:rsidRPr="00074854">
        <w:rPr>
          <w:rFonts w:asciiTheme="majorBidi" w:eastAsia="Times New Roman" w:hAnsiTheme="majorBidi" w:cstheme="majorBidi"/>
          <w:kern w:val="0"/>
          <w14:ligatures w14:val="none"/>
        </w:rPr>
        <w:t>(4), 174.</w:t>
      </w:r>
      <w:r w:rsidR="007E0E49">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https://doi.org/10.3390/futuretransp5040174</w:t>
      </w:r>
    </w:p>
    <w:p w14:paraId="2151F4DA"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Ahmadian</w:t>
      </w:r>
      <w:proofErr w:type="spellEnd"/>
      <w:r w:rsidRPr="00074854">
        <w:rPr>
          <w:rFonts w:asciiTheme="majorBidi" w:eastAsia="Times New Roman" w:hAnsiTheme="majorBidi" w:cstheme="majorBidi"/>
          <w:kern w:val="0"/>
          <w14:ligatures w14:val="none"/>
        </w:rPr>
        <w:t xml:space="preserve">, M. M., Baker, D., &amp; Paz, A. (2024). Leveraging business intelligence solutions for urban parking management. </w:t>
      </w:r>
      <w:r w:rsidRPr="00074854">
        <w:rPr>
          <w:rFonts w:asciiTheme="majorBidi" w:eastAsia="Times New Roman" w:hAnsiTheme="majorBidi" w:cstheme="majorBidi"/>
          <w:i/>
          <w:iCs/>
          <w:kern w:val="0"/>
          <w14:ligatures w14:val="none"/>
        </w:rPr>
        <w:t>City, Culture and Society</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37</w:t>
      </w:r>
      <w:r w:rsidRPr="00074854">
        <w:rPr>
          <w:rFonts w:asciiTheme="majorBidi" w:eastAsia="Times New Roman" w:hAnsiTheme="majorBidi" w:cstheme="majorBidi"/>
          <w:kern w:val="0"/>
          <w14:ligatures w14:val="none"/>
        </w:rPr>
        <w:t>, 100579. https://doi.org/10.1016/j.ccs.2024.100579</w:t>
      </w:r>
    </w:p>
    <w:p w14:paraId="602B25BC"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Ahmadian</w:t>
      </w:r>
      <w:proofErr w:type="spellEnd"/>
      <w:r w:rsidRPr="00074854">
        <w:rPr>
          <w:rFonts w:asciiTheme="majorBidi" w:eastAsia="Times New Roman" w:hAnsiTheme="majorBidi" w:cstheme="majorBidi"/>
          <w:kern w:val="0"/>
          <w14:ligatures w14:val="none"/>
        </w:rPr>
        <w:t xml:space="preserve">, M. M., Khatami, M., Baker, D., &amp; Paz, A. (2025). Understanding urban parking satisfaction: Implications for curb space management using multicriteria analysis. </w:t>
      </w:r>
      <w:r w:rsidRPr="00074854">
        <w:rPr>
          <w:rFonts w:asciiTheme="majorBidi" w:eastAsia="Times New Roman" w:hAnsiTheme="majorBidi" w:cstheme="majorBidi"/>
          <w:i/>
          <w:iCs/>
          <w:kern w:val="0"/>
          <w14:ligatures w14:val="none"/>
        </w:rPr>
        <w:t>Transportation Research Part A: Policy and Practice</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194</w:t>
      </w:r>
      <w:r w:rsidRPr="00074854">
        <w:rPr>
          <w:rFonts w:asciiTheme="majorBidi" w:eastAsia="Times New Roman" w:hAnsiTheme="majorBidi" w:cstheme="majorBidi"/>
          <w:kern w:val="0"/>
          <w14:ligatures w14:val="none"/>
        </w:rPr>
        <w:t>, 104418. https://doi.org/10.1016/j.tra.2025.104418</w:t>
      </w:r>
    </w:p>
    <w:p w14:paraId="725395A1"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Almulhim</w:t>
      </w:r>
      <w:proofErr w:type="spellEnd"/>
      <w:r w:rsidRPr="00074854">
        <w:rPr>
          <w:rFonts w:asciiTheme="majorBidi" w:eastAsia="Times New Roman" w:hAnsiTheme="majorBidi" w:cstheme="majorBidi"/>
          <w:kern w:val="0"/>
          <w14:ligatures w14:val="none"/>
        </w:rPr>
        <w:t xml:space="preserve">, A. I., &amp; </w:t>
      </w:r>
      <w:proofErr w:type="spellStart"/>
      <w:r w:rsidRPr="00074854">
        <w:rPr>
          <w:rFonts w:asciiTheme="majorBidi" w:eastAsia="Times New Roman" w:hAnsiTheme="majorBidi" w:cstheme="majorBidi"/>
          <w:kern w:val="0"/>
          <w14:ligatures w14:val="none"/>
        </w:rPr>
        <w:t>Yigitcanlar</w:t>
      </w:r>
      <w:proofErr w:type="spellEnd"/>
      <w:r w:rsidRPr="00074854">
        <w:rPr>
          <w:rFonts w:asciiTheme="majorBidi" w:eastAsia="Times New Roman" w:hAnsiTheme="majorBidi" w:cstheme="majorBidi"/>
          <w:kern w:val="0"/>
          <w14:ligatures w14:val="none"/>
        </w:rPr>
        <w:t xml:space="preserve">, T. (2025). Understanding Smart Governance of Sustainable Cities: A Review and Multidimensional Framework. </w:t>
      </w:r>
      <w:r w:rsidRPr="00074854">
        <w:rPr>
          <w:rFonts w:asciiTheme="majorBidi" w:eastAsia="Times New Roman" w:hAnsiTheme="majorBidi" w:cstheme="majorBidi"/>
          <w:i/>
          <w:iCs/>
          <w:kern w:val="0"/>
          <w14:ligatures w14:val="none"/>
        </w:rPr>
        <w:t>Smart Cities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8</w:t>
      </w:r>
      <w:r w:rsidRPr="00074854">
        <w:rPr>
          <w:rFonts w:asciiTheme="majorBidi" w:eastAsia="Times New Roman" w:hAnsiTheme="majorBidi" w:cstheme="majorBidi"/>
          <w:kern w:val="0"/>
          <w14:ligatures w14:val="none"/>
        </w:rPr>
        <w:t>(4), 113. https://doi.org/10.3390/smartcities8040113</w:t>
      </w:r>
    </w:p>
    <w:p w14:paraId="0BA036C1"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Anarfi</w:t>
      </w:r>
      <w:proofErr w:type="spellEnd"/>
      <w:r w:rsidRPr="00074854">
        <w:rPr>
          <w:rFonts w:asciiTheme="majorBidi" w:eastAsia="Times New Roman" w:hAnsiTheme="majorBidi" w:cstheme="majorBidi"/>
          <w:kern w:val="0"/>
          <w14:ligatures w14:val="none"/>
        </w:rPr>
        <w:t xml:space="preserve">, K., </w:t>
      </w:r>
      <w:proofErr w:type="spellStart"/>
      <w:r w:rsidRPr="00074854">
        <w:rPr>
          <w:rFonts w:asciiTheme="majorBidi" w:eastAsia="Times New Roman" w:hAnsiTheme="majorBidi" w:cstheme="majorBidi"/>
          <w:kern w:val="0"/>
          <w14:ligatures w14:val="none"/>
        </w:rPr>
        <w:t>Shiel</w:t>
      </w:r>
      <w:proofErr w:type="spellEnd"/>
      <w:r w:rsidRPr="00074854">
        <w:rPr>
          <w:rFonts w:asciiTheme="majorBidi" w:eastAsia="Times New Roman" w:hAnsiTheme="majorBidi" w:cstheme="majorBidi"/>
          <w:kern w:val="0"/>
          <w14:ligatures w14:val="none"/>
        </w:rPr>
        <w:t xml:space="preserve">, C., &amp; Hill, R. A. (2022). The public’s perspectives of urban sustainability: A comparative analysis of two urban areas in Ghana. </w:t>
      </w:r>
      <w:r w:rsidRPr="00074854">
        <w:rPr>
          <w:rFonts w:asciiTheme="majorBidi" w:eastAsia="Times New Roman" w:hAnsiTheme="majorBidi" w:cstheme="majorBidi"/>
          <w:i/>
          <w:iCs/>
          <w:kern w:val="0"/>
          <w14:ligatures w14:val="none"/>
        </w:rPr>
        <w:t>Habitat International</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121</w:t>
      </w:r>
      <w:r w:rsidRPr="00074854">
        <w:rPr>
          <w:rFonts w:asciiTheme="majorBidi" w:eastAsia="Times New Roman" w:hAnsiTheme="majorBidi" w:cstheme="majorBidi"/>
          <w:kern w:val="0"/>
          <w14:ligatures w14:val="none"/>
        </w:rPr>
        <w:t>, 102496. https://doi.org/10.1016/j.habitatint.2021.102496</w:t>
      </w:r>
    </w:p>
    <w:p w14:paraId="1C6147EE"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lastRenderedPageBreak/>
        <w:t xml:space="preserve">Anthony, B. (2023). The Role of Community Engagement in Urban Innovation Towards the Co-Creation of Smart Sustainable Cities. </w:t>
      </w:r>
      <w:r w:rsidRPr="00074854">
        <w:rPr>
          <w:rFonts w:asciiTheme="majorBidi" w:eastAsia="Times New Roman" w:hAnsiTheme="majorBidi" w:cstheme="majorBidi"/>
          <w:i/>
          <w:iCs/>
          <w:kern w:val="0"/>
          <w14:ligatures w14:val="none"/>
        </w:rPr>
        <w:t>Journal of the Knowledge Economy</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w:t>
      </w:r>
      <w:r w:rsidRPr="00074854">
        <w:rPr>
          <w:rFonts w:asciiTheme="majorBidi" w:eastAsia="Times New Roman" w:hAnsiTheme="majorBidi" w:cstheme="majorBidi"/>
          <w:kern w:val="0"/>
          <w14:ligatures w14:val="none"/>
        </w:rPr>
        <w:t>(1), 1–33. https://doi.org/10.1007/s13132-023-01176-1</w:t>
      </w:r>
    </w:p>
    <w:p w14:paraId="5B1149AE"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Appiah </w:t>
      </w:r>
      <w:proofErr w:type="spellStart"/>
      <w:r w:rsidRPr="00074854">
        <w:rPr>
          <w:rFonts w:asciiTheme="majorBidi" w:eastAsia="Times New Roman" w:hAnsiTheme="majorBidi" w:cstheme="majorBidi"/>
          <w:kern w:val="0"/>
          <w14:ligatures w14:val="none"/>
        </w:rPr>
        <w:t>Kissi</w:t>
      </w:r>
      <w:proofErr w:type="spellEnd"/>
      <w:r w:rsidRPr="00074854">
        <w:rPr>
          <w:rFonts w:asciiTheme="majorBidi" w:eastAsia="Times New Roman" w:hAnsiTheme="majorBidi" w:cstheme="majorBidi"/>
          <w:kern w:val="0"/>
          <w14:ligatures w14:val="none"/>
        </w:rPr>
        <w:t xml:space="preserve">, E., </w:t>
      </w:r>
      <w:proofErr w:type="spellStart"/>
      <w:r w:rsidRPr="00074854">
        <w:rPr>
          <w:rFonts w:asciiTheme="majorBidi" w:eastAsia="Times New Roman" w:hAnsiTheme="majorBidi" w:cstheme="majorBidi"/>
          <w:kern w:val="0"/>
          <w14:ligatures w14:val="none"/>
        </w:rPr>
        <w:t>Segbenya</w:t>
      </w:r>
      <w:proofErr w:type="spellEnd"/>
      <w:r w:rsidRPr="00074854">
        <w:rPr>
          <w:rFonts w:asciiTheme="majorBidi" w:eastAsia="Times New Roman" w:hAnsiTheme="majorBidi" w:cstheme="majorBidi"/>
          <w:kern w:val="0"/>
          <w14:ligatures w14:val="none"/>
        </w:rPr>
        <w:t xml:space="preserve">, M., &amp; </w:t>
      </w:r>
      <w:proofErr w:type="spellStart"/>
      <w:r w:rsidRPr="00074854">
        <w:rPr>
          <w:rFonts w:asciiTheme="majorBidi" w:eastAsia="Times New Roman" w:hAnsiTheme="majorBidi" w:cstheme="majorBidi"/>
          <w:kern w:val="0"/>
          <w14:ligatures w14:val="none"/>
        </w:rPr>
        <w:t>Oti</w:t>
      </w:r>
      <w:proofErr w:type="spellEnd"/>
      <w:r w:rsidRPr="00074854">
        <w:rPr>
          <w:rFonts w:asciiTheme="majorBidi" w:eastAsia="Times New Roman" w:hAnsiTheme="majorBidi" w:cstheme="majorBidi"/>
          <w:kern w:val="0"/>
          <w14:ligatures w14:val="none"/>
        </w:rPr>
        <w:t xml:space="preserve"> Amoah, J. (2024). Environmental sustainability among workers in Ghana: The role of green human resource management. </w:t>
      </w:r>
      <w:proofErr w:type="spellStart"/>
      <w:r w:rsidRPr="00074854">
        <w:rPr>
          <w:rFonts w:asciiTheme="majorBidi" w:eastAsia="Times New Roman" w:hAnsiTheme="majorBidi" w:cstheme="majorBidi"/>
          <w:i/>
          <w:iCs/>
          <w:kern w:val="0"/>
          <w14:ligatures w14:val="none"/>
        </w:rPr>
        <w:t>Heliyon</w:t>
      </w:r>
      <w:proofErr w:type="spellEnd"/>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10</w:t>
      </w:r>
      <w:r w:rsidRPr="00074854">
        <w:rPr>
          <w:rFonts w:asciiTheme="majorBidi" w:eastAsia="Times New Roman" w:hAnsiTheme="majorBidi" w:cstheme="majorBidi"/>
          <w:kern w:val="0"/>
          <w14:ligatures w14:val="none"/>
        </w:rPr>
        <w:t>(13), e33380. https://doi.org/10.1016/j.heliyon.2024.e33380</w:t>
      </w:r>
    </w:p>
    <w:p w14:paraId="41447858"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Augustin-</w:t>
      </w:r>
      <w:proofErr w:type="spellStart"/>
      <w:r w:rsidRPr="00074854">
        <w:rPr>
          <w:rFonts w:asciiTheme="majorBidi" w:eastAsia="Times New Roman" w:hAnsiTheme="majorBidi" w:cstheme="majorBidi"/>
          <w:kern w:val="0"/>
          <w14:ligatures w14:val="none"/>
        </w:rPr>
        <w:t>Behravesh</w:t>
      </w:r>
      <w:proofErr w:type="spellEnd"/>
      <w:r w:rsidRPr="00074854">
        <w:rPr>
          <w:rFonts w:asciiTheme="majorBidi" w:eastAsia="Times New Roman" w:hAnsiTheme="majorBidi" w:cstheme="majorBidi"/>
          <w:kern w:val="0"/>
          <w14:ligatures w14:val="none"/>
        </w:rPr>
        <w:t xml:space="preserve">, S.-A., Darnall, N., No, W., &amp; </w:t>
      </w:r>
      <w:proofErr w:type="spellStart"/>
      <w:r w:rsidRPr="00074854">
        <w:rPr>
          <w:rFonts w:asciiTheme="majorBidi" w:eastAsia="Times New Roman" w:hAnsiTheme="majorBidi" w:cstheme="majorBidi"/>
          <w:kern w:val="0"/>
          <w14:ligatures w14:val="none"/>
        </w:rPr>
        <w:t>Bretschneider</w:t>
      </w:r>
      <w:proofErr w:type="spellEnd"/>
      <w:r w:rsidRPr="00074854">
        <w:rPr>
          <w:rFonts w:asciiTheme="majorBidi" w:eastAsia="Times New Roman" w:hAnsiTheme="majorBidi" w:cstheme="majorBidi"/>
          <w:kern w:val="0"/>
          <w14:ligatures w14:val="none"/>
        </w:rPr>
        <w:t xml:space="preserve">, S. (2025). How stakeholder influence shapes public sector environmental policy choices. </w:t>
      </w:r>
      <w:r w:rsidRPr="00074854">
        <w:rPr>
          <w:rFonts w:asciiTheme="majorBidi" w:eastAsia="Times New Roman" w:hAnsiTheme="majorBidi" w:cstheme="majorBidi"/>
          <w:i/>
          <w:iCs/>
          <w:kern w:val="0"/>
          <w14:ligatures w14:val="none"/>
        </w:rPr>
        <w:t>Journal of Cleaner Production</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523</w:t>
      </w:r>
      <w:r w:rsidRPr="00074854">
        <w:rPr>
          <w:rFonts w:asciiTheme="majorBidi" w:eastAsia="Times New Roman" w:hAnsiTheme="majorBidi" w:cstheme="majorBidi"/>
          <w:kern w:val="0"/>
          <w14:ligatures w14:val="none"/>
        </w:rPr>
        <w:t>, 146312. https://doi.org/10.1016/j.jclepro.2025.146312</w:t>
      </w:r>
    </w:p>
    <w:p w14:paraId="7AC9A387"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Balarabe</w:t>
      </w:r>
      <w:proofErr w:type="spellEnd"/>
      <w:r w:rsidRPr="00074854">
        <w:rPr>
          <w:rFonts w:asciiTheme="majorBidi" w:eastAsia="Times New Roman" w:hAnsiTheme="majorBidi" w:cstheme="majorBidi"/>
          <w:kern w:val="0"/>
          <w14:ligatures w14:val="none"/>
        </w:rPr>
        <w:t xml:space="preserve">, K. (2025). Rethinking institutional legitimacy and the future of responsive governance. </w:t>
      </w:r>
      <w:r w:rsidRPr="00074854">
        <w:rPr>
          <w:rFonts w:asciiTheme="majorBidi" w:eastAsia="Times New Roman" w:hAnsiTheme="majorBidi" w:cstheme="majorBidi"/>
          <w:i/>
          <w:iCs/>
          <w:kern w:val="0"/>
          <w14:ligatures w14:val="none"/>
        </w:rPr>
        <w:t>Jindal Global Law Review</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16</w:t>
      </w:r>
      <w:r w:rsidRPr="00074854">
        <w:rPr>
          <w:rFonts w:asciiTheme="majorBidi" w:eastAsia="Times New Roman" w:hAnsiTheme="majorBidi" w:cstheme="majorBidi"/>
          <w:kern w:val="0"/>
          <w14:ligatures w14:val="none"/>
        </w:rPr>
        <w:t>(2), 461–486. https://doi.org/10.1007/s41020-025-00282-2</w:t>
      </w:r>
    </w:p>
    <w:p w14:paraId="249370E6"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Bonny, S., &amp; Tereza </w:t>
      </w:r>
      <w:proofErr w:type="spellStart"/>
      <w:r w:rsidRPr="00074854">
        <w:rPr>
          <w:rFonts w:asciiTheme="majorBidi" w:eastAsia="Times New Roman" w:hAnsiTheme="majorBidi" w:cstheme="majorBidi"/>
          <w:kern w:val="0"/>
          <w14:ligatures w14:val="none"/>
        </w:rPr>
        <w:t>Cahlikova</w:t>
      </w:r>
      <w:proofErr w:type="spellEnd"/>
      <w:r w:rsidRPr="00074854">
        <w:rPr>
          <w:rFonts w:asciiTheme="majorBidi" w:eastAsia="Times New Roman" w:hAnsiTheme="majorBidi" w:cstheme="majorBidi"/>
          <w:kern w:val="0"/>
          <w14:ligatures w14:val="none"/>
        </w:rPr>
        <w:t xml:space="preserve">. (2024). Evaluating the effects of collaborative governance: Case of a digital education project. </w:t>
      </w:r>
      <w:r w:rsidRPr="00074854">
        <w:rPr>
          <w:rFonts w:asciiTheme="majorBidi" w:eastAsia="Times New Roman" w:hAnsiTheme="majorBidi" w:cstheme="majorBidi"/>
          <w:i/>
          <w:iCs/>
          <w:kern w:val="0"/>
          <w14:ligatures w14:val="none"/>
        </w:rPr>
        <w:t>Evaluation and Program Planning</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109</w:t>
      </w:r>
      <w:r w:rsidRPr="00074854">
        <w:rPr>
          <w:rFonts w:asciiTheme="majorBidi" w:eastAsia="Times New Roman" w:hAnsiTheme="majorBidi" w:cstheme="majorBidi"/>
          <w:kern w:val="0"/>
          <w14:ligatures w14:val="none"/>
        </w:rPr>
        <w:t>, 102522–102522. https://doi.org/10.1016/j.evalprogplan.2024.102522</w:t>
      </w:r>
    </w:p>
    <w:p w14:paraId="475EEEF6"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Boyle, E., </w:t>
      </w:r>
      <w:proofErr w:type="spellStart"/>
      <w:r w:rsidRPr="00074854">
        <w:rPr>
          <w:rFonts w:asciiTheme="majorBidi" w:eastAsia="Times New Roman" w:hAnsiTheme="majorBidi" w:cstheme="majorBidi"/>
          <w:kern w:val="0"/>
          <w14:ligatures w14:val="none"/>
        </w:rPr>
        <w:t>Revez</w:t>
      </w:r>
      <w:proofErr w:type="spellEnd"/>
      <w:r w:rsidRPr="00074854">
        <w:rPr>
          <w:rFonts w:asciiTheme="majorBidi" w:eastAsia="Times New Roman" w:hAnsiTheme="majorBidi" w:cstheme="majorBidi"/>
          <w:kern w:val="0"/>
          <w14:ligatures w14:val="none"/>
        </w:rPr>
        <w:t xml:space="preserve">, A., Duffy, G., Farrell, A., Deane, A., Ó </w:t>
      </w:r>
      <w:proofErr w:type="spellStart"/>
      <w:r w:rsidRPr="00074854">
        <w:rPr>
          <w:rFonts w:asciiTheme="majorBidi" w:eastAsia="Times New Roman" w:hAnsiTheme="majorBidi" w:cstheme="majorBidi"/>
          <w:kern w:val="0"/>
          <w14:ligatures w14:val="none"/>
        </w:rPr>
        <w:t>Gallachóir</w:t>
      </w:r>
      <w:proofErr w:type="spellEnd"/>
      <w:r w:rsidRPr="00074854">
        <w:rPr>
          <w:rFonts w:asciiTheme="majorBidi" w:eastAsia="Times New Roman" w:hAnsiTheme="majorBidi" w:cstheme="majorBidi"/>
          <w:kern w:val="0"/>
          <w14:ligatures w14:val="none"/>
        </w:rPr>
        <w:t xml:space="preserve">, B., &amp; </w:t>
      </w:r>
      <w:proofErr w:type="spellStart"/>
      <w:r w:rsidRPr="00074854">
        <w:rPr>
          <w:rFonts w:asciiTheme="majorBidi" w:eastAsia="Times New Roman" w:hAnsiTheme="majorBidi" w:cstheme="majorBidi"/>
          <w:kern w:val="0"/>
          <w14:ligatures w14:val="none"/>
        </w:rPr>
        <w:t>Wittmayer</w:t>
      </w:r>
      <w:proofErr w:type="spellEnd"/>
      <w:r w:rsidRPr="00074854">
        <w:rPr>
          <w:rFonts w:asciiTheme="majorBidi" w:eastAsia="Times New Roman" w:hAnsiTheme="majorBidi" w:cstheme="majorBidi"/>
          <w:kern w:val="0"/>
          <w14:ligatures w14:val="none"/>
        </w:rPr>
        <w:t xml:space="preserve">, J. M. (2024). Public participation in the development of electricity grid infrastructure: Early engagements and community forums. </w:t>
      </w:r>
      <w:r w:rsidRPr="00074854">
        <w:rPr>
          <w:rFonts w:asciiTheme="majorBidi" w:eastAsia="Times New Roman" w:hAnsiTheme="majorBidi" w:cstheme="majorBidi"/>
          <w:i/>
          <w:iCs/>
          <w:kern w:val="0"/>
          <w14:ligatures w14:val="none"/>
        </w:rPr>
        <w:t>Energy Research &amp; Social Science</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120</w:t>
      </w:r>
      <w:r w:rsidRPr="00074854">
        <w:rPr>
          <w:rFonts w:asciiTheme="majorBidi" w:eastAsia="Times New Roman" w:hAnsiTheme="majorBidi" w:cstheme="majorBidi"/>
          <w:kern w:val="0"/>
          <w14:ligatures w14:val="none"/>
        </w:rPr>
        <w:t>, 103878. https://doi.org/10.1016/j.erss.2024.103878</w:t>
      </w:r>
    </w:p>
    <w:p w14:paraId="2002312E" w14:textId="1028B159" w:rsidR="00BA0415"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Bradley, S., &amp; Mahmoud, I. H. (2024). Strategies for Co-Creation and Co-Governance in Urban Contexts: Building Trust in Local Communities with Limited Social Structures. </w:t>
      </w:r>
      <w:r w:rsidRPr="00074854">
        <w:rPr>
          <w:rFonts w:asciiTheme="majorBidi" w:eastAsia="Times New Roman" w:hAnsiTheme="majorBidi" w:cstheme="majorBidi"/>
          <w:i/>
          <w:iCs/>
          <w:kern w:val="0"/>
          <w14:ligatures w14:val="none"/>
        </w:rPr>
        <w:t>Urban Science</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8</w:t>
      </w:r>
      <w:r w:rsidRPr="00074854">
        <w:rPr>
          <w:rFonts w:asciiTheme="majorBidi" w:eastAsia="Times New Roman" w:hAnsiTheme="majorBidi" w:cstheme="majorBidi"/>
          <w:kern w:val="0"/>
          <w14:ligatures w14:val="none"/>
        </w:rPr>
        <w:t xml:space="preserve">(1), 9. </w:t>
      </w:r>
      <w:hyperlink r:id="rId7" w:history="1">
        <w:r w:rsidR="00212FFA" w:rsidRPr="00B037E4">
          <w:rPr>
            <w:rStyle w:val="Hyperlink"/>
            <w:rFonts w:asciiTheme="majorBidi" w:eastAsia="Times New Roman" w:hAnsiTheme="majorBidi" w:cstheme="majorBidi"/>
            <w:kern w:val="0"/>
            <w14:ligatures w14:val="none"/>
          </w:rPr>
          <w:t>https://doi.org/10.3390/urbansci8010009</w:t>
        </w:r>
      </w:hyperlink>
    </w:p>
    <w:p w14:paraId="5B408B00" w14:textId="77777777" w:rsidR="00212FFA" w:rsidRDefault="00212FFA" w:rsidP="00212FFA">
      <w:pPr>
        <w:pStyle w:val="NormalWeb"/>
        <w:spacing w:before="0" w:beforeAutospacing="0" w:after="0" w:afterAutospacing="0" w:line="480" w:lineRule="auto"/>
        <w:ind w:left="720" w:hanging="720"/>
      </w:pPr>
      <w:proofErr w:type="spellStart"/>
      <w:r>
        <w:lastRenderedPageBreak/>
        <w:t>Channamallu</w:t>
      </w:r>
      <w:proofErr w:type="spellEnd"/>
      <w:r>
        <w:t xml:space="preserve">, S. S., </w:t>
      </w:r>
      <w:proofErr w:type="spellStart"/>
      <w:r>
        <w:t>Kermanshachi</w:t>
      </w:r>
      <w:proofErr w:type="spellEnd"/>
      <w:r>
        <w:t xml:space="preserve">, S., Rosenberger, J. M., </w:t>
      </w:r>
      <w:proofErr w:type="spellStart"/>
      <w:r>
        <w:t>Pamidimukkala</w:t>
      </w:r>
      <w:proofErr w:type="spellEnd"/>
      <w:r>
        <w:t xml:space="preserve">, A., &amp; </w:t>
      </w:r>
      <w:proofErr w:type="spellStart"/>
      <w:r>
        <w:t>Hladik</w:t>
      </w:r>
      <w:proofErr w:type="spellEnd"/>
      <w:r>
        <w:t xml:space="preserve">, G. (2026). Urban parking challenges and solutions: a case study. </w:t>
      </w:r>
      <w:r>
        <w:rPr>
          <w:i/>
          <w:iCs/>
        </w:rPr>
        <w:t>Transportation Research Procedia</w:t>
      </w:r>
      <w:r>
        <w:t xml:space="preserve">, </w:t>
      </w:r>
      <w:r>
        <w:rPr>
          <w:i/>
          <w:iCs/>
        </w:rPr>
        <w:t>93</w:t>
      </w:r>
      <w:r>
        <w:t>, 859–865. https://doi.org/10.1016/j.trpro.2025.12.015</w:t>
      </w:r>
    </w:p>
    <w:p w14:paraId="653566AD" w14:textId="77777777" w:rsidR="00212FFA" w:rsidRPr="00074854" w:rsidRDefault="00212FFA" w:rsidP="00BA0415">
      <w:pPr>
        <w:spacing w:after="0" w:line="480" w:lineRule="auto"/>
        <w:ind w:left="720" w:hanging="720"/>
        <w:rPr>
          <w:rFonts w:asciiTheme="majorBidi" w:eastAsia="Times New Roman" w:hAnsiTheme="majorBidi" w:cstheme="majorBidi"/>
          <w:kern w:val="0"/>
          <w14:ligatures w14:val="none"/>
        </w:rPr>
      </w:pPr>
    </w:p>
    <w:p w14:paraId="0F257513"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Chen, W., Tian, Y., Wang, Y., Yan, H., &amp; Wang, Y. (2024). Cause Identification and Coupling Relationship Analysis of Urban Problems: A Case Study of Poor Parking Convenience. </w:t>
      </w:r>
      <w:r w:rsidRPr="00074854">
        <w:rPr>
          <w:rFonts w:asciiTheme="majorBidi" w:eastAsia="Times New Roman" w:hAnsiTheme="majorBidi" w:cstheme="majorBidi"/>
          <w:i/>
          <w:iCs/>
          <w:kern w:val="0"/>
          <w14:ligatures w14:val="none"/>
        </w:rPr>
        <w:t>Buildings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14</w:t>
      </w:r>
      <w:r w:rsidRPr="00074854">
        <w:rPr>
          <w:rFonts w:asciiTheme="majorBidi" w:eastAsia="Times New Roman" w:hAnsiTheme="majorBidi" w:cstheme="majorBidi"/>
          <w:kern w:val="0"/>
          <w14:ligatures w14:val="none"/>
        </w:rPr>
        <w:t>(2), 516–516. https://doi.org/10.3390/buildings14020516</w:t>
      </w:r>
    </w:p>
    <w:p w14:paraId="2B0918B2"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Chen, Z., Xu, Z., Tian, K., &amp; Jia, S. (2025). Environmental and Social Benefits of Urban Parking Space Shortages Mitigation Management Model: A System Dynamics and Nudge Approach. </w:t>
      </w:r>
      <w:r w:rsidRPr="00074854">
        <w:rPr>
          <w:rFonts w:asciiTheme="majorBidi" w:eastAsia="Times New Roman" w:hAnsiTheme="majorBidi" w:cstheme="majorBidi"/>
          <w:i/>
          <w:iCs/>
          <w:kern w:val="0"/>
          <w14:ligatures w14:val="none"/>
        </w:rPr>
        <w:t>Sustainability</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17</w:t>
      </w:r>
      <w:r w:rsidRPr="00074854">
        <w:rPr>
          <w:rFonts w:asciiTheme="majorBidi" w:eastAsia="Times New Roman" w:hAnsiTheme="majorBidi" w:cstheme="majorBidi"/>
          <w:kern w:val="0"/>
          <w14:ligatures w14:val="none"/>
        </w:rPr>
        <w:t>(14), 6414–6414. https://doi.org/10.3390/su17146414</w:t>
      </w:r>
    </w:p>
    <w:p w14:paraId="17052062"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Combes, É., </w:t>
      </w:r>
      <w:proofErr w:type="spellStart"/>
      <w:r w:rsidRPr="00074854">
        <w:rPr>
          <w:rFonts w:asciiTheme="majorBidi" w:eastAsia="Times New Roman" w:hAnsiTheme="majorBidi" w:cstheme="majorBidi"/>
          <w:kern w:val="0"/>
          <w14:ligatures w14:val="none"/>
        </w:rPr>
        <w:t>Bouzouina</w:t>
      </w:r>
      <w:proofErr w:type="spellEnd"/>
      <w:r w:rsidRPr="00074854">
        <w:rPr>
          <w:rFonts w:asciiTheme="majorBidi" w:eastAsia="Times New Roman" w:hAnsiTheme="majorBidi" w:cstheme="majorBidi"/>
          <w:kern w:val="0"/>
          <w14:ligatures w14:val="none"/>
        </w:rPr>
        <w:t xml:space="preserve">, L., &amp; </w:t>
      </w:r>
      <w:proofErr w:type="spellStart"/>
      <w:r w:rsidRPr="00074854">
        <w:rPr>
          <w:rFonts w:asciiTheme="majorBidi" w:eastAsia="Times New Roman" w:hAnsiTheme="majorBidi" w:cstheme="majorBidi"/>
          <w:kern w:val="0"/>
          <w14:ligatures w14:val="none"/>
        </w:rPr>
        <w:t>Manout</w:t>
      </w:r>
      <w:proofErr w:type="spellEnd"/>
      <w:r w:rsidRPr="00074854">
        <w:rPr>
          <w:rFonts w:asciiTheme="majorBidi" w:eastAsia="Times New Roman" w:hAnsiTheme="majorBidi" w:cstheme="majorBidi"/>
          <w:kern w:val="0"/>
          <w14:ligatures w14:val="none"/>
        </w:rPr>
        <w:t xml:space="preserve">, O. (2026). The impact of the built environment on on-street car parking duration. </w:t>
      </w:r>
      <w:r w:rsidRPr="00074854">
        <w:rPr>
          <w:rFonts w:asciiTheme="majorBidi" w:eastAsia="Times New Roman" w:hAnsiTheme="majorBidi" w:cstheme="majorBidi"/>
          <w:i/>
          <w:iCs/>
          <w:kern w:val="0"/>
          <w14:ligatures w14:val="none"/>
        </w:rPr>
        <w:t>Transportation Research Interdisciplinary Perspectives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36</w:t>
      </w:r>
      <w:r w:rsidRPr="00074854">
        <w:rPr>
          <w:rFonts w:asciiTheme="majorBidi" w:eastAsia="Times New Roman" w:hAnsiTheme="majorBidi" w:cstheme="majorBidi"/>
          <w:kern w:val="0"/>
          <w14:ligatures w14:val="none"/>
        </w:rPr>
        <w:t>, 101878. https://doi.org/10.1016/j.trip.2026.101878</w:t>
      </w:r>
    </w:p>
    <w:p w14:paraId="3AB82086"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Das, M. B., &amp; Espinoza, S. A. (2020). Inclusion Matters in Africa. </w:t>
      </w:r>
      <w:r w:rsidRPr="00074854">
        <w:rPr>
          <w:rFonts w:asciiTheme="majorBidi" w:eastAsia="Times New Roman" w:hAnsiTheme="majorBidi" w:cstheme="majorBidi"/>
          <w:i/>
          <w:iCs/>
          <w:kern w:val="0"/>
          <w14:ligatures w14:val="none"/>
        </w:rPr>
        <w:t>Openknowledge.worldbank.org</w:t>
      </w:r>
      <w:r w:rsidRPr="00074854">
        <w:rPr>
          <w:rFonts w:asciiTheme="majorBidi" w:eastAsia="Times New Roman" w:hAnsiTheme="majorBidi" w:cstheme="majorBidi"/>
          <w:kern w:val="0"/>
          <w14:ligatures w14:val="none"/>
        </w:rPr>
        <w:t>. https://doi.org/10.1596/32528</w:t>
      </w:r>
    </w:p>
    <w:p w14:paraId="44C4951D"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lang w:val="fi-FI"/>
          <w14:ligatures w14:val="none"/>
        </w:rPr>
        <w:t xml:space="preserve">Erkuş, H., Alkan, Y. S., &amp; Tırış, G. (2024). </w:t>
      </w:r>
      <w:r w:rsidRPr="00074854">
        <w:rPr>
          <w:rFonts w:asciiTheme="majorBidi" w:eastAsia="Times New Roman" w:hAnsiTheme="majorBidi" w:cstheme="majorBidi"/>
          <w:kern w:val="0"/>
          <w14:ligatures w14:val="none"/>
        </w:rPr>
        <w:t xml:space="preserve">Deliberative Democracy and Making Sustainable and Legitimate Development Plans: The Case of the Antalya </w:t>
      </w:r>
      <w:proofErr w:type="spellStart"/>
      <w:r w:rsidRPr="00074854">
        <w:rPr>
          <w:rFonts w:asciiTheme="majorBidi" w:eastAsia="Times New Roman" w:hAnsiTheme="majorBidi" w:cstheme="majorBidi"/>
          <w:kern w:val="0"/>
          <w14:ligatures w14:val="none"/>
        </w:rPr>
        <w:t>Kırcami</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Agrihood</w:t>
      </w:r>
      <w:proofErr w:type="spellEnd"/>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Land</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13</w:t>
      </w:r>
      <w:r w:rsidRPr="00074854">
        <w:rPr>
          <w:rFonts w:asciiTheme="majorBidi" w:eastAsia="Times New Roman" w:hAnsiTheme="majorBidi" w:cstheme="majorBidi"/>
          <w:kern w:val="0"/>
          <w14:ligatures w14:val="none"/>
        </w:rPr>
        <w:t>(4), 447. https://doi.org/10.3390/land13040447</w:t>
      </w:r>
    </w:p>
    <w:p w14:paraId="44994A9C"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Gaber, J. (2019). Building “A Ladder of Citizen Participation.” </w:t>
      </w:r>
      <w:r w:rsidRPr="00074854">
        <w:rPr>
          <w:rFonts w:asciiTheme="majorBidi" w:eastAsia="Times New Roman" w:hAnsiTheme="majorBidi" w:cstheme="majorBidi"/>
          <w:i/>
          <w:iCs/>
          <w:kern w:val="0"/>
          <w14:ligatures w14:val="none"/>
        </w:rPr>
        <w:t>Journal of the American Planning Association</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85</w:t>
      </w:r>
      <w:r w:rsidRPr="00074854">
        <w:rPr>
          <w:rFonts w:asciiTheme="majorBidi" w:eastAsia="Times New Roman" w:hAnsiTheme="majorBidi" w:cstheme="majorBidi"/>
          <w:kern w:val="0"/>
          <w14:ligatures w14:val="none"/>
        </w:rPr>
        <w:t>(3), 188–201. https://doi.org/10.1080/01944363.2019.1612267</w:t>
      </w:r>
    </w:p>
    <w:p w14:paraId="47D00AAE"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lang w:val="pt-BR"/>
          <w14:ligatures w14:val="none"/>
        </w:rPr>
        <w:t xml:space="preserve">Gálvez, A. R., &amp; Sandholz, S. (2026). </w:t>
      </w:r>
      <w:r w:rsidRPr="00074854">
        <w:rPr>
          <w:rFonts w:asciiTheme="majorBidi" w:eastAsia="Times New Roman" w:hAnsiTheme="majorBidi" w:cstheme="majorBidi"/>
          <w:kern w:val="0"/>
          <w14:ligatures w14:val="none"/>
        </w:rPr>
        <w:t xml:space="preserve">Narratives of sustainable cities co-creation: lessons learned from a photo competition. </w:t>
      </w:r>
      <w:r w:rsidRPr="00074854">
        <w:rPr>
          <w:rFonts w:asciiTheme="majorBidi" w:eastAsia="Times New Roman" w:hAnsiTheme="majorBidi" w:cstheme="majorBidi"/>
          <w:i/>
          <w:iCs/>
          <w:kern w:val="0"/>
          <w14:ligatures w14:val="none"/>
        </w:rPr>
        <w:t>Cities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169</w:t>
      </w:r>
      <w:r w:rsidRPr="00074854">
        <w:rPr>
          <w:rFonts w:asciiTheme="majorBidi" w:eastAsia="Times New Roman" w:hAnsiTheme="majorBidi" w:cstheme="majorBidi"/>
          <w:kern w:val="0"/>
          <w14:ligatures w14:val="none"/>
        </w:rPr>
        <w:t>, 106571. https://doi.org/10.1016/j.cities.2025.106571</w:t>
      </w:r>
    </w:p>
    <w:p w14:paraId="13367E0B"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lastRenderedPageBreak/>
        <w:t xml:space="preserve">Gonçalves, J. (2025). Participation beyond the ladder: A critical framework for understanding spatial engagement in Portugal. </w:t>
      </w:r>
      <w:r w:rsidRPr="00074854">
        <w:rPr>
          <w:rFonts w:asciiTheme="majorBidi" w:eastAsia="Times New Roman" w:hAnsiTheme="majorBidi" w:cstheme="majorBidi"/>
          <w:i/>
          <w:iCs/>
          <w:kern w:val="0"/>
          <w14:ligatures w14:val="none"/>
        </w:rPr>
        <w:t>Urban Governance</w:t>
      </w:r>
      <w:r w:rsidRPr="00074854">
        <w:rPr>
          <w:rFonts w:asciiTheme="majorBidi" w:eastAsia="Times New Roman" w:hAnsiTheme="majorBidi" w:cstheme="majorBidi"/>
          <w:kern w:val="0"/>
          <w14:ligatures w14:val="none"/>
        </w:rPr>
        <w:t>. https://doi.org/10.1016/j.ugj.2025.09.001</w:t>
      </w:r>
    </w:p>
    <w:p w14:paraId="2C8E34C1" w14:textId="77777777" w:rsidR="00BA0415" w:rsidRPr="00074854" w:rsidRDefault="00BA0415" w:rsidP="00BA0415">
      <w:pPr>
        <w:spacing w:after="0" w:line="480" w:lineRule="auto"/>
        <w:ind w:left="720" w:hanging="720"/>
        <w:rPr>
          <w:rFonts w:asciiTheme="majorBidi" w:eastAsia="Times New Roman" w:hAnsiTheme="majorBidi" w:cstheme="majorBidi"/>
          <w:kern w:val="0"/>
          <w:lang w:val="fr-FR"/>
          <w14:ligatures w14:val="none"/>
        </w:rPr>
      </w:pPr>
      <w:proofErr w:type="spellStart"/>
      <w:r w:rsidRPr="00074854">
        <w:rPr>
          <w:rFonts w:asciiTheme="majorBidi" w:eastAsia="Times New Roman" w:hAnsiTheme="majorBidi" w:cstheme="majorBidi"/>
          <w:kern w:val="0"/>
          <w14:ligatures w14:val="none"/>
        </w:rPr>
        <w:t>Hurlbert</w:t>
      </w:r>
      <w:proofErr w:type="spellEnd"/>
      <w:r w:rsidRPr="00074854">
        <w:rPr>
          <w:rFonts w:asciiTheme="majorBidi" w:eastAsia="Times New Roman" w:hAnsiTheme="majorBidi" w:cstheme="majorBidi"/>
          <w:kern w:val="0"/>
          <w14:ligatures w14:val="none"/>
        </w:rPr>
        <w:t xml:space="preserve">, M., &amp; Gupta, J. (2024). The split ladder of participation: A literature review and dynamic path forward. </w:t>
      </w:r>
      <w:proofErr w:type="spellStart"/>
      <w:r w:rsidRPr="00074854">
        <w:rPr>
          <w:rFonts w:asciiTheme="majorBidi" w:eastAsia="Times New Roman" w:hAnsiTheme="majorBidi" w:cstheme="majorBidi"/>
          <w:i/>
          <w:iCs/>
          <w:kern w:val="0"/>
          <w:lang w:val="fr-FR"/>
          <w14:ligatures w14:val="none"/>
        </w:rPr>
        <w:t>Environmental</w:t>
      </w:r>
      <w:proofErr w:type="spellEnd"/>
      <w:r w:rsidRPr="00074854">
        <w:rPr>
          <w:rFonts w:asciiTheme="majorBidi" w:eastAsia="Times New Roman" w:hAnsiTheme="majorBidi" w:cstheme="majorBidi"/>
          <w:i/>
          <w:iCs/>
          <w:kern w:val="0"/>
          <w:lang w:val="fr-FR"/>
          <w14:ligatures w14:val="none"/>
        </w:rPr>
        <w:t xml:space="preserve"> Science &amp; Policy</w:t>
      </w:r>
      <w:r w:rsidRPr="00074854">
        <w:rPr>
          <w:rFonts w:asciiTheme="majorBidi" w:eastAsia="Times New Roman" w:hAnsiTheme="majorBidi" w:cstheme="majorBidi"/>
          <w:kern w:val="0"/>
          <w:lang w:val="fr-FR"/>
          <w14:ligatures w14:val="none"/>
        </w:rPr>
        <w:t xml:space="preserve">, </w:t>
      </w:r>
      <w:r w:rsidRPr="00074854">
        <w:rPr>
          <w:rFonts w:asciiTheme="majorBidi" w:eastAsia="Times New Roman" w:hAnsiTheme="majorBidi" w:cstheme="majorBidi"/>
          <w:i/>
          <w:iCs/>
          <w:kern w:val="0"/>
          <w:lang w:val="fr-FR"/>
          <w14:ligatures w14:val="none"/>
        </w:rPr>
        <w:t>157</w:t>
      </w:r>
      <w:r w:rsidRPr="00074854">
        <w:rPr>
          <w:rFonts w:asciiTheme="majorBidi" w:eastAsia="Times New Roman" w:hAnsiTheme="majorBidi" w:cstheme="majorBidi"/>
          <w:kern w:val="0"/>
          <w:lang w:val="fr-FR"/>
          <w14:ligatures w14:val="none"/>
        </w:rPr>
        <w:t>, 103773–103773. https://doi.org/10.1016/j.envsci.2024.103773</w:t>
      </w:r>
    </w:p>
    <w:p w14:paraId="668A91E6"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lang w:val="fr-FR"/>
          <w14:ligatures w14:val="none"/>
        </w:rPr>
        <w:t>İnaç</w:t>
      </w:r>
      <w:proofErr w:type="spellEnd"/>
      <w:r w:rsidRPr="00074854">
        <w:rPr>
          <w:rFonts w:asciiTheme="majorBidi" w:eastAsia="Times New Roman" w:hAnsiTheme="majorBidi" w:cstheme="majorBidi"/>
          <w:kern w:val="0"/>
          <w:lang w:val="fr-FR"/>
          <w14:ligatures w14:val="none"/>
        </w:rPr>
        <w:t xml:space="preserve">, H. (2025). </w:t>
      </w:r>
      <w:r w:rsidRPr="00074854">
        <w:rPr>
          <w:rFonts w:asciiTheme="majorBidi" w:eastAsia="Times New Roman" w:hAnsiTheme="majorBidi" w:cstheme="majorBidi"/>
          <w:kern w:val="0"/>
          <w14:ligatures w14:val="none"/>
        </w:rPr>
        <w:t xml:space="preserve">Efficient on-Street Parking Management: Priority Parking Permits for Residents Integrated with Digital Systems, Case of Istanbul. </w:t>
      </w:r>
      <w:proofErr w:type="spellStart"/>
      <w:r w:rsidRPr="00074854">
        <w:rPr>
          <w:rFonts w:asciiTheme="majorBidi" w:eastAsia="Times New Roman" w:hAnsiTheme="majorBidi" w:cstheme="majorBidi"/>
          <w:i/>
          <w:iCs/>
          <w:kern w:val="0"/>
          <w14:ligatures w14:val="none"/>
        </w:rPr>
        <w:t>Akıllı</w:t>
      </w:r>
      <w:proofErr w:type="spellEnd"/>
      <w:r w:rsidRPr="00074854">
        <w:rPr>
          <w:rFonts w:asciiTheme="majorBidi" w:eastAsia="Times New Roman" w:hAnsiTheme="majorBidi" w:cstheme="majorBidi"/>
          <w:i/>
          <w:iCs/>
          <w:kern w:val="0"/>
          <w14:ligatures w14:val="none"/>
        </w:rPr>
        <w:t xml:space="preserve"> </w:t>
      </w:r>
      <w:proofErr w:type="spellStart"/>
      <w:r w:rsidRPr="00074854">
        <w:rPr>
          <w:rFonts w:asciiTheme="majorBidi" w:eastAsia="Times New Roman" w:hAnsiTheme="majorBidi" w:cstheme="majorBidi"/>
          <w:i/>
          <w:iCs/>
          <w:kern w:val="0"/>
          <w14:ligatures w14:val="none"/>
        </w:rPr>
        <w:t>Ulaşım</w:t>
      </w:r>
      <w:proofErr w:type="spellEnd"/>
      <w:r w:rsidRPr="00074854">
        <w:rPr>
          <w:rFonts w:asciiTheme="majorBidi" w:eastAsia="Times New Roman" w:hAnsiTheme="majorBidi" w:cstheme="majorBidi"/>
          <w:i/>
          <w:iCs/>
          <w:kern w:val="0"/>
          <w14:ligatures w14:val="none"/>
        </w:rPr>
        <w:t xml:space="preserve"> </w:t>
      </w:r>
      <w:proofErr w:type="spellStart"/>
      <w:r w:rsidRPr="00074854">
        <w:rPr>
          <w:rFonts w:asciiTheme="majorBidi" w:eastAsia="Times New Roman" w:hAnsiTheme="majorBidi" w:cstheme="majorBidi"/>
          <w:i/>
          <w:iCs/>
          <w:kern w:val="0"/>
          <w14:ligatures w14:val="none"/>
        </w:rPr>
        <w:t>Sistemleri</w:t>
      </w:r>
      <w:proofErr w:type="spellEnd"/>
      <w:r w:rsidRPr="00074854">
        <w:rPr>
          <w:rFonts w:asciiTheme="majorBidi" w:eastAsia="Times New Roman" w:hAnsiTheme="majorBidi" w:cstheme="majorBidi"/>
          <w:i/>
          <w:iCs/>
          <w:kern w:val="0"/>
          <w14:ligatures w14:val="none"/>
        </w:rPr>
        <w:t xml:space="preserve"> </w:t>
      </w:r>
      <w:proofErr w:type="spellStart"/>
      <w:r w:rsidRPr="00074854">
        <w:rPr>
          <w:rFonts w:asciiTheme="majorBidi" w:eastAsia="Times New Roman" w:hAnsiTheme="majorBidi" w:cstheme="majorBidi"/>
          <w:i/>
          <w:iCs/>
          <w:kern w:val="0"/>
          <w14:ligatures w14:val="none"/>
        </w:rPr>
        <w:t>ve</w:t>
      </w:r>
      <w:proofErr w:type="spellEnd"/>
      <w:r w:rsidRPr="00074854">
        <w:rPr>
          <w:rFonts w:asciiTheme="majorBidi" w:eastAsia="Times New Roman" w:hAnsiTheme="majorBidi" w:cstheme="majorBidi"/>
          <w:i/>
          <w:iCs/>
          <w:kern w:val="0"/>
          <w14:ligatures w14:val="none"/>
        </w:rPr>
        <w:t xml:space="preserve"> </w:t>
      </w:r>
      <w:proofErr w:type="spellStart"/>
      <w:r w:rsidRPr="00074854">
        <w:rPr>
          <w:rFonts w:asciiTheme="majorBidi" w:eastAsia="Times New Roman" w:hAnsiTheme="majorBidi" w:cstheme="majorBidi"/>
          <w:i/>
          <w:iCs/>
          <w:kern w:val="0"/>
          <w14:ligatures w14:val="none"/>
        </w:rPr>
        <w:t>Uygulamaları</w:t>
      </w:r>
      <w:proofErr w:type="spellEnd"/>
      <w:r w:rsidRPr="00074854">
        <w:rPr>
          <w:rFonts w:asciiTheme="majorBidi" w:eastAsia="Times New Roman" w:hAnsiTheme="majorBidi" w:cstheme="majorBidi"/>
          <w:i/>
          <w:iCs/>
          <w:kern w:val="0"/>
          <w14:ligatures w14:val="none"/>
        </w:rPr>
        <w:t xml:space="preserve"> </w:t>
      </w:r>
      <w:proofErr w:type="spellStart"/>
      <w:r w:rsidRPr="00074854">
        <w:rPr>
          <w:rFonts w:asciiTheme="majorBidi" w:eastAsia="Times New Roman" w:hAnsiTheme="majorBidi" w:cstheme="majorBidi"/>
          <w:i/>
          <w:iCs/>
          <w:kern w:val="0"/>
          <w14:ligatures w14:val="none"/>
        </w:rPr>
        <w:t>Dergisi</w:t>
      </w:r>
      <w:proofErr w:type="spellEnd"/>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8</w:t>
      </w:r>
      <w:r w:rsidRPr="00074854">
        <w:rPr>
          <w:rFonts w:asciiTheme="majorBidi" w:eastAsia="Times New Roman" w:hAnsiTheme="majorBidi" w:cstheme="majorBidi"/>
          <w:kern w:val="0"/>
          <w14:ligatures w14:val="none"/>
        </w:rPr>
        <w:t>(1), 245–263. https://doi.org/10.51513/jitsa.1636760</w:t>
      </w:r>
    </w:p>
    <w:p w14:paraId="6D0C10D3"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Jánová</w:t>
      </w:r>
      <w:proofErr w:type="spellEnd"/>
      <w:r w:rsidRPr="00074854">
        <w:rPr>
          <w:rFonts w:asciiTheme="majorBidi" w:eastAsia="Times New Roman" w:hAnsiTheme="majorBidi" w:cstheme="majorBidi"/>
          <w:kern w:val="0"/>
          <w14:ligatures w14:val="none"/>
        </w:rPr>
        <w:t xml:space="preserve">, V., </w:t>
      </w:r>
      <w:proofErr w:type="spellStart"/>
      <w:r w:rsidRPr="00074854">
        <w:rPr>
          <w:rFonts w:asciiTheme="majorBidi" w:eastAsia="Times New Roman" w:hAnsiTheme="majorBidi" w:cstheme="majorBidi"/>
          <w:kern w:val="0"/>
          <w14:ligatures w14:val="none"/>
        </w:rPr>
        <w:t>Herntrei</w:t>
      </w:r>
      <w:proofErr w:type="spellEnd"/>
      <w:r w:rsidRPr="00074854">
        <w:rPr>
          <w:rFonts w:asciiTheme="majorBidi" w:eastAsia="Times New Roman" w:hAnsiTheme="majorBidi" w:cstheme="majorBidi"/>
          <w:kern w:val="0"/>
          <w14:ligatures w14:val="none"/>
        </w:rPr>
        <w:t xml:space="preserve">, M., &amp; </w:t>
      </w:r>
      <w:proofErr w:type="spellStart"/>
      <w:r w:rsidRPr="00074854">
        <w:rPr>
          <w:rFonts w:asciiTheme="majorBidi" w:eastAsia="Times New Roman" w:hAnsiTheme="majorBidi" w:cstheme="majorBidi"/>
          <w:kern w:val="0"/>
          <w14:ligatures w14:val="none"/>
        </w:rPr>
        <w:t>Fialová</w:t>
      </w:r>
      <w:proofErr w:type="spellEnd"/>
      <w:r w:rsidRPr="00074854">
        <w:rPr>
          <w:rFonts w:asciiTheme="majorBidi" w:eastAsia="Times New Roman" w:hAnsiTheme="majorBidi" w:cstheme="majorBidi"/>
          <w:kern w:val="0"/>
          <w14:ligatures w14:val="none"/>
        </w:rPr>
        <w:t xml:space="preserve">, D. (2025). From aspirations of citizen power to the persistence of tokenism: a systematic review of citizen participation in destination governance. </w:t>
      </w:r>
      <w:r w:rsidRPr="00074854">
        <w:rPr>
          <w:rFonts w:asciiTheme="majorBidi" w:eastAsia="Times New Roman" w:hAnsiTheme="majorBidi" w:cstheme="majorBidi"/>
          <w:i/>
          <w:iCs/>
          <w:kern w:val="0"/>
          <w14:ligatures w14:val="none"/>
        </w:rPr>
        <w:t>Frontiers in Sustainable Tourism</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4</w:t>
      </w:r>
      <w:r w:rsidRPr="00074854">
        <w:rPr>
          <w:rFonts w:asciiTheme="majorBidi" w:eastAsia="Times New Roman" w:hAnsiTheme="majorBidi" w:cstheme="majorBidi"/>
          <w:kern w:val="0"/>
          <w14:ligatures w14:val="none"/>
        </w:rPr>
        <w:t>. https://doi.org/10.3389/frsut.2025.1693707</w:t>
      </w:r>
    </w:p>
    <w:p w14:paraId="02EE5A8E"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Kamana</w:t>
      </w:r>
      <w:proofErr w:type="spellEnd"/>
      <w:r w:rsidRPr="00074854">
        <w:rPr>
          <w:rFonts w:asciiTheme="majorBidi" w:eastAsia="Times New Roman" w:hAnsiTheme="majorBidi" w:cstheme="majorBidi"/>
          <w:kern w:val="0"/>
          <w14:ligatures w14:val="none"/>
        </w:rPr>
        <w:t xml:space="preserve">, A. A., </w:t>
      </w:r>
      <w:proofErr w:type="spellStart"/>
      <w:r w:rsidRPr="00074854">
        <w:rPr>
          <w:rFonts w:asciiTheme="majorBidi" w:eastAsia="Times New Roman" w:hAnsiTheme="majorBidi" w:cstheme="majorBidi"/>
          <w:kern w:val="0"/>
          <w14:ligatures w14:val="none"/>
        </w:rPr>
        <w:t>Radoine</w:t>
      </w:r>
      <w:proofErr w:type="spellEnd"/>
      <w:r w:rsidRPr="00074854">
        <w:rPr>
          <w:rFonts w:asciiTheme="majorBidi" w:eastAsia="Times New Roman" w:hAnsiTheme="majorBidi" w:cstheme="majorBidi"/>
          <w:kern w:val="0"/>
          <w14:ligatures w14:val="none"/>
        </w:rPr>
        <w:t xml:space="preserve">, H., &amp; </w:t>
      </w:r>
      <w:proofErr w:type="spellStart"/>
      <w:r w:rsidRPr="00074854">
        <w:rPr>
          <w:rFonts w:asciiTheme="majorBidi" w:eastAsia="Times New Roman" w:hAnsiTheme="majorBidi" w:cstheme="majorBidi"/>
          <w:kern w:val="0"/>
          <w14:ligatures w14:val="none"/>
        </w:rPr>
        <w:t>Chimango</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Nyasulu</w:t>
      </w:r>
      <w:proofErr w:type="spellEnd"/>
      <w:r w:rsidRPr="00074854">
        <w:rPr>
          <w:rFonts w:asciiTheme="majorBidi" w:eastAsia="Times New Roman" w:hAnsiTheme="majorBidi" w:cstheme="majorBidi"/>
          <w:kern w:val="0"/>
          <w14:ligatures w14:val="none"/>
        </w:rPr>
        <w:t xml:space="preserve">. (2023). Urban Challenges and Strategies in African Cities – A Systematic Literature Review. </w:t>
      </w:r>
      <w:r w:rsidRPr="00074854">
        <w:rPr>
          <w:rFonts w:asciiTheme="majorBidi" w:eastAsia="Times New Roman" w:hAnsiTheme="majorBidi" w:cstheme="majorBidi"/>
          <w:i/>
          <w:iCs/>
          <w:kern w:val="0"/>
          <w14:ligatures w14:val="none"/>
        </w:rPr>
        <w:t>City and Environment Interactions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21</w:t>
      </w:r>
      <w:r w:rsidRPr="00074854">
        <w:rPr>
          <w:rFonts w:asciiTheme="majorBidi" w:eastAsia="Times New Roman" w:hAnsiTheme="majorBidi" w:cstheme="majorBidi"/>
          <w:kern w:val="0"/>
          <w14:ligatures w14:val="none"/>
        </w:rPr>
        <w:t>, 100132–100132. https://doi.org/10.1016/j.cacint.2023.100132</w:t>
      </w:r>
    </w:p>
    <w:p w14:paraId="0D149C48"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Kong, W., </w:t>
      </w:r>
      <w:proofErr w:type="spellStart"/>
      <w:r w:rsidRPr="00074854">
        <w:rPr>
          <w:rFonts w:asciiTheme="majorBidi" w:eastAsia="Times New Roman" w:hAnsiTheme="majorBidi" w:cstheme="majorBidi"/>
          <w:kern w:val="0"/>
          <w14:ligatures w14:val="none"/>
        </w:rPr>
        <w:t>Dorina</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Pojani</w:t>
      </w:r>
      <w:proofErr w:type="spellEnd"/>
      <w:r w:rsidRPr="00074854">
        <w:rPr>
          <w:rFonts w:asciiTheme="majorBidi" w:eastAsia="Times New Roman" w:hAnsiTheme="majorBidi" w:cstheme="majorBidi"/>
          <w:kern w:val="0"/>
          <w14:ligatures w14:val="none"/>
        </w:rPr>
        <w:t xml:space="preserve">, Corcoran, J., &amp; </w:t>
      </w:r>
      <w:proofErr w:type="spellStart"/>
      <w:r w:rsidRPr="00074854">
        <w:rPr>
          <w:rFonts w:asciiTheme="majorBidi" w:eastAsia="Times New Roman" w:hAnsiTheme="majorBidi" w:cstheme="majorBidi"/>
          <w:kern w:val="0"/>
          <w14:ligatures w14:val="none"/>
        </w:rPr>
        <w:t>Sipe</w:t>
      </w:r>
      <w:proofErr w:type="spellEnd"/>
      <w:r w:rsidRPr="00074854">
        <w:rPr>
          <w:rFonts w:asciiTheme="majorBidi" w:eastAsia="Times New Roman" w:hAnsiTheme="majorBidi" w:cstheme="majorBidi"/>
          <w:kern w:val="0"/>
          <w14:ligatures w14:val="none"/>
        </w:rPr>
        <w:t xml:space="preserve">, N. (2024). Parking policies in six continents: mixed outcomes and multifaceted barriers to reform. </w:t>
      </w:r>
      <w:r w:rsidRPr="00074854">
        <w:rPr>
          <w:rFonts w:asciiTheme="majorBidi" w:eastAsia="Times New Roman" w:hAnsiTheme="majorBidi" w:cstheme="majorBidi"/>
          <w:i/>
          <w:iCs/>
          <w:kern w:val="0"/>
          <w14:ligatures w14:val="none"/>
        </w:rPr>
        <w:t>Policy Design and Practice</w:t>
      </w:r>
      <w:r w:rsidRPr="00074854">
        <w:rPr>
          <w:rFonts w:asciiTheme="majorBidi" w:eastAsia="Times New Roman" w:hAnsiTheme="majorBidi" w:cstheme="majorBidi"/>
          <w:kern w:val="0"/>
          <w14:ligatures w14:val="none"/>
        </w:rPr>
        <w:t>, 1–18. https://doi.org/10.1080/25741292.2024.2333602</w:t>
      </w:r>
    </w:p>
    <w:p w14:paraId="6ABC2D74"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Korah</w:t>
      </w:r>
      <w:proofErr w:type="spellEnd"/>
      <w:r w:rsidRPr="00074854">
        <w:rPr>
          <w:rFonts w:asciiTheme="majorBidi" w:eastAsia="Times New Roman" w:hAnsiTheme="majorBidi" w:cstheme="majorBidi"/>
          <w:kern w:val="0"/>
          <w14:ligatures w14:val="none"/>
        </w:rPr>
        <w:t xml:space="preserve">, P. I. (2020). Exploring the emergence and governance of new cities in Accra, Ghana. </w:t>
      </w:r>
      <w:r w:rsidRPr="00074854">
        <w:rPr>
          <w:rFonts w:asciiTheme="majorBidi" w:eastAsia="Times New Roman" w:hAnsiTheme="majorBidi" w:cstheme="majorBidi"/>
          <w:i/>
          <w:iCs/>
          <w:kern w:val="0"/>
          <w14:ligatures w14:val="none"/>
        </w:rPr>
        <w:t>Cities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99</w:t>
      </w:r>
      <w:r w:rsidRPr="00074854">
        <w:rPr>
          <w:rFonts w:asciiTheme="majorBidi" w:eastAsia="Times New Roman" w:hAnsiTheme="majorBidi" w:cstheme="majorBidi"/>
          <w:kern w:val="0"/>
          <w14:ligatures w14:val="none"/>
        </w:rPr>
        <w:t>, 102639. https://doi.org/10.1016/j.cities.2020.102639</w:t>
      </w:r>
    </w:p>
    <w:p w14:paraId="5028ADEC"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lastRenderedPageBreak/>
        <w:t>Mouratidis</w:t>
      </w:r>
      <w:proofErr w:type="spellEnd"/>
      <w:r w:rsidRPr="00074854">
        <w:rPr>
          <w:rFonts w:asciiTheme="majorBidi" w:eastAsia="Times New Roman" w:hAnsiTheme="majorBidi" w:cstheme="majorBidi"/>
          <w:kern w:val="0"/>
          <w14:ligatures w14:val="none"/>
        </w:rPr>
        <w:t xml:space="preserve">, K., </w:t>
      </w:r>
      <w:proofErr w:type="spellStart"/>
      <w:r w:rsidRPr="00074854">
        <w:rPr>
          <w:rFonts w:asciiTheme="majorBidi" w:eastAsia="Times New Roman" w:hAnsiTheme="majorBidi" w:cstheme="majorBidi"/>
          <w:kern w:val="0"/>
          <w14:ligatures w14:val="none"/>
        </w:rPr>
        <w:t>Skov</w:t>
      </w:r>
      <w:proofErr w:type="spellEnd"/>
      <w:r w:rsidRPr="00074854">
        <w:rPr>
          <w:rFonts w:asciiTheme="majorBidi" w:eastAsia="Times New Roman" w:hAnsiTheme="majorBidi" w:cstheme="majorBidi"/>
          <w:kern w:val="0"/>
          <w14:ligatures w14:val="none"/>
        </w:rPr>
        <w:t xml:space="preserve">-Petersen, H., &amp; Carstensen, T. A. (2026). On the acceptability of parking policy: Replacing on-street parking with space for street life, cycling, and vegetation in central Copenhagen. </w:t>
      </w:r>
      <w:r w:rsidRPr="00074854">
        <w:rPr>
          <w:rFonts w:asciiTheme="majorBidi" w:eastAsia="Times New Roman" w:hAnsiTheme="majorBidi" w:cstheme="majorBidi"/>
          <w:i/>
          <w:iCs/>
          <w:kern w:val="0"/>
          <w14:ligatures w14:val="none"/>
        </w:rPr>
        <w:t>Cities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172</w:t>
      </w:r>
      <w:r w:rsidRPr="00074854">
        <w:rPr>
          <w:rFonts w:asciiTheme="majorBidi" w:eastAsia="Times New Roman" w:hAnsiTheme="majorBidi" w:cstheme="majorBidi"/>
          <w:kern w:val="0"/>
          <w14:ligatures w14:val="none"/>
        </w:rPr>
        <w:t>, 106836. https://doi.org/10.1016/j.cities.2026.106836</w:t>
      </w:r>
    </w:p>
    <w:p w14:paraId="43A50BC7"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Ntim</w:t>
      </w:r>
      <w:proofErr w:type="spellEnd"/>
      <w:r w:rsidRPr="00074854">
        <w:rPr>
          <w:rFonts w:asciiTheme="majorBidi" w:eastAsia="Times New Roman" w:hAnsiTheme="majorBidi" w:cstheme="majorBidi"/>
          <w:kern w:val="0"/>
          <w14:ligatures w14:val="none"/>
        </w:rPr>
        <w:t xml:space="preserve">, J. A., </w:t>
      </w:r>
      <w:proofErr w:type="spellStart"/>
      <w:r w:rsidRPr="00074854">
        <w:rPr>
          <w:rFonts w:asciiTheme="majorBidi" w:eastAsia="Times New Roman" w:hAnsiTheme="majorBidi" w:cstheme="majorBidi"/>
          <w:kern w:val="0"/>
          <w14:ligatures w14:val="none"/>
        </w:rPr>
        <w:t>Anokye</w:t>
      </w:r>
      <w:proofErr w:type="spellEnd"/>
      <w:r w:rsidRPr="00074854">
        <w:rPr>
          <w:rFonts w:asciiTheme="majorBidi" w:eastAsia="Times New Roman" w:hAnsiTheme="majorBidi" w:cstheme="majorBidi"/>
          <w:kern w:val="0"/>
          <w14:ligatures w14:val="none"/>
        </w:rPr>
        <w:t xml:space="preserve">, P., &amp; </w:t>
      </w:r>
      <w:proofErr w:type="spellStart"/>
      <w:r w:rsidRPr="00074854">
        <w:rPr>
          <w:rFonts w:asciiTheme="majorBidi" w:eastAsia="Times New Roman" w:hAnsiTheme="majorBidi" w:cstheme="majorBidi"/>
          <w:kern w:val="0"/>
          <w14:ligatures w14:val="none"/>
        </w:rPr>
        <w:t>Asibey</w:t>
      </w:r>
      <w:proofErr w:type="spellEnd"/>
      <w:r w:rsidRPr="00074854">
        <w:rPr>
          <w:rFonts w:asciiTheme="majorBidi" w:eastAsia="Times New Roman" w:hAnsiTheme="majorBidi" w:cstheme="majorBidi"/>
          <w:kern w:val="0"/>
          <w14:ligatures w14:val="none"/>
        </w:rPr>
        <w:t xml:space="preserve">, M. O. (2022). City Challenge: User Perception on the Governance and Quality of Parking Spaces in Central Business District of Kumasi, Ghana. </w:t>
      </w:r>
      <w:r w:rsidRPr="00074854">
        <w:rPr>
          <w:rFonts w:asciiTheme="majorBidi" w:eastAsia="Times New Roman" w:hAnsiTheme="majorBidi" w:cstheme="majorBidi"/>
          <w:i/>
          <w:iCs/>
          <w:kern w:val="0"/>
          <w14:ligatures w14:val="none"/>
        </w:rPr>
        <w:t>Transportation in Developing Economies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9</w:t>
      </w:r>
      <w:r w:rsidRPr="00074854">
        <w:rPr>
          <w:rFonts w:asciiTheme="majorBidi" w:eastAsia="Times New Roman" w:hAnsiTheme="majorBidi" w:cstheme="majorBidi"/>
          <w:kern w:val="0"/>
          <w14:ligatures w14:val="none"/>
        </w:rPr>
        <w:t>(1). https://doi.org/10.1007/s40890-022-00174-3</w:t>
      </w:r>
    </w:p>
    <w:p w14:paraId="2DC1B15A"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Nuuyandja</w:t>
      </w:r>
      <w:proofErr w:type="spellEnd"/>
      <w:r w:rsidRPr="00074854">
        <w:rPr>
          <w:rFonts w:asciiTheme="majorBidi" w:eastAsia="Times New Roman" w:hAnsiTheme="majorBidi" w:cstheme="majorBidi"/>
          <w:kern w:val="0"/>
          <w14:ligatures w14:val="none"/>
        </w:rPr>
        <w:t xml:space="preserve">, H., Pisa, N., </w:t>
      </w:r>
      <w:proofErr w:type="spellStart"/>
      <w:r w:rsidRPr="00074854">
        <w:rPr>
          <w:rFonts w:asciiTheme="majorBidi" w:eastAsia="Times New Roman" w:hAnsiTheme="majorBidi" w:cstheme="majorBidi"/>
          <w:kern w:val="0"/>
          <w14:ligatures w14:val="none"/>
        </w:rPr>
        <w:t>Masoumi</w:t>
      </w:r>
      <w:proofErr w:type="spellEnd"/>
      <w:r w:rsidRPr="00074854">
        <w:rPr>
          <w:rFonts w:asciiTheme="majorBidi" w:eastAsia="Times New Roman" w:hAnsiTheme="majorBidi" w:cstheme="majorBidi"/>
          <w:kern w:val="0"/>
          <w14:ligatures w14:val="none"/>
        </w:rPr>
        <w:t xml:space="preserve">, H., &amp; </w:t>
      </w:r>
      <w:proofErr w:type="spellStart"/>
      <w:r w:rsidRPr="00074854">
        <w:rPr>
          <w:rFonts w:asciiTheme="majorBidi" w:eastAsia="Times New Roman" w:hAnsiTheme="majorBidi" w:cstheme="majorBidi"/>
          <w:kern w:val="0"/>
          <w14:ligatures w14:val="none"/>
        </w:rPr>
        <w:t>Chakamera</w:t>
      </w:r>
      <w:proofErr w:type="spellEnd"/>
      <w:r w:rsidRPr="00074854">
        <w:rPr>
          <w:rFonts w:asciiTheme="majorBidi" w:eastAsia="Times New Roman" w:hAnsiTheme="majorBidi" w:cstheme="majorBidi"/>
          <w:kern w:val="0"/>
          <w14:ligatures w14:val="none"/>
        </w:rPr>
        <w:t xml:space="preserve">, C. (2025). The Relationships Between Land Use Characteristics, Neighbourhood Perceptions, Socio-Economic Factors and Travel Behaviour in Compact and Sprawled Neighbourhoods in Windhoek. </w:t>
      </w:r>
      <w:r w:rsidRPr="00074854">
        <w:rPr>
          <w:rFonts w:asciiTheme="majorBidi" w:eastAsia="Times New Roman" w:hAnsiTheme="majorBidi" w:cstheme="majorBidi"/>
          <w:i/>
          <w:iCs/>
          <w:kern w:val="0"/>
          <w14:ligatures w14:val="none"/>
        </w:rPr>
        <w:t>Urban Science</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9</w:t>
      </w:r>
      <w:r w:rsidRPr="00074854">
        <w:rPr>
          <w:rFonts w:asciiTheme="majorBidi" w:eastAsia="Times New Roman" w:hAnsiTheme="majorBidi" w:cstheme="majorBidi"/>
          <w:kern w:val="0"/>
          <w14:ligatures w14:val="none"/>
        </w:rPr>
        <w:t>(10), 431. https://doi.org/10.3390/urbansci9100431</w:t>
      </w:r>
    </w:p>
    <w:p w14:paraId="7ABD9E49"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Shaker, R. (2025). From Policy to Platforms: Analysing Public Engagement with Singapore’s Smart Nation Initiative through Social Media Discourse. </w:t>
      </w:r>
      <w:r w:rsidRPr="00074854">
        <w:rPr>
          <w:rFonts w:asciiTheme="majorBidi" w:eastAsia="Times New Roman" w:hAnsiTheme="majorBidi" w:cstheme="majorBidi"/>
          <w:i/>
          <w:iCs/>
          <w:kern w:val="0"/>
          <w14:ligatures w14:val="none"/>
        </w:rPr>
        <w:t>Urban Governance</w:t>
      </w:r>
      <w:r w:rsidRPr="00074854">
        <w:rPr>
          <w:rFonts w:asciiTheme="majorBidi" w:eastAsia="Times New Roman" w:hAnsiTheme="majorBidi" w:cstheme="majorBidi"/>
          <w:kern w:val="0"/>
          <w14:ligatures w14:val="none"/>
        </w:rPr>
        <w:t>. https://doi.org/10.1016/j.ugj.2025.04.001</w:t>
      </w:r>
    </w:p>
    <w:p w14:paraId="576E597E"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Tchakouni</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Sondou</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Mawufe</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Yawo</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Dotsu</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Kouassi</w:t>
      </w:r>
      <w:proofErr w:type="spellEnd"/>
      <w:r w:rsidRPr="00074854">
        <w:rPr>
          <w:rFonts w:asciiTheme="majorBidi" w:eastAsia="Times New Roman" w:hAnsiTheme="majorBidi" w:cstheme="majorBidi"/>
          <w:kern w:val="0"/>
          <w14:ligatures w14:val="none"/>
        </w:rPr>
        <w:t xml:space="preserve"> Rodolphe </w:t>
      </w:r>
      <w:proofErr w:type="spellStart"/>
      <w:r w:rsidRPr="00074854">
        <w:rPr>
          <w:rFonts w:asciiTheme="majorBidi" w:eastAsia="Times New Roman" w:hAnsiTheme="majorBidi" w:cstheme="majorBidi"/>
          <w:kern w:val="0"/>
          <w14:ligatures w14:val="none"/>
        </w:rPr>
        <w:t>Anoumou</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Samon</w:t>
      </w:r>
      <w:proofErr w:type="spellEnd"/>
      <w:r w:rsidRPr="00074854">
        <w:rPr>
          <w:rFonts w:asciiTheme="majorBidi" w:eastAsia="Times New Roman" w:hAnsiTheme="majorBidi" w:cstheme="majorBidi"/>
          <w:kern w:val="0"/>
          <w14:ligatures w14:val="none"/>
        </w:rPr>
        <w:t xml:space="preserve">, S. P., Jérôme Chenal, &amp; </w:t>
      </w:r>
      <w:proofErr w:type="spellStart"/>
      <w:r w:rsidRPr="00074854">
        <w:rPr>
          <w:rFonts w:asciiTheme="majorBidi" w:eastAsia="Times New Roman" w:hAnsiTheme="majorBidi" w:cstheme="majorBidi"/>
          <w:kern w:val="0"/>
          <w14:ligatures w14:val="none"/>
        </w:rPr>
        <w:t>Coffi</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Cyprien</w:t>
      </w:r>
      <w:proofErr w:type="spellEnd"/>
      <w:r w:rsidRPr="00074854">
        <w:rPr>
          <w:rFonts w:asciiTheme="majorBidi" w:eastAsia="Times New Roman" w:hAnsiTheme="majorBidi" w:cstheme="majorBidi"/>
          <w:kern w:val="0"/>
          <w14:ligatures w14:val="none"/>
        </w:rPr>
        <w:t xml:space="preserve"> </w:t>
      </w:r>
      <w:proofErr w:type="spellStart"/>
      <w:r w:rsidRPr="00074854">
        <w:rPr>
          <w:rFonts w:asciiTheme="majorBidi" w:eastAsia="Times New Roman" w:hAnsiTheme="majorBidi" w:cstheme="majorBidi"/>
          <w:kern w:val="0"/>
          <w14:ligatures w14:val="none"/>
        </w:rPr>
        <w:t>Aholou</w:t>
      </w:r>
      <w:proofErr w:type="spellEnd"/>
      <w:r w:rsidRPr="00074854">
        <w:rPr>
          <w:rFonts w:asciiTheme="majorBidi" w:eastAsia="Times New Roman" w:hAnsiTheme="majorBidi" w:cstheme="majorBidi"/>
          <w:kern w:val="0"/>
          <w14:ligatures w14:val="none"/>
        </w:rPr>
        <w:t xml:space="preserve">. (2025). Urban Planning Through Participatory Democracy: Analysis of Citizen Participation in Urban Planning in Ho (Ghana) and </w:t>
      </w:r>
      <w:proofErr w:type="spellStart"/>
      <w:r w:rsidRPr="00074854">
        <w:rPr>
          <w:rFonts w:asciiTheme="majorBidi" w:eastAsia="Times New Roman" w:hAnsiTheme="majorBidi" w:cstheme="majorBidi"/>
          <w:kern w:val="0"/>
          <w14:ligatures w14:val="none"/>
        </w:rPr>
        <w:t>Kpalimé</w:t>
      </w:r>
      <w:proofErr w:type="spellEnd"/>
      <w:r w:rsidRPr="00074854">
        <w:rPr>
          <w:rFonts w:asciiTheme="majorBidi" w:eastAsia="Times New Roman" w:hAnsiTheme="majorBidi" w:cstheme="majorBidi"/>
          <w:kern w:val="0"/>
          <w14:ligatures w14:val="none"/>
        </w:rPr>
        <w:t xml:space="preserve"> (Togo). </w:t>
      </w:r>
      <w:r w:rsidRPr="00074854">
        <w:rPr>
          <w:rFonts w:asciiTheme="majorBidi" w:eastAsia="Times New Roman" w:hAnsiTheme="majorBidi" w:cstheme="majorBidi"/>
          <w:i/>
          <w:iCs/>
          <w:kern w:val="0"/>
          <w14:ligatures w14:val="none"/>
        </w:rPr>
        <w:t>Sustainability</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17</w:t>
      </w:r>
      <w:r w:rsidRPr="00074854">
        <w:rPr>
          <w:rFonts w:asciiTheme="majorBidi" w:eastAsia="Times New Roman" w:hAnsiTheme="majorBidi" w:cstheme="majorBidi"/>
          <w:kern w:val="0"/>
          <w14:ligatures w14:val="none"/>
        </w:rPr>
        <w:t>(3), 1161–1161. https://doi.org/10.3390/su17031161</w:t>
      </w:r>
    </w:p>
    <w:p w14:paraId="3F6C2418" w14:textId="77777777" w:rsidR="00BA0415" w:rsidRPr="00074854" w:rsidRDefault="00BA0415" w:rsidP="00BA0415">
      <w:pPr>
        <w:spacing w:after="0" w:line="480" w:lineRule="auto"/>
        <w:ind w:left="720" w:hanging="720"/>
        <w:rPr>
          <w:rFonts w:asciiTheme="majorBidi" w:eastAsia="Times New Roman" w:hAnsiTheme="majorBidi" w:cstheme="majorBidi"/>
          <w:kern w:val="0"/>
          <w:lang w:val="fr-FR"/>
          <w14:ligatures w14:val="none"/>
        </w:rPr>
      </w:pPr>
      <w:r w:rsidRPr="00074854">
        <w:rPr>
          <w:rFonts w:asciiTheme="majorBidi" w:eastAsia="Times New Roman" w:hAnsiTheme="majorBidi" w:cstheme="majorBidi"/>
          <w:kern w:val="0"/>
          <w14:ligatures w14:val="none"/>
        </w:rPr>
        <w:t xml:space="preserve">Ulibarri, N., Imperial, M. T., </w:t>
      </w:r>
      <w:proofErr w:type="spellStart"/>
      <w:r w:rsidRPr="00074854">
        <w:rPr>
          <w:rFonts w:asciiTheme="majorBidi" w:eastAsia="Times New Roman" w:hAnsiTheme="majorBidi" w:cstheme="majorBidi"/>
          <w:kern w:val="0"/>
          <w14:ligatures w14:val="none"/>
        </w:rPr>
        <w:t>Siddiki</w:t>
      </w:r>
      <w:proofErr w:type="spellEnd"/>
      <w:r w:rsidRPr="00074854">
        <w:rPr>
          <w:rFonts w:asciiTheme="majorBidi" w:eastAsia="Times New Roman" w:hAnsiTheme="majorBidi" w:cstheme="majorBidi"/>
          <w:kern w:val="0"/>
          <w14:ligatures w14:val="none"/>
        </w:rPr>
        <w:t xml:space="preserve">, S., &amp; Henderson, H. (2023). Drivers and Dynamics of Collaborative Governance in Environmental Management. </w:t>
      </w:r>
      <w:proofErr w:type="spellStart"/>
      <w:r w:rsidRPr="00074854">
        <w:rPr>
          <w:rFonts w:asciiTheme="majorBidi" w:eastAsia="Times New Roman" w:hAnsiTheme="majorBidi" w:cstheme="majorBidi"/>
          <w:i/>
          <w:iCs/>
          <w:kern w:val="0"/>
          <w:lang w:val="fr-FR"/>
          <w14:ligatures w14:val="none"/>
        </w:rPr>
        <w:t>Environmental</w:t>
      </w:r>
      <w:proofErr w:type="spellEnd"/>
      <w:r w:rsidRPr="00074854">
        <w:rPr>
          <w:rFonts w:asciiTheme="majorBidi" w:eastAsia="Times New Roman" w:hAnsiTheme="majorBidi" w:cstheme="majorBidi"/>
          <w:i/>
          <w:iCs/>
          <w:kern w:val="0"/>
          <w:lang w:val="fr-FR"/>
          <w14:ligatures w14:val="none"/>
        </w:rPr>
        <w:t xml:space="preserve"> Management</w:t>
      </w:r>
      <w:r w:rsidRPr="00074854">
        <w:rPr>
          <w:rFonts w:asciiTheme="majorBidi" w:eastAsia="Times New Roman" w:hAnsiTheme="majorBidi" w:cstheme="majorBidi"/>
          <w:kern w:val="0"/>
          <w:lang w:val="fr-FR"/>
          <w14:ligatures w14:val="none"/>
        </w:rPr>
        <w:t xml:space="preserve">, </w:t>
      </w:r>
      <w:r w:rsidRPr="00074854">
        <w:rPr>
          <w:rFonts w:asciiTheme="majorBidi" w:eastAsia="Times New Roman" w:hAnsiTheme="majorBidi" w:cstheme="majorBidi"/>
          <w:i/>
          <w:iCs/>
          <w:kern w:val="0"/>
          <w:lang w:val="fr-FR"/>
          <w14:ligatures w14:val="none"/>
        </w:rPr>
        <w:t>71</w:t>
      </w:r>
      <w:r w:rsidRPr="00074854">
        <w:rPr>
          <w:rFonts w:asciiTheme="majorBidi" w:eastAsia="Times New Roman" w:hAnsiTheme="majorBidi" w:cstheme="majorBidi"/>
          <w:kern w:val="0"/>
          <w:lang w:val="fr-FR"/>
          <w14:ligatures w14:val="none"/>
        </w:rPr>
        <w:t>(3), 495–504. https://doi.org/10.1007/s00267-022-01769-7</w:t>
      </w:r>
    </w:p>
    <w:p w14:paraId="32B18715"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lang w:val="fr-FR"/>
          <w14:ligatures w14:val="none"/>
        </w:rPr>
        <w:lastRenderedPageBreak/>
        <w:t xml:space="preserve">Wang, F., &amp; Liu, M. (2025). </w:t>
      </w:r>
      <w:r w:rsidRPr="00074854">
        <w:rPr>
          <w:rFonts w:asciiTheme="majorBidi" w:eastAsia="Times New Roman" w:hAnsiTheme="majorBidi" w:cstheme="majorBidi"/>
          <w:kern w:val="0"/>
          <w14:ligatures w14:val="none"/>
        </w:rPr>
        <w:t xml:space="preserve">Exploring the influence of perceived safety in residential underground car parks on residents’ satisfaction and well-being. </w:t>
      </w:r>
      <w:r w:rsidRPr="00074854">
        <w:rPr>
          <w:rFonts w:asciiTheme="majorBidi" w:eastAsia="Times New Roman" w:hAnsiTheme="majorBidi" w:cstheme="majorBidi"/>
          <w:i/>
          <w:iCs/>
          <w:kern w:val="0"/>
          <w14:ligatures w14:val="none"/>
        </w:rPr>
        <w:t>Scientific Reports</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15</w:t>
      </w:r>
      <w:r w:rsidRPr="00074854">
        <w:rPr>
          <w:rFonts w:asciiTheme="majorBidi" w:eastAsia="Times New Roman" w:hAnsiTheme="majorBidi" w:cstheme="majorBidi"/>
          <w:kern w:val="0"/>
          <w14:ligatures w14:val="none"/>
        </w:rPr>
        <w:t>(1). https://doi.org/10.1038/s41598-025-04468-5</w:t>
      </w:r>
    </w:p>
    <w:p w14:paraId="5F980CB7"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Wang, H., &amp; Ran, B. (2021). Network governance and collaborative governance: a thematic analysis on their similarities, differences, and entanglements. </w:t>
      </w:r>
      <w:r w:rsidRPr="00074854">
        <w:rPr>
          <w:rFonts w:asciiTheme="majorBidi" w:eastAsia="Times New Roman" w:hAnsiTheme="majorBidi" w:cstheme="majorBidi"/>
          <w:i/>
          <w:iCs/>
          <w:kern w:val="0"/>
          <w14:ligatures w14:val="none"/>
        </w:rPr>
        <w:t>Public Management Review</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25</w:t>
      </w:r>
      <w:r w:rsidRPr="00074854">
        <w:rPr>
          <w:rFonts w:asciiTheme="majorBidi" w:eastAsia="Times New Roman" w:hAnsiTheme="majorBidi" w:cstheme="majorBidi"/>
          <w:kern w:val="0"/>
          <w14:ligatures w14:val="none"/>
        </w:rPr>
        <w:t>(6), 1–25. https://doi.org/10.1080/14719037.2021.2011389</w:t>
      </w:r>
    </w:p>
    <w:p w14:paraId="672CAB62" w14:textId="699214B5"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proofErr w:type="spellStart"/>
      <w:r w:rsidRPr="00074854">
        <w:rPr>
          <w:rFonts w:asciiTheme="majorBidi" w:eastAsia="Times New Roman" w:hAnsiTheme="majorBidi" w:cstheme="majorBidi"/>
          <w:kern w:val="0"/>
          <w14:ligatures w14:val="none"/>
        </w:rPr>
        <w:t>Zellmann</w:t>
      </w:r>
      <w:proofErr w:type="spellEnd"/>
      <w:r w:rsidRPr="00074854">
        <w:rPr>
          <w:rFonts w:asciiTheme="majorBidi" w:eastAsia="Times New Roman" w:hAnsiTheme="majorBidi" w:cstheme="majorBidi"/>
          <w:kern w:val="0"/>
          <w14:ligatures w14:val="none"/>
        </w:rPr>
        <w:t xml:space="preserve">, M., </w:t>
      </w:r>
      <w:proofErr w:type="spellStart"/>
      <w:r w:rsidRPr="00074854">
        <w:rPr>
          <w:rFonts w:asciiTheme="majorBidi" w:eastAsia="Times New Roman" w:hAnsiTheme="majorBidi" w:cstheme="majorBidi"/>
          <w:kern w:val="0"/>
          <w14:ligatures w14:val="none"/>
        </w:rPr>
        <w:t>Lanzendorf</w:t>
      </w:r>
      <w:proofErr w:type="spellEnd"/>
      <w:r w:rsidRPr="00074854">
        <w:rPr>
          <w:rFonts w:asciiTheme="majorBidi" w:eastAsia="Times New Roman" w:hAnsiTheme="majorBidi" w:cstheme="majorBidi"/>
          <w:kern w:val="0"/>
          <w14:ligatures w14:val="none"/>
        </w:rPr>
        <w:t xml:space="preserve">, M., &amp; Johansson, F. (2026). Innovative parking management through Mobility Benefit Districts: a systematic review of academic evidence and an exploration of European case studies. </w:t>
      </w:r>
      <w:r w:rsidRPr="00074854">
        <w:rPr>
          <w:rFonts w:asciiTheme="majorBidi" w:eastAsia="Times New Roman" w:hAnsiTheme="majorBidi" w:cstheme="majorBidi"/>
          <w:i/>
          <w:iCs/>
          <w:kern w:val="0"/>
          <w14:ligatures w14:val="none"/>
        </w:rPr>
        <w:t>Transport Reviews</w:t>
      </w:r>
      <w:r w:rsidRPr="00074854">
        <w:rPr>
          <w:rFonts w:asciiTheme="majorBidi" w:eastAsia="Times New Roman" w:hAnsiTheme="majorBidi" w:cstheme="majorBidi"/>
          <w:kern w:val="0"/>
          <w14:ligatures w14:val="none"/>
        </w:rPr>
        <w:t>, 1–27.</w:t>
      </w:r>
      <w:r w:rsidR="00727D0A">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kern w:val="0"/>
          <w14:ligatures w14:val="none"/>
        </w:rPr>
        <w:t>https://doi.org/10.1080/01441647.2026.2635035</w:t>
      </w:r>
    </w:p>
    <w:p w14:paraId="37B7C5D0" w14:textId="77777777" w:rsidR="00BA0415" w:rsidRPr="00074854" w:rsidRDefault="00BA0415" w:rsidP="00BA0415">
      <w:pPr>
        <w:spacing w:after="0" w:line="480" w:lineRule="auto"/>
        <w:ind w:left="720" w:hanging="720"/>
        <w:rPr>
          <w:rFonts w:asciiTheme="majorBidi" w:eastAsia="Times New Roman" w:hAnsiTheme="majorBidi" w:cstheme="majorBidi"/>
          <w:kern w:val="0"/>
          <w14:ligatures w14:val="none"/>
        </w:rPr>
      </w:pPr>
      <w:r w:rsidRPr="00074854">
        <w:rPr>
          <w:rFonts w:asciiTheme="majorBidi" w:eastAsia="Times New Roman" w:hAnsiTheme="majorBidi" w:cstheme="majorBidi"/>
          <w:kern w:val="0"/>
          <w14:ligatures w14:val="none"/>
        </w:rPr>
        <w:t xml:space="preserve">Zhang, Z., Gao, Y., Zhang, F., &amp; Liu, W. (2026). Parking management and operation: A bibliometric analysis and comprehensive review. </w:t>
      </w:r>
      <w:r w:rsidRPr="00074854">
        <w:rPr>
          <w:rFonts w:asciiTheme="majorBidi" w:eastAsia="Times New Roman" w:hAnsiTheme="majorBidi" w:cstheme="majorBidi"/>
          <w:i/>
          <w:iCs/>
          <w:kern w:val="0"/>
          <w14:ligatures w14:val="none"/>
        </w:rPr>
        <w:t>Transport Economics and Management</w:t>
      </w:r>
      <w:r w:rsidRPr="00074854">
        <w:rPr>
          <w:rFonts w:asciiTheme="majorBidi" w:eastAsia="Times New Roman" w:hAnsiTheme="majorBidi" w:cstheme="majorBidi"/>
          <w:kern w:val="0"/>
          <w14:ligatures w14:val="none"/>
        </w:rPr>
        <w:t xml:space="preserve">, </w:t>
      </w:r>
      <w:r w:rsidRPr="00074854">
        <w:rPr>
          <w:rFonts w:asciiTheme="majorBidi" w:eastAsia="Times New Roman" w:hAnsiTheme="majorBidi" w:cstheme="majorBidi"/>
          <w:i/>
          <w:iCs/>
          <w:kern w:val="0"/>
          <w14:ligatures w14:val="none"/>
        </w:rPr>
        <w:t>4</w:t>
      </w:r>
      <w:r w:rsidRPr="00074854">
        <w:rPr>
          <w:rFonts w:asciiTheme="majorBidi" w:eastAsia="Times New Roman" w:hAnsiTheme="majorBidi" w:cstheme="majorBidi"/>
          <w:kern w:val="0"/>
          <w14:ligatures w14:val="none"/>
        </w:rPr>
        <w:t>, 14–37. https://doi.org/10.1016/j.team.2025.12.001</w:t>
      </w:r>
    </w:p>
    <w:p w14:paraId="3697B6AF" w14:textId="77777777" w:rsidR="00D61DDD" w:rsidRPr="00074854" w:rsidRDefault="00D61DDD" w:rsidP="00B419BC">
      <w:pPr>
        <w:spacing w:after="0" w:line="480" w:lineRule="auto"/>
        <w:rPr>
          <w:rFonts w:asciiTheme="majorBidi" w:hAnsiTheme="majorBidi" w:cstheme="majorBidi"/>
          <w:b/>
          <w:bCs/>
          <w:color w:val="000000" w:themeColor="text1"/>
        </w:rPr>
      </w:pPr>
    </w:p>
    <w:p w14:paraId="67D8AFFD" w14:textId="77777777" w:rsidR="00B419BC" w:rsidRPr="00074854" w:rsidRDefault="00B419BC" w:rsidP="00B419BC">
      <w:pPr>
        <w:spacing w:after="0" w:line="480" w:lineRule="auto"/>
        <w:rPr>
          <w:rFonts w:asciiTheme="majorBidi" w:hAnsiTheme="majorBidi" w:cstheme="majorBidi"/>
          <w:color w:val="000000" w:themeColor="text1"/>
        </w:rPr>
      </w:pPr>
    </w:p>
    <w:p w14:paraId="77643A96" w14:textId="77777777" w:rsidR="004802C9" w:rsidRPr="00074854" w:rsidRDefault="004802C9" w:rsidP="004802C9">
      <w:pPr>
        <w:jc w:val="center"/>
        <w:rPr>
          <w:rFonts w:asciiTheme="majorBidi" w:hAnsiTheme="majorBidi" w:cstheme="majorBidi"/>
          <w:b/>
          <w:bCs/>
        </w:rPr>
      </w:pPr>
    </w:p>
    <w:sectPr w:rsidR="004802C9" w:rsidRPr="000748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33F8" w14:textId="77777777" w:rsidR="00E03EC2" w:rsidRDefault="00E03EC2" w:rsidP="00AD5D34">
      <w:pPr>
        <w:spacing w:after="0" w:line="240" w:lineRule="auto"/>
      </w:pPr>
      <w:r>
        <w:separator/>
      </w:r>
    </w:p>
  </w:endnote>
  <w:endnote w:type="continuationSeparator" w:id="0">
    <w:p w14:paraId="2D9F29F2" w14:textId="77777777" w:rsidR="00E03EC2" w:rsidRDefault="00E03EC2" w:rsidP="00AD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6669846"/>
      <w:docPartObj>
        <w:docPartGallery w:val="Page Numbers (Bottom of Page)"/>
        <w:docPartUnique/>
      </w:docPartObj>
    </w:sdtPr>
    <w:sdtEndPr>
      <w:rPr>
        <w:rStyle w:val="PageNumber"/>
      </w:rPr>
    </w:sdtEndPr>
    <w:sdtContent>
      <w:p w14:paraId="3F60F9E9" w14:textId="31795F07" w:rsidR="00AD5D34" w:rsidRDefault="00AD5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5E221" w14:textId="77777777" w:rsidR="00AD5D34" w:rsidRDefault="00AD5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2271933"/>
      <w:docPartObj>
        <w:docPartGallery w:val="Page Numbers (Bottom of Page)"/>
        <w:docPartUnique/>
      </w:docPartObj>
    </w:sdtPr>
    <w:sdtEndPr>
      <w:rPr>
        <w:rStyle w:val="PageNumber"/>
      </w:rPr>
    </w:sdtEndPr>
    <w:sdtContent>
      <w:p w14:paraId="4D0FB7C7" w14:textId="4406A236" w:rsidR="00AD5D34" w:rsidRDefault="00AD5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9A788D" w14:textId="77777777" w:rsidR="00AD5D34" w:rsidRDefault="00AD5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BAE0" w14:textId="77777777" w:rsidR="009A759F" w:rsidRDefault="009A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6F63" w14:textId="77777777" w:rsidR="00E03EC2" w:rsidRDefault="00E03EC2" w:rsidP="00AD5D34">
      <w:pPr>
        <w:spacing w:after="0" w:line="240" w:lineRule="auto"/>
      </w:pPr>
      <w:r>
        <w:separator/>
      </w:r>
    </w:p>
  </w:footnote>
  <w:footnote w:type="continuationSeparator" w:id="0">
    <w:p w14:paraId="2C7903EA" w14:textId="77777777" w:rsidR="00E03EC2" w:rsidRDefault="00E03EC2" w:rsidP="00AD5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345A" w14:textId="52DEEE5C" w:rsidR="009A759F" w:rsidRDefault="00E03EC2">
    <w:pPr>
      <w:pStyle w:val="Header"/>
    </w:pPr>
    <w:r>
      <w:rPr>
        <w:noProof/>
      </w:rPr>
      <w:pict w14:anchorId="38167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8891"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59E9" w14:textId="64D119FA" w:rsidR="009A759F" w:rsidRDefault="00E03EC2">
    <w:pPr>
      <w:pStyle w:val="Header"/>
    </w:pPr>
    <w:r>
      <w:rPr>
        <w:noProof/>
      </w:rPr>
      <w:pict w14:anchorId="0A0CE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8892"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65EF" w14:textId="6C3FEAAE" w:rsidR="009A759F" w:rsidRDefault="00E03EC2">
    <w:pPr>
      <w:pStyle w:val="Header"/>
    </w:pPr>
    <w:r>
      <w:rPr>
        <w:noProof/>
      </w:rPr>
      <w:pict w14:anchorId="2A837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8890"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2908"/>
    <w:multiLevelType w:val="multilevel"/>
    <w:tmpl w:val="C8BED2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C9"/>
    <w:rsid w:val="00012A80"/>
    <w:rsid w:val="00074854"/>
    <w:rsid w:val="00084188"/>
    <w:rsid w:val="00146D8C"/>
    <w:rsid w:val="00182E11"/>
    <w:rsid w:val="001A63C0"/>
    <w:rsid w:val="00212FFA"/>
    <w:rsid w:val="002263AF"/>
    <w:rsid w:val="002772DD"/>
    <w:rsid w:val="0029303B"/>
    <w:rsid w:val="002A66DC"/>
    <w:rsid w:val="002D2FE3"/>
    <w:rsid w:val="003A6799"/>
    <w:rsid w:val="003E3930"/>
    <w:rsid w:val="004003F6"/>
    <w:rsid w:val="004479B1"/>
    <w:rsid w:val="004802C9"/>
    <w:rsid w:val="005C2C2D"/>
    <w:rsid w:val="005E1E3B"/>
    <w:rsid w:val="006045C0"/>
    <w:rsid w:val="006B1126"/>
    <w:rsid w:val="006C010D"/>
    <w:rsid w:val="00727D0A"/>
    <w:rsid w:val="00734DAA"/>
    <w:rsid w:val="007E0E49"/>
    <w:rsid w:val="00837E86"/>
    <w:rsid w:val="00850470"/>
    <w:rsid w:val="0087429C"/>
    <w:rsid w:val="008E593C"/>
    <w:rsid w:val="009403E3"/>
    <w:rsid w:val="009A759F"/>
    <w:rsid w:val="00A17314"/>
    <w:rsid w:val="00AD5D34"/>
    <w:rsid w:val="00B419BC"/>
    <w:rsid w:val="00BA0415"/>
    <w:rsid w:val="00BD5B94"/>
    <w:rsid w:val="00BF704B"/>
    <w:rsid w:val="00C94733"/>
    <w:rsid w:val="00CB1637"/>
    <w:rsid w:val="00D61DDD"/>
    <w:rsid w:val="00E03EC2"/>
    <w:rsid w:val="00E223F1"/>
    <w:rsid w:val="00E50676"/>
    <w:rsid w:val="00E76BF7"/>
    <w:rsid w:val="00F55EAA"/>
    <w:rsid w:val="00F765B3"/>
    <w:rsid w:val="00FB3EA6"/>
    <w:rsid w:val="00FF200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8C4736"/>
  <w15:chartTrackingRefBased/>
  <w15:docId w15:val="{88C251FD-32F8-2B4F-90B8-D5858211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0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0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0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0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2C9"/>
    <w:rPr>
      <w:rFonts w:eastAsiaTheme="majorEastAsia" w:cstheme="majorBidi"/>
      <w:color w:val="272727" w:themeColor="text1" w:themeTint="D8"/>
    </w:rPr>
  </w:style>
  <w:style w:type="paragraph" w:styleId="Title">
    <w:name w:val="Title"/>
    <w:basedOn w:val="Normal"/>
    <w:next w:val="Normal"/>
    <w:link w:val="TitleChar"/>
    <w:uiPriority w:val="10"/>
    <w:qFormat/>
    <w:rsid w:val="00480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2C9"/>
    <w:pPr>
      <w:spacing w:before="160"/>
      <w:jc w:val="center"/>
    </w:pPr>
    <w:rPr>
      <w:i/>
      <w:iCs/>
      <w:color w:val="404040" w:themeColor="text1" w:themeTint="BF"/>
    </w:rPr>
  </w:style>
  <w:style w:type="character" w:customStyle="1" w:styleId="QuoteChar">
    <w:name w:val="Quote Char"/>
    <w:basedOn w:val="DefaultParagraphFont"/>
    <w:link w:val="Quote"/>
    <w:uiPriority w:val="29"/>
    <w:rsid w:val="004802C9"/>
    <w:rPr>
      <w:i/>
      <w:iCs/>
      <w:color w:val="404040" w:themeColor="text1" w:themeTint="BF"/>
    </w:rPr>
  </w:style>
  <w:style w:type="paragraph" w:styleId="ListParagraph">
    <w:name w:val="List Paragraph"/>
    <w:basedOn w:val="Normal"/>
    <w:uiPriority w:val="34"/>
    <w:qFormat/>
    <w:rsid w:val="004802C9"/>
    <w:pPr>
      <w:ind w:left="720"/>
      <w:contextualSpacing/>
    </w:pPr>
  </w:style>
  <w:style w:type="character" w:styleId="IntenseEmphasis">
    <w:name w:val="Intense Emphasis"/>
    <w:basedOn w:val="DefaultParagraphFont"/>
    <w:uiPriority w:val="21"/>
    <w:qFormat/>
    <w:rsid w:val="004802C9"/>
    <w:rPr>
      <w:i/>
      <w:iCs/>
      <w:color w:val="0F4761" w:themeColor="accent1" w:themeShade="BF"/>
    </w:rPr>
  </w:style>
  <w:style w:type="paragraph" w:styleId="IntenseQuote">
    <w:name w:val="Intense Quote"/>
    <w:basedOn w:val="Normal"/>
    <w:next w:val="Normal"/>
    <w:link w:val="IntenseQuoteChar"/>
    <w:uiPriority w:val="30"/>
    <w:qFormat/>
    <w:rsid w:val="00480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2C9"/>
    <w:rPr>
      <w:i/>
      <w:iCs/>
      <w:color w:val="0F4761" w:themeColor="accent1" w:themeShade="BF"/>
    </w:rPr>
  </w:style>
  <w:style w:type="character" w:styleId="IntenseReference">
    <w:name w:val="Intense Reference"/>
    <w:basedOn w:val="DefaultParagraphFont"/>
    <w:uiPriority w:val="32"/>
    <w:qFormat/>
    <w:rsid w:val="004802C9"/>
    <w:rPr>
      <w:b/>
      <w:bCs/>
      <w:smallCaps/>
      <w:color w:val="0F4761" w:themeColor="accent1" w:themeShade="BF"/>
      <w:spacing w:val="5"/>
    </w:rPr>
  </w:style>
  <w:style w:type="paragraph" w:styleId="NormalWeb">
    <w:name w:val="Normal (Web)"/>
    <w:basedOn w:val="Normal"/>
    <w:uiPriority w:val="99"/>
    <w:semiHidden/>
    <w:unhideWhenUsed/>
    <w:rsid w:val="004802C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5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65B3"/>
    <w:rPr>
      <w:b/>
      <w:bCs/>
    </w:rPr>
  </w:style>
  <w:style w:type="character" w:styleId="Emphasis">
    <w:name w:val="Emphasis"/>
    <w:basedOn w:val="DefaultParagraphFont"/>
    <w:uiPriority w:val="20"/>
    <w:qFormat/>
    <w:rsid w:val="00D61DDD"/>
    <w:rPr>
      <w:i/>
      <w:iCs/>
    </w:rPr>
  </w:style>
  <w:style w:type="character" w:styleId="Hyperlink">
    <w:name w:val="Hyperlink"/>
    <w:basedOn w:val="DefaultParagraphFont"/>
    <w:uiPriority w:val="99"/>
    <w:unhideWhenUsed/>
    <w:rsid w:val="00D61DDD"/>
    <w:rPr>
      <w:color w:val="0000FF"/>
      <w:u w:val="single"/>
    </w:rPr>
  </w:style>
  <w:style w:type="paragraph" w:styleId="Footer">
    <w:name w:val="footer"/>
    <w:basedOn w:val="Normal"/>
    <w:link w:val="FooterChar"/>
    <w:uiPriority w:val="99"/>
    <w:unhideWhenUsed/>
    <w:rsid w:val="00AD5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D34"/>
  </w:style>
  <w:style w:type="character" w:styleId="PageNumber">
    <w:name w:val="page number"/>
    <w:basedOn w:val="DefaultParagraphFont"/>
    <w:uiPriority w:val="99"/>
    <w:semiHidden/>
    <w:unhideWhenUsed/>
    <w:rsid w:val="00AD5D34"/>
  </w:style>
  <w:style w:type="character" w:styleId="UnresolvedMention">
    <w:name w:val="Unresolved Mention"/>
    <w:basedOn w:val="DefaultParagraphFont"/>
    <w:uiPriority w:val="99"/>
    <w:semiHidden/>
    <w:unhideWhenUsed/>
    <w:rsid w:val="003A6799"/>
    <w:rPr>
      <w:color w:val="605E5C"/>
      <w:shd w:val="clear" w:color="auto" w:fill="E1DFDD"/>
    </w:rPr>
  </w:style>
  <w:style w:type="paragraph" w:styleId="Header">
    <w:name w:val="header"/>
    <w:basedOn w:val="Normal"/>
    <w:link w:val="HeaderChar"/>
    <w:uiPriority w:val="99"/>
    <w:unhideWhenUsed/>
    <w:rsid w:val="009A7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urbansci80100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18</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DADZIE</dc:creator>
  <cp:keywords/>
  <dc:description/>
  <cp:lastModifiedBy>Editor-1183</cp:lastModifiedBy>
  <cp:revision>21</cp:revision>
  <dcterms:created xsi:type="dcterms:W3CDTF">2026-03-28T07:02:00Z</dcterms:created>
  <dcterms:modified xsi:type="dcterms:W3CDTF">2026-04-13T06:09:00Z</dcterms:modified>
</cp:coreProperties>
</file>