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BFC" w:rsidRPr="0052002C" w:rsidRDefault="00050370" w:rsidP="008E1BFC">
      <w:pPr>
        <w:ind w:left="360"/>
        <w:rPr>
          <w:rFonts w:ascii="Times New Roman" w:hAnsi="Times New Roman" w:cs="Times New Roman"/>
          <w:b/>
        </w:rPr>
      </w:pPr>
      <w:r w:rsidRPr="0052002C">
        <w:rPr>
          <w:rFonts w:ascii="Times New Roman" w:hAnsi="Times New Roman" w:cs="Times New Roman"/>
          <w:b/>
        </w:rPr>
        <w:t>Differential Effects of Lead and Cadmium Contamination on the Antioxidant Systems of Key Plant Species in South Caucasus Vegetation Communities</w:t>
      </w:r>
    </w:p>
    <w:p w:rsidR="00E25BB3" w:rsidRDefault="00E25BB3" w:rsidP="0001613B">
      <w:pPr>
        <w:spacing w:line="360" w:lineRule="auto"/>
        <w:jc w:val="both"/>
        <w:rPr>
          <w:rFonts w:ascii="Times New Roman" w:hAnsi="Times New Roman" w:cs="Times New Roman"/>
        </w:rPr>
      </w:pPr>
    </w:p>
    <w:p w:rsidR="0022689E" w:rsidRDefault="0022689E" w:rsidP="0001613B">
      <w:pPr>
        <w:spacing w:line="360" w:lineRule="auto"/>
        <w:jc w:val="both"/>
        <w:rPr>
          <w:rFonts w:ascii="Times New Roman" w:hAnsi="Times New Roman" w:cs="Times New Roman"/>
          <w:b/>
          <w:bCs/>
        </w:rPr>
      </w:pPr>
    </w:p>
    <w:p w:rsidR="00E25BB3" w:rsidRDefault="00E25BB3" w:rsidP="0001613B">
      <w:pPr>
        <w:spacing w:line="360" w:lineRule="auto"/>
        <w:jc w:val="both"/>
        <w:rPr>
          <w:rFonts w:ascii="Times New Roman" w:hAnsi="Times New Roman" w:cs="Times New Roman"/>
        </w:rPr>
      </w:pPr>
      <w:r>
        <w:rPr>
          <w:rFonts w:ascii="Times New Roman" w:hAnsi="Times New Roman" w:cs="Times New Roman"/>
          <w:b/>
          <w:bCs/>
        </w:rPr>
        <w:t>Abstract</w:t>
      </w:r>
      <w:r w:rsidR="007216F7">
        <w:rPr>
          <w:rFonts w:ascii="Times New Roman" w:hAnsi="Times New Roman" w:cs="Times New Roman"/>
          <w:b/>
          <w:bCs/>
        </w:rPr>
        <w:t>.</w:t>
      </w:r>
      <w:r>
        <w:rPr>
          <w:rFonts w:ascii="Times New Roman" w:hAnsi="Times New Roman" w:cs="Times New Roman"/>
        </w:rPr>
        <w:t xml:space="preserve"> Heavy metal contamination is an increasing threat to plant communities worldwide, yet most studies examine antioxidant stress responses in single target species. Here we report the effects of lead and cadmium contamination on the antioxidant system of ten plant species representing key elements of local vegetation in the South Caucasus (Georgia, the Caucasus), using sites with contrasting contamination levels near Tbilisi and the Bolnisi copper mining area respectively. Eleven antioxidant compounds and three associated enzyme activities were measured in fresh leaves, and data were </w:t>
      </w:r>
      <w:proofErr w:type="spellStart"/>
      <w:r>
        <w:rPr>
          <w:rFonts w:ascii="Times New Roman" w:hAnsi="Times New Roman" w:cs="Times New Roman"/>
        </w:rPr>
        <w:t>standardised</w:t>
      </w:r>
      <w:proofErr w:type="spellEnd"/>
      <w:r>
        <w:rPr>
          <w:rFonts w:ascii="Times New Roman" w:hAnsi="Times New Roman" w:cs="Times New Roman"/>
        </w:rPr>
        <w:t xml:space="preserve"> using the log response ratio (</w:t>
      </w:r>
      <w:proofErr w:type="spellStart"/>
      <w:r>
        <w:rPr>
          <w:rFonts w:ascii="Times New Roman" w:hAnsi="Times New Roman" w:cs="Times New Roman"/>
        </w:rPr>
        <w:t>lnRR</w:t>
      </w:r>
      <w:proofErr w:type="spellEnd"/>
      <w:r>
        <w:rPr>
          <w:rFonts w:ascii="Times New Roman" w:hAnsi="Times New Roman" w:cs="Times New Roman"/>
        </w:rPr>
        <w:t xml:space="preserve">) to allow comparisons across species. Correlation of </w:t>
      </w:r>
      <w:proofErr w:type="spellStart"/>
      <w:r>
        <w:rPr>
          <w:rFonts w:ascii="Times New Roman" w:hAnsi="Times New Roman" w:cs="Times New Roman"/>
        </w:rPr>
        <w:t>lnRR</w:t>
      </w:r>
      <w:proofErr w:type="spellEnd"/>
      <w:r>
        <w:rPr>
          <w:rFonts w:ascii="Times New Roman" w:hAnsi="Times New Roman" w:cs="Times New Roman"/>
        </w:rPr>
        <w:t xml:space="preserve"> values between leaf heavy metal content and antioxidant variables was used to distinguish stress-specific (cross-species) from species-specific (idiosyncratic) responses. Under lead stress, 8 of 15 antioxidant variables showed cross-species correlations: most were negative, consistent with suppression under severe contamination, while ascorbic acid and nitrate reductase activity were positively correlated, suggesting active upregulation. Under cadmium stress, 4 of 13 variables correlated across species; phenolics and nitrate reductase activity were negatively correlated, while proline — a known </w:t>
      </w:r>
      <w:proofErr w:type="spellStart"/>
      <w:r>
        <w:rPr>
          <w:rFonts w:ascii="Times New Roman" w:hAnsi="Times New Roman" w:cs="Times New Roman"/>
        </w:rPr>
        <w:t>osmoprotectant</w:t>
      </w:r>
      <w:proofErr w:type="spellEnd"/>
      <w:r>
        <w:rPr>
          <w:rFonts w:ascii="Times New Roman" w:hAnsi="Times New Roman" w:cs="Times New Roman"/>
        </w:rPr>
        <w:t xml:space="preserve"> — showed a consistent positive response. The remaining variables responded idiosyncratically under both metals, reflecting substantial inter-species variation. Malva was the most sensitive species to lead and Rumex to cadmium, while Xanthium showed the least differential cadmium uptake between contamination levels. These findings highlight the coexistence of conserved and species-specific antioxidant strategies in plant communities exposed to heavy metals, and point to ascorbic acid, proline, and nitrate reductase activity as promising candidates for community-level biomonitoring.</w:t>
      </w:r>
    </w:p>
    <w:p w:rsidR="00E25BB3" w:rsidRDefault="00E25BB3" w:rsidP="0001613B">
      <w:pPr>
        <w:spacing w:line="360" w:lineRule="auto"/>
        <w:jc w:val="both"/>
        <w:rPr>
          <w:rFonts w:ascii="Times New Roman" w:hAnsi="Times New Roman" w:cs="Times New Roman"/>
        </w:rPr>
      </w:pPr>
    </w:p>
    <w:p w:rsidR="00E25BB3" w:rsidRDefault="00E25BB3" w:rsidP="0001613B">
      <w:pPr>
        <w:spacing w:line="360" w:lineRule="auto"/>
        <w:jc w:val="both"/>
        <w:rPr>
          <w:rFonts w:ascii="Times New Roman" w:hAnsi="Times New Roman" w:cs="Times New Roman"/>
        </w:rPr>
      </w:pPr>
      <w:r w:rsidRPr="00CD0C1C">
        <w:rPr>
          <w:rFonts w:ascii="Times New Roman" w:hAnsi="Times New Roman" w:cs="Times New Roman"/>
          <w:b/>
          <w:i/>
          <w:iCs/>
        </w:rPr>
        <w:t>Keywords</w:t>
      </w:r>
      <w:r>
        <w:rPr>
          <w:rFonts w:ascii="Times New Roman" w:hAnsi="Times New Roman" w:cs="Times New Roman"/>
        </w:rPr>
        <w:t>: heavy metal stress; plant antioxidant system; log response ratio; lead and cadmium toxicity; South Caucasus vegetation; biomonitoring</w:t>
      </w:r>
    </w:p>
    <w:p w:rsidR="00E25BB3" w:rsidRPr="00E25BB3" w:rsidRDefault="00E25BB3" w:rsidP="0001613B">
      <w:pPr>
        <w:spacing w:line="360" w:lineRule="auto"/>
        <w:jc w:val="both"/>
        <w:rPr>
          <w:rFonts w:ascii="Times New Roman" w:hAnsi="Times New Roman" w:cs="Times New Roman"/>
          <w:b/>
          <w:bCs/>
        </w:rPr>
      </w:pPr>
      <w:r>
        <w:rPr>
          <w:rFonts w:ascii="Times New Roman" w:hAnsi="Times New Roman" w:cs="Times New Roman"/>
          <w:b/>
          <w:bCs/>
        </w:rPr>
        <w:t>Introduction</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 xml:space="preserve">Plant survival, growth, and reproduction depend on their endurability to stresses of various types (Shanker et al., 2022; Du et al., 2024). The main physiological mechanism against environmental stress in plants is the antioxidant system, which includes low-molecular-weight organic compounds and enzymes of varied chemical nature: pigments, amino acids, vitamins, proteins, soluble carbohydrates, catalase, peroxidase, and others (Laxa et al., 2019; Iqbal et al., 2020). Industrial contamination is one type of stress that increasingly impacts living beings, and the pollution of </w:t>
      </w:r>
      <w:r>
        <w:rPr>
          <w:rFonts w:ascii="Times New Roman" w:hAnsi="Times New Roman" w:cs="Times New Roman"/>
        </w:rPr>
        <w:lastRenderedPageBreak/>
        <w:t>ecosystems with heavy metals is particularly alarming (Morais et al., 2012). Research has shown that over the past few decades, the content of heavy metals in the environment, be it air, soil, or water, has been continuously increasing and is related to both industry and road transport, as well as the use of large amounts of fertilizers, pesticides, and herbicides (</w:t>
      </w:r>
      <w:proofErr w:type="spellStart"/>
      <w:r>
        <w:rPr>
          <w:rFonts w:ascii="Times New Roman" w:hAnsi="Times New Roman" w:cs="Times New Roman"/>
        </w:rPr>
        <w:t>Tchounwou</w:t>
      </w:r>
      <w:proofErr w:type="spellEnd"/>
      <w:r>
        <w:rPr>
          <w:rFonts w:ascii="Times New Roman" w:hAnsi="Times New Roman" w:cs="Times New Roman"/>
        </w:rPr>
        <w:t xml:space="preserve"> et al., 2012; Kumar et al. 2023). Plants, the producers of primary biomass in ecosystems, are the first to receive the impacts from heavy metal contamination. When plants detect heavy metal ions in their tissues, they activate their antioxidant system – a usual response of plants to many stress types (</w:t>
      </w:r>
      <w:r w:rsidR="00352E1B">
        <w:rPr>
          <w:rFonts w:ascii="Times New Roman" w:hAnsi="Times New Roman" w:cs="Times New Roman"/>
        </w:rPr>
        <w:t>Mansoor et al., 2023;</w:t>
      </w:r>
      <w:r w:rsidR="00352E1B" w:rsidRPr="00352E1B">
        <w:rPr>
          <w:rFonts w:ascii="Times New Roman" w:hAnsi="Times New Roman" w:cs="Times New Roman"/>
        </w:rPr>
        <w:t xml:space="preserve"> </w:t>
      </w:r>
      <w:r w:rsidR="00352E1B">
        <w:rPr>
          <w:rFonts w:ascii="Times New Roman" w:hAnsi="Times New Roman" w:cs="Times New Roman"/>
        </w:rPr>
        <w:t>Mourato et al., 2012</w:t>
      </w:r>
      <w:r>
        <w:rPr>
          <w:rFonts w:ascii="Times New Roman" w:hAnsi="Times New Roman" w:cs="Times New Roman"/>
        </w:rPr>
        <w:t xml:space="preserve">). </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 xml:space="preserve">The role of antioxidant system in the protection of plants from heavy metal contamination is primarily studied on individual target species in specific habitats (Chen et al., 2025; Sharma et al., 2021). There are relatively few studies that deal with the comparative analysis of the antioxidant system of species growing under variable levels of pollution (Cakaj et al., 2023; </w:t>
      </w:r>
      <w:proofErr w:type="spellStart"/>
      <w:r>
        <w:rPr>
          <w:rFonts w:ascii="Times New Roman" w:hAnsi="Times New Roman" w:cs="Times New Roman"/>
        </w:rPr>
        <w:t>Nadgórska-Socha</w:t>
      </w:r>
      <w:proofErr w:type="spellEnd"/>
      <w:r>
        <w:rPr>
          <w:rFonts w:ascii="Times New Roman" w:hAnsi="Times New Roman" w:cs="Times New Roman"/>
        </w:rPr>
        <w:t xml:space="preserve"> et al., 2013). Even rarer or non-existent are works that study the impacts of heavy metal contamination on plant communities or at least on a group of key species of natural communities (</w:t>
      </w:r>
      <w:proofErr w:type="spellStart"/>
      <w:r>
        <w:rPr>
          <w:rFonts w:ascii="Times New Roman" w:hAnsi="Times New Roman" w:cs="Times New Roman"/>
        </w:rPr>
        <w:t>Badridze</w:t>
      </w:r>
      <w:proofErr w:type="spellEnd"/>
      <w:r>
        <w:rPr>
          <w:rFonts w:ascii="Times New Roman" w:hAnsi="Times New Roman" w:cs="Times New Roman"/>
        </w:rPr>
        <w:t xml:space="preserve"> et al. 2025). This gap must be due to certain challenges, both conceptual and logistic, hindering ecophysiological studies at plant community scale. </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Conceptually, the question of how pollutants affect a group of plant species is complex since it includes many variables. The pollutants are various</w:t>
      </w:r>
      <w:r>
        <w:rPr>
          <w:rFonts w:ascii="Times New Roman" w:hAnsi="Times New Roman" w:cs="Times New Roman"/>
          <w:color w:val="FF0000"/>
        </w:rPr>
        <w:t>;</w:t>
      </w:r>
      <w:r>
        <w:t xml:space="preserve"> </w:t>
      </w:r>
      <w:r>
        <w:rPr>
          <w:rFonts w:ascii="Times New Roman" w:hAnsi="Times New Roman" w:cs="Times New Roman"/>
        </w:rPr>
        <w:t>lead, mercury, cadmium, and arsenic are among the most significant heavy metal pollutants due to their toxicity, persistence, and bioaccumulation in the environment (Himani et al, 2025), while the same plant species can respond to different pollutants differently. Logistically, the challenges include the necessity to test a diverse group of species and under different contamination levels, limiting the number of taxa that can be studied under consistent stress regimes. Also, such studies require metabolite-level laboratory analyses for each plant species, resulting in a prohibitive number of assays when many taxa are involved (</w:t>
      </w:r>
      <w:proofErr w:type="spellStart"/>
      <w:r>
        <w:rPr>
          <w:rFonts w:ascii="Times New Roman" w:hAnsi="Times New Roman" w:cs="Times New Roman"/>
        </w:rPr>
        <w:t>Petrén</w:t>
      </w:r>
      <w:proofErr w:type="spellEnd"/>
      <w:r>
        <w:rPr>
          <w:rFonts w:ascii="Times New Roman" w:hAnsi="Times New Roman" w:cs="Times New Roman"/>
        </w:rPr>
        <w:t xml:space="preserve"> et al., 2024). </w:t>
      </w:r>
    </w:p>
    <w:p w:rsidR="004A0DC2" w:rsidRDefault="004A0DC2" w:rsidP="0001613B">
      <w:pPr>
        <w:spacing w:line="360" w:lineRule="auto"/>
        <w:jc w:val="both"/>
        <w:rPr>
          <w:rFonts w:ascii="Times New Roman" w:hAnsi="Times New Roman" w:cs="Times New Roman"/>
        </w:rPr>
      </w:pPr>
      <w:r>
        <w:rPr>
          <w:rFonts w:ascii="Times New Roman" w:hAnsi="Times New Roman" w:cs="Times New Roman"/>
        </w:rPr>
        <w:t>On the other hand, it is reasonable to think that the antioxidant responses to heavy metal impacts do not vary at random and thus can be studied with appropriate experimental designs, even if the above challenges pose severe restrictions to such designs. The antioxidant system itself consists of many elements, and there is evidence that the responses to some stress types can be similar in many</w:t>
      </w:r>
      <w:r w:rsidR="00C76514">
        <w:rPr>
          <w:rFonts w:ascii="Times New Roman" w:hAnsi="Times New Roman" w:cs="Times New Roman"/>
        </w:rPr>
        <w:t xml:space="preserve"> species (</w:t>
      </w:r>
      <w:proofErr w:type="spellStart"/>
      <w:r w:rsidR="00C76514">
        <w:rPr>
          <w:rFonts w:ascii="Times New Roman" w:hAnsi="Times New Roman" w:cs="Times New Roman"/>
        </w:rPr>
        <w:t>Badridze</w:t>
      </w:r>
      <w:proofErr w:type="spellEnd"/>
      <w:r w:rsidR="00C76514">
        <w:rPr>
          <w:rFonts w:ascii="Times New Roman" w:hAnsi="Times New Roman" w:cs="Times New Roman"/>
        </w:rPr>
        <w:t xml:space="preserve"> et al., 2025</w:t>
      </w:r>
      <w:r>
        <w:rPr>
          <w:rFonts w:ascii="Times New Roman" w:hAnsi="Times New Roman" w:cs="Times New Roman"/>
        </w:rPr>
        <w:t>). At the same time, other responses can be species-specific and might seem idiosyncratic. Finally, some species can cope with pollution by avoiding the uptake of the contaminant, in difference with other species that readily absorb heavy metal ions from the soil.</w:t>
      </w:r>
    </w:p>
    <w:p w:rsidR="004A0DC2" w:rsidRDefault="004A0DC2" w:rsidP="0001613B">
      <w:pPr>
        <w:spacing w:line="360" w:lineRule="auto"/>
        <w:jc w:val="both"/>
        <w:rPr>
          <w:rFonts w:ascii="Times New Roman" w:hAnsi="Times New Roman" w:cs="Times New Roman"/>
          <w:lang w:val="en-GB"/>
        </w:rPr>
      </w:pPr>
      <w:r>
        <w:rPr>
          <w:rFonts w:ascii="Times New Roman" w:hAnsi="Times New Roman" w:cs="Times New Roman"/>
        </w:rPr>
        <w:t xml:space="preserve">The aim of our work was to study the responses of plant antioxidant system to the impacts of specific heavy metals and, to some extent, describe the variability in these responses. Due to the challenges and difficulties outlined above, we limited the number of target plant species to several key representatives of local vegetation, and examined the impacts of two metals – lead and cadmium – at </w:t>
      </w:r>
      <w:r>
        <w:rPr>
          <w:rFonts w:ascii="Times New Roman" w:hAnsi="Times New Roman" w:cs="Times New Roman"/>
        </w:rPr>
        <w:lastRenderedPageBreak/>
        <w:t xml:space="preserve">two, moderate and heavy levels of contamination. To achieve our goal, we first measured the levels of lead and cadmium with various probability to be contaminated. We also determined lead and cadmium content in target plant leaves. Subsequently we determined the key </w:t>
      </w:r>
      <w:r>
        <w:rPr>
          <w:rFonts w:ascii="Times New Roman" w:hAnsi="Times New Roman" w:cs="Times New Roman"/>
          <w:lang w:val="en-GB"/>
        </w:rPr>
        <w:t xml:space="preserve">antioxidant compounds and associated enzyme activities also in plant leaves. Since we were dealing with many variables </w:t>
      </w:r>
      <w:r>
        <w:rPr>
          <w:rFonts w:ascii="Times New Roman" w:hAnsi="Times New Roman" w:cs="Times New Roman"/>
        </w:rPr>
        <w:t>–</w:t>
      </w:r>
      <w:r>
        <w:rPr>
          <w:rFonts w:ascii="Times New Roman" w:hAnsi="Times New Roman" w:cs="Times New Roman"/>
          <w:lang w:val="en-GB"/>
        </w:rPr>
        <w:t xml:space="preserve"> species, antioxidants and associated enzyme activities, heavy metals in soil and plant leaves – standardization of the data was particularly important. We used the logarithm of the ratio (</w:t>
      </w:r>
      <w:proofErr w:type="spellStart"/>
      <w:r w:rsidR="009355EE">
        <w:rPr>
          <w:rFonts w:ascii="Sylfaen" w:hAnsi="Sylfaen" w:cs="Times New Roman"/>
          <w:lang w:val="en-GB"/>
        </w:rPr>
        <w:t>ln</w:t>
      </w:r>
      <w:r>
        <w:rPr>
          <w:rFonts w:ascii="Times New Roman" w:hAnsi="Times New Roman" w:cs="Times New Roman"/>
          <w:lang w:val="en-GB"/>
        </w:rPr>
        <w:t>RR</w:t>
      </w:r>
      <w:proofErr w:type="spellEnd"/>
      <w:r>
        <w:rPr>
          <w:rFonts w:ascii="Times New Roman" w:hAnsi="Times New Roman" w:cs="Times New Roman"/>
          <w:lang w:val="en-GB"/>
        </w:rPr>
        <w:t xml:space="preserve">) for standardization, which allowed us to </w:t>
      </w:r>
      <w:proofErr w:type="spellStart"/>
      <w:r>
        <w:rPr>
          <w:rFonts w:ascii="Times New Roman" w:hAnsi="Times New Roman" w:cs="Times New Roman"/>
          <w:lang w:val="en-GB"/>
        </w:rPr>
        <w:t>to</w:t>
      </w:r>
      <w:proofErr w:type="spellEnd"/>
      <w:r>
        <w:rPr>
          <w:rFonts w:ascii="Times New Roman" w:hAnsi="Times New Roman" w:cs="Times New Roman"/>
          <w:lang w:val="en-GB"/>
        </w:rPr>
        <w:t xml:space="preserve"> test our hypothesis by comparing different levels of heavy metal in the leaves and measure the impact of increasing this level on each element of the antioxidant system. The hypothesis was that the response of a given element of the antioxidant system in a leaf is stress-specific to an increase of a given heavy metal content. In other words, species identity does not matter and the response is essentially the same across species since the differences between species are negligibly small. Then we should expect a correlation between the content of a heavy metal in a leaf and an antioxidant response across species. An alternative hypothesis is that antioxidant responses are species-specific, which is why the correlation is broken. The non-linearity of antioxidant responses could also be a cause for the insignificant correlation. At this stage of the study, we were unable to distinguish between these two causes, so we describe this pattern of non-significant correlation as 'idiosyncratic'. The results obtained show both correlations and idiosyncratic patterns.</w:t>
      </w:r>
    </w:p>
    <w:p w:rsidR="00D669EB" w:rsidRDefault="00D669EB" w:rsidP="0001613B">
      <w:pPr>
        <w:spacing w:line="360" w:lineRule="auto"/>
        <w:jc w:val="both"/>
        <w:rPr>
          <w:rFonts w:ascii="Times New Roman" w:hAnsi="Times New Roman" w:cs="Times New Roman"/>
          <w:lang w:val="en-GB"/>
        </w:rPr>
      </w:pPr>
    </w:p>
    <w:p w:rsidR="000C7BCB" w:rsidRPr="007072D9" w:rsidRDefault="000C7BCB" w:rsidP="0001613B">
      <w:pPr>
        <w:spacing w:line="360" w:lineRule="auto"/>
        <w:jc w:val="both"/>
        <w:rPr>
          <w:rFonts w:ascii="Times New Roman" w:hAnsi="Times New Roman" w:cs="Times New Roman"/>
          <w:b/>
          <w:bCs/>
        </w:rPr>
      </w:pPr>
      <w:r>
        <w:rPr>
          <w:rFonts w:ascii="Times New Roman" w:hAnsi="Times New Roman" w:cs="Times New Roman"/>
          <w:b/>
          <w:bCs/>
        </w:rPr>
        <w:t>Materials and Methods</w:t>
      </w: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Study sites</w:t>
      </w:r>
    </w:p>
    <w:p w:rsidR="00D17511" w:rsidRPr="007072D9" w:rsidRDefault="000C7BCB" w:rsidP="0001613B">
      <w:pPr>
        <w:spacing w:line="360" w:lineRule="auto"/>
        <w:jc w:val="both"/>
        <w:rPr>
          <w:rFonts w:ascii="Times New Roman" w:hAnsi="Times New Roman" w:cs="Times New Roman"/>
        </w:rPr>
      </w:pPr>
      <w:r>
        <w:rPr>
          <w:rFonts w:ascii="Times New Roman" w:hAnsi="Times New Roman" w:cs="Times New Roman"/>
        </w:rPr>
        <w:t>The locations of our study sites were chosen by considering the recognized sources of pollution by lead and cadmium, currently the most prevalent pollutants in Georgia and wider in the region of the South Caucasus (see Table 1 for the sampling site locations and their heavy metal contamination levels). At the same time, there could be natural sources contributing to heavy metal levels in soils since sampling sites are located mostly along the volcanic zone of Trialeti (the Lesser Caucasus) where the rocks can naturally contain heavy metal ions such as copper, lead and zinc (Gabriadze 2022; Alloway 2013; You</w:t>
      </w:r>
      <w:r w:rsidR="00D17511">
        <w:rPr>
          <w:rFonts w:ascii="Times New Roman" w:hAnsi="Times New Roman" w:cs="Times New Roman"/>
        </w:rPr>
        <w:t>ng 2012; Violante et al. 2010).</w:t>
      </w:r>
    </w:p>
    <w:p w:rsidR="000C7BCB" w:rsidRPr="007072D9" w:rsidRDefault="00BC6039" w:rsidP="0001613B">
      <w:pPr>
        <w:spacing w:line="360" w:lineRule="auto"/>
        <w:jc w:val="both"/>
        <w:rPr>
          <w:rFonts w:ascii="Times New Roman" w:hAnsi="Times New Roman" w:cs="Times New Roman"/>
        </w:rPr>
      </w:pPr>
      <w:r>
        <w:rPr>
          <w:rFonts w:ascii="Times New Roman" w:hAnsi="Times New Roman" w:cs="Times New Roman"/>
        </w:rPr>
        <w:t>For lead soils were sampled at several sites located in the capital city of Tbilisi recognized as one of the most polluted urban areas (</w:t>
      </w:r>
      <w:proofErr w:type="spellStart"/>
      <w:r>
        <w:rPr>
          <w:rFonts w:ascii="Times New Roman" w:hAnsi="Times New Roman" w:cs="Times New Roman"/>
        </w:rPr>
        <w:t>Kupatadze</w:t>
      </w:r>
      <w:proofErr w:type="spellEnd"/>
      <w:r>
        <w:rPr>
          <w:rFonts w:ascii="Times New Roman" w:hAnsi="Times New Roman" w:cs="Times New Roman"/>
        </w:rPr>
        <w:t xml:space="preserve"> 2023; </w:t>
      </w:r>
      <w:proofErr w:type="spellStart"/>
      <w:r>
        <w:rPr>
          <w:rFonts w:ascii="Times New Roman" w:hAnsi="Times New Roman" w:cs="Times New Roman"/>
        </w:rPr>
        <w:t>Kekelidze</w:t>
      </w:r>
      <w:proofErr w:type="spellEnd"/>
      <w:r>
        <w:rPr>
          <w:rFonts w:ascii="Times New Roman" w:hAnsi="Times New Roman" w:cs="Times New Roman"/>
        </w:rPr>
        <w:t xml:space="preserve"> et al. 2022); in particular - from lawns along the main roads, </w:t>
      </w:r>
      <w:r w:rsidR="009355EE">
        <w:rPr>
          <w:rFonts w:ascii="Times New Roman" w:hAnsi="Times New Roman" w:cs="Times New Roman"/>
        </w:rPr>
        <w:t xml:space="preserve">namely, of </w:t>
      </w:r>
      <w:r>
        <w:rPr>
          <w:rFonts w:ascii="Times New Roman" w:hAnsi="Times New Roman" w:cs="Times New Roman"/>
        </w:rPr>
        <w:t xml:space="preserve">Nutsubidze street. For the rural areas we sampled soils near the township of Manglisi (Table 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For cadmium contamination we sampled soils and river water at various distance from the copper mines and enrichment factory, which are recognized sources of cadmium contamination </w:t>
      </w:r>
      <w:r>
        <w:rPr>
          <w:rFonts w:ascii="Times New Roman" w:hAnsi="Times New Roman" w:cs="Times New Roman"/>
        </w:rPr>
        <w:lastRenderedPageBreak/>
        <w:t xml:space="preserve">(Nikolaishvili et al. 2022; 2023; </w:t>
      </w:r>
      <w:proofErr w:type="spellStart"/>
      <w:r>
        <w:rPr>
          <w:rFonts w:ascii="Times New Roman" w:hAnsi="Times New Roman" w:cs="Times New Roman"/>
        </w:rPr>
        <w:t>Withanachchi</w:t>
      </w:r>
      <w:proofErr w:type="spellEnd"/>
      <w:r>
        <w:rPr>
          <w:rFonts w:ascii="Times New Roman" w:hAnsi="Times New Roman" w:cs="Times New Roman"/>
        </w:rPr>
        <w:t xml:space="preserve"> et al. 2018). These sites are located near </w:t>
      </w:r>
      <w:r w:rsidRPr="009355EE">
        <w:rPr>
          <w:rFonts w:ascii="Times New Roman" w:hAnsi="Times New Roman" w:cs="Times New Roman"/>
        </w:rPr>
        <w:t>the city</w:t>
      </w:r>
      <w:r>
        <w:rPr>
          <w:rFonts w:ascii="Times New Roman" w:hAnsi="Times New Roman" w:cs="Times New Roman"/>
        </w:rPr>
        <w:t xml:space="preserve"> Bolnisi, in the Mashavera river valley (Table 1).</w:t>
      </w:r>
    </w:p>
    <w:p w:rsidR="00D17511" w:rsidRPr="00BD5BCF" w:rsidRDefault="00D17511" w:rsidP="00D17511">
      <w:pPr>
        <w:spacing w:line="360" w:lineRule="auto"/>
        <w:jc w:val="both"/>
        <w:rPr>
          <w:rFonts w:ascii="Times New Roman" w:hAnsi="Times New Roman" w:cs="Times New Roman"/>
        </w:rPr>
      </w:pPr>
      <w:r>
        <w:rPr>
          <w:rFonts w:ascii="Times New Roman" w:hAnsi="Times New Roman" w:cs="Times New Roman"/>
          <w:b/>
          <w:bCs/>
        </w:rPr>
        <w:t>Table 1</w:t>
      </w:r>
      <w:r>
        <w:rPr>
          <w:rFonts w:ascii="Times New Roman" w:hAnsi="Times New Roman" w:cs="Times New Roman"/>
        </w:rPr>
        <w:t>. Soil and water sampling sites and the detected levels of heavy metals</w:t>
      </w:r>
    </w:p>
    <w:tbl>
      <w:tblPr>
        <w:tblW w:w="0" w:type="auto"/>
        <w:tblLook w:val="04A0" w:firstRow="1" w:lastRow="0" w:firstColumn="1" w:lastColumn="0" w:noHBand="0" w:noVBand="1"/>
      </w:tblPr>
      <w:tblGrid>
        <w:gridCol w:w="2508"/>
        <w:gridCol w:w="1622"/>
        <w:gridCol w:w="2956"/>
      </w:tblGrid>
      <w:tr w:rsidR="00D17511" w:rsidRPr="00BD5BCF" w:rsidTr="00443A71">
        <w:trPr>
          <w:trHeight w:val="310"/>
        </w:trPr>
        <w:tc>
          <w:tcPr>
            <w:tcW w:w="0" w:type="auto"/>
            <w:tcBorders>
              <w:top w:val="single" w:sz="4" w:space="0" w:color="auto"/>
              <w:left w:val="nil"/>
              <w:bottom w:val="single" w:sz="4" w:space="0" w:color="auto"/>
              <w:right w:val="nil"/>
            </w:tcBorders>
            <w:noWrap/>
            <w:vAlign w:val="bottom"/>
            <w:hideMark/>
          </w:tcPr>
          <w:p w:rsidR="00D17511" w:rsidRPr="00254C81" w:rsidRDefault="00D17511" w:rsidP="00443A71">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Lead in soils</w:t>
            </w:r>
          </w:p>
        </w:tc>
        <w:tc>
          <w:tcPr>
            <w:tcW w:w="0" w:type="auto"/>
            <w:tcBorders>
              <w:top w:val="single" w:sz="4" w:space="0" w:color="auto"/>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Pb, mg/kg </w:t>
            </w:r>
            <w:r>
              <w:rPr>
                <w:rFonts w:ascii="Calibri" w:eastAsia="Times New Roman" w:hAnsi="Calibri" w:cs="Calibri"/>
                <w:color w:val="000000"/>
                <w:lang w:val="en-GB" w:eastAsia="en-GB"/>
              </w:rPr>
              <w:t>±</w:t>
            </w:r>
            <w:r>
              <w:rPr>
                <w:rFonts w:ascii="Times New Roman" w:eastAsia="Times New Roman" w:hAnsi="Times New Roman" w:cs="Times New Roman"/>
                <w:color w:val="000000"/>
                <w:lang w:val="en-GB" w:eastAsia="en-GB"/>
              </w:rPr>
              <w:t xml:space="preserve"> SD</w:t>
            </w:r>
          </w:p>
        </w:tc>
        <w:tc>
          <w:tcPr>
            <w:tcW w:w="0" w:type="auto"/>
            <w:tcBorders>
              <w:top w:val="single" w:sz="4" w:space="0" w:color="auto"/>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Coordinates</w:t>
            </w:r>
          </w:p>
        </w:tc>
      </w:tr>
      <w:tr w:rsidR="00D17511" w:rsidRPr="00BD5BCF" w:rsidTr="00443A71">
        <w:trPr>
          <w:trHeight w:val="310"/>
        </w:trPr>
        <w:tc>
          <w:tcPr>
            <w:tcW w:w="0" w:type="auto"/>
            <w:tcBorders>
              <w:top w:val="single" w:sz="4" w:space="0" w:color="auto"/>
              <w:left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1</w:t>
            </w:r>
          </w:p>
        </w:tc>
        <w:tc>
          <w:tcPr>
            <w:tcW w:w="0" w:type="auto"/>
            <w:tcBorders>
              <w:top w:val="single" w:sz="4" w:space="0" w:color="auto"/>
              <w:left w:val="nil"/>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56.4 ± 1,70</w:t>
            </w:r>
          </w:p>
        </w:tc>
        <w:tc>
          <w:tcPr>
            <w:tcW w:w="0" w:type="auto"/>
            <w:tcBorders>
              <w:top w:val="single" w:sz="4" w:space="0" w:color="auto"/>
              <w:left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48.88</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22</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24.51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nil"/>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2</w:t>
            </w:r>
          </w:p>
        </w:tc>
        <w:tc>
          <w:tcPr>
            <w:tcW w:w="0" w:type="auto"/>
            <w:tcBorders>
              <w:top w:val="nil"/>
              <w:left w:val="nil"/>
              <w:bottom w:val="single" w:sz="4" w:space="0" w:color="auto"/>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25.8 ± 1,90</w:t>
            </w:r>
          </w:p>
        </w:tc>
        <w:tc>
          <w:tcPr>
            <w:tcW w:w="0" w:type="auto"/>
            <w:tcBorders>
              <w:top w:val="nil"/>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43</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28.52</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43</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03.18</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single" w:sz="4" w:space="0" w:color="auto"/>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Cadmium in soils</w:t>
            </w:r>
          </w:p>
        </w:tc>
        <w:tc>
          <w:tcPr>
            <w:tcW w:w="0" w:type="auto"/>
            <w:tcBorders>
              <w:top w:val="single" w:sz="4" w:space="0" w:color="auto"/>
              <w:left w:val="nil"/>
              <w:bottom w:val="nil"/>
              <w:right w:val="nil"/>
            </w:tcBorders>
            <w:noWrap/>
            <w:vAlign w:val="bottom"/>
            <w:hideMark/>
          </w:tcPr>
          <w:p w:rsidR="00D17511" w:rsidRPr="001810EC" w:rsidRDefault="00D17511" w:rsidP="00443A71">
            <w:pPr>
              <w:spacing w:after="0" w:line="360" w:lineRule="auto"/>
              <w:jc w:val="both"/>
              <w:rPr>
                <w:rFonts w:ascii="Sylfaen" w:eastAsia="Times New Roman" w:hAnsi="Sylfaen" w:cs="Times New Roman"/>
                <w:lang w:eastAsia="en-GB"/>
              </w:rPr>
            </w:pPr>
            <w:r>
              <w:rPr>
                <w:rFonts w:ascii="Times New Roman" w:eastAsia="Times New Roman" w:hAnsi="Times New Roman" w:cs="Times New Roman"/>
                <w:lang w:val="en-GB" w:eastAsia="en-GB"/>
              </w:rPr>
              <w:t>Cd, mg/kg</w:t>
            </w:r>
          </w:p>
        </w:tc>
        <w:tc>
          <w:tcPr>
            <w:tcW w:w="0" w:type="auto"/>
            <w:tcBorders>
              <w:top w:val="single" w:sz="4" w:space="0" w:color="auto"/>
              <w:left w:val="nil"/>
              <w:bottom w:val="nil"/>
              <w:right w:val="nil"/>
            </w:tcBorders>
            <w:noWrap/>
            <w:vAlign w:val="bottom"/>
            <w:hideMark/>
          </w:tcPr>
          <w:p w:rsidR="00D17511" w:rsidRPr="00254C81" w:rsidRDefault="00D17511" w:rsidP="00443A71">
            <w:pPr>
              <w:spacing w:after="0" w:line="360" w:lineRule="auto"/>
              <w:jc w:val="both"/>
              <w:rPr>
                <w:rFonts w:ascii="Times New Roman" w:eastAsia="Times New Roman" w:hAnsi="Times New Roman" w:cs="Times New Roman"/>
                <w:lang w:val="en-GB" w:eastAsia="en-GB"/>
              </w:rPr>
            </w:pPr>
          </w:p>
        </w:tc>
      </w:tr>
      <w:tr w:rsidR="00D17511" w:rsidRPr="00BD5BCF" w:rsidTr="00443A71">
        <w:trPr>
          <w:trHeight w:val="310"/>
        </w:trPr>
        <w:tc>
          <w:tcPr>
            <w:tcW w:w="0" w:type="auto"/>
            <w:tcBorders>
              <w:top w:val="nil"/>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1</w:t>
            </w:r>
          </w:p>
        </w:tc>
        <w:tc>
          <w:tcPr>
            <w:tcW w:w="0" w:type="auto"/>
            <w:tcBorders>
              <w:top w:val="nil"/>
              <w:left w:val="nil"/>
              <w:bottom w:val="nil"/>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0.82 ± 0,20</w:t>
            </w:r>
          </w:p>
        </w:tc>
        <w:tc>
          <w:tcPr>
            <w:tcW w:w="0" w:type="auto"/>
            <w:tcBorders>
              <w:top w:val="nil"/>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44</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60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39</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50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nil"/>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2</w:t>
            </w:r>
          </w:p>
        </w:tc>
        <w:tc>
          <w:tcPr>
            <w:tcW w:w="0" w:type="auto"/>
            <w:tcBorders>
              <w:top w:val="nil"/>
              <w:left w:val="nil"/>
              <w:bottom w:val="nil"/>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0.80 ± 0,20</w:t>
            </w:r>
          </w:p>
        </w:tc>
        <w:tc>
          <w:tcPr>
            <w:tcW w:w="0" w:type="auto"/>
            <w:tcBorders>
              <w:top w:val="nil"/>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24</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5</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26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01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nil"/>
              <w:left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3</w:t>
            </w:r>
          </w:p>
        </w:tc>
        <w:tc>
          <w:tcPr>
            <w:tcW w:w="0" w:type="auto"/>
            <w:tcBorders>
              <w:top w:val="nil"/>
              <w:left w:val="nil"/>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0.37 ± 0,10</w:t>
            </w:r>
          </w:p>
        </w:tc>
        <w:tc>
          <w:tcPr>
            <w:tcW w:w="0" w:type="auto"/>
            <w:tcBorders>
              <w:top w:val="nil"/>
              <w:left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33</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3</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07</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97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nil"/>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4</w:t>
            </w:r>
          </w:p>
        </w:tc>
        <w:tc>
          <w:tcPr>
            <w:tcW w:w="0" w:type="auto"/>
            <w:tcBorders>
              <w:top w:val="nil"/>
              <w:left w:val="nil"/>
              <w:bottom w:val="single" w:sz="4" w:space="0" w:color="auto"/>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0.24 ± 0,07</w:t>
            </w:r>
          </w:p>
        </w:tc>
        <w:tc>
          <w:tcPr>
            <w:tcW w:w="0" w:type="auto"/>
            <w:tcBorders>
              <w:top w:val="nil"/>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44</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60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39</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50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single" w:sz="4" w:space="0" w:color="auto"/>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Cadmium in river water</w:t>
            </w:r>
          </w:p>
        </w:tc>
        <w:tc>
          <w:tcPr>
            <w:tcW w:w="0" w:type="auto"/>
            <w:tcBorders>
              <w:top w:val="single" w:sz="4" w:space="0" w:color="auto"/>
              <w:left w:val="nil"/>
              <w:bottom w:val="nil"/>
              <w:right w:val="nil"/>
            </w:tcBorders>
            <w:noWrap/>
            <w:vAlign w:val="bottom"/>
            <w:hideMark/>
          </w:tcPr>
          <w:p w:rsidR="00D17511" w:rsidRPr="001810EC"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Cd, mg/l</w:t>
            </w:r>
          </w:p>
        </w:tc>
        <w:tc>
          <w:tcPr>
            <w:tcW w:w="0" w:type="auto"/>
            <w:tcBorders>
              <w:top w:val="single" w:sz="4" w:space="0" w:color="auto"/>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b/>
                <w:bCs/>
                <w:color w:val="000000"/>
                <w:lang w:val="en-GB" w:eastAsia="en-GB"/>
              </w:rPr>
            </w:pPr>
          </w:p>
        </w:tc>
      </w:tr>
      <w:tr w:rsidR="00D17511" w:rsidRPr="00BD5BCF" w:rsidTr="00443A71">
        <w:trPr>
          <w:trHeight w:val="320"/>
        </w:trPr>
        <w:tc>
          <w:tcPr>
            <w:tcW w:w="0" w:type="auto"/>
            <w:tcBorders>
              <w:top w:val="nil"/>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Site 5 </w:t>
            </w:r>
          </w:p>
        </w:tc>
        <w:tc>
          <w:tcPr>
            <w:tcW w:w="0" w:type="auto"/>
            <w:tcBorders>
              <w:top w:val="nil"/>
              <w:left w:val="nil"/>
              <w:bottom w:val="nil"/>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0.07 ± 0,004</w:t>
            </w:r>
          </w:p>
        </w:tc>
        <w:tc>
          <w:tcPr>
            <w:tcW w:w="0" w:type="auto"/>
            <w:tcBorders>
              <w:top w:val="nil"/>
              <w:left w:val="nil"/>
              <w:bottom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33</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3</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07</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97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nil"/>
              <w:left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6</w:t>
            </w:r>
          </w:p>
        </w:tc>
        <w:tc>
          <w:tcPr>
            <w:tcW w:w="0" w:type="auto"/>
            <w:tcBorders>
              <w:top w:val="nil"/>
              <w:left w:val="nil"/>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c>
          <w:tcPr>
            <w:tcW w:w="0" w:type="auto"/>
            <w:tcBorders>
              <w:top w:val="nil"/>
              <w:left w:val="nil"/>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24</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36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5</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26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01</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r w:rsidR="00D17511" w:rsidRPr="00BD5BCF" w:rsidTr="00443A71">
        <w:trPr>
          <w:trHeight w:val="320"/>
        </w:trPr>
        <w:tc>
          <w:tcPr>
            <w:tcW w:w="0" w:type="auto"/>
            <w:tcBorders>
              <w:top w:val="nil"/>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Site 7</w:t>
            </w:r>
          </w:p>
        </w:tc>
        <w:tc>
          <w:tcPr>
            <w:tcW w:w="0" w:type="auto"/>
            <w:tcBorders>
              <w:top w:val="nil"/>
              <w:left w:val="nil"/>
              <w:bottom w:val="single" w:sz="4" w:space="0" w:color="auto"/>
              <w:right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Symbol" w:eastAsia="Times New Roman" w:hAnsi="Symbol" w:cs="Times New Roman"/>
                <w:lang w:val="en-GB" w:eastAsia="en-GB"/>
              </w:rPr>
              <w:t></w:t>
            </w:r>
            <w:r>
              <w:rPr>
                <w:rFonts w:ascii="Times New Roman" w:eastAsia="Times New Roman" w:hAnsi="Times New Roman" w:cs="Times New Roman"/>
                <w:lang w:val="en-GB" w:eastAsia="en-GB"/>
              </w:rPr>
              <w:t>0,001</w:t>
            </w:r>
          </w:p>
        </w:tc>
        <w:tc>
          <w:tcPr>
            <w:tcW w:w="0" w:type="auto"/>
            <w:tcBorders>
              <w:top w:val="nil"/>
              <w:left w:val="nil"/>
              <w:bottom w:val="single" w:sz="4" w:space="0" w:color="auto"/>
              <w:right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N41</w:t>
            </w:r>
            <w:r>
              <w:rPr>
                <w:rFonts w:ascii="Times New Roman" w:eastAsia="Times New Roman" w:hAnsi="Times New Roman" w:cs="Times New Roman"/>
                <w:color w:val="000000"/>
                <w:vertAlign w:val="superscript"/>
                <w:lang w:val="en-GB" w:eastAsia="en-GB"/>
              </w:rPr>
              <w:t>o</w:t>
            </w:r>
            <w:r>
              <w:rPr>
                <w:rFonts w:ascii="Sylfaen" w:eastAsia="Times New Roman" w:hAnsi="Sylfaen" w:cs="Times New Roman"/>
                <w:color w:val="000000"/>
                <w:lang w:val="ka-GE" w:eastAsia="en-GB"/>
              </w:rPr>
              <w:t>21</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46</w:t>
            </w:r>
            <w:r>
              <w:rPr>
                <w:rFonts w:ascii="Times New Roman" w:eastAsia="Times New Roman" w:hAnsi="Times New Roman" w:cs="Times New Roman"/>
                <w:color w:val="000000"/>
                <w:lang w:val="en-GB" w:eastAsia="en-GB"/>
              </w:rPr>
              <w:t>.</w:t>
            </w:r>
            <w:r>
              <w:rPr>
                <w:rFonts w:ascii="Sylfaen" w:eastAsia="Times New Roman" w:hAnsi="Sylfaen" w:cs="Times New Roman"/>
                <w:color w:val="000000"/>
                <w:lang w:val="ka-GE" w:eastAsia="en-GB"/>
              </w:rPr>
              <w:t>27</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t>, E44</w:t>
            </w:r>
            <w:r>
              <w:rPr>
                <w:rFonts w:ascii="Times New Roman" w:eastAsia="Times New Roman" w:hAnsi="Times New Roman" w:cs="Times New Roman"/>
                <w:color w:val="000000"/>
                <w:vertAlign w:val="superscript"/>
                <w:lang w:val="en-GB" w:eastAsia="en-GB"/>
              </w:rPr>
              <w:t>o</w:t>
            </w:r>
            <w:r>
              <w:rPr>
                <w:rFonts w:ascii="Times New Roman" w:eastAsia="Times New Roman" w:hAnsi="Times New Roman" w:cs="Times New Roman"/>
                <w:color w:val="000000"/>
                <w:lang w:val="en-GB" w:eastAsia="en-GB"/>
              </w:rPr>
              <w:t>2</w:t>
            </w:r>
            <w:r>
              <w:rPr>
                <w:rFonts w:ascii="Sylfaen" w:eastAsia="Times New Roman" w:hAnsi="Sylfaen" w:cs="Times New Roman"/>
                <w:color w:val="000000"/>
                <w:lang w:val="ka-GE" w:eastAsia="en-GB"/>
              </w:rPr>
              <w:t>2</w:t>
            </w:r>
            <w:r>
              <w:rPr>
                <w:rFonts w:ascii="Times New Roman" w:eastAsia="Times New Roman" w:hAnsi="Times New Roman" w:cs="Times New Roman"/>
                <w:color w:val="000000"/>
                <w:lang w:val="en-GB" w:eastAsia="en-GB"/>
              </w:rPr>
              <w:sym w:font="Symbol" w:char="F0A2"/>
            </w:r>
            <w:r>
              <w:rPr>
                <w:rFonts w:ascii="Sylfaen" w:eastAsia="Times New Roman" w:hAnsi="Sylfaen" w:cs="Times New Roman"/>
                <w:color w:val="000000"/>
                <w:lang w:val="ka-GE" w:eastAsia="en-GB"/>
              </w:rPr>
              <w:t>40.10</w:t>
            </w:r>
            <w:r>
              <w:rPr>
                <w:rFonts w:ascii="Times New Roman" w:eastAsia="Times New Roman" w:hAnsi="Times New Roman" w:cs="Times New Roman"/>
                <w:color w:val="000000"/>
                <w:lang w:val="en-GB" w:eastAsia="en-GB"/>
              </w:rPr>
              <w:sym w:font="Symbol" w:char="F0A2"/>
            </w:r>
            <w:r>
              <w:rPr>
                <w:rFonts w:ascii="Times New Roman" w:eastAsia="Times New Roman" w:hAnsi="Times New Roman" w:cs="Times New Roman"/>
                <w:color w:val="000000"/>
                <w:lang w:val="en-GB" w:eastAsia="en-GB"/>
              </w:rPr>
              <w:sym w:font="Symbol" w:char="F0A2"/>
            </w:r>
          </w:p>
        </w:tc>
      </w:tr>
    </w:tbl>
    <w:p w:rsidR="00D17511" w:rsidRDefault="00D17511" w:rsidP="0001613B">
      <w:pPr>
        <w:spacing w:line="360" w:lineRule="auto"/>
        <w:jc w:val="both"/>
        <w:rPr>
          <w:rFonts w:ascii="Times New Roman" w:hAnsi="Times New Roman" w:cs="Times New Roman"/>
        </w:rPr>
      </w:pPr>
    </w:p>
    <w:p w:rsidR="00862991" w:rsidRDefault="000C7BCB" w:rsidP="0001613B">
      <w:pPr>
        <w:spacing w:line="360" w:lineRule="auto"/>
        <w:jc w:val="both"/>
        <w:rPr>
          <w:rFonts w:ascii="Times New Roman" w:hAnsi="Times New Roman" w:cs="Times New Roman"/>
        </w:rPr>
      </w:pPr>
      <w:r>
        <w:rPr>
          <w:rFonts w:ascii="Times New Roman" w:hAnsi="Times New Roman" w:cs="Times New Roman"/>
        </w:rPr>
        <w:t>These sites are not far away from each other and belong to the same province of Lower Kartli that extends from Tbilisi to south-west. Despite this the climate is variable owing to the mountainous terrain. Tbilisi has a humid temperate climate with considerable continental and semi-arid influences. Temperature ranges from 20-32 °C in summer, 1-7 °C in winter.</w:t>
      </w:r>
    </w:p>
    <w:p w:rsidR="00862991" w:rsidRDefault="000C7BCB" w:rsidP="0001613B">
      <w:pPr>
        <w:spacing w:line="360" w:lineRule="auto"/>
        <w:jc w:val="both"/>
        <w:rPr>
          <w:rFonts w:ascii="Times New Roman" w:hAnsi="Times New Roman" w:cs="Times New Roman"/>
        </w:rPr>
      </w:pPr>
      <w:r>
        <w:rPr>
          <w:rFonts w:ascii="Times New Roman" w:hAnsi="Times New Roman" w:cs="Times New Roman"/>
        </w:rPr>
        <w:t xml:space="preserve">Manglisi is located on the southern slopes of the Trialeti Range, 56 km west of Tbilisi, in the </w:t>
      </w:r>
      <w:proofErr w:type="spellStart"/>
      <w:r>
        <w:rPr>
          <w:rFonts w:ascii="Times New Roman" w:hAnsi="Times New Roman" w:cs="Times New Roman"/>
        </w:rPr>
        <w:t>Algeti</w:t>
      </w:r>
      <w:proofErr w:type="spellEnd"/>
      <w:r>
        <w:rPr>
          <w:rFonts w:ascii="Times New Roman" w:hAnsi="Times New Roman" w:cs="Times New Roman"/>
        </w:rPr>
        <w:t xml:space="preserve"> river valley. It is located at about 1,200 m above sea level and enjoys a subtropical climate, with warm summers (average temperature in July, 19 °C) and mild winters (average temperature in January, −2 °C). Annual precipitation is 700 mm. Manglisi also functions as a mountain resort.</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climate in Bolnisi is also warm and temperate (average temperature in August and January are 22.4 °C and −1.8 °C, respectively), with annual precipitation of 699 mm.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Soils in Tbilisi mostly belong to cinnamomic (Cn) including cinnamomic-calcareous (Cn-Cr) and alluvial (Al) including alluvial-calcareous (Al-Cr) (</w:t>
      </w:r>
      <w:proofErr w:type="spellStart"/>
      <w:r>
        <w:rPr>
          <w:rFonts w:ascii="Times New Roman" w:hAnsi="Times New Roman" w:cs="Times New Roman"/>
        </w:rPr>
        <w:t>Tulashvili</w:t>
      </w:r>
      <w:proofErr w:type="spellEnd"/>
      <w:r>
        <w:rPr>
          <w:rFonts w:ascii="Times New Roman" w:hAnsi="Times New Roman" w:cs="Times New Roman"/>
        </w:rPr>
        <w:t xml:space="preserve"> et al. 2020). The soils in Manglisi, around Bolnisi and along the Mashavera river are mostly brown earth (</w:t>
      </w:r>
      <w:proofErr w:type="spellStart"/>
      <w:r>
        <w:rPr>
          <w:rFonts w:ascii="Times New Roman" w:hAnsi="Times New Roman" w:cs="Times New Roman"/>
        </w:rPr>
        <w:t>Matchavariani</w:t>
      </w:r>
      <w:proofErr w:type="spellEnd"/>
      <w:r>
        <w:rPr>
          <w:rFonts w:ascii="Times New Roman" w:hAnsi="Times New Roman" w:cs="Times New Roman"/>
        </w:rPr>
        <w:t xml:space="preserve"> 2019).</w:t>
      </w:r>
    </w:p>
    <w:p w:rsidR="000C7BCB" w:rsidRPr="007072D9" w:rsidRDefault="000C7BCB" w:rsidP="0001613B">
      <w:pPr>
        <w:spacing w:line="360" w:lineRule="auto"/>
        <w:jc w:val="both"/>
        <w:rPr>
          <w:rFonts w:ascii="Times New Roman" w:hAnsi="Times New Roman" w:cs="Times New Roman"/>
        </w:rPr>
      </w:pP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Target plant species and collection of plant material</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lastRenderedPageBreak/>
        <w:t>The target plants were typical representatives of local vegetation growing at sites with different levels of heavy metal contamination (above).</w:t>
      </w:r>
      <w:r>
        <w:rPr>
          <w:rFonts w:ascii="Times New Roman" w:eastAsia="Calibri" w:hAnsi="Times New Roman" w:cs="Times New Roman"/>
        </w:rPr>
        <w:t xml:space="preserve"> Soil lead contamination was tested on </w:t>
      </w:r>
      <w:r>
        <w:rPr>
          <w:rFonts w:ascii="Times New Roman" w:hAnsi="Times New Roman" w:cs="Times New Roman"/>
          <w:i/>
          <w:iCs/>
        </w:rPr>
        <w:t>Ballota nigra</w:t>
      </w:r>
      <w:r>
        <w:rPr>
          <w:rFonts w:ascii="Times New Roman" w:hAnsi="Times New Roman" w:cs="Times New Roman"/>
          <w:iCs/>
        </w:rPr>
        <w:t xml:space="preserve"> </w:t>
      </w:r>
      <w:r>
        <w:rPr>
          <w:rFonts w:ascii="Times New Roman" w:hAnsi="Times New Roman" w:cs="Times New Roman"/>
        </w:rPr>
        <w:t xml:space="preserve">L., </w:t>
      </w:r>
      <w:r>
        <w:rPr>
          <w:rFonts w:ascii="Times New Roman" w:hAnsi="Times New Roman" w:cs="Times New Roman"/>
          <w:i/>
        </w:rPr>
        <w:t>Malva silvestris</w:t>
      </w:r>
      <w:r>
        <w:rPr>
          <w:rFonts w:ascii="Times New Roman" w:hAnsi="Times New Roman" w:cs="Times New Roman"/>
        </w:rPr>
        <w:t xml:space="preserve"> L., </w:t>
      </w:r>
      <w:r>
        <w:rPr>
          <w:rFonts w:ascii="Times New Roman" w:hAnsi="Times New Roman" w:cs="Times New Roman"/>
          <w:i/>
        </w:rPr>
        <w:t>Plantago lanceolata</w:t>
      </w:r>
      <w:r>
        <w:rPr>
          <w:rFonts w:ascii="Times New Roman" w:hAnsi="Times New Roman" w:cs="Times New Roman"/>
        </w:rPr>
        <w:t xml:space="preserve"> L. and </w:t>
      </w:r>
      <w:proofErr w:type="spellStart"/>
      <w:r>
        <w:rPr>
          <w:rFonts w:ascii="Times New Roman" w:hAnsi="Times New Roman" w:cs="Times New Roman"/>
          <w:i/>
        </w:rPr>
        <w:t>Sisymbrium</w:t>
      </w:r>
      <w:proofErr w:type="spellEnd"/>
      <w:r>
        <w:rPr>
          <w:rFonts w:ascii="Times New Roman" w:hAnsi="Times New Roman" w:cs="Times New Roman"/>
          <w:i/>
        </w:rPr>
        <w:t xml:space="preserve"> </w:t>
      </w:r>
      <w:proofErr w:type="spellStart"/>
      <w:r>
        <w:rPr>
          <w:rFonts w:ascii="Times New Roman" w:hAnsi="Times New Roman" w:cs="Times New Roman"/>
          <w:i/>
        </w:rPr>
        <w:t>irio</w:t>
      </w:r>
      <w:proofErr w:type="spellEnd"/>
      <w:r>
        <w:rPr>
          <w:rFonts w:ascii="Times New Roman" w:hAnsi="Times New Roman" w:cs="Times New Roman"/>
        </w:rPr>
        <w:t xml:space="preserve"> L. Soil cadmium contamination was examined on </w:t>
      </w:r>
      <w:r>
        <w:rPr>
          <w:rFonts w:ascii="Times New Roman" w:hAnsi="Times New Roman" w:cs="Times New Roman"/>
          <w:i/>
        </w:rPr>
        <w:t>Mentha longifolia</w:t>
      </w:r>
      <w:r>
        <w:rPr>
          <w:rFonts w:ascii="Times New Roman" w:hAnsi="Times New Roman" w:cs="Times New Roman"/>
        </w:rPr>
        <w:t xml:space="preserve"> (L.) </w:t>
      </w:r>
      <w:proofErr w:type="spellStart"/>
      <w:r>
        <w:rPr>
          <w:rFonts w:ascii="Times New Roman" w:hAnsi="Times New Roman" w:cs="Times New Roman"/>
        </w:rPr>
        <w:t>Huds</w:t>
      </w:r>
      <w:proofErr w:type="spellEnd"/>
      <w:r>
        <w:rPr>
          <w:rFonts w:ascii="Times New Roman" w:hAnsi="Times New Roman" w:cs="Times New Roman"/>
        </w:rPr>
        <w:t xml:space="preserve">., </w:t>
      </w:r>
      <w:proofErr w:type="spellStart"/>
      <w:r>
        <w:rPr>
          <w:rFonts w:ascii="Times New Roman" w:hAnsi="Times New Roman" w:cs="Times New Roman"/>
          <w:i/>
        </w:rPr>
        <w:t>Paliurus</w:t>
      </w:r>
      <w:proofErr w:type="spellEnd"/>
      <w:r>
        <w:rPr>
          <w:rFonts w:ascii="Times New Roman" w:hAnsi="Times New Roman" w:cs="Times New Roman"/>
          <w:i/>
        </w:rPr>
        <w:t xml:space="preserve"> spina-Christi</w:t>
      </w:r>
      <w:r>
        <w:rPr>
          <w:rFonts w:ascii="Times New Roman" w:hAnsi="Times New Roman" w:cs="Times New Roman"/>
        </w:rPr>
        <w:t xml:space="preserve"> Mill., </w:t>
      </w:r>
      <w:r>
        <w:rPr>
          <w:rFonts w:ascii="Times New Roman" w:hAnsi="Times New Roman" w:cs="Times New Roman"/>
          <w:i/>
        </w:rPr>
        <w:t xml:space="preserve">Polygonum </w:t>
      </w:r>
      <w:proofErr w:type="spellStart"/>
      <w:r>
        <w:rPr>
          <w:rFonts w:ascii="Times New Roman" w:hAnsi="Times New Roman" w:cs="Times New Roman"/>
          <w:i/>
        </w:rPr>
        <w:t>aviculare</w:t>
      </w:r>
      <w:proofErr w:type="spellEnd"/>
      <w:r>
        <w:rPr>
          <w:rFonts w:ascii="Times New Roman" w:hAnsi="Times New Roman" w:cs="Times New Roman"/>
        </w:rPr>
        <w:t xml:space="preserve"> L., </w:t>
      </w:r>
      <w:r>
        <w:rPr>
          <w:rFonts w:ascii="Times New Roman" w:hAnsi="Times New Roman" w:cs="Times New Roman"/>
          <w:i/>
        </w:rPr>
        <w:t>Rumex obtusifolius</w:t>
      </w:r>
      <w:r>
        <w:rPr>
          <w:rFonts w:ascii="Times New Roman" w:hAnsi="Times New Roman" w:cs="Times New Roman"/>
        </w:rPr>
        <w:t xml:space="preserve"> L., </w:t>
      </w:r>
      <w:r>
        <w:rPr>
          <w:rFonts w:ascii="Times New Roman" w:hAnsi="Times New Roman" w:cs="Times New Roman"/>
          <w:i/>
        </w:rPr>
        <w:t xml:space="preserve">Salvia </w:t>
      </w:r>
      <w:proofErr w:type="spellStart"/>
      <w:r>
        <w:rPr>
          <w:rFonts w:ascii="Times New Roman" w:hAnsi="Times New Roman" w:cs="Times New Roman"/>
          <w:i/>
        </w:rPr>
        <w:t>nemurosa</w:t>
      </w:r>
      <w:proofErr w:type="spellEnd"/>
      <w:r>
        <w:rPr>
          <w:rFonts w:ascii="Times New Roman" w:hAnsi="Times New Roman" w:cs="Times New Roman"/>
          <w:i/>
        </w:rPr>
        <w:t xml:space="preserve"> </w:t>
      </w:r>
      <w:r>
        <w:rPr>
          <w:rFonts w:ascii="Times New Roman" w:hAnsi="Times New Roman" w:cs="Times New Roman"/>
        </w:rPr>
        <w:t xml:space="preserve">L. and </w:t>
      </w:r>
      <w:proofErr w:type="spellStart"/>
      <w:r>
        <w:rPr>
          <w:rFonts w:ascii="Times New Roman" w:hAnsi="Times New Roman" w:cs="Times New Roman"/>
          <w:i/>
        </w:rPr>
        <w:t>Xantium</w:t>
      </w:r>
      <w:proofErr w:type="spellEnd"/>
      <w:r>
        <w:rPr>
          <w:rFonts w:ascii="Times New Roman" w:hAnsi="Times New Roman" w:cs="Times New Roman"/>
          <w:i/>
        </w:rPr>
        <w:t xml:space="preserve"> </w:t>
      </w:r>
      <w:proofErr w:type="spellStart"/>
      <w:r>
        <w:rPr>
          <w:rFonts w:ascii="Times New Roman" w:hAnsi="Times New Roman" w:cs="Times New Roman"/>
          <w:i/>
        </w:rPr>
        <w:t>strumarium</w:t>
      </w:r>
      <w:proofErr w:type="spellEnd"/>
      <w:r>
        <w:rPr>
          <w:rFonts w:ascii="Times New Roman" w:hAnsi="Times New Roman" w:cs="Times New Roman"/>
        </w:rPr>
        <w:t xml:space="preserve"> L. These species are ubiquitous in our research areas. As each species represent a separate genus, hereafter we will use their generic names to refer these species. Importantly, all these species (except </w:t>
      </w:r>
      <w:r>
        <w:rPr>
          <w:rFonts w:ascii="Times New Roman" w:hAnsi="Times New Roman" w:cs="Times New Roman"/>
          <w:i/>
          <w:iCs/>
        </w:rPr>
        <w:t>Ballota</w:t>
      </w:r>
      <w:r>
        <w:rPr>
          <w:rFonts w:ascii="Times New Roman" w:hAnsi="Times New Roman" w:cs="Times New Roman"/>
        </w:rPr>
        <w:t xml:space="preserve">) are often used as herbal medicines (see </w:t>
      </w:r>
      <w:proofErr w:type="spellStart"/>
      <w:r>
        <w:rPr>
          <w:rFonts w:ascii="Times New Roman" w:hAnsi="Times New Roman" w:cs="Times New Roman"/>
        </w:rPr>
        <w:t>Batsatsashvili</w:t>
      </w:r>
      <w:proofErr w:type="spellEnd"/>
      <w:r>
        <w:rPr>
          <w:rFonts w:ascii="Times New Roman" w:hAnsi="Times New Roman" w:cs="Times New Roman"/>
        </w:rPr>
        <w:t xml:space="preserve"> et al. 2017 for </w:t>
      </w:r>
      <w:r>
        <w:rPr>
          <w:rFonts w:ascii="Times New Roman" w:hAnsi="Times New Roman" w:cs="Times New Roman"/>
          <w:i/>
          <w:iCs/>
        </w:rPr>
        <w:t>Malva</w:t>
      </w:r>
      <w:r>
        <w:rPr>
          <w:rFonts w:ascii="Times New Roman" w:hAnsi="Times New Roman" w:cs="Times New Roman"/>
        </w:rPr>
        <w:t xml:space="preserve">; Bussmann et al. 2020 for </w:t>
      </w:r>
      <w:r>
        <w:rPr>
          <w:rFonts w:ascii="Times New Roman" w:hAnsi="Times New Roman" w:cs="Times New Roman"/>
          <w:i/>
          <w:iCs/>
        </w:rPr>
        <w:t>Polygonum</w:t>
      </w:r>
      <w:r>
        <w:rPr>
          <w:rFonts w:ascii="Times New Roman" w:hAnsi="Times New Roman" w:cs="Times New Roman"/>
        </w:rPr>
        <w:t xml:space="preserve">; Bussmann et al. 2025a for </w:t>
      </w:r>
      <w:r>
        <w:rPr>
          <w:rFonts w:ascii="Times New Roman" w:hAnsi="Times New Roman" w:cs="Times New Roman"/>
          <w:i/>
          <w:iCs/>
        </w:rPr>
        <w:t>Xanthium</w:t>
      </w:r>
      <w:r>
        <w:rPr>
          <w:rFonts w:ascii="Times New Roman" w:hAnsi="Times New Roman" w:cs="Times New Roman"/>
        </w:rPr>
        <w:t xml:space="preserve">; Bussmann et al. 2025b for </w:t>
      </w:r>
      <w:r>
        <w:rPr>
          <w:rFonts w:ascii="Times New Roman" w:hAnsi="Times New Roman" w:cs="Times New Roman"/>
          <w:i/>
          <w:iCs/>
        </w:rPr>
        <w:t>Mentha</w:t>
      </w:r>
      <w:r>
        <w:rPr>
          <w:rFonts w:ascii="Times New Roman" w:hAnsi="Times New Roman" w:cs="Times New Roman"/>
        </w:rPr>
        <w:t xml:space="preserve">; Bussmann et al. 2025c for </w:t>
      </w:r>
      <w:proofErr w:type="spellStart"/>
      <w:r>
        <w:rPr>
          <w:rFonts w:ascii="Times New Roman" w:hAnsi="Times New Roman" w:cs="Times New Roman"/>
          <w:i/>
          <w:iCs/>
        </w:rPr>
        <w:t>Paliurus</w:t>
      </w:r>
      <w:proofErr w:type="spellEnd"/>
      <w:r>
        <w:rPr>
          <w:rFonts w:ascii="Times New Roman" w:hAnsi="Times New Roman" w:cs="Times New Roman"/>
        </w:rPr>
        <w:t xml:space="preserve">; Bussmann et al. 2025d for </w:t>
      </w:r>
      <w:r>
        <w:rPr>
          <w:rFonts w:ascii="Times New Roman" w:hAnsi="Times New Roman" w:cs="Times New Roman"/>
          <w:i/>
          <w:iCs/>
        </w:rPr>
        <w:t>Rumex</w:t>
      </w:r>
      <w:r>
        <w:rPr>
          <w:rFonts w:ascii="Times New Roman" w:hAnsi="Times New Roman" w:cs="Times New Roman"/>
        </w:rPr>
        <w:t xml:space="preserve">; Bussmann et al. 2025e for </w:t>
      </w:r>
      <w:r>
        <w:rPr>
          <w:rFonts w:ascii="Times New Roman" w:hAnsi="Times New Roman" w:cs="Times New Roman"/>
          <w:i/>
          <w:iCs/>
        </w:rPr>
        <w:t>Salvia</w:t>
      </w:r>
      <w:r>
        <w:rPr>
          <w:rFonts w:ascii="Times New Roman" w:hAnsi="Times New Roman" w:cs="Times New Roman"/>
        </w:rPr>
        <w:t xml:space="preserve">; Mehdiyeva et al. 2025 for </w:t>
      </w:r>
      <w:r>
        <w:rPr>
          <w:rFonts w:ascii="Times New Roman" w:hAnsi="Times New Roman" w:cs="Times New Roman"/>
          <w:i/>
          <w:iCs/>
        </w:rPr>
        <w:t>Sisymbrium</w:t>
      </w:r>
      <w:r>
        <w:rPr>
          <w:rFonts w:ascii="Times New Roman" w:hAnsi="Times New Roman" w:cs="Times New Roman"/>
        </w:rPr>
        <w:t xml:space="preserve">; Paniagua-Zambrana 2024 for </w:t>
      </w:r>
      <w:r>
        <w:rPr>
          <w:rFonts w:ascii="Times New Roman" w:hAnsi="Times New Roman" w:cs="Times New Roman"/>
          <w:i/>
          <w:iCs/>
        </w:rPr>
        <w:t>Plantago</w:t>
      </w:r>
      <w:r>
        <w:rPr>
          <w:rFonts w:ascii="Times New Roman" w:hAnsi="Times New Roman" w:cs="Times New Roman"/>
        </w:rPr>
        <w:t xml:space="preserve">). </w:t>
      </w:r>
    </w:p>
    <w:p w:rsidR="00163DA7" w:rsidRDefault="000C7BCB" w:rsidP="0001613B">
      <w:pPr>
        <w:spacing w:line="360" w:lineRule="auto"/>
        <w:jc w:val="both"/>
        <w:rPr>
          <w:rFonts w:ascii="Times New Roman" w:hAnsi="Times New Roman" w:cs="Times New Roman"/>
        </w:rPr>
      </w:pPr>
      <w:r>
        <w:rPr>
          <w:rFonts w:ascii="Times New Roman" w:hAnsi="Times New Roman" w:cs="Times New Roman"/>
        </w:rPr>
        <w:t>Plant material was collected in May, 2024 in Tbilisi and Manglisi to examine leaf lead levels in target species and measuring responses of antioxidant system to contamination.</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Plant material for leaf cadmium levels and antioxidant measurements was collected in May and June, 2025. Individual plant species were collected, placed in paper bags, and transported to the laboratory in a cool box to prevent desiccation. All biochemical assays were conducted using fresh material, with the exception of anthocyanins and proline analysis, which was performed on tissue dried at 75°– 80 °C in a thermostat and subsequently stored under refrigeration.</w:t>
      </w:r>
    </w:p>
    <w:p w:rsidR="000C7BCB" w:rsidRPr="007072D9" w:rsidRDefault="000C7BCB" w:rsidP="0001613B">
      <w:pPr>
        <w:spacing w:line="360" w:lineRule="auto"/>
        <w:jc w:val="both"/>
        <w:rPr>
          <w:rFonts w:ascii="Times New Roman" w:hAnsi="Times New Roman" w:cs="Times New Roman"/>
        </w:rPr>
      </w:pP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i/>
          <w:iCs/>
        </w:rPr>
        <w:t>Laboratory assays</w:t>
      </w: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t>The content of lead and cadmium was determined in the soil samples and water taken from the test locations (Mashavera River and mining quarry). Lead and cadmium in plant organs were studied by the ISO GOST 30538-97 method, lead in soil – spectrophotometrically (Fomin</w:t>
      </w:r>
      <w:r w:rsidR="005133AB">
        <w:rPr>
          <w:rFonts w:ascii="Times New Roman" w:hAnsi="Times New Roman" w:cs="Times New Roman"/>
        </w:rPr>
        <w:t xml:space="preserve"> and</w:t>
      </w:r>
      <w:r>
        <w:rPr>
          <w:rFonts w:ascii="Times New Roman" w:hAnsi="Times New Roman" w:cs="Times New Roman"/>
        </w:rPr>
        <w:t xml:space="preserve"> Fomin</w:t>
      </w:r>
      <w:r w:rsidR="005133AB">
        <w:rPr>
          <w:rFonts w:ascii="Times New Roman" w:hAnsi="Times New Roman" w:cs="Times New Roman"/>
        </w:rPr>
        <w:t>,</w:t>
      </w:r>
      <w:r>
        <w:rPr>
          <w:rFonts w:ascii="Times New Roman" w:hAnsi="Times New Roman" w:cs="Times New Roman"/>
        </w:rPr>
        <w:t xml:space="preserve"> 2001). Cadmium in soil - by the ICP-MS method. Cadmium in water - by the ISO 11885:2007 method. All these analyzes were carried out by our order in the </w:t>
      </w:r>
      <w:proofErr w:type="spellStart"/>
      <w:r>
        <w:rPr>
          <w:rFonts w:ascii="Times New Roman" w:hAnsi="Times New Roman" w:cs="Times New Roman"/>
        </w:rPr>
        <w:t>Multitest</w:t>
      </w:r>
      <w:proofErr w:type="spellEnd"/>
      <w:r>
        <w:rPr>
          <w:rFonts w:ascii="Times New Roman" w:hAnsi="Times New Roman" w:cs="Times New Roman"/>
        </w:rPr>
        <w:t xml:space="preserve"> laboratory (</w:t>
      </w:r>
      <w:hyperlink r:id="rId8" w:history="1">
        <w:r>
          <w:rPr>
            <w:rStyle w:val="Hyperlink"/>
            <w:rFonts w:ascii="Times New Roman" w:hAnsi="Times New Roman" w:cs="Times New Roman"/>
          </w:rPr>
          <w:t>https://multitest.ge/</w:t>
        </w:r>
      </w:hyperlink>
      <w:r>
        <w:rPr>
          <w:rFonts w:ascii="Times New Roman" w:hAnsi="Times New Roman" w:cs="Times New Roman"/>
        </w:rPr>
        <w:t xml:space="preserve">). </w:t>
      </w:r>
    </w:p>
    <w:p w:rsidR="000C7BCB" w:rsidRPr="004C2233" w:rsidRDefault="000C7BCB" w:rsidP="0001613B">
      <w:pPr>
        <w:spacing w:line="360" w:lineRule="auto"/>
        <w:jc w:val="both"/>
        <w:rPr>
          <w:rFonts w:ascii="Sylfaen" w:hAnsi="Sylfaen" w:cs="Times New Roman"/>
          <w:lang w:val="ka-GE"/>
        </w:rPr>
      </w:pPr>
      <w:r>
        <w:rPr>
          <w:rFonts w:ascii="Times New Roman" w:hAnsi="Times New Roman" w:cs="Times New Roman"/>
        </w:rPr>
        <w:t xml:space="preserve">The analyzed antioxidant compounds included anthocyanins (ANT), ascorbic acid (ASC), carotenoids (CRT), chlorophylls </w:t>
      </w:r>
      <w:r>
        <w:rPr>
          <w:rFonts w:ascii="Times New Roman" w:hAnsi="Times New Roman" w:cs="Times New Roman"/>
          <w:i/>
          <w:iCs/>
        </w:rPr>
        <w:t>a + b</w:t>
      </w:r>
      <w:r>
        <w:rPr>
          <w:rFonts w:ascii="Times New Roman" w:hAnsi="Times New Roman" w:cs="Times New Roman"/>
        </w:rPr>
        <w:t xml:space="preserve"> (CHL), flavonoids (FLV), nitrates (NTR) proline (PLN), soluble carbohydrates (CRB), soluble phenolics (PHE), tocopherols (TOC), and total proteins (PRT). Enzyme activities – catalase (CTL), nitrate reductase (NRD), peroxidase (POA) </w:t>
      </w:r>
      <w:r w:rsidR="009355EE">
        <w:rPr>
          <w:rFonts w:ascii="Times New Roman" w:hAnsi="Times New Roman" w:cs="Times New Roman"/>
        </w:rPr>
        <w:t xml:space="preserve">and total antioxidant activity (AOA) </w:t>
      </w:r>
      <w:r>
        <w:rPr>
          <w:rFonts w:ascii="Times New Roman" w:hAnsi="Times New Roman" w:cs="Times New Roman"/>
        </w:rPr>
        <w:t xml:space="preserve">– were determined in the laboratory of the department of Plant Physiology, Institute of Botany of </w:t>
      </w:r>
      <w:r w:rsidR="005D00C9">
        <w:rPr>
          <w:rFonts w:ascii="Times New Roman" w:hAnsi="Times New Roman" w:cs="Times New Roman"/>
        </w:rPr>
        <w:t>I</w:t>
      </w:r>
      <w:r>
        <w:rPr>
          <w:rFonts w:ascii="Times New Roman" w:hAnsi="Times New Roman" w:cs="Times New Roman"/>
        </w:rPr>
        <w:t>lia State University.</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Anthocyanins</w:t>
      </w:r>
      <w:r>
        <w:rPr>
          <w:rFonts w:ascii="Times New Roman" w:hAnsi="Times New Roman" w:cs="Times New Roman"/>
        </w:rPr>
        <w:t xml:space="preserve"> were extracted using 96% ethanol with 1% HCl and quantified spectrophotometrically at 540 nm (Ermakov, 1987, pp. 113–114).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lastRenderedPageBreak/>
        <w:t>Ascorbic acid</w:t>
      </w:r>
      <w:r>
        <w:rPr>
          <w:rFonts w:ascii="Times New Roman" w:hAnsi="Times New Roman" w:cs="Times New Roman"/>
        </w:rPr>
        <w:t xml:space="preserve"> was measured via titration with a 0.001 M solution of 2,6-dichlorophenolindophenol (Ermakov, 1987, pp. 86–91).</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Plastid pigments</w:t>
      </w:r>
      <w:r>
        <w:rPr>
          <w:rFonts w:ascii="Times New Roman" w:hAnsi="Times New Roman" w:cs="Times New Roman"/>
        </w:rPr>
        <w:t xml:space="preserve"> (chlorophylls and carotenoids) were extracted from fresh leaves in 96% ethanol and quantified at 560 nm (chlorophylls) and 470 nm (carotenoids) (</w:t>
      </w:r>
      <w:proofErr w:type="spellStart"/>
      <w:r>
        <w:rPr>
          <w:rFonts w:ascii="Times New Roman" w:hAnsi="Times New Roman" w:cs="Times New Roman"/>
        </w:rPr>
        <w:t>Lichtenthaler</w:t>
      </w:r>
      <w:proofErr w:type="spellEnd"/>
      <w:r>
        <w:rPr>
          <w:rFonts w:ascii="Times New Roman" w:hAnsi="Times New Roman" w:cs="Times New Roman"/>
        </w:rPr>
        <w:t xml:space="preserve"> &amp; </w:t>
      </w:r>
      <w:proofErr w:type="spellStart"/>
      <w:r>
        <w:rPr>
          <w:rFonts w:ascii="Times New Roman" w:hAnsi="Times New Roman" w:cs="Times New Roman"/>
        </w:rPr>
        <w:t>Buschmann</w:t>
      </w:r>
      <w:proofErr w:type="spellEnd"/>
      <w:r>
        <w:rPr>
          <w:rFonts w:ascii="Times New Roman" w:hAnsi="Times New Roman" w:cs="Times New Roman"/>
        </w:rPr>
        <w:t xml:space="preserve">, 2001).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 xml:space="preserve">Flavonoids </w:t>
      </w:r>
      <w:r>
        <w:rPr>
          <w:rFonts w:ascii="Times New Roman" w:hAnsi="Times New Roman" w:cs="Times New Roman"/>
        </w:rPr>
        <w:t>were determined spectrophotometrically, using AlCl3. The absorbance was measured at 415 nm (Chang et al. 2002).</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Nitrates </w:t>
      </w:r>
      <w:r>
        <w:rPr>
          <w:rFonts w:ascii="Times New Roman" w:hAnsi="Times New Roman" w:cs="Times New Roman"/>
        </w:rPr>
        <w:t xml:space="preserve">were determined spectrophotometrically using </w:t>
      </w:r>
      <w:proofErr w:type="spellStart"/>
      <w:r>
        <w:rPr>
          <w:rFonts w:ascii="Times New Roman" w:hAnsi="Times New Roman" w:cs="Times New Roman"/>
        </w:rPr>
        <w:t>disulphophenolic</w:t>
      </w:r>
      <w:proofErr w:type="spellEnd"/>
      <w:r>
        <w:rPr>
          <w:rFonts w:ascii="Times New Roman" w:hAnsi="Times New Roman" w:cs="Times New Roman"/>
        </w:rPr>
        <w:t xml:space="preserve"> acid. Optical density was determined at 410 nm (</w:t>
      </w:r>
      <w:proofErr w:type="spellStart"/>
      <w:r>
        <w:rPr>
          <w:rFonts w:ascii="Times New Roman" w:hAnsi="Times New Roman" w:cs="Times New Roman"/>
        </w:rPr>
        <w:t>Pleshkov</w:t>
      </w:r>
      <w:proofErr w:type="spellEnd"/>
      <w:r>
        <w:rPr>
          <w:rFonts w:ascii="Times New Roman" w:hAnsi="Times New Roman" w:cs="Times New Roman"/>
        </w:rPr>
        <w:t xml:space="preserve"> 1985, pp. 203-206).</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Proline</w:t>
      </w:r>
      <w:r>
        <w:rPr>
          <w:rFonts w:ascii="Times New Roman" w:hAnsi="Times New Roman" w:cs="Times New Roman"/>
        </w:rPr>
        <w:t xml:space="preserve"> was quantified spectrophotometrically at 520 nm using toluene extracts of ninhydrin-treated samples (Bates et al., 1973).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Soluble carbohydrates</w:t>
      </w:r>
      <w:r>
        <w:rPr>
          <w:rFonts w:ascii="Times New Roman" w:hAnsi="Times New Roman" w:cs="Times New Roman"/>
        </w:rPr>
        <w:t xml:space="preserve"> were measured at 620 nm in </w:t>
      </w:r>
      <w:proofErr w:type="spellStart"/>
      <w:r>
        <w:rPr>
          <w:rFonts w:ascii="Times New Roman" w:hAnsi="Times New Roman" w:cs="Times New Roman"/>
        </w:rPr>
        <w:t>anthrone</w:t>
      </w:r>
      <w:proofErr w:type="spellEnd"/>
      <w:r>
        <w:rPr>
          <w:rFonts w:ascii="Times New Roman" w:hAnsi="Times New Roman" w:cs="Times New Roman"/>
        </w:rPr>
        <w:t>-treated samples (</w:t>
      </w:r>
      <w:proofErr w:type="spellStart"/>
      <w:r>
        <w:rPr>
          <w:rFonts w:ascii="Times New Roman" w:hAnsi="Times New Roman" w:cs="Times New Roman"/>
        </w:rPr>
        <w:t>Turkina</w:t>
      </w:r>
      <w:proofErr w:type="spellEnd"/>
      <w:r>
        <w:rPr>
          <w:rFonts w:ascii="Times New Roman" w:hAnsi="Times New Roman" w:cs="Times New Roman"/>
        </w:rPr>
        <w:t xml:space="preserve"> &amp; Sokolova, 1971).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Soluble phenolics</w:t>
      </w:r>
      <w:r>
        <w:rPr>
          <w:rFonts w:ascii="Times New Roman" w:hAnsi="Times New Roman" w:cs="Times New Roman"/>
        </w:rPr>
        <w:t xml:space="preserve"> were quantified at 765 nm in samples treated with </w:t>
      </w:r>
      <w:proofErr w:type="spellStart"/>
      <w:r>
        <w:rPr>
          <w:rFonts w:ascii="Times New Roman" w:hAnsi="Times New Roman" w:cs="Times New Roman"/>
        </w:rPr>
        <w:t>Folin</w:t>
      </w:r>
      <w:proofErr w:type="spellEnd"/>
      <w:r>
        <w:rPr>
          <w:rFonts w:ascii="Times New Roman" w:hAnsi="Times New Roman" w:cs="Times New Roman"/>
        </w:rPr>
        <w:t>–</w:t>
      </w:r>
      <w:proofErr w:type="spellStart"/>
      <w:r>
        <w:rPr>
          <w:rFonts w:ascii="Times New Roman" w:hAnsi="Times New Roman" w:cs="Times New Roman"/>
        </w:rPr>
        <w:t>Ciocâlteu</w:t>
      </w:r>
      <w:proofErr w:type="spellEnd"/>
      <w:r>
        <w:rPr>
          <w:rFonts w:ascii="Times New Roman" w:hAnsi="Times New Roman" w:cs="Times New Roman"/>
        </w:rPr>
        <w:t xml:space="preserve"> reagent (Ferraris et al., 1987).</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Tocopherols</w:t>
      </w:r>
      <w:r>
        <w:rPr>
          <w:rFonts w:ascii="Times New Roman" w:hAnsi="Times New Roman" w:cs="Times New Roman"/>
        </w:rPr>
        <w:t xml:space="preserve"> were measured spectrophotometrically at 470 nm using 96% ethanol extracts (</w:t>
      </w:r>
      <w:proofErr w:type="spellStart"/>
      <w:r>
        <w:rPr>
          <w:rFonts w:ascii="Times New Roman" w:hAnsi="Times New Roman" w:cs="Times New Roman"/>
        </w:rPr>
        <w:t>Fillipovich</w:t>
      </w:r>
      <w:proofErr w:type="spellEnd"/>
      <w:r>
        <w:rPr>
          <w:rFonts w:ascii="Times New Roman" w:hAnsi="Times New Roman" w:cs="Times New Roman"/>
        </w:rPr>
        <w:t xml:space="preserve"> et al., 1982, pp. 40–60).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Total proteins</w:t>
      </w:r>
      <w:r>
        <w:rPr>
          <w:rFonts w:ascii="Times New Roman" w:hAnsi="Times New Roman" w:cs="Times New Roman"/>
        </w:rPr>
        <w:t xml:space="preserve"> were quantified following the method of Lowry et al. (1951).</w:t>
      </w:r>
    </w:p>
    <w:p w:rsidR="007122F2" w:rsidRDefault="007122F2" w:rsidP="0001613B">
      <w:pPr>
        <w:spacing w:line="360" w:lineRule="auto"/>
        <w:jc w:val="both"/>
        <w:rPr>
          <w:rFonts w:ascii="Times New Roman" w:hAnsi="Times New Roman" w:cs="Times New Roman"/>
        </w:rPr>
      </w:pPr>
      <w:r w:rsidRPr="000B787B">
        <w:rPr>
          <w:rFonts w:ascii="Times New Roman" w:hAnsi="Times New Roman" w:cs="Times New Roman"/>
          <w:i/>
          <w:iCs/>
        </w:rPr>
        <w:t>Total antioxidant activity</w:t>
      </w:r>
      <w:r w:rsidRPr="000B787B">
        <w:rPr>
          <w:rFonts w:ascii="Times New Roman" w:hAnsi="Times New Roman" w:cs="Times New Roman"/>
        </w:rPr>
        <w:t xml:space="preserve"> (AOA) </w:t>
      </w:r>
      <w:r w:rsidR="000B787B">
        <w:rPr>
          <w:rFonts w:ascii="Times New Roman" w:hAnsi="Times New Roman" w:cs="Times New Roman"/>
        </w:rPr>
        <w:t xml:space="preserve">was based on the mixing of </w:t>
      </w:r>
      <w:r w:rsidR="000B787B">
        <w:rPr>
          <w:rFonts w:ascii="Sylfaen" w:hAnsi="Sylfaen"/>
          <w:lang w:val="ka-GE"/>
        </w:rPr>
        <w:t>p</w:t>
      </w:r>
      <w:r w:rsidR="000B787B" w:rsidRPr="00F2115D">
        <w:rPr>
          <w:rFonts w:ascii="Sylfaen" w:hAnsi="Sylfaen"/>
          <w:lang w:val="ka-GE"/>
        </w:rPr>
        <w:t xml:space="preserve">lant </w:t>
      </w:r>
      <w:r w:rsidR="000B787B">
        <w:rPr>
          <w:rFonts w:ascii="Sylfaen" w:hAnsi="Sylfaen"/>
          <w:lang w:val="ka-GE"/>
        </w:rPr>
        <w:t xml:space="preserve">ethanolic </w:t>
      </w:r>
      <w:r w:rsidR="000B787B" w:rsidRPr="00F2115D">
        <w:rPr>
          <w:rFonts w:ascii="Sylfaen" w:hAnsi="Sylfaen"/>
          <w:lang w:val="ka-GE"/>
        </w:rPr>
        <w:t>extracts with a</w:t>
      </w:r>
      <w:r w:rsidR="000B787B">
        <w:rPr>
          <w:rFonts w:ascii="Sylfaen" w:hAnsi="Sylfaen"/>
          <w:lang w:val="ka-GE"/>
        </w:rPr>
        <w:t xml:space="preserve"> </w:t>
      </w:r>
      <w:r w:rsidR="000B787B" w:rsidRPr="00F2115D">
        <w:rPr>
          <w:rFonts w:ascii="Sylfaen" w:hAnsi="Sylfaen"/>
          <w:lang w:val="ka-GE"/>
        </w:rPr>
        <w:t>solution of DPPH</w:t>
      </w:r>
      <w:r w:rsidR="000B787B">
        <w:rPr>
          <w:rFonts w:ascii="Sylfaen" w:hAnsi="Sylfaen"/>
          <w:lang w:val="ka-GE"/>
        </w:rPr>
        <w:t>, i</w:t>
      </w:r>
      <w:r w:rsidR="000B787B" w:rsidRPr="00F2115D">
        <w:rPr>
          <w:rFonts w:ascii="Sylfaen" w:hAnsi="Sylfaen"/>
          <w:lang w:val="ka-GE"/>
        </w:rPr>
        <w:t>ncubat</w:t>
      </w:r>
      <w:r w:rsidR="000B787B">
        <w:rPr>
          <w:rFonts w:ascii="Sylfaen" w:hAnsi="Sylfaen"/>
          <w:lang w:val="ka-GE"/>
        </w:rPr>
        <w:t>ing</w:t>
      </w:r>
      <w:r w:rsidR="000B787B" w:rsidRPr="00F2115D">
        <w:rPr>
          <w:rFonts w:ascii="Sylfaen" w:hAnsi="Sylfaen"/>
          <w:lang w:val="ka-GE"/>
        </w:rPr>
        <w:t xml:space="preserve"> at room temperature</w:t>
      </w:r>
      <w:r w:rsidR="000B787B">
        <w:rPr>
          <w:rFonts w:ascii="Sylfaen" w:hAnsi="Sylfaen"/>
          <w:lang w:val="ka-GE"/>
        </w:rPr>
        <w:t xml:space="preserve"> for 30 min and measuring the </w:t>
      </w:r>
      <w:r w:rsidR="000B787B" w:rsidRPr="00F2115D">
        <w:rPr>
          <w:rFonts w:ascii="Sylfaen" w:hAnsi="Sylfaen"/>
          <w:lang w:val="ka-GE"/>
        </w:rPr>
        <w:t>decrease in absorbance at 51</w:t>
      </w:r>
      <w:r w:rsidR="000B787B">
        <w:rPr>
          <w:rFonts w:ascii="Sylfaen" w:hAnsi="Sylfaen"/>
          <w:lang w:val="ka-GE"/>
        </w:rPr>
        <w:t>5</w:t>
      </w:r>
      <w:r w:rsidR="000B787B" w:rsidRPr="00F2115D">
        <w:rPr>
          <w:rFonts w:ascii="Sylfaen" w:hAnsi="Sylfaen"/>
          <w:lang w:val="ka-GE"/>
        </w:rPr>
        <w:t xml:space="preserve"> nm</w:t>
      </w:r>
      <w:r w:rsidR="000B787B">
        <w:rPr>
          <w:rFonts w:ascii="Sylfaen" w:hAnsi="Sylfaen"/>
          <w:lang w:val="ka-GE"/>
        </w:rPr>
        <w:t xml:space="preserve"> </w:t>
      </w:r>
      <w:r w:rsidR="000B787B" w:rsidRPr="00F2115D">
        <w:rPr>
          <w:rFonts w:ascii="Sylfaen" w:hAnsi="Sylfaen"/>
          <w:lang w:val="ka-GE"/>
        </w:rPr>
        <w:t>spectrophotometrically</w:t>
      </w:r>
      <w:r w:rsidR="000B787B">
        <w:rPr>
          <w:rFonts w:ascii="Sylfaen" w:hAnsi="Sylfaen"/>
          <w:lang w:val="ka-GE"/>
        </w:rPr>
        <w:t xml:space="preserve"> (Koleva et al. 2002).</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Catalase</w:t>
      </w:r>
      <w:r>
        <w:rPr>
          <w:rFonts w:ascii="Times New Roman" w:hAnsi="Times New Roman" w:cs="Times New Roman"/>
        </w:rPr>
        <w:t xml:space="preserve"> activity was determined </w:t>
      </w:r>
      <w:proofErr w:type="spellStart"/>
      <w:r>
        <w:rPr>
          <w:rFonts w:ascii="Times New Roman" w:hAnsi="Times New Roman" w:cs="Times New Roman"/>
        </w:rPr>
        <w:t>gasometrically</w:t>
      </w:r>
      <w:proofErr w:type="spellEnd"/>
      <w:r>
        <w:rPr>
          <w:rFonts w:ascii="Times New Roman" w:hAnsi="Times New Roman" w:cs="Times New Roman"/>
        </w:rPr>
        <w:t xml:space="preserve"> by measuring the volume of oxygen released during the decomposition of hydrogen peroxide. The reaction vessel was connected to a burette to capture and quantify the evolved gas (</w:t>
      </w:r>
      <w:proofErr w:type="spellStart"/>
      <w:r>
        <w:rPr>
          <w:rFonts w:ascii="Times New Roman" w:hAnsi="Times New Roman" w:cs="Times New Roman"/>
        </w:rPr>
        <w:t>Pleshkov</w:t>
      </w:r>
      <w:proofErr w:type="spellEnd"/>
      <w:r>
        <w:rPr>
          <w:rFonts w:ascii="Times New Roman" w:hAnsi="Times New Roman" w:cs="Times New Roman"/>
        </w:rPr>
        <w:t>, 1985, pp. 203–206).</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Peroxidase</w:t>
      </w:r>
      <w:r>
        <w:rPr>
          <w:rFonts w:ascii="Times New Roman" w:hAnsi="Times New Roman" w:cs="Times New Roman"/>
        </w:rPr>
        <w:t xml:space="preserve"> activity was measured spectrophotometrically using guaiacol; the absorbance of oxidized guaiacol products was recorded at 470 nm over 2 minutes (Ermakov, 1987, pp. 41–43).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i/>
          <w:iCs/>
        </w:rPr>
        <w:t>Nitrate reductase</w:t>
      </w:r>
      <w:r>
        <w:rPr>
          <w:rFonts w:ascii="Times New Roman" w:hAnsi="Times New Roman" w:cs="Times New Roman"/>
        </w:rPr>
        <w:t xml:space="preserve"> activity was assayed spectrophotometrically at 520 nm by quantifying nitrite accumulation resulting from nitrate reduction (Ermakov, 1987, pp. 51–52). </w:t>
      </w:r>
    </w:p>
    <w:p w:rsidR="000C7BCB" w:rsidRPr="007072D9" w:rsidRDefault="000C7BCB" w:rsidP="0001613B">
      <w:pPr>
        <w:spacing w:line="360" w:lineRule="auto"/>
        <w:jc w:val="both"/>
        <w:rPr>
          <w:rFonts w:ascii="Times New Roman" w:hAnsi="Times New Roman" w:cs="Times New Roman"/>
          <w:i/>
          <w:iCs/>
        </w:rPr>
      </w:pPr>
      <w:r>
        <w:rPr>
          <w:rFonts w:ascii="Times New Roman" w:hAnsi="Times New Roman" w:cs="Times New Roman"/>
        </w:rPr>
        <w:t>All spectrophotometric measurements were performed using a SPEKOL 11 spectrophotometer (KARL ZEISS, Jena, Germany). All chemical assays were performed in triplicate for each species, and mean values were calculated for subsequent standardization and regression analyses (below)</w:t>
      </w:r>
      <w:r>
        <w:rPr>
          <w:rFonts w:ascii="Times New Roman" w:hAnsi="Times New Roman" w:cs="Times New Roman"/>
          <w:i/>
          <w:iCs/>
        </w:rPr>
        <w:t>Data collection design and analysis</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lastRenderedPageBreak/>
        <w:t xml:space="preserve">Data collection was designed to address the challenges posed by logistic problems of studying physiological effect in plant assemblages (the Introduction).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We paired the sampling sites for plant material collection based on the knowledge of soil lead and cadmium contamination levels (Table 1). Each pair consisted of one heavily contaminated site paired with a moderately contaminated one. Plant material from the target species were collected from each site and, after determining the levels of heavy metals and antioxidants, the data were standardized using log response ratio (</w:t>
      </w:r>
      <w:proofErr w:type="spellStart"/>
      <w:r>
        <w:rPr>
          <w:rFonts w:ascii="Times New Roman" w:hAnsi="Times New Roman" w:cs="Times New Roman"/>
        </w:rPr>
        <w:t>lnRR</w:t>
      </w:r>
      <w:proofErr w:type="spellEnd"/>
      <w:r>
        <w:rPr>
          <w:rFonts w:ascii="Times New Roman" w:hAnsi="Times New Roman" w:cs="Times New Roman"/>
        </w:rPr>
        <w:t xml:space="preserve">). This is a numerical index that quantifies the magnitude and direction of a variable change (effect size) based on the difference in the values of the variable in two different states on a scale that is comparable across cases and studies (Pustejovsky and Ferron 2017). For example, the </w:t>
      </w:r>
      <w:proofErr w:type="spellStart"/>
      <w:r>
        <w:rPr>
          <w:rFonts w:ascii="Times New Roman" w:hAnsi="Times New Roman" w:cs="Times New Roman"/>
        </w:rPr>
        <w:t>lnRR</w:t>
      </w:r>
      <w:proofErr w:type="spellEnd"/>
      <w:r>
        <w:rPr>
          <w:rFonts w:ascii="Times New Roman" w:hAnsi="Times New Roman" w:cs="Times New Roman"/>
        </w:rPr>
        <w:t xml:space="preserve"> index is often applied to plant-plant interactions to quantify the response of a target plant on the removal of neighbors (Kikvidze and Armas 2010; Kikvidze et al. 2006). The index is calculated simply as:</w:t>
      </w:r>
    </w:p>
    <w:p w:rsidR="000C7BCB" w:rsidRPr="007072D9" w:rsidRDefault="000C7BCB" w:rsidP="0001613B">
      <w:pPr>
        <w:spacing w:line="360" w:lineRule="auto"/>
        <w:jc w:val="both"/>
        <w:rPr>
          <w:rFonts w:ascii="Times New Roman" w:hAnsi="Times New Roman" w:cs="Times New Roman"/>
        </w:rPr>
      </w:pPr>
      <w:proofErr w:type="spellStart"/>
      <w:r>
        <w:rPr>
          <w:rFonts w:ascii="Times New Roman" w:hAnsi="Times New Roman" w:cs="Times New Roman"/>
        </w:rPr>
        <w:t>lnRR</w:t>
      </w:r>
      <w:proofErr w:type="spellEnd"/>
      <w:r>
        <w:rPr>
          <w:rFonts w:ascii="Times New Roman" w:hAnsi="Times New Roman" w:cs="Times New Roman"/>
        </w:rPr>
        <w:t xml:space="preserve"> = ln(</w:t>
      </w:r>
      <w:r>
        <w:rPr>
          <w:rFonts w:ascii="Times New Roman" w:hAnsi="Times New Roman" w:cs="Times New Roman"/>
          <w:i/>
          <w:iCs/>
        </w:rPr>
        <w:t>A/B</w:t>
      </w:r>
      <w:r>
        <w:rPr>
          <w:rFonts w:ascii="Times New Roman" w:hAnsi="Times New Roman" w:cs="Times New Roman"/>
        </w:rPr>
        <w:t xml:space="preserve">),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where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are the values of a variable (e.g., the concentration of a given heavy metal ions in leaves, or the level of an antioxidant in plant leaves) that correspond to the two states of a target system. If in state </w:t>
      </w:r>
      <w:r>
        <w:rPr>
          <w:rFonts w:ascii="Times New Roman" w:hAnsi="Times New Roman" w:cs="Times New Roman"/>
          <w:i/>
          <w:iCs/>
        </w:rPr>
        <w:t>A</w:t>
      </w:r>
      <w:r>
        <w:rPr>
          <w:rFonts w:ascii="Times New Roman" w:hAnsi="Times New Roman" w:cs="Times New Roman"/>
        </w:rPr>
        <w:t xml:space="preserve"> the value of a variable is less than in state </w:t>
      </w:r>
      <w:r>
        <w:rPr>
          <w:rFonts w:ascii="Times New Roman" w:hAnsi="Times New Roman" w:cs="Times New Roman"/>
          <w:i/>
          <w:iCs/>
        </w:rPr>
        <w:t>B</w:t>
      </w:r>
      <w:r>
        <w:rPr>
          <w:rFonts w:ascii="Times New Roman" w:hAnsi="Times New Roman" w:cs="Times New Roman"/>
        </w:rPr>
        <w:t xml:space="preserve">, the </w:t>
      </w:r>
      <w:proofErr w:type="spellStart"/>
      <w:r>
        <w:rPr>
          <w:rFonts w:ascii="Times New Roman" w:hAnsi="Times New Roman" w:cs="Times New Roman"/>
        </w:rPr>
        <w:t>lnRR</w:t>
      </w:r>
      <w:proofErr w:type="spellEnd"/>
      <w:r>
        <w:rPr>
          <w:rFonts w:ascii="Times New Roman" w:hAnsi="Times New Roman" w:cs="Times New Roman"/>
        </w:rPr>
        <w:t xml:space="preserve"> values are negative and, </w:t>
      </w:r>
      <w:r>
        <w:rPr>
          <w:rFonts w:ascii="Times New Roman" w:hAnsi="Times New Roman" w:cs="Times New Roman"/>
          <w:i/>
          <w:iCs/>
        </w:rPr>
        <w:t>vice versa</w:t>
      </w:r>
      <w:r>
        <w:rPr>
          <w:rFonts w:ascii="Times New Roman" w:hAnsi="Times New Roman" w:cs="Times New Roman"/>
        </w:rPr>
        <w:t xml:space="preserve">, positive </w:t>
      </w:r>
      <w:proofErr w:type="spellStart"/>
      <w:r>
        <w:rPr>
          <w:rFonts w:ascii="Times New Roman" w:hAnsi="Times New Roman" w:cs="Times New Roman"/>
        </w:rPr>
        <w:t>lnRR</w:t>
      </w:r>
      <w:proofErr w:type="spellEnd"/>
      <w:r>
        <w:rPr>
          <w:rFonts w:ascii="Times New Roman" w:hAnsi="Times New Roman" w:cs="Times New Roman"/>
        </w:rPr>
        <w:t xml:space="preserve"> indicates that the value of the variable is higher in state </w:t>
      </w:r>
      <w:r>
        <w:rPr>
          <w:rFonts w:ascii="Times New Roman" w:hAnsi="Times New Roman" w:cs="Times New Roman"/>
          <w:i/>
          <w:iCs/>
        </w:rPr>
        <w:t>A</w:t>
      </w:r>
      <w:r>
        <w:rPr>
          <w:rFonts w:ascii="Times New Roman" w:hAnsi="Times New Roman" w:cs="Times New Roman"/>
        </w:rPr>
        <w:t xml:space="preserve"> than in state </w:t>
      </w:r>
      <w:r>
        <w:rPr>
          <w:rFonts w:ascii="Times New Roman" w:hAnsi="Times New Roman" w:cs="Times New Roman"/>
          <w:i/>
          <w:iCs/>
        </w:rPr>
        <w:t>B</w:t>
      </w:r>
      <w:r>
        <w:rPr>
          <w:rFonts w:ascii="Times New Roman" w:hAnsi="Times New Roman" w:cs="Times New Roman"/>
        </w:rPr>
        <w:t xml:space="preserve">. For our study, states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correspond to </w:t>
      </w:r>
      <w:r w:rsidR="009A4191">
        <w:rPr>
          <w:rFonts w:ascii="Times New Roman" w:hAnsi="Times New Roman" w:cs="Times New Roman"/>
        </w:rPr>
        <w:t>moderate</w:t>
      </w:r>
      <w:r>
        <w:rPr>
          <w:rFonts w:ascii="Times New Roman" w:hAnsi="Times New Roman" w:cs="Times New Roman"/>
        </w:rPr>
        <w:t xml:space="preserve"> </w:t>
      </w:r>
      <w:r>
        <w:rPr>
          <w:rFonts w:ascii="Times New Roman" w:hAnsi="Times New Roman" w:cs="Times New Roman"/>
          <w:i/>
          <w:iCs/>
        </w:rPr>
        <w:t>versus</w:t>
      </w:r>
      <w:r>
        <w:rPr>
          <w:rFonts w:ascii="Times New Roman" w:hAnsi="Times New Roman" w:cs="Times New Roman"/>
        </w:rPr>
        <w:t xml:space="preserve"> </w:t>
      </w:r>
      <w:r w:rsidR="009A4191">
        <w:rPr>
          <w:rFonts w:ascii="Times New Roman" w:hAnsi="Times New Roman" w:cs="Times New Roman"/>
        </w:rPr>
        <w:t>heavy</w:t>
      </w:r>
      <w:r>
        <w:rPr>
          <w:rFonts w:ascii="Times New Roman" w:hAnsi="Times New Roman" w:cs="Times New Roman"/>
        </w:rPr>
        <w:t xml:space="preserve"> content of </w:t>
      </w:r>
      <w:r w:rsidR="002A0455">
        <w:rPr>
          <w:rFonts w:ascii="Times New Roman" w:hAnsi="Times New Roman" w:cs="Times New Roman"/>
        </w:rPr>
        <w:t>lead</w:t>
      </w:r>
      <w:r w:rsidR="009A4191">
        <w:rPr>
          <w:rFonts w:ascii="Times New Roman" w:hAnsi="Times New Roman" w:cs="Times New Roman"/>
        </w:rPr>
        <w:t xml:space="preserve"> and </w:t>
      </w:r>
      <w:r w:rsidR="002A0455">
        <w:rPr>
          <w:rFonts w:ascii="Times New Roman" w:hAnsi="Times New Roman" w:cs="Times New Roman"/>
        </w:rPr>
        <w:t>cadmium</w:t>
      </w:r>
      <w:r>
        <w:rPr>
          <w:rFonts w:ascii="Times New Roman" w:hAnsi="Times New Roman" w:cs="Times New Roman"/>
        </w:rPr>
        <w:t xml:space="preserve"> </w:t>
      </w:r>
      <w:r w:rsidR="009A4191">
        <w:rPr>
          <w:rFonts w:ascii="Times New Roman" w:hAnsi="Times New Roman" w:cs="Times New Roman"/>
        </w:rPr>
        <w:t>ions</w:t>
      </w:r>
      <w:r>
        <w:rPr>
          <w:rFonts w:ascii="Times New Roman" w:hAnsi="Times New Roman" w:cs="Times New Roman"/>
        </w:rPr>
        <w:t xml:space="preserve"> in a leaf. Accordingly, we calculated </w:t>
      </w:r>
      <w:proofErr w:type="spellStart"/>
      <w:r>
        <w:rPr>
          <w:rFonts w:ascii="Times New Roman" w:hAnsi="Times New Roman" w:cs="Times New Roman"/>
        </w:rPr>
        <w:t>lnRR</w:t>
      </w:r>
      <w:proofErr w:type="spellEnd"/>
      <w:r>
        <w:rPr>
          <w:rFonts w:ascii="Times New Roman" w:hAnsi="Times New Roman" w:cs="Times New Roman"/>
        </w:rPr>
        <w:t xml:space="preserve"> values for the concentration of the contaminant (lead or cadmium) in the leaves of each target species; likewise, we calculated </w:t>
      </w:r>
      <w:proofErr w:type="spellStart"/>
      <w:r>
        <w:rPr>
          <w:rFonts w:ascii="Times New Roman" w:hAnsi="Times New Roman" w:cs="Times New Roman"/>
        </w:rPr>
        <w:t>lnRR</w:t>
      </w:r>
      <w:proofErr w:type="spellEnd"/>
      <w:r>
        <w:rPr>
          <w:rFonts w:ascii="Times New Roman" w:hAnsi="Times New Roman" w:cs="Times New Roman"/>
        </w:rPr>
        <w:t xml:space="preserve"> values for each antioxidant in each species and used correlation analysis for detecting a relationship between the metal and antioxidant variables.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main advantage of </w:t>
      </w:r>
      <w:proofErr w:type="spellStart"/>
      <w:r>
        <w:rPr>
          <w:rFonts w:ascii="Times New Roman" w:hAnsi="Times New Roman" w:cs="Times New Roman"/>
        </w:rPr>
        <w:t>lnRR</w:t>
      </w:r>
      <w:proofErr w:type="spellEnd"/>
      <w:r>
        <w:rPr>
          <w:rFonts w:ascii="Times New Roman" w:hAnsi="Times New Roman" w:cs="Times New Roman"/>
        </w:rPr>
        <w:t xml:space="preserve"> is that it is symmetrical around 0 and allows for data standardization (Armas et al. 2004). Importantly, these properties enabled us to test our hypothesis as follows: if the responses to increased level of a given heavy metal concentration in leaf tissues are similar across species, we shall observe correlation of the </w:t>
      </w:r>
      <w:proofErr w:type="spellStart"/>
      <w:r>
        <w:rPr>
          <w:rFonts w:ascii="Times New Roman" w:hAnsi="Times New Roman" w:cs="Times New Roman"/>
        </w:rPr>
        <w:t>lnRR</w:t>
      </w:r>
      <w:proofErr w:type="spellEnd"/>
      <w:r>
        <w:rPr>
          <w:rFonts w:ascii="Times New Roman" w:hAnsi="Times New Roman" w:cs="Times New Roman"/>
        </w:rPr>
        <w:t xml:space="preserve"> values between the metal and antioxidant concentration in the leaves across the target species. If species-specific responses prevail, then no correlation can be detected as the differences among species increase variability, albeit idiosyncratically. To discriminate between present and absent correlations, we used determination coefficient (</w:t>
      </w:r>
      <w:r>
        <w:rPr>
          <w:rFonts w:ascii="Times New Roman" w:hAnsi="Times New Roman" w:cs="Times New Roman"/>
          <w:i/>
          <w:iCs/>
        </w:rPr>
        <w:t>R</w:t>
      </w:r>
      <w:r>
        <w:rPr>
          <w:rFonts w:ascii="Times New Roman" w:hAnsi="Times New Roman" w:cs="Times New Roman"/>
        </w:rPr>
        <w:t xml:space="preserve">²). The correlation was regarded as “detected” if only </w:t>
      </w:r>
      <w:r>
        <w:rPr>
          <w:rFonts w:ascii="Times New Roman" w:hAnsi="Times New Roman" w:cs="Times New Roman"/>
          <w:i/>
          <w:iCs/>
        </w:rPr>
        <w:t>R</w:t>
      </w:r>
      <w:r>
        <w:rPr>
          <w:rFonts w:ascii="Times New Roman" w:hAnsi="Times New Roman" w:cs="Times New Roman"/>
        </w:rPr>
        <w:t xml:space="preserve">² &gt; 0.1. </w:t>
      </w:r>
    </w:p>
    <w:p w:rsidR="000C7BCB" w:rsidRPr="007072D9" w:rsidRDefault="000C7BCB" w:rsidP="0001613B">
      <w:pPr>
        <w:spacing w:line="360" w:lineRule="auto"/>
        <w:jc w:val="both"/>
        <w:rPr>
          <w:rFonts w:ascii="Times New Roman" w:hAnsi="Times New Roman" w:cs="Times New Roman"/>
        </w:rPr>
      </w:pPr>
      <w:r>
        <w:rPr>
          <w:rFonts w:ascii="Times New Roman" w:hAnsi="Times New Roman" w:cs="Times New Roman"/>
        </w:rPr>
        <w:t xml:space="preserve">All statistical analyses were performed using software </w:t>
      </w:r>
      <w:r w:rsidRPr="007F70C5">
        <w:rPr>
          <w:rFonts w:ascii="Times New Roman" w:hAnsi="Times New Roman" w:cs="Times New Roman"/>
        </w:rPr>
        <w:t xml:space="preserve">PAST 4 (Hammer </w:t>
      </w:r>
      <w:r w:rsidR="007F70C5" w:rsidRPr="007F70C5">
        <w:rPr>
          <w:rFonts w:ascii="Times New Roman" w:hAnsi="Times New Roman" w:cs="Times New Roman"/>
        </w:rPr>
        <w:t>and Harper,</w:t>
      </w:r>
      <w:r w:rsidRPr="007F70C5">
        <w:rPr>
          <w:rFonts w:ascii="Times New Roman" w:hAnsi="Times New Roman" w:cs="Times New Roman"/>
        </w:rPr>
        <w:t xml:space="preserve"> 2001).</w:t>
      </w:r>
    </w:p>
    <w:p w:rsidR="000C7BCB" w:rsidRPr="004348E8" w:rsidRDefault="000C7BCB" w:rsidP="0001613B">
      <w:pPr>
        <w:spacing w:line="360" w:lineRule="auto"/>
        <w:jc w:val="both"/>
        <w:rPr>
          <w:rFonts w:ascii="Times New Roman" w:hAnsi="Times New Roman" w:cs="Times New Roman"/>
          <w:b/>
          <w:bCs/>
          <w:lang w:val="ka-GE"/>
        </w:rPr>
      </w:pPr>
      <w:r>
        <w:rPr>
          <w:rFonts w:ascii="Times New Roman" w:hAnsi="Times New Roman" w:cs="Times New Roman"/>
          <w:b/>
          <w:bCs/>
          <w:lang w:val="ka-GE"/>
        </w:rPr>
        <w:t>Results</w:t>
      </w:r>
    </w:p>
    <w:p w:rsidR="00D17511" w:rsidRDefault="000C7BCB" w:rsidP="0001613B">
      <w:pPr>
        <w:spacing w:line="360" w:lineRule="auto"/>
        <w:jc w:val="both"/>
        <w:rPr>
          <w:rFonts w:ascii="Times New Roman" w:hAnsi="Times New Roman" w:cs="Times New Roman"/>
        </w:rPr>
      </w:pPr>
      <w:r>
        <w:rPr>
          <w:rFonts w:ascii="Times New Roman" w:hAnsi="Times New Roman" w:cs="Times New Roman"/>
          <w:lang w:val="ka-GE"/>
        </w:rPr>
        <w:t>The concentration of lead in plant leaves was variable across species that grew at strongly and moderatel</w:t>
      </w:r>
      <w:r w:rsidR="00D17511">
        <w:rPr>
          <w:rFonts w:ascii="Times New Roman" w:hAnsi="Times New Roman" w:cs="Times New Roman"/>
          <w:lang w:val="ka-GE"/>
        </w:rPr>
        <w:t>y contaminated sites (Table 2).</w:t>
      </w:r>
    </w:p>
    <w:p w:rsidR="00D17511" w:rsidRPr="00BD5BCF" w:rsidRDefault="00D17511" w:rsidP="00D17511">
      <w:pPr>
        <w:spacing w:line="360" w:lineRule="auto"/>
        <w:jc w:val="both"/>
        <w:rPr>
          <w:rFonts w:ascii="Times New Roman" w:hAnsi="Times New Roman" w:cs="Times New Roman"/>
        </w:rPr>
      </w:pPr>
      <w:r>
        <w:rPr>
          <w:rFonts w:ascii="Times New Roman" w:hAnsi="Times New Roman" w:cs="Times New Roman"/>
          <w:b/>
          <w:bCs/>
        </w:rPr>
        <w:lastRenderedPageBreak/>
        <w:t>Table 2</w:t>
      </w:r>
      <w:r>
        <w:rPr>
          <w:rFonts w:ascii="Times New Roman" w:hAnsi="Times New Roman" w:cs="Times New Roman"/>
        </w:rPr>
        <w:t>. Lead levels detected in plant leaves growing at highly and moderately contaminated soils (see also Table 1)</w:t>
      </w:r>
    </w:p>
    <w:tbl>
      <w:tblPr>
        <w:tblW w:w="0" w:type="auto"/>
        <w:jc w:val="center"/>
        <w:tblBorders>
          <w:top w:val="single" w:sz="4" w:space="0" w:color="auto"/>
        </w:tblBorders>
        <w:tblLook w:val="04A0" w:firstRow="1" w:lastRow="0" w:firstColumn="1" w:lastColumn="0" w:noHBand="0" w:noVBand="1"/>
      </w:tblPr>
      <w:tblGrid>
        <w:gridCol w:w="1255"/>
        <w:gridCol w:w="2441"/>
        <w:gridCol w:w="2844"/>
      </w:tblGrid>
      <w:tr w:rsidR="00D17511" w:rsidRPr="00BD5BCF" w:rsidTr="00D17511">
        <w:trPr>
          <w:trHeight w:val="310"/>
          <w:jc w:val="center"/>
        </w:trPr>
        <w:tc>
          <w:tcPr>
            <w:tcW w:w="0" w:type="auto"/>
            <w:tcBorders>
              <w:bottom w:val="nil"/>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Plants </w:t>
            </w:r>
          </w:p>
        </w:tc>
        <w:tc>
          <w:tcPr>
            <w:tcW w:w="0" w:type="auto"/>
            <w:gridSpan w:val="2"/>
            <w:tcBorders>
              <w:top w:val="single" w:sz="4" w:space="0" w:color="auto"/>
              <w:bottom w:val="single" w:sz="4" w:space="0" w:color="auto"/>
            </w:tcBorders>
            <w:noWrap/>
            <w:vAlign w:val="bottom"/>
            <w:hideMark/>
          </w:tcPr>
          <w:p w:rsidR="00D17511" w:rsidRPr="00BD5BCF" w:rsidRDefault="00D17511" w:rsidP="00D17511">
            <w:pPr>
              <w:spacing w:after="0" w:line="36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Pb in leaves, mg/kg</w:t>
            </w:r>
          </w:p>
        </w:tc>
      </w:tr>
      <w:tr w:rsidR="00D17511" w:rsidRPr="00BD5BCF" w:rsidTr="00D17511">
        <w:trPr>
          <w:trHeight w:val="310"/>
          <w:jc w:val="center"/>
        </w:trPr>
        <w:tc>
          <w:tcPr>
            <w:tcW w:w="0" w:type="auto"/>
            <w:tcBorders>
              <w:top w:val="nil"/>
              <w:bottom w:val="single" w:sz="4" w:space="0" w:color="auto"/>
            </w:tcBorders>
            <w:noWrap/>
            <w:vAlign w:val="bottom"/>
            <w:hideMark/>
          </w:tcPr>
          <w:p w:rsidR="00D17511" w:rsidRPr="00BD5BCF" w:rsidRDefault="00D17511" w:rsidP="00443A71">
            <w:pPr>
              <w:spacing w:after="0" w:line="360" w:lineRule="auto"/>
              <w:jc w:val="both"/>
              <w:rPr>
                <w:rFonts w:ascii="Times New Roman" w:eastAsia="Times New Roman" w:hAnsi="Times New Roman" w:cs="Times New Roman"/>
                <w:color w:val="000000"/>
                <w:lang w:val="en-GB" w:eastAsia="en-GB"/>
              </w:rPr>
            </w:pPr>
          </w:p>
        </w:tc>
        <w:tc>
          <w:tcPr>
            <w:tcW w:w="0" w:type="auto"/>
            <w:tcBorders>
              <w:top w:val="single" w:sz="4" w:space="0" w:color="auto"/>
              <w:bottom w:val="single" w:sz="4" w:space="0" w:color="auto"/>
            </w:tcBorders>
            <w:noWrap/>
            <w:vAlign w:val="bottom"/>
            <w:hideMark/>
          </w:tcPr>
          <w:p w:rsidR="00D17511" w:rsidRPr="00BD5BCF" w:rsidRDefault="00D17511" w:rsidP="00D17511">
            <w:pPr>
              <w:spacing w:after="0" w:line="36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Highly contaminated soil</w:t>
            </w:r>
          </w:p>
        </w:tc>
        <w:tc>
          <w:tcPr>
            <w:tcW w:w="0" w:type="auto"/>
            <w:tcBorders>
              <w:top w:val="single" w:sz="4" w:space="0" w:color="auto"/>
              <w:bottom w:val="single" w:sz="4" w:space="0" w:color="auto"/>
            </w:tcBorders>
            <w:noWrap/>
            <w:vAlign w:val="bottom"/>
            <w:hideMark/>
          </w:tcPr>
          <w:p w:rsidR="00D17511" w:rsidRPr="00BD5BCF" w:rsidRDefault="00D17511" w:rsidP="00D17511">
            <w:pPr>
              <w:spacing w:after="0" w:line="36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Moderately contaminated soil</w:t>
            </w:r>
          </w:p>
        </w:tc>
      </w:tr>
      <w:tr w:rsidR="00D17511" w:rsidRPr="00BD5BCF" w:rsidTr="00D17511">
        <w:trPr>
          <w:trHeight w:val="310"/>
          <w:jc w:val="center"/>
        </w:trPr>
        <w:tc>
          <w:tcPr>
            <w:tcW w:w="0" w:type="auto"/>
            <w:tcBorders>
              <w:top w:val="nil"/>
              <w:bottom w:val="nil"/>
            </w:tcBorders>
            <w:noWrap/>
            <w:vAlign w:val="bottom"/>
            <w:hideMark/>
          </w:tcPr>
          <w:p w:rsidR="00D17511" w:rsidRPr="008826BF" w:rsidRDefault="00D17511" w:rsidP="00443A71">
            <w:pPr>
              <w:spacing w:after="0" w:line="360" w:lineRule="auto"/>
              <w:jc w:val="both"/>
              <w:rPr>
                <w:rFonts w:ascii="Times New Roman" w:eastAsia="Times New Roman" w:hAnsi="Times New Roman" w:cs="Times New Roman"/>
                <w:i/>
                <w:iCs/>
                <w:lang w:val="en-GB" w:eastAsia="en-GB"/>
              </w:rPr>
            </w:pPr>
            <w:proofErr w:type="spellStart"/>
            <w:r>
              <w:rPr>
                <w:rFonts w:ascii="Times New Roman" w:eastAsia="Times New Roman" w:hAnsi="Times New Roman" w:cs="Times New Roman"/>
                <w:i/>
                <w:iCs/>
                <w:lang w:val="en-GB" w:eastAsia="en-GB"/>
              </w:rPr>
              <w:t>Balotta</w:t>
            </w:r>
            <w:proofErr w:type="spellEnd"/>
          </w:p>
        </w:tc>
        <w:tc>
          <w:tcPr>
            <w:tcW w:w="0" w:type="auto"/>
            <w:tcBorders>
              <w:top w:val="nil"/>
              <w:bottom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1.50 </w:t>
            </w:r>
            <w:r>
              <w:rPr>
                <w:rFonts w:ascii="Calibri" w:eastAsia="Times New Roman" w:hAnsi="Calibri" w:cs="Calibri"/>
                <w:lang w:val="en-GB" w:eastAsia="en-GB"/>
              </w:rPr>
              <w:t>± 0,20</w:t>
            </w:r>
          </w:p>
        </w:tc>
        <w:tc>
          <w:tcPr>
            <w:tcW w:w="0" w:type="auto"/>
            <w:tcBorders>
              <w:top w:val="nil"/>
              <w:bottom w:val="nil"/>
            </w:tcBorders>
            <w:noWrap/>
            <w:vAlign w:val="bottom"/>
            <w:hideMark/>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0.46 ±0,06</w:t>
            </w:r>
          </w:p>
        </w:tc>
      </w:tr>
      <w:tr w:rsidR="00D17511" w:rsidRPr="00BD5BCF" w:rsidTr="00D17511">
        <w:trPr>
          <w:trHeight w:val="310"/>
          <w:jc w:val="center"/>
        </w:trPr>
        <w:tc>
          <w:tcPr>
            <w:tcW w:w="0" w:type="auto"/>
            <w:tcBorders>
              <w:top w:val="nil"/>
              <w:bottom w:val="nil"/>
            </w:tcBorders>
            <w:noWrap/>
            <w:vAlign w:val="bottom"/>
          </w:tcPr>
          <w:p w:rsidR="00D17511" w:rsidRPr="008826BF" w:rsidRDefault="00D17511" w:rsidP="00443A71">
            <w:pPr>
              <w:spacing w:after="0" w:line="360" w:lineRule="auto"/>
              <w:jc w:val="both"/>
              <w:rPr>
                <w:rFonts w:ascii="Times New Roman" w:eastAsia="Times New Roman" w:hAnsi="Times New Roman" w:cs="Times New Roman"/>
                <w:i/>
                <w:iCs/>
                <w:lang w:val="en-GB" w:eastAsia="en-GB"/>
              </w:rPr>
            </w:pPr>
            <w:r>
              <w:rPr>
                <w:rFonts w:ascii="Times New Roman" w:eastAsia="Times New Roman" w:hAnsi="Times New Roman" w:cs="Times New Roman"/>
                <w:i/>
                <w:iCs/>
                <w:lang w:val="en-GB" w:eastAsia="en-GB"/>
              </w:rPr>
              <w:t>Malva</w:t>
            </w:r>
          </w:p>
        </w:tc>
        <w:tc>
          <w:tcPr>
            <w:tcW w:w="0" w:type="auto"/>
            <w:tcBorders>
              <w:top w:val="nil"/>
              <w:bottom w:val="nil"/>
            </w:tcBorders>
            <w:noWrap/>
            <w:vAlign w:val="bottom"/>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1.90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0,30</w:t>
            </w:r>
          </w:p>
        </w:tc>
        <w:tc>
          <w:tcPr>
            <w:tcW w:w="0" w:type="auto"/>
            <w:tcBorders>
              <w:top w:val="nil"/>
              <w:bottom w:val="nil"/>
            </w:tcBorders>
            <w:noWrap/>
            <w:vAlign w:val="bottom"/>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0.44 ±0,06</w:t>
            </w:r>
          </w:p>
        </w:tc>
      </w:tr>
      <w:tr w:rsidR="00D17511" w:rsidRPr="00BD5BCF" w:rsidTr="00D17511">
        <w:trPr>
          <w:trHeight w:val="310"/>
          <w:jc w:val="center"/>
        </w:trPr>
        <w:tc>
          <w:tcPr>
            <w:tcW w:w="0" w:type="auto"/>
            <w:tcBorders>
              <w:top w:val="nil"/>
              <w:bottom w:val="nil"/>
            </w:tcBorders>
            <w:noWrap/>
            <w:vAlign w:val="bottom"/>
          </w:tcPr>
          <w:p w:rsidR="00D17511" w:rsidRPr="008826BF" w:rsidRDefault="00D17511" w:rsidP="00443A71">
            <w:pPr>
              <w:spacing w:after="0" w:line="360" w:lineRule="auto"/>
              <w:jc w:val="both"/>
              <w:rPr>
                <w:rFonts w:ascii="Times New Roman" w:eastAsia="Times New Roman" w:hAnsi="Times New Roman" w:cs="Times New Roman"/>
                <w:i/>
                <w:iCs/>
                <w:lang w:val="en-GB" w:eastAsia="en-GB"/>
              </w:rPr>
            </w:pPr>
            <w:r>
              <w:rPr>
                <w:rFonts w:ascii="Times New Roman" w:eastAsia="Times New Roman" w:hAnsi="Times New Roman" w:cs="Times New Roman"/>
                <w:i/>
                <w:iCs/>
                <w:lang w:val="en-GB" w:eastAsia="en-GB"/>
              </w:rPr>
              <w:t>Plantago</w:t>
            </w:r>
          </w:p>
        </w:tc>
        <w:tc>
          <w:tcPr>
            <w:tcW w:w="0" w:type="auto"/>
            <w:tcBorders>
              <w:top w:val="nil"/>
              <w:bottom w:val="nil"/>
            </w:tcBorders>
            <w:noWrap/>
            <w:vAlign w:val="bottom"/>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1.06 </w:t>
            </w:r>
            <w:r>
              <w:rPr>
                <w:rFonts w:ascii="Calibri" w:eastAsia="Times New Roman" w:hAnsi="Calibri" w:cs="Calibri"/>
                <w:lang w:val="en-GB" w:eastAsia="en-GB"/>
              </w:rPr>
              <w:t>±</w:t>
            </w:r>
            <w:r>
              <w:rPr>
                <w:rFonts w:ascii="Times New Roman" w:eastAsia="Times New Roman" w:hAnsi="Times New Roman" w:cs="Times New Roman"/>
                <w:lang w:val="en-GB" w:eastAsia="en-GB"/>
              </w:rPr>
              <w:t>0,15</w:t>
            </w:r>
          </w:p>
        </w:tc>
        <w:tc>
          <w:tcPr>
            <w:tcW w:w="0" w:type="auto"/>
            <w:tcBorders>
              <w:top w:val="nil"/>
              <w:bottom w:val="nil"/>
            </w:tcBorders>
            <w:noWrap/>
            <w:vAlign w:val="bottom"/>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0.67 ± 0,06</w:t>
            </w:r>
          </w:p>
        </w:tc>
      </w:tr>
      <w:tr w:rsidR="00D17511" w:rsidRPr="00BD5BCF" w:rsidTr="00D17511">
        <w:trPr>
          <w:trHeight w:val="310"/>
          <w:jc w:val="center"/>
        </w:trPr>
        <w:tc>
          <w:tcPr>
            <w:tcW w:w="0" w:type="auto"/>
            <w:tcBorders>
              <w:top w:val="nil"/>
              <w:bottom w:val="single" w:sz="4" w:space="0" w:color="auto"/>
            </w:tcBorders>
            <w:noWrap/>
            <w:vAlign w:val="bottom"/>
          </w:tcPr>
          <w:p w:rsidR="00D17511" w:rsidRPr="008826BF" w:rsidRDefault="00D17511" w:rsidP="00443A71">
            <w:pPr>
              <w:spacing w:after="0" w:line="360" w:lineRule="auto"/>
              <w:jc w:val="both"/>
              <w:rPr>
                <w:rFonts w:ascii="Times New Roman" w:eastAsia="Times New Roman" w:hAnsi="Times New Roman" w:cs="Times New Roman"/>
                <w:i/>
                <w:iCs/>
                <w:lang w:val="en-GB" w:eastAsia="en-GB"/>
              </w:rPr>
            </w:pPr>
            <w:r>
              <w:rPr>
                <w:rFonts w:ascii="Times New Roman" w:eastAsia="Times New Roman" w:hAnsi="Times New Roman" w:cs="Times New Roman"/>
                <w:i/>
                <w:iCs/>
                <w:lang w:val="en-GB" w:eastAsia="en-GB"/>
              </w:rPr>
              <w:t>Sisymbrium</w:t>
            </w:r>
          </w:p>
        </w:tc>
        <w:tc>
          <w:tcPr>
            <w:tcW w:w="0" w:type="auto"/>
            <w:tcBorders>
              <w:top w:val="nil"/>
              <w:bottom w:val="single" w:sz="4" w:space="0" w:color="auto"/>
            </w:tcBorders>
            <w:noWrap/>
            <w:vAlign w:val="bottom"/>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0.88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0,09</w:t>
            </w:r>
          </w:p>
        </w:tc>
        <w:tc>
          <w:tcPr>
            <w:tcW w:w="0" w:type="auto"/>
            <w:tcBorders>
              <w:top w:val="nil"/>
              <w:bottom w:val="single" w:sz="4" w:space="0" w:color="auto"/>
            </w:tcBorders>
            <w:noWrap/>
            <w:vAlign w:val="bottom"/>
          </w:tcPr>
          <w:p w:rsidR="00D17511" w:rsidRPr="00B409F3" w:rsidRDefault="00D17511"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0.74 ± 0,05</w:t>
            </w:r>
          </w:p>
        </w:tc>
      </w:tr>
    </w:tbl>
    <w:p w:rsidR="00D17511" w:rsidRDefault="00D17511"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r>
        <w:rPr>
          <w:rFonts w:ascii="Times New Roman" w:hAnsi="Times New Roman" w:cs="Times New Roman"/>
        </w:rPr>
        <w:t xml:space="preserve">The most sensitive to lead contamination appeared to be </w:t>
      </w:r>
      <w:r>
        <w:rPr>
          <w:rFonts w:ascii="Times New Roman" w:hAnsi="Times New Roman" w:cs="Times New Roman"/>
          <w:i/>
          <w:iCs/>
        </w:rPr>
        <w:t>Malva</w:t>
      </w:r>
      <w:r>
        <w:rPr>
          <w:rFonts w:ascii="Times New Roman" w:hAnsi="Times New Roman" w:cs="Times New Roman"/>
        </w:rPr>
        <w:t xml:space="preserve">, the leaves of which contained the highest and lowest levels of lead at the strongly </w:t>
      </w:r>
      <w:r>
        <w:rPr>
          <w:rFonts w:ascii="Times New Roman" w:hAnsi="Times New Roman" w:cs="Times New Roman"/>
          <w:i/>
          <w:iCs/>
        </w:rPr>
        <w:t>versus</w:t>
      </w:r>
      <w:r>
        <w:rPr>
          <w:rFonts w:ascii="Times New Roman" w:hAnsi="Times New Roman" w:cs="Times New Roman"/>
        </w:rPr>
        <w:t xml:space="preserve"> moderately contaminated sites, respectively. Similar, yet less pronounced patterns were shown also by other species, among which </w:t>
      </w:r>
      <w:r>
        <w:rPr>
          <w:rFonts w:ascii="Times New Roman" w:hAnsi="Times New Roman" w:cs="Times New Roman"/>
          <w:i/>
          <w:iCs/>
        </w:rPr>
        <w:t>Sisymbrium</w:t>
      </w:r>
      <w:r>
        <w:rPr>
          <w:rFonts w:ascii="Times New Roman" w:hAnsi="Times New Roman" w:cs="Times New Roman"/>
        </w:rPr>
        <w:t xml:space="preserve"> was the least sensitive to soil lead levels. Out of 15 tested antioxidant compounds or associated enzyme activities, eight (CRT, ASC, TOC, PHE, ANT, PRL, CAT, NRA) varied similarly and resulted in the correlation of log response ratios between leaf lead and antioxidants (Figure 1). </w:t>
      </w:r>
    </w:p>
    <w:p w:rsidR="00D17511" w:rsidRDefault="00D17511" w:rsidP="00D17511">
      <w:pPr>
        <w:spacing w:line="360" w:lineRule="auto"/>
        <w:jc w:val="center"/>
        <w:rPr>
          <w:rFonts w:ascii="Times New Roman" w:hAnsi="Times New Roman" w:cs="Times New Roman"/>
        </w:rPr>
      </w:pPr>
      <w:r w:rsidRPr="00D17511">
        <w:rPr>
          <w:rFonts w:ascii="Times New Roman" w:hAnsi="Times New Roman" w:cs="Times New Roman"/>
          <w:noProof/>
        </w:rPr>
        <w:drawing>
          <wp:inline distT="0" distB="0" distL="0" distR="0">
            <wp:extent cx="4100413" cy="2979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9869" cy="2993557"/>
                    </a:xfrm>
                    <a:prstGeom prst="rect">
                      <a:avLst/>
                    </a:prstGeom>
                    <a:noFill/>
                  </pic:spPr>
                </pic:pic>
              </a:graphicData>
            </a:graphic>
          </wp:inline>
        </w:drawing>
      </w:r>
    </w:p>
    <w:p w:rsidR="00D17511" w:rsidRDefault="00D17511" w:rsidP="00D17511">
      <w:pPr>
        <w:spacing w:line="360" w:lineRule="auto"/>
        <w:jc w:val="both"/>
        <w:rPr>
          <w:rFonts w:ascii="Times New Roman" w:hAnsi="Times New Roman" w:cs="Times New Roman"/>
        </w:rPr>
      </w:pPr>
      <w:r>
        <w:rPr>
          <w:rFonts w:ascii="Times New Roman" w:hAnsi="Times New Roman" w:cs="Times New Roman"/>
          <w:b/>
          <w:bCs/>
        </w:rPr>
        <w:t>Figure 1</w:t>
      </w:r>
      <w:r>
        <w:rPr>
          <w:rFonts w:ascii="Times New Roman" w:hAnsi="Times New Roman" w:cs="Times New Roman"/>
        </w:rPr>
        <w:t>. Responses to lead contamination in plant (lead content and antioxidant levels in plant leaves: correlation across species.</w:t>
      </w:r>
    </w:p>
    <w:p w:rsidR="00D17511" w:rsidRDefault="00D17511" w:rsidP="00D17511">
      <w:pPr>
        <w:spacing w:line="360" w:lineRule="auto"/>
        <w:jc w:val="both"/>
        <w:rPr>
          <w:rFonts w:ascii="Times New Roman" w:hAnsi="Times New Roman" w:cs="Times New Roman"/>
        </w:rPr>
      </w:pPr>
      <w:r>
        <w:rPr>
          <w:rFonts w:ascii="Times New Roman" w:hAnsi="Times New Roman" w:cs="Times New Roman"/>
        </w:rPr>
        <w:t xml:space="preserve">The correlations were positive only in two cases: ASC and NRA. Other correlations appeared to be negative, the slope of regression lines were especially steep in the case of CAT and ANT. The log response ratios were highly variable and rather idiosyncratic for the rest of tested antioxidant </w:t>
      </w:r>
      <w:r>
        <w:rPr>
          <w:rFonts w:ascii="Times New Roman" w:hAnsi="Times New Roman" w:cs="Times New Roman"/>
        </w:rPr>
        <w:lastRenderedPageBreak/>
        <w:t>compounds or associated enzyme activities (CHL, FLA, PRT, CRB, POA, NTR, AOA)</w:t>
      </w:r>
      <w:r>
        <w:rPr>
          <w:rFonts w:ascii="Sylfaen" w:hAnsi="Sylfaen" w:cs="Times New Roman"/>
          <w:color w:val="FF0000"/>
          <w:lang w:val="ka-GE"/>
        </w:rPr>
        <w:t>;</w:t>
      </w:r>
      <w:r>
        <w:rPr>
          <w:rFonts w:ascii="Times New Roman" w:hAnsi="Times New Roman" w:cs="Times New Roman"/>
        </w:rPr>
        <w:t xml:space="preserve"> accordingly, no correlation between log response ratios were detected (Figure 2).</w:t>
      </w:r>
    </w:p>
    <w:p w:rsidR="00D17511" w:rsidRDefault="00D17511" w:rsidP="00D17511">
      <w:pPr>
        <w:spacing w:line="360" w:lineRule="auto"/>
        <w:jc w:val="center"/>
        <w:rPr>
          <w:rFonts w:ascii="Times New Roman" w:hAnsi="Times New Roman" w:cs="Times New Roman"/>
        </w:rPr>
      </w:pPr>
      <w:r w:rsidRPr="00D17511">
        <w:rPr>
          <w:rFonts w:ascii="Times New Roman" w:hAnsi="Times New Roman" w:cs="Times New Roman"/>
          <w:noProof/>
        </w:rPr>
        <w:drawing>
          <wp:inline distT="0" distB="0" distL="0" distR="0">
            <wp:extent cx="4016520" cy="2918460"/>
            <wp:effectExtent l="19050" t="0" r="303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2497" cy="2937336"/>
                    </a:xfrm>
                    <a:prstGeom prst="rect">
                      <a:avLst/>
                    </a:prstGeom>
                    <a:noFill/>
                  </pic:spPr>
                </pic:pic>
              </a:graphicData>
            </a:graphic>
          </wp:inline>
        </w:drawing>
      </w:r>
    </w:p>
    <w:p w:rsidR="00D17511" w:rsidRPr="004348E8" w:rsidRDefault="00F45B86" w:rsidP="00F45B86">
      <w:pPr>
        <w:spacing w:line="360" w:lineRule="auto"/>
        <w:jc w:val="both"/>
        <w:rPr>
          <w:rFonts w:ascii="Times New Roman" w:hAnsi="Times New Roman" w:cs="Times New Roman"/>
        </w:rPr>
      </w:pPr>
      <w:r>
        <w:rPr>
          <w:rFonts w:ascii="Times New Roman" w:hAnsi="Times New Roman" w:cs="Times New Roman"/>
          <w:b/>
          <w:bCs/>
        </w:rPr>
        <w:t>Figure 2</w:t>
      </w:r>
      <w:r>
        <w:rPr>
          <w:rFonts w:ascii="Times New Roman" w:hAnsi="Times New Roman" w:cs="Times New Roman"/>
        </w:rPr>
        <w:t xml:space="preserve">. Idiosyncratic responses to lead contamination in plant </w:t>
      </w:r>
      <w:r>
        <w:rPr>
          <w:rFonts w:ascii="Sylfaen" w:hAnsi="Sylfaen" w:cs="Times New Roman"/>
          <w:lang w:val="ka-GE"/>
        </w:rPr>
        <w:t>(</w:t>
      </w:r>
      <w:r>
        <w:rPr>
          <w:rFonts w:ascii="Times New Roman" w:hAnsi="Times New Roman" w:cs="Times New Roman"/>
        </w:rPr>
        <w:t>lead content and antioxidant levels</w:t>
      </w:r>
      <w:r>
        <w:rPr>
          <w:rFonts w:ascii="Sylfaen" w:hAnsi="Sylfaen" w:cs="Times New Roman"/>
          <w:lang w:val="ka-GE"/>
        </w:rPr>
        <w:t xml:space="preserve"> </w:t>
      </w:r>
      <w:r>
        <w:rPr>
          <w:rFonts w:ascii="Sylfaen" w:hAnsi="Sylfaen" w:cs="Times New Roman"/>
        </w:rPr>
        <w:t>in leaves).</w:t>
      </w:r>
    </w:p>
    <w:p w:rsidR="00F45B86" w:rsidRDefault="000C7BCB" w:rsidP="0001613B">
      <w:pPr>
        <w:spacing w:line="360" w:lineRule="auto"/>
        <w:jc w:val="both"/>
        <w:rPr>
          <w:rFonts w:ascii="Times New Roman" w:hAnsi="Times New Roman" w:cs="Times New Roman"/>
        </w:rPr>
      </w:pPr>
      <w:r>
        <w:rPr>
          <w:rFonts w:ascii="Times New Roman" w:hAnsi="Times New Roman" w:cs="Times New Roman"/>
          <w:lang w:val="ka-GE"/>
        </w:rPr>
        <w:t xml:space="preserve">The concentration of cadmium in plant leaves was also variable across species that grew at strongly </w:t>
      </w:r>
      <w:r>
        <w:rPr>
          <w:rFonts w:ascii="Times New Roman" w:hAnsi="Times New Roman" w:cs="Times New Roman"/>
          <w:i/>
          <w:iCs/>
          <w:lang w:val="ka-GE"/>
        </w:rPr>
        <w:t>versus</w:t>
      </w:r>
      <w:r>
        <w:rPr>
          <w:rFonts w:ascii="Times New Roman" w:hAnsi="Times New Roman" w:cs="Times New Roman"/>
          <w:lang w:val="ka-GE"/>
        </w:rPr>
        <w:t xml:space="preserve"> moderately contaminated sites (Table 3).</w:t>
      </w:r>
    </w:p>
    <w:p w:rsidR="00F45B86" w:rsidRPr="00BD5BCF" w:rsidRDefault="00F45B86" w:rsidP="00F45B86">
      <w:pPr>
        <w:spacing w:line="360" w:lineRule="auto"/>
        <w:jc w:val="both"/>
        <w:rPr>
          <w:rFonts w:ascii="Times New Roman" w:hAnsi="Times New Roman" w:cs="Times New Roman"/>
        </w:rPr>
      </w:pPr>
      <w:r>
        <w:rPr>
          <w:rFonts w:ascii="Times New Roman" w:hAnsi="Times New Roman" w:cs="Times New Roman"/>
          <w:b/>
          <w:bCs/>
        </w:rPr>
        <w:t>Table 3</w:t>
      </w:r>
      <w:r>
        <w:rPr>
          <w:rFonts w:ascii="Times New Roman" w:hAnsi="Times New Roman" w:cs="Times New Roman"/>
        </w:rPr>
        <w:t>. Cadmium levels detected in plant leaves growing at highly and moderately contaminated soils</w:t>
      </w:r>
    </w:p>
    <w:tbl>
      <w:tblPr>
        <w:tblW w:w="0" w:type="auto"/>
        <w:jc w:val="center"/>
        <w:tblLook w:val="04A0" w:firstRow="1" w:lastRow="0" w:firstColumn="1" w:lastColumn="0" w:noHBand="0" w:noVBand="1"/>
      </w:tblPr>
      <w:tblGrid>
        <w:gridCol w:w="1219"/>
        <w:gridCol w:w="2441"/>
        <w:gridCol w:w="2844"/>
      </w:tblGrid>
      <w:tr w:rsidR="00F45B86" w:rsidRPr="00BD5BCF" w:rsidTr="00F45B86">
        <w:trPr>
          <w:trHeight w:val="310"/>
          <w:jc w:val="center"/>
        </w:trPr>
        <w:tc>
          <w:tcPr>
            <w:tcW w:w="0" w:type="auto"/>
            <w:tcBorders>
              <w:top w:val="single" w:sz="4" w:space="0" w:color="auto"/>
              <w:left w:val="nil"/>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Plants </w:t>
            </w:r>
          </w:p>
        </w:tc>
        <w:tc>
          <w:tcPr>
            <w:tcW w:w="0" w:type="auto"/>
            <w:gridSpan w:val="2"/>
            <w:tcBorders>
              <w:top w:val="single" w:sz="4" w:space="0" w:color="auto"/>
              <w:left w:val="nil"/>
              <w:bottom w:val="single" w:sz="4" w:space="0" w:color="auto"/>
              <w:right w:val="nil"/>
            </w:tcBorders>
            <w:noWrap/>
            <w:vAlign w:val="bottom"/>
            <w:hideMark/>
          </w:tcPr>
          <w:p w:rsidR="00F45B86" w:rsidRPr="00BD5BCF" w:rsidRDefault="00F45B86" w:rsidP="00F45B86">
            <w:pPr>
              <w:spacing w:after="0" w:line="36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Cd in leaves, mg/kg</w:t>
            </w:r>
          </w:p>
        </w:tc>
      </w:tr>
      <w:tr w:rsidR="00F45B86" w:rsidRPr="00BD5BCF" w:rsidTr="00F45B86">
        <w:trPr>
          <w:trHeight w:val="310"/>
          <w:jc w:val="center"/>
        </w:trPr>
        <w:tc>
          <w:tcPr>
            <w:tcW w:w="0" w:type="auto"/>
            <w:tcBorders>
              <w:top w:val="nil"/>
              <w:left w:val="nil"/>
              <w:bottom w:val="single" w:sz="4" w:space="0" w:color="auto"/>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nil"/>
            </w:tcBorders>
            <w:noWrap/>
            <w:vAlign w:val="bottom"/>
            <w:hideMark/>
          </w:tcPr>
          <w:p w:rsidR="00F45B86" w:rsidRPr="00BD5BCF" w:rsidRDefault="00F45B86" w:rsidP="00F45B86">
            <w:pPr>
              <w:spacing w:after="0" w:line="36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Highly contaminated soil</w:t>
            </w:r>
          </w:p>
        </w:tc>
        <w:tc>
          <w:tcPr>
            <w:tcW w:w="0" w:type="auto"/>
            <w:tcBorders>
              <w:top w:val="single" w:sz="4" w:space="0" w:color="auto"/>
              <w:left w:val="nil"/>
              <w:bottom w:val="single" w:sz="4" w:space="0" w:color="auto"/>
              <w:right w:val="nil"/>
            </w:tcBorders>
            <w:noWrap/>
            <w:vAlign w:val="bottom"/>
            <w:hideMark/>
          </w:tcPr>
          <w:p w:rsidR="00F45B86" w:rsidRPr="00BD5BCF" w:rsidRDefault="00F45B86" w:rsidP="00F45B86">
            <w:pPr>
              <w:spacing w:after="0" w:line="36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Moderately contaminated soil</w:t>
            </w:r>
          </w:p>
        </w:tc>
      </w:tr>
      <w:tr w:rsidR="00F45B86" w:rsidRPr="00BD5BCF" w:rsidTr="00F45B86">
        <w:trPr>
          <w:trHeight w:val="310"/>
          <w:jc w:val="center"/>
        </w:trPr>
        <w:tc>
          <w:tcPr>
            <w:tcW w:w="0" w:type="auto"/>
            <w:tcBorders>
              <w:top w:val="single" w:sz="4" w:space="0" w:color="auto"/>
              <w:left w:val="nil"/>
              <w:bottom w:val="nil"/>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Mentha</w:t>
            </w:r>
          </w:p>
        </w:tc>
        <w:tc>
          <w:tcPr>
            <w:tcW w:w="0" w:type="auto"/>
            <w:tcBorders>
              <w:top w:val="single" w:sz="4" w:space="0" w:color="auto"/>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0.33 </w:t>
            </w:r>
            <w:r>
              <w:rPr>
                <w:rFonts w:ascii="Calibri" w:eastAsia="Times New Roman" w:hAnsi="Calibri" w:cs="Calibri"/>
                <w:lang w:val="en-GB" w:eastAsia="en-GB"/>
              </w:rPr>
              <w:t>±</w:t>
            </w:r>
            <w:r>
              <w:rPr>
                <w:rFonts w:ascii="Times New Roman" w:eastAsia="Times New Roman" w:hAnsi="Times New Roman" w:cs="Times New Roman"/>
                <w:lang w:val="en-GB" w:eastAsia="en-GB"/>
              </w:rPr>
              <w:t xml:space="preserve"> 0,055</w:t>
            </w:r>
          </w:p>
        </w:tc>
        <w:tc>
          <w:tcPr>
            <w:tcW w:w="0" w:type="auto"/>
            <w:tcBorders>
              <w:top w:val="single" w:sz="4" w:space="0" w:color="auto"/>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r>
      <w:tr w:rsidR="00F45B86" w:rsidRPr="00BD5BCF" w:rsidTr="00F45B86">
        <w:trPr>
          <w:trHeight w:val="310"/>
          <w:jc w:val="center"/>
        </w:trPr>
        <w:tc>
          <w:tcPr>
            <w:tcW w:w="0" w:type="auto"/>
            <w:tcBorders>
              <w:top w:val="nil"/>
              <w:left w:val="nil"/>
              <w:bottom w:val="nil"/>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i/>
                <w:iCs/>
                <w:color w:val="000000"/>
                <w:lang w:val="en-GB" w:eastAsia="en-GB"/>
              </w:rPr>
            </w:pPr>
            <w:proofErr w:type="spellStart"/>
            <w:r>
              <w:rPr>
                <w:rFonts w:ascii="Times New Roman" w:eastAsia="Times New Roman" w:hAnsi="Times New Roman" w:cs="Times New Roman"/>
                <w:i/>
                <w:iCs/>
                <w:color w:val="000000"/>
                <w:lang w:val="en-GB" w:eastAsia="en-GB"/>
              </w:rPr>
              <w:t>Paliurus</w:t>
            </w:r>
            <w:proofErr w:type="spellEnd"/>
          </w:p>
        </w:tc>
        <w:tc>
          <w:tcPr>
            <w:tcW w:w="0" w:type="auto"/>
            <w:tcBorders>
              <w:top w:val="nil"/>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0.04 ± 0,007</w:t>
            </w:r>
          </w:p>
        </w:tc>
        <w:tc>
          <w:tcPr>
            <w:tcW w:w="0" w:type="auto"/>
            <w:tcBorders>
              <w:top w:val="nil"/>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0.01 ± 0,003</w:t>
            </w:r>
          </w:p>
        </w:tc>
      </w:tr>
      <w:tr w:rsidR="00F45B86" w:rsidRPr="00BD5BCF" w:rsidTr="00F45B86">
        <w:trPr>
          <w:trHeight w:val="310"/>
          <w:jc w:val="center"/>
        </w:trPr>
        <w:tc>
          <w:tcPr>
            <w:tcW w:w="0" w:type="auto"/>
            <w:tcBorders>
              <w:top w:val="nil"/>
              <w:left w:val="nil"/>
              <w:bottom w:val="nil"/>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Polygonum</w:t>
            </w:r>
          </w:p>
        </w:tc>
        <w:tc>
          <w:tcPr>
            <w:tcW w:w="0" w:type="auto"/>
            <w:tcBorders>
              <w:top w:val="nil"/>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0.23 ± 0,070</w:t>
            </w:r>
          </w:p>
        </w:tc>
        <w:tc>
          <w:tcPr>
            <w:tcW w:w="0" w:type="auto"/>
            <w:tcBorders>
              <w:top w:val="nil"/>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0.13 ± 0,025</w:t>
            </w:r>
          </w:p>
        </w:tc>
      </w:tr>
      <w:tr w:rsidR="00F45B86" w:rsidRPr="00BD5BCF" w:rsidTr="00F45B86">
        <w:trPr>
          <w:trHeight w:val="310"/>
          <w:jc w:val="center"/>
        </w:trPr>
        <w:tc>
          <w:tcPr>
            <w:tcW w:w="0" w:type="auto"/>
            <w:tcBorders>
              <w:top w:val="nil"/>
              <w:left w:val="nil"/>
              <w:bottom w:val="nil"/>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Rumex</w:t>
            </w:r>
          </w:p>
        </w:tc>
        <w:tc>
          <w:tcPr>
            <w:tcW w:w="0" w:type="auto"/>
            <w:tcBorders>
              <w:top w:val="nil"/>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0.88 ± 0,080</w:t>
            </w:r>
          </w:p>
        </w:tc>
        <w:tc>
          <w:tcPr>
            <w:tcW w:w="0" w:type="auto"/>
            <w:tcBorders>
              <w:top w:val="nil"/>
              <w:left w:val="nil"/>
              <w:bottom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0.03 ± 0,005</w:t>
            </w:r>
          </w:p>
        </w:tc>
      </w:tr>
      <w:tr w:rsidR="00F45B86" w:rsidRPr="00BD5BCF" w:rsidTr="00F45B86">
        <w:trPr>
          <w:trHeight w:val="310"/>
          <w:jc w:val="center"/>
        </w:trPr>
        <w:tc>
          <w:tcPr>
            <w:tcW w:w="0" w:type="auto"/>
            <w:tcBorders>
              <w:top w:val="nil"/>
              <w:left w:val="nil"/>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Salvia</w:t>
            </w:r>
          </w:p>
        </w:tc>
        <w:tc>
          <w:tcPr>
            <w:tcW w:w="0" w:type="auto"/>
            <w:tcBorders>
              <w:top w:val="nil"/>
              <w:left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0.09 ± 0,004</w:t>
            </w:r>
          </w:p>
        </w:tc>
        <w:tc>
          <w:tcPr>
            <w:tcW w:w="0" w:type="auto"/>
            <w:tcBorders>
              <w:top w:val="nil"/>
              <w:left w:val="nil"/>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0.02 ± 0,003</w:t>
            </w:r>
          </w:p>
        </w:tc>
      </w:tr>
      <w:tr w:rsidR="00F45B86" w:rsidRPr="00BD5BCF" w:rsidTr="00F45B86">
        <w:trPr>
          <w:trHeight w:val="310"/>
          <w:jc w:val="center"/>
        </w:trPr>
        <w:tc>
          <w:tcPr>
            <w:tcW w:w="0" w:type="auto"/>
            <w:tcBorders>
              <w:top w:val="nil"/>
              <w:left w:val="nil"/>
              <w:bottom w:val="single" w:sz="4" w:space="0" w:color="auto"/>
              <w:right w:val="nil"/>
            </w:tcBorders>
            <w:noWrap/>
            <w:vAlign w:val="bottom"/>
            <w:hideMark/>
          </w:tcPr>
          <w:p w:rsidR="00F45B86" w:rsidRPr="00BD5BCF" w:rsidRDefault="00F45B86" w:rsidP="00443A71">
            <w:pPr>
              <w:spacing w:after="0" w:line="360" w:lineRule="auto"/>
              <w:jc w:val="both"/>
              <w:rPr>
                <w:rFonts w:ascii="Times New Roman" w:eastAsia="Times New Roman" w:hAnsi="Times New Roman" w:cs="Times New Roman"/>
                <w:i/>
                <w:iCs/>
                <w:color w:val="000000"/>
                <w:lang w:val="en-GB" w:eastAsia="en-GB"/>
              </w:rPr>
            </w:pPr>
            <w:r>
              <w:rPr>
                <w:rFonts w:ascii="Times New Roman" w:eastAsia="Times New Roman" w:hAnsi="Times New Roman" w:cs="Times New Roman"/>
                <w:i/>
                <w:iCs/>
                <w:color w:val="000000"/>
                <w:lang w:val="en-GB" w:eastAsia="en-GB"/>
              </w:rPr>
              <w:t>Xanthium</w:t>
            </w:r>
          </w:p>
        </w:tc>
        <w:tc>
          <w:tcPr>
            <w:tcW w:w="0" w:type="auto"/>
            <w:tcBorders>
              <w:top w:val="nil"/>
              <w:left w:val="nil"/>
              <w:bottom w:val="single" w:sz="4" w:space="0" w:color="auto"/>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0.08 ± 0,004</w:t>
            </w:r>
          </w:p>
        </w:tc>
        <w:tc>
          <w:tcPr>
            <w:tcW w:w="0" w:type="auto"/>
            <w:tcBorders>
              <w:top w:val="nil"/>
              <w:left w:val="nil"/>
              <w:bottom w:val="single" w:sz="4" w:space="0" w:color="auto"/>
              <w:right w:val="nil"/>
            </w:tcBorders>
            <w:noWrap/>
            <w:vAlign w:val="bottom"/>
            <w:hideMark/>
          </w:tcPr>
          <w:p w:rsidR="00F45B86" w:rsidRPr="00B409F3" w:rsidRDefault="00F45B86" w:rsidP="00443A71">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0.11 ± 0,02</w:t>
            </w:r>
          </w:p>
        </w:tc>
      </w:tr>
    </w:tbl>
    <w:p w:rsidR="00F45B86" w:rsidRDefault="00F45B86"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r>
        <w:rPr>
          <w:rFonts w:ascii="Times New Roman" w:hAnsi="Times New Roman" w:cs="Times New Roman"/>
          <w:i/>
          <w:iCs/>
          <w:lang w:val="ka-GE"/>
        </w:rPr>
        <w:t>Rumex</w:t>
      </w:r>
      <w:r>
        <w:rPr>
          <w:rFonts w:ascii="Times New Roman" w:hAnsi="Times New Roman" w:cs="Times New Roman"/>
          <w:lang w:val="ka-GE"/>
        </w:rPr>
        <w:t xml:space="preserve"> emerged as the most sensitive species to the different levels of soil contamination; the leaves of this species contained the highest and lowest cadmium levels correponding to the strong and moderate contamination of soil.</w:t>
      </w:r>
      <w:r>
        <w:rPr>
          <w:rFonts w:ascii="Times New Roman" w:hAnsi="Times New Roman" w:cs="Times New Roman"/>
        </w:rPr>
        <w:t xml:space="preserve"> Similar, although less pronounced patterns were shown also by other species, among which </w:t>
      </w:r>
      <w:r>
        <w:rPr>
          <w:rFonts w:ascii="Times New Roman" w:hAnsi="Times New Roman" w:cs="Times New Roman"/>
          <w:i/>
          <w:iCs/>
        </w:rPr>
        <w:t>Xanthium</w:t>
      </w:r>
      <w:r>
        <w:rPr>
          <w:rFonts w:ascii="Times New Roman" w:hAnsi="Times New Roman" w:cs="Times New Roman"/>
        </w:rPr>
        <w:t xml:space="preserve"> was the least sensitive to the variation in soil cadmium. Out of 13 </w:t>
      </w:r>
      <w:r>
        <w:rPr>
          <w:rFonts w:ascii="Times New Roman" w:hAnsi="Times New Roman" w:cs="Times New Roman"/>
        </w:rPr>
        <w:lastRenderedPageBreak/>
        <w:t>antioxidant compounds or associated enzyme activities tested, four (ASC, PHE, PRL, NIT) produced log response ratios that correlated with those of cadmium concentrations (Figure 3). The correlation was positive only in the case of PRL; the rest three were negative with steep slope for PHE and NIT. For the rest of antioxidant compounds or associated enzyme activities (CHL, CRT, TOC, FLA, ANT, PRT, CRB, CAT, NRA) no correlations were detected (Figure 4); these responses were highly also variable but rather idiosyncratic.</w:t>
      </w:r>
    </w:p>
    <w:p w:rsidR="00F45B86" w:rsidRDefault="00F45B86" w:rsidP="00F45B86">
      <w:pPr>
        <w:spacing w:line="360" w:lineRule="auto"/>
        <w:jc w:val="center"/>
        <w:rPr>
          <w:rFonts w:ascii="Times New Roman" w:hAnsi="Times New Roman" w:cs="Times New Roman"/>
        </w:rPr>
      </w:pPr>
      <w:r w:rsidRPr="00F45B86">
        <w:rPr>
          <w:rFonts w:ascii="Times New Roman" w:hAnsi="Times New Roman" w:cs="Times New Roman"/>
          <w:noProof/>
        </w:rPr>
        <w:drawing>
          <wp:inline distT="0" distB="0" distL="0" distR="0">
            <wp:extent cx="4147432" cy="3013583"/>
            <wp:effectExtent l="19050" t="0" r="546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0096" cy="3037317"/>
                    </a:xfrm>
                    <a:prstGeom prst="rect">
                      <a:avLst/>
                    </a:prstGeom>
                    <a:noFill/>
                  </pic:spPr>
                </pic:pic>
              </a:graphicData>
            </a:graphic>
          </wp:inline>
        </w:drawing>
      </w:r>
    </w:p>
    <w:p w:rsidR="00F45B86" w:rsidRPr="00E20ECC" w:rsidRDefault="00F45B86" w:rsidP="00F45B86">
      <w:pPr>
        <w:spacing w:line="360" w:lineRule="auto"/>
        <w:jc w:val="both"/>
        <w:rPr>
          <w:rFonts w:ascii="Times New Roman" w:hAnsi="Times New Roman" w:cs="Times New Roman"/>
        </w:rPr>
      </w:pPr>
      <w:r>
        <w:rPr>
          <w:rFonts w:ascii="Times New Roman" w:hAnsi="Times New Roman" w:cs="Times New Roman"/>
          <w:b/>
          <w:bCs/>
        </w:rPr>
        <w:t>Figure 3</w:t>
      </w:r>
      <w:r>
        <w:rPr>
          <w:rFonts w:ascii="Times New Roman" w:hAnsi="Times New Roman" w:cs="Times New Roman"/>
        </w:rPr>
        <w:t>. Responses to cadmium contamination in plant (cadmium content and antioxidant levels in leaves: correlation across species).</w:t>
      </w:r>
    </w:p>
    <w:p w:rsidR="00F45B86" w:rsidRDefault="00F45B86" w:rsidP="00F45B86">
      <w:pPr>
        <w:spacing w:line="360" w:lineRule="auto"/>
        <w:jc w:val="center"/>
        <w:rPr>
          <w:rFonts w:ascii="Times New Roman" w:hAnsi="Times New Roman" w:cs="Times New Roman"/>
        </w:rPr>
      </w:pPr>
      <w:r w:rsidRPr="00F45B86">
        <w:rPr>
          <w:rFonts w:ascii="Times New Roman" w:hAnsi="Times New Roman" w:cs="Times New Roman"/>
          <w:noProof/>
        </w:rPr>
        <w:drawing>
          <wp:inline distT="0" distB="0" distL="0" distR="0">
            <wp:extent cx="3952027" cy="287159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7532" cy="2897398"/>
                    </a:xfrm>
                    <a:prstGeom prst="rect">
                      <a:avLst/>
                    </a:prstGeom>
                    <a:noFill/>
                  </pic:spPr>
                </pic:pic>
              </a:graphicData>
            </a:graphic>
          </wp:inline>
        </w:drawing>
      </w:r>
    </w:p>
    <w:p w:rsidR="000C7BCB" w:rsidRDefault="00F45B86" w:rsidP="0001613B">
      <w:pPr>
        <w:spacing w:line="360" w:lineRule="auto"/>
        <w:jc w:val="both"/>
        <w:rPr>
          <w:rFonts w:ascii="Times New Roman" w:hAnsi="Times New Roman" w:cs="Times New Roman"/>
        </w:rPr>
      </w:pPr>
      <w:r>
        <w:rPr>
          <w:rFonts w:ascii="Times New Roman" w:hAnsi="Times New Roman" w:cs="Times New Roman"/>
          <w:b/>
          <w:bCs/>
        </w:rPr>
        <w:t>Figure 4</w:t>
      </w:r>
      <w:r>
        <w:rPr>
          <w:rFonts w:ascii="Times New Roman" w:hAnsi="Times New Roman" w:cs="Times New Roman"/>
        </w:rPr>
        <w:t>. Idiosyncratic responses to cadmium contamination in plant (cadmium content and antioxidant levels in leaves).</w:t>
      </w:r>
    </w:p>
    <w:p w:rsidR="000C7BCB" w:rsidRPr="000C7BCB" w:rsidRDefault="000C7BCB" w:rsidP="0001613B">
      <w:pPr>
        <w:spacing w:line="360" w:lineRule="auto"/>
        <w:jc w:val="both"/>
        <w:rPr>
          <w:rFonts w:ascii="Times New Roman" w:hAnsi="Times New Roman" w:cs="Times New Roman"/>
          <w:b/>
          <w:bCs/>
        </w:rPr>
      </w:pPr>
      <w:r>
        <w:rPr>
          <w:rFonts w:ascii="Times New Roman" w:hAnsi="Times New Roman" w:cs="Times New Roman"/>
          <w:b/>
          <w:bCs/>
        </w:rPr>
        <w:lastRenderedPageBreak/>
        <w:t>Discussion</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The present study applied a log response ratio approach to compare antioxidant responses across multiple plant species simultaneously, offering a community-level perspective that is rarely attempted in heavy metal ecophysiology. The results reveal a mixture of stress-specific and species-specific responses, with the balance between these two patterns differing between the two metals examined.</w:t>
      </w:r>
    </w:p>
    <w:p w:rsidR="00CB38ED" w:rsidRDefault="007122F2" w:rsidP="00373CBB">
      <w:pPr>
        <w:spacing w:line="360" w:lineRule="auto"/>
        <w:jc w:val="both"/>
        <w:rPr>
          <w:rFonts w:ascii="Times New Roman" w:hAnsi="Times New Roman" w:cs="Times New Roman"/>
        </w:rPr>
      </w:pPr>
      <w:r>
        <w:rPr>
          <w:rFonts w:ascii="Times New Roman" w:hAnsi="Times New Roman" w:cs="Times New Roman"/>
        </w:rPr>
        <w:t xml:space="preserve">For lead contamination, more than half of the tested antioxidant variables (8 of 15) produced </w:t>
      </w:r>
      <w:proofErr w:type="spellStart"/>
      <w:r>
        <w:rPr>
          <w:rFonts w:ascii="Times New Roman" w:hAnsi="Times New Roman" w:cs="Times New Roman"/>
        </w:rPr>
        <w:t>lnRR</w:t>
      </w:r>
      <w:proofErr w:type="spellEnd"/>
      <w:r>
        <w:rPr>
          <w:rFonts w:ascii="Times New Roman" w:hAnsi="Times New Roman" w:cs="Times New Roman"/>
        </w:rPr>
        <w:t xml:space="preserve"> values that correlated across species, indicating that the direction and relative magnitude of their responses to increasing leaf </w:t>
      </w:r>
      <w:r w:rsidR="002A0455">
        <w:rPr>
          <w:rFonts w:ascii="Times New Roman" w:hAnsi="Times New Roman" w:cs="Times New Roman"/>
        </w:rPr>
        <w:t>lead</w:t>
      </w:r>
      <w:r>
        <w:rPr>
          <w:rFonts w:ascii="Times New Roman" w:hAnsi="Times New Roman" w:cs="Times New Roman"/>
        </w:rPr>
        <w:t xml:space="preserve"> were largely consistent regardless of species identity. The majority of these correlations were negative, meaning that the antioxidant compounds or enzyme activities in question — carotenoids, tocopherols, soluble phenolics, anthocyanins, and catalase activity — declined as leaf lead content increased from moderate to high contamination. This pattern most plausibly reflects suppression of these antioxidant elements under severe lead stress, rather than their active </w:t>
      </w:r>
      <w:proofErr w:type="spellStart"/>
      <w:r>
        <w:rPr>
          <w:rFonts w:ascii="Times New Roman" w:hAnsi="Times New Roman" w:cs="Times New Roman"/>
        </w:rPr>
        <w:t>mobilisation</w:t>
      </w:r>
      <w:proofErr w:type="spellEnd"/>
      <w:r>
        <w:rPr>
          <w:rFonts w:ascii="Times New Roman" w:hAnsi="Times New Roman" w:cs="Times New Roman"/>
        </w:rPr>
        <w:t xml:space="preserve">. </w:t>
      </w:r>
    </w:p>
    <w:p w:rsidR="002A4B59" w:rsidRPr="00891402" w:rsidRDefault="00373CBB" w:rsidP="0001613B">
      <w:pPr>
        <w:spacing w:line="360" w:lineRule="auto"/>
        <w:jc w:val="both"/>
        <w:rPr>
          <w:rFonts w:ascii="Times New Roman" w:hAnsi="Times New Roman" w:cs="Times New Roman"/>
        </w:rPr>
      </w:pPr>
      <w:r w:rsidRPr="00373CBB">
        <w:rPr>
          <w:rFonts w:ascii="Times New Roman" w:hAnsi="Times New Roman" w:cs="Times New Roman"/>
        </w:rPr>
        <w:t xml:space="preserve">Generally both Pb and Cd are </w:t>
      </w:r>
      <w:r w:rsidRPr="00373CBB">
        <w:rPr>
          <w:rStyle w:val="Strong"/>
          <w:rFonts w:ascii="Times New Roman" w:hAnsi="Times New Roman" w:cs="Times New Roman"/>
          <w:b w:val="0"/>
        </w:rPr>
        <w:t>non-essential and toxic metals</w:t>
      </w:r>
      <w:r w:rsidRPr="00373CBB">
        <w:rPr>
          <w:rFonts w:ascii="Times New Roman" w:hAnsi="Times New Roman" w:cs="Times New Roman"/>
        </w:rPr>
        <w:t xml:space="preserve"> that disrupt plant metabolism.</w:t>
      </w:r>
      <w:r w:rsidRPr="00373CBB">
        <w:rPr>
          <w:rFonts w:ascii="Times New Roman" w:eastAsia="Times New Roman" w:hAnsi="Symbol" w:cs="Times New Roman"/>
          <w:lang w:eastAsia="ru-RU"/>
        </w:rPr>
        <w:t xml:space="preserve"> They </w:t>
      </w:r>
      <w:r w:rsidRPr="00373CBB">
        <w:rPr>
          <w:rFonts w:ascii="Times New Roman" w:eastAsia="Times New Roman" w:hAnsi="Times New Roman" w:cs="Times New Roman"/>
          <w:lang w:eastAsia="ru-RU"/>
        </w:rPr>
        <w:t>reduce seed germination and growth, damage cell membranes, inhibit photosynthesis and enzyme activity, and cause oxidative stress</w:t>
      </w:r>
      <w:r w:rsidRPr="00361FC7">
        <w:rPr>
          <w:rFonts w:ascii="Times New Roman" w:eastAsia="Times New Roman" w:hAnsi="Times New Roman" w:cs="Times New Roman"/>
          <w:lang w:eastAsia="ru-RU"/>
        </w:rPr>
        <w:t xml:space="preserve"> </w:t>
      </w:r>
      <w:r w:rsidR="00361FC7" w:rsidRPr="00361FC7">
        <w:rPr>
          <w:rFonts w:ascii="Times New Roman" w:hAnsi="Times New Roman" w:cs="Times New Roman"/>
        </w:rPr>
        <w:t>(</w:t>
      </w:r>
      <w:r w:rsidR="00361FC7">
        <w:rPr>
          <w:rFonts w:ascii="Times New Roman" w:hAnsi="Times New Roman" w:cs="Times New Roman"/>
        </w:rPr>
        <w:t>Colin et al., 2022; Haider et al., 2021</w:t>
      </w:r>
      <w:r w:rsidR="00361FC7" w:rsidRPr="00361FC7">
        <w:rPr>
          <w:rFonts w:ascii="Times New Roman" w:hAnsi="Times New Roman" w:cs="Times New Roman"/>
        </w:rPr>
        <w:t>)</w:t>
      </w:r>
      <w:r w:rsidR="00390E37">
        <w:rPr>
          <w:rFonts w:ascii="Times New Roman" w:hAnsi="Times New Roman" w:cs="Times New Roman"/>
        </w:rPr>
        <w:t xml:space="preserve">; </w:t>
      </w:r>
      <w:r w:rsidR="007122F2">
        <w:rPr>
          <w:rFonts w:ascii="Times New Roman" w:hAnsi="Times New Roman" w:cs="Times New Roman"/>
        </w:rPr>
        <w:t xml:space="preserve">and the steep negative slopes observed for catalase and anthocyanins (Figure 1) are consistent with a toxic overload that overwhelms rather than stimulates these particular </w:t>
      </w:r>
      <w:r w:rsidR="00352E1B">
        <w:rPr>
          <w:rFonts w:ascii="Times New Roman" w:hAnsi="Times New Roman" w:cs="Times New Roman"/>
        </w:rPr>
        <w:t>defenses</w:t>
      </w:r>
      <w:r w:rsidR="007122F2">
        <w:rPr>
          <w:rFonts w:ascii="Times New Roman" w:hAnsi="Times New Roman" w:cs="Times New Roman"/>
        </w:rPr>
        <w:t xml:space="preserve">. By contrast, the positive correlations for ascorbic acid and nitrate reductase activity suggest that these two components are actively upregulated in response to increasing leaf lead, and may therefore represent the primary reactive </w:t>
      </w:r>
      <w:proofErr w:type="spellStart"/>
      <w:r w:rsidR="007122F2">
        <w:rPr>
          <w:rFonts w:ascii="Times New Roman" w:hAnsi="Times New Roman" w:cs="Times New Roman"/>
        </w:rPr>
        <w:t>defences</w:t>
      </w:r>
      <w:proofErr w:type="spellEnd"/>
      <w:r w:rsidR="007122F2">
        <w:rPr>
          <w:rFonts w:ascii="Times New Roman" w:hAnsi="Times New Roman" w:cs="Times New Roman"/>
        </w:rPr>
        <w:t xml:space="preserve"> deployed by these species against </w:t>
      </w:r>
      <w:r w:rsidR="002A0455">
        <w:rPr>
          <w:rFonts w:ascii="Times New Roman" w:hAnsi="Times New Roman" w:cs="Times New Roman"/>
        </w:rPr>
        <w:t>lead</w:t>
      </w:r>
      <w:r w:rsidR="007122F2">
        <w:rPr>
          <w:rFonts w:ascii="Times New Roman" w:hAnsi="Times New Roman" w:cs="Times New Roman"/>
        </w:rPr>
        <w:t xml:space="preserve"> toxicity.</w:t>
      </w:r>
      <w:r w:rsidR="00AD178C">
        <w:rPr>
          <w:rFonts w:ascii="Times New Roman" w:hAnsi="Times New Roman" w:cs="Times New Roman"/>
        </w:rPr>
        <w:t xml:space="preserve"> This cooperative stress-protective activity of ASC and NR is easy to explain. According to recent</w:t>
      </w:r>
      <w:r w:rsidR="002A4B59">
        <w:rPr>
          <w:rFonts w:ascii="Times New Roman" w:hAnsi="Times New Roman" w:cs="Times New Roman"/>
        </w:rPr>
        <w:t xml:space="preserve"> studies, </w:t>
      </w:r>
      <w:r w:rsidR="00AD178C" w:rsidRPr="0079069C">
        <w:rPr>
          <w:rFonts w:ascii="Times New Roman" w:hAnsi="Times New Roman" w:cs="Times New Roman"/>
        </w:rPr>
        <w:t>N</w:t>
      </w:r>
      <w:r w:rsidR="00AD178C">
        <w:rPr>
          <w:rFonts w:ascii="Times New Roman" w:hAnsi="Times New Roman" w:cs="Times New Roman"/>
        </w:rPr>
        <w:t>R</w:t>
      </w:r>
      <w:r w:rsidR="00AD178C" w:rsidRPr="0079069C">
        <w:rPr>
          <w:rFonts w:ascii="Times New Roman" w:hAnsi="Times New Roman" w:cs="Times New Roman"/>
        </w:rPr>
        <w:t xml:space="preserve"> plays a crucial role in plant responses to heavy metal stress by linking nitrogen metabolism with stress signaling pathways. </w:t>
      </w:r>
      <w:r w:rsidR="00AD178C">
        <w:rPr>
          <w:rFonts w:ascii="Times New Roman" w:hAnsi="Times New Roman" w:cs="Times New Roman"/>
        </w:rPr>
        <w:t>T</w:t>
      </w:r>
      <w:r w:rsidR="00AD178C" w:rsidRPr="0079069C">
        <w:rPr>
          <w:rFonts w:ascii="Times New Roman" w:hAnsi="Times New Roman" w:cs="Times New Roman"/>
        </w:rPr>
        <w:t xml:space="preserve">he enzyme contributes to stress tolerance through the production of nitric oxide, </w:t>
      </w:r>
      <w:r w:rsidR="00AD178C">
        <w:rPr>
          <w:rFonts w:ascii="Times New Roman" w:hAnsi="Times New Roman" w:cs="Times New Roman"/>
        </w:rPr>
        <w:t>which in turn activates</w:t>
      </w:r>
      <w:r w:rsidR="00AD178C" w:rsidRPr="0079069C">
        <w:rPr>
          <w:rFonts w:ascii="Times New Roman" w:hAnsi="Times New Roman" w:cs="Times New Roman"/>
        </w:rPr>
        <w:t xml:space="preserve"> the ascorbate–glutathione cycle, and helps maintain reactive oxygen species homeostasis under stress conditions (Kaya et al., 2020; Gupta &amp; Gupta, 2025). </w:t>
      </w:r>
      <w:r w:rsidR="002A4B59">
        <w:rPr>
          <w:rFonts w:ascii="Times New Roman" w:hAnsi="Times New Roman" w:cs="Times New Roman"/>
        </w:rPr>
        <w:t>A</w:t>
      </w:r>
      <w:r w:rsidR="00FA23A9" w:rsidRPr="00D971C4">
        <w:rPr>
          <w:rFonts w:ascii="Times New Roman" w:hAnsi="Times New Roman" w:cs="Times New Roman"/>
        </w:rPr>
        <w:t>scorbic acid</w:t>
      </w:r>
      <w:r w:rsidR="00B02AB2">
        <w:rPr>
          <w:rFonts w:ascii="Times New Roman" w:hAnsi="Times New Roman" w:cs="Times New Roman"/>
        </w:rPr>
        <w:t>,</w:t>
      </w:r>
      <w:r w:rsidR="00FA23A9" w:rsidRPr="00D971C4">
        <w:rPr>
          <w:rFonts w:ascii="Times New Roman" w:hAnsi="Times New Roman" w:cs="Times New Roman"/>
        </w:rPr>
        <w:t xml:space="preserve"> </w:t>
      </w:r>
      <w:r w:rsidR="002A4B59">
        <w:rPr>
          <w:rFonts w:ascii="Times New Roman" w:hAnsi="Times New Roman" w:cs="Times New Roman"/>
        </w:rPr>
        <w:t xml:space="preserve">from its side, </w:t>
      </w:r>
      <w:r w:rsidR="00FA23A9" w:rsidRPr="00D971C4">
        <w:rPr>
          <w:rFonts w:ascii="Times New Roman" w:hAnsi="Times New Roman" w:cs="Times New Roman"/>
        </w:rPr>
        <w:t xml:space="preserve">plays a multifaceted role in plant tolerance to heavy metal stress, beyond its classical antioxidant function. It acts as a central regulator of cellular </w:t>
      </w:r>
      <w:r w:rsidR="00FA23A9" w:rsidRPr="00891402">
        <w:rPr>
          <w:rFonts w:ascii="Times New Roman" w:hAnsi="Times New Roman" w:cs="Times New Roman"/>
        </w:rPr>
        <w:t>redox homeostasis and integrates metabolic and signaling pathways involved in stress responses</w:t>
      </w:r>
      <w:r w:rsidR="00891402" w:rsidRPr="00891402">
        <w:rPr>
          <w:rFonts w:ascii="Times New Roman" w:hAnsi="Times New Roman" w:cs="Times New Roman"/>
        </w:rPr>
        <w:t>.</w:t>
      </w:r>
      <w:r w:rsidR="00FA23A9" w:rsidRPr="00891402">
        <w:rPr>
          <w:rFonts w:ascii="Times New Roman" w:hAnsi="Times New Roman" w:cs="Times New Roman"/>
        </w:rPr>
        <w:t xml:space="preserve"> </w:t>
      </w:r>
      <w:r w:rsidR="00891402" w:rsidRPr="00891402">
        <w:rPr>
          <w:rFonts w:ascii="Times New Roman" w:hAnsi="Times New Roman" w:cs="Times New Roman"/>
        </w:rPr>
        <w:t>Furthermore, ascorbic acid contributes to metal detoxification mechanisms by supporting chelation processes and facilitating the sequestration of toxic ions into vacuoles</w:t>
      </w:r>
      <w:r w:rsidR="00891402">
        <w:t>.</w:t>
      </w:r>
      <w:r w:rsidR="00891402" w:rsidRPr="00D971C4">
        <w:rPr>
          <w:rFonts w:ascii="Times New Roman" w:hAnsi="Times New Roman" w:cs="Times New Roman"/>
        </w:rPr>
        <w:t xml:space="preserve"> </w:t>
      </w:r>
      <w:r w:rsidR="00FA23A9" w:rsidRPr="00891402">
        <w:rPr>
          <w:rFonts w:ascii="Times New Roman" w:hAnsi="Times New Roman" w:cs="Times New Roman"/>
        </w:rPr>
        <w:t>(</w:t>
      </w:r>
      <w:proofErr w:type="spellStart"/>
      <w:r w:rsidR="00891402" w:rsidRPr="00891402">
        <w:rPr>
          <w:rFonts w:ascii="Times New Roman" w:hAnsi="Times New Roman" w:cs="Times New Roman"/>
        </w:rPr>
        <w:t>Cárcamo-Fincheira</w:t>
      </w:r>
      <w:proofErr w:type="spellEnd"/>
      <w:r w:rsidR="00891402" w:rsidRPr="00891402">
        <w:rPr>
          <w:rFonts w:ascii="Times New Roman" w:hAnsi="Times New Roman" w:cs="Times New Roman"/>
        </w:rPr>
        <w:t xml:space="preserve"> </w:t>
      </w:r>
      <w:r w:rsidR="00891402">
        <w:rPr>
          <w:rFonts w:ascii="Times New Roman" w:hAnsi="Times New Roman" w:cs="Times New Roman"/>
        </w:rPr>
        <w:t>et al.,</w:t>
      </w:r>
      <w:r w:rsidR="00891402" w:rsidRPr="00891402">
        <w:rPr>
          <w:rFonts w:ascii="Times New Roman" w:hAnsi="Times New Roman" w:cs="Times New Roman"/>
        </w:rPr>
        <w:t xml:space="preserve"> 2024; </w:t>
      </w:r>
      <w:r w:rsidR="00FA23A9" w:rsidRPr="00891402">
        <w:rPr>
          <w:rFonts w:ascii="Times New Roman" w:hAnsi="Times New Roman" w:cs="Times New Roman"/>
        </w:rPr>
        <w:t xml:space="preserve">Mishra et al., 2024). </w:t>
      </w:r>
    </w:p>
    <w:p w:rsidR="002A4B59" w:rsidRDefault="007122F2" w:rsidP="0001613B">
      <w:pPr>
        <w:spacing w:line="360" w:lineRule="auto"/>
        <w:jc w:val="both"/>
        <w:rPr>
          <w:rFonts w:ascii="Times New Roman" w:hAnsi="Times New Roman" w:cs="Times New Roman"/>
        </w:rPr>
      </w:pPr>
      <w:r>
        <w:rPr>
          <w:rFonts w:ascii="Times New Roman" w:hAnsi="Times New Roman" w:cs="Times New Roman"/>
        </w:rPr>
        <w:t xml:space="preserve">For cadmium, the proportion of correlated responses was considerably smaller (4 of 13), pointing to a greater degree of species-specificity in the antioxidant reaction to this metal. Among the correlated variables, phenolics and nitrate reductase activity again showed negative relationships with increasing leaf cadmium, paralleling the pattern seen under lead stress and suggesting that </w:t>
      </w:r>
      <w:r w:rsidR="002A0455">
        <w:rPr>
          <w:rFonts w:ascii="Times New Roman" w:hAnsi="Times New Roman" w:cs="Times New Roman"/>
        </w:rPr>
        <w:t>cadmium</w:t>
      </w:r>
      <w:r>
        <w:rPr>
          <w:rFonts w:ascii="Times New Roman" w:hAnsi="Times New Roman" w:cs="Times New Roman"/>
        </w:rPr>
        <w:t xml:space="preserve"> similarly </w:t>
      </w:r>
      <w:r>
        <w:rPr>
          <w:rFonts w:ascii="Times New Roman" w:hAnsi="Times New Roman" w:cs="Times New Roman"/>
        </w:rPr>
        <w:lastRenderedPageBreak/>
        <w:t>suppresses these components when contamination is severe. The negative correlation for ascorbic acid under cadmium — in contrast to its positive response under lead — is noteworthy and indicates that the role of th</w:t>
      </w:r>
      <w:r w:rsidR="00B02AB2">
        <w:rPr>
          <w:rFonts w:ascii="Times New Roman" w:hAnsi="Times New Roman" w:cs="Times New Roman"/>
        </w:rPr>
        <w:t>e</w:t>
      </w:r>
      <w:r>
        <w:rPr>
          <w:rFonts w:ascii="Times New Roman" w:hAnsi="Times New Roman" w:cs="Times New Roman"/>
        </w:rPr>
        <w:t>s</w:t>
      </w:r>
      <w:r w:rsidR="00B02AB2">
        <w:rPr>
          <w:rFonts w:ascii="Times New Roman" w:hAnsi="Times New Roman" w:cs="Times New Roman"/>
        </w:rPr>
        <w:t>e</w:t>
      </w:r>
      <w:r>
        <w:rPr>
          <w:rFonts w:ascii="Times New Roman" w:hAnsi="Times New Roman" w:cs="Times New Roman"/>
        </w:rPr>
        <w:t xml:space="preserve"> antioxidant</w:t>
      </w:r>
      <w:r w:rsidR="00B02AB2">
        <w:rPr>
          <w:rFonts w:ascii="Times New Roman" w:hAnsi="Times New Roman" w:cs="Times New Roman"/>
        </w:rPr>
        <w:t>s</w:t>
      </w:r>
      <w:r>
        <w:rPr>
          <w:rFonts w:ascii="Times New Roman" w:hAnsi="Times New Roman" w:cs="Times New Roman"/>
        </w:rPr>
        <w:t xml:space="preserve"> is metal-specific. </w:t>
      </w:r>
      <w:r w:rsidR="002A4B59">
        <w:rPr>
          <w:rFonts w:ascii="Times New Roman" w:hAnsi="Times New Roman" w:cs="Times New Roman"/>
        </w:rPr>
        <w:t xml:space="preserve">This is proved by literary data demonstrating that </w:t>
      </w:r>
      <w:r w:rsidR="002A4B59" w:rsidRPr="0079069C">
        <w:rPr>
          <w:rFonts w:ascii="Times New Roman" w:hAnsi="Times New Roman" w:cs="Times New Roman"/>
        </w:rPr>
        <w:t>exposure to heavy metal such as cadmium often inhibits nitrate reductase activity</w:t>
      </w:r>
      <w:r w:rsidR="002A4B59">
        <w:rPr>
          <w:rFonts w:ascii="Times New Roman" w:hAnsi="Times New Roman" w:cs="Times New Roman"/>
        </w:rPr>
        <w:t xml:space="preserve"> (Singh et al., 2019), presumably, from its side affecting ascorbate reduction.</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Proline was the only compound to exhibit a positive correlation with leaf cadmium, increasing consistently as cadmium accumulation rose across species. This is in line with the well-established role of proline as an </w:t>
      </w:r>
      <w:proofErr w:type="spellStart"/>
      <w:r>
        <w:rPr>
          <w:rFonts w:ascii="Times New Roman" w:hAnsi="Times New Roman" w:cs="Times New Roman"/>
        </w:rPr>
        <w:t>osmoprotectant</w:t>
      </w:r>
      <w:proofErr w:type="spellEnd"/>
      <w:r>
        <w:rPr>
          <w:rFonts w:ascii="Times New Roman" w:hAnsi="Times New Roman" w:cs="Times New Roman"/>
        </w:rPr>
        <w:t xml:space="preserve"> and metal-chelating agent under heavy metal stress</w:t>
      </w:r>
      <w:r w:rsidR="009A4191">
        <w:rPr>
          <w:rFonts w:ascii="Times New Roman" w:hAnsi="Times New Roman" w:cs="Times New Roman"/>
        </w:rPr>
        <w:t xml:space="preserve"> (</w:t>
      </w:r>
      <w:proofErr w:type="spellStart"/>
      <w:r w:rsidR="009A4191" w:rsidRPr="009A4191">
        <w:rPr>
          <w:rFonts w:ascii="Times New Roman" w:hAnsi="Times New Roman" w:cs="Times New Roman"/>
        </w:rPr>
        <w:t>Hosseinifard</w:t>
      </w:r>
      <w:proofErr w:type="spellEnd"/>
      <w:r w:rsidR="009A4191">
        <w:rPr>
          <w:rFonts w:ascii="Times New Roman" w:hAnsi="Times New Roman" w:cs="Times New Roman"/>
        </w:rPr>
        <w:t xml:space="preserve"> et al.</w:t>
      </w:r>
      <w:r w:rsidR="009A4191" w:rsidRPr="009A4191">
        <w:rPr>
          <w:rFonts w:ascii="Times New Roman" w:hAnsi="Times New Roman" w:cs="Times New Roman"/>
        </w:rPr>
        <w:t xml:space="preserve"> 2022</w:t>
      </w:r>
      <w:r w:rsidR="009A4191">
        <w:rPr>
          <w:rFonts w:ascii="Times New Roman" w:hAnsi="Times New Roman" w:cs="Times New Roman"/>
        </w:rPr>
        <w:t>)</w:t>
      </w:r>
      <w:r>
        <w:rPr>
          <w:rFonts w:ascii="Times New Roman" w:hAnsi="Times New Roman" w:cs="Times New Roman"/>
        </w:rPr>
        <w:t>, and suggests it may be a particularly reliable indicator of cadmium burden in these species.</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The majority of antioxidant variables produced idiosyncratic </w:t>
      </w:r>
      <w:proofErr w:type="spellStart"/>
      <w:r>
        <w:rPr>
          <w:rFonts w:ascii="Times New Roman" w:hAnsi="Times New Roman" w:cs="Times New Roman"/>
        </w:rPr>
        <w:t>lnRR</w:t>
      </w:r>
      <w:proofErr w:type="spellEnd"/>
      <w:r>
        <w:rPr>
          <w:rFonts w:ascii="Times New Roman" w:hAnsi="Times New Roman" w:cs="Times New Roman"/>
        </w:rPr>
        <w:t xml:space="preserve"> patterns under both metals, with no detectable correlation across species (Figures 2 and 4). Chlorophylls, flavonoids, total proteins, soluble carbohydrates, and peroxidase activity all fell into this category under at least one of the two metals. The high variability in these scatter plots reflects genuine biological heterogeneity: different species appear to regulate these components in fundamentally different ways under comparable contamination pressures. Whether this reflects differences in metal uptake and </w:t>
      </w:r>
      <w:proofErr w:type="spellStart"/>
      <w:r>
        <w:rPr>
          <w:rFonts w:ascii="Times New Roman" w:hAnsi="Times New Roman" w:cs="Times New Roman"/>
        </w:rPr>
        <w:t>compartmentalisation</w:t>
      </w:r>
      <w:proofErr w:type="spellEnd"/>
      <w:r>
        <w:rPr>
          <w:rFonts w:ascii="Times New Roman" w:hAnsi="Times New Roman" w:cs="Times New Roman"/>
        </w:rPr>
        <w:t xml:space="preserve"> strategies, differences in constitutive antioxidant capacity, or non-linear dose–response relationships that our two-level design cannot fully resolve, remains an open question. The contrast between Rumex — which accumulated the highest leaf cadmium levels — and Xanthium — which showed the least differential uptake between contamination levels — illustrates that species vary not only in their antioxidant responses but also in how much of the soil contaminant they absorb, a factor that inevitably contributes to the idiosyncratic patterns observed.</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Taken together, the results demonstrate that the antioxidant system does not respond as a uniform block to heavy metal stress. Instead, certain components behave in a broadly conserved, stress-specific manner that transcends species boundaries, while others are governed primarily by species identity (</w:t>
      </w:r>
      <w:proofErr w:type="spellStart"/>
      <w:r>
        <w:rPr>
          <w:rFonts w:ascii="Times New Roman" w:hAnsi="Times New Roman" w:cs="Times New Roman"/>
        </w:rPr>
        <w:t>Badridze</w:t>
      </w:r>
      <w:proofErr w:type="spellEnd"/>
      <w:r>
        <w:rPr>
          <w:rFonts w:ascii="Times New Roman" w:hAnsi="Times New Roman" w:cs="Times New Roman"/>
        </w:rPr>
        <w:t xml:space="preserve"> et al., 2025). This distinction has practical relevance: antioxidant variables that produce consistent cross-species correlations — such as ascorbic acid and proline — are likely to be more informative and reliable indicators for biomonitoring purposes than those whose responses are highly idiosyncratic.</w:t>
      </w:r>
    </w:p>
    <w:p w:rsidR="00F45B86" w:rsidRDefault="00F45B86" w:rsidP="0001613B">
      <w:pPr>
        <w:spacing w:line="360" w:lineRule="auto"/>
        <w:jc w:val="both"/>
        <w:rPr>
          <w:rFonts w:ascii="Times New Roman" w:hAnsi="Times New Roman" w:cs="Times New Roman"/>
        </w:rPr>
      </w:pPr>
    </w:p>
    <w:p w:rsidR="007122F2" w:rsidRPr="00F45B86" w:rsidRDefault="007122F2" w:rsidP="0001613B">
      <w:pPr>
        <w:spacing w:line="360" w:lineRule="auto"/>
        <w:jc w:val="both"/>
        <w:rPr>
          <w:rFonts w:ascii="Times New Roman" w:hAnsi="Times New Roman" w:cs="Times New Roman"/>
          <w:b/>
        </w:rPr>
      </w:pPr>
      <w:r w:rsidRPr="00F45B86">
        <w:rPr>
          <w:rFonts w:ascii="Times New Roman" w:hAnsi="Times New Roman" w:cs="Times New Roman"/>
          <w:b/>
        </w:rPr>
        <w:t>Conclusions</w:t>
      </w:r>
    </w:p>
    <w:p w:rsidR="007122F2" w:rsidRDefault="007122F2" w:rsidP="0001613B">
      <w:pPr>
        <w:spacing w:line="360" w:lineRule="auto"/>
        <w:jc w:val="both"/>
        <w:rPr>
          <w:rFonts w:ascii="Times New Roman" w:hAnsi="Times New Roman" w:cs="Times New Roman"/>
        </w:rPr>
      </w:pPr>
      <w:r>
        <w:rPr>
          <w:rFonts w:ascii="Times New Roman" w:hAnsi="Times New Roman" w:cs="Times New Roman"/>
        </w:rPr>
        <w:t xml:space="preserve">This study examined the effects of lead and cadmium contamination on the antioxidant system of ten plant species representing local vegetation communities in the South Caucasus, using a log response ratio framework to enable </w:t>
      </w:r>
      <w:proofErr w:type="spellStart"/>
      <w:r>
        <w:rPr>
          <w:rFonts w:ascii="Times New Roman" w:hAnsi="Times New Roman" w:cs="Times New Roman"/>
        </w:rPr>
        <w:t>standardised</w:t>
      </w:r>
      <w:proofErr w:type="spellEnd"/>
      <w:r>
        <w:rPr>
          <w:rFonts w:ascii="Times New Roman" w:hAnsi="Times New Roman" w:cs="Times New Roman"/>
        </w:rPr>
        <w:t xml:space="preserve"> comparisons across species and contamination levels. The </w:t>
      </w:r>
      <w:r>
        <w:rPr>
          <w:rFonts w:ascii="Times New Roman" w:hAnsi="Times New Roman" w:cs="Times New Roman"/>
        </w:rPr>
        <w:lastRenderedPageBreak/>
        <w:t xml:space="preserve">findings demonstrate that antioxidant responses to heavy metal stress are neither wholly conserved nor wholly species-specific, but fall along a spectrum between these two extremes. Under lead stress, a majority of tested antioxidant components responded consistently across species, with most showing suppression at high contamination and ascorbic acid and nitrate reductase activity emerging as active upregulated </w:t>
      </w:r>
      <w:proofErr w:type="spellStart"/>
      <w:r>
        <w:rPr>
          <w:rFonts w:ascii="Times New Roman" w:hAnsi="Times New Roman" w:cs="Times New Roman"/>
        </w:rPr>
        <w:t>defences</w:t>
      </w:r>
      <w:proofErr w:type="spellEnd"/>
      <w:r>
        <w:rPr>
          <w:rFonts w:ascii="Times New Roman" w:hAnsi="Times New Roman" w:cs="Times New Roman"/>
        </w:rPr>
        <w:t>. Under cadmium stress, cross-species consistency was more limited, with proline standing out as the most reliable positive indicator of metal burden. The remaining variables responded idiosyncratically, reflecting substantial inter-species variation that a two-level contamination design could not fully disentangle from possible non-linear dose–response effects. These results underscore the value of community-level ecophysiological approaches in revealing both the shared and species-specific dimensions of plant stress responses, and suggest that antioxidants showing consistent cross-species correlations — particularly ascorbic acid, proline, and nitrate reductase activity — merit priority consideration in biomonitoring frameworks for heavy metal-contaminated landscapes.</w:t>
      </w:r>
    </w:p>
    <w:p w:rsidR="00D53218" w:rsidRPr="0052002C" w:rsidRDefault="00050370" w:rsidP="0052002C">
      <w:pPr>
        <w:jc w:val="both"/>
        <w:rPr>
          <w:rFonts w:ascii="Times New Roman" w:hAnsi="Times New Roman" w:cs="Times New Roman"/>
          <w:b/>
        </w:rPr>
      </w:pPr>
      <w:r w:rsidRPr="0052002C">
        <w:rPr>
          <w:rFonts w:ascii="Times New Roman" w:hAnsi="Times New Roman" w:cs="Times New Roman"/>
          <w:b/>
        </w:rPr>
        <w:t>Disclaimer (Artificial intelligence)</w:t>
      </w:r>
    </w:p>
    <w:p w:rsidR="00D53218" w:rsidRPr="0052002C" w:rsidRDefault="00050370" w:rsidP="0052002C">
      <w:pPr>
        <w:jc w:val="both"/>
        <w:rPr>
          <w:rFonts w:ascii="Times New Roman" w:hAnsi="Times New Roman" w:cs="Times New Roman"/>
        </w:rPr>
      </w:pPr>
      <w:r w:rsidRPr="0052002C">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rsidR="007122F2" w:rsidRPr="007072D9" w:rsidRDefault="007122F2" w:rsidP="0001613B">
      <w:pPr>
        <w:spacing w:line="360" w:lineRule="auto"/>
        <w:jc w:val="both"/>
        <w:rPr>
          <w:rFonts w:ascii="Times New Roman" w:hAnsi="Times New Roman" w:cs="Times New Roman"/>
        </w:rPr>
      </w:pPr>
    </w:p>
    <w:p w:rsidR="00D53218" w:rsidRDefault="000C7BCB" w:rsidP="0052002C">
      <w:pPr>
        <w:spacing w:line="360" w:lineRule="auto"/>
        <w:ind w:left="567" w:hanging="567"/>
        <w:jc w:val="both"/>
        <w:rPr>
          <w:rFonts w:ascii="Times New Roman" w:hAnsi="Times New Roman" w:cs="Times New Roman"/>
          <w:b/>
          <w:bCs/>
        </w:rPr>
      </w:pPr>
      <w:r>
        <w:rPr>
          <w:rFonts w:ascii="Times New Roman" w:hAnsi="Times New Roman" w:cs="Times New Roman"/>
          <w:b/>
          <w:bCs/>
        </w:rPr>
        <w:t>References</w:t>
      </w:r>
    </w:p>
    <w:p w:rsidR="00D53218" w:rsidRDefault="007216F7" w:rsidP="0052002C">
      <w:pPr>
        <w:pStyle w:val="NormalWeb"/>
        <w:ind w:left="567" w:hanging="567"/>
        <w:jc w:val="both"/>
        <w:rPr>
          <w:sz w:val="22"/>
          <w:szCs w:val="22"/>
        </w:rPr>
      </w:pPr>
      <w:r w:rsidRPr="007216F7">
        <w:rPr>
          <w:sz w:val="22"/>
          <w:szCs w:val="22"/>
        </w:rPr>
        <w:t xml:space="preserve">Alloway, B. J. (2013). Sources of heavy metals and metalloids in soils. In </w:t>
      </w:r>
      <w:r w:rsidRPr="007216F7">
        <w:rPr>
          <w:rStyle w:val="Emphasis"/>
          <w:rFonts w:eastAsiaTheme="majorEastAsia"/>
          <w:sz w:val="22"/>
          <w:szCs w:val="22"/>
        </w:rPr>
        <w:t>Heavy metals in soils: Trace metals and metalloids in soils and their bioavailability</w:t>
      </w:r>
      <w:r w:rsidRPr="007216F7">
        <w:rPr>
          <w:sz w:val="22"/>
          <w:szCs w:val="22"/>
        </w:rPr>
        <w:t xml:space="preserve"> (pp. 11–50). Springer Netherlands. </w:t>
      </w:r>
      <w:hyperlink r:id="rId13" w:tgtFrame="_new" w:history="1">
        <w:r w:rsidRPr="007216F7">
          <w:rPr>
            <w:rStyle w:val="Hyperlink"/>
            <w:rFonts w:eastAsiaTheme="majorEastAsia"/>
            <w:sz w:val="22"/>
            <w:szCs w:val="22"/>
          </w:rPr>
          <w:t>https://doi.org/10.1007/978-94-007-4470-7_2</w:t>
        </w:r>
      </w:hyperlink>
    </w:p>
    <w:p w:rsidR="00D53218" w:rsidRDefault="007216F7" w:rsidP="0052002C">
      <w:pPr>
        <w:pStyle w:val="NormalWeb"/>
        <w:ind w:left="567" w:hanging="567"/>
        <w:jc w:val="both"/>
        <w:rPr>
          <w:sz w:val="22"/>
          <w:szCs w:val="22"/>
        </w:rPr>
      </w:pPr>
      <w:r w:rsidRPr="007216F7">
        <w:rPr>
          <w:sz w:val="22"/>
          <w:szCs w:val="22"/>
        </w:rPr>
        <w:t xml:space="preserve">Armas, C., </w:t>
      </w:r>
      <w:proofErr w:type="spellStart"/>
      <w:r w:rsidRPr="007216F7">
        <w:rPr>
          <w:sz w:val="22"/>
          <w:szCs w:val="22"/>
        </w:rPr>
        <w:t>Ordiales</w:t>
      </w:r>
      <w:proofErr w:type="spellEnd"/>
      <w:r w:rsidRPr="007216F7">
        <w:rPr>
          <w:sz w:val="22"/>
          <w:szCs w:val="22"/>
        </w:rPr>
        <w:t xml:space="preserve">, R., &amp; </w:t>
      </w:r>
      <w:proofErr w:type="spellStart"/>
      <w:r w:rsidRPr="007216F7">
        <w:rPr>
          <w:sz w:val="22"/>
          <w:szCs w:val="22"/>
        </w:rPr>
        <w:t>Pugnaire</w:t>
      </w:r>
      <w:proofErr w:type="spellEnd"/>
      <w:r w:rsidRPr="007216F7">
        <w:rPr>
          <w:sz w:val="22"/>
          <w:szCs w:val="22"/>
        </w:rPr>
        <w:t xml:space="preserve">, F. I. (2004). Measuring plant interactions: A new comparative index. </w:t>
      </w:r>
      <w:r w:rsidRPr="007216F7">
        <w:rPr>
          <w:rStyle w:val="Emphasis"/>
          <w:rFonts w:eastAsiaTheme="majorEastAsia"/>
          <w:sz w:val="22"/>
          <w:szCs w:val="22"/>
        </w:rPr>
        <w:t>Ecology, 85</w:t>
      </w:r>
      <w:r w:rsidRPr="007216F7">
        <w:rPr>
          <w:sz w:val="22"/>
          <w:szCs w:val="22"/>
        </w:rPr>
        <w:t xml:space="preserve">, 2682–2686. </w:t>
      </w:r>
      <w:hyperlink r:id="rId14" w:tgtFrame="_new" w:history="1">
        <w:r w:rsidRPr="007216F7">
          <w:rPr>
            <w:rStyle w:val="Hyperlink"/>
            <w:rFonts w:eastAsiaTheme="majorEastAsia"/>
            <w:sz w:val="22"/>
            <w:szCs w:val="22"/>
          </w:rPr>
          <w:t>https://doi.org/10.1890/03-0650</w:t>
        </w:r>
      </w:hyperlink>
    </w:p>
    <w:p w:rsidR="00D53218" w:rsidRDefault="007216F7" w:rsidP="0052002C">
      <w:pPr>
        <w:pStyle w:val="NormalWeb"/>
        <w:ind w:left="567" w:hanging="567"/>
        <w:jc w:val="both"/>
        <w:rPr>
          <w:sz w:val="22"/>
          <w:szCs w:val="22"/>
        </w:rPr>
      </w:pPr>
      <w:r w:rsidRPr="007216F7">
        <w:rPr>
          <w:sz w:val="22"/>
          <w:szCs w:val="22"/>
        </w:rPr>
        <w:t xml:space="preserve">Badridze, G., </w:t>
      </w:r>
      <w:proofErr w:type="spellStart"/>
      <w:r w:rsidRPr="007216F7">
        <w:rPr>
          <w:sz w:val="22"/>
          <w:szCs w:val="22"/>
        </w:rPr>
        <w:t>Chkhubianishvili</w:t>
      </w:r>
      <w:proofErr w:type="spellEnd"/>
      <w:r w:rsidRPr="007216F7">
        <w:rPr>
          <w:sz w:val="22"/>
          <w:szCs w:val="22"/>
        </w:rPr>
        <w:t xml:space="preserve">, E., Kikvidze, M., Rapava, L., Chigladze, L., Tsiklauri, N., Tsartsidze, N., &amp; Kikvidze, Z. (2025). Antioxidant system in species assemblages: Species and stress specific effects of abiotic stress in secondary meadows of the Caucasus Mountains. </w:t>
      </w:r>
      <w:r w:rsidRPr="007216F7">
        <w:rPr>
          <w:rStyle w:val="Emphasis"/>
          <w:rFonts w:eastAsiaTheme="majorEastAsia"/>
          <w:sz w:val="22"/>
          <w:szCs w:val="22"/>
        </w:rPr>
        <w:t>Asian Journal of Environment &amp; Ecology, 24</w:t>
      </w:r>
      <w:r w:rsidRPr="007216F7">
        <w:rPr>
          <w:sz w:val="22"/>
          <w:szCs w:val="22"/>
        </w:rPr>
        <w:t>(9), 127–137.</w:t>
      </w:r>
    </w:p>
    <w:p w:rsidR="00D53218" w:rsidRDefault="007216F7" w:rsidP="0052002C">
      <w:pPr>
        <w:pStyle w:val="NormalWeb"/>
        <w:ind w:left="567" w:hanging="567"/>
        <w:jc w:val="both"/>
        <w:rPr>
          <w:sz w:val="22"/>
          <w:szCs w:val="22"/>
        </w:rPr>
      </w:pPr>
      <w:r w:rsidRPr="007216F7">
        <w:rPr>
          <w:sz w:val="22"/>
          <w:szCs w:val="22"/>
        </w:rPr>
        <w:t xml:space="preserve">Bates, L. S., Waldren, R. P., &amp; Teare, I. D. (1973). Rapid determination of free proline for water-stress studies. </w:t>
      </w:r>
      <w:r w:rsidRPr="007216F7">
        <w:rPr>
          <w:rStyle w:val="Emphasis"/>
          <w:rFonts w:eastAsiaTheme="majorEastAsia"/>
          <w:sz w:val="22"/>
          <w:szCs w:val="22"/>
        </w:rPr>
        <w:t>Plant and Soil, 39</w:t>
      </w:r>
      <w:r w:rsidRPr="007216F7">
        <w:rPr>
          <w:sz w:val="22"/>
          <w:szCs w:val="22"/>
        </w:rPr>
        <w:t>, 205–207.</w:t>
      </w:r>
    </w:p>
    <w:p w:rsidR="00D53218" w:rsidRDefault="007216F7" w:rsidP="0052002C">
      <w:pPr>
        <w:pStyle w:val="NormalWeb"/>
        <w:ind w:left="567" w:hanging="567"/>
        <w:jc w:val="both"/>
        <w:rPr>
          <w:sz w:val="22"/>
          <w:szCs w:val="22"/>
        </w:rPr>
      </w:pPr>
      <w:proofErr w:type="spellStart"/>
      <w:r w:rsidRPr="007216F7">
        <w:rPr>
          <w:sz w:val="22"/>
          <w:szCs w:val="22"/>
        </w:rPr>
        <w:t>Batsatsashvili</w:t>
      </w:r>
      <w:proofErr w:type="spellEnd"/>
      <w:r w:rsidRPr="007216F7">
        <w:rPr>
          <w:sz w:val="22"/>
          <w:szCs w:val="22"/>
        </w:rPr>
        <w:t xml:space="preserve">, K., et al. (2017). </w:t>
      </w:r>
      <w:r w:rsidRPr="0052002C">
        <w:rPr>
          <w:rStyle w:val="Emphasis"/>
          <w:rFonts w:eastAsiaTheme="majorEastAsia"/>
          <w:sz w:val="22"/>
          <w:szCs w:val="22"/>
          <w:lang w:val="es-ES"/>
        </w:rPr>
        <w:t xml:space="preserve">Malva </w:t>
      </w:r>
      <w:proofErr w:type="spellStart"/>
      <w:r w:rsidRPr="0052002C">
        <w:rPr>
          <w:rStyle w:val="Emphasis"/>
          <w:rFonts w:eastAsiaTheme="majorEastAsia"/>
          <w:sz w:val="22"/>
          <w:szCs w:val="22"/>
          <w:lang w:val="es-ES"/>
        </w:rPr>
        <w:t>neglecta</w:t>
      </w:r>
      <w:proofErr w:type="spellEnd"/>
      <w:r w:rsidRPr="0052002C">
        <w:rPr>
          <w:rStyle w:val="Emphasis"/>
          <w:rFonts w:eastAsiaTheme="majorEastAsia"/>
          <w:sz w:val="22"/>
          <w:szCs w:val="22"/>
          <w:lang w:val="es-ES"/>
        </w:rPr>
        <w:t xml:space="preserve"> </w:t>
      </w:r>
      <w:proofErr w:type="spellStart"/>
      <w:r w:rsidRPr="0052002C">
        <w:rPr>
          <w:rStyle w:val="Emphasis"/>
          <w:rFonts w:eastAsiaTheme="majorEastAsia"/>
          <w:sz w:val="22"/>
          <w:szCs w:val="22"/>
          <w:lang w:val="es-ES"/>
        </w:rPr>
        <w:t>Wallr</w:t>
      </w:r>
      <w:proofErr w:type="spellEnd"/>
      <w:r w:rsidRPr="0052002C">
        <w:rPr>
          <w:rStyle w:val="Emphasis"/>
          <w:rFonts w:eastAsiaTheme="majorEastAsia"/>
          <w:sz w:val="22"/>
          <w:szCs w:val="22"/>
          <w:lang w:val="es-ES"/>
        </w:rPr>
        <w:t xml:space="preserve">.; Malva </w:t>
      </w:r>
      <w:proofErr w:type="spellStart"/>
      <w:r w:rsidRPr="0052002C">
        <w:rPr>
          <w:rStyle w:val="Emphasis"/>
          <w:rFonts w:eastAsiaTheme="majorEastAsia"/>
          <w:sz w:val="22"/>
          <w:szCs w:val="22"/>
          <w:lang w:val="es-ES"/>
        </w:rPr>
        <w:t>sylvestris</w:t>
      </w:r>
      <w:proofErr w:type="spellEnd"/>
      <w:r w:rsidRPr="0052002C">
        <w:rPr>
          <w:rStyle w:val="Emphasis"/>
          <w:rFonts w:eastAsiaTheme="majorEastAsia"/>
          <w:sz w:val="22"/>
          <w:szCs w:val="22"/>
          <w:lang w:val="es-ES"/>
        </w:rPr>
        <w:t xml:space="preserve"> L. (</w:t>
      </w:r>
      <w:proofErr w:type="spellStart"/>
      <w:r w:rsidRPr="0052002C">
        <w:rPr>
          <w:rStyle w:val="Emphasis"/>
          <w:rFonts w:eastAsiaTheme="majorEastAsia"/>
          <w:sz w:val="22"/>
          <w:szCs w:val="22"/>
          <w:lang w:val="es-ES"/>
        </w:rPr>
        <w:t>Malvaceae</w:t>
      </w:r>
      <w:proofErr w:type="spellEnd"/>
      <w:r w:rsidRPr="0052002C">
        <w:rPr>
          <w:rStyle w:val="Emphasis"/>
          <w:rFonts w:eastAsiaTheme="majorEastAsia"/>
          <w:sz w:val="22"/>
          <w:szCs w:val="22"/>
          <w:lang w:val="es-ES"/>
        </w:rPr>
        <w:t>).</w:t>
      </w:r>
      <w:r w:rsidRPr="0052002C">
        <w:rPr>
          <w:sz w:val="22"/>
          <w:szCs w:val="22"/>
          <w:lang w:val="es-ES"/>
        </w:rPr>
        <w:t xml:space="preserve"> </w:t>
      </w:r>
      <w:r w:rsidRPr="007216F7">
        <w:rPr>
          <w:sz w:val="22"/>
          <w:szCs w:val="22"/>
        </w:rPr>
        <w:t xml:space="preserve">In R. Bussmann (Ed.), </w:t>
      </w:r>
      <w:r w:rsidRPr="007216F7">
        <w:rPr>
          <w:rStyle w:val="Emphasis"/>
          <w:rFonts w:eastAsiaTheme="majorEastAsia"/>
          <w:sz w:val="22"/>
          <w:szCs w:val="22"/>
        </w:rPr>
        <w:t>Ethnobotany of the Caucasus</w:t>
      </w:r>
      <w:r w:rsidRPr="007216F7">
        <w:rPr>
          <w:sz w:val="22"/>
          <w:szCs w:val="22"/>
        </w:rPr>
        <w:t xml:space="preserve">. Springer. </w:t>
      </w:r>
      <w:hyperlink r:id="rId15" w:tgtFrame="_new" w:history="1">
        <w:r w:rsidRPr="007216F7">
          <w:rPr>
            <w:rStyle w:val="Hyperlink"/>
            <w:rFonts w:eastAsiaTheme="majorEastAsia"/>
            <w:sz w:val="22"/>
            <w:szCs w:val="22"/>
          </w:rPr>
          <w:t>https://doi.org/10.1007/978-3-319-49412-8_115</w:t>
        </w:r>
      </w:hyperlink>
    </w:p>
    <w:p w:rsidR="00D53218" w:rsidRDefault="007216F7" w:rsidP="0052002C">
      <w:pPr>
        <w:pStyle w:val="NormalWeb"/>
        <w:ind w:left="567" w:hanging="567"/>
        <w:jc w:val="both"/>
        <w:rPr>
          <w:sz w:val="22"/>
          <w:szCs w:val="22"/>
        </w:rPr>
      </w:pPr>
      <w:r w:rsidRPr="0052002C">
        <w:rPr>
          <w:sz w:val="22"/>
          <w:szCs w:val="22"/>
          <w:lang w:val="de-AT"/>
        </w:rPr>
        <w:t xml:space="preserve">Bussmann, R. W., Batsatsashvili, K., &amp; Kikvidze, Z. (2020). </w:t>
      </w:r>
      <w:r w:rsidRPr="007216F7">
        <w:rPr>
          <w:rStyle w:val="Emphasis"/>
          <w:rFonts w:eastAsiaTheme="majorEastAsia"/>
          <w:sz w:val="22"/>
          <w:szCs w:val="22"/>
        </w:rPr>
        <w:t xml:space="preserve">Polygonum </w:t>
      </w:r>
      <w:proofErr w:type="spellStart"/>
      <w:r w:rsidRPr="007216F7">
        <w:rPr>
          <w:rStyle w:val="Emphasis"/>
          <w:rFonts w:eastAsiaTheme="majorEastAsia"/>
          <w:sz w:val="22"/>
          <w:szCs w:val="22"/>
        </w:rPr>
        <w:t>aviculare</w:t>
      </w:r>
      <w:proofErr w:type="spellEnd"/>
      <w:r w:rsidRPr="007216F7">
        <w:rPr>
          <w:rStyle w:val="Emphasis"/>
          <w:rFonts w:eastAsiaTheme="majorEastAsia"/>
          <w:sz w:val="22"/>
          <w:szCs w:val="22"/>
        </w:rPr>
        <w:t xml:space="preserve"> L.; Polygonum </w:t>
      </w:r>
      <w:proofErr w:type="spellStart"/>
      <w:r w:rsidRPr="007216F7">
        <w:rPr>
          <w:rStyle w:val="Emphasis"/>
          <w:rFonts w:eastAsiaTheme="majorEastAsia"/>
          <w:sz w:val="22"/>
          <w:szCs w:val="22"/>
        </w:rPr>
        <w:t>coriarium</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Grig</w:t>
      </w:r>
      <w:proofErr w:type="spellEnd"/>
      <w:r w:rsidRPr="007216F7">
        <w:rPr>
          <w:rStyle w:val="Emphasis"/>
          <w:rFonts w:eastAsiaTheme="majorEastAsia"/>
          <w:sz w:val="22"/>
          <w:szCs w:val="22"/>
        </w:rPr>
        <w:t>. (</w:t>
      </w:r>
      <w:proofErr w:type="spellStart"/>
      <w:r w:rsidRPr="007216F7">
        <w:rPr>
          <w:rStyle w:val="Emphasis"/>
          <w:rFonts w:eastAsiaTheme="majorEastAsia"/>
          <w:sz w:val="22"/>
          <w:szCs w:val="22"/>
        </w:rPr>
        <w:t>Polygonaceae</w:t>
      </w:r>
      <w:proofErr w:type="spellEnd"/>
      <w:r w:rsidRPr="007216F7">
        <w:rPr>
          <w:rStyle w:val="Emphasis"/>
          <w:rFonts w:eastAsiaTheme="majorEastAsia"/>
          <w:sz w:val="22"/>
          <w:szCs w:val="22"/>
        </w:rPr>
        <w:t>).</w:t>
      </w:r>
      <w:r w:rsidRPr="007216F7">
        <w:rPr>
          <w:sz w:val="22"/>
          <w:szCs w:val="22"/>
        </w:rPr>
        <w:t xml:space="preserve"> In K. </w:t>
      </w:r>
      <w:proofErr w:type="spellStart"/>
      <w:r w:rsidRPr="007216F7">
        <w:rPr>
          <w:sz w:val="22"/>
          <w:szCs w:val="22"/>
        </w:rPr>
        <w:t>Batsatsashvili</w:t>
      </w:r>
      <w:proofErr w:type="spellEnd"/>
      <w:r w:rsidRPr="007216F7">
        <w:rPr>
          <w:sz w:val="22"/>
          <w:szCs w:val="22"/>
        </w:rPr>
        <w:t xml:space="preserve"> et al. (Eds.), </w:t>
      </w:r>
      <w:r w:rsidRPr="007216F7">
        <w:rPr>
          <w:rStyle w:val="Emphasis"/>
          <w:rFonts w:eastAsiaTheme="majorEastAsia"/>
          <w:sz w:val="22"/>
          <w:szCs w:val="22"/>
        </w:rPr>
        <w:t>Ethnobotany of the mountain regions of Central Asia and Altai</w:t>
      </w:r>
      <w:r w:rsidRPr="007216F7">
        <w:rPr>
          <w:sz w:val="22"/>
          <w:szCs w:val="22"/>
        </w:rPr>
        <w:t xml:space="preserve">. Springer. </w:t>
      </w:r>
      <w:hyperlink r:id="rId16" w:tgtFrame="_new" w:history="1">
        <w:r w:rsidRPr="007216F7">
          <w:rPr>
            <w:rStyle w:val="Hyperlink"/>
            <w:rFonts w:eastAsiaTheme="majorEastAsia"/>
            <w:sz w:val="22"/>
            <w:szCs w:val="22"/>
          </w:rPr>
          <w:t>https://doi.org/10.1007/978-3-030-28947-8_108</w:t>
        </w:r>
      </w:hyperlink>
    </w:p>
    <w:p w:rsidR="00D53218" w:rsidRDefault="007216F7" w:rsidP="0052002C">
      <w:pPr>
        <w:pStyle w:val="NormalWeb"/>
        <w:ind w:left="567" w:hanging="567"/>
        <w:jc w:val="both"/>
        <w:rPr>
          <w:sz w:val="22"/>
          <w:szCs w:val="22"/>
        </w:rPr>
      </w:pPr>
      <w:r w:rsidRPr="007216F7">
        <w:rPr>
          <w:sz w:val="22"/>
          <w:szCs w:val="22"/>
        </w:rPr>
        <w:lastRenderedPageBreak/>
        <w:t xml:space="preserve">Bussmann, R. W., </w:t>
      </w:r>
      <w:proofErr w:type="spellStart"/>
      <w:r w:rsidRPr="007216F7">
        <w:rPr>
          <w:sz w:val="22"/>
          <w:szCs w:val="22"/>
        </w:rPr>
        <w:t>Khojimatov</w:t>
      </w:r>
      <w:proofErr w:type="spellEnd"/>
      <w:r w:rsidRPr="007216F7">
        <w:rPr>
          <w:sz w:val="22"/>
          <w:szCs w:val="22"/>
        </w:rPr>
        <w:t xml:space="preserve">, O. K., Paniagua-Zambrana, N. Y., Kikvidze, Z., &amp; </w:t>
      </w:r>
      <w:proofErr w:type="spellStart"/>
      <w:r w:rsidRPr="007216F7">
        <w:rPr>
          <w:sz w:val="22"/>
          <w:szCs w:val="22"/>
        </w:rPr>
        <w:t>Batsatsashvili</w:t>
      </w:r>
      <w:proofErr w:type="spellEnd"/>
      <w:r w:rsidRPr="007216F7">
        <w:rPr>
          <w:sz w:val="22"/>
          <w:szCs w:val="22"/>
        </w:rPr>
        <w:t xml:space="preserve">, K. (2025a). </w:t>
      </w:r>
      <w:r w:rsidRPr="007216F7">
        <w:rPr>
          <w:rStyle w:val="Emphasis"/>
          <w:rFonts w:eastAsiaTheme="majorEastAsia"/>
          <w:sz w:val="22"/>
          <w:szCs w:val="22"/>
        </w:rPr>
        <w:t xml:space="preserve">Xanthium spinosum L.; Xanthium </w:t>
      </w:r>
      <w:proofErr w:type="spellStart"/>
      <w:r w:rsidRPr="007216F7">
        <w:rPr>
          <w:rStyle w:val="Emphasis"/>
          <w:rFonts w:eastAsiaTheme="majorEastAsia"/>
          <w:sz w:val="22"/>
          <w:szCs w:val="22"/>
        </w:rPr>
        <w:t>strumarium</w:t>
      </w:r>
      <w:proofErr w:type="spellEnd"/>
      <w:r w:rsidRPr="007216F7">
        <w:rPr>
          <w:rStyle w:val="Emphasis"/>
          <w:rFonts w:eastAsiaTheme="majorEastAsia"/>
          <w:sz w:val="22"/>
          <w:szCs w:val="22"/>
        </w:rPr>
        <w:t xml:space="preserve"> L. (Asteraceae).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5961–5969). Springer Nature Switzerland. </w:t>
      </w:r>
      <w:hyperlink r:id="rId17" w:tgtFrame="_new" w:history="1">
        <w:r w:rsidRPr="007216F7">
          <w:rPr>
            <w:rStyle w:val="Hyperlink"/>
            <w:rFonts w:eastAsiaTheme="majorEastAsia"/>
            <w:sz w:val="22"/>
            <w:szCs w:val="22"/>
          </w:rPr>
          <w:t>https://doi.org/10.1007/978-3-031-91369-3_542</w:t>
        </w:r>
      </w:hyperlink>
    </w:p>
    <w:p w:rsidR="00D53218" w:rsidRDefault="007216F7" w:rsidP="0052002C">
      <w:pPr>
        <w:pStyle w:val="NormalWeb"/>
        <w:ind w:left="567" w:hanging="567"/>
        <w:jc w:val="both"/>
        <w:rPr>
          <w:sz w:val="22"/>
          <w:szCs w:val="22"/>
        </w:rPr>
      </w:pPr>
      <w:r w:rsidRPr="007216F7">
        <w:rPr>
          <w:sz w:val="22"/>
          <w:szCs w:val="22"/>
        </w:rPr>
        <w:t xml:space="preserve">Bussmann, R. W., Paniagua-Zambrana, N. Y., Khutsishvili, M., Kikvidze, Z., </w:t>
      </w:r>
      <w:proofErr w:type="spellStart"/>
      <w:r w:rsidRPr="007216F7">
        <w:rPr>
          <w:sz w:val="22"/>
          <w:szCs w:val="22"/>
        </w:rPr>
        <w:t>Khojimatov</w:t>
      </w:r>
      <w:proofErr w:type="spellEnd"/>
      <w:r w:rsidRPr="007216F7">
        <w:rPr>
          <w:sz w:val="22"/>
          <w:szCs w:val="22"/>
        </w:rPr>
        <w:t xml:space="preserve">, O. K., </w:t>
      </w:r>
      <w:proofErr w:type="spellStart"/>
      <w:r w:rsidRPr="007216F7">
        <w:rPr>
          <w:sz w:val="22"/>
          <w:szCs w:val="22"/>
        </w:rPr>
        <w:t>Fayvush</w:t>
      </w:r>
      <w:proofErr w:type="spellEnd"/>
      <w:r w:rsidRPr="007216F7">
        <w:rPr>
          <w:sz w:val="22"/>
          <w:szCs w:val="22"/>
        </w:rPr>
        <w:t xml:space="preserve">, G., Aleksanyan, A., Mehdiyeva, N. P., Alizade, V. M., Nasab, F. K., &amp; </w:t>
      </w:r>
      <w:proofErr w:type="spellStart"/>
      <w:r w:rsidRPr="007216F7">
        <w:rPr>
          <w:sz w:val="22"/>
          <w:szCs w:val="22"/>
        </w:rPr>
        <w:t>Zeraatkar</w:t>
      </w:r>
      <w:proofErr w:type="spellEnd"/>
      <w:r w:rsidRPr="007216F7">
        <w:rPr>
          <w:sz w:val="22"/>
          <w:szCs w:val="22"/>
        </w:rPr>
        <w:t xml:space="preserve">, A. (2025b). </w:t>
      </w:r>
      <w:r w:rsidRPr="007216F7">
        <w:rPr>
          <w:rStyle w:val="Emphasis"/>
          <w:rFonts w:eastAsiaTheme="majorEastAsia"/>
          <w:sz w:val="22"/>
          <w:szCs w:val="22"/>
        </w:rPr>
        <w:t>Mentha species (Lamiaceae).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Springer. </w:t>
      </w:r>
      <w:hyperlink r:id="rId18" w:tgtFrame="_new" w:history="1">
        <w:r w:rsidRPr="007216F7">
          <w:rPr>
            <w:rStyle w:val="Hyperlink"/>
            <w:rFonts w:eastAsiaTheme="majorEastAsia"/>
            <w:sz w:val="22"/>
            <w:szCs w:val="22"/>
          </w:rPr>
          <w:t>https://doi.org/10.1007/978-3-031-91369-3_141</w:t>
        </w:r>
      </w:hyperlink>
    </w:p>
    <w:p w:rsidR="00D53218" w:rsidRDefault="007216F7" w:rsidP="0052002C">
      <w:pPr>
        <w:pStyle w:val="NormalWeb"/>
        <w:ind w:left="567" w:hanging="567"/>
        <w:jc w:val="both"/>
        <w:rPr>
          <w:sz w:val="22"/>
          <w:szCs w:val="22"/>
        </w:rPr>
      </w:pPr>
      <w:r w:rsidRPr="007216F7">
        <w:rPr>
          <w:sz w:val="22"/>
          <w:szCs w:val="22"/>
        </w:rPr>
        <w:t xml:space="preserve">Bussmann, R. W., Paniagua-Zambrana, N. Y., Khutsishvili, M., Kikvidze, Z., Mehdiyeva, N. P., &amp; Mursal, N. (2025c). </w:t>
      </w:r>
      <w:proofErr w:type="spellStart"/>
      <w:r w:rsidRPr="007216F7">
        <w:rPr>
          <w:rStyle w:val="Emphasis"/>
          <w:rFonts w:eastAsiaTheme="majorEastAsia"/>
          <w:sz w:val="22"/>
          <w:szCs w:val="22"/>
        </w:rPr>
        <w:t>Paliurus</w:t>
      </w:r>
      <w:proofErr w:type="spellEnd"/>
      <w:r w:rsidRPr="007216F7">
        <w:rPr>
          <w:rStyle w:val="Emphasis"/>
          <w:rFonts w:eastAsiaTheme="majorEastAsia"/>
          <w:sz w:val="22"/>
          <w:szCs w:val="22"/>
        </w:rPr>
        <w:t xml:space="preserve"> spina-</w:t>
      </w:r>
      <w:proofErr w:type="spellStart"/>
      <w:r w:rsidRPr="007216F7">
        <w:rPr>
          <w:rStyle w:val="Emphasis"/>
          <w:rFonts w:eastAsiaTheme="majorEastAsia"/>
          <w:sz w:val="22"/>
          <w:szCs w:val="22"/>
        </w:rPr>
        <w:t>christi</w:t>
      </w:r>
      <w:proofErr w:type="spellEnd"/>
      <w:r w:rsidRPr="007216F7">
        <w:rPr>
          <w:rStyle w:val="Emphasis"/>
          <w:rFonts w:eastAsiaTheme="majorEastAsia"/>
          <w:sz w:val="22"/>
          <w:szCs w:val="22"/>
        </w:rPr>
        <w:t xml:space="preserve"> Mill. (Rhamnaceae).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Springer. </w:t>
      </w:r>
      <w:hyperlink r:id="rId19" w:tgtFrame="_new" w:history="1">
        <w:r w:rsidRPr="007216F7">
          <w:rPr>
            <w:rStyle w:val="Hyperlink"/>
            <w:rFonts w:eastAsiaTheme="majorEastAsia"/>
            <w:sz w:val="22"/>
            <w:szCs w:val="22"/>
          </w:rPr>
          <w:t>https://doi.org/10.1007/978-3-031-91369-3_431</w:t>
        </w:r>
      </w:hyperlink>
    </w:p>
    <w:p w:rsidR="00D53218" w:rsidRDefault="007216F7" w:rsidP="0052002C">
      <w:pPr>
        <w:pStyle w:val="NormalWeb"/>
        <w:ind w:left="567" w:hanging="567"/>
        <w:jc w:val="both"/>
        <w:rPr>
          <w:sz w:val="22"/>
          <w:szCs w:val="22"/>
        </w:rPr>
      </w:pPr>
      <w:r w:rsidRPr="007216F7">
        <w:rPr>
          <w:sz w:val="22"/>
          <w:szCs w:val="22"/>
        </w:rPr>
        <w:t xml:space="preserve">Bussmann, R. W., Paniagua-Zambrana, N. Y., Khutsishvili, M., Kikvidze, Z., Müller, L., </w:t>
      </w:r>
      <w:proofErr w:type="spellStart"/>
      <w:r w:rsidRPr="007216F7">
        <w:rPr>
          <w:sz w:val="22"/>
          <w:szCs w:val="22"/>
        </w:rPr>
        <w:t>Batsatsashvili</w:t>
      </w:r>
      <w:proofErr w:type="spellEnd"/>
      <w:r w:rsidRPr="007216F7">
        <w:rPr>
          <w:sz w:val="22"/>
          <w:szCs w:val="22"/>
        </w:rPr>
        <w:t xml:space="preserve">, K., Sikharulidze, S., Tchelidze, D., </w:t>
      </w:r>
      <w:proofErr w:type="spellStart"/>
      <w:r w:rsidRPr="007216F7">
        <w:rPr>
          <w:sz w:val="22"/>
          <w:szCs w:val="22"/>
        </w:rPr>
        <w:t>Maisaia</w:t>
      </w:r>
      <w:proofErr w:type="spellEnd"/>
      <w:r w:rsidRPr="007216F7">
        <w:rPr>
          <w:sz w:val="22"/>
          <w:szCs w:val="22"/>
        </w:rPr>
        <w:t xml:space="preserve">, I., Nasab, F. K., &amp; </w:t>
      </w:r>
      <w:proofErr w:type="spellStart"/>
      <w:r w:rsidRPr="007216F7">
        <w:rPr>
          <w:sz w:val="22"/>
          <w:szCs w:val="22"/>
        </w:rPr>
        <w:t>Zeraatkar</w:t>
      </w:r>
      <w:proofErr w:type="spellEnd"/>
      <w:r w:rsidRPr="007216F7">
        <w:rPr>
          <w:sz w:val="22"/>
          <w:szCs w:val="22"/>
        </w:rPr>
        <w:t xml:space="preserve">, A. (2025d). </w:t>
      </w:r>
      <w:proofErr w:type="spellStart"/>
      <w:r w:rsidRPr="007216F7">
        <w:rPr>
          <w:rStyle w:val="Emphasis"/>
          <w:rFonts w:eastAsiaTheme="majorEastAsia"/>
          <w:sz w:val="22"/>
          <w:szCs w:val="22"/>
        </w:rPr>
        <w:t>Rumex</w:t>
      </w:r>
      <w:proofErr w:type="spellEnd"/>
      <w:r w:rsidRPr="007216F7">
        <w:rPr>
          <w:rStyle w:val="Emphasis"/>
          <w:rFonts w:eastAsiaTheme="majorEastAsia"/>
          <w:sz w:val="22"/>
          <w:szCs w:val="22"/>
        </w:rPr>
        <w:t xml:space="preserve"> species (</w:t>
      </w:r>
      <w:proofErr w:type="spellStart"/>
      <w:r w:rsidRPr="007216F7">
        <w:rPr>
          <w:rStyle w:val="Emphasis"/>
          <w:rFonts w:eastAsiaTheme="majorEastAsia"/>
          <w:sz w:val="22"/>
          <w:szCs w:val="22"/>
        </w:rPr>
        <w:t>Polygonaceae</w:t>
      </w:r>
      <w:proofErr w:type="spellEnd"/>
      <w:r w:rsidRPr="007216F7">
        <w:rPr>
          <w:rStyle w:val="Emphasis"/>
          <w:rFonts w:eastAsiaTheme="majorEastAsia"/>
          <w:sz w:val="22"/>
          <w:szCs w:val="22"/>
        </w:rPr>
        <w:t>).</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4939–4970). Springer Nature Switzerland. </w:t>
      </w:r>
      <w:hyperlink r:id="rId20" w:tgtFrame="_new" w:history="1">
        <w:r w:rsidRPr="007216F7">
          <w:rPr>
            <w:rStyle w:val="Hyperlink"/>
            <w:rFonts w:eastAsiaTheme="majorEastAsia"/>
            <w:sz w:val="22"/>
            <w:szCs w:val="22"/>
          </w:rPr>
          <w:t>https://doi.org/10.1007/978-3-031-91369-3_131</w:t>
        </w:r>
      </w:hyperlink>
    </w:p>
    <w:p w:rsidR="00D53218" w:rsidRDefault="007216F7" w:rsidP="0052002C">
      <w:pPr>
        <w:pStyle w:val="NormalWeb"/>
        <w:ind w:left="567" w:hanging="567"/>
        <w:jc w:val="both"/>
        <w:rPr>
          <w:sz w:val="22"/>
          <w:szCs w:val="22"/>
        </w:rPr>
      </w:pPr>
      <w:r w:rsidRPr="007216F7">
        <w:rPr>
          <w:sz w:val="22"/>
          <w:szCs w:val="22"/>
        </w:rPr>
        <w:t xml:space="preserve">Bussmann, R. W., Paniagua-Zambrana, N. Y., Kikvidze, Z., </w:t>
      </w:r>
      <w:proofErr w:type="spellStart"/>
      <w:r w:rsidRPr="007216F7">
        <w:rPr>
          <w:sz w:val="22"/>
          <w:szCs w:val="22"/>
        </w:rPr>
        <w:t>Batsatsashvili</w:t>
      </w:r>
      <w:proofErr w:type="spellEnd"/>
      <w:r w:rsidRPr="007216F7">
        <w:rPr>
          <w:sz w:val="22"/>
          <w:szCs w:val="22"/>
        </w:rPr>
        <w:t xml:space="preserve">, K., Khutsishvili, M., </w:t>
      </w:r>
      <w:proofErr w:type="spellStart"/>
      <w:r w:rsidRPr="007216F7">
        <w:rPr>
          <w:sz w:val="22"/>
          <w:szCs w:val="22"/>
        </w:rPr>
        <w:t>Maisaia</w:t>
      </w:r>
      <w:proofErr w:type="spellEnd"/>
      <w:r w:rsidRPr="007216F7">
        <w:rPr>
          <w:sz w:val="22"/>
          <w:szCs w:val="22"/>
        </w:rPr>
        <w:t xml:space="preserve">, I., Sikharulidze, S., Tchelidze, D., Mehdiyeva, N. P., Salimov, R., &amp; Mursal, N. (2025e). </w:t>
      </w:r>
      <w:r w:rsidRPr="007216F7">
        <w:rPr>
          <w:rStyle w:val="Emphasis"/>
          <w:rFonts w:eastAsiaTheme="majorEastAsia"/>
          <w:sz w:val="22"/>
          <w:szCs w:val="22"/>
        </w:rPr>
        <w:t>Salvia species (Lamiaceae).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5029–5062). Springer Nature Switzerland. </w:t>
      </w:r>
      <w:hyperlink r:id="rId21" w:tgtFrame="_new" w:history="1">
        <w:r w:rsidRPr="007216F7">
          <w:rPr>
            <w:rStyle w:val="Hyperlink"/>
            <w:rFonts w:eastAsiaTheme="majorEastAsia"/>
            <w:sz w:val="22"/>
            <w:szCs w:val="22"/>
          </w:rPr>
          <w:t>https://doi.org/10.1007/978-3-031-91369-3_478</w:t>
        </w:r>
      </w:hyperlink>
    </w:p>
    <w:p w:rsidR="00D53218" w:rsidRDefault="007216F7" w:rsidP="0052002C">
      <w:pPr>
        <w:pStyle w:val="NormalWeb"/>
        <w:ind w:left="567" w:hanging="567"/>
        <w:jc w:val="both"/>
      </w:pPr>
      <w:r w:rsidRPr="007216F7">
        <w:rPr>
          <w:sz w:val="22"/>
          <w:szCs w:val="22"/>
        </w:rPr>
        <w:t xml:space="preserve">Cakaj, A., Lisiak-Zielińska, M., </w:t>
      </w:r>
      <w:proofErr w:type="spellStart"/>
      <w:r w:rsidRPr="007216F7">
        <w:rPr>
          <w:sz w:val="22"/>
          <w:szCs w:val="22"/>
        </w:rPr>
        <w:t>Hanć</w:t>
      </w:r>
      <w:proofErr w:type="spellEnd"/>
      <w:r w:rsidRPr="007216F7">
        <w:rPr>
          <w:sz w:val="22"/>
          <w:szCs w:val="22"/>
        </w:rPr>
        <w:t xml:space="preserve">, A., </w:t>
      </w:r>
      <w:proofErr w:type="spellStart"/>
      <w:r w:rsidRPr="007216F7">
        <w:rPr>
          <w:sz w:val="22"/>
          <w:szCs w:val="22"/>
        </w:rPr>
        <w:t>Małecka</w:t>
      </w:r>
      <w:proofErr w:type="spellEnd"/>
      <w:r w:rsidRPr="007216F7">
        <w:rPr>
          <w:sz w:val="22"/>
          <w:szCs w:val="22"/>
        </w:rPr>
        <w:t xml:space="preserve">, A., Borowiak, K., &amp; </w:t>
      </w:r>
      <w:proofErr w:type="spellStart"/>
      <w:r w:rsidRPr="007216F7">
        <w:rPr>
          <w:sz w:val="22"/>
          <w:szCs w:val="22"/>
        </w:rPr>
        <w:t>Drapikowska</w:t>
      </w:r>
      <w:proofErr w:type="spellEnd"/>
      <w:r w:rsidRPr="007216F7">
        <w:rPr>
          <w:sz w:val="22"/>
          <w:szCs w:val="22"/>
        </w:rPr>
        <w:t xml:space="preserve">, M. (2023). Common weeds as heavy metal bioindicators: A new approach in biomonitoring. </w:t>
      </w:r>
      <w:r w:rsidRPr="007216F7">
        <w:rPr>
          <w:rStyle w:val="Emphasis"/>
          <w:rFonts w:eastAsiaTheme="majorEastAsia"/>
          <w:sz w:val="22"/>
          <w:szCs w:val="22"/>
        </w:rPr>
        <w:t>Scientific Reports, 13</w:t>
      </w:r>
      <w:r w:rsidRPr="007216F7">
        <w:rPr>
          <w:sz w:val="22"/>
          <w:szCs w:val="22"/>
        </w:rPr>
        <w:t xml:space="preserve">(1), 6926. </w:t>
      </w:r>
      <w:hyperlink r:id="rId22" w:tgtFrame="_new" w:history="1">
        <w:r w:rsidRPr="007216F7">
          <w:rPr>
            <w:rStyle w:val="Hyperlink"/>
            <w:rFonts w:eastAsiaTheme="majorEastAsia"/>
            <w:sz w:val="22"/>
            <w:szCs w:val="22"/>
          </w:rPr>
          <w:t>https://doi.org/10.1038/s41598-023-34019-9</w:t>
        </w:r>
      </w:hyperlink>
    </w:p>
    <w:p w:rsidR="00891402" w:rsidRPr="00891402" w:rsidRDefault="00891402" w:rsidP="0052002C">
      <w:pPr>
        <w:pStyle w:val="NormalWeb"/>
        <w:spacing w:line="360" w:lineRule="auto"/>
        <w:ind w:left="567" w:hanging="567"/>
        <w:jc w:val="both"/>
        <w:rPr>
          <w:sz w:val="22"/>
        </w:rPr>
      </w:pPr>
      <w:proofErr w:type="spellStart"/>
      <w:r w:rsidRPr="00DC595D">
        <w:rPr>
          <w:sz w:val="22"/>
        </w:rPr>
        <w:t>Cárcamo-Fincheira</w:t>
      </w:r>
      <w:proofErr w:type="spellEnd"/>
      <w:r w:rsidRPr="00DC595D">
        <w:rPr>
          <w:sz w:val="22"/>
        </w:rPr>
        <w:t xml:space="preserve">, D., Cejudo, F. J., &amp; Corpas, F. J. (2024). Ascorbic acid metabolism and its role in the mitigation of metal stress in plants. </w:t>
      </w:r>
      <w:r w:rsidRPr="00DC595D">
        <w:rPr>
          <w:rStyle w:val="Emphasis"/>
          <w:rFonts w:eastAsiaTheme="majorEastAsia"/>
          <w:sz w:val="22"/>
        </w:rPr>
        <w:t>Plant Physiology and Biochemistry, 206</w:t>
      </w:r>
      <w:r w:rsidRPr="00DC595D">
        <w:rPr>
          <w:sz w:val="22"/>
        </w:rPr>
        <w:t>, 108–120. https://doi.org/10.1016/j.plaphy.2024.108120</w:t>
      </w:r>
    </w:p>
    <w:p w:rsidR="00D53218" w:rsidRDefault="007216F7" w:rsidP="0052002C">
      <w:pPr>
        <w:pStyle w:val="NormalWeb"/>
        <w:ind w:left="567" w:hanging="567"/>
        <w:jc w:val="both"/>
        <w:rPr>
          <w:sz w:val="22"/>
          <w:szCs w:val="22"/>
        </w:rPr>
      </w:pPr>
      <w:r w:rsidRPr="0052002C">
        <w:rPr>
          <w:sz w:val="22"/>
          <w:szCs w:val="22"/>
          <w:lang w:val="de-AT"/>
        </w:rPr>
        <w:t xml:space="preserve">Chang, C. C., Yang, M. H., Wen, H. M., &amp; Chern, J. C. (2002). </w:t>
      </w:r>
      <w:r w:rsidRPr="007216F7">
        <w:rPr>
          <w:sz w:val="22"/>
          <w:szCs w:val="22"/>
        </w:rPr>
        <w:t xml:space="preserve">Estimation of total flavonoid content in propolis by two complementary colorimetric methods. </w:t>
      </w:r>
      <w:r w:rsidRPr="007216F7">
        <w:rPr>
          <w:rStyle w:val="Emphasis"/>
          <w:rFonts w:eastAsiaTheme="majorEastAsia"/>
          <w:sz w:val="22"/>
          <w:szCs w:val="22"/>
        </w:rPr>
        <w:t>Journal of Food and Drug Analysis, 10</w:t>
      </w:r>
      <w:r w:rsidRPr="007216F7">
        <w:rPr>
          <w:sz w:val="22"/>
          <w:szCs w:val="22"/>
        </w:rPr>
        <w:t>(3), 178–182.</w:t>
      </w:r>
    </w:p>
    <w:p w:rsidR="00D53218" w:rsidRDefault="007216F7" w:rsidP="0052002C">
      <w:pPr>
        <w:pStyle w:val="NormalWeb"/>
        <w:ind w:left="567" w:hanging="567"/>
        <w:jc w:val="both"/>
      </w:pPr>
      <w:r w:rsidRPr="0052002C">
        <w:rPr>
          <w:sz w:val="22"/>
          <w:szCs w:val="22"/>
          <w:lang w:val="de-AT"/>
        </w:rPr>
        <w:t xml:space="preserve">Chen, F., Pan, X., Luo, Z., Duan, X., Zou, M., &amp; Ma, J. (2025). </w:t>
      </w:r>
      <w:r w:rsidRPr="007216F7">
        <w:rPr>
          <w:sz w:val="22"/>
          <w:szCs w:val="22"/>
        </w:rPr>
        <w:t>Enhancing rice (</w:t>
      </w:r>
      <w:r w:rsidRPr="007216F7">
        <w:rPr>
          <w:rStyle w:val="Emphasis"/>
          <w:rFonts w:eastAsiaTheme="majorEastAsia"/>
          <w:sz w:val="22"/>
          <w:szCs w:val="22"/>
        </w:rPr>
        <w:t>Oryza sativa</w:t>
      </w:r>
      <w:r w:rsidRPr="007216F7">
        <w:rPr>
          <w:sz w:val="22"/>
          <w:szCs w:val="22"/>
        </w:rPr>
        <w:t xml:space="preserve"> L.) resilience to cadmium stress through nanoparticle and rhizobacterial strategies: A sustainable approach to heavy metal remediation. </w:t>
      </w:r>
      <w:r w:rsidRPr="007216F7">
        <w:rPr>
          <w:rStyle w:val="Emphasis"/>
          <w:rFonts w:eastAsiaTheme="majorEastAsia"/>
          <w:sz w:val="22"/>
          <w:szCs w:val="22"/>
        </w:rPr>
        <w:t>Environmental Pollution</w:t>
      </w:r>
      <w:r w:rsidRPr="007216F7">
        <w:rPr>
          <w:sz w:val="22"/>
          <w:szCs w:val="22"/>
        </w:rPr>
        <w:t xml:space="preserve">, 126847. </w:t>
      </w:r>
      <w:hyperlink r:id="rId23" w:tgtFrame="_new" w:history="1">
        <w:r w:rsidRPr="007216F7">
          <w:rPr>
            <w:rStyle w:val="Hyperlink"/>
            <w:rFonts w:eastAsiaTheme="majorEastAsia"/>
            <w:sz w:val="22"/>
            <w:szCs w:val="22"/>
          </w:rPr>
          <w:t>https://doi.org/10.1016/j.envpol.2025.126847</w:t>
        </w:r>
      </w:hyperlink>
    </w:p>
    <w:p w:rsidR="00D53218" w:rsidRDefault="002301D0" w:rsidP="0052002C">
      <w:pPr>
        <w:spacing w:line="360" w:lineRule="auto"/>
        <w:ind w:left="567" w:hanging="567"/>
        <w:jc w:val="both"/>
      </w:pPr>
      <w:r w:rsidRPr="004664FA">
        <w:rPr>
          <w:rFonts w:ascii="Times New Roman" w:hAnsi="Times New Roman" w:cs="Times New Roman"/>
        </w:rPr>
        <w:t>Collin</w:t>
      </w:r>
      <w:r>
        <w:rPr>
          <w:rFonts w:ascii="Times New Roman" w:hAnsi="Times New Roman" w:cs="Times New Roman"/>
        </w:rPr>
        <w:t>,</w:t>
      </w:r>
      <w:r w:rsidRPr="004664FA">
        <w:rPr>
          <w:rFonts w:ascii="Times New Roman" w:hAnsi="Times New Roman" w:cs="Times New Roman"/>
        </w:rPr>
        <w:t xml:space="preserve"> S</w:t>
      </w:r>
      <w:r>
        <w:rPr>
          <w:rFonts w:ascii="Times New Roman" w:hAnsi="Times New Roman" w:cs="Times New Roman"/>
        </w:rPr>
        <w:t>.</w:t>
      </w:r>
      <w:r w:rsidRPr="004664FA">
        <w:rPr>
          <w:rFonts w:ascii="Times New Roman" w:hAnsi="Times New Roman" w:cs="Times New Roman"/>
        </w:rPr>
        <w:t>, Baskar</w:t>
      </w:r>
      <w:r>
        <w:rPr>
          <w:rFonts w:ascii="Times New Roman" w:hAnsi="Times New Roman" w:cs="Times New Roman"/>
        </w:rPr>
        <w:t>,</w:t>
      </w:r>
      <w:r w:rsidRPr="004664FA">
        <w:rPr>
          <w:rFonts w:ascii="Times New Roman" w:hAnsi="Times New Roman" w:cs="Times New Roman"/>
        </w:rPr>
        <w:t xml:space="preserve"> A</w:t>
      </w:r>
      <w:r>
        <w:rPr>
          <w:rFonts w:ascii="Times New Roman" w:hAnsi="Times New Roman" w:cs="Times New Roman"/>
        </w:rPr>
        <w:t>.</w:t>
      </w:r>
      <w:r w:rsidRPr="004664FA">
        <w:rPr>
          <w:rFonts w:ascii="Times New Roman" w:hAnsi="Times New Roman" w:cs="Times New Roman"/>
        </w:rPr>
        <w:t>, Geevarghese</w:t>
      </w:r>
      <w:r>
        <w:rPr>
          <w:rFonts w:ascii="Times New Roman" w:hAnsi="Times New Roman" w:cs="Times New Roman"/>
        </w:rPr>
        <w:t>,</w:t>
      </w:r>
      <w:r w:rsidRPr="004664FA">
        <w:rPr>
          <w:rFonts w:ascii="Times New Roman" w:hAnsi="Times New Roman" w:cs="Times New Roman"/>
        </w:rPr>
        <w:t xml:space="preserve"> D-M</w:t>
      </w:r>
      <w:r>
        <w:rPr>
          <w:rFonts w:ascii="Times New Roman" w:hAnsi="Times New Roman" w:cs="Times New Roman"/>
        </w:rPr>
        <w:t>.</w:t>
      </w:r>
      <w:r w:rsidRPr="004664FA">
        <w:rPr>
          <w:rFonts w:ascii="Times New Roman" w:hAnsi="Times New Roman" w:cs="Times New Roman"/>
        </w:rPr>
        <w:t>, Vellala Syed Ali</w:t>
      </w:r>
      <w:r>
        <w:rPr>
          <w:rFonts w:ascii="Times New Roman" w:hAnsi="Times New Roman" w:cs="Times New Roman"/>
        </w:rPr>
        <w:t>,</w:t>
      </w:r>
      <w:r w:rsidRPr="004664FA">
        <w:rPr>
          <w:rFonts w:ascii="Times New Roman" w:hAnsi="Times New Roman" w:cs="Times New Roman"/>
        </w:rPr>
        <w:t xml:space="preserve"> M. N., Bahubali</w:t>
      </w:r>
      <w:r>
        <w:rPr>
          <w:rFonts w:ascii="Times New Roman" w:hAnsi="Times New Roman" w:cs="Times New Roman"/>
        </w:rPr>
        <w:t>,</w:t>
      </w:r>
      <w:r w:rsidRPr="004664FA">
        <w:rPr>
          <w:rFonts w:ascii="Times New Roman" w:hAnsi="Times New Roman" w:cs="Times New Roman"/>
        </w:rPr>
        <w:t xml:space="preserve"> P</w:t>
      </w:r>
      <w:r>
        <w:rPr>
          <w:rFonts w:ascii="Times New Roman" w:hAnsi="Times New Roman" w:cs="Times New Roman"/>
        </w:rPr>
        <w:t>.</w:t>
      </w:r>
      <w:r w:rsidRPr="004664FA">
        <w:rPr>
          <w:rFonts w:ascii="Times New Roman" w:hAnsi="Times New Roman" w:cs="Times New Roman"/>
        </w:rPr>
        <w:t>, Choudhary</w:t>
      </w:r>
      <w:r>
        <w:rPr>
          <w:rFonts w:ascii="Times New Roman" w:hAnsi="Times New Roman" w:cs="Times New Roman"/>
        </w:rPr>
        <w:t>,</w:t>
      </w:r>
      <w:r w:rsidRPr="004664FA">
        <w:rPr>
          <w:rFonts w:ascii="Times New Roman" w:hAnsi="Times New Roman" w:cs="Times New Roman"/>
        </w:rPr>
        <w:t xml:space="preserve"> R., Lvov</w:t>
      </w:r>
      <w:r>
        <w:rPr>
          <w:rFonts w:ascii="Times New Roman" w:hAnsi="Times New Roman" w:cs="Times New Roman"/>
        </w:rPr>
        <w:t>,</w:t>
      </w:r>
      <w:r w:rsidRPr="004664FA">
        <w:rPr>
          <w:rFonts w:ascii="Times New Roman" w:hAnsi="Times New Roman" w:cs="Times New Roman"/>
        </w:rPr>
        <w:t xml:space="preserve"> V</w:t>
      </w:r>
      <w:r>
        <w:rPr>
          <w:rFonts w:ascii="Times New Roman" w:hAnsi="Times New Roman" w:cs="Times New Roman"/>
        </w:rPr>
        <w:t>.</w:t>
      </w:r>
      <w:r w:rsidRPr="004664FA">
        <w:rPr>
          <w:rFonts w:ascii="Times New Roman" w:hAnsi="Times New Roman" w:cs="Times New Roman"/>
        </w:rPr>
        <w:t xml:space="preserve">, Tovar G.I., </w:t>
      </w:r>
      <w:proofErr w:type="spellStart"/>
      <w:r w:rsidRPr="004664FA">
        <w:rPr>
          <w:rFonts w:ascii="Times New Roman" w:hAnsi="Times New Roman" w:cs="Times New Roman"/>
        </w:rPr>
        <w:t>Senatov</w:t>
      </w:r>
      <w:proofErr w:type="spellEnd"/>
      <w:r w:rsidRPr="004664FA">
        <w:rPr>
          <w:rFonts w:ascii="Times New Roman" w:hAnsi="Times New Roman" w:cs="Times New Roman"/>
        </w:rPr>
        <w:t xml:space="preserve"> F., Koppala S., Swamiappan S. </w:t>
      </w:r>
      <w:r>
        <w:rPr>
          <w:rFonts w:ascii="Times New Roman" w:hAnsi="Times New Roman" w:cs="Times New Roman"/>
        </w:rPr>
        <w:t>(</w:t>
      </w:r>
      <w:r w:rsidRPr="004664FA">
        <w:rPr>
          <w:rFonts w:ascii="Times New Roman" w:hAnsi="Times New Roman" w:cs="Times New Roman"/>
        </w:rPr>
        <w:t>2022</w:t>
      </w:r>
      <w:r>
        <w:rPr>
          <w:rFonts w:ascii="Times New Roman" w:hAnsi="Times New Roman" w:cs="Times New Roman"/>
        </w:rPr>
        <w:t>)</w:t>
      </w:r>
      <w:r w:rsidRPr="004664FA">
        <w:rPr>
          <w:rFonts w:ascii="Times New Roman" w:hAnsi="Times New Roman" w:cs="Times New Roman"/>
        </w:rPr>
        <w:t xml:space="preserve">. Bioaccumulation of lead (Pb) and its effects in plants: A review. </w:t>
      </w:r>
      <w:r w:rsidR="00050370" w:rsidRPr="0052002C">
        <w:rPr>
          <w:rFonts w:ascii="Times New Roman" w:hAnsi="Times New Roman" w:cs="Times New Roman"/>
          <w:i/>
        </w:rPr>
        <w:t>Journal of Hazardous Materials Letters</w:t>
      </w:r>
      <w:r w:rsidRPr="004664FA">
        <w:rPr>
          <w:rFonts w:ascii="Times New Roman" w:hAnsi="Times New Roman" w:cs="Times New Roman"/>
        </w:rPr>
        <w:t>.</w:t>
      </w:r>
      <w:r>
        <w:rPr>
          <w:rFonts w:ascii="Times New Roman" w:hAnsi="Times New Roman" w:cs="Times New Roman"/>
        </w:rPr>
        <w:t xml:space="preserve"> </w:t>
      </w:r>
      <w:r w:rsidRPr="004664FA">
        <w:rPr>
          <w:rFonts w:ascii="Times New Roman" w:hAnsi="Times New Roman" w:cs="Times New Roman"/>
        </w:rPr>
        <w:t>Volume 3,100064. https://doi.org/10.1016/j.hazl.2022.100064</w:t>
      </w:r>
    </w:p>
    <w:p w:rsidR="00D53218" w:rsidRDefault="007216F7" w:rsidP="0052002C">
      <w:pPr>
        <w:pStyle w:val="NormalWeb"/>
        <w:ind w:left="567" w:hanging="567"/>
        <w:jc w:val="both"/>
        <w:rPr>
          <w:sz w:val="22"/>
          <w:szCs w:val="22"/>
        </w:rPr>
      </w:pPr>
      <w:r w:rsidRPr="0052002C">
        <w:rPr>
          <w:sz w:val="22"/>
          <w:szCs w:val="22"/>
          <w:lang w:val="de-AT"/>
        </w:rPr>
        <w:t xml:space="preserve">Du, B., Haensch, R., Alfarraj, S., &amp; Rennenberg, H. (2024). </w:t>
      </w:r>
      <w:r w:rsidRPr="007216F7">
        <w:rPr>
          <w:sz w:val="22"/>
          <w:szCs w:val="22"/>
        </w:rPr>
        <w:t xml:space="preserve">Strategies of plants to overcome abiotic and biotic stresses. </w:t>
      </w:r>
      <w:r w:rsidRPr="007216F7">
        <w:rPr>
          <w:rStyle w:val="Emphasis"/>
          <w:rFonts w:eastAsiaTheme="majorEastAsia"/>
          <w:sz w:val="22"/>
          <w:szCs w:val="22"/>
        </w:rPr>
        <w:t>Biological Reviews, 99</w:t>
      </w:r>
      <w:r w:rsidRPr="007216F7">
        <w:rPr>
          <w:sz w:val="22"/>
          <w:szCs w:val="22"/>
        </w:rPr>
        <w:t xml:space="preserve">, 1524–1536. </w:t>
      </w:r>
      <w:hyperlink r:id="rId24" w:tgtFrame="_new" w:history="1">
        <w:r w:rsidRPr="007216F7">
          <w:rPr>
            <w:rStyle w:val="Hyperlink"/>
            <w:rFonts w:eastAsiaTheme="majorEastAsia"/>
            <w:sz w:val="22"/>
            <w:szCs w:val="22"/>
          </w:rPr>
          <w:t>https://doi.org/10.1111/brv.13079</w:t>
        </w:r>
      </w:hyperlink>
    </w:p>
    <w:p w:rsidR="00D53218" w:rsidRDefault="007216F7" w:rsidP="0052002C">
      <w:pPr>
        <w:pStyle w:val="NormalWeb"/>
        <w:ind w:left="567" w:hanging="567"/>
        <w:jc w:val="both"/>
        <w:rPr>
          <w:sz w:val="22"/>
          <w:szCs w:val="22"/>
        </w:rPr>
      </w:pPr>
      <w:r w:rsidRPr="007216F7">
        <w:rPr>
          <w:sz w:val="22"/>
          <w:szCs w:val="22"/>
        </w:rPr>
        <w:lastRenderedPageBreak/>
        <w:t xml:space="preserve">Ermakov, A. I., </w:t>
      </w:r>
      <w:proofErr w:type="spellStart"/>
      <w:r w:rsidRPr="007216F7">
        <w:rPr>
          <w:sz w:val="22"/>
          <w:szCs w:val="22"/>
        </w:rPr>
        <w:t>Arasimovich</w:t>
      </w:r>
      <w:proofErr w:type="spellEnd"/>
      <w:r w:rsidRPr="007216F7">
        <w:rPr>
          <w:sz w:val="22"/>
          <w:szCs w:val="22"/>
        </w:rPr>
        <w:t xml:space="preserve">, V. V., Iarosh, V. V., Peruanskiy, I. P., Lugovnikova, G. A., &amp; </w:t>
      </w:r>
      <w:proofErr w:type="spellStart"/>
      <w:r w:rsidRPr="007216F7">
        <w:rPr>
          <w:sz w:val="22"/>
          <w:szCs w:val="22"/>
        </w:rPr>
        <w:t>Ikonnikova</w:t>
      </w:r>
      <w:proofErr w:type="spellEnd"/>
      <w:r w:rsidRPr="007216F7">
        <w:rPr>
          <w:sz w:val="22"/>
          <w:szCs w:val="22"/>
        </w:rPr>
        <w:t xml:space="preserve">, M. I. (1987). </w:t>
      </w:r>
      <w:r w:rsidRPr="007216F7">
        <w:rPr>
          <w:rStyle w:val="Emphasis"/>
          <w:rFonts w:eastAsiaTheme="majorEastAsia"/>
          <w:sz w:val="22"/>
          <w:szCs w:val="22"/>
        </w:rPr>
        <w:t>Methods of biochemical analysis of plants</w:t>
      </w:r>
      <w:r w:rsidRPr="007216F7">
        <w:rPr>
          <w:sz w:val="22"/>
          <w:szCs w:val="22"/>
        </w:rPr>
        <w:t xml:space="preserve">. </w:t>
      </w:r>
      <w:proofErr w:type="spellStart"/>
      <w:r w:rsidRPr="007216F7">
        <w:rPr>
          <w:sz w:val="22"/>
          <w:szCs w:val="22"/>
        </w:rPr>
        <w:t>Agropromizdat</w:t>
      </w:r>
      <w:proofErr w:type="spellEnd"/>
      <w:r w:rsidRPr="007216F7">
        <w:rPr>
          <w:sz w:val="22"/>
          <w:szCs w:val="22"/>
        </w:rPr>
        <w:t>.</w:t>
      </w:r>
    </w:p>
    <w:p w:rsidR="00D53218" w:rsidRDefault="007216F7" w:rsidP="0052002C">
      <w:pPr>
        <w:pStyle w:val="NormalWeb"/>
        <w:ind w:left="567" w:hanging="567"/>
        <w:jc w:val="both"/>
        <w:rPr>
          <w:sz w:val="22"/>
          <w:szCs w:val="22"/>
        </w:rPr>
      </w:pPr>
      <w:r w:rsidRPr="007216F7">
        <w:rPr>
          <w:sz w:val="22"/>
          <w:szCs w:val="22"/>
        </w:rPr>
        <w:t xml:space="preserve">Ferraris, L., </w:t>
      </w:r>
      <w:proofErr w:type="spellStart"/>
      <w:r w:rsidRPr="007216F7">
        <w:rPr>
          <w:sz w:val="22"/>
          <w:szCs w:val="22"/>
        </w:rPr>
        <w:t>Abbatista</w:t>
      </w:r>
      <w:proofErr w:type="spellEnd"/>
      <w:r w:rsidRPr="007216F7">
        <w:rPr>
          <w:sz w:val="22"/>
          <w:szCs w:val="22"/>
        </w:rPr>
        <w:t xml:space="preserve">-Gentile, I., &amp; Matta, A. (1987). Variations of phenolics concentrations as a consequence of stress that induce resistance to Fusarium wilt of tomato. </w:t>
      </w:r>
      <w:r w:rsidRPr="007216F7">
        <w:rPr>
          <w:rStyle w:val="Emphasis"/>
          <w:rFonts w:eastAsiaTheme="majorEastAsia"/>
          <w:sz w:val="22"/>
          <w:szCs w:val="22"/>
        </w:rPr>
        <w:t>Journal of Plant Diseases and Protection, 94</w:t>
      </w:r>
      <w:r w:rsidRPr="007216F7">
        <w:rPr>
          <w:sz w:val="22"/>
          <w:szCs w:val="22"/>
        </w:rPr>
        <w:t>, 624–629.</w:t>
      </w:r>
    </w:p>
    <w:p w:rsidR="00D53218" w:rsidRDefault="007216F7" w:rsidP="0052002C">
      <w:pPr>
        <w:pStyle w:val="NormalWeb"/>
        <w:ind w:left="567" w:hanging="567"/>
        <w:jc w:val="both"/>
        <w:rPr>
          <w:sz w:val="22"/>
          <w:szCs w:val="22"/>
        </w:rPr>
      </w:pPr>
      <w:proofErr w:type="spellStart"/>
      <w:r w:rsidRPr="007216F7">
        <w:rPr>
          <w:sz w:val="22"/>
          <w:szCs w:val="22"/>
        </w:rPr>
        <w:t>Fillipovich</w:t>
      </w:r>
      <w:proofErr w:type="spellEnd"/>
      <w:r w:rsidRPr="007216F7">
        <w:rPr>
          <w:sz w:val="22"/>
          <w:szCs w:val="22"/>
        </w:rPr>
        <w:t xml:space="preserve">, I. M., Egorova, T. A., &amp; </w:t>
      </w:r>
      <w:proofErr w:type="spellStart"/>
      <w:r w:rsidRPr="007216F7">
        <w:rPr>
          <w:sz w:val="22"/>
          <w:szCs w:val="22"/>
        </w:rPr>
        <w:t>Sevastianova</w:t>
      </w:r>
      <w:proofErr w:type="spellEnd"/>
      <w:r w:rsidRPr="007216F7">
        <w:rPr>
          <w:sz w:val="22"/>
          <w:szCs w:val="22"/>
        </w:rPr>
        <w:t xml:space="preserve">, G. A. (1982). </w:t>
      </w:r>
      <w:r w:rsidRPr="007216F7">
        <w:rPr>
          <w:rStyle w:val="Emphasis"/>
          <w:rFonts w:eastAsiaTheme="majorEastAsia"/>
          <w:sz w:val="22"/>
          <w:szCs w:val="22"/>
        </w:rPr>
        <w:t>Practical handbook in biochemistry</w:t>
      </w:r>
      <w:r w:rsidRPr="007216F7">
        <w:rPr>
          <w:sz w:val="22"/>
          <w:szCs w:val="22"/>
        </w:rPr>
        <w:t xml:space="preserve">. </w:t>
      </w:r>
      <w:proofErr w:type="spellStart"/>
      <w:r w:rsidRPr="007216F7">
        <w:rPr>
          <w:sz w:val="22"/>
          <w:szCs w:val="22"/>
        </w:rPr>
        <w:t>Prosveshchenie</w:t>
      </w:r>
      <w:proofErr w:type="spellEnd"/>
      <w:r w:rsidRPr="007216F7">
        <w:rPr>
          <w:sz w:val="22"/>
          <w:szCs w:val="22"/>
        </w:rPr>
        <w:t>.</w:t>
      </w:r>
    </w:p>
    <w:p w:rsidR="00D53218" w:rsidRDefault="007216F7" w:rsidP="0052002C">
      <w:pPr>
        <w:pStyle w:val="NormalWeb"/>
        <w:ind w:left="567" w:hanging="567"/>
        <w:jc w:val="both"/>
        <w:rPr>
          <w:sz w:val="22"/>
          <w:szCs w:val="22"/>
        </w:rPr>
      </w:pPr>
      <w:r w:rsidRPr="007216F7">
        <w:rPr>
          <w:sz w:val="22"/>
          <w:szCs w:val="22"/>
        </w:rPr>
        <w:t xml:space="preserve">Fomin, G. S., &amp; Fomin, A. G. (2001). </w:t>
      </w:r>
      <w:r w:rsidRPr="007216F7">
        <w:rPr>
          <w:rStyle w:val="Emphasis"/>
          <w:rFonts w:eastAsiaTheme="majorEastAsia"/>
          <w:sz w:val="22"/>
          <w:szCs w:val="22"/>
        </w:rPr>
        <w:t>Soil quality control and environmental safety by international standards</w:t>
      </w:r>
      <w:r w:rsidRPr="007216F7">
        <w:rPr>
          <w:sz w:val="22"/>
          <w:szCs w:val="22"/>
        </w:rPr>
        <w:t>. Protector.</w:t>
      </w:r>
    </w:p>
    <w:p w:rsidR="00D53218" w:rsidRDefault="007216F7" w:rsidP="0052002C">
      <w:pPr>
        <w:pStyle w:val="NormalWeb"/>
        <w:ind w:left="567" w:hanging="567"/>
        <w:jc w:val="both"/>
        <w:rPr>
          <w:sz w:val="22"/>
          <w:szCs w:val="22"/>
        </w:rPr>
      </w:pPr>
      <w:r w:rsidRPr="007216F7">
        <w:rPr>
          <w:sz w:val="22"/>
          <w:szCs w:val="22"/>
        </w:rPr>
        <w:t xml:space="preserve">Gabriadze, N. (2022). Heavy metals—lead and cadmium distribution in the adjacent area of the Bolnisi and </w:t>
      </w:r>
      <w:proofErr w:type="spellStart"/>
      <w:r w:rsidRPr="007216F7">
        <w:rPr>
          <w:sz w:val="22"/>
          <w:szCs w:val="22"/>
        </w:rPr>
        <w:t>Dmanisi</w:t>
      </w:r>
      <w:proofErr w:type="spellEnd"/>
      <w:r w:rsidRPr="007216F7">
        <w:rPr>
          <w:sz w:val="22"/>
          <w:szCs w:val="22"/>
        </w:rPr>
        <w:t xml:space="preserve"> regions. </w:t>
      </w:r>
      <w:r w:rsidRPr="007216F7">
        <w:rPr>
          <w:rStyle w:val="Emphasis"/>
          <w:rFonts w:eastAsiaTheme="majorEastAsia"/>
          <w:sz w:val="22"/>
          <w:szCs w:val="22"/>
        </w:rPr>
        <w:t>ISJ Theoretical &amp; Applied Science, 12</w:t>
      </w:r>
      <w:r w:rsidRPr="007216F7">
        <w:rPr>
          <w:sz w:val="22"/>
          <w:szCs w:val="22"/>
        </w:rPr>
        <w:t>(116), 1100–1107.</w:t>
      </w:r>
    </w:p>
    <w:p w:rsidR="00D53218" w:rsidRDefault="0038593A" w:rsidP="0052002C">
      <w:pPr>
        <w:pStyle w:val="NormalWeb"/>
        <w:spacing w:line="360" w:lineRule="auto"/>
        <w:ind w:left="567" w:hanging="567"/>
        <w:jc w:val="both"/>
        <w:rPr>
          <w:sz w:val="22"/>
        </w:rPr>
      </w:pPr>
      <w:r w:rsidRPr="0079069C">
        <w:rPr>
          <w:sz w:val="22"/>
        </w:rPr>
        <w:t xml:space="preserve">Gupta, P., &amp; Gupta, R. (2025). Nitrate reductase-derived nitric oxide in plant stress signaling and adaptation. </w:t>
      </w:r>
      <w:r w:rsidRPr="0079069C">
        <w:rPr>
          <w:rStyle w:val="Emphasis"/>
          <w:rFonts w:eastAsiaTheme="majorEastAsia"/>
          <w:sz w:val="22"/>
        </w:rPr>
        <w:t>Journal of Experimental Botany, 76</w:t>
      </w:r>
      <w:r w:rsidRPr="0079069C">
        <w:rPr>
          <w:sz w:val="22"/>
        </w:rPr>
        <w:t>(22), 6634–6648. https://doi.org/10.1093/jxb/erad345</w:t>
      </w:r>
    </w:p>
    <w:p w:rsidR="00D53218" w:rsidRDefault="007216F7" w:rsidP="0052002C">
      <w:pPr>
        <w:pStyle w:val="NormalWeb"/>
        <w:ind w:left="567" w:hanging="567"/>
        <w:jc w:val="both"/>
        <w:rPr>
          <w:sz w:val="22"/>
          <w:szCs w:val="22"/>
        </w:rPr>
      </w:pPr>
      <w:r w:rsidRPr="0052002C">
        <w:rPr>
          <w:sz w:val="22"/>
          <w:szCs w:val="22"/>
          <w:lang w:val="de-AT"/>
        </w:rPr>
        <w:t xml:space="preserve">Hammer, Ø., &amp; Harper, D. A. (2001). </w:t>
      </w:r>
      <w:r w:rsidRPr="007216F7">
        <w:rPr>
          <w:sz w:val="22"/>
          <w:szCs w:val="22"/>
        </w:rPr>
        <w:t xml:space="preserve">PAST: Paleontological statistics software package for education and data analysis. </w:t>
      </w:r>
      <w:proofErr w:type="spellStart"/>
      <w:r w:rsidRPr="007216F7">
        <w:rPr>
          <w:rStyle w:val="Emphasis"/>
          <w:rFonts w:eastAsiaTheme="majorEastAsia"/>
          <w:sz w:val="22"/>
          <w:szCs w:val="22"/>
        </w:rPr>
        <w:t>Palaeontologia</w:t>
      </w:r>
      <w:proofErr w:type="spellEnd"/>
      <w:r w:rsidRPr="007216F7">
        <w:rPr>
          <w:rStyle w:val="Emphasis"/>
          <w:rFonts w:eastAsiaTheme="majorEastAsia"/>
          <w:sz w:val="22"/>
          <w:szCs w:val="22"/>
        </w:rPr>
        <w:t xml:space="preserve"> Electronica, 4</w:t>
      </w:r>
      <w:r w:rsidRPr="007216F7">
        <w:rPr>
          <w:sz w:val="22"/>
          <w:szCs w:val="22"/>
        </w:rPr>
        <w:t>(1), 1.</w:t>
      </w:r>
    </w:p>
    <w:p w:rsidR="00D53218" w:rsidRPr="0052002C" w:rsidRDefault="002301D0" w:rsidP="0052002C">
      <w:pPr>
        <w:spacing w:line="360" w:lineRule="auto"/>
        <w:ind w:left="567" w:hanging="567"/>
        <w:jc w:val="both"/>
        <w:rPr>
          <w:lang w:val="es-ES"/>
        </w:rPr>
      </w:pPr>
      <w:r w:rsidRPr="004664FA">
        <w:rPr>
          <w:rFonts w:ascii="Times New Roman" w:hAnsi="Times New Roman" w:cs="Times New Roman"/>
        </w:rPr>
        <w:t>Haider</w:t>
      </w:r>
      <w:r>
        <w:rPr>
          <w:rFonts w:ascii="Times New Roman" w:hAnsi="Times New Roman" w:cs="Times New Roman"/>
        </w:rPr>
        <w:t>,</w:t>
      </w:r>
      <w:r w:rsidRPr="004664FA">
        <w:rPr>
          <w:rFonts w:ascii="Times New Roman" w:hAnsi="Times New Roman" w:cs="Times New Roman"/>
        </w:rPr>
        <w:t xml:space="preserve"> F.U., Liqun</w:t>
      </w:r>
      <w:r>
        <w:rPr>
          <w:rFonts w:ascii="Times New Roman" w:hAnsi="Times New Roman" w:cs="Times New Roman"/>
        </w:rPr>
        <w:t>,</w:t>
      </w:r>
      <w:r w:rsidRPr="004664FA">
        <w:rPr>
          <w:rFonts w:ascii="Times New Roman" w:hAnsi="Times New Roman" w:cs="Times New Roman"/>
        </w:rPr>
        <w:t xml:space="preserve"> C., Coulter</w:t>
      </w:r>
      <w:r>
        <w:rPr>
          <w:rFonts w:ascii="Times New Roman" w:hAnsi="Times New Roman" w:cs="Times New Roman"/>
        </w:rPr>
        <w:t>,</w:t>
      </w:r>
      <w:r w:rsidRPr="004664FA">
        <w:rPr>
          <w:rFonts w:ascii="Times New Roman" w:hAnsi="Times New Roman" w:cs="Times New Roman"/>
        </w:rPr>
        <w:t xml:space="preserve"> J.A</w:t>
      </w:r>
      <w:r>
        <w:rPr>
          <w:rFonts w:ascii="Times New Roman" w:hAnsi="Times New Roman" w:cs="Times New Roman"/>
        </w:rPr>
        <w:t>.</w:t>
      </w:r>
      <w:r w:rsidRPr="004664FA">
        <w:rPr>
          <w:rFonts w:ascii="Times New Roman" w:hAnsi="Times New Roman" w:cs="Times New Roman"/>
        </w:rPr>
        <w:t>, Cheema</w:t>
      </w:r>
      <w:r>
        <w:rPr>
          <w:rFonts w:ascii="Times New Roman" w:hAnsi="Times New Roman" w:cs="Times New Roman"/>
        </w:rPr>
        <w:t>,</w:t>
      </w:r>
      <w:r w:rsidRPr="004664FA">
        <w:rPr>
          <w:rFonts w:ascii="Times New Roman" w:hAnsi="Times New Roman" w:cs="Times New Roman"/>
        </w:rPr>
        <w:t xml:space="preserve"> S. A., Wu</w:t>
      </w:r>
      <w:r>
        <w:rPr>
          <w:rFonts w:ascii="Times New Roman" w:hAnsi="Times New Roman" w:cs="Times New Roman"/>
        </w:rPr>
        <w:t>,</w:t>
      </w:r>
      <w:r w:rsidRPr="004664FA">
        <w:rPr>
          <w:rFonts w:ascii="Times New Roman" w:hAnsi="Times New Roman" w:cs="Times New Roman"/>
        </w:rPr>
        <w:t xml:space="preserve"> J., Zhang</w:t>
      </w:r>
      <w:r>
        <w:rPr>
          <w:rFonts w:ascii="Times New Roman" w:hAnsi="Times New Roman" w:cs="Times New Roman"/>
        </w:rPr>
        <w:t>,</w:t>
      </w:r>
      <w:r w:rsidRPr="004664FA">
        <w:rPr>
          <w:rFonts w:ascii="Times New Roman" w:hAnsi="Times New Roman" w:cs="Times New Roman"/>
        </w:rPr>
        <w:t xml:space="preserve"> R., Wenjun</w:t>
      </w:r>
      <w:r>
        <w:rPr>
          <w:rFonts w:ascii="Times New Roman" w:hAnsi="Times New Roman" w:cs="Times New Roman"/>
        </w:rPr>
        <w:t>,</w:t>
      </w:r>
      <w:r w:rsidRPr="004664FA">
        <w:rPr>
          <w:rFonts w:ascii="Times New Roman" w:hAnsi="Times New Roman" w:cs="Times New Roman"/>
        </w:rPr>
        <w:t xml:space="preserve"> M., Farooq</w:t>
      </w:r>
      <w:r>
        <w:rPr>
          <w:rFonts w:ascii="Times New Roman" w:hAnsi="Times New Roman" w:cs="Times New Roman"/>
        </w:rPr>
        <w:t>,</w:t>
      </w:r>
      <w:r w:rsidRPr="004664FA">
        <w:rPr>
          <w:rFonts w:ascii="Times New Roman" w:hAnsi="Times New Roman" w:cs="Times New Roman"/>
        </w:rPr>
        <w:t xml:space="preserve"> M. </w:t>
      </w:r>
      <w:r>
        <w:rPr>
          <w:rFonts w:ascii="Times New Roman" w:hAnsi="Times New Roman" w:cs="Times New Roman"/>
        </w:rPr>
        <w:t>(</w:t>
      </w:r>
      <w:r w:rsidRPr="004664FA">
        <w:rPr>
          <w:rFonts w:ascii="Times New Roman" w:hAnsi="Times New Roman" w:cs="Times New Roman"/>
        </w:rPr>
        <w:t>2021</w:t>
      </w:r>
      <w:r>
        <w:rPr>
          <w:rFonts w:ascii="Times New Roman" w:hAnsi="Times New Roman" w:cs="Times New Roman"/>
        </w:rPr>
        <w:t>)</w:t>
      </w:r>
      <w:r w:rsidRPr="004664FA">
        <w:rPr>
          <w:rFonts w:ascii="Times New Roman" w:hAnsi="Times New Roman" w:cs="Times New Roman"/>
        </w:rPr>
        <w:t xml:space="preserve">. Cadmium toxicity in plants: Impacts and remediation strategies. </w:t>
      </w:r>
      <w:r w:rsidR="00050370" w:rsidRPr="0052002C">
        <w:rPr>
          <w:rFonts w:ascii="Times New Roman" w:hAnsi="Times New Roman" w:cs="Times New Roman"/>
          <w:i/>
        </w:rPr>
        <w:t xml:space="preserve">Ecotoxicology and Environmental </w:t>
      </w:r>
      <w:proofErr w:type="spellStart"/>
      <w:r w:rsidR="00050370" w:rsidRPr="0052002C">
        <w:rPr>
          <w:rFonts w:ascii="Times New Roman" w:hAnsi="Times New Roman" w:cs="Times New Roman"/>
          <w:i/>
        </w:rPr>
        <w:t>Safety</w:t>
      </w:r>
      <w:r w:rsidRPr="004664FA">
        <w:rPr>
          <w:rFonts w:ascii="Times New Roman" w:hAnsi="Times New Roman" w:cs="Times New Roman"/>
        </w:rPr>
        <w:t>.Volume</w:t>
      </w:r>
      <w:proofErr w:type="spellEnd"/>
      <w:r w:rsidRPr="004664FA">
        <w:rPr>
          <w:rFonts w:ascii="Times New Roman" w:hAnsi="Times New Roman" w:cs="Times New Roman"/>
        </w:rPr>
        <w:t xml:space="preserve"> 211, 111887. </w:t>
      </w:r>
      <w:hyperlink r:id="rId25" w:history="1">
        <w:r w:rsidRPr="0052002C">
          <w:rPr>
            <w:rStyle w:val="Hyperlink"/>
            <w:rFonts w:ascii="Times New Roman" w:hAnsi="Times New Roman" w:cs="Times New Roman"/>
            <w:lang w:val="es-ES"/>
          </w:rPr>
          <w:t>https://doi.org/10.1016/j.ecoenv.2020.111887</w:t>
        </w:r>
      </w:hyperlink>
      <w:r w:rsidRPr="0052002C">
        <w:rPr>
          <w:rFonts w:ascii="Times New Roman" w:hAnsi="Times New Roman" w:cs="Times New Roman"/>
          <w:lang w:val="es-ES"/>
        </w:rPr>
        <w:t>.</w:t>
      </w:r>
    </w:p>
    <w:p w:rsidR="00D53218" w:rsidRDefault="007216F7" w:rsidP="0052002C">
      <w:pPr>
        <w:pStyle w:val="NormalWeb"/>
        <w:ind w:left="567" w:hanging="567"/>
        <w:jc w:val="both"/>
        <w:rPr>
          <w:sz w:val="22"/>
          <w:szCs w:val="22"/>
        </w:rPr>
      </w:pPr>
      <w:r w:rsidRPr="0052002C">
        <w:rPr>
          <w:sz w:val="22"/>
          <w:szCs w:val="22"/>
          <w:lang w:val="es-ES"/>
        </w:rPr>
        <w:t xml:space="preserve">Himani, K., Gaur, A., Joshi, H. C., &amp; Pant, G. (2025). </w:t>
      </w:r>
      <w:r w:rsidRPr="007216F7">
        <w:rPr>
          <w:sz w:val="22"/>
          <w:szCs w:val="22"/>
        </w:rPr>
        <w:t xml:space="preserve">Heavy metals as ecological contaminants: Sources, persistence, human health risks, and pollution assessment indices. In V. Singh et al. (Eds.), </w:t>
      </w:r>
      <w:r w:rsidRPr="007216F7">
        <w:rPr>
          <w:rStyle w:val="Emphasis"/>
          <w:rFonts w:eastAsiaTheme="majorEastAsia"/>
          <w:sz w:val="22"/>
          <w:szCs w:val="22"/>
        </w:rPr>
        <w:t>Heavy metal contamination in wastewater and its bioremediation</w:t>
      </w:r>
      <w:r w:rsidRPr="007216F7">
        <w:rPr>
          <w:sz w:val="22"/>
          <w:szCs w:val="22"/>
        </w:rPr>
        <w:t xml:space="preserve"> (pp. xxx–xxx). Springer. </w:t>
      </w:r>
      <w:hyperlink r:id="rId26" w:tgtFrame="_new" w:history="1">
        <w:r w:rsidRPr="007216F7">
          <w:rPr>
            <w:rStyle w:val="Hyperlink"/>
            <w:rFonts w:eastAsiaTheme="majorEastAsia"/>
            <w:sz w:val="22"/>
            <w:szCs w:val="22"/>
          </w:rPr>
          <w:t>https://doi.org/10.1007/978-981-96-7878-5_8</w:t>
        </w:r>
      </w:hyperlink>
    </w:p>
    <w:p w:rsidR="00D53218" w:rsidRDefault="007216F7" w:rsidP="0052002C">
      <w:pPr>
        <w:pStyle w:val="NormalWeb"/>
        <w:ind w:left="567" w:hanging="567"/>
        <w:jc w:val="both"/>
        <w:rPr>
          <w:sz w:val="22"/>
          <w:szCs w:val="22"/>
        </w:rPr>
      </w:pPr>
      <w:proofErr w:type="spellStart"/>
      <w:r w:rsidRPr="007216F7">
        <w:rPr>
          <w:sz w:val="22"/>
          <w:szCs w:val="22"/>
        </w:rPr>
        <w:t>Hosseinifard</w:t>
      </w:r>
      <w:proofErr w:type="spellEnd"/>
      <w:r w:rsidRPr="007216F7">
        <w:rPr>
          <w:sz w:val="22"/>
          <w:szCs w:val="22"/>
        </w:rPr>
        <w:t xml:space="preserve">, M., Stefaniak, S., Ghorbani Javid, M., Soltani, E., Wojtyla, Ł., &amp; </w:t>
      </w:r>
      <w:proofErr w:type="spellStart"/>
      <w:r w:rsidRPr="007216F7">
        <w:rPr>
          <w:sz w:val="22"/>
          <w:szCs w:val="22"/>
        </w:rPr>
        <w:t>Garnczarska</w:t>
      </w:r>
      <w:proofErr w:type="spellEnd"/>
      <w:r w:rsidRPr="007216F7">
        <w:rPr>
          <w:sz w:val="22"/>
          <w:szCs w:val="22"/>
        </w:rPr>
        <w:t xml:space="preserve">, M. (2022). Contribution of exogenous proline to abiotic stress tolerance in plants: A review. </w:t>
      </w:r>
      <w:r w:rsidRPr="007216F7">
        <w:rPr>
          <w:rStyle w:val="Emphasis"/>
          <w:rFonts w:eastAsiaTheme="majorEastAsia"/>
          <w:sz w:val="22"/>
          <w:szCs w:val="22"/>
        </w:rPr>
        <w:t>International Journal of Molecular Sciences, 23</w:t>
      </w:r>
      <w:r w:rsidRPr="007216F7">
        <w:rPr>
          <w:sz w:val="22"/>
          <w:szCs w:val="22"/>
        </w:rPr>
        <w:t xml:space="preserve">(9), 5186. </w:t>
      </w:r>
      <w:hyperlink r:id="rId27" w:tgtFrame="_new" w:history="1">
        <w:r w:rsidRPr="007216F7">
          <w:rPr>
            <w:rStyle w:val="Hyperlink"/>
            <w:rFonts w:eastAsiaTheme="majorEastAsia"/>
            <w:sz w:val="22"/>
            <w:szCs w:val="22"/>
          </w:rPr>
          <w:t>https://doi.org/10.3390/ijms23095186</w:t>
        </w:r>
      </w:hyperlink>
    </w:p>
    <w:p w:rsidR="00D53218" w:rsidRDefault="007216F7" w:rsidP="0052002C">
      <w:pPr>
        <w:pStyle w:val="NormalWeb"/>
        <w:ind w:left="567" w:hanging="567"/>
        <w:jc w:val="both"/>
      </w:pPr>
      <w:r w:rsidRPr="007216F7">
        <w:rPr>
          <w:sz w:val="22"/>
          <w:szCs w:val="22"/>
        </w:rPr>
        <w:t xml:space="preserve">Iqbal, A., Don, Q., Wang, X., Gui, H., Zhang, H., Zhang, X., &amp; Song, M. (2020). High nitrogen enhances drought tolerance in cotton through antioxidant enzymatic activities, nitrogen metabolism and osmotic adjustment. </w:t>
      </w:r>
      <w:r w:rsidRPr="007216F7">
        <w:rPr>
          <w:rStyle w:val="Emphasis"/>
          <w:rFonts w:eastAsiaTheme="majorEastAsia"/>
          <w:sz w:val="22"/>
          <w:szCs w:val="22"/>
        </w:rPr>
        <w:t>Plants, 9</w:t>
      </w:r>
      <w:r w:rsidRPr="007216F7">
        <w:rPr>
          <w:sz w:val="22"/>
          <w:szCs w:val="22"/>
        </w:rPr>
        <w:t xml:space="preserve">(2), 178. </w:t>
      </w:r>
      <w:hyperlink r:id="rId28" w:tgtFrame="_new" w:history="1">
        <w:r w:rsidRPr="007216F7">
          <w:rPr>
            <w:rStyle w:val="Hyperlink"/>
            <w:rFonts w:eastAsiaTheme="majorEastAsia"/>
            <w:sz w:val="22"/>
            <w:szCs w:val="22"/>
          </w:rPr>
          <w:t>https://doi.org/10.3390/plants9020178</w:t>
        </w:r>
      </w:hyperlink>
    </w:p>
    <w:p w:rsidR="00D53218" w:rsidRDefault="0038593A" w:rsidP="0052002C">
      <w:pPr>
        <w:pStyle w:val="NormalWeb"/>
        <w:spacing w:line="360" w:lineRule="auto"/>
        <w:ind w:left="567" w:hanging="567"/>
        <w:jc w:val="both"/>
        <w:rPr>
          <w:sz w:val="22"/>
        </w:rPr>
      </w:pPr>
      <w:r w:rsidRPr="0079069C">
        <w:rPr>
          <w:sz w:val="22"/>
        </w:rPr>
        <w:t>Kaya, C., Ashraf, M., Alyemeni, M. N., &amp; Ahmad, P. (2020). Nitrate reductase-associated nitric oxide enhances tolerance to cadmium stress in pepper (</w:t>
      </w:r>
      <w:r w:rsidRPr="0079069C">
        <w:rPr>
          <w:rStyle w:val="Emphasis"/>
          <w:rFonts w:eastAsiaTheme="majorEastAsia"/>
          <w:sz w:val="22"/>
        </w:rPr>
        <w:t>Capsicum annuum</w:t>
      </w:r>
      <w:r w:rsidRPr="0079069C">
        <w:rPr>
          <w:sz w:val="22"/>
        </w:rPr>
        <w:t xml:space="preserve"> L.) plants by regulating antioxidant defense systems. </w:t>
      </w:r>
      <w:r w:rsidRPr="0079069C">
        <w:rPr>
          <w:rStyle w:val="Emphasis"/>
          <w:rFonts w:eastAsiaTheme="majorEastAsia"/>
          <w:sz w:val="22"/>
        </w:rPr>
        <w:t>Ecotoxicology and Environmental Safety, 190</w:t>
      </w:r>
      <w:r w:rsidRPr="0079069C">
        <w:rPr>
          <w:sz w:val="22"/>
        </w:rPr>
        <w:t>, 110122. https://doi.org/10.1016/j.ecoenv.2019.110122</w:t>
      </w:r>
    </w:p>
    <w:p w:rsidR="00D53218" w:rsidRDefault="007216F7" w:rsidP="0052002C">
      <w:pPr>
        <w:pStyle w:val="NormalWeb"/>
        <w:ind w:left="567" w:hanging="567"/>
        <w:jc w:val="both"/>
        <w:rPr>
          <w:sz w:val="22"/>
          <w:szCs w:val="22"/>
        </w:rPr>
      </w:pPr>
      <w:r w:rsidRPr="007216F7">
        <w:rPr>
          <w:sz w:val="22"/>
          <w:szCs w:val="22"/>
        </w:rPr>
        <w:t xml:space="preserve">Kekelidze, D., Tsotadze, G., Maisuradze, G., Akhalbedashvili, L., &amp; Chkhaidze, M. (2022). Assessment of the soil cover quality in adjacent areas to landfills based on changes in heavy </w:t>
      </w:r>
      <w:r w:rsidRPr="007216F7">
        <w:rPr>
          <w:sz w:val="22"/>
          <w:szCs w:val="22"/>
        </w:rPr>
        <w:lastRenderedPageBreak/>
        <w:t xml:space="preserve">metal concentration. </w:t>
      </w:r>
      <w:r w:rsidRPr="007216F7">
        <w:rPr>
          <w:rStyle w:val="Emphasis"/>
          <w:rFonts w:eastAsiaTheme="majorEastAsia"/>
          <w:sz w:val="22"/>
          <w:szCs w:val="22"/>
        </w:rPr>
        <w:t>Journal of Ecological Engineering, 23</w:t>
      </w:r>
      <w:r w:rsidRPr="007216F7">
        <w:rPr>
          <w:sz w:val="22"/>
          <w:szCs w:val="22"/>
        </w:rPr>
        <w:t xml:space="preserve">(5), 271–277. </w:t>
      </w:r>
      <w:hyperlink r:id="rId29" w:tgtFrame="_new" w:history="1">
        <w:r w:rsidRPr="007216F7">
          <w:rPr>
            <w:rStyle w:val="Hyperlink"/>
            <w:rFonts w:eastAsiaTheme="majorEastAsia"/>
            <w:sz w:val="22"/>
            <w:szCs w:val="22"/>
          </w:rPr>
          <w:t>https://doi.org/10.12911/22998993/146747</w:t>
        </w:r>
      </w:hyperlink>
    </w:p>
    <w:p w:rsidR="00D53218" w:rsidRDefault="007216F7" w:rsidP="0052002C">
      <w:pPr>
        <w:pStyle w:val="NormalWeb"/>
        <w:ind w:left="567" w:hanging="567"/>
        <w:jc w:val="both"/>
        <w:rPr>
          <w:sz w:val="22"/>
          <w:szCs w:val="22"/>
        </w:rPr>
      </w:pPr>
      <w:r w:rsidRPr="007216F7">
        <w:rPr>
          <w:sz w:val="22"/>
          <w:szCs w:val="22"/>
        </w:rPr>
        <w:t xml:space="preserve">Kikvidze, Z., &amp; Armas, C. (2010). Plant interaction indices based on experimental plant performance data. In F. I. </w:t>
      </w:r>
      <w:proofErr w:type="spellStart"/>
      <w:r w:rsidRPr="007216F7">
        <w:rPr>
          <w:sz w:val="22"/>
          <w:szCs w:val="22"/>
        </w:rPr>
        <w:t>Pugnaire</w:t>
      </w:r>
      <w:proofErr w:type="spellEnd"/>
      <w:r w:rsidRPr="007216F7">
        <w:rPr>
          <w:sz w:val="22"/>
          <w:szCs w:val="22"/>
        </w:rPr>
        <w:t xml:space="preserve"> (Ed.), </w:t>
      </w:r>
      <w:r w:rsidRPr="007216F7">
        <w:rPr>
          <w:rStyle w:val="Emphasis"/>
          <w:rFonts w:eastAsiaTheme="majorEastAsia"/>
          <w:sz w:val="22"/>
          <w:szCs w:val="22"/>
        </w:rPr>
        <w:t>Positive plant interactions and community dynamics</w:t>
      </w:r>
      <w:r w:rsidRPr="007216F7">
        <w:rPr>
          <w:sz w:val="22"/>
          <w:szCs w:val="22"/>
        </w:rPr>
        <w:t xml:space="preserve"> (pp. 17–37). CRC Press.</w:t>
      </w:r>
    </w:p>
    <w:p w:rsidR="00D53218" w:rsidRDefault="007216F7" w:rsidP="0052002C">
      <w:pPr>
        <w:pStyle w:val="NormalWeb"/>
        <w:ind w:left="567" w:hanging="567"/>
        <w:jc w:val="both"/>
        <w:rPr>
          <w:sz w:val="22"/>
          <w:szCs w:val="22"/>
        </w:rPr>
      </w:pPr>
      <w:r w:rsidRPr="007216F7">
        <w:rPr>
          <w:sz w:val="22"/>
          <w:szCs w:val="22"/>
        </w:rPr>
        <w:t xml:space="preserve">Kikvidze, Z., </w:t>
      </w:r>
      <w:proofErr w:type="spellStart"/>
      <w:r w:rsidRPr="007216F7">
        <w:rPr>
          <w:sz w:val="22"/>
          <w:szCs w:val="22"/>
        </w:rPr>
        <w:t>Khetsuriani</w:t>
      </w:r>
      <w:proofErr w:type="spellEnd"/>
      <w:r w:rsidRPr="007216F7">
        <w:rPr>
          <w:sz w:val="22"/>
          <w:szCs w:val="22"/>
        </w:rPr>
        <w:t xml:space="preserve">, L., </w:t>
      </w:r>
      <w:proofErr w:type="spellStart"/>
      <w:r w:rsidRPr="007216F7">
        <w:rPr>
          <w:sz w:val="22"/>
          <w:szCs w:val="22"/>
        </w:rPr>
        <w:t>Kikodze</w:t>
      </w:r>
      <w:proofErr w:type="spellEnd"/>
      <w:r w:rsidRPr="007216F7">
        <w:rPr>
          <w:sz w:val="22"/>
          <w:szCs w:val="22"/>
        </w:rPr>
        <w:t xml:space="preserve">, D., &amp; Callaway, R. M. (2006). Seasonal shifts in competition and facilitation in subalpine plant communities. </w:t>
      </w:r>
      <w:r w:rsidRPr="007216F7">
        <w:rPr>
          <w:rStyle w:val="Emphasis"/>
          <w:rFonts w:eastAsiaTheme="majorEastAsia"/>
          <w:sz w:val="22"/>
          <w:szCs w:val="22"/>
        </w:rPr>
        <w:t>Journal of Vegetation Science, 17</w:t>
      </w:r>
      <w:r w:rsidRPr="007216F7">
        <w:rPr>
          <w:sz w:val="22"/>
          <w:szCs w:val="22"/>
        </w:rPr>
        <w:t xml:space="preserve">, 77–82. </w:t>
      </w:r>
      <w:hyperlink r:id="rId30" w:tgtFrame="_new" w:history="1">
        <w:r w:rsidRPr="007216F7">
          <w:rPr>
            <w:rStyle w:val="Hyperlink"/>
            <w:rFonts w:eastAsiaTheme="majorEastAsia"/>
            <w:sz w:val="22"/>
            <w:szCs w:val="22"/>
          </w:rPr>
          <w:t>https://doi.org/10.1111/j.1654-1103.2006.tb02425.x</w:t>
        </w:r>
      </w:hyperlink>
    </w:p>
    <w:p w:rsidR="00D53218" w:rsidRDefault="007216F7" w:rsidP="0052002C">
      <w:pPr>
        <w:pStyle w:val="NormalWeb"/>
        <w:ind w:left="567" w:hanging="567"/>
        <w:jc w:val="both"/>
        <w:rPr>
          <w:sz w:val="22"/>
          <w:szCs w:val="22"/>
        </w:rPr>
      </w:pPr>
      <w:r w:rsidRPr="007216F7">
        <w:rPr>
          <w:sz w:val="22"/>
          <w:szCs w:val="22"/>
        </w:rPr>
        <w:t xml:space="preserve">Koleva, I. I., Van Beek, T. A., Linssen, J. P., Groot, A. D., &amp; </w:t>
      </w:r>
      <w:proofErr w:type="spellStart"/>
      <w:r w:rsidRPr="007216F7">
        <w:rPr>
          <w:sz w:val="22"/>
          <w:szCs w:val="22"/>
        </w:rPr>
        <w:t>Evstatieva</w:t>
      </w:r>
      <w:proofErr w:type="spellEnd"/>
      <w:r w:rsidRPr="007216F7">
        <w:rPr>
          <w:sz w:val="22"/>
          <w:szCs w:val="22"/>
        </w:rPr>
        <w:t xml:space="preserve">, L. N. (2002). Screening of plant extracts for antioxidant activity: A comparative study on three testing methods. </w:t>
      </w:r>
      <w:r w:rsidRPr="007216F7">
        <w:rPr>
          <w:rStyle w:val="Emphasis"/>
          <w:rFonts w:eastAsiaTheme="majorEastAsia"/>
          <w:sz w:val="22"/>
          <w:szCs w:val="22"/>
        </w:rPr>
        <w:t>Phytochemical Analysis, 13</w:t>
      </w:r>
      <w:r w:rsidRPr="007216F7">
        <w:rPr>
          <w:sz w:val="22"/>
          <w:szCs w:val="22"/>
        </w:rPr>
        <w:t xml:space="preserve">(1), 8–17. </w:t>
      </w:r>
      <w:hyperlink r:id="rId31" w:tgtFrame="_new" w:history="1">
        <w:r w:rsidRPr="007216F7">
          <w:rPr>
            <w:rStyle w:val="Hyperlink"/>
            <w:rFonts w:eastAsiaTheme="majorEastAsia"/>
            <w:sz w:val="22"/>
            <w:szCs w:val="22"/>
          </w:rPr>
          <w:t>https://doi.org/10.1002/pca.611</w:t>
        </w:r>
      </w:hyperlink>
    </w:p>
    <w:p w:rsidR="00D53218" w:rsidRDefault="007216F7" w:rsidP="0052002C">
      <w:pPr>
        <w:pStyle w:val="NormalWeb"/>
        <w:ind w:left="567" w:hanging="567"/>
        <w:jc w:val="both"/>
        <w:rPr>
          <w:sz w:val="22"/>
          <w:szCs w:val="22"/>
        </w:rPr>
      </w:pPr>
      <w:r w:rsidRPr="007216F7">
        <w:rPr>
          <w:sz w:val="22"/>
          <w:szCs w:val="22"/>
        </w:rPr>
        <w:t xml:space="preserve">Kumar, D., Malik, S., Rani, R., Kumar, R., &amp; Duhan, J. S. (2023). Behavior, risk, and bioremediation potential of heavy metals/metalloids in the soil system. </w:t>
      </w:r>
      <w:proofErr w:type="spellStart"/>
      <w:r w:rsidRPr="007216F7">
        <w:rPr>
          <w:rStyle w:val="Emphasis"/>
          <w:rFonts w:eastAsiaTheme="majorEastAsia"/>
          <w:sz w:val="22"/>
          <w:szCs w:val="22"/>
        </w:rPr>
        <w:t>Rendiconti</w:t>
      </w:r>
      <w:proofErr w:type="spellEnd"/>
      <w:r w:rsidRPr="007216F7">
        <w:rPr>
          <w:rStyle w:val="Emphasis"/>
          <w:rFonts w:eastAsiaTheme="majorEastAsia"/>
          <w:sz w:val="22"/>
          <w:szCs w:val="22"/>
        </w:rPr>
        <w:t xml:space="preserve"> </w:t>
      </w:r>
      <w:proofErr w:type="spellStart"/>
      <w:r w:rsidRPr="007216F7">
        <w:rPr>
          <w:rStyle w:val="Emphasis"/>
          <w:rFonts w:eastAsiaTheme="majorEastAsia"/>
          <w:sz w:val="22"/>
          <w:szCs w:val="22"/>
        </w:rPr>
        <w:t>Lincei</w:t>
      </w:r>
      <w:proofErr w:type="spellEnd"/>
      <w:r w:rsidRPr="007216F7">
        <w:rPr>
          <w:rStyle w:val="Emphasis"/>
          <w:rFonts w:eastAsiaTheme="majorEastAsia"/>
          <w:sz w:val="22"/>
          <w:szCs w:val="22"/>
        </w:rPr>
        <w:t>, 34</w:t>
      </w:r>
      <w:r w:rsidRPr="007216F7">
        <w:rPr>
          <w:sz w:val="22"/>
          <w:szCs w:val="22"/>
        </w:rPr>
        <w:t xml:space="preserve">(3), 809–831. </w:t>
      </w:r>
      <w:hyperlink r:id="rId32" w:tgtFrame="_new" w:history="1">
        <w:r w:rsidRPr="007216F7">
          <w:rPr>
            <w:rStyle w:val="Hyperlink"/>
            <w:rFonts w:eastAsiaTheme="majorEastAsia"/>
            <w:sz w:val="22"/>
            <w:szCs w:val="22"/>
          </w:rPr>
          <w:t>https://doi.org/10.1007/s12210-023-01166-0</w:t>
        </w:r>
      </w:hyperlink>
    </w:p>
    <w:p w:rsidR="00D53218" w:rsidRDefault="007216F7" w:rsidP="0052002C">
      <w:pPr>
        <w:pStyle w:val="NormalWeb"/>
        <w:ind w:left="567" w:hanging="567"/>
        <w:jc w:val="both"/>
        <w:rPr>
          <w:sz w:val="22"/>
          <w:szCs w:val="22"/>
        </w:rPr>
      </w:pPr>
      <w:r w:rsidRPr="007216F7">
        <w:rPr>
          <w:sz w:val="22"/>
          <w:szCs w:val="22"/>
        </w:rPr>
        <w:t xml:space="preserve">Kupatadze, K. (2023). Review of air pollution research results on the example of Tbilisi. </w:t>
      </w:r>
      <w:r w:rsidRPr="007216F7">
        <w:rPr>
          <w:rStyle w:val="Emphasis"/>
          <w:rFonts w:eastAsiaTheme="majorEastAsia"/>
          <w:sz w:val="22"/>
          <w:szCs w:val="22"/>
        </w:rPr>
        <w:t>Southern Journal of Sciences, 31</w:t>
      </w:r>
      <w:r w:rsidRPr="007216F7">
        <w:rPr>
          <w:sz w:val="22"/>
          <w:szCs w:val="22"/>
        </w:rPr>
        <w:t>(36), 9–19.</w:t>
      </w:r>
    </w:p>
    <w:p w:rsidR="00D53218" w:rsidRPr="0052002C" w:rsidRDefault="007216F7" w:rsidP="0052002C">
      <w:pPr>
        <w:pStyle w:val="NormalWeb"/>
        <w:ind w:left="567" w:hanging="567"/>
        <w:jc w:val="both"/>
        <w:rPr>
          <w:sz w:val="22"/>
          <w:szCs w:val="22"/>
          <w:lang w:val="de-AT"/>
        </w:rPr>
      </w:pPr>
      <w:r w:rsidRPr="0052002C">
        <w:rPr>
          <w:sz w:val="22"/>
          <w:szCs w:val="22"/>
          <w:lang w:val="de-AT"/>
        </w:rPr>
        <w:t xml:space="preserve">Laxa, M., Liebthal, M., Telman, W., Chibani, K., &amp; Dietz, K. J. (2019). </w:t>
      </w:r>
      <w:r w:rsidRPr="007216F7">
        <w:rPr>
          <w:sz w:val="22"/>
          <w:szCs w:val="22"/>
        </w:rPr>
        <w:t xml:space="preserve">The role of the plant antioxidant system in drought tolerance. </w:t>
      </w:r>
      <w:r w:rsidR="00903363" w:rsidRPr="00903363">
        <w:rPr>
          <w:rStyle w:val="Emphasis"/>
          <w:rFonts w:eastAsiaTheme="majorEastAsia"/>
          <w:sz w:val="22"/>
          <w:szCs w:val="22"/>
          <w:lang w:val="de-AT"/>
        </w:rPr>
        <w:t>Antioxidants, 8</w:t>
      </w:r>
      <w:r w:rsidR="00903363" w:rsidRPr="00903363">
        <w:rPr>
          <w:sz w:val="22"/>
          <w:szCs w:val="22"/>
          <w:lang w:val="de-AT"/>
        </w:rPr>
        <w:t xml:space="preserve">(4), 1–31. </w:t>
      </w:r>
      <w:hyperlink r:id="rId33" w:tgtFrame="_new" w:history="1">
        <w:r w:rsidR="00903363" w:rsidRPr="00903363">
          <w:rPr>
            <w:rStyle w:val="Hyperlink"/>
            <w:rFonts w:eastAsiaTheme="majorEastAsia"/>
            <w:sz w:val="22"/>
            <w:szCs w:val="22"/>
            <w:lang w:val="de-AT"/>
          </w:rPr>
          <w:t>https://doi.org/10.3390/antiox8040094</w:t>
        </w:r>
      </w:hyperlink>
    </w:p>
    <w:p w:rsidR="00D53218" w:rsidRDefault="00903363" w:rsidP="0052002C">
      <w:pPr>
        <w:pStyle w:val="NormalWeb"/>
        <w:ind w:left="567" w:hanging="567"/>
        <w:jc w:val="both"/>
        <w:rPr>
          <w:sz w:val="22"/>
          <w:szCs w:val="22"/>
        </w:rPr>
      </w:pPr>
      <w:r w:rsidRPr="00903363">
        <w:rPr>
          <w:sz w:val="22"/>
          <w:szCs w:val="22"/>
          <w:lang w:val="de-AT"/>
        </w:rPr>
        <w:t xml:space="preserve">Lichtenthaler, H. K., &amp; Buschmann, C. (2001). </w:t>
      </w:r>
      <w:r w:rsidR="007216F7" w:rsidRPr="007216F7">
        <w:rPr>
          <w:sz w:val="22"/>
          <w:szCs w:val="22"/>
        </w:rPr>
        <w:t xml:space="preserve">Chlorophylls and carotenoids: Measurement and characterization by UV–VIS spectroscopy. </w:t>
      </w:r>
      <w:r w:rsidR="007216F7" w:rsidRPr="007216F7">
        <w:rPr>
          <w:rStyle w:val="Emphasis"/>
          <w:rFonts w:eastAsiaTheme="majorEastAsia"/>
          <w:sz w:val="22"/>
          <w:szCs w:val="22"/>
        </w:rPr>
        <w:t>Current Protocols in Food Analytical Chemistry, 1</w:t>
      </w:r>
      <w:r w:rsidR="007216F7" w:rsidRPr="007216F7">
        <w:rPr>
          <w:sz w:val="22"/>
          <w:szCs w:val="22"/>
        </w:rPr>
        <w:t>(1), F4.3.1–F4.3.8. https://doi.org/10.1002/0471142913.faf0403s01</w:t>
      </w:r>
    </w:p>
    <w:p w:rsidR="00D53218" w:rsidRDefault="007216F7" w:rsidP="0052002C">
      <w:pPr>
        <w:pStyle w:val="NormalWeb"/>
        <w:ind w:left="567" w:hanging="567"/>
        <w:jc w:val="both"/>
        <w:rPr>
          <w:sz w:val="22"/>
          <w:szCs w:val="22"/>
        </w:rPr>
      </w:pPr>
      <w:r w:rsidRPr="007216F7">
        <w:rPr>
          <w:sz w:val="22"/>
          <w:szCs w:val="22"/>
        </w:rPr>
        <w:t xml:space="preserve">Lowry, O. H., Rosebrough, N. J., Farr, A. L., &amp; Randall, R. J. (1951). Protein measurement with the Folin phenol reagent. </w:t>
      </w:r>
      <w:r w:rsidRPr="007216F7">
        <w:rPr>
          <w:rStyle w:val="Emphasis"/>
          <w:rFonts w:eastAsiaTheme="majorEastAsia"/>
          <w:sz w:val="22"/>
          <w:szCs w:val="22"/>
        </w:rPr>
        <w:t>Journal of Biological Chemistry, 193</w:t>
      </w:r>
      <w:r w:rsidRPr="007216F7">
        <w:rPr>
          <w:sz w:val="22"/>
          <w:szCs w:val="22"/>
        </w:rPr>
        <w:t>, 265–275.</w:t>
      </w:r>
    </w:p>
    <w:p w:rsidR="00D53218" w:rsidRDefault="00B02AB2" w:rsidP="0052002C">
      <w:pPr>
        <w:spacing w:line="360" w:lineRule="auto"/>
        <w:ind w:left="567" w:hanging="567"/>
        <w:jc w:val="both"/>
      </w:pPr>
      <w:r w:rsidRPr="00FB7933">
        <w:rPr>
          <w:rFonts w:ascii="Times New Roman" w:hAnsi="Times New Roman" w:cs="Times New Roman"/>
        </w:rPr>
        <w:t xml:space="preserve">Mansoor S, Ali A, </w:t>
      </w:r>
      <w:proofErr w:type="spellStart"/>
      <w:r w:rsidRPr="00FB7933">
        <w:rPr>
          <w:rFonts w:ascii="Times New Roman" w:hAnsi="Times New Roman" w:cs="Times New Roman"/>
        </w:rPr>
        <w:t>Kour</w:t>
      </w:r>
      <w:proofErr w:type="spellEnd"/>
      <w:r w:rsidRPr="00FB7933">
        <w:rPr>
          <w:rFonts w:ascii="Times New Roman" w:hAnsi="Times New Roman" w:cs="Times New Roman"/>
        </w:rPr>
        <w:t xml:space="preserve"> N, </w:t>
      </w:r>
      <w:proofErr w:type="spellStart"/>
      <w:r w:rsidRPr="00FB7933">
        <w:rPr>
          <w:rFonts w:ascii="Times New Roman" w:hAnsi="Times New Roman" w:cs="Times New Roman"/>
        </w:rPr>
        <w:t>Bornhorst</w:t>
      </w:r>
      <w:proofErr w:type="spellEnd"/>
      <w:r w:rsidRPr="00FB7933">
        <w:rPr>
          <w:rFonts w:ascii="Times New Roman" w:hAnsi="Times New Roman" w:cs="Times New Roman"/>
        </w:rPr>
        <w:t xml:space="preserve"> J, </w:t>
      </w:r>
      <w:proofErr w:type="spellStart"/>
      <w:r w:rsidRPr="00FB7933">
        <w:rPr>
          <w:rFonts w:ascii="Times New Roman" w:hAnsi="Times New Roman" w:cs="Times New Roman"/>
        </w:rPr>
        <w:t>AlHarbi</w:t>
      </w:r>
      <w:proofErr w:type="spellEnd"/>
      <w:r w:rsidRPr="00FB7933">
        <w:rPr>
          <w:rFonts w:ascii="Times New Roman" w:hAnsi="Times New Roman" w:cs="Times New Roman"/>
        </w:rPr>
        <w:t xml:space="preserve"> K, </w:t>
      </w:r>
      <w:proofErr w:type="spellStart"/>
      <w:r w:rsidRPr="00FB7933">
        <w:rPr>
          <w:rFonts w:ascii="Times New Roman" w:hAnsi="Times New Roman" w:cs="Times New Roman"/>
        </w:rPr>
        <w:t>Rinklebe</w:t>
      </w:r>
      <w:proofErr w:type="spellEnd"/>
      <w:r w:rsidRPr="00FB7933">
        <w:rPr>
          <w:rFonts w:ascii="Times New Roman" w:hAnsi="Times New Roman" w:cs="Times New Roman"/>
        </w:rPr>
        <w:t xml:space="preserve"> J, Abd El Moneim D, Ahmad P, Chung YS. </w:t>
      </w:r>
      <w:r>
        <w:rPr>
          <w:rFonts w:ascii="Times New Roman" w:hAnsi="Times New Roman" w:cs="Times New Roman"/>
        </w:rPr>
        <w:t>2023.</w:t>
      </w:r>
      <w:r w:rsidRPr="00FB7933">
        <w:rPr>
          <w:rFonts w:ascii="Times New Roman" w:hAnsi="Times New Roman" w:cs="Times New Roman"/>
        </w:rPr>
        <w:t xml:space="preserve"> Heavy Metal Induced Oxidative Stress Mitigation and ROS Scavenging in Plants. </w:t>
      </w:r>
      <w:r w:rsidRPr="00FB7933">
        <w:rPr>
          <w:rStyle w:val="Emphasis"/>
          <w:rFonts w:ascii="Times New Roman" w:hAnsi="Times New Roman" w:cs="Times New Roman"/>
        </w:rPr>
        <w:t>Plants</w:t>
      </w:r>
      <w:r w:rsidRPr="00FB7933">
        <w:rPr>
          <w:rFonts w:ascii="Times New Roman" w:hAnsi="Times New Roman" w:cs="Times New Roman"/>
        </w:rPr>
        <w:t xml:space="preserve">. 12(16):3003. </w:t>
      </w:r>
      <w:hyperlink r:id="rId34" w:history="1">
        <w:r w:rsidRPr="00654E8C">
          <w:rPr>
            <w:rStyle w:val="Hyperlink"/>
            <w:rFonts w:ascii="Times New Roman" w:hAnsi="Times New Roman" w:cs="Times New Roman"/>
          </w:rPr>
          <w:t>https://doi.org/10.3390/plants12163003</w:t>
        </w:r>
      </w:hyperlink>
    </w:p>
    <w:p w:rsidR="00D53218" w:rsidRPr="0052002C" w:rsidRDefault="007216F7" w:rsidP="0052002C">
      <w:pPr>
        <w:pStyle w:val="NormalWeb"/>
        <w:ind w:left="567" w:hanging="567"/>
        <w:jc w:val="both"/>
        <w:rPr>
          <w:sz w:val="22"/>
          <w:szCs w:val="22"/>
          <w:lang w:val="de-AT"/>
        </w:rPr>
      </w:pPr>
      <w:proofErr w:type="spellStart"/>
      <w:r w:rsidRPr="007216F7">
        <w:rPr>
          <w:sz w:val="22"/>
          <w:szCs w:val="22"/>
        </w:rPr>
        <w:t>Matchavariani</w:t>
      </w:r>
      <w:proofErr w:type="spellEnd"/>
      <w:r w:rsidRPr="007216F7">
        <w:rPr>
          <w:sz w:val="22"/>
          <w:szCs w:val="22"/>
        </w:rPr>
        <w:t xml:space="preserve">, L. (2019). </w:t>
      </w:r>
      <w:r w:rsidRPr="007216F7">
        <w:rPr>
          <w:rStyle w:val="Emphasis"/>
          <w:rFonts w:eastAsiaTheme="majorEastAsia"/>
          <w:sz w:val="22"/>
          <w:szCs w:val="22"/>
        </w:rPr>
        <w:t>The soils of Georgia</w:t>
      </w:r>
      <w:r w:rsidRPr="007216F7">
        <w:rPr>
          <w:sz w:val="22"/>
          <w:szCs w:val="22"/>
        </w:rPr>
        <w:t xml:space="preserve">. </w:t>
      </w:r>
      <w:r w:rsidRPr="0052002C">
        <w:rPr>
          <w:sz w:val="22"/>
          <w:szCs w:val="22"/>
          <w:lang w:val="de-AT"/>
        </w:rPr>
        <w:t xml:space="preserve">Springer. </w:t>
      </w:r>
      <w:hyperlink r:id="rId35" w:tgtFrame="_new" w:history="1">
        <w:r w:rsidRPr="0052002C">
          <w:rPr>
            <w:rStyle w:val="Hyperlink"/>
            <w:rFonts w:eastAsiaTheme="majorEastAsia"/>
            <w:sz w:val="22"/>
            <w:szCs w:val="22"/>
            <w:lang w:val="de-AT"/>
          </w:rPr>
          <w:t>https://doi.org/10.1007/978-3-030-18509-1</w:t>
        </w:r>
      </w:hyperlink>
    </w:p>
    <w:p w:rsidR="00D53218" w:rsidRDefault="007216F7" w:rsidP="0052002C">
      <w:pPr>
        <w:pStyle w:val="NormalWeb"/>
        <w:ind w:left="567" w:hanging="567"/>
        <w:jc w:val="both"/>
      </w:pPr>
      <w:r w:rsidRPr="0052002C">
        <w:rPr>
          <w:sz w:val="22"/>
          <w:szCs w:val="22"/>
          <w:lang w:val="de-AT"/>
        </w:rPr>
        <w:t xml:space="preserve">Mehdiyeva, N. P., Mursal, N., Bussmann, R. W., Paniagua-Zambrana, N. Y., &amp; Müller, L. (2025). </w:t>
      </w:r>
      <w:r w:rsidRPr="007216F7">
        <w:rPr>
          <w:rStyle w:val="Emphasis"/>
          <w:rFonts w:eastAsiaTheme="majorEastAsia"/>
          <w:sz w:val="22"/>
          <w:szCs w:val="22"/>
        </w:rPr>
        <w:t>Sisymbrium species (Brassicaceae).</w:t>
      </w:r>
      <w:r w:rsidRPr="007216F7">
        <w:rPr>
          <w:sz w:val="22"/>
          <w:szCs w:val="22"/>
        </w:rPr>
        <w:t xml:space="preserve"> In </w:t>
      </w:r>
      <w:r w:rsidRPr="007216F7">
        <w:rPr>
          <w:rStyle w:val="Emphasis"/>
          <w:rFonts w:eastAsiaTheme="majorEastAsia"/>
          <w:sz w:val="22"/>
          <w:szCs w:val="22"/>
        </w:rPr>
        <w:t>Ethnobotany of the Caucasus</w:t>
      </w:r>
      <w:r w:rsidRPr="007216F7">
        <w:rPr>
          <w:sz w:val="22"/>
          <w:szCs w:val="22"/>
        </w:rPr>
        <w:t xml:space="preserve"> (pp. 5199–5208). Springer Nature Switzerland. </w:t>
      </w:r>
      <w:hyperlink r:id="rId36" w:tgtFrame="_new" w:history="1">
        <w:r w:rsidRPr="007216F7">
          <w:rPr>
            <w:rStyle w:val="Hyperlink"/>
            <w:rFonts w:eastAsiaTheme="majorEastAsia"/>
            <w:sz w:val="22"/>
            <w:szCs w:val="22"/>
          </w:rPr>
          <w:t>https://doi.org/10.1007/978-3-031-91369-3_495</w:t>
        </w:r>
      </w:hyperlink>
    </w:p>
    <w:p w:rsidR="00D53218" w:rsidRDefault="0038593A" w:rsidP="0052002C">
      <w:pPr>
        <w:pStyle w:val="NormalWeb"/>
        <w:spacing w:line="360" w:lineRule="auto"/>
        <w:ind w:left="567" w:hanging="567"/>
        <w:jc w:val="both"/>
        <w:rPr>
          <w:sz w:val="22"/>
        </w:rPr>
      </w:pPr>
      <w:r w:rsidRPr="00D971C4">
        <w:rPr>
          <w:sz w:val="22"/>
        </w:rPr>
        <w:t xml:space="preserve">Mishra, V., Singh, P., Tripathi, D. K., Chauhan, D. K., &amp; Prasad, S. M. (2024). Ascorbic acid: A metabolite switch for designing stress-smart crops. </w:t>
      </w:r>
      <w:r w:rsidRPr="00D971C4">
        <w:rPr>
          <w:rStyle w:val="Emphasis"/>
          <w:rFonts w:eastAsiaTheme="majorEastAsia"/>
          <w:sz w:val="22"/>
        </w:rPr>
        <w:t>Critical Reviews in Biotechnology</w:t>
      </w:r>
      <w:r w:rsidRPr="00D971C4">
        <w:rPr>
          <w:sz w:val="22"/>
        </w:rPr>
        <w:t>. https://doi.org/10.1080/07388551.2023.2290000</w:t>
      </w:r>
    </w:p>
    <w:p w:rsidR="00D53218" w:rsidRDefault="007216F7" w:rsidP="0052002C">
      <w:pPr>
        <w:pStyle w:val="NormalWeb"/>
        <w:ind w:left="567" w:hanging="567"/>
        <w:jc w:val="both"/>
        <w:rPr>
          <w:sz w:val="22"/>
          <w:szCs w:val="22"/>
        </w:rPr>
      </w:pPr>
      <w:r w:rsidRPr="007216F7">
        <w:rPr>
          <w:sz w:val="22"/>
          <w:szCs w:val="22"/>
        </w:rPr>
        <w:t xml:space="preserve">Morais, S., Costa, F. G., &amp; Pereira, M. D. L. (2012). Heavy metals and human health. </w:t>
      </w:r>
      <w:r w:rsidRPr="007216F7">
        <w:rPr>
          <w:rStyle w:val="Emphasis"/>
          <w:rFonts w:eastAsiaTheme="majorEastAsia"/>
          <w:sz w:val="22"/>
          <w:szCs w:val="22"/>
        </w:rPr>
        <w:t>Environmental Health: Emerging Issues and Practice, 10</w:t>
      </w:r>
      <w:r w:rsidRPr="007216F7">
        <w:rPr>
          <w:sz w:val="22"/>
          <w:szCs w:val="22"/>
        </w:rPr>
        <w:t xml:space="preserve">(1), 227–245. </w:t>
      </w:r>
      <w:hyperlink r:id="rId37" w:tgtFrame="_new" w:history="1">
        <w:r w:rsidRPr="007216F7">
          <w:rPr>
            <w:rStyle w:val="Hyperlink"/>
            <w:rFonts w:eastAsiaTheme="majorEastAsia"/>
            <w:sz w:val="22"/>
            <w:szCs w:val="22"/>
          </w:rPr>
          <w:t>https://doi.org/10.5772/29869</w:t>
        </w:r>
      </w:hyperlink>
    </w:p>
    <w:p w:rsidR="00D53218" w:rsidRDefault="007216F7" w:rsidP="0052002C">
      <w:pPr>
        <w:pStyle w:val="NormalWeb"/>
        <w:ind w:left="567" w:hanging="567"/>
        <w:jc w:val="both"/>
        <w:rPr>
          <w:sz w:val="22"/>
          <w:szCs w:val="22"/>
        </w:rPr>
      </w:pPr>
      <w:r w:rsidRPr="007216F7">
        <w:rPr>
          <w:sz w:val="22"/>
          <w:szCs w:val="22"/>
        </w:rPr>
        <w:lastRenderedPageBreak/>
        <w:t xml:space="preserve">Mourato, M., Reis, R., &amp; Martins, L. L. (2012). Characterization of plant antioxidative system in response to abiotic stresses: A focus on heavy metal toxicity. </w:t>
      </w:r>
      <w:r w:rsidRPr="007216F7">
        <w:rPr>
          <w:rStyle w:val="Emphasis"/>
          <w:rFonts w:eastAsiaTheme="majorEastAsia"/>
          <w:sz w:val="22"/>
          <w:szCs w:val="22"/>
        </w:rPr>
        <w:t>Advances in Selected Plant Physiology Aspects, 12</w:t>
      </w:r>
      <w:r w:rsidRPr="007216F7">
        <w:rPr>
          <w:sz w:val="22"/>
          <w:szCs w:val="22"/>
        </w:rPr>
        <w:t>, 1–17.</w:t>
      </w:r>
    </w:p>
    <w:p w:rsidR="00D53218" w:rsidRDefault="007216F7" w:rsidP="0052002C">
      <w:pPr>
        <w:pStyle w:val="NormalWeb"/>
        <w:ind w:left="567" w:hanging="567"/>
        <w:jc w:val="both"/>
        <w:rPr>
          <w:sz w:val="22"/>
          <w:szCs w:val="22"/>
        </w:rPr>
      </w:pPr>
      <w:proofErr w:type="spellStart"/>
      <w:r w:rsidRPr="007216F7">
        <w:rPr>
          <w:sz w:val="22"/>
          <w:szCs w:val="22"/>
        </w:rPr>
        <w:t>Nadgórska-Socha</w:t>
      </w:r>
      <w:proofErr w:type="spellEnd"/>
      <w:r w:rsidRPr="007216F7">
        <w:rPr>
          <w:sz w:val="22"/>
          <w:szCs w:val="22"/>
        </w:rPr>
        <w:t xml:space="preserve">, A., Kafel, A., </w:t>
      </w:r>
      <w:proofErr w:type="spellStart"/>
      <w:r w:rsidRPr="007216F7">
        <w:rPr>
          <w:sz w:val="22"/>
          <w:szCs w:val="22"/>
        </w:rPr>
        <w:t>Kandziora-Ciupa</w:t>
      </w:r>
      <w:proofErr w:type="spellEnd"/>
      <w:r w:rsidRPr="007216F7">
        <w:rPr>
          <w:sz w:val="22"/>
          <w:szCs w:val="22"/>
        </w:rPr>
        <w:t xml:space="preserve">, M., Gospodarek, J., &amp; Zawisza-Raszka, A. (2013). Accumulation of heavy metals and antioxidant responses in </w:t>
      </w:r>
      <w:r w:rsidRPr="007216F7">
        <w:rPr>
          <w:rStyle w:val="Emphasis"/>
          <w:rFonts w:eastAsiaTheme="majorEastAsia"/>
          <w:sz w:val="22"/>
          <w:szCs w:val="22"/>
        </w:rPr>
        <w:t>Vicia faba</w:t>
      </w:r>
      <w:r w:rsidRPr="007216F7">
        <w:rPr>
          <w:sz w:val="22"/>
          <w:szCs w:val="22"/>
        </w:rPr>
        <w:t xml:space="preserve"> plants. </w:t>
      </w:r>
      <w:r w:rsidRPr="007216F7">
        <w:rPr>
          <w:rStyle w:val="Emphasis"/>
          <w:rFonts w:eastAsiaTheme="majorEastAsia"/>
          <w:sz w:val="22"/>
          <w:szCs w:val="22"/>
        </w:rPr>
        <w:t>Environmental Science and Pollution Research, 20</w:t>
      </w:r>
      <w:r w:rsidRPr="007216F7">
        <w:rPr>
          <w:sz w:val="22"/>
          <w:szCs w:val="22"/>
        </w:rPr>
        <w:t xml:space="preserve">(2), 1124–1134. </w:t>
      </w:r>
      <w:hyperlink r:id="rId38" w:tgtFrame="_new" w:history="1">
        <w:r w:rsidRPr="007216F7">
          <w:rPr>
            <w:rStyle w:val="Hyperlink"/>
            <w:rFonts w:eastAsiaTheme="majorEastAsia"/>
            <w:sz w:val="22"/>
            <w:szCs w:val="22"/>
          </w:rPr>
          <w:t>https://doi.org/10.1007/s11356-012-1191-7</w:t>
        </w:r>
      </w:hyperlink>
    </w:p>
    <w:p w:rsidR="00D53218" w:rsidRDefault="007216F7" w:rsidP="0052002C">
      <w:pPr>
        <w:pStyle w:val="NormalWeb"/>
        <w:ind w:left="567" w:hanging="567"/>
        <w:jc w:val="both"/>
        <w:rPr>
          <w:sz w:val="22"/>
          <w:szCs w:val="22"/>
        </w:rPr>
      </w:pPr>
      <w:r w:rsidRPr="007216F7">
        <w:rPr>
          <w:sz w:val="22"/>
          <w:szCs w:val="22"/>
        </w:rPr>
        <w:t xml:space="preserve">Nikolaishvili, M., Museliani, T., </w:t>
      </w:r>
      <w:proofErr w:type="spellStart"/>
      <w:r w:rsidRPr="007216F7">
        <w:rPr>
          <w:sz w:val="22"/>
          <w:szCs w:val="22"/>
        </w:rPr>
        <w:t>Jikia</w:t>
      </w:r>
      <w:proofErr w:type="spellEnd"/>
      <w:r w:rsidRPr="007216F7">
        <w:rPr>
          <w:sz w:val="22"/>
          <w:szCs w:val="22"/>
        </w:rPr>
        <w:t>, G., &amp; Omiadze, S. (2022). Concentration of heavy metal in soil of Bolnisi-</w:t>
      </w:r>
      <w:proofErr w:type="spellStart"/>
      <w:r w:rsidRPr="007216F7">
        <w:rPr>
          <w:sz w:val="22"/>
          <w:szCs w:val="22"/>
        </w:rPr>
        <w:t>Dmanisi</w:t>
      </w:r>
      <w:proofErr w:type="spellEnd"/>
      <w:r w:rsidRPr="007216F7">
        <w:rPr>
          <w:sz w:val="22"/>
          <w:szCs w:val="22"/>
        </w:rPr>
        <w:t xml:space="preserve"> region. </w:t>
      </w:r>
      <w:r w:rsidRPr="007216F7">
        <w:rPr>
          <w:rStyle w:val="Emphasis"/>
          <w:rFonts w:eastAsiaTheme="majorEastAsia"/>
          <w:sz w:val="22"/>
          <w:szCs w:val="22"/>
        </w:rPr>
        <w:t>Experimental and Clinical Medicine Georgia</w:t>
      </w:r>
      <w:r w:rsidRPr="007216F7">
        <w:rPr>
          <w:sz w:val="22"/>
          <w:szCs w:val="22"/>
        </w:rPr>
        <w:t xml:space="preserve">, (7). </w:t>
      </w:r>
      <w:hyperlink r:id="rId39" w:tgtFrame="_new" w:history="1">
        <w:r w:rsidRPr="007216F7">
          <w:rPr>
            <w:rStyle w:val="Hyperlink"/>
            <w:rFonts w:eastAsiaTheme="majorEastAsia"/>
            <w:sz w:val="22"/>
            <w:szCs w:val="22"/>
          </w:rPr>
          <w:t>https://doi.org/10.52340/jecm.2022.07.04</w:t>
        </w:r>
      </w:hyperlink>
    </w:p>
    <w:p w:rsidR="00D53218" w:rsidRDefault="007216F7" w:rsidP="0052002C">
      <w:pPr>
        <w:pStyle w:val="NormalWeb"/>
        <w:ind w:left="567" w:hanging="567"/>
        <w:jc w:val="both"/>
        <w:rPr>
          <w:sz w:val="22"/>
          <w:szCs w:val="22"/>
        </w:rPr>
      </w:pPr>
      <w:r w:rsidRPr="007216F7">
        <w:rPr>
          <w:sz w:val="22"/>
          <w:szCs w:val="22"/>
        </w:rPr>
        <w:t xml:space="preserve">Nikolaishvili, M., Museliani, T., </w:t>
      </w:r>
      <w:proofErr w:type="spellStart"/>
      <w:r w:rsidRPr="007216F7">
        <w:rPr>
          <w:sz w:val="22"/>
          <w:szCs w:val="22"/>
        </w:rPr>
        <w:t>Jikia</w:t>
      </w:r>
      <w:proofErr w:type="spellEnd"/>
      <w:r w:rsidRPr="007216F7">
        <w:rPr>
          <w:sz w:val="22"/>
          <w:szCs w:val="22"/>
        </w:rPr>
        <w:t xml:space="preserve">, G., Dondoladze, K., Beriashvili, S., &amp; Natadze, D. (2023). Monitoring of cadmium levels in River Mashavera coastline. </w:t>
      </w:r>
      <w:r w:rsidRPr="007216F7">
        <w:rPr>
          <w:rStyle w:val="Emphasis"/>
          <w:rFonts w:eastAsiaTheme="majorEastAsia"/>
          <w:sz w:val="22"/>
          <w:szCs w:val="22"/>
        </w:rPr>
        <w:t>Experimental and Clinical Medicine Georgia</w:t>
      </w:r>
      <w:r w:rsidRPr="007216F7">
        <w:rPr>
          <w:sz w:val="22"/>
          <w:szCs w:val="22"/>
        </w:rPr>
        <w:t xml:space="preserve">. </w:t>
      </w:r>
      <w:hyperlink r:id="rId40" w:tgtFrame="_new" w:history="1">
        <w:r w:rsidRPr="007216F7">
          <w:rPr>
            <w:rStyle w:val="Hyperlink"/>
            <w:rFonts w:eastAsiaTheme="majorEastAsia"/>
            <w:sz w:val="22"/>
            <w:szCs w:val="22"/>
          </w:rPr>
          <w:t>https://doi.org/10.52340/jecm.2023.01.05</w:t>
        </w:r>
      </w:hyperlink>
    </w:p>
    <w:p w:rsidR="00D53218" w:rsidRPr="0052002C" w:rsidRDefault="007216F7" w:rsidP="0052002C">
      <w:pPr>
        <w:pStyle w:val="NormalWeb"/>
        <w:ind w:left="567" w:hanging="567"/>
        <w:jc w:val="both"/>
        <w:rPr>
          <w:sz w:val="22"/>
          <w:szCs w:val="22"/>
          <w:lang w:val="de-AT"/>
        </w:rPr>
      </w:pPr>
      <w:r w:rsidRPr="007216F7">
        <w:rPr>
          <w:sz w:val="22"/>
          <w:szCs w:val="22"/>
        </w:rPr>
        <w:t xml:space="preserve">Paniagua-Zambrana, N. Y., Bussmann, R. W., Kikvidze, Z., &amp; </w:t>
      </w:r>
      <w:proofErr w:type="spellStart"/>
      <w:r w:rsidRPr="007216F7">
        <w:rPr>
          <w:sz w:val="22"/>
          <w:szCs w:val="22"/>
        </w:rPr>
        <w:t>Khojimatov</w:t>
      </w:r>
      <w:proofErr w:type="spellEnd"/>
      <w:r w:rsidRPr="007216F7">
        <w:rPr>
          <w:sz w:val="22"/>
          <w:szCs w:val="22"/>
        </w:rPr>
        <w:t xml:space="preserve">, O. K. (2024). </w:t>
      </w:r>
      <w:r w:rsidRPr="007216F7">
        <w:rPr>
          <w:rStyle w:val="Emphasis"/>
          <w:rFonts w:eastAsiaTheme="majorEastAsia"/>
          <w:sz w:val="22"/>
          <w:szCs w:val="22"/>
        </w:rPr>
        <w:t>Plantago species (Plantaginaceae).</w:t>
      </w:r>
      <w:r w:rsidRPr="007216F7">
        <w:rPr>
          <w:sz w:val="22"/>
          <w:szCs w:val="22"/>
        </w:rPr>
        <w:t xml:space="preserve"> In </w:t>
      </w:r>
      <w:r w:rsidRPr="007216F7">
        <w:rPr>
          <w:rStyle w:val="Emphasis"/>
          <w:rFonts w:eastAsiaTheme="majorEastAsia"/>
          <w:sz w:val="22"/>
          <w:szCs w:val="22"/>
        </w:rPr>
        <w:t>Ethnobotany of the mountain regions of Eastern Europe</w:t>
      </w:r>
      <w:r w:rsidRPr="007216F7">
        <w:rPr>
          <w:sz w:val="22"/>
          <w:szCs w:val="22"/>
        </w:rPr>
        <w:t xml:space="preserve">. </w:t>
      </w:r>
      <w:r w:rsidR="00903363" w:rsidRPr="00903363">
        <w:rPr>
          <w:sz w:val="22"/>
          <w:szCs w:val="22"/>
          <w:lang w:val="de-AT"/>
        </w:rPr>
        <w:t xml:space="preserve">Springer. </w:t>
      </w:r>
      <w:hyperlink r:id="rId41" w:tgtFrame="_new" w:history="1">
        <w:r w:rsidR="00903363" w:rsidRPr="00903363">
          <w:rPr>
            <w:rStyle w:val="Hyperlink"/>
            <w:rFonts w:eastAsiaTheme="majorEastAsia"/>
            <w:sz w:val="22"/>
            <w:szCs w:val="22"/>
            <w:lang w:val="de-AT"/>
          </w:rPr>
          <w:t>https://doi.org/10.1007/978-3-030-98744-2_224-1</w:t>
        </w:r>
      </w:hyperlink>
    </w:p>
    <w:p w:rsidR="00D53218" w:rsidRDefault="00903363" w:rsidP="0052002C">
      <w:pPr>
        <w:pStyle w:val="NormalWeb"/>
        <w:ind w:left="567" w:hanging="567"/>
        <w:jc w:val="both"/>
        <w:rPr>
          <w:sz w:val="22"/>
          <w:szCs w:val="22"/>
        </w:rPr>
      </w:pPr>
      <w:r w:rsidRPr="00903363">
        <w:rPr>
          <w:sz w:val="22"/>
          <w:szCs w:val="22"/>
          <w:lang w:val="de-AT"/>
        </w:rPr>
        <w:t xml:space="preserve">Petren, H., Anaia, R. A., Aragam, K. S., Brautigam, A., Eckert, S., Heinen, R., Jakobs, R., Ojeda-Prieto, L., Popp, M., Sasidharan, R., &amp; Schnitzler, J. P. (2024). </w:t>
      </w:r>
      <w:r w:rsidR="007216F7" w:rsidRPr="007216F7">
        <w:rPr>
          <w:sz w:val="22"/>
          <w:szCs w:val="22"/>
        </w:rPr>
        <w:t xml:space="preserve">Understanding the </w:t>
      </w:r>
      <w:proofErr w:type="spellStart"/>
      <w:r w:rsidR="007216F7" w:rsidRPr="007216F7">
        <w:rPr>
          <w:sz w:val="22"/>
          <w:szCs w:val="22"/>
        </w:rPr>
        <w:t>chemodiversity</w:t>
      </w:r>
      <w:proofErr w:type="spellEnd"/>
      <w:r w:rsidR="007216F7" w:rsidRPr="007216F7">
        <w:rPr>
          <w:sz w:val="22"/>
          <w:szCs w:val="22"/>
        </w:rPr>
        <w:t xml:space="preserve"> of plants. </w:t>
      </w:r>
      <w:r w:rsidR="007216F7" w:rsidRPr="007216F7">
        <w:rPr>
          <w:rStyle w:val="Emphasis"/>
          <w:rFonts w:eastAsiaTheme="majorEastAsia"/>
          <w:sz w:val="22"/>
          <w:szCs w:val="22"/>
        </w:rPr>
        <w:t>Ecological Monographs, 94</w:t>
      </w:r>
      <w:r w:rsidR="007216F7" w:rsidRPr="007216F7">
        <w:rPr>
          <w:sz w:val="22"/>
          <w:szCs w:val="22"/>
        </w:rPr>
        <w:t>(4), e1635.</w:t>
      </w:r>
    </w:p>
    <w:p w:rsidR="00D53218" w:rsidRDefault="007216F7" w:rsidP="0052002C">
      <w:pPr>
        <w:pStyle w:val="NormalWeb"/>
        <w:ind w:left="567" w:hanging="567"/>
        <w:jc w:val="both"/>
        <w:rPr>
          <w:sz w:val="22"/>
          <w:szCs w:val="22"/>
        </w:rPr>
      </w:pPr>
      <w:r w:rsidRPr="007216F7">
        <w:rPr>
          <w:sz w:val="22"/>
          <w:szCs w:val="22"/>
        </w:rPr>
        <w:t xml:space="preserve">Pleshkov, B. P. (1985). </w:t>
      </w:r>
      <w:r w:rsidRPr="007216F7">
        <w:rPr>
          <w:rStyle w:val="Emphasis"/>
          <w:rFonts w:eastAsiaTheme="majorEastAsia"/>
          <w:sz w:val="22"/>
          <w:szCs w:val="22"/>
        </w:rPr>
        <w:t>Practical handbook in plant biochemistry</w:t>
      </w:r>
      <w:r w:rsidRPr="007216F7">
        <w:rPr>
          <w:sz w:val="22"/>
          <w:szCs w:val="22"/>
        </w:rPr>
        <w:t>. Kolos.</w:t>
      </w:r>
    </w:p>
    <w:p w:rsidR="00D53218" w:rsidRDefault="007216F7" w:rsidP="0052002C">
      <w:pPr>
        <w:pStyle w:val="NormalWeb"/>
        <w:ind w:left="567" w:hanging="567"/>
        <w:jc w:val="both"/>
        <w:rPr>
          <w:sz w:val="22"/>
          <w:szCs w:val="22"/>
        </w:rPr>
      </w:pPr>
      <w:r w:rsidRPr="007216F7">
        <w:rPr>
          <w:sz w:val="22"/>
          <w:szCs w:val="22"/>
        </w:rPr>
        <w:t xml:space="preserve">Pustejovsky, J. E., &amp; Ferron, J. M. (2017). Research synthesis and meta-analysis of single-case designs. In J. M. Kauffman et al. (Eds.), </w:t>
      </w:r>
      <w:r w:rsidRPr="007216F7">
        <w:rPr>
          <w:rStyle w:val="Emphasis"/>
          <w:rFonts w:eastAsiaTheme="majorEastAsia"/>
          <w:sz w:val="22"/>
          <w:szCs w:val="22"/>
        </w:rPr>
        <w:t>Handbook of special education</w:t>
      </w:r>
      <w:r w:rsidRPr="007216F7">
        <w:rPr>
          <w:sz w:val="22"/>
          <w:szCs w:val="22"/>
        </w:rPr>
        <w:t xml:space="preserve"> (2nd ed.). Routledge.</w:t>
      </w:r>
    </w:p>
    <w:p w:rsidR="00D53218" w:rsidRDefault="007216F7" w:rsidP="0052002C">
      <w:pPr>
        <w:pStyle w:val="NormalWeb"/>
        <w:ind w:left="567" w:hanging="567"/>
        <w:jc w:val="both"/>
        <w:rPr>
          <w:sz w:val="22"/>
          <w:szCs w:val="22"/>
        </w:rPr>
      </w:pPr>
      <w:r w:rsidRPr="007216F7">
        <w:rPr>
          <w:sz w:val="22"/>
          <w:szCs w:val="22"/>
        </w:rPr>
        <w:t xml:space="preserve">Shanker, C., Padmavathi, C., Himabindu, P., &amp; </w:t>
      </w:r>
      <w:proofErr w:type="spellStart"/>
      <w:r w:rsidRPr="007216F7">
        <w:rPr>
          <w:sz w:val="22"/>
          <w:szCs w:val="22"/>
        </w:rPr>
        <w:t>Repelle</w:t>
      </w:r>
      <w:proofErr w:type="spellEnd"/>
      <w:r w:rsidRPr="007216F7">
        <w:rPr>
          <w:sz w:val="22"/>
          <w:szCs w:val="22"/>
        </w:rPr>
        <w:t xml:space="preserve">, N. (2022). Molecules to ecosystems—recent trends in chemical ecology. In A. K. Shanker &amp; A. Anand (Eds.), </w:t>
      </w:r>
      <w:r w:rsidRPr="007216F7">
        <w:rPr>
          <w:rStyle w:val="Emphasis"/>
          <w:rFonts w:eastAsiaTheme="majorEastAsia"/>
          <w:sz w:val="22"/>
          <w:szCs w:val="22"/>
        </w:rPr>
        <w:t>Climate change and crop stress</w:t>
      </w:r>
      <w:r w:rsidRPr="007216F7">
        <w:rPr>
          <w:sz w:val="22"/>
          <w:szCs w:val="22"/>
        </w:rPr>
        <w:t xml:space="preserve"> (pp. 361–410). </w:t>
      </w:r>
      <w:hyperlink r:id="rId42" w:tgtFrame="_new" w:history="1">
        <w:r w:rsidRPr="007216F7">
          <w:rPr>
            <w:rStyle w:val="Hyperlink"/>
            <w:rFonts w:eastAsiaTheme="majorEastAsia"/>
            <w:sz w:val="22"/>
            <w:szCs w:val="22"/>
          </w:rPr>
          <w:t>https://doi.org/10.1016/C2017-0-03584-X</w:t>
        </w:r>
      </w:hyperlink>
    </w:p>
    <w:p w:rsidR="00D53218" w:rsidRDefault="007216F7" w:rsidP="0052002C">
      <w:pPr>
        <w:pStyle w:val="NormalWeb"/>
        <w:ind w:left="567" w:hanging="567"/>
        <w:jc w:val="both"/>
      </w:pPr>
      <w:r w:rsidRPr="007216F7">
        <w:rPr>
          <w:sz w:val="22"/>
          <w:szCs w:val="22"/>
        </w:rPr>
        <w:t xml:space="preserve">Sharma, P., Tripathi, S., </w:t>
      </w:r>
      <w:proofErr w:type="spellStart"/>
      <w:r w:rsidRPr="007216F7">
        <w:rPr>
          <w:sz w:val="22"/>
          <w:szCs w:val="22"/>
        </w:rPr>
        <w:t>Sirohi</w:t>
      </w:r>
      <w:proofErr w:type="spellEnd"/>
      <w:r w:rsidRPr="007216F7">
        <w:rPr>
          <w:sz w:val="22"/>
          <w:szCs w:val="22"/>
        </w:rPr>
        <w:t xml:space="preserve">, R., Kim, S. H., Ngo, H. H., &amp; Pandey, A. (2021). Uptake and mobilization of heavy metals through phytoremediation. </w:t>
      </w:r>
      <w:r w:rsidRPr="007216F7">
        <w:rPr>
          <w:rStyle w:val="Emphasis"/>
          <w:rFonts w:eastAsiaTheme="majorEastAsia"/>
          <w:sz w:val="22"/>
          <w:szCs w:val="22"/>
        </w:rPr>
        <w:t>Environmental Technology &amp; Innovation, 23</w:t>
      </w:r>
      <w:r w:rsidRPr="007216F7">
        <w:rPr>
          <w:sz w:val="22"/>
          <w:szCs w:val="22"/>
        </w:rPr>
        <w:t xml:space="preserve">, 101629. </w:t>
      </w:r>
      <w:hyperlink r:id="rId43" w:tgtFrame="_new" w:history="1">
        <w:r w:rsidRPr="007216F7">
          <w:rPr>
            <w:rStyle w:val="Hyperlink"/>
            <w:rFonts w:eastAsiaTheme="majorEastAsia"/>
            <w:sz w:val="22"/>
            <w:szCs w:val="22"/>
          </w:rPr>
          <w:t>https://doi.org/10.1016/j.eti.2021.101629</w:t>
        </w:r>
      </w:hyperlink>
    </w:p>
    <w:p w:rsidR="00D53218" w:rsidRDefault="0038593A" w:rsidP="0052002C">
      <w:pPr>
        <w:spacing w:line="360" w:lineRule="auto"/>
        <w:ind w:left="567" w:hanging="567"/>
        <w:jc w:val="both"/>
      </w:pPr>
      <w:r w:rsidRPr="00A74BDD">
        <w:rPr>
          <w:rFonts w:ascii="Times New Roman" w:hAnsi="Times New Roman" w:cs="Times New Roman"/>
        </w:rPr>
        <w:t xml:space="preserve">Singh P, Singh I and Shah K (2019) Reduced Activity of Nitrate Reductase Under Heavy Metal Cadmium Stress in Rice: An </w:t>
      </w:r>
      <w:proofErr w:type="gramStart"/>
      <w:r w:rsidRPr="00A74BDD">
        <w:rPr>
          <w:rFonts w:ascii="Times New Roman" w:hAnsi="Times New Roman" w:cs="Times New Roman"/>
        </w:rPr>
        <w:t>in silico</w:t>
      </w:r>
      <w:proofErr w:type="gramEnd"/>
      <w:r w:rsidRPr="00A74BDD">
        <w:rPr>
          <w:rFonts w:ascii="Times New Roman" w:hAnsi="Times New Roman" w:cs="Times New Roman"/>
        </w:rPr>
        <w:t xml:space="preserve"> Answer. Front. Plant Sci. 9:1948. </w:t>
      </w:r>
      <w:proofErr w:type="spellStart"/>
      <w:r w:rsidRPr="00A74BDD">
        <w:rPr>
          <w:rFonts w:ascii="Times New Roman" w:hAnsi="Times New Roman" w:cs="Times New Roman"/>
        </w:rPr>
        <w:t>doi</w:t>
      </w:r>
      <w:proofErr w:type="spellEnd"/>
      <w:r w:rsidRPr="00A74BDD">
        <w:rPr>
          <w:rFonts w:ascii="Times New Roman" w:hAnsi="Times New Roman" w:cs="Times New Roman"/>
        </w:rPr>
        <w:t>: 10.3389/fpls.2018.01948</w:t>
      </w:r>
    </w:p>
    <w:p w:rsidR="00D53218" w:rsidRDefault="007216F7" w:rsidP="0052002C">
      <w:pPr>
        <w:pStyle w:val="NormalWeb"/>
        <w:ind w:left="567" w:hanging="567"/>
        <w:jc w:val="both"/>
        <w:rPr>
          <w:sz w:val="22"/>
          <w:szCs w:val="22"/>
        </w:rPr>
      </w:pPr>
      <w:proofErr w:type="spellStart"/>
      <w:r w:rsidRPr="007216F7">
        <w:rPr>
          <w:sz w:val="22"/>
          <w:szCs w:val="22"/>
        </w:rPr>
        <w:t>Tchounwou</w:t>
      </w:r>
      <w:proofErr w:type="spellEnd"/>
      <w:r w:rsidRPr="007216F7">
        <w:rPr>
          <w:sz w:val="22"/>
          <w:szCs w:val="22"/>
        </w:rPr>
        <w:t xml:space="preserve">, P. B., </w:t>
      </w:r>
      <w:proofErr w:type="spellStart"/>
      <w:r w:rsidRPr="007216F7">
        <w:rPr>
          <w:sz w:val="22"/>
          <w:szCs w:val="22"/>
        </w:rPr>
        <w:t>Yedjou</w:t>
      </w:r>
      <w:proofErr w:type="spellEnd"/>
      <w:r w:rsidRPr="007216F7">
        <w:rPr>
          <w:sz w:val="22"/>
          <w:szCs w:val="22"/>
        </w:rPr>
        <w:t xml:space="preserve">, C. G., Patlolla, A. K., &amp; Sutton, D. J. (2012). Heavy metal toxicity and the environment. In </w:t>
      </w:r>
      <w:r w:rsidRPr="007216F7">
        <w:rPr>
          <w:rStyle w:val="Emphasis"/>
          <w:rFonts w:eastAsiaTheme="majorEastAsia"/>
          <w:sz w:val="22"/>
          <w:szCs w:val="22"/>
        </w:rPr>
        <w:t>Molecular, clinical and environmental toxicology</w:t>
      </w:r>
      <w:r w:rsidRPr="007216F7">
        <w:rPr>
          <w:sz w:val="22"/>
          <w:szCs w:val="22"/>
        </w:rPr>
        <w:t xml:space="preserve"> (pp. 133–164). </w:t>
      </w:r>
      <w:hyperlink r:id="rId44" w:tgtFrame="_new" w:history="1">
        <w:r w:rsidRPr="007216F7">
          <w:rPr>
            <w:rStyle w:val="Hyperlink"/>
            <w:rFonts w:eastAsiaTheme="majorEastAsia"/>
            <w:sz w:val="22"/>
            <w:szCs w:val="22"/>
          </w:rPr>
          <w:t>https://doi.org/10.1007/978-3-7643-8340-4_6</w:t>
        </w:r>
      </w:hyperlink>
    </w:p>
    <w:p w:rsidR="00D53218" w:rsidRDefault="007216F7" w:rsidP="0052002C">
      <w:pPr>
        <w:pStyle w:val="NormalWeb"/>
        <w:ind w:left="567" w:hanging="567"/>
        <w:jc w:val="both"/>
        <w:rPr>
          <w:sz w:val="22"/>
          <w:szCs w:val="22"/>
        </w:rPr>
      </w:pPr>
      <w:proofErr w:type="spellStart"/>
      <w:r w:rsidRPr="007216F7">
        <w:rPr>
          <w:sz w:val="22"/>
          <w:szCs w:val="22"/>
        </w:rPr>
        <w:t>Tulashvili</w:t>
      </w:r>
      <w:proofErr w:type="spellEnd"/>
      <w:r w:rsidRPr="007216F7">
        <w:rPr>
          <w:sz w:val="22"/>
          <w:szCs w:val="22"/>
        </w:rPr>
        <w:t xml:space="preserve">, E., Tutberidze, B., </w:t>
      </w:r>
      <w:proofErr w:type="spellStart"/>
      <w:r w:rsidRPr="007216F7">
        <w:rPr>
          <w:sz w:val="22"/>
          <w:szCs w:val="22"/>
        </w:rPr>
        <w:t>Akhalkatsishvili</w:t>
      </w:r>
      <w:proofErr w:type="spellEnd"/>
      <w:r w:rsidRPr="007216F7">
        <w:rPr>
          <w:sz w:val="22"/>
          <w:szCs w:val="22"/>
        </w:rPr>
        <w:t xml:space="preserve">, M., </w:t>
      </w:r>
      <w:proofErr w:type="spellStart"/>
      <w:r w:rsidRPr="007216F7">
        <w:rPr>
          <w:sz w:val="22"/>
          <w:szCs w:val="22"/>
        </w:rPr>
        <w:t>Mtsariashvli</w:t>
      </w:r>
      <w:proofErr w:type="spellEnd"/>
      <w:r w:rsidRPr="007216F7">
        <w:rPr>
          <w:sz w:val="22"/>
          <w:szCs w:val="22"/>
        </w:rPr>
        <w:t xml:space="preserve">, L., Chkhaidze, M., &amp; Ambokadze, I. (2020). Cesium-137 in soils of Tbilisi city. </w:t>
      </w:r>
      <w:r w:rsidRPr="007216F7">
        <w:rPr>
          <w:rStyle w:val="Emphasis"/>
          <w:rFonts w:eastAsiaTheme="majorEastAsia"/>
          <w:sz w:val="22"/>
          <w:szCs w:val="22"/>
        </w:rPr>
        <w:t>Annals of Agrarian Science, 18</w:t>
      </w:r>
      <w:r w:rsidRPr="007216F7">
        <w:rPr>
          <w:sz w:val="22"/>
          <w:szCs w:val="22"/>
        </w:rPr>
        <w:t>(2).</w:t>
      </w:r>
    </w:p>
    <w:p w:rsidR="00D53218" w:rsidRPr="0052002C" w:rsidRDefault="007216F7" w:rsidP="0052002C">
      <w:pPr>
        <w:pStyle w:val="NormalWeb"/>
        <w:ind w:left="567" w:hanging="567"/>
        <w:jc w:val="both"/>
        <w:rPr>
          <w:sz w:val="22"/>
          <w:szCs w:val="22"/>
          <w:lang w:val="es-ES"/>
        </w:rPr>
      </w:pPr>
      <w:proofErr w:type="spellStart"/>
      <w:r w:rsidRPr="007216F7">
        <w:rPr>
          <w:sz w:val="22"/>
          <w:szCs w:val="22"/>
        </w:rPr>
        <w:t>Turkina</w:t>
      </w:r>
      <w:proofErr w:type="spellEnd"/>
      <w:r w:rsidRPr="007216F7">
        <w:rPr>
          <w:sz w:val="22"/>
          <w:szCs w:val="22"/>
        </w:rPr>
        <w:t xml:space="preserve">, M. V., &amp; Sokolova, S. V. (1971). Methods of determination of mono- and oligosaccharides. In O. A. </w:t>
      </w:r>
      <w:proofErr w:type="spellStart"/>
      <w:r w:rsidRPr="007216F7">
        <w:rPr>
          <w:sz w:val="22"/>
          <w:szCs w:val="22"/>
        </w:rPr>
        <w:t>Pavlinova</w:t>
      </w:r>
      <w:proofErr w:type="spellEnd"/>
      <w:r w:rsidRPr="007216F7">
        <w:rPr>
          <w:sz w:val="22"/>
          <w:szCs w:val="22"/>
        </w:rPr>
        <w:t xml:space="preserve"> (Ed.), </w:t>
      </w:r>
      <w:r w:rsidRPr="007216F7">
        <w:rPr>
          <w:rStyle w:val="Emphasis"/>
          <w:rFonts w:eastAsiaTheme="majorEastAsia"/>
          <w:sz w:val="22"/>
          <w:szCs w:val="22"/>
        </w:rPr>
        <w:t>Biochemical methods in plant physiology</w:t>
      </w:r>
      <w:r w:rsidRPr="007216F7">
        <w:rPr>
          <w:sz w:val="22"/>
          <w:szCs w:val="22"/>
        </w:rPr>
        <w:t xml:space="preserve"> (pp. 20–26). </w:t>
      </w:r>
      <w:r w:rsidR="00903363" w:rsidRPr="00903363">
        <w:rPr>
          <w:sz w:val="22"/>
          <w:szCs w:val="22"/>
          <w:lang w:val="es-ES"/>
        </w:rPr>
        <w:t>Nauka.</w:t>
      </w:r>
    </w:p>
    <w:p w:rsidR="00D53218" w:rsidRDefault="00903363" w:rsidP="0052002C">
      <w:pPr>
        <w:pStyle w:val="NormalWeb"/>
        <w:ind w:left="567" w:hanging="567"/>
        <w:jc w:val="both"/>
        <w:rPr>
          <w:sz w:val="22"/>
          <w:szCs w:val="22"/>
        </w:rPr>
      </w:pPr>
      <w:r w:rsidRPr="00903363">
        <w:rPr>
          <w:sz w:val="22"/>
          <w:szCs w:val="22"/>
          <w:lang w:val="es-ES"/>
        </w:rPr>
        <w:lastRenderedPageBreak/>
        <w:t xml:space="preserve">Violante, A., Cozzolino, V., Perelomov, L., Caporale, A. G., &amp; Pigna, M. (2010). </w:t>
      </w:r>
      <w:r w:rsidR="007216F7" w:rsidRPr="007216F7">
        <w:rPr>
          <w:sz w:val="22"/>
          <w:szCs w:val="22"/>
        </w:rPr>
        <w:t xml:space="preserve">Mobility and bioavailability of heavy metals in soil environments. </w:t>
      </w:r>
      <w:r w:rsidR="007216F7" w:rsidRPr="007216F7">
        <w:rPr>
          <w:rStyle w:val="Emphasis"/>
          <w:rFonts w:eastAsiaTheme="majorEastAsia"/>
          <w:sz w:val="22"/>
          <w:szCs w:val="22"/>
        </w:rPr>
        <w:t>Journal of Soil Science and Plant Nutrition, 10</w:t>
      </w:r>
      <w:r w:rsidR="007216F7" w:rsidRPr="007216F7">
        <w:rPr>
          <w:sz w:val="22"/>
          <w:szCs w:val="22"/>
        </w:rPr>
        <w:t>(3), 268–292.</w:t>
      </w:r>
    </w:p>
    <w:p w:rsidR="00D53218" w:rsidRDefault="007216F7" w:rsidP="0052002C">
      <w:pPr>
        <w:pStyle w:val="NormalWeb"/>
        <w:ind w:left="567" w:hanging="567"/>
        <w:jc w:val="both"/>
        <w:rPr>
          <w:sz w:val="22"/>
          <w:szCs w:val="22"/>
        </w:rPr>
      </w:pPr>
      <w:proofErr w:type="spellStart"/>
      <w:r w:rsidRPr="007216F7">
        <w:rPr>
          <w:sz w:val="22"/>
          <w:szCs w:val="22"/>
        </w:rPr>
        <w:t>Withanachchi</w:t>
      </w:r>
      <w:proofErr w:type="spellEnd"/>
      <w:r w:rsidRPr="007216F7">
        <w:rPr>
          <w:sz w:val="22"/>
          <w:szCs w:val="22"/>
        </w:rPr>
        <w:t xml:space="preserve">, S. S., Ghambashidze, G., </w:t>
      </w:r>
      <w:proofErr w:type="spellStart"/>
      <w:r w:rsidRPr="007216F7">
        <w:rPr>
          <w:sz w:val="22"/>
          <w:szCs w:val="22"/>
        </w:rPr>
        <w:t>Kunchulia</w:t>
      </w:r>
      <w:proofErr w:type="spellEnd"/>
      <w:r w:rsidRPr="007216F7">
        <w:rPr>
          <w:sz w:val="22"/>
          <w:szCs w:val="22"/>
        </w:rPr>
        <w:t xml:space="preserve">, I., Urushadze, T., &amp; Ploeger, A. (2018). Water quality in surface water: Heavy metal contamination of the Mashavera River. </w:t>
      </w:r>
      <w:r w:rsidRPr="007216F7">
        <w:rPr>
          <w:rStyle w:val="Emphasis"/>
          <w:rFonts w:eastAsiaTheme="majorEastAsia"/>
          <w:sz w:val="22"/>
          <w:szCs w:val="22"/>
        </w:rPr>
        <w:t>International Journal of Environmental Research and Public Health, 15</w:t>
      </w:r>
      <w:r w:rsidRPr="007216F7">
        <w:rPr>
          <w:sz w:val="22"/>
          <w:szCs w:val="22"/>
        </w:rPr>
        <w:t xml:space="preserve">(4), 621. </w:t>
      </w:r>
      <w:hyperlink r:id="rId45" w:tgtFrame="_new" w:history="1">
        <w:r w:rsidRPr="007216F7">
          <w:rPr>
            <w:rStyle w:val="Hyperlink"/>
            <w:rFonts w:eastAsiaTheme="majorEastAsia"/>
            <w:sz w:val="22"/>
            <w:szCs w:val="22"/>
          </w:rPr>
          <w:t>https://doi.org/10.3390/ijerph15040621</w:t>
        </w:r>
      </w:hyperlink>
    </w:p>
    <w:p w:rsidR="00D53218" w:rsidRDefault="007216F7" w:rsidP="0052002C">
      <w:pPr>
        <w:spacing w:line="360" w:lineRule="auto"/>
        <w:ind w:left="567" w:hanging="567"/>
        <w:jc w:val="both"/>
        <w:rPr>
          <w:rFonts w:ascii="Times New Roman" w:hAnsi="Times New Roman" w:cs="Times New Roman"/>
        </w:rPr>
      </w:pPr>
      <w:r w:rsidRPr="0038593A">
        <w:rPr>
          <w:rFonts w:ascii="Times New Roman" w:hAnsi="Times New Roman" w:cs="Times New Roman"/>
        </w:rPr>
        <w:t xml:space="preserve">Young, S. D. (2012). Chemistry of heavy metals and metalloids in soils. In </w:t>
      </w:r>
      <w:r w:rsidRPr="0038593A">
        <w:rPr>
          <w:rStyle w:val="Emphasis"/>
          <w:rFonts w:ascii="Times New Roman" w:eastAsiaTheme="majorEastAsia" w:hAnsi="Times New Roman" w:cs="Times New Roman"/>
        </w:rPr>
        <w:t>Heavy metals in soils: Trace metals and metalloids in soils and their bioavailability</w:t>
      </w:r>
      <w:r w:rsidRPr="0038593A">
        <w:rPr>
          <w:rFonts w:ascii="Times New Roman" w:hAnsi="Times New Roman" w:cs="Times New Roman"/>
        </w:rPr>
        <w:t xml:space="preserve"> (pp. 51–95). Springer Netherlands.</w:t>
      </w:r>
    </w:p>
    <w:p w:rsidR="000C7BCB"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p>
    <w:p w:rsidR="000C7BCB" w:rsidRDefault="000C7BCB" w:rsidP="0001613B">
      <w:pPr>
        <w:spacing w:line="360" w:lineRule="auto"/>
        <w:jc w:val="both"/>
        <w:rPr>
          <w:rFonts w:ascii="Times New Roman" w:hAnsi="Times New Roman" w:cs="Times New Roman"/>
        </w:rPr>
      </w:pPr>
    </w:p>
    <w:p w:rsidR="000C7BCB" w:rsidRPr="00E20ECC" w:rsidRDefault="000C7BCB" w:rsidP="0001613B">
      <w:pPr>
        <w:spacing w:line="360" w:lineRule="auto"/>
        <w:jc w:val="both"/>
        <w:rPr>
          <w:rFonts w:ascii="Times New Roman" w:hAnsi="Times New Roman" w:cs="Times New Roman"/>
        </w:rPr>
      </w:pPr>
    </w:p>
    <w:p w:rsidR="000C7BCB" w:rsidRPr="00E20ECC" w:rsidRDefault="000C7BCB" w:rsidP="0001613B">
      <w:pPr>
        <w:spacing w:line="360" w:lineRule="auto"/>
        <w:jc w:val="both"/>
        <w:rPr>
          <w:rFonts w:ascii="Times New Roman" w:hAnsi="Times New Roman" w:cs="Times New Roman"/>
        </w:rPr>
      </w:pPr>
    </w:p>
    <w:p w:rsidR="000C7BCB" w:rsidRPr="00EC2313" w:rsidRDefault="000C7BCB" w:rsidP="0001613B">
      <w:pPr>
        <w:spacing w:line="360" w:lineRule="auto"/>
        <w:jc w:val="both"/>
        <w:rPr>
          <w:rFonts w:ascii="Times New Roman" w:hAnsi="Times New Roman" w:cs="Times New Roman"/>
        </w:rPr>
      </w:pPr>
    </w:p>
    <w:p w:rsidR="000C7BCB" w:rsidRPr="00E25BB3" w:rsidRDefault="000C7BCB" w:rsidP="0001613B">
      <w:pPr>
        <w:spacing w:line="360" w:lineRule="auto"/>
        <w:jc w:val="both"/>
        <w:rPr>
          <w:rFonts w:ascii="Times New Roman" w:hAnsi="Times New Roman" w:cs="Times New Roman"/>
        </w:rPr>
      </w:pPr>
      <w:bookmarkStart w:id="0" w:name="_GoBack"/>
      <w:bookmarkEnd w:id="0"/>
    </w:p>
    <w:sectPr w:rsidR="000C7BCB" w:rsidRPr="00E25BB3" w:rsidSect="007D7085">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EA6" w:rsidRDefault="00BF6EA6" w:rsidP="0022689E">
      <w:pPr>
        <w:spacing w:after="0" w:line="240" w:lineRule="auto"/>
      </w:pPr>
      <w:r>
        <w:separator/>
      </w:r>
    </w:p>
  </w:endnote>
  <w:endnote w:type="continuationSeparator" w:id="0">
    <w:p w:rsidR="00BF6EA6" w:rsidRDefault="00BF6EA6" w:rsidP="0022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22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EA6" w:rsidRDefault="00BF6EA6" w:rsidP="0022689E">
      <w:pPr>
        <w:spacing w:after="0" w:line="240" w:lineRule="auto"/>
      </w:pPr>
      <w:r>
        <w:separator/>
      </w:r>
    </w:p>
  </w:footnote>
  <w:footnote w:type="continuationSeparator" w:id="0">
    <w:p w:rsidR="00BF6EA6" w:rsidRDefault="00BF6EA6" w:rsidP="0022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BF6E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BF6E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89E" w:rsidRDefault="00BF6E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62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6F46"/>
    <w:multiLevelType w:val="multilevel"/>
    <w:tmpl w:val="632C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44D15"/>
    <w:multiLevelType w:val="multilevel"/>
    <w:tmpl w:val="CD6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30AFA"/>
    <w:multiLevelType w:val="hybridMultilevel"/>
    <w:tmpl w:val="7C92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E76D0"/>
    <w:multiLevelType w:val="multilevel"/>
    <w:tmpl w:val="C92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BB3"/>
    <w:rsid w:val="0001613B"/>
    <w:rsid w:val="0002069D"/>
    <w:rsid w:val="00050370"/>
    <w:rsid w:val="00073B2E"/>
    <w:rsid w:val="000B787B"/>
    <w:rsid w:val="000C7BCB"/>
    <w:rsid w:val="00101090"/>
    <w:rsid w:val="00133A76"/>
    <w:rsid w:val="00143D26"/>
    <w:rsid w:val="00163DA7"/>
    <w:rsid w:val="0022689E"/>
    <w:rsid w:val="002301D0"/>
    <w:rsid w:val="00241ED9"/>
    <w:rsid w:val="00274F50"/>
    <w:rsid w:val="00286A51"/>
    <w:rsid w:val="002A0455"/>
    <w:rsid w:val="002A4B59"/>
    <w:rsid w:val="002D4EF2"/>
    <w:rsid w:val="002F08A3"/>
    <w:rsid w:val="002F14C3"/>
    <w:rsid w:val="003079D3"/>
    <w:rsid w:val="00343716"/>
    <w:rsid w:val="00352E1B"/>
    <w:rsid w:val="00361FC7"/>
    <w:rsid w:val="0036538F"/>
    <w:rsid w:val="00373CBB"/>
    <w:rsid w:val="003848DF"/>
    <w:rsid w:val="0038593A"/>
    <w:rsid w:val="00390E37"/>
    <w:rsid w:val="003910CF"/>
    <w:rsid w:val="00430A45"/>
    <w:rsid w:val="00432F3E"/>
    <w:rsid w:val="004A0DC2"/>
    <w:rsid w:val="004A383D"/>
    <w:rsid w:val="004C2233"/>
    <w:rsid w:val="004D34F4"/>
    <w:rsid w:val="005133AB"/>
    <w:rsid w:val="0052002C"/>
    <w:rsid w:val="00566BAF"/>
    <w:rsid w:val="005751FD"/>
    <w:rsid w:val="00597881"/>
    <w:rsid w:val="005C5187"/>
    <w:rsid w:val="005D00C9"/>
    <w:rsid w:val="005F553A"/>
    <w:rsid w:val="00647043"/>
    <w:rsid w:val="006506B7"/>
    <w:rsid w:val="006B23CA"/>
    <w:rsid w:val="006B70B6"/>
    <w:rsid w:val="006E1C22"/>
    <w:rsid w:val="006F48FF"/>
    <w:rsid w:val="007122F2"/>
    <w:rsid w:val="007216F7"/>
    <w:rsid w:val="00735592"/>
    <w:rsid w:val="007371D5"/>
    <w:rsid w:val="007863F3"/>
    <w:rsid w:val="007D7085"/>
    <w:rsid w:val="007E7AB7"/>
    <w:rsid w:val="007F70C5"/>
    <w:rsid w:val="00816386"/>
    <w:rsid w:val="008224D4"/>
    <w:rsid w:val="00854D2F"/>
    <w:rsid w:val="00862991"/>
    <w:rsid w:val="00874BC3"/>
    <w:rsid w:val="00891402"/>
    <w:rsid w:val="008A11EE"/>
    <w:rsid w:val="008B3CF0"/>
    <w:rsid w:val="008B5458"/>
    <w:rsid w:val="008C236F"/>
    <w:rsid w:val="008E1BFC"/>
    <w:rsid w:val="00903363"/>
    <w:rsid w:val="00922618"/>
    <w:rsid w:val="009355EE"/>
    <w:rsid w:val="00943C0F"/>
    <w:rsid w:val="00944041"/>
    <w:rsid w:val="00951DAD"/>
    <w:rsid w:val="009A4191"/>
    <w:rsid w:val="009A6D42"/>
    <w:rsid w:val="009F5EA9"/>
    <w:rsid w:val="00A0538A"/>
    <w:rsid w:val="00A14C57"/>
    <w:rsid w:val="00A37FAD"/>
    <w:rsid w:val="00A92ACD"/>
    <w:rsid w:val="00A97DD4"/>
    <w:rsid w:val="00AA1A47"/>
    <w:rsid w:val="00AD178C"/>
    <w:rsid w:val="00B02AB2"/>
    <w:rsid w:val="00B42142"/>
    <w:rsid w:val="00BA39A5"/>
    <w:rsid w:val="00BB5F93"/>
    <w:rsid w:val="00BC6039"/>
    <w:rsid w:val="00BF6EA6"/>
    <w:rsid w:val="00C5245C"/>
    <w:rsid w:val="00C76514"/>
    <w:rsid w:val="00C977B8"/>
    <w:rsid w:val="00CB38ED"/>
    <w:rsid w:val="00CC7395"/>
    <w:rsid w:val="00CD0C1C"/>
    <w:rsid w:val="00D0051D"/>
    <w:rsid w:val="00D17511"/>
    <w:rsid w:val="00D35E7B"/>
    <w:rsid w:val="00D5189A"/>
    <w:rsid w:val="00D53218"/>
    <w:rsid w:val="00D53579"/>
    <w:rsid w:val="00D669EB"/>
    <w:rsid w:val="00D73613"/>
    <w:rsid w:val="00DC6E4B"/>
    <w:rsid w:val="00E021A0"/>
    <w:rsid w:val="00E132F8"/>
    <w:rsid w:val="00E159A9"/>
    <w:rsid w:val="00E20ECC"/>
    <w:rsid w:val="00E25BB3"/>
    <w:rsid w:val="00E43CBC"/>
    <w:rsid w:val="00E62FCE"/>
    <w:rsid w:val="00EF0822"/>
    <w:rsid w:val="00F1747E"/>
    <w:rsid w:val="00F179E9"/>
    <w:rsid w:val="00F45B86"/>
    <w:rsid w:val="00F53A29"/>
    <w:rsid w:val="00F877B8"/>
    <w:rsid w:val="00FA094F"/>
    <w:rsid w:val="00FA23A9"/>
    <w:rsid w:val="00FC21FE"/>
    <w:rsid w:val="00FE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C6DF051-9B60-42BE-AE04-3E6DEDBA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142"/>
    <w:rPr>
      <w:lang w:val="en-US"/>
    </w:rPr>
  </w:style>
  <w:style w:type="paragraph" w:styleId="Heading1">
    <w:name w:val="heading 1"/>
    <w:basedOn w:val="Normal"/>
    <w:next w:val="Normal"/>
    <w:link w:val="Heading1Char"/>
    <w:uiPriority w:val="9"/>
    <w:qFormat/>
    <w:rsid w:val="00E25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B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E25BB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E25BB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E25BB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25BB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E25BB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25BB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25BB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25BB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2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B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2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B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25BB3"/>
    <w:pPr>
      <w:spacing w:before="160"/>
      <w:jc w:val="center"/>
    </w:pPr>
    <w:rPr>
      <w:i/>
      <w:iCs/>
      <w:color w:val="404040" w:themeColor="text1" w:themeTint="BF"/>
    </w:rPr>
  </w:style>
  <w:style w:type="character" w:customStyle="1" w:styleId="QuoteChar">
    <w:name w:val="Quote Char"/>
    <w:basedOn w:val="DefaultParagraphFont"/>
    <w:link w:val="Quote"/>
    <w:uiPriority w:val="29"/>
    <w:rsid w:val="00E25BB3"/>
    <w:rPr>
      <w:i/>
      <w:iCs/>
      <w:color w:val="404040" w:themeColor="text1" w:themeTint="BF"/>
      <w:lang w:val="en-US"/>
    </w:rPr>
  </w:style>
  <w:style w:type="paragraph" w:styleId="ListParagraph">
    <w:name w:val="List Paragraph"/>
    <w:basedOn w:val="Normal"/>
    <w:uiPriority w:val="34"/>
    <w:qFormat/>
    <w:rsid w:val="00E25BB3"/>
    <w:pPr>
      <w:ind w:left="720"/>
      <w:contextualSpacing/>
    </w:pPr>
  </w:style>
  <w:style w:type="character" w:styleId="IntenseEmphasis">
    <w:name w:val="Intense Emphasis"/>
    <w:basedOn w:val="DefaultParagraphFont"/>
    <w:uiPriority w:val="21"/>
    <w:qFormat/>
    <w:rsid w:val="00E25BB3"/>
    <w:rPr>
      <w:i/>
      <w:iCs/>
      <w:color w:val="2F5496" w:themeColor="accent1" w:themeShade="BF"/>
    </w:rPr>
  </w:style>
  <w:style w:type="paragraph" w:styleId="IntenseQuote">
    <w:name w:val="Intense Quote"/>
    <w:basedOn w:val="Normal"/>
    <w:next w:val="Normal"/>
    <w:link w:val="IntenseQuoteChar"/>
    <w:uiPriority w:val="30"/>
    <w:qFormat/>
    <w:rsid w:val="00E25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BB3"/>
    <w:rPr>
      <w:i/>
      <w:iCs/>
      <w:color w:val="2F5496" w:themeColor="accent1" w:themeShade="BF"/>
      <w:lang w:val="en-US"/>
    </w:rPr>
  </w:style>
  <w:style w:type="character" w:styleId="IntenseReference">
    <w:name w:val="Intense Reference"/>
    <w:basedOn w:val="DefaultParagraphFont"/>
    <w:uiPriority w:val="32"/>
    <w:qFormat/>
    <w:rsid w:val="00E25BB3"/>
    <w:rPr>
      <w:b/>
      <w:bCs/>
      <w:smallCaps/>
      <w:color w:val="2F5496" w:themeColor="accent1" w:themeShade="BF"/>
      <w:spacing w:val="5"/>
    </w:rPr>
  </w:style>
  <w:style w:type="character" w:styleId="Hyperlink">
    <w:name w:val="Hyperlink"/>
    <w:basedOn w:val="DefaultParagraphFont"/>
    <w:uiPriority w:val="99"/>
    <w:unhideWhenUsed/>
    <w:rsid w:val="004A0DC2"/>
    <w:rPr>
      <w:color w:val="0563C1" w:themeColor="hyperlink"/>
      <w:u w:val="single"/>
    </w:rPr>
  </w:style>
  <w:style w:type="paragraph" w:styleId="BalloonText">
    <w:name w:val="Balloon Text"/>
    <w:basedOn w:val="Normal"/>
    <w:link w:val="BalloonTextChar"/>
    <w:uiPriority w:val="99"/>
    <w:semiHidden/>
    <w:unhideWhenUsed/>
    <w:rsid w:val="009F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A9"/>
    <w:rPr>
      <w:rFonts w:ascii="Tahoma" w:hAnsi="Tahoma" w:cs="Tahoma"/>
      <w:sz w:val="16"/>
      <w:szCs w:val="16"/>
      <w:lang w:val="en-US"/>
    </w:rPr>
  </w:style>
  <w:style w:type="character" w:customStyle="1" w:styleId="UnresolvedMention1">
    <w:name w:val="Unresolved Mention1"/>
    <w:basedOn w:val="DefaultParagraphFont"/>
    <w:uiPriority w:val="99"/>
    <w:semiHidden/>
    <w:unhideWhenUsed/>
    <w:rsid w:val="005C5187"/>
    <w:rPr>
      <w:color w:val="605E5C"/>
      <w:shd w:val="clear" w:color="auto" w:fill="E1DFDD"/>
    </w:rPr>
  </w:style>
  <w:style w:type="character" w:styleId="FollowedHyperlink">
    <w:name w:val="FollowedHyperlink"/>
    <w:basedOn w:val="DefaultParagraphFont"/>
    <w:uiPriority w:val="99"/>
    <w:semiHidden/>
    <w:unhideWhenUsed/>
    <w:rsid w:val="0001613B"/>
    <w:rPr>
      <w:color w:val="954F72" w:themeColor="followedHyperlink"/>
      <w:u w:val="single"/>
    </w:rPr>
  </w:style>
  <w:style w:type="character" w:customStyle="1" w:styleId="author">
    <w:name w:val="author"/>
    <w:rsid w:val="007216F7"/>
  </w:style>
  <w:style w:type="character" w:customStyle="1" w:styleId="pubyear">
    <w:name w:val="pubyear"/>
    <w:rsid w:val="007216F7"/>
  </w:style>
  <w:style w:type="character" w:customStyle="1" w:styleId="chaptertitle">
    <w:name w:val="chaptertitle"/>
    <w:rsid w:val="007216F7"/>
  </w:style>
  <w:style w:type="character" w:customStyle="1" w:styleId="booktitle">
    <w:name w:val="booktitle"/>
    <w:rsid w:val="007216F7"/>
  </w:style>
  <w:style w:type="character" w:customStyle="1" w:styleId="editor">
    <w:name w:val="editor"/>
    <w:rsid w:val="007216F7"/>
  </w:style>
  <w:style w:type="character" w:customStyle="1" w:styleId="pagefirst">
    <w:name w:val="pagefirst"/>
    <w:rsid w:val="007216F7"/>
  </w:style>
  <w:style w:type="character" w:customStyle="1" w:styleId="pagelast">
    <w:name w:val="pagelast"/>
    <w:rsid w:val="007216F7"/>
  </w:style>
  <w:style w:type="paragraph" w:styleId="NormalWeb">
    <w:name w:val="Normal (Web)"/>
    <w:basedOn w:val="Normal"/>
    <w:uiPriority w:val="99"/>
    <w:unhideWhenUsed/>
    <w:rsid w:val="007216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216F7"/>
    <w:rPr>
      <w:i/>
      <w:iCs/>
    </w:rPr>
  </w:style>
  <w:style w:type="paragraph" w:styleId="Header">
    <w:name w:val="header"/>
    <w:basedOn w:val="Normal"/>
    <w:link w:val="HeaderChar"/>
    <w:uiPriority w:val="99"/>
    <w:unhideWhenUsed/>
    <w:rsid w:val="0022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89E"/>
    <w:rPr>
      <w:lang w:val="en-US"/>
    </w:rPr>
  </w:style>
  <w:style w:type="paragraph" w:styleId="Footer">
    <w:name w:val="footer"/>
    <w:basedOn w:val="Normal"/>
    <w:link w:val="FooterChar"/>
    <w:uiPriority w:val="99"/>
    <w:unhideWhenUsed/>
    <w:rsid w:val="0022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89E"/>
    <w:rPr>
      <w:lang w:val="en-US"/>
    </w:rPr>
  </w:style>
  <w:style w:type="character" w:styleId="Strong">
    <w:name w:val="Strong"/>
    <w:basedOn w:val="DefaultParagraphFont"/>
    <w:uiPriority w:val="22"/>
    <w:qFormat/>
    <w:rsid w:val="00373CBB"/>
    <w:rPr>
      <w:b/>
      <w:bCs/>
    </w:rPr>
  </w:style>
  <w:style w:type="paragraph" w:styleId="Revision">
    <w:name w:val="Revision"/>
    <w:hidden/>
    <w:uiPriority w:val="99"/>
    <w:semiHidden/>
    <w:rsid w:val="005200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94-007-4470-7_2" TargetMode="External"/><Relationship Id="rId18" Type="http://schemas.openxmlformats.org/officeDocument/2006/relationships/hyperlink" Target="https://doi.org/10.1007/978-3-031-91369-3_141" TargetMode="External"/><Relationship Id="rId26" Type="http://schemas.openxmlformats.org/officeDocument/2006/relationships/hyperlink" Target="https://doi.org/10.1007/978-981-96-7878-5_8" TargetMode="External"/><Relationship Id="rId39" Type="http://schemas.openxmlformats.org/officeDocument/2006/relationships/hyperlink" Target="https://doi.org/10.52340/jecm.2022.07.04" TargetMode="External"/><Relationship Id="rId21" Type="http://schemas.openxmlformats.org/officeDocument/2006/relationships/hyperlink" Target="https://doi.org/10.1007/978-3-031-91369-3_478" TargetMode="External"/><Relationship Id="rId34" Type="http://schemas.openxmlformats.org/officeDocument/2006/relationships/hyperlink" Target="https://doi.org/10.3390/plants12163003" TargetMode="External"/><Relationship Id="rId42" Type="http://schemas.openxmlformats.org/officeDocument/2006/relationships/hyperlink" Target="https://doi.org/10.1016/C2017-0-03584-X"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030-28947-8_108" TargetMode="External"/><Relationship Id="rId29" Type="http://schemas.openxmlformats.org/officeDocument/2006/relationships/hyperlink" Target="https://doi.org/10.12911/22998993/146747" TargetMode="External"/><Relationship Id="rId11" Type="http://schemas.openxmlformats.org/officeDocument/2006/relationships/image" Target="media/image3.png"/><Relationship Id="rId24" Type="http://schemas.openxmlformats.org/officeDocument/2006/relationships/hyperlink" Target="https://doi.org/10.1111/brv.13079" TargetMode="External"/><Relationship Id="rId32" Type="http://schemas.openxmlformats.org/officeDocument/2006/relationships/hyperlink" Target="https://doi.org/10.1007/s12210-023-01166-0" TargetMode="External"/><Relationship Id="rId37" Type="http://schemas.openxmlformats.org/officeDocument/2006/relationships/hyperlink" Target="https://doi.org/10.5772/29869" TargetMode="External"/><Relationship Id="rId40" Type="http://schemas.openxmlformats.org/officeDocument/2006/relationships/hyperlink" Target="https://doi.org/10.52340/jecm.2023.01.05" TargetMode="External"/><Relationship Id="rId45" Type="http://schemas.openxmlformats.org/officeDocument/2006/relationships/hyperlink" Target="https://doi.org/10.3390/ijerph1504062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doi.org/10.1007/978-3-031-91369-3_431" TargetMode="External"/><Relationship Id="rId31" Type="http://schemas.openxmlformats.org/officeDocument/2006/relationships/hyperlink" Target="https://doi.org/10.1002/pca.611" TargetMode="External"/><Relationship Id="rId44" Type="http://schemas.openxmlformats.org/officeDocument/2006/relationships/hyperlink" Target="https://doi.org/10.1007/978-3-7643-8340-4_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890/03-0650" TargetMode="External"/><Relationship Id="rId22" Type="http://schemas.openxmlformats.org/officeDocument/2006/relationships/hyperlink" Target="https://doi.org/10.1038/s41598-023-34019-9" TargetMode="External"/><Relationship Id="rId27" Type="http://schemas.openxmlformats.org/officeDocument/2006/relationships/hyperlink" Target="https://doi.org/10.3390/ijms23095186" TargetMode="External"/><Relationship Id="rId30" Type="http://schemas.openxmlformats.org/officeDocument/2006/relationships/hyperlink" Target="https://doi.org/10.1111/j.1654-1103.2006.tb02425.x" TargetMode="External"/><Relationship Id="rId35" Type="http://schemas.openxmlformats.org/officeDocument/2006/relationships/hyperlink" Target="https://doi.org/10.1007/978-3-030-18509-1" TargetMode="External"/><Relationship Id="rId43" Type="http://schemas.openxmlformats.org/officeDocument/2006/relationships/hyperlink" Target="https://doi.org/10.1016/j.eti.2021.101629" TargetMode="External"/><Relationship Id="rId48" Type="http://schemas.openxmlformats.org/officeDocument/2006/relationships/footer" Target="footer1.xml"/><Relationship Id="rId8" Type="http://schemas.openxmlformats.org/officeDocument/2006/relationships/hyperlink" Target="https://multitest.ge/"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07/978-3-031-91369-3_542" TargetMode="External"/><Relationship Id="rId25" Type="http://schemas.openxmlformats.org/officeDocument/2006/relationships/hyperlink" Target="https://doi.org/10.1016/j.ecoenv.2020.111887" TargetMode="External"/><Relationship Id="rId33" Type="http://schemas.openxmlformats.org/officeDocument/2006/relationships/hyperlink" Target="https://doi.org/10.3390/antiox8040094" TargetMode="External"/><Relationship Id="rId38" Type="http://schemas.openxmlformats.org/officeDocument/2006/relationships/hyperlink" Target="https://doi.org/10.1007/s11356-012-1191-7" TargetMode="External"/><Relationship Id="rId46" Type="http://schemas.openxmlformats.org/officeDocument/2006/relationships/header" Target="header1.xml"/><Relationship Id="rId20" Type="http://schemas.openxmlformats.org/officeDocument/2006/relationships/hyperlink" Target="https://doi.org/10.1007/978-3-031-91369-3_131" TargetMode="External"/><Relationship Id="rId41" Type="http://schemas.openxmlformats.org/officeDocument/2006/relationships/hyperlink" Target="https://doi.org/10.1007/978-3-030-98744-2_22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978-3-319-49412-8_115" TargetMode="External"/><Relationship Id="rId23" Type="http://schemas.openxmlformats.org/officeDocument/2006/relationships/hyperlink" Target="https://doi.org/10.1016/j.envpol.2025.126847" TargetMode="External"/><Relationship Id="rId28" Type="http://schemas.openxmlformats.org/officeDocument/2006/relationships/hyperlink" Target="https://doi.org/10.3390/plants9020178" TargetMode="External"/><Relationship Id="rId36" Type="http://schemas.openxmlformats.org/officeDocument/2006/relationships/hyperlink" Target="https://doi.org/10.1007/978-3-031-91369-3_495"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EABE5-C66A-4D82-8FD5-51F3B0AE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6899</Words>
  <Characters>39327</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Editor-1183</cp:lastModifiedBy>
  <cp:revision>6</cp:revision>
  <dcterms:created xsi:type="dcterms:W3CDTF">2026-04-06T03:02:00Z</dcterms:created>
  <dcterms:modified xsi:type="dcterms:W3CDTF">2026-04-07T06:37:00Z</dcterms:modified>
</cp:coreProperties>
</file>