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3EBCD" w14:textId="15E5CA5B" w:rsidR="004E5FAA" w:rsidRPr="00A64648" w:rsidRDefault="00A64648">
      <w:pPr>
        <w:spacing w:after="240"/>
        <w:jc w:val="center"/>
        <w:rPr>
          <w:lang w:val="en-GB"/>
        </w:rPr>
      </w:pPr>
      <w:r w:rsidRPr="00A64648">
        <w:rPr>
          <w:b/>
          <w:sz w:val="32"/>
          <w:lang w:val="en-GB"/>
        </w:rPr>
        <w:t>Use of Mulberry for the Pharmaceutical Sector</w:t>
      </w:r>
      <w:r w:rsidR="00D346B7">
        <w:rPr>
          <w:b/>
          <w:sz w:val="32"/>
          <w:lang w:val="en-GB"/>
        </w:rPr>
        <w:t xml:space="preserve">: </w:t>
      </w:r>
      <w:r w:rsidRPr="00A64648">
        <w:rPr>
          <w:b/>
          <w:sz w:val="32"/>
          <w:lang w:val="en-GB"/>
        </w:rPr>
        <w:t>Phytochemistry, Pharmacological Potential and Translational Perspectives</w:t>
      </w:r>
    </w:p>
    <w:p w14:paraId="7149EAF1" w14:textId="77777777" w:rsidR="004E5FAA" w:rsidRPr="00A64648" w:rsidRDefault="004E5FAA">
      <w:pPr>
        <w:rPr>
          <w:lang w:val="en-GB"/>
        </w:rPr>
      </w:pPr>
    </w:p>
    <w:p w14:paraId="3BC706BA" w14:textId="77777777" w:rsidR="004E5FAA" w:rsidRPr="00A64648" w:rsidRDefault="00A64648">
      <w:pPr>
        <w:pStyle w:val="Heading1"/>
        <w:rPr>
          <w:lang w:val="en-GB"/>
        </w:rPr>
      </w:pPr>
      <w:r w:rsidRPr="00A64648">
        <w:rPr>
          <w:lang w:val="en-GB"/>
        </w:rPr>
        <w:t>Abstract</w:t>
      </w:r>
    </w:p>
    <w:p w14:paraId="5D59EC0E" w14:textId="3C19093C" w:rsidR="004E5FAA" w:rsidRPr="00A64648" w:rsidRDefault="0030158E">
      <w:pPr>
        <w:jc w:val="both"/>
        <w:rPr>
          <w:lang w:val="en-GB"/>
        </w:rPr>
      </w:pPr>
      <w:r w:rsidRPr="00032EDA">
        <w:rPr>
          <w:highlight w:val="yellow"/>
          <w:lang w:val="en-GB"/>
        </w:rPr>
        <w:t>Several bioactive molecules derived from mulberry have already achieved considerable prominence in pharmaceutical and nutraceutical research.</w:t>
      </w:r>
      <w:r w:rsidRPr="00A64648">
        <w:rPr>
          <w:lang w:val="en-GB"/>
        </w:rPr>
        <w:t xml:space="preserve"> </w:t>
      </w:r>
      <w:r w:rsidR="00A64648" w:rsidRPr="00A64648">
        <w:rPr>
          <w:lang w:val="en-GB"/>
        </w:rPr>
        <w:t>Mulberry (</w:t>
      </w:r>
      <w:proofErr w:type="spellStart"/>
      <w:r w:rsidR="00A64648" w:rsidRPr="00A64648">
        <w:rPr>
          <w:lang w:val="en-GB"/>
        </w:rPr>
        <w:t>Morus</w:t>
      </w:r>
      <w:proofErr w:type="spellEnd"/>
      <w:r w:rsidR="00A64648" w:rsidRPr="00A64648">
        <w:rPr>
          <w:lang w:val="en-GB"/>
        </w:rPr>
        <w:t xml:space="preserve"> spp.), a member of the family </w:t>
      </w:r>
      <w:proofErr w:type="spellStart"/>
      <w:r w:rsidR="00A64648" w:rsidRPr="00A64648">
        <w:rPr>
          <w:lang w:val="en-GB"/>
        </w:rPr>
        <w:t>Moraceae</w:t>
      </w:r>
      <w:proofErr w:type="spellEnd"/>
      <w:r w:rsidR="00A64648" w:rsidRPr="00A64648">
        <w:rPr>
          <w:lang w:val="en-GB"/>
        </w:rPr>
        <w:t xml:space="preserve">, has been cultivated across Asia, Europe, and the Americas for millennia, principally for sericulture but increasingly recognised for its remarkable medicinal properties. The genus </w:t>
      </w:r>
      <w:proofErr w:type="spellStart"/>
      <w:r w:rsidR="00A64648" w:rsidRPr="00A64648">
        <w:rPr>
          <w:lang w:val="en-GB"/>
        </w:rPr>
        <w:t>Morus</w:t>
      </w:r>
      <w:proofErr w:type="spellEnd"/>
      <w:r w:rsidR="00A64648" w:rsidRPr="00A64648">
        <w:rPr>
          <w:lang w:val="en-GB"/>
        </w:rPr>
        <w:t xml:space="preserve"> encompasses three principal species — </w:t>
      </w:r>
      <w:proofErr w:type="spellStart"/>
      <w:r w:rsidR="00A64648" w:rsidRPr="00A64648">
        <w:rPr>
          <w:lang w:val="en-GB"/>
        </w:rPr>
        <w:t>Morus</w:t>
      </w:r>
      <w:proofErr w:type="spellEnd"/>
      <w:r w:rsidR="00A64648" w:rsidRPr="00A64648">
        <w:rPr>
          <w:lang w:val="en-GB"/>
        </w:rPr>
        <w:t xml:space="preserve"> alba L. (white mulberry), </w:t>
      </w:r>
      <w:proofErr w:type="spellStart"/>
      <w:r w:rsidR="00A64648" w:rsidRPr="00A64648">
        <w:rPr>
          <w:lang w:val="en-GB"/>
        </w:rPr>
        <w:t>Morus</w:t>
      </w:r>
      <w:proofErr w:type="spellEnd"/>
      <w:r w:rsidR="00A64648" w:rsidRPr="00A64648">
        <w:rPr>
          <w:lang w:val="en-GB"/>
        </w:rPr>
        <w:t xml:space="preserve"> </w:t>
      </w:r>
      <w:proofErr w:type="spellStart"/>
      <w:r w:rsidR="00A64648" w:rsidRPr="00A64648">
        <w:rPr>
          <w:lang w:val="en-GB"/>
        </w:rPr>
        <w:t>nigra</w:t>
      </w:r>
      <w:proofErr w:type="spellEnd"/>
      <w:r w:rsidR="00A64648" w:rsidRPr="00A64648">
        <w:rPr>
          <w:lang w:val="en-GB"/>
        </w:rPr>
        <w:t xml:space="preserve"> L. (black mulberry), and </w:t>
      </w:r>
      <w:proofErr w:type="spellStart"/>
      <w:r w:rsidR="00A64648" w:rsidRPr="00A64648">
        <w:rPr>
          <w:lang w:val="en-GB"/>
        </w:rPr>
        <w:t>Morus</w:t>
      </w:r>
      <w:proofErr w:type="spellEnd"/>
      <w:r w:rsidR="00A64648" w:rsidRPr="00A64648">
        <w:rPr>
          <w:lang w:val="en-GB"/>
        </w:rPr>
        <w:t xml:space="preserve"> rubra L. (red mulberry) — each harbouring a rich repertoire of bioactive secondary metabolites distributed across leaves, fruits, root bark, branches, and seeds. These phytochemicals, encompassing flavonoids, alkaloids, stilbenes, polysaccharides, anthocyanins, and terpenoids, underlie a broad spectrum of pharmacological activities including antidiabetic, antioxidant, anti-inflammatory, anticancer, cardiovascular-protective, neuroprotective, antimicrobial, dermatological, anti-obesity, and immunomodulatory effects. Most notably, the </w:t>
      </w:r>
      <w:proofErr w:type="spellStart"/>
      <w:r w:rsidR="00A64648" w:rsidRPr="00A64648">
        <w:rPr>
          <w:lang w:val="en-GB"/>
        </w:rPr>
        <w:t>iminosugar</w:t>
      </w:r>
      <w:proofErr w:type="spellEnd"/>
      <w:r w:rsidR="00A64648" w:rsidRPr="00A64648">
        <w:rPr>
          <w:lang w:val="en-GB"/>
        </w:rPr>
        <w:t xml:space="preserve"> 1-deoxynojirimycin (DNJ) has attracted considerable attention as a potent inhibitor of intestinal α-glucosidase, positioning mulberry as a compelling natural candidate for the management of type 2 diabetes mellitus. The prenylated flavone </w:t>
      </w:r>
      <w:proofErr w:type="spellStart"/>
      <w:r w:rsidR="00A64648" w:rsidRPr="00A64648">
        <w:rPr>
          <w:lang w:val="en-GB"/>
        </w:rPr>
        <w:t>morusin</w:t>
      </w:r>
      <w:proofErr w:type="spellEnd"/>
      <w:r w:rsidR="00A64648" w:rsidRPr="00A64648">
        <w:rPr>
          <w:lang w:val="en-GB"/>
        </w:rPr>
        <w:t xml:space="preserve"> exhibits dose-dependent anticancer activity across multiple malignancies through apoptotic and antiproliferative mechanisms. Equally significant are the stilbene </w:t>
      </w:r>
      <w:proofErr w:type="spellStart"/>
      <w:r w:rsidR="00A64648" w:rsidRPr="00A64648">
        <w:rPr>
          <w:lang w:val="en-GB"/>
        </w:rPr>
        <w:t>oxyresveratrol</w:t>
      </w:r>
      <w:proofErr w:type="spellEnd"/>
      <w:r w:rsidR="00A64648" w:rsidRPr="00A64648">
        <w:rPr>
          <w:lang w:val="en-GB"/>
        </w:rPr>
        <w:t xml:space="preserve">, a powerful tyrosinase inhibitor with skin-whitening potential, and structural polysaccharides that confer immunomodulatory and hepatoprotective benefits. This review comprehensively synthesises recent literature on the phytochemistry, pharmacological mechanisms, clinical evidence, safety profile, and drug delivery innovations centred on </w:t>
      </w:r>
      <w:proofErr w:type="spellStart"/>
      <w:r w:rsidR="00A64648" w:rsidRPr="00A64648">
        <w:rPr>
          <w:lang w:val="en-GB"/>
        </w:rPr>
        <w:t>Morus</w:t>
      </w:r>
      <w:proofErr w:type="spellEnd"/>
      <w:r w:rsidR="00A64648" w:rsidRPr="00A64648">
        <w:rPr>
          <w:lang w:val="en-GB"/>
        </w:rPr>
        <w:t xml:space="preserve"> spp. It also highlights gaps in translational research and future directions for the exploitation of mulberry as a pharmaceutical resource.</w:t>
      </w:r>
    </w:p>
    <w:p w14:paraId="5DC1B0CC" w14:textId="2013177A" w:rsidR="004E5FAA" w:rsidRPr="00A64648" w:rsidRDefault="00A64648">
      <w:pPr>
        <w:jc w:val="both"/>
        <w:rPr>
          <w:lang w:val="en-GB"/>
        </w:rPr>
      </w:pPr>
      <w:r w:rsidRPr="00A64648">
        <w:rPr>
          <w:b/>
          <w:lang w:val="en-GB"/>
        </w:rPr>
        <w:t xml:space="preserve">Keywords: </w:t>
      </w:r>
      <w:r w:rsidRPr="00A64648">
        <w:rPr>
          <w:lang w:val="en-GB"/>
        </w:rPr>
        <w:t xml:space="preserve">1-deoxynojirimycin; </w:t>
      </w:r>
      <w:proofErr w:type="spellStart"/>
      <w:r w:rsidRPr="00A64648">
        <w:rPr>
          <w:lang w:val="en-GB"/>
        </w:rPr>
        <w:t>morusin</w:t>
      </w:r>
      <w:proofErr w:type="spellEnd"/>
      <w:r w:rsidRPr="00A64648">
        <w:rPr>
          <w:lang w:val="en-GB"/>
        </w:rPr>
        <w:t xml:space="preserve">; </w:t>
      </w:r>
      <w:proofErr w:type="spellStart"/>
      <w:r w:rsidRPr="00A64648">
        <w:rPr>
          <w:lang w:val="en-GB"/>
        </w:rPr>
        <w:t>oxyresveratrol</w:t>
      </w:r>
      <w:proofErr w:type="spellEnd"/>
      <w:r w:rsidRPr="00A64648">
        <w:rPr>
          <w:lang w:val="en-GB"/>
        </w:rPr>
        <w:t>; polysaccharides; phytochemistry; pharmacology; antidiabetic; anticancer; nutraceutical</w:t>
      </w:r>
    </w:p>
    <w:p w14:paraId="6AA86889" w14:textId="77777777" w:rsidR="004E5FAA" w:rsidRPr="00A64648" w:rsidRDefault="00A64648">
      <w:pPr>
        <w:rPr>
          <w:lang w:val="en-GB"/>
        </w:rPr>
      </w:pPr>
      <w:r w:rsidRPr="00A64648">
        <w:rPr>
          <w:lang w:val="en-GB"/>
        </w:rPr>
        <w:br w:type="page"/>
      </w:r>
    </w:p>
    <w:p w14:paraId="59BF3539" w14:textId="77777777" w:rsidR="004E5FAA" w:rsidRPr="00A64648" w:rsidRDefault="00A64648">
      <w:pPr>
        <w:pStyle w:val="Heading1"/>
        <w:rPr>
          <w:lang w:val="en-GB"/>
        </w:rPr>
      </w:pPr>
      <w:r w:rsidRPr="00A64648">
        <w:rPr>
          <w:lang w:val="en-GB"/>
        </w:rPr>
        <w:lastRenderedPageBreak/>
        <w:t>1. Introduction</w:t>
      </w:r>
    </w:p>
    <w:p w14:paraId="1769A34D" w14:textId="1AD64901" w:rsidR="004E5FAA" w:rsidRPr="00A64648" w:rsidRDefault="00A64648">
      <w:pPr>
        <w:ind w:firstLine="432"/>
        <w:jc w:val="both"/>
        <w:rPr>
          <w:lang w:val="en-GB"/>
        </w:rPr>
      </w:pPr>
      <w:r w:rsidRPr="00A64648">
        <w:rPr>
          <w:lang w:val="en-GB"/>
        </w:rPr>
        <w:t xml:space="preserve">Plants have constituted the cornerstone of human medicine since antiquity, and in the contemporary era of evidence-based pharmacology, they continue to serve as indispensable sources of novel bioactive compounds and therapeutic leads. </w:t>
      </w:r>
      <w:r w:rsidR="0088660C" w:rsidRPr="00032EDA">
        <w:rPr>
          <w:rFonts w:ascii="Arial" w:hAnsi="Arial" w:cs="Arial"/>
          <w:color w:val="222222"/>
          <w:sz w:val="20"/>
          <w:szCs w:val="20"/>
          <w:highlight w:val="yellow"/>
          <w:shd w:val="clear" w:color="auto" w:fill="FFFFFF"/>
        </w:rPr>
        <w:t>Mulberry, a traditional economic crop, is a significant medicinal plant. Increasing evidence suggests that phytochemicals from mulberry play critical roles in the prevention and treatment of neurological disorders.</w:t>
      </w:r>
      <w:r w:rsidR="0088660C">
        <w:rPr>
          <w:rFonts w:ascii="Arial" w:hAnsi="Arial" w:cs="Arial"/>
          <w:color w:val="222222"/>
          <w:sz w:val="20"/>
          <w:szCs w:val="20"/>
          <w:shd w:val="clear" w:color="auto" w:fill="FFFFFF"/>
        </w:rPr>
        <w:t> </w:t>
      </w:r>
      <w:r w:rsidR="0088660C" w:rsidRPr="00032EDA">
        <w:rPr>
          <w:rFonts w:ascii="Arial" w:hAnsi="Arial" w:cs="Arial"/>
          <w:color w:val="222222"/>
          <w:sz w:val="20"/>
          <w:szCs w:val="20"/>
          <w:highlight w:val="yellow"/>
          <w:shd w:val="clear" w:color="auto" w:fill="FFFFFF"/>
        </w:rPr>
        <w:t>Among the bioactivities possessed by phytochemicals from mulberry, “antioxidant activity” occupies the most important place. This implies a strong relationship between mulberry phytochemicals and oxidative stress, the core pathological mechanism of NDs. Increasing evidence highlights phytochemicals from mulberry exert neuroprotective effects through multiple mechanisms of action such as anti-oxidation, anti-neuroinflammation, and the regulation of gene expression</w:t>
      </w:r>
      <w:r w:rsidR="00057A0A">
        <w:rPr>
          <w:rFonts w:ascii="Arial" w:hAnsi="Arial" w:cs="Arial"/>
          <w:color w:val="222222"/>
          <w:sz w:val="20"/>
          <w:szCs w:val="20"/>
          <w:highlight w:val="yellow"/>
          <w:shd w:val="clear" w:color="auto" w:fill="FFFFFF"/>
        </w:rPr>
        <w:t xml:space="preserve"> (</w:t>
      </w:r>
      <w:proofErr w:type="spellStart"/>
      <w:r w:rsidR="00057A0A" w:rsidRPr="00E03221">
        <w:rPr>
          <w:rFonts w:ascii="Arial" w:hAnsi="Arial" w:cs="Arial"/>
          <w:color w:val="222222"/>
          <w:sz w:val="20"/>
          <w:szCs w:val="20"/>
          <w:highlight w:val="yellow"/>
          <w:shd w:val="clear" w:color="auto" w:fill="FFFFFF"/>
        </w:rPr>
        <w:t>Shou</w:t>
      </w:r>
      <w:proofErr w:type="spellEnd"/>
      <w:r w:rsidR="00057A0A">
        <w:rPr>
          <w:rFonts w:ascii="Arial" w:hAnsi="Arial" w:cs="Arial"/>
          <w:color w:val="222222"/>
          <w:sz w:val="20"/>
          <w:szCs w:val="20"/>
          <w:highlight w:val="yellow"/>
          <w:shd w:val="clear" w:color="auto" w:fill="FFFFFF"/>
        </w:rPr>
        <w:t xml:space="preserve"> &amp;</w:t>
      </w:r>
      <w:r w:rsidR="00057A0A" w:rsidRPr="00E03221">
        <w:rPr>
          <w:rFonts w:ascii="Arial" w:hAnsi="Arial" w:cs="Arial"/>
          <w:color w:val="222222"/>
          <w:sz w:val="20"/>
          <w:szCs w:val="20"/>
          <w:highlight w:val="yellow"/>
          <w:shd w:val="clear" w:color="auto" w:fill="FFFFFF"/>
        </w:rPr>
        <w:t xml:space="preserve"> Shaw</w:t>
      </w:r>
      <w:r w:rsidR="00057A0A">
        <w:rPr>
          <w:rFonts w:ascii="Arial" w:hAnsi="Arial" w:cs="Arial"/>
          <w:color w:val="222222"/>
          <w:sz w:val="20"/>
          <w:szCs w:val="20"/>
          <w:highlight w:val="yellow"/>
          <w:shd w:val="clear" w:color="auto" w:fill="FFFFFF"/>
        </w:rPr>
        <w:t>, 2022)</w:t>
      </w:r>
      <w:r w:rsidR="0088660C" w:rsidRPr="00032EDA">
        <w:rPr>
          <w:rFonts w:ascii="Arial" w:hAnsi="Arial" w:cs="Arial"/>
          <w:color w:val="222222"/>
          <w:sz w:val="20"/>
          <w:szCs w:val="20"/>
          <w:highlight w:val="yellow"/>
          <w:shd w:val="clear" w:color="auto" w:fill="FFFFFF"/>
        </w:rPr>
        <w:t>.</w:t>
      </w:r>
      <w:r w:rsidR="0088660C">
        <w:rPr>
          <w:rFonts w:ascii="Arial" w:hAnsi="Arial" w:cs="Arial"/>
          <w:color w:val="222222"/>
          <w:sz w:val="20"/>
          <w:szCs w:val="20"/>
          <w:shd w:val="clear" w:color="auto" w:fill="FFFFFF"/>
        </w:rPr>
        <w:t xml:space="preserve"> </w:t>
      </w:r>
      <w:r w:rsidRPr="00A64648">
        <w:rPr>
          <w:lang w:val="en-GB"/>
        </w:rPr>
        <w:t xml:space="preserve">Among the vast treasury of medicinal flora, mulberry — encompassing the genus </w:t>
      </w:r>
      <w:proofErr w:type="spellStart"/>
      <w:r w:rsidRPr="00A64648">
        <w:rPr>
          <w:lang w:val="en-GB"/>
        </w:rPr>
        <w:t>Morus</w:t>
      </w:r>
      <w:proofErr w:type="spellEnd"/>
      <w:r w:rsidRPr="00A64648">
        <w:rPr>
          <w:lang w:val="en-GB"/>
        </w:rPr>
        <w:t xml:space="preserve"> of the family </w:t>
      </w:r>
      <w:proofErr w:type="spellStart"/>
      <w:r w:rsidRPr="00A64648">
        <w:rPr>
          <w:lang w:val="en-GB"/>
        </w:rPr>
        <w:t>Moraceae</w:t>
      </w:r>
      <w:proofErr w:type="spellEnd"/>
      <w:r w:rsidRPr="00A64648">
        <w:rPr>
          <w:lang w:val="en-GB"/>
        </w:rPr>
        <w:t xml:space="preserve"> — occupies a uniquely distinguished position on account of its dual heritage as both an agricultural crop and a repository of extraordinary pharmacological potential. Cultivated predominantly for sericulture, wherein the leaves of </w:t>
      </w:r>
      <w:proofErr w:type="spellStart"/>
      <w:r w:rsidRPr="00A64648">
        <w:rPr>
          <w:lang w:val="en-GB"/>
        </w:rPr>
        <w:t>Morus</w:t>
      </w:r>
      <w:proofErr w:type="spellEnd"/>
      <w:r w:rsidRPr="00A64648">
        <w:rPr>
          <w:lang w:val="en-GB"/>
        </w:rPr>
        <w:t xml:space="preserve"> alba serve as the exclusive diet of the silkworm Bombyx mori, the mulberry tree has concomitantly been employed in traditional medical systems across Asia, the Middle East, and Europe for thousands of years to treat conditions ranging from diabetes and hypertension to inflammatory disorders and liver disease (Wen et al., 2019).</w:t>
      </w:r>
      <w:r w:rsidR="00CB598E">
        <w:rPr>
          <w:lang w:val="en-GB"/>
        </w:rPr>
        <w:t xml:space="preserve"> </w:t>
      </w:r>
      <w:r w:rsidR="00CB598E" w:rsidRPr="00032EDA">
        <w:rPr>
          <w:rFonts w:ascii="Arial" w:hAnsi="Arial" w:cs="Arial"/>
          <w:color w:val="333333"/>
          <w:sz w:val="20"/>
          <w:highlight w:val="yellow"/>
          <w:shd w:val="clear" w:color="auto" w:fill="FFFFFF"/>
        </w:rPr>
        <w:t>Modern dietary habits and other factors have led to a global rise in chronic diseases, posing significant threats to daily life. Among the most valuable fruits worldwide, mulberry has been extensively studied for its diverse health benefits and economic potential. Mulberries are not only rich in nutrients and active compounds but also demonstrate antioxidant, hypolipidemic, hypoglycemic, hepatoprotective, antibacterial, and anticancer pharmacological effects. Despite these promising attributes, there is a lack of systematic evaluations of mulberry's bioactive substances and their pharmacological impacts. Additionally, the increasing focus on developing mulberry derivatives is crucial for enhancing its economic value</w:t>
      </w:r>
      <w:r w:rsidR="00F11942">
        <w:rPr>
          <w:rFonts w:ascii="Arial" w:hAnsi="Arial" w:cs="Arial"/>
          <w:color w:val="333333"/>
          <w:sz w:val="20"/>
          <w:highlight w:val="yellow"/>
          <w:shd w:val="clear" w:color="auto" w:fill="FFFFFF"/>
        </w:rPr>
        <w:t xml:space="preserve"> (Hu et al., 2025)</w:t>
      </w:r>
      <w:r w:rsidR="00CB598E" w:rsidRPr="00032EDA">
        <w:rPr>
          <w:rFonts w:ascii="Arial" w:hAnsi="Arial" w:cs="Arial"/>
          <w:color w:val="333333"/>
          <w:sz w:val="20"/>
          <w:highlight w:val="yellow"/>
          <w:shd w:val="clear" w:color="auto" w:fill="FFFFFF"/>
        </w:rPr>
        <w:t>.</w:t>
      </w:r>
      <w:r w:rsidR="00CB598E" w:rsidRPr="00032EDA">
        <w:rPr>
          <w:rFonts w:ascii="Arial" w:hAnsi="Arial" w:cs="Arial"/>
          <w:color w:val="333333"/>
          <w:sz w:val="20"/>
          <w:shd w:val="clear" w:color="auto" w:fill="FFFFFF"/>
        </w:rPr>
        <w:t> </w:t>
      </w:r>
    </w:p>
    <w:p w14:paraId="4AAA8169" w14:textId="77777777" w:rsidR="004E5FAA" w:rsidRPr="00A64648" w:rsidRDefault="00A64648">
      <w:pPr>
        <w:ind w:firstLine="432"/>
        <w:jc w:val="both"/>
        <w:rPr>
          <w:lang w:val="en-GB"/>
        </w:rPr>
      </w:pPr>
      <w:r w:rsidRPr="00A64648">
        <w:rPr>
          <w:lang w:val="en-GB"/>
        </w:rPr>
        <w:t xml:space="preserve">The scientific community's interest in </w:t>
      </w:r>
      <w:proofErr w:type="spellStart"/>
      <w:r w:rsidRPr="00A64648">
        <w:rPr>
          <w:lang w:val="en-GB"/>
        </w:rPr>
        <w:t>Morus</w:t>
      </w:r>
      <w:proofErr w:type="spellEnd"/>
      <w:r w:rsidRPr="00A64648">
        <w:rPr>
          <w:lang w:val="en-GB"/>
        </w:rPr>
        <w:t xml:space="preserve"> spp. has undergone a dramatic acceleration over the past two decades, catalysed by converging discoveries in phytochemistry, molecular pharmacology, and nutraceutical science. To date, more than 198 active compounds have been identified across the various parts of </w:t>
      </w:r>
      <w:proofErr w:type="spellStart"/>
      <w:r w:rsidRPr="00A64648">
        <w:rPr>
          <w:lang w:val="en-GB"/>
        </w:rPr>
        <w:t>Morus</w:t>
      </w:r>
      <w:proofErr w:type="spellEnd"/>
      <w:r w:rsidRPr="00A64648">
        <w:rPr>
          <w:lang w:val="en-GB"/>
        </w:rPr>
        <w:t xml:space="preserve"> alba alone, encompassing flavonoids, phenolic acids, terpenoids, alkaloids, stilbenes, anthocyanins, and polysaccharides (Hu et al., 2024). Each botanical part — leaf, fruit, root bark, stem, and branch — presents a distinct chemical profile and, correspondingly, a unique constellation of biological activities. The scientific knowledge about mulberry flavonoids and their biological properties, particularly their antioxidant potential, has grown substantially, with more than 1,100 peer-reviewed papers registered and over 24,000 citations recorded in indexed academic databases (</w:t>
      </w:r>
      <w:proofErr w:type="spellStart"/>
      <w:r w:rsidRPr="00A64648">
        <w:rPr>
          <w:lang w:val="en-GB"/>
        </w:rPr>
        <w:t>Trimarco</w:t>
      </w:r>
      <w:proofErr w:type="spellEnd"/>
      <w:r w:rsidRPr="00A64648">
        <w:rPr>
          <w:lang w:val="en-GB"/>
        </w:rPr>
        <w:t xml:space="preserve"> et al., 2025).</w:t>
      </w:r>
    </w:p>
    <w:p w14:paraId="0A337B14" w14:textId="77777777" w:rsidR="004E5FAA" w:rsidRPr="00A64648" w:rsidRDefault="00A64648">
      <w:pPr>
        <w:ind w:firstLine="432"/>
        <w:jc w:val="both"/>
        <w:rPr>
          <w:lang w:val="en-GB"/>
        </w:rPr>
      </w:pPr>
      <w:r w:rsidRPr="00A64648">
        <w:rPr>
          <w:lang w:val="en-GB"/>
        </w:rPr>
        <w:t xml:space="preserve">Several bioactive molecules derived from mulberry have already achieved considerable prominence in pharmaceutical and nutraceutical research. The </w:t>
      </w:r>
      <w:proofErr w:type="spellStart"/>
      <w:r w:rsidRPr="00A64648">
        <w:rPr>
          <w:lang w:val="en-GB"/>
        </w:rPr>
        <w:t>iminosugar</w:t>
      </w:r>
      <w:proofErr w:type="spellEnd"/>
      <w:r w:rsidRPr="00A64648">
        <w:rPr>
          <w:lang w:val="en-GB"/>
        </w:rPr>
        <w:t xml:space="preserve"> alkaloid 1-deoxynojirimycin (DNJ), concentrated in the leaves and root bark of M. alba, is a potent competitive inhibitor of intestinal α-glucosidase and sucrase, offering a mechanism of action comparable to that of clinically approved </w:t>
      </w:r>
      <w:r w:rsidRPr="00A64648">
        <w:rPr>
          <w:lang w:val="en-GB"/>
        </w:rPr>
        <w:lastRenderedPageBreak/>
        <w:t>antidiabetic drugs such as acarbose but with a reportedly superior tolerability profile (</w:t>
      </w:r>
      <w:proofErr w:type="spellStart"/>
      <w:r w:rsidRPr="00A64648">
        <w:rPr>
          <w:lang w:val="en-GB"/>
        </w:rPr>
        <w:t>Ramappa</w:t>
      </w:r>
      <w:proofErr w:type="spellEnd"/>
      <w:r w:rsidRPr="00A64648">
        <w:rPr>
          <w:lang w:val="en-GB"/>
        </w:rPr>
        <w:t xml:space="preserve"> et al., 2020). The prenylated flavone </w:t>
      </w:r>
      <w:proofErr w:type="spellStart"/>
      <w:r w:rsidRPr="00A64648">
        <w:rPr>
          <w:lang w:val="en-GB"/>
        </w:rPr>
        <w:t>morusin</w:t>
      </w:r>
      <w:proofErr w:type="spellEnd"/>
      <w:r w:rsidRPr="00A64648">
        <w:rPr>
          <w:lang w:val="en-GB"/>
        </w:rPr>
        <w:t>, isolated from the root bark of M. alba, has demonstrated pronounced cytotoxic and proapoptotic activity across numerous cancer cell lines, including those derived from breast, liver, colorectal, and prostate tumours, through modulation of the NF-</w:t>
      </w:r>
      <w:proofErr w:type="spellStart"/>
      <w:r w:rsidRPr="00A64648">
        <w:rPr>
          <w:lang w:val="en-GB"/>
        </w:rPr>
        <w:t>κB</w:t>
      </w:r>
      <w:proofErr w:type="spellEnd"/>
      <w:r w:rsidRPr="00A64648">
        <w:rPr>
          <w:lang w:val="en-GB"/>
        </w:rPr>
        <w:t>, STAT3, and PI3K/AKT signalling axes (</w:t>
      </w:r>
      <w:proofErr w:type="spellStart"/>
      <w:r w:rsidRPr="00A64648">
        <w:rPr>
          <w:lang w:val="en-GB"/>
        </w:rPr>
        <w:t>Ferraz</w:t>
      </w:r>
      <w:proofErr w:type="spellEnd"/>
      <w:r w:rsidRPr="00A64648">
        <w:rPr>
          <w:lang w:val="en-GB"/>
        </w:rPr>
        <w:t xml:space="preserve"> et al., 2024). </w:t>
      </w:r>
      <w:proofErr w:type="spellStart"/>
      <w:r w:rsidRPr="00A64648">
        <w:rPr>
          <w:lang w:val="en-GB"/>
        </w:rPr>
        <w:t>Oxyresveratrol</w:t>
      </w:r>
      <w:proofErr w:type="spellEnd"/>
      <w:r w:rsidRPr="00A64648">
        <w:rPr>
          <w:lang w:val="en-GB"/>
        </w:rPr>
        <w:t>, a hydroxylated stilbene found particularly in the stem wood and root bark, exhibits remarkable inhibitory activity against tyrosinase — the key enzyme governing melanin synthesis — and has consequently attracted interest from both the cosmeceutical and dermatological industries (Wang et al., 2024).</w:t>
      </w:r>
    </w:p>
    <w:p w14:paraId="74057140" w14:textId="77777777" w:rsidR="004E5FAA" w:rsidRPr="00A64648" w:rsidRDefault="00A64648">
      <w:pPr>
        <w:ind w:firstLine="432"/>
        <w:jc w:val="both"/>
        <w:rPr>
          <w:lang w:val="en-GB"/>
        </w:rPr>
      </w:pPr>
      <w:r w:rsidRPr="00A64648">
        <w:rPr>
          <w:lang w:val="en-GB"/>
        </w:rPr>
        <w:t xml:space="preserve">Beyond individual compounds, the crude and semi-purified extracts of mulberry have demonstrated clinically significant benefits in managing metabolic syndrome, obesity, non-alcoholic fatty liver disease, neurodegenerative conditions, and cardiovascular risk factors. The structural polysaccharides derived from mulberry leaves and fruits modulate gut microbiota composition, enhance innate immune function, and confer hepatoprotective benefits through antioxidant and anti-inflammatory mechanisms (He et al., 2018). The multi-target pharmacological profile of </w:t>
      </w:r>
      <w:proofErr w:type="spellStart"/>
      <w:r w:rsidRPr="00A64648">
        <w:rPr>
          <w:lang w:val="en-GB"/>
        </w:rPr>
        <w:t>Morus</w:t>
      </w:r>
      <w:proofErr w:type="spellEnd"/>
      <w:r w:rsidRPr="00A64648">
        <w:rPr>
          <w:lang w:val="en-GB"/>
        </w:rPr>
        <w:t xml:space="preserve"> spp., combined with its wide availability, food-grade safety record, and amenability to extraction and formulation, renders it an exceptionally promising resource for both pharmaceutical drug discovery and functional food innovation (Wen et al., 2019).</w:t>
      </w:r>
    </w:p>
    <w:p w14:paraId="0FD68CEE" w14:textId="77777777" w:rsidR="004E5FAA" w:rsidRPr="00A64648" w:rsidRDefault="00A64648">
      <w:pPr>
        <w:ind w:firstLine="432"/>
        <w:jc w:val="both"/>
        <w:rPr>
          <w:lang w:val="en-GB"/>
        </w:rPr>
      </w:pPr>
      <w:r w:rsidRPr="00A64648">
        <w:rPr>
          <w:lang w:val="en-GB"/>
        </w:rPr>
        <w:t>Despite this rich pharmacological landscape, a cohesive and up-to-date synthesis of the full spectrum of mulberry's pharmaceutical relevance — spanning phytochemistry, mechanistic pharmacology, clinical translation, safety, and emerging applications — remains necessary. This review seeks to address that gap by integrating evidence from in vitro, in vivo, and clinical studies published predominantly between 2005 and 2026, drawing upon the most authoritative peer-reviewed academic sources.</w:t>
      </w:r>
    </w:p>
    <w:p w14:paraId="34E9307F" w14:textId="77777777" w:rsidR="004E5FAA" w:rsidRPr="00A64648" w:rsidRDefault="00A64648">
      <w:pPr>
        <w:pStyle w:val="Heading2"/>
        <w:rPr>
          <w:lang w:val="en-GB"/>
        </w:rPr>
      </w:pPr>
      <w:r w:rsidRPr="00A64648">
        <w:rPr>
          <w:lang w:val="en-GB"/>
        </w:rPr>
        <w:t>1.1 Scope and Objectives of the Review</w:t>
      </w:r>
    </w:p>
    <w:p w14:paraId="70F64E27" w14:textId="77777777" w:rsidR="004E5FAA" w:rsidRPr="00A64648" w:rsidRDefault="00A64648">
      <w:pPr>
        <w:ind w:firstLine="432"/>
        <w:jc w:val="both"/>
        <w:rPr>
          <w:lang w:val="en-GB"/>
        </w:rPr>
      </w:pPr>
      <w:r w:rsidRPr="00A64648">
        <w:rPr>
          <w:lang w:val="en-GB"/>
        </w:rPr>
        <w:t xml:space="preserve">This review article is concerned with a systematic and comprehensive examination of the pharmaceutical significance of the genus </w:t>
      </w:r>
      <w:proofErr w:type="spellStart"/>
      <w:r w:rsidRPr="00A64648">
        <w:rPr>
          <w:lang w:val="en-GB"/>
        </w:rPr>
        <w:t>Morus</w:t>
      </w:r>
      <w:proofErr w:type="spellEnd"/>
      <w:r w:rsidRPr="00A64648">
        <w:rPr>
          <w:lang w:val="en-GB"/>
        </w:rPr>
        <w:t xml:space="preserve">, with a primary focus on </w:t>
      </w:r>
      <w:proofErr w:type="spellStart"/>
      <w:r w:rsidRPr="00A64648">
        <w:rPr>
          <w:lang w:val="en-GB"/>
        </w:rPr>
        <w:t>Morus</w:t>
      </w:r>
      <w:proofErr w:type="spellEnd"/>
      <w:r w:rsidRPr="00A64648">
        <w:rPr>
          <w:lang w:val="en-GB"/>
        </w:rPr>
        <w:t xml:space="preserve"> alba, </w:t>
      </w:r>
      <w:proofErr w:type="spellStart"/>
      <w:r w:rsidRPr="00A64648">
        <w:rPr>
          <w:lang w:val="en-GB"/>
        </w:rPr>
        <w:t>Morus</w:t>
      </w:r>
      <w:proofErr w:type="spellEnd"/>
      <w:r w:rsidRPr="00A64648">
        <w:rPr>
          <w:lang w:val="en-GB"/>
        </w:rPr>
        <w:t xml:space="preserve"> </w:t>
      </w:r>
      <w:proofErr w:type="spellStart"/>
      <w:r w:rsidRPr="00A64648">
        <w:rPr>
          <w:lang w:val="en-GB"/>
        </w:rPr>
        <w:t>nigra</w:t>
      </w:r>
      <w:proofErr w:type="spellEnd"/>
      <w:r w:rsidRPr="00A64648">
        <w:rPr>
          <w:lang w:val="en-GB"/>
        </w:rPr>
        <w:t xml:space="preserve">, and </w:t>
      </w:r>
      <w:proofErr w:type="spellStart"/>
      <w:r w:rsidRPr="00A64648">
        <w:rPr>
          <w:lang w:val="en-GB"/>
        </w:rPr>
        <w:t>Morus</w:t>
      </w:r>
      <w:proofErr w:type="spellEnd"/>
      <w:r w:rsidRPr="00A64648">
        <w:rPr>
          <w:lang w:val="en-GB"/>
        </w:rPr>
        <w:t xml:space="preserve"> rubra. The specific objectives are as follows: first, to document the botanical identity, global distribution, and ethnomedicinal heritage of mulberry; second, to provide a detailed account of the major classes of bioactive secondary metabolites present across different anatomical parts of the mulberry plant; third, to critically evaluate the pharmacological activities attributed to these compounds and their extracts, with particular attention to mechanisms of action; fourth, to appraise the available clinical and translational evidence supporting the therapeutic use of mulberry-derived products; fifth, to discuss bioavailability challenges and nanotechnological delivery strategies; and sixth, to identify existing knowledge gaps and propose directions for future research and pharmaceutical development.</w:t>
      </w:r>
    </w:p>
    <w:p w14:paraId="34211C17" w14:textId="77777777" w:rsidR="004E5FAA" w:rsidRPr="00A64648" w:rsidRDefault="00A64648">
      <w:pPr>
        <w:pStyle w:val="Heading1"/>
        <w:rPr>
          <w:lang w:val="en-GB"/>
        </w:rPr>
      </w:pPr>
      <w:r w:rsidRPr="00A64648">
        <w:rPr>
          <w:lang w:val="en-GB"/>
        </w:rPr>
        <w:lastRenderedPageBreak/>
        <w:t>2. Methods for Literature Selection</w:t>
      </w:r>
    </w:p>
    <w:p w14:paraId="753F63D0" w14:textId="77777777" w:rsidR="004E5FAA" w:rsidRPr="00A64648" w:rsidRDefault="00A64648">
      <w:pPr>
        <w:ind w:firstLine="432"/>
        <w:jc w:val="both"/>
        <w:rPr>
          <w:lang w:val="en-GB"/>
        </w:rPr>
      </w:pPr>
      <w:r w:rsidRPr="00A64648">
        <w:rPr>
          <w:lang w:val="en-GB"/>
        </w:rPr>
        <w:t>A systematic literature search was conducted using major academic databases including PubMed, Scopus, Web of Science, and Google Scholar. The primary search was carried out between January and March 2026. The following search strings and their Boolean combinations were employed: '</w:t>
      </w:r>
      <w:proofErr w:type="spellStart"/>
      <w:r w:rsidRPr="00A64648">
        <w:rPr>
          <w:lang w:val="en-GB"/>
        </w:rPr>
        <w:t>Morus</w:t>
      </w:r>
      <w:proofErr w:type="spellEnd"/>
      <w:r w:rsidRPr="00A64648">
        <w:rPr>
          <w:lang w:val="en-GB"/>
        </w:rPr>
        <w:t xml:space="preserve"> alba pharmacology', 'mulberry bioactive compounds', 'mulberry pharmaceutical', '1-deoxynojirimycin diabetes', '</w:t>
      </w:r>
      <w:proofErr w:type="spellStart"/>
      <w:r w:rsidRPr="00A64648">
        <w:rPr>
          <w:lang w:val="en-GB"/>
        </w:rPr>
        <w:t>morusin</w:t>
      </w:r>
      <w:proofErr w:type="spellEnd"/>
      <w:r w:rsidRPr="00A64648">
        <w:rPr>
          <w:lang w:val="en-GB"/>
        </w:rPr>
        <w:t xml:space="preserve"> anticancer', '</w:t>
      </w:r>
      <w:proofErr w:type="spellStart"/>
      <w:r w:rsidRPr="00A64648">
        <w:rPr>
          <w:lang w:val="en-GB"/>
        </w:rPr>
        <w:t>oxyresveratrol</w:t>
      </w:r>
      <w:proofErr w:type="spellEnd"/>
      <w:r w:rsidRPr="00A64648">
        <w:rPr>
          <w:lang w:val="en-GB"/>
        </w:rPr>
        <w:t xml:space="preserve"> tyrosinase', 'mulberry polysaccharide immunomodulatory', 'mulberry neuroprotective', 'mulberry cardiovascular', and 'mulberry anti-inflammatory'. The date range for the principal corpus of included literature was 2005 to 2026, with particular emphasis on publications from 2018 onwards to capture the most recent advances. However, seminal and classical studies published prior to 2005, particularly those establishing foundational knowledge about key mulberry phytochemicals, were also considered and included where their contribution remained irreplaceable. Only peer-reviewed original research articles and review articles published in indexed, reputable academic journals were included. Conference papers, grey literature, theses, and non-peer-reviewed sources were excluded. Articles were further selected on the basis of methodological rigour, relevance to the review scopes. Non-English publications lacking peer-reviewed English summaries were excluded.</w:t>
      </w:r>
    </w:p>
    <w:p w14:paraId="1BE50B04" w14:textId="77777777" w:rsidR="004E5FAA" w:rsidRPr="00A64648" w:rsidRDefault="00A64648">
      <w:pPr>
        <w:pStyle w:val="Heading1"/>
        <w:rPr>
          <w:lang w:val="en-GB"/>
        </w:rPr>
      </w:pPr>
      <w:r w:rsidRPr="00A64648">
        <w:rPr>
          <w:lang w:val="en-GB"/>
        </w:rPr>
        <w:t>3. Botanical Description, Taxonomy, and Global Distribution</w:t>
      </w:r>
    </w:p>
    <w:p w14:paraId="3CE45406" w14:textId="77777777" w:rsidR="004E5FAA" w:rsidRPr="00A64648" w:rsidRDefault="00A64648">
      <w:pPr>
        <w:ind w:firstLine="432"/>
        <w:jc w:val="both"/>
        <w:rPr>
          <w:lang w:val="en-GB"/>
        </w:rPr>
      </w:pPr>
      <w:r w:rsidRPr="00A64648">
        <w:rPr>
          <w:lang w:val="en-GB"/>
        </w:rPr>
        <w:t xml:space="preserve">The genus </w:t>
      </w:r>
      <w:proofErr w:type="spellStart"/>
      <w:r w:rsidRPr="00A64648">
        <w:rPr>
          <w:lang w:val="en-GB"/>
        </w:rPr>
        <w:t>Morus</w:t>
      </w:r>
      <w:proofErr w:type="spellEnd"/>
      <w:r w:rsidRPr="00A64648">
        <w:rPr>
          <w:lang w:val="en-GB"/>
        </w:rPr>
        <w:t xml:space="preserve"> belongs to the family </w:t>
      </w:r>
      <w:proofErr w:type="spellStart"/>
      <w:r w:rsidRPr="00A64648">
        <w:rPr>
          <w:lang w:val="en-GB"/>
        </w:rPr>
        <w:t>Moraceae</w:t>
      </w:r>
      <w:proofErr w:type="spellEnd"/>
      <w:r w:rsidRPr="00A64648">
        <w:rPr>
          <w:lang w:val="en-GB"/>
        </w:rPr>
        <w:t xml:space="preserve">, order Rosales, and comprises approximately 24 accepted species distributed across tropical, subtropical, and temperate zones worldwide. Of these, three species command the greatest scientific and commercial attention: </w:t>
      </w:r>
      <w:proofErr w:type="spellStart"/>
      <w:r w:rsidRPr="00A64648">
        <w:rPr>
          <w:lang w:val="en-GB"/>
        </w:rPr>
        <w:t>Morus</w:t>
      </w:r>
      <w:proofErr w:type="spellEnd"/>
      <w:r w:rsidRPr="00A64648">
        <w:rPr>
          <w:lang w:val="en-GB"/>
        </w:rPr>
        <w:t xml:space="preserve"> alba L. (white mulberry), </w:t>
      </w:r>
      <w:proofErr w:type="spellStart"/>
      <w:r w:rsidRPr="00A64648">
        <w:rPr>
          <w:lang w:val="en-GB"/>
        </w:rPr>
        <w:t>Morus</w:t>
      </w:r>
      <w:proofErr w:type="spellEnd"/>
      <w:r w:rsidRPr="00A64648">
        <w:rPr>
          <w:lang w:val="en-GB"/>
        </w:rPr>
        <w:t xml:space="preserve"> </w:t>
      </w:r>
      <w:proofErr w:type="spellStart"/>
      <w:r w:rsidRPr="00A64648">
        <w:rPr>
          <w:lang w:val="en-GB"/>
        </w:rPr>
        <w:t>nigra</w:t>
      </w:r>
      <w:proofErr w:type="spellEnd"/>
      <w:r w:rsidRPr="00A64648">
        <w:rPr>
          <w:lang w:val="en-GB"/>
        </w:rPr>
        <w:t xml:space="preserve"> L. (black mulberry), and </w:t>
      </w:r>
      <w:proofErr w:type="spellStart"/>
      <w:r w:rsidRPr="00A64648">
        <w:rPr>
          <w:lang w:val="en-GB"/>
        </w:rPr>
        <w:t>Morus</w:t>
      </w:r>
      <w:proofErr w:type="spellEnd"/>
      <w:r w:rsidRPr="00A64648">
        <w:rPr>
          <w:lang w:val="en-GB"/>
        </w:rPr>
        <w:t xml:space="preserve"> rubra L. (red mulberry). The genus is widely believed to have originated in the border region between China and India, from where it spread progressively to Central Asia, the Middle East, and subsequently to Europe and the Americas through the historical expansion of the silk trade (Chen et al., 2021). Today, mulberry is cultivated across China, Japan, India, Korea, Turkey, Iran, Brazil, the United States, and numerous African and European nations, making it one of the most geographically widespread and economically versatile trees in the world (Wen et al., 2019).</w:t>
      </w:r>
    </w:p>
    <w:p w14:paraId="1E782D2B" w14:textId="77777777" w:rsidR="004E5FAA" w:rsidRPr="00A64648" w:rsidRDefault="00A64648">
      <w:pPr>
        <w:ind w:firstLine="432"/>
        <w:jc w:val="both"/>
        <w:rPr>
          <w:lang w:val="en-GB"/>
        </w:rPr>
      </w:pPr>
      <w:r w:rsidRPr="00A64648">
        <w:rPr>
          <w:lang w:val="en-GB"/>
        </w:rPr>
        <w:t xml:space="preserve">Morphologically, mulberry trees are deciduous and may range from small shrubs to trees reaching heights of 10 to 15 metres. The leaves of M. alba are broad, ovate to cordate, with serrated margins and variable </w:t>
      </w:r>
      <w:proofErr w:type="spellStart"/>
      <w:r w:rsidRPr="00A64648">
        <w:rPr>
          <w:lang w:val="en-GB"/>
        </w:rPr>
        <w:t>lobing</w:t>
      </w:r>
      <w:proofErr w:type="spellEnd"/>
      <w:r w:rsidRPr="00A64648">
        <w:rPr>
          <w:lang w:val="en-GB"/>
        </w:rPr>
        <w:t xml:space="preserve">; their colour ranges from light to deep green depending on cultivar, maturity, and environmental conditions. The fruits are multiple fruits known as </w:t>
      </w:r>
      <w:proofErr w:type="spellStart"/>
      <w:r w:rsidRPr="00A64648">
        <w:rPr>
          <w:lang w:val="en-GB"/>
        </w:rPr>
        <w:t>soroses</w:t>
      </w:r>
      <w:proofErr w:type="spellEnd"/>
      <w:r w:rsidRPr="00A64648">
        <w:rPr>
          <w:lang w:val="en-GB"/>
        </w:rPr>
        <w:t xml:space="preserve">, comprising numerous small drupelets, and are characteristically white to pale pink in M. alba, dark purple to black in M. </w:t>
      </w:r>
      <w:proofErr w:type="spellStart"/>
      <w:r w:rsidRPr="00A64648">
        <w:rPr>
          <w:lang w:val="en-GB"/>
        </w:rPr>
        <w:t>nigra</w:t>
      </w:r>
      <w:proofErr w:type="spellEnd"/>
      <w:r w:rsidRPr="00A64648">
        <w:rPr>
          <w:lang w:val="en-GB"/>
        </w:rPr>
        <w:t xml:space="preserve">, and red to dark purple in M. rubra at maturity. The root system is extensive, and the bark of the roots, known as Mori cortex or </w:t>
      </w:r>
      <w:proofErr w:type="spellStart"/>
      <w:r w:rsidRPr="00A64648">
        <w:rPr>
          <w:lang w:val="en-GB"/>
        </w:rPr>
        <w:t>Sangbaipi</w:t>
      </w:r>
      <w:proofErr w:type="spellEnd"/>
      <w:r w:rsidRPr="00A64648">
        <w:rPr>
          <w:lang w:val="en-GB"/>
        </w:rPr>
        <w:t xml:space="preserve"> in traditional Chinese medicine, is </w:t>
      </w:r>
      <w:r w:rsidRPr="00A64648">
        <w:rPr>
          <w:lang w:val="en-GB"/>
        </w:rPr>
        <w:lastRenderedPageBreak/>
        <w:t>particularly rich in biologically active flavonoids, stilbenes, and alkaloids (Hu et al., 2024).</w:t>
      </w:r>
    </w:p>
    <w:p w14:paraId="03698CF0" w14:textId="77777777" w:rsidR="004E5FAA" w:rsidRPr="00A64648" w:rsidRDefault="00A64648">
      <w:pPr>
        <w:ind w:firstLine="432"/>
        <w:jc w:val="both"/>
        <w:rPr>
          <w:lang w:val="en-GB"/>
        </w:rPr>
      </w:pPr>
      <w:r w:rsidRPr="00A64648">
        <w:rPr>
          <w:lang w:val="en-GB"/>
        </w:rPr>
        <w:t xml:space="preserve">The phytochemical composition varies significantly not only between species but also across different anatomical parts, geographic provenance, climatic conditions, harvest season, and maturation stage. M. alba has attracted disproportionately greater research attention owing to its widespread cultivation, greater commercial availability, and more extensive phytochemical documentation; however, M. </w:t>
      </w:r>
      <w:proofErr w:type="spellStart"/>
      <w:r w:rsidRPr="00A64648">
        <w:rPr>
          <w:lang w:val="en-GB"/>
        </w:rPr>
        <w:t>nigra</w:t>
      </w:r>
      <w:proofErr w:type="spellEnd"/>
      <w:r w:rsidRPr="00A64648">
        <w:rPr>
          <w:lang w:val="en-GB"/>
        </w:rPr>
        <w:t xml:space="preserve"> has demonstrated distinctive anticancer profiles particularly attributable to its Diels-Alder-type adduct constituents, whilst M. rubra has been less extensively studied despite presenting a rich flavonoid and anthocyanin content. All three species are classified as food-grade plants with substantial safety records in human consumption, a characteristic that considerably facilitates their pharmaceutical translation (Rodrigues et al., 2019).</w:t>
      </w:r>
    </w:p>
    <w:p w14:paraId="03507D27" w14:textId="77777777" w:rsidR="004E5FAA" w:rsidRPr="00A64648" w:rsidRDefault="00A64648">
      <w:pPr>
        <w:pStyle w:val="Heading1"/>
        <w:rPr>
          <w:lang w:val="en-GB"/>
        </w:rPr>
      </w:pPr>
      <w:r w:rsidRPr="00A64648">
        <w:rPr>
          <w:lang w:val="en-GB"/>
        </w:rPr>
        <w:t>4. Traditional and Ethnomedicinal Uses</w:t>
      </w:r>
    </w:p>
    <w:p w14:paraId="41DDE9DB" w14:textId="77777777" w:rsidR="004E5FAA" w:rsidRPr="00A64648" w:rsidRDefault="00A64648">
      <w:pPr>
        <w:ind w:firstLine="432"/>
        <w:jc w:val="both"/>
        <w:rPr>
          <w:lang w:val="en-GB"/>
        </w:rPr>
      </w:pPr>
      <w:r w:rsidRPr="00A64648">
        <w:rPr>
          <w:lang w:val="en-GB"/>
        </w:rPr>
        <w:t xml:space="preserve">Mulberry's medicinal use is documented across numerous traditional systems, reflecting its extraordinarily wide geographic distribution and cultural significance. In traditional Chinese medicine (TCM), the four principal </w:t>
      </w:r>
      <w:proofErr w:type="spellStart"/>
      <w:r w:rsidRPr="00A64648">
        <w:rPr>
          <w:lang w:val="en-GB"/>
        </w:rPr>
        <w:t>pharmacopoeial</w:t>
      </w:r>
      <w:proofErr w:type="spellEnd"/>
      <w:r w:rsidRPr="00A64648">
        <w:rPr>
          <w:lang w:val="en-GB"/>
        </w:rPr>
        <w:t xml:space="preserve"> preparations of </w:t>
      </w:r>
      <w:proofErr w:type="spellStart"/>
      <w:r w:rsidRPr="00A64648">
        <w:rPr>
          <w:lang w:val="en-GB"/>
        </w:rPr>
        <w:t>Morus</w:t>
      </w:r>
      <w:proofErr w:type="spellEnd"/>
      <w:r w:rsidRPr="00A64648">
        <w:rPr>
          <w:lang w:val="en-GB"/>
        </w:rPr>
        <w:t xml:space="preserve"> alba — Mori folium (dried leaves), Mori fructus (ripe fruit), Mori cortex (root bark), and Mori </w:t>
      </w:r>
      <w:proofErr w:type="spellStart"/>
      <w:r w:rsidRPr="00A64648">
        <w:rPr>
          <w:lang w:val="en-GB"/>
        </w:rPr>
        <w:t>ramulus</w:t>
      </w:r>
      <w:proofErr w:type="spellEnd"/>
      <w:r w:rsidRPr="00A64648">
        <w:rPr>
          <w:lang w:val="en-GB"/>
        </w:rPr>
        <w:t xml:space="preserve"> (twigs) — are each assigned distinct therapeutic indications (Hu et al., 2024). Mori folium is traditionally employed for the treatment of febrile conditions, cough, and disorders of the liver meridian, whilst Mori cortex is prescribed for asthma, oedema, and hypertension. Mori fructus is valued for its tonic effects on the liver and kidney, and for nourishing the blood and yin in patients with weakness and dizziness. Mulberry twigs are characteristically used for the management of rheumatic arthritis and joint pain (Hao et al., 2022).</w:t>
      </w:r>
    </w:p>
    <w:p w14:paraId="7961423C" w14:textId="77777777" w:rsidR="004E5FAA" w:rsidRPr="00A64648" w:rsidRDefault="00A64648">
      <w:pPr>
        <w:ind w:firstLine="432"/>
        <w:jc w:val="both"/>
        <w:rPr>
          <w:lang w:val="en-GB"/>
        </w:rPr>
      </w:pPr>
      <w:r w:rsidRPr="00A64648">
        <w:rPr>
          <w:lang w:val="en-GB"/>
        </w:rPr>
        <w:t xml:space="preserve">In Ayurvedic medicine, mulberry is known as </w:t>
      </w:r>
      <w:proofErr w:type="spellStart"/>
      <w:r w:rsidRPr="00A64648">
        <w:rPr>
          <w:lang w:val="en-GB"/>
        </w:rPr>
        <w:t>Tuta</w:t>
      </w:r>
      <w:proofErr w:type="spellEnd"/>
      <w:r w:rsidRPr="00A64648">
        <w:rPr>
          <w:lang w:val="en-GB"/>
        </w:rPr>
        <w:t xml:space="preserve"> and is employed for its cooling, astringent, and antibiotic properties, with applications in managing fever, diarrhoea, and urinary disorders. The Unani medical tradition similarly employs the fruit for liver disorders, constipation, and as a cardiotonic. In Japanese </w:t>
      </w:r>
      <w:proofErr w:type="spellStart"/>
      <w:r w:rsidRPr="00A64648">
        <w:rPr>
          <w:lang w:val="en-GB"/>
        </w:rPr>
        <w:t>Kampo</w:t>
      </w:r>
      <w:proofErr w:type="spellEnd"/>
      <w:r w:rsidRPr="00A64648">
        <w:rPr>
          <w:lang w:val="en-GB"/>
        </w:rPr>
        <w:t xml:space="preserve"> medicine, mulberry leaf preparations have been used for the management of elevated blood glucose levels, a practice that has since found substantial experimental validation. Several indigenous communities in the Americas have employed M. rubra preparations for wound healing, gastrointestinal complaints, and as an anthelminthic. The convergent use of mulberry across culturally and geographically distinct medical traditions provides important ethnobotanical evidence for its pharmacological efficacy and furnishes crucial leads for contemporary drug discovery efforts (Rodrigues et al., 2019).</w:t>
      </w:r>
    </w:p>
    <w:p w14:paraId="2336FA2D" w14:textId="77777777" w:rsidR="004E5FAA" w:rsidRPr="00A64648" w:rsidRDefault="00A64648">
      <w:pPr>
        <w:pStyle w:val="Heading1"/>
        <w:rPr>
          <w:lang w:val="en-GB"/>
        </w:rPr>
      </w:pPr>
      <w:r w:rsidRPr="00A64648">
        <w:rPr>
          <w:lang w:val="en-GB"/>
        </w:rPr>
        <w:t>5. Phytochemical Composition of Mulberry</w:t>
      </w:r>
    </w:p>
    <w:p w14:paraId="0F2845ED" w14:textId="77777777" w:rsidR="004E5FAA" w:rsidRPr="00A64648" w:rsidRDefault="00A64648">
      <w:pPr>
        <w:ind w:firstLine="432"/>
        <w:jc w:val="both"/>
        <w:rPr>
          <w:lang w:val="en-GB"/>
        </w:rPr>
      </w:pPr>
      <w:r w:rsidRPr="00A64648">
        <w:rPr>
          <w:lang w:val="en-GB"/>
        </w:rPr>
        <w:t xml:space="preserve">The phytochemical richness of </w:t>
      </w:r>
      <w:proofErr w:type="spellStart"/>
      <w:r w:rsidRPr="00A64648">
        <w:rPr>
          <w:lang w:val="en-GB"/>
        </w:rPr>
        <w:t>Morus</w:t>
      </w:r>
      <w:proofErr w:type="spellEnd"/>
      <w:r w:rsidRPr="00A64648">
        <w:rPr>
          <w:lang w:val="en-GB"/>
        </w:rPr>
        <w:t xml:space="preserve"> spp. is one of the most comprehensively documented among medicinal plants. The secondary metabolite repertoire of </w:t>
      </w:r>
      <w:r w:rsidRPr="00A64648">
        <w:rPr>
          <w:lang w:val="en-GB"/>
        </w:rPr>
        <w:lastRenderedPageBreak/>
        <w:t>mulberry is characterised by exceptional structural diversity, with major compound classes including flavonoids, phenolic acids, alkaloids, stilbenes, polysaccharides, anthocyanins, terpenoids, and volatile aromatic compounds. The quantitative and qualitative distribution of these compounds varies considerably depending on the species, plant part, geographical origin, cultivation conditions, and post-harvest processing (Wen et al., 2019; Hao et al., 2022).</w:t>
      </w:r>
    </w:p>
    <w:p w14:paraId="170F43B5" w14:textId="77777777" w:rsidR="004E5FAA" w:rsidRPr="00A64648" w:rsidRDefault="00A64648">
      <w:pPr>
        <w:pStyle w:val="Heading2"/>
        <w:rPr>
          <w:lang w:val="en-GB"/>
        </w:rPr>
      </w:pPr>
      <w:r w:rsidRPr="00A64648">
        <w:rPr>
          <w:lang w:val="en-GB"/>
        </w:rPr>
        <w:t>5.1 Flavonoids and Phenolic Compounds</w:t>
      </w:r>
    </w:p>
    <w:p w14:paraId="3FA5297B" w14:textId="77777777" w:rsidR="004E5FAA" w:rsidRPr="00A64648" w:rsidRDefault="00A64648">
      <w:pPr>
        <w:ind w:firstLine="432"/>
        <w:jc w:val="both"/>
        <w:rPr>
          <w:lang w:val="en-GB"/>
        </w:rPr>
      </w:pPr>
      <w:r w:rsidRPr="00A64648">
        <w:rPr>
          <w:lang w:val="en-GB"/>
        </w:rPr>
        <w:t xml:space="preserve">Flavonoids constitute the most abundant and pharmacologically versatile class of secondary metabolites in mulberry. The principal flavonoids identified in </w:t>
      </w:r>
      <w:proofErr w:type="spellStart"/>
      <w:r w:rsidRPr="00A64648">
        <w:rPr>
          <w:lang w:val="en-GB"/>
        </w:rPr>
        <w:t>Morus</w:t>
      </w:r>
      <w:proofErr w:type="spellEnd"/>
      <w:r w:rsidRPr="00A64648">
        <w:rPr>
          <w:lang w:val="en-GB"/>
        </w:rPr>
        <w:t xml:space="preserve"> alba include </w:t>
      </w:r>
      <w:proofErr w:type="spellStart"/>
      <w:r w:rsidRPr="00A64648">
        <w:rPr>
          <w:lang w:val="en-GB"/>
        </w:rPr>
        <w:t>rutin</w:t>
      </w:r>
      <w:proofErr w:type="spellEnd"/>
      <w:r w:rsidRPr="00A64648">
        <w:rPr>
          <w:lang w:val="en-GB"/>
        </w:rPr>
        <w:t xml:space="preserve"> (quercetin-3-O-rutinoside), quercetin, kaempferol, apigenin, isorhamnetin, and their respective glycoside conjugates. In the leaves, </w:t>
      </w:r>
      <w:proofErr w:type="spellStart"/>
      <w:r w:rsidRPr="00A64648">
        <w:rPr>
          <w:lang w:val="en-GB"/>
        </w:rPr>
        <w:t>rutin</w:t>
      </w:r>
      <w:proofErr w:type="spellEnd"/>
      <w:r w:rsidRPr="00A64648">
        <w:rPr>
          <w:lang w:val="en-GB"/>
        </w:rPr>
        <w:t xml:space="preserve"> and quercetin are among the most prevalent, whilst the fruits are particularly rich in anthocyanidins and their glycosides. The root bark contains structurally distinctive prenylated flavonoids including </w:t>
      </w:r>
      <w:proofErr w:type="spellStart"/>
      <w:r w:rsidRPr="00A64648">
        <w:rPr>
          <w:lang w:val="en-GB"/>
        </w:rPr>
        <w:t>morusin</w:t>
      </w:r>
      <w:proofErr w:type="spellEnd"/>
      <w:r w:rsidRPr="00A64648">
        <w:rPr>
          <w:lang w:val="en-GB"/>
        </w:rPr>
        <w:t xml:space="preserve">, </w:t>
      </w:r>
      <w:proofErr w:type="spellStart"/>
      <w:r w:rsidRPr="00A64648">
        <w:rPr>
          <w:lang w:val="en-GB"/>
        </w:rPr>
        <w:t>cyclomorusin</w:t>
      </w:r>
      <w:proofErr w:type="spellEnd"/>
      <w:r w:rsidRPr="00A64648">
        <w:rPr>
          <w:lang w:val="en-GB"/>
        </w:rPr>
        <w:t xml:space="preserve">, </w:t>
      </w:r>
      <w:proofErr w:type="spellStart"/>
      <w:r w:rsidRPr="00A64648">
        <w:rPr>
          <w:lang w:val="en-GB"/>
        </w:rPr>
        <w:t>sanggenol</w:t>
      </w:r>
      <w:proofErr w:type="spellEnd"/>
      <w:r w:rsidRPr="00A64648">
        <w:rPr>
          <w:lang w:val="en-GB"/>
        </w:rPr>
        <w:t xml:space="preserve">, and the Diels-Alder adducts kuwanon G and kuwanon H, which are characteristic of the </w:t>
      </w:r>
      <w:proofErr w:type="spellStart"/>
      <w:r w:rsidRPr="00A64648">
        <w:rPr>
          <w:lang w:val="en-GB"/>
        </w:rPr>
        <w:t>Moraceae</w:t>
      </w:r>
      <w:proofErr w:type="spellEnd"/>
      <w:r w:rsidRPr="00A64648">
        <w:rPr>
          <w:lang w:val="en-GB"/>
        </w:rPr>
        <w:t xml:space="preserve"> family and are largely responsible for the pronounced anticancer and antimicrobial activities of root bark preparations (Hao et al., 2022; Hu et al., 2024).</w:t>
      </w:r>
    </w:p>
    <w:p w14:paraId="3E352C66" w14:textId="77777777" w:rsidR="004E5FAA" w:rsidRPr="00A64648" w:rsidRDefault="00A64648">
      <w:pPr>
        <w:ind w:firstLine="432"/>
        <w:jc w:val="both"/>
        <w:rPr>
          <w:lang w:val="en-GB"/>
        </w:rPr>
      </w:pPr>
      <w:r w:rsidRPr="00A64648">
        <w:rPr>
          <w:lang w:val="en-GB"/>
        </w:rPr>
        <w:t xml:space="preserve">Phenolic acid constituents include chlorogenic acid, neochlorogenic acid, caffeic acid, protocatechuic acid, gallic acid, and ferulic acid. These compounds are particularly concentrated in the leaves and fruits and contribute substantially to the antioxidant, anti-inflammatory, and neuroprotective activities of mulberry extracts. Hsu et al. (2022) demonstrated that bioactive components from M. alba leaves simultaneously exhibit antioxidant, anti-α-glucosidase, </w:t>
      </w:r>
      <w:proofErr w:type="spellStart"/>
      <w:r w:rsidRPr="00A64648">
        <w:rPr>
          <w:lang w:val="en-GB"/>
        </w:rPr>
        <w:t>antityrosinase</w:t>
      </w:r>
      <w:proofErr w:type="spellEnd"/>
      <w:r w:rsidRPr="00A64648">
        <w:rPr>
          <w:lang w:val="en-GB"/>
        </w:rPr>
        <w:t>, and anti-inflammatory activities, suggesting that phenolic compounds function synergistically within the plant matrix to produce pleiotropic health effects. The flavonoid biosynthetic pathway in mulberry involves the key enzymes phenylalanine ammonia-lyase, chalcone synthase, and flavonoid hydroxylases, which utilise phenylalanine as the primary precursor (Chen et al., 2021).</w:t>
      </w:r>
    </w:p>
    <w:p w14:paraId="18F5214B" w14:textId="77777777" w:rsidR="004E5FAA" w:rsidRPr="00A64648" w:rsidRDefault="00A64648">
      <w:pPr>
        <w:pStyle w:val="Heading2"/>
        <w:rPr>
          <w:lang w:val="en-GB"/>
        </w:rPr>
      </w:pPr>
      <w:r w:rsidRPr="00A64648">
        <w:rPr>
          <w:lang w:val="en-GB"/>
        </w:rPr>
        <w:t xml:space="preserve">5.2 Alkaloids: 1-Deoxynojirimycin and Related </w:t>
      </w:r>
      <w:proofErr w:type="spellStart"/>
      <w:r w:rsidRPr="00A64648">
        <w:rPr>
          <w:lang w:val="en-GB"/>
        </w:rPr>
        <w:t>Iminosugars</w:t>
      </w:r>
      <w:proofErr w:type="spellEnd"/>
    </w:p>
    <w:p w14:paraId="0F0B04BA" w14:textId="77777777" w:rsidR="004E5FAA" w:rsidRPr="00A64648" w:rsidRDefault="00A64648">
      <w:pPr>
        <w:ind w:firstLine="432"/>
        <w:jc w:val="both"/>
        <w:rPr>
          <w:lang w:val="en-GB"/>
        </w:rPr>
      </w:pPr>
      <w:r w:rsidRPr="00A64648">
        <w:rPr>
          <w:lang w:val="en-GB"/>
        </w:rPr>
        <w:t xml:space="preserve">The alkaloid fraction of mulberry is dominated by the </w:t>
      </w:r>
      <w:proofErr w:type="spellStart"/>
      <w:r w:rsidRPr="00A64648">
        <w:rPr>
          <w:lang w:val="en-GB"/>
        </w:rPr>
        <w:t>iminosugar</w:t>
      </w:r>
      <w:proofErr w:type="spellEnd"/>
      <w:r w:rsidRPr="00A64648">
        <w:rPr>
          <w:lang w:val="en-GB"/>
        </w:rPr>
        <w:t xml:space="preserve"> family, with 1-deoxynojirimycin (DNJ) being the most pharmacologically significant and extensively studied member. DNJ is a nitrogen-containing monosaccharide analogue that structurally mimics glucose and serves as a potent competitive inhibitor of intestinal α-glucosidase. It is found predominantly in the leaves and root bark of M. alba, where it accounts for the largest proportion of the total alkaloid content alongside d-fagomine and 2-O-α-D-</w:t>
      </w:r>
      <w:proofErr w:type="spellStart"/>
      <w:r w:rsidRPr="00A64648">
        <w:rPr>
          <w:lang w:val="en-GB"/>
        </w:rPr>
        <w:t>galactopyranosyl</w:t>
      </w:r>
      <w:proofErr w:type="spellEnd"/>
      <w:r w:rsidRPr="00A64648">
        <w:rPr>
          <w:lang w:val="en-GB"/>
        </w:rPr>
        <w:t>-DNJ (GAL-DNJ) (</w:t>
      </w:r>
      <w:proofErr w:type="spellStart"/>
      <w:r w:rsidRPr="00A64648">
        <w:rPr>
          <w:lang w:val="en-GB"/>
        </w:rPr>
        <w:t>Parida</w:t>
      </w:r>
      <w:proofErr w:type="spellEnd"/>
      <w:r w:rsidRPr="00A64648">
        <w:rPr>
          <w:lang w:val="en-GB"/>
        </w:rPr>
        <w:t xml:space="preserve"> et al., 2023). The DNJ content of mulberry leaves varies considerably depending on cultivar and environmental factors, with values measured by HPLC spanning a wide range across different cultivars (</w:t>
      </w:r>
      <w:proofErr w:type="spellStart"/>
      <w:r w:rsidRPr="00A64648">
        <w:rPr>
          <w:lang w:val="en-GB"/>
        </w:rPr>
        <w:t>Ramappa</w:t>
      </w:r>
      <w:proofErr w:type="spellEnd"/>
      <w:r w:rsidRPr="00A64648">
        <w:rPr>
          <w:lang w:val="en-GB"/>
        </w:rPr>
        <w:t xml:space="preserve"> et al., 2020).</w:t>
      </w:r>
    </w:p>
    <w:p w14:paraId="34C11C2D" w14:textId="77777777" w:rsidR="004E5FAA" w:rsidRPr="00A64648" w:rsidRDefault="00A64648">
      <w:pPr>
        <w:ind w:firstLine="432"/>
        <w:jc w:val="both"/>
        <w:rPr>
          <w:lang w:val="en-GB"/>
        </w:rPr>
      </w:pPr>
      <w:r w:rsidRPr="00A64648">
        <w:rPr>
          <w:lang w:val="en-GB"/>
        </w:rPr>
        <w:lastRenderedPageBreak/>
        <w:t>Beyond DNJ, the alkaloid profile of mulberry leaves includes fagomine, 1,4-dideoxy-1,4-imino-D-arabinitol, and related polyhydroxylated alkaloids, all of which contribute to the hypoglycaemic and immunomodulatory activities of leaf preparations. Importantly, DNJ has been reported to inhibit not only α-glucosidase but also sucrase in a competitive and reversible manner, occupying the active site of the enzyme through hydrophobic interaction (</w:t>
      </w:r>
      <w:proofErr w:type="spellStart"/>
      <w:r w:rsidRPr="00A64648">
        <w:rPr>
          <w:lang w:val="en-GB"/>
        </w:rPr>
        <w:t>Roghan</w:t>
      </w:r>
      <w:proofErr w:type="spellEnd"/>
      <w:r w:rsidRPr="00A64648">
        <w:rPr>
          <w:lang w:val="en-GB"/>
        </w:rPr>
        <w:t xml:space="preserve"> et al., 2025). This mechanistic advantage, combined with evidence of additional benefits including anti-obesity, antiviral, anti-inflammatory, and cardioprotective properties, has established DNJ as a paradigm compound bridging traditional medicine and modern pharmaceutical research (</w:t>
      </w:r>
      <w:proofErr w:type="spellStart"/>
      <w:r w:rsidRPr="00A64648">
        <w:rPr>
          <w:lang w:val="en-GB"/>
        </w:rPr>
        <w:t>Ramappa</w:t>
      </w:r>
      <w:proofErr w:type="spellEnd"/>
      <w:r w:rsidRPr="00A64648">
        <w:rPr>
          <w:lang w:val="en-GB"/>
        </w:rPr>
        <w:t xml:space="preserve"> et al., 2020).</w:t>
      </w:r>
    </w:p>
    <w:p w14:paraId="6F62C48F" w14:textId="77777777" w:rsidR="004E5FAA" w:rsidRPr="00A64648" w:rsidRDefault="00A64648">
      <w:pPr>
        <w:pStyle w:val="Heading2"/>
        <w:rPr>
          <w:lang w:val="en-GB"/>
        </w:rPr>
      </w:pPr>
      <w:r w:rsidRPr="00A64648">
        <w:rPr>
          <w:lang w:val="en-GB"/>
        </w:rPr>
        <w:t xml:space="preserve">5.3 Stilbenes: </w:t>
      </w:r>
      <w:proofErr w:type="spellStart"/>
      <w:r w:rsidRPr="00A64648">
        <w:rPr>
          <w:lang w:val="en-GB"/>
        </w:rPr>
        <w:t>Oxyresveratrol</w:t>
      </w:r>
      <w:proofErr w:type="spellEnd"/>
      <w:r w:rsidRPr="00A64648">
        <w:rPr>
          <w:lang w:val="en-GB"/>
        </w:rPr>
        <w:t xml:space="preserve"> and Resveratrol</w:t>
      </w:r>
    </w:p>
    <w:p w14:paraId="3B1B9677" w14:textId="77777777" w:rsidR="004E5FAA" w:rsidRPr="00A64648" w:rsidRDefault="00A64648">
      <w:pPr>
        <w:ind w:firstLine="432"/>
        <w:jc w:val="both"/>
        <w:rPr>
          <w:lang w:val="en-GB"/>
        </w:rPr>
      </w:pPr>
      <w:r w:rsidRPr="00A64648">
        <w:rPr>
          <w:lang w:val="en-GB"/>
        </w:rPr>
        <w:t xml:space="preserve">The stilbene class in mulberry is represented principally by </w:t>
      </w:r>
      <w:proofErr w:type="spellStart"/>
      <w:r w:rsidRPr="00A64648">
        <w:rPr>
          <w:lang w:val="en-GB"/>
        </w:rPr>
        <w:t>oxyresveratrol</w:t>
      </w:r>
      <w:proofErr w:type="spellEnd"/>
      <w:r w:rsidRPr="00A64648">
        <w:rPr>
          <w:lang w:val="en-GB"/>
        </w:rPr>
        <w:t xml:space="preserve"> (trans-2,3',4,5'-tetrahydroxystilbene) and resveratrol (trans-3,5,4'-trihydroxystilbene), along with their glycoside derivatives </w:t>
      </w:r>
      <w:proofErr w:type="spellStart"/>
      <w:r w:rsidRPr="00A64648">
        <w:rPr>
          <w:lang w:val="en-GB"/>
        </w:rPr>
        <w:t>mulberroside</w:t>
      </w:r>
      <w:proofErr w:type="spellEnd"/>
      <w:r w:rsidRPr="00A64648">
        <w:rPr>
          <w:lang w:val="en-GB"/>
        </w:rPr>
        <w:t xml:space="preserve"> A and piceid. </w:t>
      </w:r>
      <w:proofErr w:type="spellStart"/>
      <w:r w:rsidRPr="00A64648">
        <w:rPr>
          <w:lang w:val="en-GB"/>
        </w:rPr>
        <w:t>Oxyresveratrol</w:t>
      </w:r>
      <w:proofErr w:type="spellEnd"/>
      <w:r w:rsidRPr="00A64648">
        <w:rPr>
          <w:lang w:val="en-GB"/>
        </w:rPr>
        <w:t xml:space="preserve"> is synthesised via the phenylpropanoid pathway from phenylalanine and is present in particularly high concentrations in the root bark and stem wood of M. alba. The compound possesses a distinctive resorcinol structural motif in both its A and B aromatic rings, which enables it to chelate copper ions at the active site of tyrosinase and to inhibit the enzyme's catalytic conversion of L-tyrosine to dopaquinone — the rate-limiting step in melanin biosynthesis (Wang et al., 2024). </w:t>
      </w:r>
      <w:proofErr w:type="spellStart"/>
      <w:r w:rsidRPr="00A64648">
        <w:rPr>
          <w:lang w:val="en-GB"/>
        </w:rPr>
        <w:t>Oxyresveratrol</w:t>
      </w:r>
      <w:proofErr w:type="spellEnd"/>
      <w:r w:rsidRPr="00A64648">
        <w:rPr>
          <w:lang w:val="en-GB"/>
        </w:rPr>
        <w:t xml:space="preserve"> has been demonstrated to inhibit mushroom tyrosinase with an IC₅₀ of approximately 1.2 </w:t>
      </w:r>
      <w:proofErr w:type="spellStart"/>
      <w:r w:rsidRPr="00A64648">
        <w:rPr>
          <w:lang w:val="en-GB"/>
        </w:rPr>
        <w:t>μM</w:t>
      </w:r>
      <w:proofErr w:type="spellEnd"/>
      <w:r w:rsidRPr="00A64648">
        <w:rPr>
          <w:lang w:val="en-GB"/>
        </w:rPr>
        <w:t>, representing approximately 32-fold greater potency than kojic acid, the benchmark depigmenting agent (Wen et al., 2019).</w:t>
      </w:r>
    </w:p>
    <w:p w14:paraId="2C681817" w14:textId="77777777" w:rsidR="004E5FAA" w:rsidRPr="00A64648" w:rsidRDefault="00A64648">
      <w:pPr>
        <w:ind w:firstLine="432"/>
        <w:jc w:val="both"/>
        <w:rPr>
          <w:lang w:val="en-GB"/>
        </w:rPr>
      </w:pPr>
      <w:r w:rsidRPr="00A64648">
        <w:rPr>
          <w:lang w:val="en-GB"/>
        </w:rPr>
        <w:t xml:space="preserve">Resveratrol, the more widely celebrated stilbene derived from grapes and other sources, is also present in mulberry and contributes to the plant's antioxidant, anti-inflammatory, and cardioprotective activities. Both stilbenes are produced through the same phenylpropanoid biosynthetic route, with </w:t>
      </w:r>
      <w:proofErr w:type="spellStart"/>
      <w:r w:rsidRPr="00A64648">
        <w:rPr>
          <w:lang w:val="en-GB"/>
        </w:rPr>
        <w:t>oxyresveratrol</w:t>
      </w:r>
      <w:proofErr w:type="spellEnd"/>
      <w:r w:rsidRPr="00A64648">
        <w:rPr>
          <w:lang w:val="en-GB"/>
        </w:rPr>
        <w:t xml:space="preserve"> arising from additional hydroxylation steps. The structural distinction conferred by the extra hydroxyl group in </w:t>
      </w:r>
      <w:proofErr w:type="spellStart"/>
      <w:r w:rsidRPr="00A64648">
        <w:rPr>
          <w:lang w:val="en-GB"/>
        </w:rPr>
        <w:t>oxyresveratrol</w:t>
      </w:r>
      <w:proofErr w:type="spellEnd"/>
      <w:r w:rsidRPr="00A64648">
        <w:rPr>
          <w:lang w:val="en-GB"/>
        </w:rPr>
        <w:t xml:space="preserve"> is believed to account for its significantly superior tyrosinase inhibitory activity compared to resveratrol (Wang et al., 2024). Elicitation strategies using methyl </w:t>
      </w:r>
      <w:proofErr w:type="spellStart"/>
      <w:r w:rsidRPr="00A64648">
        <w:rPr>
          <w:lang w:val="en-GB"/>
        </w:rPr>
        <w:t>jasmonate</w:t>
      </w:r>
      <w:proofErr w:type="spellEnd"/>
      <w:r w:rsidRPr="00A64648">
        <w:rPr>
          <w:lang w:val="en-GB"/>
        </w:rPr>
        <w:t xml:space="preserve"> and cyclodextrins have been explored to enhance stilbene accumulation in in vitro mulberry cultures, with promising increases in </w:t>
      </w:r>
      <w:proofErr w:type="spellStart"/>
      <w:r w:rsidRPr="00A64648">
        <w:rPr>
          <w:lang w:val="en-GB"/>
        </w:rPr>
        <w:t>oxyresveratrol</w:t>
      </w:r>
      <w:proofErr w:type="spellEnd"/>
      <w:r w:rsidRPr="00A64648">
        <w:rPr>
          <w:lang w:val="en-GB"/>
        </w:rPr>
        <w:t xml:space="preserve"> concentrations achievable under optimised conditions (Wen et al., 2019).</w:t>
      </w:r>
    </w:p>
    <w:p w14:paraId="3071016C" w14:textId="77777777" w:rsidR="004E5FAA" w:rsidRPr="00A64648" w:rsidRDefault="00A64648">
      <w:pPr>
        <w:pStyle w:val="Heading2"/>
        <w:rPr>
          <w:lang w:val="en-GB"/>
        </w:rPr>
      </w:pPr>
      <w:r w:rsidRPr="00A64648">
        <w:rPr>
          <w:lang w:val="en-GB"/>
        </w:rPr>
        <w:t>5.4 Polysaccharides</w:t>
      </w:r>
    </w:p>
    <w:p w14:paraId="7A50689E" w14:textId="77777777" w:rsidR="004E5FAA" w:rsidRPr="00A64648" w:rsidRDefault="00A64648">
      <w:pPr>
        <w:ind w:firstLine="432"/>
        <w:jc w:val="both"/>
        <w:rPr>
          <w:lang w:val="en-GB"/>
        </w:rPr>
      </w:pPr>
      <w:r w:rsidRPr="00A64648">
        <w:rPr>
          <w:lang w:val="en-GB"/>
        </w:rPr>
        <w:t xml:space="preserve">Polysaccharides represent a structurally heterogeneous but functionally important component of mulberry leaves and fruits. Mulberry leaf polysaccharides (MLP) are primarily composed of glucose, galactose, arabinose, rhamnose, and xylose residues, interconnected through diverse </w:t>
      </w:r>
      <w:proofErr w:type="spellStart"/>
      <w:r w:rsidRPr="00A64648">
        <w:rPr>
          <w:lang w:val="en-GB"/>
        </w:rPr>
        <w:t>glycosidic</w:t>
      </w:r>
      <w:proofErr w:type="spellEnd"/>
      <w:r w:rsidRPr="00A64648">
        <w:rPr>
          <w:lang w:val="en-GB"/>
        </w:rPr>
        <w:t xml:space="preserve"> linkages that confer varied biological activities. The molecular weights of isolated mulberry polysaccharide fractions range broadly, from approximately 10 </w:t>
      </w:r>
      <w:proofErr w:type="spellStart"/>
      <w:r w:rsidRPr="00A64648">
        <w:rPr>
          <w:lang w:val="en-GB"/>
        </w:rPr>
        <w:t>kDa</w:t>
      </w:r>
      <w:proofErr w:type="spellEnd"/>
      <w:r w:rsidRPr="00A64648">
        <w:rPr>
          <w:lang w:val="en-GB"/>
        </w:rPr>
        <w:t xml:space="preserve"> to several hundred </w:t>
      </w:r>
      <w:proofErr w:type="spellStart"/>
      <w:r w:rsidRPr="00A64648">
        <w:rPr>
          <w:lang w:val="en-GB"/>
        </w:rPr>
        <w:t>kDa</w:t>
      </w:r>
      <w:proofErr w:type="spellEnd"/>
      <w:r w:rsidRPr="00A64648">
        <w:rPr>
          <w:lang w:val="en-GB"/>
        </w:rPr>
        <w:t xml:space="preserve">, with structural complexity reflecting both linear and branched configurations (He et al., 2018). </w:t>
      </w:r>
      <w:r w:rsidRPr="00A64648">
        <w:rPr>
          <w:lang w:val="en-GB"/>
        </w:rPr>
        <w:lastRenderedPageBreak/>
        <w:t xml:space="preserve">Mulberry fruit polysaccharides have also been characterised from multiple species, with fractions isolated from M. alba and M. </w:t>
      </w:r>
      <w:proofErr w:type="spellStart"/>
      <w:r w:rsidRPr="00A64648">
        <w:rPr>
          <w:lang w:val="en-GB"/>
        </w:rPr>
        <w:t>nigra</w:t>
      </w:r>
      <w:proofErr w:type="spellEnd"/>
      <w:r w:rsidRPr="00A64648">
        <w:rPr>
          <w:lang w:val="en-GB"/>
        </w:rPr>
        <w:t xml:space="preserve"> fruits demonstrating diverse monosaccharide compositions and a range of molecular weights that determine their respective bioactivities (Hao et al., 2022).</w:t>
      </w:r>
    </w:p>
    <w:p w14:paraId="79CA742D" w14:textId="77777777" w:rsidR="004E5FAA" w:rsidRPr="00A64648" w:rsidRDefault="00A64648">
      <w:pPr>
        <w:ind w:firstLine="432"/>
        <w:jc w:val="both"/>
        <w:rPr>
          <w:lang w:val="en-GB"/>
        </w:rPr>
      </w:pPr>
      <w:r w:rsidRPr="00A64648">
        <w:rPr>
          <w:lang w:val="en-GB"/>
        </w:rPr>
        <w:t xml:space="preserve">The biological activities of mulberry polysaccharides are diverse and include antioxidant, antidiabetic, hepatoprotective, immunomodulatory, prebiotic, and </w:t>
      </w:r>
      <w:proofErr w:type="spellStart"/>
      <w:r w:rsidRPr="00A64648">
        <w:rPr>
          <w:lang w:val="en-GB"/>
        </w:rPr>
        <w:t>antitumour</w:t>
      </w:r>
      <w:proofErr w:type="spellEnd"/>
      <w:r w:rsidRPr="00A64648">
        <w:rPr>
          <w:lang w:val="en-GB"/>
        </w:rPr>
        <w:t xml:space="preserve"> properties. These activities are mediated through multiple molecular pathways, including the activation of the PI3K/AKT/Nrf2 antioxidant signalling pathway, modulation of gut microbiota composition, and stimulation of macrophage and lymphocyte activity (He et al., 2018). The prebiotic properties of mulberry polysaccharides have attracted particular interest, as they have been shown to selectively promote the growth of beneficial gut bacteria such as Bifidobacterium and Lactobacillus whilst suppressing pathogenic bacteria, thereby contributing indirectly to metabolic, immune, and gastrointestinal health.</w:t>
      </w:r>
    </w:p>
    <w:p w14:paraId="66D7C913" w14:textId="77777777" w:rsidR="004E5FAA" w:rsidRPr="00A64648" w:rsidRDefault="00A64648">
      <w:pPr>
        <w:pStyle w:val="Heading2"/>
        <w:rPr>
          <w:lang w:val="en-GB"/>
        </w:rPr>
      </w:pPr>
      <w:r w:rsidRPr="00A64648">
        <w:rPr>
          <w:lang w:val="en-GB"/>
        </w:rPr>
        <w:t>5.5 Anthocyanins</w:t>
      </w:r>
    </w:p>
    <w:p w14:paraId="7F49B8F0" w14:textId="77777777" w:rsidR="004E5FAA" w:rsidRPr="00A64648" w:rsidRDefault="00A64648">
      <w:pPr>
        <w:ind w:firstLine="432"/>
        <w:jc w:val="both"/>
        <w:rPr>
          <w:lang w:val="en-GB"/>
        </w:rPr>
      </w:pPr>
      <w:r w:rsidRPr="00A64648">
        <w:rPr>
          <w:lang w:val="en-GB"/>
        </w:rPr>
        <w:t xml:space="preserve">Anthocyanins are the principal pigments responsible for the deep purple-black colouration of ripe M. </w:t>
      </w:r>
      <w:proofErr w:type="spellStart"/>
      <w:r w:rsidRPr="00A64648">
        <w:rPr>
          <w:lang w:val="en-GB"/>
        </w:rPr>
        <w:t>nigra</w:t>
      </w:r>
      <w:proofErr w:type="spellEnd"/>
      <w:r w:rsidRPr="00A64648">
        <w:rPr>
          <w:lang w:val="en-GB"/>
        </w:rPr>
        <w:t xml:space="preserve"> and M. rubra fruits, and are present in lesser amounts in M. alba. Cyanidin-3-O-glucoside is the dominant anthocyanin in black mulberry fruit, accompanied by smaller quantities of cyanidin-3-O-rutinoside, pelargonidin-3-O-glucoside, and other cyanidins. The anthocyanin content of mulberry fruits varies considerably depending on species, cultivar, ripening stage, and environmental conditions, with black mulberry generally exhibiting higher concentrations than white or red varieties (</w:t>
      </w:r>
      <w:proofErr w:type="spellStart"/>
      <w:r w:rsidRPr="00A64648">
        <w:rPr>
          <w:lang w:val="en-GB"/>
        </w:rPr>
        <w:t>Ferraz</w:t>
      </w:r>
      <w:proofErr w:type="spellEnd"/>
      <w:r w:rsidRPr="00A64648">
        <w:rPr>
          <w:lang w:val="en-GB"/>
        </w:rPr>
        <w:t xml:space="preserve"> et al., 2024; Yuan &amp; Zhao, 2017).</w:t>
      </w:r>
    </w:p>
    <w:p w14:paraId="4A48C3A0" w14:textId="77777777" w:rsidR="004E5FAA" w:rsidRPr="00A64648" w:rsidRDefault="00A64648">
      <w:pPr>
        <w:ind w:firstLine="432"/>
        <w:jc w:val="both"/>
        <w:rPr>
          <w:lang w:val="en-GB"/>
        </w:rPr>
      </w:pPr>
      <w:r w:rsidRPr="00A64648">
        <w:rPr>
          <w:lang w:val="en-GB"/>
        </w:rPr>
        <w:t xml:space="preserve">Anthocyanins contribute substantially to the antioxidant activity of mulberry fruits, scavenging reactive oxygen species (ROS) and inhibiting lipid peroxidation through their hydroxyl-rich aromatic structures. Beyond antioxidant effects, they possess anti-inflammatory, </w:t>
      </w:r>
      <w:proofErr w:type="spellStart"/>
      <w:r w:rsidRPr="00A64648">
        <w:rPr>
          <w:lang w:val="en-GB"/>
        </w:rPr>
        <w:t>antiatherosclerotic</w:t>
      </w:r>
      <w:proofErr w:type="spellEnd"/>
      <w:r w:rsidRPr="00A64648">
        <w:rPr>
          <w:lang w:val="en-GB"/>
        </w:rPr>
        <w:t xml:space="preserve">, antidiabetic, and hepatoprotective activities. The stability of mulberry anthocyanins is influenced by pH, temperature, light exposure, and the presence of </w:t>
      </w:r>
      <w:proofErr w:type="spellStart"/>
      <w:r w:rsidRPr="00A64648">
        <w:rPr>
          <w:lang w:val="en-GB"/>
        </w:rPr>
        <w:t>copigments</w:t>
      </w:r>
      <w:proofErr w:type="spellEnd"/>
      <w:r w:rsidRPr="00A64648">
        <w:rPr>
          <w:lang w:val="en-GB"/>
        </w:rPr>
        <w:t xml:space="preserve"> or metal ions, a consideration of considerable importance for the formulation of mulberry-derived functional food and pharmaceutical products (Yuan &amp; Zhao, 2017).</w:t>
      </w:r>
    </w:p>
    <w:p w14:paraId="6485B574" w14:textId="77777777" w:rsidR="004E5FAA" w:rsidRPr="00A64648" w:rsidRDefault="00A64648">
      <w:pPr>
        <w:pStyle w:val="Heading2"/>
        <w:rPr>
          <w:lang w:val="en-GB"/>
        </w:rPr>
      </w:pPr>
      <w:r w:rsidRPr="00A64648">
        <w:rPr>
          <w:lang w:val="en-GB"/>
        </w:rPr>
        <w:t>5.6 Terpenoids and Other Bioactive Constituents</w:t>
      </w:r>
    </w:p>
    <w:p w14:paraId="788F054B" w14:textId="77777777" w:rsidR="004E5FAA" w:rsidRPr="00A64648" w:rsidRDefault="00A64648">
      <w:pPr>
        <w:ind w:firstLine="432"/>
        <w:jc w:val="both"/>
        <w:rPr>
          <w:lang w:val="en-GB"/>
        </w:rPr>
      </w:pPr>
      <w:r w:rsidRPr="00A64648">
        <w:rPr>
          <w:lang w:val="en-GB"/>
        </w:rPr>
        <w:t xml:space="preserve">The terpenoid fraction of mulberry includes </w:t>
      </w:r>
      <w:proofErr w:type="spellStart"/>
      <w:r w:rsidRPr="00A64648">
        <w:rPr>
          <w:lang w:val="en-GB"/>
        </w:rPr>
        <w:t>betulinic</w:t>
      </w:r>
      <w:proofErr w:type="spellEnd"/>
      <w:r w:rsidRPr="00A64648">
        <w:rPr>
          <w:lang w:val="en-GB"/>
        </w:rPr>
        <w:t xml:space="preserve"> acid, </w:t>
      </w:r>
      <w:proofErr w:type="spellStart"/>
      <w:r w:rsidRPr="00A64648">
        <w:rPr>
          <w:lang w:val="en-GB"/>
        </w:rPr>
        <w:t>ursolic</w:t>
      </w:r>
      <w:proofErr w:type="spellEnd"/>
      <w:r w:rsidRPr="00A64648">
        <w:rPr>
          <w:lang w:val="en-GB"/>
        </w:rPr>
        <w:t xml:space="preserve"> acid, β-sitosterol, and </w:t>
      </w:r>
      <w:proofErr w:type="spellStart"/>
      <w:r w:rsidRPr="00A64648">
        <w:rPr>
          <w:lang w:val="en-GB"/>
        </w:rPr>
        <w:t>germanicol</w:t>
      </w:r>
      <w:proofErr w:type="spellEnd"/>
      <w:r w:rsidRPr="00A64648">
        <w:rPr>
          <w:lang w:val="en-GB"/>
        </w:rPr>
        <w:t xml:space="preserve">, principally concentrated in the leaves and root bark. </w:t>
      </w:r>
      <w:proofErr w:type="spellStart"/>
      <w:r w:rsidRPr="00A64648">
        <w:rPr>
          <w:lang w:val="en-GB"/>
        </w:rPr>
        <w:t>Betulinic</w:t>
      </w:r>
      <w:proofErr w:type="spellEnd"/>
      <w:r w:rsidRPr="00A64648">
        <w:rPr>
          <w:lang w:val="en-GB"/>
        </w:rPr>
        <w:t xml:space="preserve"> acid, a pentacyclic triterpene, has been documented in M. </w:t>
      </w:r>
      <w:proofErr w:type="spellStart"/>
      <w:r w:rsidRPr="00A64648">
        <w:rPr>
          <w:lang w:val="en-GB"/>
        </w:rPr>
        <w:t>nigra</w:t>
      </w:r>
      <w:proofErr w:type="spellEnd"/>
      <w:r w:rsidRPr="00A64648">
        <w:rPr>
          <w:lang w:val="en-GB"/>
        </w:rPr>
        <w:t xml:space="preserve"> pulp and leaves and is implicated in anti-inflammatory effects and the inhibition of β-glucuronidase, which may reduce side effects associated with chemotherapy (</w:t>
      </w:r>
      <w:proofErr w:type="spellStart"/>
      <w:r w:rsidRPr="00A64648">
        <w:rPr>
          <w:lang w:val="en-GB"/>
        </w:rPr>
        <w:t>Ferraz</w:t>
      </w:r>
      <w:proofErr w:type="spellEnd"/>
      <w:r w:rsidRPr="00A64648">
        <w:rPr>
          <w:lang w:val="en-GB"/>
        </w:rPr>
        <w:t xml:space="preserve"> et al., 2024). The benzofurans represent another structurally distinctive class in mulberry, with moracin D, moracin M, moracin N, moracin O, and moracin P among the identified members. Moracin O and P from M. alba have been shown to exert anti-</w:t>
      </w:r>
      <w:r w:rsidRPr="00A64648">
        <w:rPr>
          <w:lang w:val="en-GB"/>
        </w:rPr>
        <w:lastRenderedPageBreak/>
        <w:t>inflammatory effects through targeting the NF-</w:t>
      </w:r>
      <w:proofErr w:type="spellStart"/>
      <w:r w:rsidRPr="00A64648">
        <w:rPr>
          <w:lang w:val="en-GB"/>
        </w:rPr>
        <w:t>κB</w:t>
      </w:r>
      <w:proofErr w:type="spellEnd"/>
      <w:r w:rsidRPr="00A64648">
        <w:rPr>
          <w:lang w:val="en-GB"/>
        </w:rPr>
        <w:t xml:space="preserve"> pathway. Mulberry leaves also contain volatile compounds including linalool, phytol, and various aromatic esters that contribute to the sensory properties of mulberry tea and pharmaceutical formulations. In addition, the fruit and leaves contain vitamins C and E, B-group vitamins, and an array of mineral elements including calcium, iron, zinc, copper, selenium, and magnesium, endowing mulberry with a complementary nutritional dimension to its pharmacological profile (Chen et al., 2021).</w:t>
      </w:r>
    </w:p>
    <w:p w14:paraId="21CB0C81" w14:textId="77777777" w:rsidR="004E5FAA" w:rsidRPr="00A64648" w:rsidRDefault="00A64648">
      <w:pPr>
        <w:pStyle w:val="Heading1"/>
        <w:rPr>
          <w:lang w:val="en-GB"/>
        </w:rPr>
      </w:pPr>
      <w:r w:rsidRPr="00A64648">
        <w:rPr>
          <w:lang w:val="en-GB"/>
        </w:rPr>
        <w:t>6. Pharmacological Activities</w:t>
      </w:r>
    </w:p>
    <w:p w14:paraId="05AB66E4" w14:textId="77777777" w:rsidR="004E5FAA" w:rsidRPr="00A64648" w:rsidRDefault="00A64648">
      <w:pPr>
        <w:ind w:firstLine="432"/>
        <w:jc w:val="both"/>
        <w:rPr>
          <w:lang w:val="en-GB"/>
        </w:rPr>
      </w:pPr>
      <w:r w:rsidRPr="00A64648">
        <w:rPr>
          <w:lang w:val="en-GB"/>
        </w:rPr>
        <w:t xml:space="preserve">The multifaceted pharmacological activities of </w:t>
      </w:r>
      <w:proofErr w:type="spellStart"/>
      <w:r w:rsidRPr="00A64648">
        <w:rPr>
          <w:lang w:val="en-GB"/>
        </w:rPr>
        <w:t>Morus</w:t>
      </w:r>
      <w:proofErr w:type="spellEnd"/>
      <w:r w:rsidRPr="00A64648">
        <w:rPr>
          <w:lang w:val="en-GB"/>
        </w:rPr>
        <w:t xml:space="preserve"> spp. have been documented through a vast and growing body of in vitro, in vivo, and clinical studies. The following subsections critically examine each major therapeutic domain, with emphasis on the molecular mechanisms of action, the key phytochemicals responsible, and the strength of the available experimental and clinical evidence.</w:t>
      </w:r>
    </w:p>
    <w:p w14:paraId="1B96EAE2" w14:textId="77777777" w:rsidR="004E5FAA" w:rsidRPr="00A64648" w:rsidRDefault="00A64648">
      <w:pPr>
        <w:pStyle w:val="Heading2"/>
        <w:rPr>
          <w:lang w:val="en-GB"/>
        </w:rPr>
      </w:pPr>
      <w:r w:rsidRPr="00A64648">
        <w:rPr>
          <w:lang w:val="en-GB"/>
        </w:rPr>
        <w:t>6.1 Antidiabetic Activity</w:t>
      </w:r>
    </w:p>
    <w:p w14:paraId="07BDA078" w14:textId="77777777" w:rsidR="004E5FAA" w:rsidRPr="00A64648" w:rsidRDefault="00A64648">
      <w:pPr>
        <w:ind w:firstLine="432"/>
        <w:jc w:val="both"/>
        <w:rPr>
          <w:lang w:val="en-GB"/>
        </w:rPr>
      </w:pPr>
      <w:r w:rsidRPr="00A64648">
        <w:rPr>
          <w:lang w:val="en-GB"/>
        </w:rPr>
        <w:t>Antidiabetic activity represents the most thoroughly investigated pharmacological property of mulberry, and is primarily mediated through the inhibition of carbohydrate-digesting enzymes in the small intestine by DNJ and related alkaloids. DNJ binds competitively and reversibly to the active site of α-glucosidase — and to a lesser degree α-amylase — occupying the substrate-binding pocket through hydrophobic interaction and thereby delaying the conversion of dietary complex carbohydrates to monosaccharides (</w:t>
      </w:r>
      <w:proofErr w:type="spellStart"/>
      <w:r w:rsidRPr="00A64648">
        <w:rPr>
          <w:lang w:val="en-GB"/>
        </w:rPr>
        <w:t>Roghan</w:t>
      </w:r>
      <w:proofErr w:type="spellEnd"/>
      <w:r w:rsidRPr="00A64648">
        <w:rPr>
          <w:lang w:val="en-GB"/>
        </w:rPr>
        <w:t xml:space="preserve"> et al., 2025). This mechanism results in significantly attenuated postprandial blood glucose elevations, a key target in the management of type 2 diabetes mellitus (T2DM). A systematic review and meta-analysis examining DNJ's effects on glycaemic control demonstrated significant reductions in postprandial plasma glucose at 30 minutes, postprandial plasma insulin at 30 minutes, and both glucose and insulin incremental area under the curve at 120 minutes, establishing a consistent pattern of postprandial glycaemic attenuation (</w:t>
      </w:r>
      <w:proofErr w:type="spellStart"/>
      <w:r w:rsidRPr="00A64648">
        <w:rPr>
          <w:lang w:val="en-GB"/>
        </w:rPr>
        <w:t>Parida</w:t>
      </w:r>
      <w:proofErr w:type="spellEnd"/>
      <w:r w:rsidRPr="00A64648">
        <w:rPr>
          <w:lang w:val="en-GB"/>
        </w:rPr>
        <w:t xml:space="preserve"> et al., 2023).</w:t>
      </w:r>
    </w:p>
    <w:p w14:paraId="10C1D032" w14:textId="77777777" w:rsidR="004E5FAA" w:rsidRPr="00A64648" w:rsidRDefault="00A64648">
      <w:pPr>
        <w:ind w:firstLine="432"/>
        <w:jc w:val="both"/>
        <w:rPr>
          <w:lang w:val="en-GB"/>
        </w:rPr>
      </w:pPr>
      <w:r w:rsidRPr="00A64648">
        <w:rPr>
          <w:lang w:val="en-GB"/>
        </w:rPr>
        <w:t xml:space="preserve">Beyond enzymatic inhibition, mulberry-derived compounds modulate multiple facets of glucose homeostasis. Flavonoids isolated from M. alba fruits have been shown to promote insulin-stimulated glucose uptake in 3T3-L1 adipocytes through activation of both the AKT and AMPK signalling pathways (Zhang et al., 2022). DNJ also enhances insulin sensitivity by stimulating the insulin signalling cascade through the IRS-1/PI3K/AKT pathway, thereby improving peripheral glucose uptake and reducing insulin resistance. Mulberry leaf polysaccharides further contribute to antidiabetic activity by inhibiting α-glucosidase, reducing oxidative stress in pancreatic β-cells, modulating gut microbiota composition, and regulating bile acid metabolism — a recently characterised pathway linking gut ecology to systemic glucose metabolism. Clinical trial evidence from human studies has corroborated preclinical findings, with DNJ-containing mulberry leaf preparations producing significant reductions in fasting blood glucose, glycated haemoglobin (HbA1c), and </w:t>
      </w:r>
      <w:r w:rsidRPr="00A64648">
        <w:rPr>
          <w:lang w:val="en-GB"/>
        </w:rPr>
        <w:lastRenderedPageBreak/>
        <w:t>postprandial insulin in individuals with impaired glucose tolerance and T2DM (</w:t>
      </w:r>
      <w:proofErr w:type="spellStart"/>
      <w:r w:rsidRPr="00A64648">
        <w:rPr>
          <w:lang w:val="en-GB"/>
        </w:rPr>
        <w:t>Roghan</w:t>
      </w:r>
      <w:proofErr w:type="spellEnd"/>
      <w:r w:rsidRPr="00A64648">
        <w:rPr>
          <w:lang w:val="en-GB"/>
        </w:rPr>
        <w:t xml:space="preserve"> et al., 2025; </w:t>
      </w:r>
      <w:proofErr w:type="spellStart"/>
      <w:r w:rsidRPr="00A64648">
        <w:rPr>
          <w:lang w:val="en-GB"/>
        </w:rPr>
        <w:t>Parida</w:t>
      </w:r>
      <w:proofErr w:type="spellEnd"/>
      <w:r w:rsidRPr="00A64648">
        <w:rPr>
          <w:lang w:val="en-GB"/>
        </w:rPr>
        <w:t xml:space="preserve"> et al., 2023).</w:t>
      </w:r>
    </w:p>
    <w:p w14:paraId="765CD545" w14:textId="77777777" w:rsidR="004E5FAA" w:rsidRPr="00A64648" w:rsidRDefault="00A64648">
      <w:pPr>
        <w:ind w:firstLine="432"/>
        <w:jc w:val="both"/>
        <w:rPr>
          <w:lang w:val="en-GB"/>
        </w:rPr>
      </w:pPr>
      <w:r w:rsidRPr="00A64648">
        <w:rPr>
          <w:lang w:val="en-GB"/>
        </w:rPr>
        <w:t xml:space="preserve">It is noteworthy that the antidiabetic effects of mulberry are not attributable to any single compound but emerge from the synergistic interaction of multiple phytochemicals. Mulberry leaf polysaccharides operate through the gut microbiota–bile acid metabolic axis, enhancing the abundance of </w:t>
      </w:r>
      <w:proofErr w:type="spellStart"/>
      <w:r w:rsidRPr="00A64648">
        <w:rPr>
          <w:lang w:val="en-GB"/>
        </w:rPr>
        <w:t>Prevotella</w:t>
      </w:r>
      <w:proofErr w:type="spellEnd"/>
      <w:r w:rsidRPr="00A64648">
        <w:rPr>
          <w:lang w:val="en-GB"/>
        </w:rPr>
        <w:t xml:space="preserve">, </w:t>
      </w:r>
      <w:proofErr w:type="spellStart"/>
      <w:r w:rsidRPr="00A64648">
        <w:rPr>
          <w:lang w:val="en-GB"/>
        </w:rPr>
        <w:t>Ruminococcus</w:t>
      </w:r>
      <w:proofErr w:type="spellEnd"/>
      <w:r w:rsidRPr="00A64648">
        <w:rPr>
          <w:lang w:val="en-GB"/>
        </w:rPr>
        <w:t>, and Lactobacillus spp., and concurrently modulating bile acid synthase and the FXR regulatory pathway to reduce cholesterol levels and improve lipid metabolism (Zhang et al., 2022). This multi-target, systems-level antidiabetic activity positions mulberry as a plant of exceptional potential for the development of integrative therapeutic strategies against metabolic syndrome.</w:t>
      </w:r>
    </w:p>
    <w:p w14:paraId="626EA05D" w14:textId="77777777" w:rsidR="004E5FAA" w:rsidRPr="00A64648" w:rsidRDefault="00A64648">
      <w:pPr>
        <w:pStyle w:val="Heading2"/>
        <w:rPr>
          <w:lang w:val="en-GB"/>
        </w:rPr>
      </w:pPr>
      <w:r w:rsidRPr="00A64648">
        <w:rPr>
          <w:lang w:val="en-GB"/>
        </w:rPr>
        <w:t>6.2 Antioxidant Activity</w:t>
      </w:r>
    </w:p>
    <w:p w14:paraId="490B09FE" w14:textId="77777777" w:rsidR="004E5FAA" w:rsidRPr="00A64648" w:rsidRDefault="00A64648">
      <w:pPr>
        <w:ind w:firstLine="432"/>
        <w:jc w:val="both"/>
        <w:rPr>
          <w:lang w:val="en-GB"/>
        </w:rPr>
      </w:pPr>
      <w:r w:rsidRPr="00A64648">
        <w:rPr>
          <w:lang w:val="en-GB"/>
        </w:rPr>
        <w:t>Oxidative stress, arising from an imbalance between the generation of reactive oxygen species and the capacity of endogenous antioxidant defence systems, underlies the pathogenesis of a wide array of chronic diseases including diabetes, cardiovascular disorders, cancer, and neurodegeneration. Mulberry extracts and their constituent compounds exhibit potent antioxidant activity through diverse mechanisms including free radical scavenging, metal chelation, inhibition of pro-oxidant enzymes, and upregulation of antioxidant enzyme systems. The antioxidant capacity of mulberry is primarily attributed to its rich content of polyphenols — flavonoids, phenolic acids, anthocyanins, and stilbenes — whose hydroxyl-rich structures donate hydrogen atoms or electrons to neutralise ROS and break oxidative chain reactions (Hao et al., 2022).</w:t>
      </w:r>
    </w:p>
    <w:p w14:paraId="478B38EE" w14:textId="77777777" w:rsidR="004E5FAA" w:rsidRPr="00A64648" w:rsidRDefault="00A64648">
      <w:pPr>
        <w:ind w:firstLine="432"/>
        <w:jc w:val="both"/>
        <w:rPr>
          <w:lang w:val="en-GB"/>
        </w:rPr>
      </w:pPr>
      <w:r w:rsidRPr="00A64648">
        <w:rPr>
          <w:lang w:val="en-GB"/>
        </w:rPr>
        <w:t xml:space="preserve">Resveratrol and polydatin isolated from M. alba have been demonstrated to exhibit antioxidant activity through both direct ROS scavenging and indirect mechanisms involving the upregulation of antioxidant enzymes including superoxide dismutase (SOD), catalase, and glutathione peroxidase (GPX). The Nrf2 (nuclear factor erythroid 2-related factor 2) transcription factor pathway is a critical molecular target mediating these indirect antioxidant effects; mulberry phenolic compounds activate Nrf2, which in turn promotes the transcription of cytoprotective and antioxidant genes including HO-1 (haem oxygenase-1) and NQO1 (NAD(P)H quinone oxidoreductase-1) (Tsai et al., 2025). Anthocyanins from M. </w:t>
      </w:r>
      <w:proofErr w:type="spellStart"/>
      <w:r w:rsidRPr="00A64648">
        <w:rPr>
          <w:lang w:val="en-GB"/>
        </w:rPr>
        <w:t>nigra</w:t>
      </w:r>
      <w:proofErr w:type="spellEnd"/>
      <w:r w:rsidRPr="00A64648">
        <w:rPr>
          <w:lang w:val="en-GB"/>
        </w:rPr>
        <w:t xml:space="preserve"> and M. rubra fruits have demonstrated superior antioxidant activity compared to white mulberry in several comparative studies, an observation consistent with the higher total polyphenol and anthocyanin content of black and red varieties (Yuan &amp; Zhao, 2017).</w:t>
      </w:r>
    </w:p>
    <w:p w14:paraId="4313CC44" w14:textId="77777777" w:rsidR="004E5FAA" w:rsidRPr="00A64648" w:rsidRDefault="00A64648">
      <w:pPr>
        <w:pStyle w:val="Heading2"/>
        <w:rPr>
          <w:lang w:val="en-GB"/>
        </w:rPr>
      </w:pPr>
      <w:r w:rsidRPr="00A64648">
        <w:rPr>
          <w:lang w:val="en-GB"/>
        </w:rPr>
        <w:t>6.3 Anti-inflammatory Activity</w:t>
      </w:r>
    </w:p>
    <w:p w14:paraId="69902351" w14:textId="77777777" w:rsidR="004E5FAA" w:rsidRPr="00A64648" w:rsidRDefault="00A64648">
      <w:pPr>
        <w:ind w:firstLine="432"/>
        <w:jc w:val="both"/>
        <w:rPr>
          <w:lang w:val="en-GB"/>
        </w:rPr>
      </w:pPr>
      <w:r w:rsidRPr="00A64648">
        <w:rPr>
          <w:lang w:val="en-GB"/>
        </w:rPr>
        <w:t xml:space="preserve">Chronic inflammation is a unifying pathophysiological mechanism underlying the development and progression of a broad spectrum of non-communicable diseases. Mulberry has been extensively investigated for its ability to modulate inflammatory </w:t>
      </w:r>
      <w:r w:rsidRPr="00A64648">
        <w:rPr>
          <w:lang w:val="en-GB"/>
        </w:rPr>
        <w:lastRenderedPageBreak/>
        <w:t xml:space="preserve">cascades, with multiple bioactive compounds demonstrating potent anti-inflammatory activity through distinct molecular targets. </w:t>
      </w:r>
      <w:proofErr w:type="spellStart"/>
      <w:r w:rsidRPr="00A64648">
        <w:rPr>
          <w:lang w:val="en-GB"/>
        </w:rPr>
        <w:t>Oxyresveratrol</w:t>
      </w:r>
      <w:proofErr w:type="spellEnd"/>
      <w:r w:rsidRPr="00A64648">
        <w:rPr>
          <w:lang w:val="en-GB"/>
        </w:rPr>
        <w:t xml:space="preserve"> from M. alba exerts anti-inflammatory effects through inhibition of inducible nitric oxide synthase (</w:t>
      </w:r>
      <w:proofErr w:type="spellStart"/>
      <w:r w:rsidRPr="00A64648">
        <w:rPr>
          <w:lang w:val="en-GB"/>
        </w:rPr>
        <w:t>iNOS</w:t>
      </w:r>
      <w:proofErr w:type="spellEnd"/>
      <w:r w:rsidRPr="00A64648">
        <w:rPr>
          <w:lang w:val="en-GB"/>
        </w:rPr>
        <w:t>), suppression of prostaglandin E₂ (PGE₂) synthesis, and inhibition of NF-</w:t>
      </w:r>
      <w:proofErr w:type="spellStart"/>
      <w:r w:rsidRPr="00A64648">
        <w:rPr>
          <w:lang w:val="en-GB"/>
        </w:rPr>
        <w:t>κB</w:t>
      </w:r>
      <w:proofErr w:type="spellEnd"/>
      <w:r w:rsidRPr="00A64648">
        <w:rPr>
          <w:lang w:val="en-GB"/>
        </w:rPr>
        <w:t xml:space="preserve"> activation — the master transcriptional regulator of inflammatory gene expression (Hu et al., 2024). </w:t>
      </w:r>
      <w:proofErr w:type="spellStart"/>
      <w:r w:rsidRPr="00A64648">
        <w:rPr>
          <w:lang w:val="en-GB"/>
        </w:rPr>
        <w:t>Kuwanons</w:t>
      </w:r>
      <w:proofErr w:type="spellEnd"/>
      <w:r w:rsidRPr="00A64648">
        <w:rPr>
          <w:lang w:val="en-GB"/>
        </w:rPr>
        <w:t xml:space="preserve"> C and G, isolated from the root bark of M. alba, similarly inhibit the NF-</w:t>
      </w:r>
      <w:proofErr w:type="spellStart"/>
      <w:r w:rsidRPr="00A64648">
        <w:rPr>
          <w:lang w:val="en-GB"/>
        </w:rPr>
        <w:t>κB</w:t>
      </w:r>
      <w:proofErr w:type="spellEnd"/>
      <w:r w:rsidRPr="00A64648">
        <w:rPr>
          <w:lang w:val="en-GB"/>
        </w:rPr>
        <w:t xml:space="preserve"> pathway through activation of extracellular signal-regulated kinase (ERK) 1/2, representing a mechanistically distinct anti-inflammatory approach (Hao et al., 2022).</w:t>
      </w:r>
    </w:p>
    <w:p w14:paraId="59A7D9BA" w14:textId="77777777" w:rsidR="004E5FAA" w:rsidRPr="00A64648" w:rsidRDefault="00A64648">
      <w:pPr>
        <w:ind w:firstLine="432"/>
        <w:jc w:val="both"/>
        <w:rPr>
          <w:lang w:val="en-GB"/>
        </w:rPr>
      </w:pPr>
      <w:r w:rsidRPr="00A64648">
        <w:rPr>
          <w:lang w:val="en-GB"/>
        </w:rPr>
        <w:t>The anti-inflammatory compounds moracin O and P target the NF-</w:t>
      </w:r>
      <w:proofErr w:type="spellStart"/>
      <w:r w:rsidRPr="00A64648">
        <w:rPr>
          <w:lang w:val="en-GB"/>
        </w:rPr>
        <w:t>κB</w:t>
      </w:r>
      <w:proofErr w:type="spellEnd"/>
      <w:r w:rsidRPr="00A64648">
        <w:rPr>
          <w:lang w:val="en-GB"/>
        </w:rPr>
        <w:t xml:space="preserve"> pathway in macrophages, whilst methanol extracts of mulberry bark containing kuwanon T and sanggenon A have been demonstrated to suppress the production of PGE₂, interleukin-6 (IL-6), and tumour necrosis factor-α (TNF-α) in microglial and macrophage cell lines. Chlorogenic acid and neochlorogenic acid from mulberry leaves modulate the expression of key inflammatory mediators including </w:t>
      </w:r>
      <w:proofErr w:type="spellStart"/>
      <w:r w:rsidRPr="00A64648">
        <w:rPr>
          <w:lang w:val="en-GB"/>
        </w:rPr>
        <w:t>NFκB</w:t>
      </w:r>
      <w:proofErr w:type="spellEnd"/>
      <w:r w:rsidRPr="00A64648">
        <w:rPr>
          <w:lang w:val="en-GB"/>
        </w:rPr>
        <w:t xml:space="preserve"> and downstream inflammatory cytokines, with implications for neuroprotection in the context of neuroinflammation (Tsai et al., 2025). The mulberry fruit-derived polyphenol </w:t>
      </w:r>
      <w:proofErr w:type="spellStart"/>
      <w:r w:rsidRPr="00A64648">
        <w:rPr>
          <w:lang w:val="en-GB"/>
        </w:rPr>
        <w:t>rutin</w:t>
      </w:r>
      <w:proofErr w:type="spellEnd"/>
      <w:r w:rsidRPr="00A64648">
        <w:rPr>
          <w:lang w:val="en-GB"/>
        </w:rPr>
        <w:t xml:space="preserve"> exhibits inhibitory activity against both cyclooxygenase-2 (COX-2) and lipoxygenase (LOX), two central enzymes in the arachidonic acid inflammatory cascade, further broadening the anti-inflammatory therapeutic potential of the genus (Zhang et al., 2022).</w:t>
      </w:r>
    </w:p>
    <w:p w14:paraId="1758A5B7" w14:textId="77777777" w:rsidR="004E5FAA" w:rsidRPr="00A64648" w:rsidRDefault="00A64648">
      <w:pPr>
        <w:pStyle w:val="Heading2"/>
        <w:rPr>
          <w:lang w:val="en-GB"/>
        </w:rPr>
      </w:pPr>
      <w:r w:rsidRPr="00A64648">
        <w:rPr>
          <w:lang w:val="en-GB"/>
        </w:rPr>
        <w:t>6.4 Anticancer Activity</w:t>
      </w:r>
    </w:p>
    <w:p w14:paraId="3EDA1B99" w14:textId="77777777" w:rsidR="004E5FAA" w:rsidRPr="00A64648" w:rsidRDefault="00A64648">
      <w:pPr>
        <w:ind w:firstLine="432"/>
        <w:jc w:val="both"/>
        <w:rPr>
          <w:lang w:val="en-GB"/>
        </w:rPr>
      </w:pPr>
      <w:r w:rsidRPr="00A64648">
        <w:rPr>
          <w:lang w:val="en-GB"/>
        </w:rPr>
        <w:t xml:space="preserve">The anticancer potential of </w:t>
      </w:r>
      <w:proofErr w:type="spellStart"/>
      <w:r w:rsidRPr="00A64648">
        <w:rPr>
          <w:lang w:val="en-GB"/>
        </w:rPr>
        <w:t>Morus</w:t>
      </w:r>
      <w:proofErr w:type="spellEnd"/>
      <w:r w:rsidRPr="00A64648">
        <w:rPr>
          <w:lang w:val="en-GB"/>
        </w:rPr>
        <w:t xml:space="preserve"> spp. has emerged as one of the most vigorously investigated aspects of mulberry pharmacology, with multiple bioactive compounds demonstrating cytotoxic and antiproliferative activities against a diverse range of cancer cell lines. </w:t>
      </w:r>
      <w:proofErr w:type="spellStart"/>
      <w:r w:rsidRPr="00A64648">
        <w:rPr>
          <w:lang w:val="en-GB"/>
        </w:rPr>
        <w:t>Morusin</w:t>
      </w:r>
      <w:proofErr w:type="spellEnd"/>
      <w:r w:rsidRPr="00A64648">
        <w:rPr>
          <w:lang w:val="en-GB"/>
        </w:rPr>
        <w:t>, a prenylated flavone isolated from the root bark of M. alba, occupies centre stage in mulberry's anticancer repertoire. It has demonstrated potent cytotoxic activity against breast (MCF-7, MDA-MB-231), hepatocellular (HepG2, Hep3B), colorectal (HT-29), cervical, lung, prostate, gastric, glioblastoma, and pancreatic cancer cell lines through a multitude of mechanistic pathways (</w:t>
      </w:r>
      <w:proofErr w:type="spellStart"/>
      <w:r w:rsidRPr="00A64648">
        <w:rPr>
          <w:lang w:val="en-GB"/>
        </w:rPr>
        <w:t>Ferraz</w:t>
      </w:r>
      <w:proofErr w:type="spellEnd"/>
      <w:r w:rsidRPr="00A64648">
        <w:rPr>
          <w:lang w:val="en-GB"/>
        </w:rPr>
        <w:t xml:space="preserve"> et al., 2024; Hu et al., 2024).</w:t>
      </w:r>
    </w:p>
    <w:p w14:paraId="50618650" w14:textId="77777777" w:rsidR="004E5FAA" w:rsidRPr="00A64648" w:rsidRDefault="00A64648">
      <w:pPr>
        <w:ind w:firstLine="432"/>
        <w:jc w:val="both"/>
        <w:rPr>
          <w:lang w:val="en-GB"/>
        </w:rPr>
      </w:pPr>
      <w:r w:rsidRPr="00A64648">
        <w:rPr>
          <w:lang w:val="en-GB"/>
        </w:rPr>
        <w:t xml:space="preserve">The primary anticancer mechanisms of </w:t>
      </w:r>
      <w:proofErr w:type="spellStart"/>
      <w:r w:rsidRPr="00A64648">
        <w:rPr>
          <w:lang w:val="en-GB"/>
        </w:rPr>
        <w:t>morusin</w:t>
      </w:r>
      <w:proofErr w:type="spellEnd"/>
      <w:r w:rsidRPr="00A64648">
        <w:rPr>
          <w:lang w:val="en-GB"/>
        </w:rPr>
        <w:t xml:space="preserve"> include induction of apoptosis through both intrinsic (mitochondrial) and extrinsic (death receptor) pathways, characterised by activation of caspase-3, caspase-8, and caspase-9; alteration of the </w:t>
      </w:r>
      <w:proofErr w:type="spellStart"/>
      <w:r w:rsidRPr="00A64648">
        <w:rPr>
          <w:lang w:val="en-GB"/>
        </w:rPr>
        <w:t>Bax</w:t>
      </w:r>
      <w:proofErr w:type="spellEnd"/>
      <w:r w:rsidRPr="00A64648">
        <w:rPr>
          <w:lang w:val="en-GB"/>
        </w:rPr>
        <w:t xml:space="preserve">/Bcl-2 ratio in favour of pro-apoptotic signalling; and release of cytochrome c from mitochondria. Cho et al. (2021) demonstrated that </w:t>
      </w:r>
      <w:proofErr w:type="spellStart"/>
      <w:r w:rsidRPr="00A64648">
        <w:rPr>
          <w:lang w:val="en-GB"/>
        </w:rPr>
        <w:t>morusin</w:t>
      </w:r>
      <w:proofErr w:type="spellEnd"/>
      <w:r w:rsidRPr="00A64648">
        <w:rPr>
          <w:lang w:val="en-GB"/>
        </w:rPr>
        <w:t xml:space="preserve"> significantly reduced the viability of hepatocellular carcinoma cells (Hep3B and Huh7) in a dose-dependent manner, inducing G1 cell cycle arrest through downregulation of cyclins D1, D3, E, and CDK2, CDK4, and CDK6, whilst upregulating the tumour suppressor proteins p21 and p27. Importantly, this anticancer effect was mediated via AMPK-dependent suppression of the mTOR/c-</w:t>
      </w:r>
      <w:proofErr w:type="spellStart"/>
      <w:r w:rsidRPr="00A64648">
        <w:rPr>
          <w:lang w:val="en-GB"/>
        </w:rPr>
        <w:t>Myc</w:t>
      </w:r>
      <w:proofErr w:type="spellEnd"/>
      <w:r w:rsidRPr="00A64648">
        <w:rPr>
          <w:lang w:val="en-GB"/>
        </w:rPr>
        <w:t xml:space="preserve"> glycolytic axis, effectively targeting the Warburg effect that fuels hepatocellular cancer proliferation and progression.</w:t>
      </w:r>
    </w:p>
    <w:p w14:paraId="486A7AB6" w14:textId="77777777" w:rsidR="004E5FAA" w:rsidRPr="00A64648" w:rsidRDefault="00A64648">
      <w:pPr>
        <w:ind w:firstLine="432"/>
        <w:jc w:val="both"/>
        <w:rPr>
          <w:lang w:val="en-GB"/>
        </w:rPr>
      </w:pPr>
      <w:proofErr w:type="spellStart"/>
      <w:r w:rsidRPr="00A64648">
        <w:rPr>
          <w:lang w:val="en-GB"/>
        </w:rPr>
        <w:lastRenderedPageBreak/>
        <w:t>Morusin</w:t>
      </w:r>
      <w:proofErr w:type="spellEnd"/>
      <w:r w:rsidRPr="00A64648">
        <w:rPr>
          <w:lang w:val="en-GB"/>
        </w:rPr>
        <w:t xml:space="preserve"> also exerts significant anti-angiogenic activity through suppression of VEGF production and inhibition of human umbilical vein endothelial cell (HUVEC) proliferation, migration, and tube formation, thereby potentially limiting tumour vascularisation. In prostate cancer, </w:t>
      </w:r>
      <w:proofErr w:type="spellStart"/>
      <w:r w:rsidRPr="00A64648">
        <w:rPr>
          <w:lang w:val="en-GB"/>
        </w:rPr>
        <w:t>morusin</w:t>
      </w:r>
      <w:proofErr w:type="spellEnd"/>
      <w:r w:rsidRPr="00A64648">
        <w:rPr>
          <w:lang w:val="en-GB"/>
        </w:rPr>
        <w:t xml:space="preserve"> inhibits the constitutive activation of STAT3 — a critical survival signal in androgen-independent prostate cancer — by suppressing its phosphorylation, nuclear accumulation, and DNA-binding activity. The combined </w:t>
      </w:r>
      <w:proofErr w:type="spellStart"/>
      <w:r w:rsidRPr="00A64648">
        <w:rPr>
          <w:lang w:val="en-GB"/>
        </w:rPr>
        <w:t>antitumour</w:t>
      </w:r>
      <w:proofErr w:type="spellEnd"/>
      <w:r w:rsidRPr="00A64648">
        <w:rPr>
          <w:lang w:val="en-GB"/>
        </w:rPr>
        <w:t xml:space="preserve"> efficacy of </w:t>
      </w:r>
      <w:proofErr w:type="spellStart"/>
      <w:r w:rsidRPr="00A64648">
        <w:rPr>
          <w:lang w:val="en-GB"/>
        </w:rPr>
        <w:t>morusin</w:t>
      </w:r>
      <w:proofErr w:type="spellEnd"/>
      <w:r w:rsidRPr="00A64648">
        <w:rPr>
          <w:lang w:val="en-GB"/>
        </w:rPr>
        <w:t xml:space="preserve"> and docetaxel in prostate cancer cells, as explored by </w:t>
      </w:r>
      <w:proofErr w:type="spellStart"/>
      <w:r w:rsidRPr="00A64648">
        <w:rPr>
          <w:lang w:val="en-GB"/>
        </w:rPr>
        <w:t>Fadil</w:t>
      </w:r>
      <w:proofErr w:type="spellEnd"/>
      <w:r w:rsidRPr="00A64648">
        <w:rPr>
          <w:lang w:val="en-GB"/>
        </w:rPr>
        <w:t xml:space="preserve"> et al. (2024), revealed synergistic enhancement of cytotoxicity at reduced drug concentrations, with concomitant modulation of inflammatory markers including NF-</w:t>
      </w:r>
      <w:proofErr w:type="spellStart"/>
      <w:r w:rsidRPr="00A64648">
        <w:rPr>
          <w:lang w:val="en-GB"/>
        </w:rPr>
        <w:t>κB</w:t>
      </w:r>
      <w:proofErr w:type="spellEnd"/>
      <w:r w:rsidRPr="00A64648">
        <w:rPr>
          <w:lang w:val="en-GB"/>
        </w:rPr>
        <w:t xml:space="preserve">, TNF-α, and IL-6, and augmentation of apoptotic signalling through increased </w:t>
      </w:r>
      <w:proofErr w:type="spellStart"/>
      <w:r w:rsidRPr="00A64648">
        <w:rPr>
          <w:lang w:val="en-GB"/>
        </w:rPr>
        <w:t>Bax</w:t>
      </w:r>
      <w:proofErr w:type="spellEnd"/>
      <w:r w:rsidRPr="00A64648">
        <w:rPr>
          <w:lang w:val="en-GB"/>
        </w:rPr>
        <w:t xml:space="preserve"> and decreased Bcl-2 expression. These findings are clinically encouraging as they suggest that </w:t>
      </w:r>
      <w:proofErr w:type="spellStart"/>
      <w:r w:rsidRPr="00A64648">
        <w:rPr>
          <w:lang w:val="en-GB"/>
        </w:rPr>
        <w:t>morusin</w:t>
      </w:r>
      <w:proofErr w:type="spellEnd"/>
      <w:r w:rsidRPr="00A64648">
        <w:rPr>
          <w:lang w:val="en-GB"/>
        </w:rPr>
        <w:t xml:space="preserve"> may function as a sensitising agent in combination chemotherapy regimens, potentially allowing dose reduction of conventional cytotoxic drugs and mitigation of associated toxicities.</w:t>
      </w:r>
    </w:p>
    <w:p w14:paraId="37F2752E" w14:textId="77777777" w:rsidR="004E5FAA" w:rsidRPr="00A64648" w:rsidRDefault="00A64648">
      <w:pPr>
        <w:ind w:firstLine="432"/>
        <w:jc w:val="both"/>
        <w:rPr>
          <w:lang w:val="en-GB"/>
        </w:rPr>
      </w:pPr>
      <w:r w:rsidRPr="00A64648">
        <w:rPr>
          <w:lang w:val="en-GB"/>
        </w:rPr>
        <w:t xml:space="preserve">Beyond </w:t>
      </w:r>
      <w:proofErr w:type="spellStart"/>
      <w:r w:rsidRPr="00A64648">
        <w:rPr>
          <w:lang w:val="en-GB"/>
        </w:rPr>
        <w:t>morusin</w:t>
      </w:r>
      <w:proofErr w:type="spellEnd"/>
      <w:r w:rsidRPr="00A64648">
        <w:rPr>
          <w:lang w:val="en-GB"/>
        </w:rPr>
        <w:t xml:space="preserve">, other mulberry-derived compounds contribute to the anticancer landscape. </w:t>
      </w:r>
      <w:proofErr w:type="spellStart"/>
      <w:r w:rsidRPr="00A64648">
        <w:rPr>
          <w:lang w:val="en-GB"/>
        </w:rPr>
        <w:t>Sanggenol</w:t>
      </w:r>
      <w:proofErr w:type="spellEnd"/>
      <w:r w:rsidRPr="00A64648">
        <w:rPr>
          <w:lang w:val="en-GB"/>
        </w:rPr>
        <w:t xml:space="preserve"> L from Mori cortex induces apoptosis in prostate and ovarian cancer cells through inhibition of the PI3K/AKT/mTOR pathway and activation of p53. Moracin D decreases cell proliferation in breast cancer by inhibiting the Wnt3a/FOXM1/β-catenin signalling pathway. Moracin N exhibits anti-lung cancer properties through induction of both apoptosis and autophagy. The Diels-Alder adducts kuwanon G and H from M. </w:t>
      </w:r>
      <w:proofErr w:type="spellStart"/>
      <w:r w:rsidRPr="00A64648">
        <w:rPr>
          <w:lang w:val="en-GB"/>
        </w:rPr>
        <w:t>nigra</w:t>
      </w:r>
      <w:proofErr w:type="spellEnd"/>
      <w:r w:rsidRPr="00A64648">
        <w:rPr>
          <w:lang w:val="en-GB"/>
        </w:rPr>
        <w:t xml:space="preserve"> roots represent structurally unique anticancer leads whose complex molecular architecture presents both opportunities and challenges for synthetic and medicinal chemistry (</w:t>
      </w:r>
      <w:proofErr w:type="spellStart"/>
      <w:r w:rsidRPr="00A64648">
        <w:rPr>
          <w:lang w:val="en-GB"/>
        </w:rPr>
        <w:t>Ferraz</w:t>
      </w:r>
      <w:proofErr w:type="spellEnd"/>
      <w:r w:rsidRPr="00A64648">
        <w:rPr>
          <w:lang w:val="en-GB"/>
        </w:rPr>
        <w:t xml:space="preserve"> et al., 2024). DNJ from mulberry leaves has also demonstrated anti-metastatic properties, inhibiting the proliferation of B16F10 melanoma cells by modulating the expression and activity of matrix metalloproteinases MMP-2 and MMP-9 (</w:t>
      </w:r>
      <w:proofErr w:type="spellStart"/>
      <w:r w:rsidRPr="00A64648">
        <w:rPr>
          <w:lang w:val="en-GB"/>
        </w:rPr>
        <w:t>Ramappa</w:t>
      </w:r>
      <w:proofErr w:type="spellEnd"/>
      <w:r w:rsidRPr="00A64648">
        <w:rPr>
          <w:lang w:val="en-GB"/>
        </w:rPr>
        <w:t xml:space="preserve"> et al., 2020). Collectively, this body of evidence positions mulberry as a multi-target anticancer resource of considerable pharmaceutical promise.</w:t>
      </w:r>
    </w:p>
    <w:p w14:paraId="6B86301D" w14:textId="77777777" w:rsidR="004E5FAA" w:rsidRPr="00A64648" w:rsidRDefault="00A64648">
      <w:pPr>
        <w:pStyle w:val="Heading2"/>
        <w:rPr>
          <w:lang w:val="en-GB"/>
        </w:rPr>
      </w:pPr>
      <w:r w:rsidRPr="00A64648">
        <w:rPr>
          <w:lang w:val="en-GB"/>
        </w:rPr>
        <w:t>6.5 Cardiovascular Protective Effects</w:t>
      </w:r>
    </w:p>
    <w:p w14:paraId="15F0B08A" w14:textId="77777777" w:rsidR="004E5FAA" w:rsidRPr="00A64648" w:rsidRDefault="00A64648">
      <w:pPr>
        <w:ind w:firstLine="432"/>
        <w:jc w:val="both"/>
        <w:rPr>
          <w:lang w:val="en-GB"/>
        </w:rPr>
      </w:pPr>
      <w:r w:rsidRPr="00A64648">
        <w:rPr>
          <w:lang w:val="en-GB"/>
        </w:rPr>
        <w:t>Cardiovascular diseases (CVDs) remain the leading cause of mortality globally, and the search for natural compounds with cardioprotective properties continues to be a priority area in pharmacological research. Mulberry-derived bioactive compounds have been shown to exert beneficial effects across multiple dimensions of CVD pathophysiology, including lipid regulation, vascular protection, antihypertensive activity, antiplatelet aggregation, and reduction of oxidative stress within the cardiovascular system (Qi et al., 2025).</w:t>
      </w:r>
    </w:p>
    <w:p w14:paraId="4DB1561B" w14:textId="77777777" w:rsidR="004E5FAA" w:rsidRPr="00A64648" w:rsidRDefault="00A64648">
      <w:pPr>
        <w:ind w:firstLine="432"/>
        <w:jc w:val="both"/>
        <w:rPr>
          <w:lang w:val="en-GB"/>
        </w:rPr>
      </w:pPr>
      <w:r w:rsidRPr="00A64648">
        <w:rPr>
          <w:lang w:val="en-GB"/>
        </w:rPr>
        <w:t xml:space="preserve">Mulberry leaf extracts have been demonstrated to inhibit the migration of vascular smooth muscle cells (VSMCs), a key pathological process in the development of atherosclerosis, through suppression of matrix metalloproteinases MMP-2 and MMP-9 and inhibition of small GTPase signalling pathways (Ras, Rac1, Cdc42, </w:t>
      </w:r>
      <w:proofErr w:type="spellStart"/>
      <w:r w:rsidRPr="00A64648">
        <w:rPr>
          <w:lang w:val="en-GB"/>
        </w:rPr>
        <w:t>RhoA</w:t>
      </w:r>
      <w:proofErr w:type="spellEnd"/>
      <w:r w:rsidRPr="00A64648">
        <w:rPr>
          <w:lang w:val="en-GB"/>
        </w:rPr>
        <w:t xml:space="preserve">) and FAK/AKT phosphorylation. Mulberry water extracts significantly reduced body weight, visceral fat, and serum lipids — including triacylglycerol, total </w:t>
      </w:r>
      <w:r w:rsidRPr="00A64648">
        <w:rPr>
          <w:lang w:val="en-GB"/>
        </w:rPr>
        <w:lastRenderedPageBreak/>
        <w:t>cholesterol, free fatty acids, and the LDL/HDL ratio — in high-fat diet-fed hamsters, whilst simultaneously enhancing hepatic lipolysis through upregulation of peroxisome proliferator-activated receptor alpha (PPARα) and carnitine palmitoyltransferase-1 (CPT-1) (Zhang et al., 2022). The flavonoids present in mulberry branches, including kuwanon-rich fractions, have been investigated for their modulatory effects on the renin-angiotensin system, a central axis in blood pressure regulation (Qi et al., 2025).</w:t>
      </w:r>
    </w:p>
    <w:p w14:paraId="27411796" w14:textId="77777777" w:rsidR="004E5FAA" w:rsidRPr="00A64648" w:rsidRDefault="00A64648">
      <w:pPr>
        <w:ind w:firstLine="432"/>
        <w:jc w:val="both"/>
        <w:rPr>
          <w:lang w:val="en-GB"/>
        </w:rPr>
      </w:pPr>
      <w:proofErr w:type="spellStart"/>
      <w:r w:rsidRPr="00A64648">
        <w:rPr>
          <w:lang w:val="en-GB"/>
        </w:rPr>
        <w:t>Morusin</w:t>
      </w:r>
      <w:proofErr w:type="spellEnd"/>
      <w:r w:rsidRPr="00A64648">
        <w:rPr>
          <w:lang w:val="en-GB"/>
        </w:rPr>
        <w:t xml:space="preserve"> has also attracted attention in cardiovascular research for its capacity to improve endothelial function by upregulating endothelial nitric oxide synthase (</w:t>
      </w:r>
      <w:proofErr w:type="spellStart"/>
      <w:r w:rsidRPr="00A64648">
        <w:rPr>
          <w:lang w:val="en-GB"/>
        </w:rPr>
        <w:t>eNOS</w:t>
      </w:r>
      <w:proofErr w:type="spellEnd"/>
      <w:r w:rsidRPr="00A64648">
        <w:rPr>
          <w:lang w:val="en-GB"/>
        </w:rPr>
        <w:t>), thereby enhancing nitric oxide (NO) production and bioavailability — a crucial mediator of vascular tone and endothelial integrity. Mulberry polysaccharides and phenolic compounds reduce oxidative stress within the vasculature by activating the Nrf2/HO-1 pathway, thereby protecting endothelial cells from oxidative damage. A comprehensive narrative review of clinical and preclinical evidence has provided convergent support for the utility of M. alba plant extract supplementation in improving the metabolic profile, reducing cardiovascular risk factors, and supporting overall cardiometabolic health (</w:t>
      </w:r>
      <w:proofErr w:type="spellStart"/>
      <w:r w:rsidRPr="00A64648">
        <w:rPr>
          <w:lang w:val="en-GB"/>
        </w:rPr>
        <w:t>Trimarco</w:t>
      </w:r>
      <w:proofErr w:type="spellEnd"/>
      <w:r w:rsidRPr="00A64648">
        <w:rPr>
          <w:lang w:val="en-GB"/>
        </w:rPr>
        <w:t xml:space="preserve"> et al., 2025).</w:t>
      </w:r>
    </w:p>
    <w:p w14:paraId="07329DCD" w14:textId="77777777" w:rsidR="004E5FAA" w:rsidRPr="00A64648" w:rsidRDefault="00A64648">
      <w:pPr>
        <w:pStyle w:val="Heading2"/>
        <w:rPr>
          <w:lang w:val="en-GB"/>
        </w:rPr>
      </w:pPr>
      <w:r w:rsidRPr="00A64648">
        <w:rPr>
          <w:lang w:val="en-GB"/>
        </w:rPr>
        <w:t>6.6 Neuroprotective Effects</w:t>
      </w:r>
    </w:p>
    <w:p w14:paraId="3BDC7FD0" w14:textId="77777777" w:rsidR="004E5FAA" w:rsidRPr="00A64648" w:rsidRDefault="00A64648">
      <w:pPr>
        <w:ind w:firstLine="432"/>
        <w:jc w:val="both"/>
        <w:rPr>
          <w:lang w:val="en-GB"/>
        </w:rPr>
      </w:pPr>
      <w:r w:rsidRPr="00A64648">
        <w:rPr>
          <w:lang w:val="en-GB"/>
        </w:rPr>
        <w:t>The global burden of neurodegenerative diseases — particularly Alzheimer's disease, Parkinson's disease, and vascular dementia — continues to escalate in the context of an ageing world population, and natural neuroprotective agents capable of modulating neuroinflammation, oxidative stress, and neuronal apoptosis are urgently sought. Mulberry phytochemicals have emerged as compelling candidates for neuroprotection, operating through diverse mechanisms that address multiple pathological hallmarks of neurodegeneration (Zhang et al., 2025).</w:t>
      </w:r>
    </w:p>
    <w:p w14:paraId="15202D33" w14:textId="77777777" w:rsidR="004E5FAA" w:rsidRPr="00A64648" w:rsidRDefault="00A64648">
      <w:pPr>
        <w:ind w:firstLine="432"/>
        <w:jc w:val="both"/>
        <w:rPr>
          <w:lang w:val="en-GB"/>
        </w:rPr>
      </w:pPr>
      <w:r w:rsidRPr="00A64648">
        <w:rPr>
          <w:lang w:val="en-GB"/>
        </w:rPr>
        <w:t xml:space="preserve">Chlorogenic acid (CGA) and neochlorogenic acid (NCGA), two principal phenolic acids from mulberry leaves, have been rigorously investigated for their neuroprotective potential. In a study employing both the human neuroblastoma cell line SH-SY5Y and a </w:t>
      </w:r>
      <w:proofErr w:type="spellStart"/>
      <w:r w:rsidRPr="00A64648">
        <w:rPr>
          <w:lang w:val="en-GB"/>
        </w:rPr>
        <w:t>db</w:t>
      </w:r>
      <w:proofErr w:type="spellEnd"/>
      <w:r w:rsidRPr="00A64648">
        <w:rPr>
          <w:lang w:val="en-GB"/>
        </w:rPr>
        <w:t>/</w:t>
      </w:r>
      <w:proofErr w:type="spellStart"/>
      <w:r w:rsidRPr="00A64648">
        <w:rPr>
          <w:lang w:val="en-GB"/>
        </w:rPr>
        <w:t>db</w:t>
      </w:r>
      <w:proofErr w:type="spellEnd"/>
      <w:r w:rsidRPr="00A64648">
        <w:rPr>
          <w:lang w:val="en-GB"/>
        </w:rPr>
        <w:t xml:space="preserve"> diabetic mouse model on a high-fat diet, CGA and NCGA demonstrated the capacity to enhance the activities of SOD and GPX, attenuate neuroinflammation through simultaneous modulation of Nrf2 and NF-</w:t>
      </w:r>
      <w:proofErr w:type="spellStart"/>
      <w:r w:rsidRPr="00A64648">
        <w:rPr>
          <w:lang w:val="en-GB"/>
        </w:rPr>
        <w:t>κB</w:t>
      </w:r>
      <w:proofErr w:type="spellEnd"/>
      <w:r w:rsidRPr="00A64648">
        <w:rPr>
          <w:lang w:val="en-GB"/>
        </w:rPr>
        <w:t xml:space="preserve"> pathways, and decrease the expression of pro-apoptotic proteins, thereby protecting neurons from oxidative damage (Tsai et al., 2025). Both compounds reduced the expression of the neurotoxic proteins α-synuclein and amyloid-β (Aβ) — pathological hallmarks of Parkinson's and Alzheimer's diseases, respectively — whilst increasing the expression of tyrosine hydroxylase (TH) and brain-derived neurotrophic factor (BDNF) in both the substantia </w:t>
      </w:r>
      <w:proofErr w:type="spellStart"/>
      <w:r w:rsidRPr="00A64648">
        <w:rPr>
          <w:lang w:val="en-GB"/>
        </w:rPr>
        <w:t>nigra</w:t>
      </w:r>
      <w:proofErr w:type="spellEnd"/>
      <w:r w:rsidRPr="00A64648">
        <w:rPr>
          <w:lang w:val="en-GB"/>
        </w:rPr>
        <w:t xml:space="preserve"> and corpus striatum of treated mice. The latter finding is particularly significant as BDNF is a critical modulator of neuronal survival, synaptic plasticity, and neurogenesis.</w:t>
      </w:r>
    </w:p>
    <w:p w14:paraId="0E72C0D1" w14:textId="77777777" w:rsidR="004E5FAA" w:rsidRPr="00A64648" w:rsidRDefault="00A64648">
      <w:pPr>
        <w:ind w:firstLine="432"/>
        <w:jc w:val="both"/>
        <w:rPr>
          <w:lang w:val="en-GB"/>
        </w:rPr>
      </w:pPr>
      <w:r w:rsidRPr="00A64648">
        <w:rPr>
          <w:lang w:val="en-GB"/>
        </w:rPr>
        <w:t xml:space="preserve">Mulberry phytochemicals exert neuroprotective effects through several additional mechanisms. Flavonoids including quercetin and </w:t>
      </w:r>
      <w:proofErr w:type="spellStart"/>
      <w:r w:rsidRPr="00A64648">
        <w:rPr>
          <w:lang w:val="en-GB"/>
        </w:rPr>
        <w:t>rutin</w:t>
      </w:r>
      <w:proofErr w:type="spellEnd"/>
      <w:r w:rsidRPr="00A64648">
        <w:rPr>
          <w:lang w:val="en-GB"/>
        </w:rPr>
        <w:t xml:space="preserve"> can cross the blood-brain barrier and inhibit neuroinflammatory cascades by suppressing microglial activation </w:t>
      </w:r>
      <w:r w:rsidRPr="00A64648">
        <w:rPr>
          <w:lang w:val="en-GB"/>
        </w:rPr>
        <w:lastRenderedPageBreak/>
        <w:t>and the production of neurotoxic cytokines. Diels-Alder type adducts (DAAs) from mulberry root bark have demonstrated capacity to modulate excitatory neurotransmission and attenuate excitotoxicity. Mulberry fruit extract, particularly its anthocyanin fraction, confers neuroprotection against hydrogen peroxide-induced cytotoxicity in SH-SY5Y cells through antioxidant and anti-apoptotic mechanisms (Zhang et al., 2025). The neuroprotective properties of mulberry are of particular relevance in the context of diabetes-associated neurodegeneration, given the well-established contribution of hyperglycaemia-induced oxidative stress to neuronal cell death in diabetic encephalopathy — a condition for which mulberry's combined antidiabetic and neuroprotective activities may offer a uniquely comprehensive therapeutic approach (Tsai et al., 2025).</w:t>
      </w:r>
    </w:p>
    <w:p w14:paraId="635BC9BF" w14:textId="77777777" w:rsidR="004E5FAA" w:rsidRPr="00A64648" w:rsidRDefault="00A64648">
      <w:pPr>
        <w:pStyle w:val="Heading2"/>
        <w:rPr>
          <w:lang w:val="en-GB"/>
        </w:rPr>
      </w:pPr>
      <w:r w:rsidRPr="00A64648">
        <w:rPr>
          <w:lang w:val="en-GB"/>
        </w:rPr>
        <w:t>6.7 Antimicrobial and Antiviral Activity</w:t>
      </w:r>
    </w:p>
    <w:p w14:paraId="53578A97" w14:textId="77777777" w:rsidR="004E5FAA" w:rsidRPr="00A64648" w:rsidRDefault="00A64648">
      <w:pPr>
        <w:ind w:firstLine="432"/>
        <w:jc w:val="both"/>
        <w:rPr>
          <w:lang w:val="en-GB"/>
        </w:rPr>
      </w:pPr>
      <w:r w:rsidRPr="00A64648">
        <w:rPr>
          <w:lang w:val="en-GB"/>
        </w:rPr>
        <w:t xml:space="preserve">The antimicrobial activities of </w:t>
      </w:r>
      <w:proofErr w:type="spellStart"/>
      <w:r w:rsidRPr="00A64648">
        <w:rPr>
          <w:lang w:val="en-GB"/>
        </w:rPr>
        <w:t>Morus</w:t>
      </w:r>
      <w:proofErr w:type="spellEnd"/>
      <w:r w:rsidRPr="00A64648">
        <w:rPr>
          <w:lang w:val="en-GB"/>
        </w:rPr>
        <w:t xml:space="preserve"> spp. have been documented against a range of bacterial, fungal, and viral pathogens. Mulberry extracts — particularly from root bark, leaves, and fruits — have demonstrated inhibitory activity against both Gram-positive and Gram-negative bacteria through disruption of cell membrane integrity and inhibition of essential metabolic pathways. Among the most clinically significant findings, </w:t>
      </w:r>
      <w:proofErr w:type="spellStart"/>
      <w:r w:rsidRPr="00A64648">
        <w:rPr>
          <w:lang w:val="en-GB"/>
        </w:rPr>
        <w:t>chalcomoracin</w:t>
      </w:r>
      <w:proofErr w:type="spellEnd"/>
      <w:r w:rsidRPr="00A64648">
        <w:rPr>
          <w:lang w:val="en-GB"/>
        </w:rPr>
        <w:t xml:space="preserve">, a mulberry phytoalexin isolated from M. alba, has demonstrated antibacterial activity against methicillin-resistant Staphylococcus aureus (MRSA), an organism of acute concern in healthcare settings. The 2-arylbenzofurans from </w:t>
      </w:r>
      <w:proofErr w:type="spellStart"/>
      <w:r w:rsidRPr="00A64648">
        <w:rPr>
          <w:lang w:val="en-GB"/>
        </w:rPr>
        <w:t>Morus</w:t>
      </w:r>
      <w:proofErr w:type="spellEnd"/>
      <w:r w:rsidRPr="00A64648">
        <w:rPr>
          <w:lang w:val="en-GB"/>
        </w:rPr>
        <w:t xml:space="preserve"> spp. have been identified as active antimicrobial components against MRSA, adding to the structural diversity of mulberry's antibacterial arsenal (Hao et al., 2022; Hu et al., 2024).</w:t>
      </w:r>
    </w:p>
    <w:p w14:paraId="606C9367" w14:textId="77777777" w:rsidR="004E5FAA" w:rsidRPr="00A64648" w:rsidRDefault="00A64648">
      <w:pPr>
        <w:ind w:firstLine="432"/>
        <w:jc w:val="both"/>
        <w:rPr>
          <w:lang w:val="en-GB"/>
        </w:rPr>
      </w:pPr>
      <w:r w:rsidRPr="00A64648">
        <w:rPr>
          <w:lang w:val="en-GB"/>
        </w:rPr>
        <w:t xml:space="preserve">Antifungal activity has been documented against Candida albicans and Aspergillus </w:t>
      </w:r>
      <w:proofErr w:type="spellStart"/>
      <w:r w:rsidRPr="00A64648">
        <w:rPr>
          <w:lang w:val="en-GB"/>
        </w:rPr>
        <w:t>niger</w:t>
      </w:r>
      <w:proofErr w:type="spellEnd"/>
      <w:r w:rsidRPr="00A64648">
        <w:rPr>
          <w:lang w:val="en-GB"/>
        </w:rPr>
        <w:t xml:space="preserve"> for chloroform, petroleum ether, and methanolic leaf extracts of M. alba. Antiviral activity represents an equally promising dimension: the flavonoids </w:t>
      </w:r>
      <w:proofErr w:type="spellStart"/>
      <w:r w:rsidRPr="00A64648">
        <w:rPr>
          <w:lang w:val="en-GB"/>
        </w:rPr>
        <w:t>leachianone</w:t>
      </w:r>
      <w:proofErr w:type="spellEnd"/>
      <w:r w:rsidRPr="00A64648">
        <w:rPr>
          <w:lang w:val="en-GB"/>
        </w:rPr>
        <w:t xml:space="preserve"> G and </w:t>
      </w:r>
      <w:proofErr w:type="spellStart"/>
      <w:r w:rsidRPr="00A64648">
        <w:rPr>
          <w:lang w:val="en-GB"/>
        </w:rPr>
        <w:t>mulberroside</w:t>
      </w:r>
      <w:proofErr w:type="spellEnd"/>
      <w:r w:rsidRPr="00A64648">
        <w:rPr>
          <w:lang w:val="en-GB"/>
        </w:rPr>
        <w:t xml:space="preserve"> C, separated from the root bark of M. alba, exhibit potent antiviral properties against herpes simplex virus type 1 (HSV-1). </w:t>
      </w:r>
      <w:proofErr w:type="spellStart"/>
      <w:r w:rsidRPr="00A64648">
        <w:rPr>
          <w:lang w:val="en-GB"/>
        </w:rPr>
        <w:t>Mulberrofuran</w:t>
      </w:r>
      <w:proofErr w:type="spellEnd"/>
      <w:r w:rsidRPr="00A64648">
        <w:rPr>
          <w:lang w:val="en-GB"/>
        </w:rPr>
        <w:t xml:space="preserve"> G, a mulberry component, has been reported to block SARS-CoV-2 infection by interfering with the interaction between the SARS-CoV-2 spike protein S1 receptor-binding domain and human ACE2, representing a potentially significant antiviral lead in the context of ongoing pandemic preparedness (Wen et al., 2019). DNJ itself, as an </w:t>
      </w:r>
      <w:proofErr w:type="spellStart"/>
      <w:r w:rsidRPr="00A64648">
        <w:rPr>
          <w:lang w:val="en-GB"/>
        </w:rPr>
        <w:t>iminosugar</w:t>
      </w:r>
      <w:proofErr w:type="spellEnd"/>
      <w:r w:rsidRPr="00A64648">
        <w:rPr>
          <w:lang w:val="en-GB"/>
        </w:rPr>
        <w:t>, belongs to a class of compounds with established antiviral activity against enveloped viruses through interference with glycan processing (</w:t>
      </w:r>
      <w:proofErr w:type="spellStart"/>
      <w:r w:rsidRPr="00A64648">
        <w:rPr>
          <w:lang w:val="en-GB"/>
        </w:rPr>
        <w:t>Ramappa</w:t>
      </w:r>
      <w:proofErr w:type="spellEnd"/>
      <w:r w:rsidRPr="00A64648">
        <w:rPr>
          <w:lang w:val="en-GB"/>
        </w:rPr>
        <w:t xml:space="preserve"> et al., 2020).</w:t>
      </w:r>
    </w:p>
    <w:p w14:paraId="405FBA5F" w14:textId="77777777" w:rsidR="004E5FAA" w:rsidRPr="00A64648" w:rsidRDefault="00A64648">
      <w:pPr>
        <w:pStyle w:val="Heading2"/>
        <w:rPr>
          <w:lang w:val="en-GB"/>
        </w:rPr>
      </w:pPr>
      <w:r w:rsidRPr="00A64648">
        <w:rPr>
          <w:lang w:val="en-GB"/>
        </w:rPr>
        <w:t>6.8 Dermatological Applications and Skin-Whitening Effects</w:t>
      </w:r>
    </w:p>
    <w:p w14:paraId="337DB431" w14:textId="77777777" w:rsidR="004E5FAA" w:rsidRPr="00A64648" w:rsidRDefault="00A64648">
      <w:pPr>
        <w:ind w:firstLine="432"/>
        <w:jc w:val="both"/>
        <w:rPr>
          <w:lang w:val="en-GB"/>
        </w:rPr>
      </w:pPr>
      <w:r w:rsidRPr="00A64648">
        <w:rPr>
          <w:lang w:val="en-GB"/>
        </w:rPr>
        <w:t xml:space="preserve">The cosmeceutical and dermatological applications of mulberry represent one of the most commercially advanced dimensions of mulberry pharmacology. Hyperpigmentation disorders — including melasma, post-inflammatory hyperpigmentation (PIH), solar lentigo, and age spots — are characterised by localised or diffuse overproduction of melanin and are of high clinical and aesthetic </w:t>
      </w:r>
      <w:r w:rsidRPr="00A64648">
        <w:rPr>
          <w:lang w:val="en-GB"/>
        </w:rPr>
        <w:lastRenderedPageBreak/>
        <w:t xml:space="preserve">concern. Tyrosinase, the copper-containing enzyme that catalyses the rate-limiting conversion of L-tyrosine to L-DOPA and subsequently to dopaquinone in the melanogenesis pathway, represents the primary molecular target for depigmenting agents. Mulberry extracts are uniquely rich in tyrosinase inhibitors, with </w:t>
      </w:r>
      <w:proofErr w:type="spellStart"/>
      <w:r w:rsidRPr="00A64648">
        <w:rPr>
          <w:lang w:val="en-GB"/>
        </w:rPr>
        <w:t>oxyresveratrol</w:t>
      </w:r>
      <w:proofErr w:type="spellEnd"/>
      <w:r w:rsidRPr="00A64648">
        <w:rPr>
          <w:lang w:val="en-GB"/>
        </w:rPr>
        <w:t xml:space="preserve"> and </w:t>
      </w:r>
      <w:proofErr w:type="spellStart"/>
      <w:r w:rsidRPr="00A64648">
        <w:rPr>
          <w:lang w:val="en-GB"/>
        </w:rPr>
        <w:t>mulberroside</w:t>
      </w:r>
      <w:proofErr w:type="spellEnd"/>
      <w:r w:rsidRPr="00A64648">
        <w:rPr>
          <w:lang w:val="en-GB"/>
        </w:rPr>
        <w:t xml:space="preserve"> A representing the most potent among them (Wang et al., 2024).</w:t>
      </w:r>
    </w:p>
    <w:p w14:paraId="787681EE" w14:textId="77777777" w:rsidR="004E5FAA" w:rsidRPr="00A64648" w:rsidRDefault="00A64648">
      <w:pPr>
        <w:ind w:firstLine="432"/>
        <w:jc w:val="both"/>
        <w:rPr>
          <w:lang w:val="en-GB"/>
        </w:rPr>
      </w:pPr>
      <w:proofErr w:type="spellStart"/>
      <w:r w:rsidRPr="00A64648">
        <w:rPr>
          <w:lang w:val="en-GB"/>
        </w:rPr>
        <w:t>Oxyresveratrol</w:t>
      </w:r>
      <w:proofErr w:type="spellEnd"/>
      <w:r w:rsidRPr="00A64648">
        <w:rPr>
          <w:lang w:val="en-GB"/>
        </w:rPr>
        <w:t xml:space="preserve"> inhibits mushroom tyrosinase in a reversible, </w:t>
      </w:r>
      <w:proofErr w:type="spellStart"/>
      <w:r w:rsidRPr="00A64648">
        <w:rPr>
          <w:lang w:val="en-GB"/>
        </w:rPr>
        <w:t>noncompetitive</w:t>
      </w:r>
      <w:proofErr w:type="spellEnd"/>
      <w:r w:rsidRPr="00A64648">
        <w:rPr>
          <w:lang w:val="en-GB"/>
        </w:rPr>
        <w:t xml:space="preserve"> manner with respect to L-tyrosine as the substrate, with an IC₅₀ of approximately 1.2 </w:t>
      </w:r>
      <w:proofErr w:type="spellStart"/>
      <w:r w:rsidRPr="00A64648">
        <w:rPr>
          <w:lang w:val="en-GB"/>
        </w:rPr>
        <w:t>μM</w:t>
      </w:r>
      <w:proofErr w:type="spellEnd"/>
      <w:r w:rsidRPr="00A64648">
        <w:rPr>
          <w:lang w:val="en-GB"/>
        </w:rPr>
        <w:t xml:space="preserve"> against monophenolase activity — approximately 32-fold more potent than kojic acid, the benchmark cosmetic tyrosinase inhibitor. The inhibitory mechanism involves interaction with the copper ions at the enzyme's active site, mediated by the unique resorcinol structural elements present in </w:t>
      </w:r>
      <w:proofErr w:type="spellStart"/>
      <w:r w:rsidRPr="00A64648">
        <w:rPr>
          <w:lang w:val="en-GB"/>
        </w:rPr>
        <w:t>oxyresveratrol</w:t>
      </w:r>
      <w:proofErr w:type="spellEnd"/>
      <w:r w:rsidRPr="00A64648">
        <w:rPr>
          <w:lang w:val="en-GB"/>
        </w:rPr>
        <w:t xml:space="preserve">. A comprehensive in vitro study demonstrated that </w:t>
      </w:r>
      <w:proofErr w:type="spellStart"/>
      <w:r w:rsidRPr="00A64648">
        <w:rPr>
          <w:lang w:val="en-GB"/>
        </w:rPr>
        <w:t>oxyresveratrol</w:t>
      </w:r>
      <w:proofErr w:type="spellEnd"/>
      <w:r w:rsidRPr="00A64648">
        <w:rPr>
          <w:lang w:val="en-GB"/>
        </w:rPr>
        <w:t xml:space="preserve"> from mulberry twigs significantly inhibited melanin synthesis and melanosome transfer in human melanocytes, whilst simultaneously mitigating UV-induced inflammation and repairing skin barrier damage caused by UV radiation, suggesting a multifaceted approach to the prevention and treatment of PIH (Wang et al., 2024).</w:t>
      </w:r>
    </w:p>
    <w:p w14:paraId="75638842" w14:textId="77777777" w:rsidR="004E5FAA" w:rsidRPr="00A64648" w:rsidRDefault="00A64648">
      <w:pPr>
        <w:ind w:firstLine="432"/>
        <w:jc w:val="both"/>
        <w:rPr>
          <w:lang w:val="en-GB"/>
        </w:rPr>
      </w:pPr>
      <w:proofErr w:type="spellStart"/>
      <w:r w:rsidRPr="00A64648">
        <w:rPr>
          <w:lang w:val="en-GB"/>
        </w:rPr>
        <w:t>Mulberroside</w:t>
      </w:r>
      <w:proofErr w:type="spellEnd"/>
      <w:r w:rsidRPr="00A64648">
        <w:rPr>
          <w:lang w:val="en-GB"/>
        </w:rPr>
        <w:t xml:space="preserve"> A, the glucoside conjugate of </w:t>
      </w:r>
      <w:proofErr w:type="spellStart"/>
      <w:r w:rsidRPr="00A64648">
        <w:rPr>
          <w:lang w:val="en-GB"/>
        </w:rPr>
        <w:t>oxyresveratrol</w:t>
      </w:r>
      <w:proofErr w:type="spellEnd"/>
      <w:r w:rsidRPr="00A64648">
        <w:rPr>
          <w:lang w:val="en-GB"/>
        </w:rPr>
        <w:t xml:space="preserve">, also exhibits significant tyrosinase inhibitory activity with mixed-type inhibition kinetics for monophenolase activity and competitive inhibition for </w:t>
      </w:r>
      <w:proofErr w:type="spellStart"/>
      <w:r w:rsidRPr="00A64648">
        <w:rPr>
          <w:lang w:val="en-GB"/>
        </w:rPr>
        <w:t>diphenolase</w:t>
      </w:r>
      <w:proofErr w:type="spellEnd"/>
      <w:r w:rsidRPr="00A64648">
        <w:rPr>
          <w:lang w:val="en-GB"/>
        </w:rPr>
        <w:t xml:space="preserve"> activity. In preclinical skin models, </w:t>
      </w:r>
      <w:proofErr w:type="spellStart"/>
      <w:r w:rsidRPr="00A64648">
        <w:rPr>
          <w:lang w:val="en-GB"/>
        </w:rPr>
        <w:t>oxyresveratrol</w:t>
      </w:r>
      <w:proofErr w:type="spellEnd"/>
      <w:r w:rsidRPr="00A64648">
        <w:rPr>
          <w:lang w:val="en-GB"/>
        </w:rPr>
        <w:t xml:space="preserve"> demonstrated the highest anti-melanogenic activity among the stilbene derivatives tested, reducing melanin content in guinea pig skin exposed to UV radiation and causing measurable depigmentation. The safety advantage of mulberry-derived tyrosinase inhibitors over conventional agents such as hydroquinone — which is subject to regulatory restrictions in numerous countries due to potential carcinogenicity and </w:t>
      </w:r>
      <w:proofErr w:type="spellStart"/>
      <w:r w:rsidRPr="00A64648">
        <w:rPr>
          <w:lang w:val="en-GB"/>
        </w:rPr>
        <w:t>ochronosis</w:t>
      </w:r>
      <w:proofErr w:type="spellEnd"/>
      <w:r w:rsidRPr="00A64648">
        <w:rPr>
          <w:lang w:val="en-GB"/>
        </w:rPr>
        <w:t xml:space="preserve"> — positions them as highly attractive alternatives for cosmeceutical formulation (Wang et al., 2024). The well-established food-grade status of mulberry further facilitates the regulatory pathway for topical and ingested skin-whitening applications.</w:t>
      </w:r>
    </w:p>
    <w:p w14:paraId="066F5579" w14:textId="77777777" w:rsidR="004E5FAA" w:rsidRPr="00A64648" w:rsidRDefault="00A64648">
      <w:pPr>
        <w:pStyle w:val="Heading2"/>
        <w:rPr>
          <w:lang w:val="en-GB"/>
        </w:rPr>
      </w:pPr>
      <w:r w:rsidRPr="00A64648">
        <w:rPr>
          <w:lang w:val="en-GB"/>
        </w:rPr>
        <w:t>6.9 Anti-obesity and Hepatoprotective Effects</w:t>
      </w:r>
    </w:p>
    <w:p w14:paraId="782EC26B" w14:textId="77777777" w:rsidR="004E5FAA" w:rsidRPr="00A64648" w:rsidRDefault="00A64648">
      <w:pPr>
        <w:ind w:firstLine="432"/>
        <w:jc w:val="both"/>
        <w:rPr>
          <w:lang w:val="en-GB"/>
        </w:rPr>
      </w:pPr>
      <w:r w:rsidRPr="00A64648">
        <w:rPr>
          <w:lang w:val="en-GB"/>
        </w:rPr>
        <w:t>Obesity and non-alcoholic fatty liver disease (NAFLD) constitute two intimately interlinked components of the global metabolic disease pandemic. Mulberry bioactive compounds have demonstrated significant efficacy against both conditions through complementary metabolic mechanisms. Mulberry leaf extracts containing DNJ, polysaccharides, and flavonoids have been shown to reduce body weight and visceral fat accumulation in high-fat diet-induced obese animal models. The molecular mechanisms underlying anti-obesity effects include inhibition of pancreatic lipase activity, suppression of lipogenic gene expression (SREBP-1c, FAS), upregulation of lipolytic and fatty acid oxidation pathways (PPARα, CPT-1), and modulation of gut microbiota composition to reduce the Firmicutes-to-Bacteroidetes ratio — a marker of improved metabolic health (Zhang et al., 2022; Hao et al., 2022).</w:t>
      </w:r>
    </w:p>
    <w:p w14:paraId="34E57D4E" w14:textId="77777777" w:rsidR="004E5FAA" w:rsidRPr="00A64648" w:rsidRDefault="00A64648">
      <w:pPr>
        <w:ind w:firstLine="432"/>
        <w:jc w:val="both"/>
        <w:rPr>
          <w:lang w:val="en-GB"/>
        </w:rPr>
      </w:pPr>
      <w:r w:rsidRPr="00A64648">
        <w:rPr>
          <w:lang w:val="en-GB"/>
        </w:rPr>
        <w:lastRenderedPageBreak/>
        <w:t xml:space="preserve">The hepatoprotective effects of mulberry are mediated through antioxidant, anti-inflammatory, and lipid-lowering mechanisms. Mulberry fruit polysaccharides have been shown to protect HepG2 hepatocytes from H₂O₂-induced oxidative damage through activation of the PI3K/AKT/Nrf2 signalling pathway, with concomitant upregulation of SOD and GPX. Mulberry polyphenols alleviate NAFLD by modulating gut microbiota composition and the PI3K-AKT signalling pathway, reducing liver inflammation and steatosis. The flavonoid </w:t>
      </w:r>
      <w:proofErr w:type="spellStart"/>
      <w:r w:rsidRPr="00A64648">
        <w:rPr>
          <w:lang w:val="en-GB"/>
        </w:rPr>
        <w:t>rutin</w:t>
      </w:r>
      <w:proofErr w:type="spellEnd"/>
      <w:r w:rsidRPr="00A64648">
        <w:rPr>
          <w:lang w:val="en-GB"/>
        </w:rPr>
        <w:t xml:space="preserve">, present in significant quantities in mulberry leaves, exerts hepatoprotective effects by modulating oxidative stress and inflammatory signalling. An important study demonstrated that mulberry leaf aqueous extract significantly reduced weight gain, lipid accumulation, and oxidative stress in mice with high-fat diet-induced NAFLD, with histopathological improvements in hepatic steatosis and inflammation (Zhang et al., 2022). Mulberry leaf polysaccharides ameliorate insulin resistance and lipid metabolic dysbiosis in obese mice by modulating gut microbial community structure and plasma </w:t>
      </w:r>
      <w:proofErr w:type="spellStart"/>
      <w:r w:rsidRPr="00A64648">
        <w:rPr>
          <w:lang w:val="en-GB"/>
        </w:rPr>
        <w:t>lipidomics</w:t>
      </w:r>
      <w:proofErr w:type="spellEnd"/>
      <w:r w:rsidRPr="00A64648">
        <w:rPr>
          <w:lang w:val="en-GB"/>
        </w:rPr>
        <w:t>, further establishing polysaccharides as versatile therapeutic entities for metabolic liver disease.</w:t>
      </w:r>
    </w:p>
    <w:p w14:paraId="6304EBAE" w14:textId="77777777" w:rsidR="004E5FAA" w:rsidRPr="00A64648" w:rsidRDefault="00A64648">
      <w:pPr>
        <w:pStyle w:val="Heading2"/>
        <w:rPr>
          <w:lang w:val="en-GB"/>
        </w:rPr>
      </w:pPr>
      <w:r w:rsidRPr="00A64648">
        <w:rPr>
          <w:lang w:val="en-GB"/>
        </w:rPr>
        <w:t>6.10 Immunomodulatory Activity</w:t>
      </w:r>
    </w:p>
    <w:p w14:paraId="4ED263F4" w14:textId="77777777" w:rsidR="004E5FAA" w:rsidRPr="00A64648" w:rsidRDefault="00A64648">
      <w:pPr>
        <w:ind w:firstLine="432"/>
        <w:jc w:val="both"/>
        <w:rPr>
          <w:lang w:val="en-GB"/>
        </w:rPr>
      </w:pPr>
      <w:r w:rsidRPr="00A64648">
        <w:rPr>
          <w:lang w:val="en-GB"/>
        </w:rPr>
        <w:t>The immunomodulatory potential of mulberry, particularly of its polysaccharide fraction, represents an emerging but increasingly evidenced dimension of its pharmacological profile. Mulberry leaf polysaccharides (MLP) have been shown to restore thymus and spleen organ indices, repair damaged intestinal barrier integrity, and normalise inflammatory cytokine levels in cyclophosphamide-induced immunosuppressed mice — a standard preclinical model of iatrogenic immunodeficiency. MLP modulated gut microbial diversity in immunosuppressed animals, restoring Bacteroidetes-to-Firmicutes ratios and increasing the concentrations of beneficial short-chain fatty acids (SCFAs) including acetic acid, propionic acid, and butyric acid, which act as immune modulators through their interaction with intestinal G-protein-coupled receptors (He et al., 2018; Hao et al., 2022).</w:t>
      </w:r>
    </w:p>
    <w:p w14:paraId="78515723" w14:textId="77777777" w:rsidR="004E5FAA" w:rsidRPr="00A64648" w:rsidRDefault="00A64648">
      <w:pPr>
        <w:ind w:firstLine="432"/>
        <w:jc w:val="both"/>
        <w:rPr>
          <w:lang w:val="en-GB"/>
        </w:rPr>
      </w:pPr>
      <w:r w:rsidRPr="00A64648">
        <w:rPr>
          <w:lang w:val="en-GB"/>
        </w:rPr>
        <w:t>The mechanisms underlying the immunomodulatory effects of mulberry polysaccharides include stimulation of macrophage activation and phagocytic activity, enhancement of natural killer (NK) cell cytotoxicity, promotion of lymphocyte proliferation, and upregulation of secretory immunoglobulin A (</w:t>
      </w:r>
      <w:proofErr w:type="spellStart"/>
      <w:r w:rsidRPr="00A64648">
        <w:rPr>
          <w:lang w:val="en-GB"/>
        </w:rPr>
        <w:t>sIgA</w:t>
      </w:r>
      <w:proofErr w:type="spellEnd"/>
      <w:r w:rsidRPr="00A64648">
        <w:rPr>
          <w:lang w:val="en-GB"/>
        </w:rPr>
        <w:t>) in the intestinal mucosa. Mulberry polyphenols further contribute to immune regulation by modulating the balance between pro-inflammatory (Th1/Th17) and anti-inflammatory (Th2/</w:t>
      </w:r>
      <w:proofErr w:type="spellStart"/>
      <w:r w:rsidRPr="00A64648">
        <w:rPr>
          <w:lang w:val="en-GB"/>
        </w:rPr>
        <w:t>Treg</w:t>
      </w:r>
      <w:proofErr w:type="spellEnd"/>
      <w:r w:rsidRPr="00A64648">
        <w:rPr>
          <w:lang w:val="en-GB"/>
        </w:rPr>
        <w:t>) immune responses. The prebiotic properties of mulberry polysaccharides, promoting the growth of Bifidobacterium and Lactobacillus whilst inhibiting potentially pathogenic taxa, create an intestinal environment conducive to immune homeostasis. These immunomodulatory properties, combined with mulberry's anti-inflammatory and antioxidant activities, suggest a role for mulberry-based interventions in supporting immune resilience against infectious and inflammatory challenges.</w:t>
      </w:r>
    </w:p>
    <w:p w14:paraId="6388CF33" w14:textId="77777777" w:rsidR="004E5FAA" w:rsidRPr="00A64648" w:rsidRDefault="00A64648">
      <w:pPr>
        <w:pStyle w:val="Heading1"/>
        <w:rPr>
          <w:lang w:val="en-GB"/>
        </w:rPr>
      </w:pPr>
      <w:r w:rsidRPr="00A64648">
        <w:rPr>
          <w:lang w:val="en-GB"/>
        </w:rPr>
        <w:lastRenderedPageBreak/>
        <w:t>7. Bioavailability, Pharmacokinetics, and Drug Delivery Considerations</w:t>
      </w:r>
    </w:p>
    <w:p w14:paraId="1281D08A" w14:textId="77777777" w:rsidR="004E5FAA" w:rsidRPr="00A64648" w:rsidRDefault="00A64648">
      <w:pPr>
        <w:ind w:firstLine="432"/>
        <w:jc w:val="both"/>
        <w:rPr>
          <w:lang w:val="en-GB"/>
        </w:rPr>
      </w:pPr>
      <w:r w:rsidRPr="00A64648">
        <w:rPr>
          <w:lang w:val="en-GB"/>
        </w:rPr>
        <w:t xml:space="preserve">A critical challenge in the pharmaceutical translation of mulberry bioactive compounds lies in their </w:t>
      </w:r>
      <w:proofErr w:type="gramStart"/>
      <w:r w:rsidRPr="00A64648">
        <w:rPr>
          <w:lang w:val="en-GB"/>
        </w:rPr>
        <w:t>often limited</w:t>
      </w:r>
      <w:proofErr w:type="gramEnd"/>
      <w:r w:rsidRPr="00A64648">
        <w:rPr>
          <w:lang w:val="en-GB"/>
        </w:rPr>
        <w:t xml:space="preserve"> oral bioavailability, which constrains the systemic exposure achievable by conventional oral administration. The bioavailability of mulberry polyphenols is influenced by their molecular size, solubility, degree of glycosylation, intestinal membrane permeability, susceptibility to first-pass hepatic metabolism, and interaction with the gut microbiota (Wen et al., 2019). DNJ, being a small, water-soluble </w:t>
      </w:r>
      <w:proofErr w:type="spellStart"/>
      <w:r w:rsidRPr="00A64648">
        <w:rPr>
          <w:lang w:val="en-GB"/>
        </w:rPr>
        <w:t>iminosugar</w:t>
      </w:r>
      <w:proofErr w:type="spellEnd"/>
      <w:r w:rsidRPr="00A64648">
        <w:rPr>
          <w:lang w:val="en-GB"/>
        </w:rPr>
        <w:t>, exhibits relatively good intestinal absorption but is characterised by rapid clearance and limited prolonged efficacy, as evidenced by the transient glycaemic effects observed in meta-analyses — a finding that highlights the need for sustained-release formulation strategies (</w:t>
      </w:r>
      <w:proofErr w:type="spellStart"/>
      <w:r w:rsidRPr="00A64648">
        <w:rPr>
          <w:lang w:val="en-GB"/>
        </w:rPr>
        <w:t>Parida</w:t>
      </w:r>
      <w:proofErr w:type="spellEnd"/>
      <w:r w:rsidRPr="00A64648">
        <w:rPr>
          <w:lang w:val="en-GB"/>
        </w:rPr>
        <w:t xml:space="preserve"> et al., 2023).</w:t>
      </w:r>
    </w:p>
    <w:p w14:paraId="1929FF06" w14:textId="77777777" w:rsidR="004E5FAA" w:rsidRPr="00A64648" w:rsidRDefault="00A64648">
      <w:pPr>
        <w:ind w:firstLine="432"/>
        <w:jc w:val="both"/>
        <w:rPr>
          <w:lang w:val="en-GB"/>
        </w:rPr>
      </w:pPr>
      <w:proofErr w:type="spellStart"/>
      <w:r w:rsidRPr="00A64648">
        <w:rPr>
          <w:lang w:val="en-GB"/>
        </w:rPr>
        <w:t>Morusin</w:t>
      </w:r>
      <w:proofErr w:type="spellEnd"/>
      <w:r w:rsidRPr="00A64648">
        <w:rPr>
          <w:lang w:val="en-GB"/>
        </w:rPr>
        <w:t xml:space="preserve">, conversely, exhibits poor water solubility due to its highly lipophilic prenylated flavone structure, which limits its dissolution in the gastrointestinal environment and consequently restricts its oral bioavailability. This pharmacokinetic limitation is a significant barrier to its translation from in vitro and in vivo efficacy to clinical application. A range of nanotechnological strategies have been explored to overcome these challenges, including PLGA nanoparticle encapsulation, cyclodextrin complexation, liposomal delivery, and self-emulsifying drug delivery systems (SEDDS). In one notable approach, chlorotoxin-modified </w:t>
      </w:r>
      <w:proofErr w:type="spellStart"/>
      <w:r w:rsidRPr="00A64648">
        <w:rPr>
          <w:lang w:val="en-GB"/>
        </w:rPr>
        <w:t>morusin</w:t>
      </w:r>
      <w:proofErr w:type="spellEnd"/>
      <w:r w:rsidRPr="00A64648">
        <w:rPr>
          <w:lang w:val="en-GB"/>
        </w:rPr>
        <w:t xml:space="preserve">-PLGA nanoparticles were developed for targeted glioblastoma therapy, exploiting the tumour-targeting capacity of chlorotoxin to enhance </w:t>
      </w:r>
      <w:proofErr w:type="spellStart"/>
      <w:r w:rsidRPr="00A64648">
        <w:rPr>
          <w:lang w:val="en-GB"/>
        </w:rPr>
        <w:t>morusin</w:t>
      </w:r>
      <w:proofErr w:type="spellEnd"/>
      <w:r w:rsidRPr="00A64648">
        <w:rPr>
          <w:lang w:val="en-GB"/>
        </w:rPr>
        <w:t xml:space="preserve"> delivery selectively to brain tumour cells (</w:t>
      </w:r>
      <w:proofErr w:type="spellStart"/>
      <w:r w:rsidRPr="00A64648">
        <w:rPr>
          <w:lang w:val="en-GB"/>
        </w:rPr>
        <w:t>Ferraz</w:t>
      </w:r>
      <w:proofErr w:type="spellEnd"/>
      <w:r w:rsidRPr="00A64648">
        <w:rPr>
          <w:lang w:val="en-GB"/>
        </w:rPr>
        <w:t xml:space="preserve"> et al., 2024). These nanocarrier strategies not only improve solubility and absorption but also enable targeted delivery to tumour sites, reducing systemic toxicity and enhancing the therapeutic index of otherwise promising but pharmacokinetically challenged compounds.</w:t>
      </w:r>
    </w:p>
    <w:p w14:paraId="7B294831" w14:textId="77777777" w:rsidR="004E5FAA" w:rsidRPr="00A64648" w:rsidRDefault="00A64648">
      <w:pPr>
        <w:ind w:firstLine="432"/>
        <w:jc w:val="both"/>
        <w:rPr>
          <w:lang w:val="en-GB"/>
        </w:rPr>
      </w:pPr>
      <w:r w:rsidRPr="00A64648">
        <w:rPr>
          <w:lang w:val="en-GB"/>
        </w:rPr>
        <w:t xml:space="preserve">The metabolic fate of mulberry polyphenols involves extensive biotransformation by colonic microbiota into smaller phenolic metabolites — including protocatechuic acid, caffeic acid, and various hydroxycinnamic acids — which may themselves exert independent biological activities. This microbiota-mediated biotransformation introduces a substantial dimension of inter-individual variability in the biological response to mulberry supplementation, depending on the composition and metabolic capacity of the individual's gut microbial community. The development of mulberry-derived products with enhanced and predictable pharmacokinetic profiles — through microencapsulation, fermentation-based enrichment, or structural modification — represents an active and productive area of pharmaceutical research (Wen et al., 2019; </w:t>
      </w:r>
      <w:proofErr w:type="spellStart"/>
      <w:r w:rsidRPr="00A64648">
        <w:rPr>
          <w:lang w:val="en-GB"/>
        </w:rPr>
        <w:t>Parida</w:t>
      </w:r>
      <w:proofErr w:type="spellEnd"/>
      <w:r w:rsidRPr="00A64648">
        <w:rPr>
          <w:lang w:val="en-GB"/>
        </w:rPr>
        <w:t xml:space="preserve"> et al., 2023).</w:t>
      </w:r>
    </w:p>
    <w:p w14:paraId="79C376C9" w14:textId="77777777" w:rsidR="004E5FAA" w:rsidRPr="00A64648" w:rsidRDefault="00A64648">
      <w:pPr>
        <w:pStyle w:val="Heading1"/>
        <w:rPr>
          <w:lang w:val="en-GB"/>
        </w:rPr>
      </w:pPr>
      <w:r w:rsidRPr="00A64648">
        <w:rPr>
          <w:lang w:val="en-GB"/>
        </w:rPr>
        <w:t>8. Clinical Studies and Translational Evidence</w:t>
      </w:r>
    </w:p>
    <w:p w14:paraId="5AB0E7F1" w14:textId="77777777" w:rsidR="004E5FAA" w:rsidRPr="00A64648" w:rsidRDefault="00A64648">
      <w:pPr>
        <w:ind w:firstLine="432"/>
        <w:jc w:val="both"/>
        <w:rPr>
          <w:lang w:val="en-GB"/>
        </w:rPr>
      </w:pPr>
      <w:r w:rsidRPr="00A64648">
        <w:rPr>
          <w:lang w:val="en-GB"/>
        </w:rPr>
        <w:t>Whilst the majority of evidence for mulberry's pharmacological activities derives from in vitro and animal studies, a meaningful and growing corpus of human clinical trials corroborates these preclinical findings, particularly in the domains of glycaemic control, lipid metabolism, and weight management. Clinical trials with DNJ-</w:t>
      </w:r>
      <w:r w:rsidRPr="00A64648">
        <w:rPr>
          <w:lang w:val="en-GB"/>
        </w:rPr>
        <w:lastRenderedPageBreak/>
        <w:t>containing mulberry leaf preparations have demonstrated significant reductions in postprandial plasma glucose and insulin in subjects with impaired glucose tolerance and T2DM, consistent with the postulated α-glucosidase inhibitory mechanism of action (</w:t>
      </w:r>
      <w:proofErr w:type="spellStart"/>
      <w:r w:rsidRPr="00A64648">
        <w:rPr>
          <w:lang w:val="en-GB"/>
        </w:rPr>
        <w:t>Roghan</w:t>
      </w:r>
      <w:proofErr w:type="spellEnd"/>
      <w:r w:rsidRPr="00A64648">
        <w:rPr>
          <w:lang w:val="en-GB"/>
        </w:rPr>
        <w:t xml:space="preserve"> et al., 2025; </w:t>
      </w:r>
      <w:proofErr w:type="spellStart"/>
      <w:r w:rsidRPr="00A64648">
        <w:rPr>
          <w:lang w:val="en-GB"/>
        </w:rPr>
        <w:t>Parida</w:t>
      </w:r>
      <w:proofErr w:type="spellEnd"/>
      <w:r w:rsidRPr="00A64648">
        <w:rPr>
          <w:lang w:val="en-GB"/>
        </w:rPr>
        <w:t xml:space="preserve"> et al., 2023). A meta-analysis examining multiple randomised controlled trials involving DNJ confirmed statistically significant reductions in glycaemic parameters, providing a level of evidence that supports the therapeutic credibility of mulberry-based antidiabetic supplementation.</w:t>
      </w:r>
    </w:p>
    <w:p w14:paraId="4FBEEA2F" w14:textId="77777777" w:rsidR="004E5FAA" w:rsidRPr="00A64648" w:rsidRDefault="00A64648">
      <w:pPr>
        <w:ind w:firstLine="432"/>
        <w:jc w:val="both"/>
        <w:rPr>
          <w:lang w:val="en-GB"/>
        </w:rPr>
      </w:pPr>
      <w:r w:rsidRPr="00A64648">
        <w:rPr>
          <w:lang w:val="en-GB"/>
        </w:rPr>
        <w:t>Clinical evidence for lipid-lowering effects comes from studies involving mulberry leaf powder and tablets containing DNJ as the primary active ingredient, which reduced α-glucosidase enzyme activity and prevented disaccharide digestion in patients with mild dyslipidaemia. Supplementation with an herbal composition comprising M. alba leaves as a key component alongside other botanicals was found to significantly reduce HbA1c, fasting blood glucose, and lipid parameters with good tolerability and without adverse interactions with conventional medications (</w:t>
      </w:r>
      <w:proofErr w:type="spellStart"/>
      <w:r w:rsidRPr="00A64648">
        <w:rPr>
          <w:lang w:val="en-GB"/>
        </w:rPr>
        <w:t>Parida</w:t>
      </w:r>
      <w:proofErr w:type="spellEnd"/>
      <w:r w:rsidRPr="00A64648">
        <w:rPr>
          <w:lang w:val="en-GB"/>
        </w:rPr>
        <w:t xml:space="preserve"> et al., 2023). These findings are noteworthy for their clinical relevance, given that glycaemic and lipid management remain central challenges in the long-term prevention of cardiovascular and renal complications in diabetic patients.</w:t>
      </w:r>
    </w:p>
    <w:p w14:paraId="6A2ADA8C" w14:textId="77777777" w:rsidR="004E5FAA" w:rsidRPr="00A64648" w:rsidRDefault="00A64648">
      <w:pPr>
        <w:ind w:firstLine="432"/>
        <w:jc w:val="both"/>
        <w:rPr>
          <w:lang w:val="en-GB"/>
        </w:rPr>
      </w:pPr>
      <w:r w:rsidRPr="00A64648">
        <w:rPr>
          <w:lang w:val="en-GB"/>
        </w:rPr>
        <w:t xml:space="preserve">Commercial mulberry-based products including </w:t>
      </w:r>
      <w:proofErr w:type="spellStart"/>
      <w:r w:rsidRPr="00A64648">
        <w:rPr>
          <w:lang w:val="en-GB"/>
        </w:rPr>
        <w:t>Reducose</w:t>
      </w:r>
      <w:proofErr w:type="spellEnd"/>
      <w:r w:rsidRPr="00A64648">
        <w:rPr>
          <w:lang w:val="en-GB"/>
        </w:rPr>
        <w:t xml:space="preserve">® and </w:t>
      </w:r>
      <w:proofErr w:type="spellStart"/>
      <w:r w:rsidRPr="00A64648">
        <w:rPr>
          <w:lang w:val="en-GB"/>
        </w:rPr>
        <w:t>Glubloc</w:t>
      </w:r>
      <w:proofErr w:type="spellEnd"/>
      <w:r w:rsidRPr="00A64648">
        <w:rPr>
          <w:lang w:val="en-GB"/>
        </w:rPr>
        <w:t>™, which contain DNJ and M. alba respectively as primary active components, have been the subject of controlled human studies investigating their effects on postprandial glucose and insulin metabolism (</w:t>
      </w:r>
      <w:proofErr w:type="spellStart"/>
      <w:r w:rsidRPr="00A64648">
        <w:rPr>
          <w:lang w:val="en-GB"/>
        </w:rPr>
        <w:t>Parida</w:t>
      </w:r>
      <w:proofErr w:type="spellEnd"/>
      <w:r w:rsidRPr="00A64648">
        <w:rPr>
          <w:lang w:val="en-GB"/>
        </w:rPr>
        <w:t xml:space="preserve"> et al., 2023). Preclinical evidence for cognitive enhancement by mulberry was observed in animal models, and whilst clinical trial data in this domain remain limited, the mechanistic plausibility of neuroprotective benefits — supported by in vitro and animal data — warrants further investigation in human subjects, particularly among populations at heightened risk of neurodegenerative disease. Overall, whilst the existing clinical evidence is promising and mechanistically coherent with preclinical data, larger, longer-duration, and more rigorously designed randomised controlled trials are required to establish definitive clinical efficacy and safety profiles for mulberry-derived pharmaceutical preparations.</w:t>
      </w:r>
    </w:p>
    <w:p w14:paraId="090F2606" w14:textId="77777777" w:rsidR="004E5FAA" w:rsidRPr="00A64648" w:rsidRDefault="00A64648">
      <w:pPr>
        <w:pStyle w:val="Heading1"/>
        <w:rPr>
          <w:lang w:val="en-GB"/>
        </w:rPr>
      </w:pPr>
      <w:r w:rsidRPr="00A64648">
        <w:rPr>
          <w:lang w:val="en-GB"/>
        </w:rPr>
        <w:t>9. Safety Profile and Toxicological Considerations</w:t>
      </w:r>
    </w:p>
    <w:p w14:paraId="25325CA5" w14:textId="77777777" w:rsidR="004E5FAA" w:rsidRPr="00A64648" w:rsidRDefault="00A64648">
      <w:pPr>
        <w:ind w:firstLine="432"/>
        <w:jc w:val="both"/>
        <w:rPr>
          <w:lang w:val="en-GB"/>
        </w:rPr>
      </w:pPr>
      <w:r w:rsidRPr="00A64648">
        <w:rPr>
          <w:lang w:val="en-GB"/>
        </w:rPr>
        <w:t>Mulberry fruits, leaves, and their extracts have been consumed by humans for thousands of years in various culinary and medicinal contexts, providing a substantial empirical safety basis. Toxicological studies in rodent models have generally confirmed the safety of mulberry leaf extracts at doses relevant to their pharmacological effects, with acute and subacute toxicity studies reporting no significant organ toxicity, haematological abnormalities, or body weight reduction at tested doses. A formal acute toxicity study of ethanolic leaf extract of M. alba in ICR mice found no lethality and confirmed a favourable general safety profile, whilst subacute investigations reported no clinically significant haematological, biochemical, or histopathological alterations at moderate doses (Chen et al., 2021).</w:t>
      </w:r>
    </w:p>
    <w:p w14:paraId="1818DCB7" w14:textId="77777777" w:rsidR="004E5FAA" w:rsidRPr="00A64648" w:rsidRDefault="00A64648">
      <w:pPr>
        <w:ind w:firstLine="432"/>
        <w:jc w:val="both"/>
        <w:rPr>
          <w:lang w:val="en-GB"/>
        </w:rPr>
      </w:pPr>
      <w:r w:rsidRPr="00A64648">
        <w:rPr>
          <w:lang w:val="en-GB"/>
        </w:rPr>
        <w:lastRenderedPageBreak/>
        <w:t xml:space="preserve">The safety profile of DNJ is generally considered superior to that of synthetic α-glucosidase inhibitors such as acarbose, which is associated with gastrointestinal side effects including flatulence, bloating, and diarrhoea in a substantial proportion of users. Clinical studies with DNJ-containing mulberry preparations have reported minimal adverse effects, with no severe toxicological concerns at therapeutic doses. </w:t>
      </w:r>
      <w:proofErr w:type="spellStart"/>
      <w:r w:rsidRPr="00A64648">
        <w:rPr>
          <w:lang w:val="en-GB"/>
        </w:rPr>
        <w:t>Morusin</w:t>
      </w:r>
      <w:proofErr w:type="spellEnd"/>
      <w:r w:rsidRPr="00A64648">
        <w:rPr>
          <w:lang w:val="en-GB"/>
        </w:rPr>
        <w:t>, the prenylated flavone with potent anticancer activity, has been reported to exhibit selective cytotoxicity towards malignant cells with comparatively lower toxicity towards normal cells across multiple preclinical studies, a characteristic that supports its further clinical investigation. However, the potential for herb-drug interactions must be acknowledged: mulberry compounds that modulate CYP450 enzymes or P-glycoprotein could theoretically alter the pharmacokinetics of co-administered conventional drugs, necessitating caution and clinical monitoring in multi-drug therapeutic regimens (</w:t>
      </w:r>
      <w:proofErr w:type="spellStart"/>
      <w:r w:rsidRPr="00A64648">
        <w:rPr>
          <w:lang w:val="en-GB"/>
        </w:rPr>
        <w:t>Ramappa</w:t>
      </w:r>
      <w:proofErr w:type="spellEnd"/>
      <w:r w:rsidRPr="00A64648">
        <w:rPr>
          <w:lang w:val="en-GB"/>
        </w:rPr>
        <w:t xml:space="preserve"> et al., 2020). Certain mulberry compounds, particularly the Diels-Alder adducts, may warrant more detailed toxicological characterisation at higher doses and over extended exposure periods before clinical application can be endorsed.</w:t>
      </w:r>
    </w:p>
    <w:p w14:paraId="0CD829DB" w14:textId="77777777" w:rsidR="004E5FAA" w:rsidRPr="00A64648" w:rsidRDefault="00A64648">
      <w:pPr>
        <w:pStyle w:val="Heading1"/>
        <w:rPr>
          <w:lang w:val="en-GB"/>
        </w:rPr>
      </w:pPr>
      <w:r w:rsidRPr="00A64648">
        <w:rPr>
          <w:lang w:val="en-GB"/>
        </w:rPr>
        <w:t>10. Future Directions and Pharmaceutical Potential</w:t>
      </w:r>
    </w:p>
    <w:p w14:paraId="5BCA7413" w14:textId="77777777" w:rsidR="004E5FAA" w:rsidRPr="00A64648" w:rsidRDefault="00A64648">
      <w:pPr>
        <w:ind w:firstLine="432"/>
        <w:jc w:val="both"/>
        <w:rPr>
          <w:lang w:val="en-GB"/>
        </w:rPr>
      </w:pPr>
      <w:r w:rsidRPr="00A64648">
        <w:rPr>
          <w:lang w:val="en-GB"/>
        </w:rPr>
        <w:t xml:space="preserve">The pharmaceutical potential of mulberry is broad, multi-target, and substantiated by a convergent body of evidence spanning traditional use, molecular pharmacology, and clinical investigation. Several strategic directions present themselves as priorities for the advancement of mulberry-based pharmaceutical development. First, the translation of promising preclinical anticancer data — particularly for </w:t>
      </w:r>
      <w:proofErr w:type="spellStart"/>
      <w:r w:rsidRPr="00A64648">
        <w:rPr>
          <w:lang w:val="en-GB"/>
        </w:rPr>
        <w:t>morusin</w:t>
      </w:r>
      <w:proofErr w:type="spellEnd"/>
      <w:r w:rsidRPr="00A64648">
        <w:rPr>
          <w:lang w:val="en-GB"/>
        </w:rPr>
        <w:t xml:space="preserve"> — into clinical trials must be prioritised, with particular attention to solving pharmacokinetic limitations through advanced drug delivery technologies. </w:t>
      </w:r>
      <w:proofErr w:type="spellStart"/>
      <w:r w:rsidRPr="00A64648">
        <w:rPr>
          <w:lang w:val="en-GB"/>
        </w:rPr>
        <w:t>Nanoformulation</w:t>
      </w:r>
      <w:proofErr w:type="spellEnd"/>
      <w:r w:rsidRPr="00A64648">
        <w:rPr>
          <w:lang w:val="en-GB"/>
        </w:rPr>
        <w:t xml:space="preserve"> approaches including nanoparticle encapsulation, liposomal delivery, and supercritical fluid extraction have already demonstrated utility in enhancing the bioavailability and tumour-targeting capacity of </w:t>
      </w:r>
      <w:proofErr w:type="spellStart"/>
      <w:r w:rsidRPr="00A64648">
        <w:rPr>
          <w:lang w:val="en-GB"/>
        </w:rPr>
        <w:t>morusin</w:t>
      </w:r>
      <w:proofErr w:type="spellEnd"/>
      <w:r w:rsidRPr="00A64648">
        <w:rPr>
          <w:lang w:val="en-GB"/>
        </w:rPr>
        <w:t xml:space="preserve"> and other lipophilic mulberry compounds, and their further clinical development is urgently warranted (</w:t>
      </w:r>
      <w:proofErr w:type="spellStart"/>
      <w:r w:rsidRPr="00A64648">
        <w:rPr>
          <w:lang w:val="en-GB"/>
        </w:rPr>
        <w:t>Ferraz</w:t>
      </w:r>
      <w:proofErr w:type="spellEnd"/>
      <w:r w:rsidRPr="00A64648">
        <w:rPr>
          <w:lang w:val="en-GB"/>
        </w:rPr>
        <w:t xml:space="preserve"> et al., 2024; Hao et al., 2022).</w:t>
      </w:r>
    </w:p>
    <w:p w14:paraId="00D3DB9E" w14:textId="77777777" w:rsidR="004E5FAA" w:rsidRPr="00A64648" w:rsidRDefault="00A64648">
      <w:pPr>
        <w:ind w:firstLine="432"/>
        <w:jc w:val="both"/>
        <w:rPr>
          <w:lang w:val="en-GB"/>
        </w:rPr>
      </w:pPr>
      <w:r w:rsidRPr="00A64648">
        <w:rPr>
          <w:lang w:val="en-GB"/>
        </w:rPr>
        <w:t>Network pharmacology and molecular docking studies have emerged as powerful tools for the systematic identification of molecular targets and mechanistic pathways underlying mulberry's pharmacological activities, enabling a more rational approach to drug discovery and combination therapy design. These in silico methods have already been applied to investigate the interactions of M. alba phytochemicals with targets relevant to gout, colorectal cancer, NAFLD, and neurodegenerative conditions, identifying several phytochemical candidates worthy of experimental validation (Wen et al., 2019; Zhang et al., 2022). The gut microbiota-mediated mechanisms underlying the metabolic, immunomodulatory, and neuroprotective effects of mulberry polysaccharides and polyphenols represent a particularly fertile area for future investigation, given the centrality of the gut-brain and gut-liver axes in metabolic and neurodegenerative disease.</w:t>
      </w:r>
    </w:p>
    <w:p w14:paraId="5A9CE04A" w14:textId="77777777" w:rsidR="004E5FAA" w:rsidRPr="00A64648" w:rsidRDefault="00A64648">
      <w:pPr>
        <w:ind w:firstLine="432"/>
        <w:jc w:val="both"/>
        <w:rPr>
          <w:lang w:val="en-GB"/>
        </w:rPr>
      </w:pPr>
      <w:r w:rsidRPr="00A64648">
        <w:rPr>
          <w:lang w:val="en-GB"/>
        </w:rPr>
        <w:lastRenderedPageBreak/>
        <w:t xml:space="preserve">The development of mulberry-based functional foods and nutraceuticals — including standardised leaf teas, encapsulated extracts, fortified yoghurts, and fermented beverages — offers a complementary and potentially more commercially accessible pathway to deploying mulberry's health benefits at population scale. Standardisation of mulberry preparations in terms of DNJ content, total polyphenol content, and specific marker compounds is essential for ensuring batch-to-batch consistency, scientific reproducibility, and regulatory acceptance. Agricultural biotechnological approaches, including elicitation strategies and hairy root culture systems for the enhancement of specific phytochemical yields — such as </w:t>
      </w:r>
      <w:proofErr w:type="spellStart"/>
      <w:r w:rsidRPr="00A64648">
        <w:rPr>
          <w:lang w:val="en-GB"/>
        </w:rPr>
        <w:t>oxyresveratrol</w:t>
      </w:r>
      <w:proofErr w:type="spellEnd"/>
      <w:r w:rsidRPr="00A64648">
        <w:rPr>
          <w:lang w:val="en-GB"/>
        </w:rPr>
        <w:t xml:space="preserve"> for cosmeceutical applications — also hold considerable promise for meeting growing commercial demand whilst reducing pressure on natural plant resources (Wen et al., 2019).</w:t>
      </w:r>
    </w:p>
    <w:p w14:paraId="4F5550F2" w14:textId="77777777" w:rsidR="004E5FAA" w:rsidRPr="00A64648" w:rsidRDefault="00A64648">
      <w:pPr>
        <w:ind w:firstLine="432"/>
        <w:jc w:val="both"/>
        <w:rPr>
          <w:lang w:val="en-GB"/>
        </w:rPr>
      </w:pPr>
      <w:r w:rsidRPr="00A64648">
        <w:rPr>
          <w:lang w:val="en-GB"/>
        </w:rPr>
        <w:t xml:space="preserve">The application of advanced omics technologies — metabolomics, genomics, proteomics, and </w:t>
      </w:r>
      <w:proofErr w:type="spellStart"/>
      <w:r w:rsidRPr="00A64648">
        <w:rPr>
          <w:lang w:val="en-GB"/>
        </w:rPr>
        <w:t>pharmacomicrobiomics</w:t>
      </w:r>
      <w:proofErr w:type="spellEnd"/>
      <w:r w:rsidRPr="00A64648">
        <w:rPr>
          <w:lang w:val="en-GB"/>
        </w:rPr>
        <w:t xml:space="preserve"> — to the study of mulberry's health effects in human populations will be critical for moving from population-level associations to individualised therapeutic strategies. Considering the substantial inter-individual variability in the metabolic activation and biological response to mulberry compounds, a precision nutrition approach that accounts for individual gut microbiota profiles, genetic polymorphisms in metabolic enzymes, and clinical phenotype will ultimately be required to optimise the therapeutic deployment of mulberry-derived preparations (Zhang et al., 2025; Qi et al., 2025).</w:t>
      </w:r>
    </w:p>
    <w:p w14:paraId="170F45F5" w14:textId="77777777" w:rsidR="004E5FAA" w:rsidRPr="00A64648" w:rsidRDefault="00A64648">
      <w:pPr>
        <w:pStyle w:val="Heading1"/>
        <w:rPr>
          <w:lang w:val="en-GB"/>
        </w:rPr>
      </w:pPr>
      <w:r w:rsidRPr="00A64648">
        <w:rPr>
          <w:lang w:val="en-GB"/>
        </w:rPr>
        <w:t>Conclusions</w:t>
      </w:r>
    </w:p>
    <w:p w14:paraId="3FFB8D03" w14:textId="77777777" w:rsidR="004E5FAA" w:rsidRPr="00A64648" w:rsidRDefault="00A64648">
      <w:pPr>
        <w:ind w:firstLine="432"/>
        <w:jc w:val="both"/>
        <w:rPr>
          <w:lang w:val="en-GB"/>
        </w:rPr>
      </w:pPr>
      <w:r w:rsidRPr="00A64648">
        <w:rPr>
          <w:lang w:val="en-GB"/>
        </w:rPr>
        <w:t>Mulberry (</w:t>
      </w:r>
      <w:proofErr w:type="spellStart"/>
      <w:r w:rsidRPr="00A64648">
        <w:rPr>
          <w:lang w:val="en-GB"/>
        </w:rPr>
        <w:t>Morus</w:t>
      </w:r>
      <w:proofErr w:type="spellEnd"/>
      <w:r w:rsidRPr="00A64648">
        <w:rPr>
          <w:lang w:val="en-GB"/>
        </w:rPr>
        <w:t xml:space="preserve"> spp.) merits recognition as one of the most pharmacologically versatile medicinal plants on the global therapeutic landscape. The convergence of an exceptionally rich and structurally diverse phytochemical composition — encompassing DNJ, </w:t>
      </w:r>
      <w:proofErr w:type="spellStart"/>
      <w:r w:rsidRPr="00A64648">
        <w:rPr>
          <w:lang w:val="en-GB"/>
        </w:rPr>
        <w:t>morusin</w:t>
      </w:r>
      <w:proofErr w:type="spellEnd"/>
      <w:r w:rsidRPr="00A64648">
        <w:rPr>
          <w:lang w:val="en-GB"/>
        </w:rPr>
        <w:t xml:space="preserve">, </w:t>
      </w:r>
      <w:proofErr w:type="spellStart"/>
      <w:r w:rsidRPr="00A64648">
        <w:rPr>
          <w:lang w:val="en-GB"/>
        </w:rPr>
        <w:t>oxyresveratrol</w:t>
      </w:r>
      <w:proofErr w:type="spellEnd"/>
      <w:r w:rsidRPr="00A64648">
        <w:rPr>
          <w:lang w:val="en-GB"/>
        </w:rPr>
        <w:t xml:space="preserve">, polysaccharides, anthocyanins, and a vast array of flavonoids and phenolic acids — with a multi-target pharmacological profile spanning antidiabetic, antioxidant, anti-inflammatory, anticancer, cardiovascular, neuroprotective, antimicrobial, dermatological, anti-obesity, and immunomodulatory activities positions mulberry as a treasure trove of pharmaceutical potential. The antidiabetic efficacy of DNJ through α-glucosidase inhibition, the anticancer potency of </w:t>
      </w:r>
      <w:proofErr w:type="spellStart"/>
      <w:r w:rsidRPr="00A64648">
        <w:rPr>
          <w:lang w:val="en-GB"/>
        </w:rPr>
        <w:t>morusin</w:t>
      </w:r>
      <w:proofErr w:type="spellEnd"/>
      <w:r w:rsidRPr="00A64648">
        <w:rPr>
          <w:lang w:val="en-GB"/>
        </w:rPr>
        <w:t xml:space="preserve"> through apoptotic and signalling pathway modulation, and the dermatological utility of </w:t>
      </w:r>
      <w:proofErr w:type="spellStart"/>
      <w:r w:rsidRPr="00A64648">
        <w:rPr>
          <w:lang w:val="en-GB"/>
        </w:rPr>
        <w:t>oxyresveratrol</w:t>
      </w:r>
      <w:proofErr w:type="spellEnd"/>
      <w:r w:rsidRPr="00A64648">
        <w:rPr>
          <w:lang w:val="en-GB"/>
        </w:rPr>
        <w:t xml:space="preserve"> through tyrosinase inhibition each represent mature research domains with substantial evidence bases supporting clinical translation. Mulberry polysaccharides additionally offer unexploited potential as immunomodulatory, prebiotic, and hepatoprotective agents with favourable safety profiles.</w:t>
      </w:r>
    </w:p>
    <w:p w14:paraId="305D9118" w14:textId="77777777" w:rsidR="004E5FAA" w:rsidRPr="00A64648" w:rsidRDefault="00A64648">
      <w:pPr>
        <w:ind w:firstLine="432"/>
        <w:jc w:val="both"/>
        <w:rPr>
          <w:lang w:val="en-GB"/>
        </w:rPr>
      </w:pPr>
      <w:r w:rsidRPr="00A64648">
        <w:rPr>
          <w:lang w:val="en-GB"/>
        </w:rPr>
        <w:t xml:space="preserve">The food-grade history, wide geographical distribution, established cultivation infrastructure, and growing commercial availability of mulberry significantly facilitate both the regulatory pathway and the economics of pharmaceutical and nutraceutical product development. Advances in nanotechnology-based drug delivery, </w:t>
      </w:r>
      <w:r w:rsidRPr="00A64648">
        <w:rPr>
          <w:lang w:val="en-GB"/>
        </w:rPr>
        <w:lastRenderedPageBreak/>
        <w:t>network pharmacology, and precision nutrition are poised to overcome current limitations in bioavailability and translation. The integration of mulberry research into the broader frameworks of metabolic syndrome management, oncology, neuroprotection, and dermatology is both scientifically compelling and commercially promising. Continued rigorous investment in well-designed clinical trials and translational research will be essential to fully realise this potential and to establish mulberry-derived products as mainstream pharmaceutical and nutraceutical entities.</w:t>
      </w:r>
    </w:p>
    <w:p w14:paraId="109419DE" w14:textId="77777777" w:rsidR="004E5FAA" w:rsidRPr="00A64648" w:rsidRDefault="00A64648">
      <w:pPr>
        <w:pStyle w:val="Heading1"/>
        <w:rPr>
          <w:lang w:val="en-GB"/>
        </w:rPr>
      </w:pPr>
      <w:r w:rsidRPr="00A64648">
        <w:rPr>
          <w:lang w:val="en-GB"/>
        </w:rPr>
        <w:t>Limitations</w:t>
      </w:r>
    </w:p>
    <w:p w14:paraId="1CB10C74" w14:textId="77777777" w:rsidR="004E5FAA" w:rsidRPr="00A64648" w:rsidRDefault="00A64648">
      <w:pPr>
        <w:ind w:firstLine="432"/>
        <w:jc w:val="both"/>
        <w:rPr>
          <w:lang w:val="en-GB"/>
        </w:rPr>
      </w:pPr>
      <w:r w:rsidRPr="00A64648">
        <w:rPr>
          <w:lang w:val="en-GB"/>
        </w:rPr>
        <w:t xml:space="preserve">Several limitations warrant acknowledgement in contextualising the conclusions of this review. A substantial proportion of the pharmacological evidence reviewed derives from in vitro cell culture studies and rodent animal models, which may not faithfully replicate the complex pharmacokinetic and pharmacodynamic environment of the human body. The extrapolation of in vitro concentrations demonstrating biological activity to physiologically achievable in vivo plasma levels remains a significant translational challenge for many mulberry compounds, particularly the lipophilic </w:t>
      </w:r>
      <w:proofErr w:type="spellStart"/>
      <w:r w:rsidRPr="00A64648">
        <w:rPr>
          <w:lang w:val="en-GB"/>
        </w:rPr>
        <w:t>morusin</w:t>
      </w:r>
      <w:proofErr w:type="spellEnd"/>
      <w:r w:rsidRPr="00A64648">
        <w:rPr>
          <w:lang w:val="en-GB"/>
        </w:rPr>
        <w:t>. Clinical evidence, whilst growing, remains limited in terms of the number, scale, and duration of randomised controlled trials, particularly for indications beyond glycaemic control.</w:t>
      </w:r>
    </w:p>
    <w:p w14:paraId="4F377776" w14:textId="5690EDED" w:rsidR="004E5FAA" w:rsidRDefault="00A64648">
      <w:pPr>
        <w:ind w:firstLine="432"/>
        <w:jc w:val="both"/>
        <w:rPr>
          <w:lang w:val="en-GB"/>
        </w:rPr>
      </w:pPr>
      <w:r w:rsidRPr="00A64648">
        <w:rPr>
          <w:lang w:val="en-GB"/>
        </w:rPr>
        <w:t>Significant heterogeneity in the phytochemical composition of mulberry products across studies — arising from variability in species, geographical origin, plant part used, harvesting season, and extraction methodology — complicates the synthesis of consistent conclusions and limits comparability between studies. The absence of standardised mulberry preparations in many studies hampers dose-response characterisation and regulatory evaluation. Potential herb-drug interactions for mulberry compounds and their metabolites have not been comprehensively mapped, representing a gap of clinical safety significance. Furthermore, this review, whilst comprehensive in scope, is narrative in methodology and therefore subject to the inherent possibility of selection bias in literature identification. Future systematic reviews and meta-analyses focused on specific pharmacological outcomes and defined mulberry preparations will be essential to generate higher-certainty evidence for clinical guidance.</w:t>
      </w:r>
    </w:p>
    <w:p w14:paraId="37281063" w14:textId="77777777" w:rsidR="002F0B23" w:rsidRPr="00CA3906" w:rsidRDefault="002F0B23" w:rsidP="002F0B23">
      <w:pPr>
        <w:rPr>
          <w:b/>
          <w:highlight w:val="yellow"/>
        </w:rPr>
      </w:pPr>
      <w:r w:rsidRPr="00CA3906">
        <w:rPr>
          <w:b/>
          <w:highlight w:val="yellow"/>
        </w:rPr>
        <w:t>Disclaimer (Artificial intelligence)</w:t>
      </w:r>
    </w:p>
    <w:p w14:paraId="170982A7" w14:textId="77777777" w:rsidR="002F0B23" w:rsidRPr="00740879" w:rsidRDefault="002F0B23" w:rsidP="002F0B2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1048FD1" w14:textId="77777777" w:rsidR="002F0B23" w:rsidRPr="00A64648" w:rsidRDefault="002F0B23">
      <w:pPr>
        <w:ind w:firstLine="432"/>
        <w:jc w:val="both"/>
        <w:rPr>
          <w:lang w:val="en-GB"/>
        </w:rPr>
      </w:pPr>
    </w:p>
    <w:p w14:paraId="1DEEC1FC" w14:textId="77777777" w:rsidR="004E5FAA" w:rsidRPr="00A64648" w:rsidRDefault="00A64648">
      <w:pPr>
        <w:pStyle w:val="Heading1"/>
        <w:rPr>
          <w:lang w:val="en-GB"/>
        </w:rPr>
      </w:pPr>
      <w:r w:rsidRPr="00A64648">
        <w:rPr>
          <w:lang w:val="en-GB"/>
        </w:rPr>
        <w:t>References</w:t>
      </w:r>
    </w:p>
    <w:p w14:paraId="6B94AB66"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Chen, C., Mohamad Razali, U. H., </w:t>
      </w:r>
      <w:proofErr w:type="spellStart"/>
      <w:r w:rsidRPr="00D346B7">
        <w:rPr>
          <w:sz w:val="22"/>
          <w:lang w:val="en-GB"/>
        </w:rPr>
        <w:t>Saikim</w:t>
      </w:r>
      <w:proofErr w:type="spellEnd"/>
      <w:r w:rsidRPr="00D346B7">
        <w:rPr>
          <w:sz w:val="22"/>
          <w:lang w:val="en-GB"/>
        </w:rPr>
        <w:t xml:space="preserve">, F. H., </w:t>
      </w:r>
      <w:proofErr w:type="spellStart"/>
      <w:r w:rsidRPr="00D346B7">
        <w:rPr>
          <w:sz w:val="22"/>
          <w:lang w:val="en-GB"/>
        </w:rPr>
        <w:t>Mahyudin</w:t>
      </w:r>
      <w:proofErr w:type="spellEnd"/>
      <w:r w:rsidRPr="00D346B7">
        <w:rPr>
          <w:sz w:val="22"/>
          <w:lang w:val="en-GB"/>
        </w:rPr>
        <w:t xml:space="preserve">, A., &amp; </w:t>
      </w:r>
      <w:proofErr w:type="spellStart"/>
      <w:r w:rsidRPr="00D346B7">
        <w:rPr>
          <w:sz w:val="22"/>
          <w:lang w:val="en-GB"/>
        </w:rPr>
        <w:t>Mohd</w:t>
      </w:r>
      <w:proofErr w:type="spellEnd"/>
      <w:r w:rsidRPr="00D346B7">
        <w:rPr>
          <w:sz w:val="22"/>
          <w:lang w:val="en-GB"/>
        </w:rPr>
        <w:t xml:space="preserve"> Noor, N. Q. I. (2021). </w:t>
      </w:r>
      <w:proofErr w:type="spellStart"/>
      <w:r w:rsidRPr="00D346B7">
        <w:rPr>
          <w:sz w:val="22"/>
          <w:lang w:val="en-GB"/>
        </w:rPr>
        <w:t>Morus</w:t>
      </w:r>
      <w:proofErr w:type="spellEnd"/>
      <w:r w:rsidRPr="00D346B7">
        <w:rPr>
          <w:sz w:val="22"/>
          <w:lang w:val="en-GB"/>
        </w:rPr>
        <w:t xml:space="preserve"> alba L. plant: Bioactive compounds and potential as a functional food ingredient. Foods, 10(3), 689. https://doi.org/10.3390/foods10030689</w:t>
      </w:r>
    </w:p>
    <w:p w14:paraId="41805381" w14:textId="77777777" w:rsidR="004E5FAA" w:rsidRPr="00D346B7" w:rsidRDefault="00A64648" w:rsidP="00D346B7">
      <w:pPr>
        <w:pStyle w:val="ListParagraph"/>
        <w:numPr>
          <w:ilvl w:val="0"/>
          <w:numId w:val="12"/>
        </w:numPr>
        <w:spacing w:after="80"/>
        <w:jc w:val="both"/>
        <w:rPr>
          <w:lang w:val="en-GB"/>
        </w:rPr>
      </w:pPr>
      <w:r w:rsidRPr="00D346B7">
        <w:rPr>
          <w:sz w:val="22"/>
          <w:lang w:val="en-GB"/>
        </w:rPr>
        <w:lastRenderedPageBreak/>
        <w:t xml:space="preserve">Cho, A.-R., Park, W.-Y., Lee, H.-J., Sim, D.-Y., </w:t>
      </w:r>
      <w:proofErr w:type="spellStart"/>
      <w:r w:rsidRPr="00D346B7">
        <w:rPr>
          <w:sz w:val="22"/>
          <w:lang w:val="en-GB"/>
        </w:rPr>
        <w:t>Im</w:t>
      </w:r>
      <w:proofErr w:type="spellEnd"/>
      <w:r w:rsidRPr="00D346B7">
        <w:rPr>
          <w:sz w:val="22"/>
          <w:lang w:val="en-GB"/>
        </w:rPr>
        <w:t xml:space="preserve">, E., Park, J.-E., </w:t>
      </w:r>
      <w:proofErr w:type="spellStart"/>
      <w:r w:rsidRPr="00D346B7">
        <w:rPr>
          <w:sz w:val="22"/>
          <w:lang w:val="en-GB"/>
        </w:rPr>
        <w:t>Ahn</w:t>
      </w:r>
      <w:proofErr w:type="spellEnd"/>
      <w:r w:rsidRPr="00D346B7">
        <w:rPr>
          <w:sz w:val="22"/>
          <w:lang w:val="en-GB"/>
        </w:rPr>
        <w:t xml:space="preserve">, C.-H., Shim, B.-S., &amp; Kim, S.-H. (2021). Antitumor effect of </w:t>
      </w:r>
      <w:proofErr w:type="spellStart"/>
      <w:r w:rsidRPr="00D346B7">
        <w:rPr>
          <w:sz w:val="22"/>
          <w:lang w:val="en-GB"/>
        </w:rPr>
        <w:t>morusin</w:t>
      </w:r>
      <w:proofErr w:type="spellEnd"/>
      <w:r w:rsidRPr="00D346B7">
        <w:rPr>
          <w:sz w:val="22"/>
          <w:lang w:val="en-GB"/>
        </w:rPr>
        <w:t xml:space="preserve"> via G1 arrest and </w:t>
      </w:r>
      <w:proofErr w:type="spellStart"/>
      <w:r w:rsidRPr="00D346B7">
        <w:rPr>
          <w:sz w:val="22"/>
          <w:lang w:val="en-GB"/>
        </w:rPr>
        <w:t>antiglycolysis</w:t>
      </w:r>
      <w:proofErr w:type="spellEnd"/>
      <w:r w:rsidRPr="00D346B7">
        <w:rPr>
          <w:sz w:val="22"/>
          <w:lang w:val="en-GB"/>
        </w:rPr>
        <w:t xml:space="preserve"> by AMPK activation in hepatocellular cancer. International Journal of Molecular Sciences, 22(19), 10619. https://doi.org/10.3390/ijms221910619</w:t>
      </w:r>
    </w:p>
    <w:p w14:paraId="7310419E"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t>Fadil</w:t>
      </w:r>
      <w:proofErr w:type="spellEnd"/>
      <w:r w:rsidRPr="00D346B7">
        <w:rPr>
          <w:sz w:val="22"/>
          <w:lang w:val="en-GB"/>
        </w:rPr>
        <w:t xml:space="preserve">, S. A., </w:t>
      </w:r>
      <w:proofErr w:type="spellStart"/>
      <w:r w:rsidRPr="00D346B7">
        <w:rPr>
          <w:sz w:val="22"/>
          <w:lang w:val="en-GB"/>
        </w:rPr>
        <w:t>Albadawi</w:t>
      </w:r>
      <w:proofErr w:type="spellEnd"/>
      <w:r w:rsidRPr="00D346B7">
        <w:rPr>
          <w:sz w:val="22"/>
          <w:lang w:val="en-GB"/>
        </w:rPr>
        <w:t xml:space="preserve">, D. A. I., </w:t>
      </w:r>
      <w:proofErr w:type="spellStart"/>
      <w:r w:rsidRPr="00D346B7">
        <w:rPr>
          <w:sz w:val="22"/>
          <w:lang w:val="en-GB"/>
        </w:rPr>
        <w:t>Alshali</w:t>
      </w:r>
      <w:proofErr w:type="spellEnd"/>
      <w:r w:rsidRPr="00D346B7">
        <w:rPr>
          <w:sz w:val="22"/>
          <w:lang w:val="en-GB"/>
        </w:rPr>
        <w:t xml:space="preserve">, K. Z., Abdallah, H. M., &amp; </w:t>
      </w:r>
      <w:proofErr w:type="spellStart"/>
      <w:r w:rsidRPr="00D346B7">
        <w:rPr>
          <w:sz w:val="22"/>
          <w:lang w:val="en-GB"/>
        </w:rPr>
        <w:t>Saber</w:t>
      </w:r>
      <w:proofErr w:type="spellEnd"/>
      <w:r w:rsidRPr="00D346B7">
        <w:rPr>
          <w:sz w:val="22"/>
          <w:lang w:val="en-GB"/>
        </w:rPr>
        <w:t xml:space="preserve">, M. M. (2024). Modulation of inflammatory mediators underlies the antitumor effect of the combination of </w:t>
      </w:r>
      <w:proofErr w:type="spellStart"/>
      <w:r w:rsidRPr="00D346B7">
        <w:rPr>
          <w:sz w:val="22"/>
          <w:lang w:val="en-GB"/>
        </w:rPr>
        <w:t>morusin</w:t>
      </w:r>
      <w:proofErr w:type="spellEnd"/>
      <w:r w:rsidRPr="00D346B7">
        <w:rPr>
          <w:sz w:val="22"/>
          <w:lang w:val="en-GB"/>
        </w:rPr>
        <w:t xml:space="preserve"> and docetaxel on prostate cancer cells. Biomedicine &amp; Pharmacotherapy, 180, 117572. https://doi.org/10.1016/j.biopha.2024.117572</w:t>
      </w:r>
    </w:p>
    <w:p w14:paraId="51B24EB9"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t>Ferraz</w:t>
      </w:r>
      <w:proofErr w:type="spellEnd"/>
      <w:r w:rsidRPr="00D346B7">
        <w:rPr>
          <w:sz w:val="22"/>
          <w:lang w:val="en-GB"/>
        </w:rPr>
        <w:t xml:space="preserve">, A. P. C. R., de Oliveira </w:t>
      </w:r>
      <w:proofErr w:type="spellStart"/>
      <w:r w:rsidRPr="00D346B7">
        <w:rPr>
          <w:sz w:val="22"/>
          <w:lang w:val="en-GB"/>
        </w:rPr>
        <w:t>Figueiredo</w:t>
      </w:r>
      <w:proofErr w:type="spellEnd"/>
      <w:r w:rsidRPr="00D346B7">
        <w:rPr>
          <w:sz w:val="22"/>
          <w:lang w:val="en-GB"/>
        </w:rPr>
        <w:t>, P., &amp; Yoshida, N. C. (2024). Black mulberry (</w:t>
      </w:r>
      <w:proofErr w:type="spellStart"/>
      <w:r w:rsidRPr="00D346B7">
        <w:rPr>
          <w:sz w:val="22"/>
          <w:lang w:val="en-GB"/>
        </w:rPr>
        <w:t>Morus</w:t>
      </w:r>
      <w:proofErr w:type="spellEnd"/>
      <w:r w:rsidRPr="00D346B7">
        <w:rPr>
          <w:sz w:val="22"/>
          <w:lang w:val="en-GB"/>
        </w:rPr>
        <w:t xml:space="preserve"> </w:t>
      </w:r>
      <w:proofErr w:type="spellStart"/>
      <w:r w:rsidRPr="00D346B7">
        <w:rPr>
          <w:sz w:val="22"/>
          <w:lang w:val="en-GB"/>
        </w:rPr>
        <w:t>nigra</w:t>
      </w:r>
      <w:proofErr w:type="spellEnd"/>
      <w:r w:rsidRPr="00D346B7">
        <w:rPr>
          <w:sz w:val="22"/>
          <w:lang w:val="en-GB"/>
        </w:rPr>
        <w:t xml:space="preserve"> L.): A review of attributes as an anticancer agent to encourage pharmaceutical development. Advances in Pharmacological and Pharmaceutical Sciences, 2024, 3784092. https://doi.org/10.1155/2024/3784092</w:t>
      </w:r>
    </w:p>
    <w:p w14:paraId="4082E0A8"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Hao, J., Gao, Y., </w:t>
      </w:r>
      <w:proofErr w:type="spellStart"/>
      <w:r w:rsidRPr="00D346B7">
        <w:rPr>
          <w:sz w:val="22"/>
          <w:lang w:val="en-GB"/>
        </w:rPr>
        <w:t>Xue</w:t>
      </w:r>
      <w:proofErr w:type="spellEnd"/>
      <w:r w:rsidRPr="00D346B7">
        <w:rPr>
          <w:sz w:val="22"/>
          <w:lang w:val="en-GB"/>
        </w:rPr>
        <w:t>, J., Yang, Y., Yin, J., Wu, T., &amp; Zhang, M. (2022). Phytochemicals, pharmacological effects and molecular mechanisms of mulberry. Foods, 11(8), 1170. https://doi.org/10.3390/foods11081170</w:t>
      </w:r>
    </w:p>
    <w:p w14:paraId="77F15183"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He, X., Fang, J., </w:t>
      </w:r>
      <w:proofErr w:type="spellStart"/>
      <w:r w:rsidRPr="00D346B7">
        <w:rPr>
          <w:sz w:val="22"/>
          <w:lang w:val="en-GB"/>
        </w:rPr>
        <w:t>Ruan</w:t>
      </w:r>
      <w:proofErr w:type="spellEnd"/>
      <w:r w:rsidRPr="00D346B7">
        <w:rPr>
          <w:sz w:val="22"/>
          <w:lang w:val="en-GB"/>
        </w:rPr>
        <w:t xml:space="preserve">, Y., Wang, X., Sun, Y., Wu, N., Zhao, Z., Chang, Y., Ning, N., Guo, H., &amp; Huang, L. (2018). Structures, bioactivities and future prospective of polysaccharides from </w:t>
      </w:r>
      <w:proofErr w:type="spellStart"/>
      <w:r w:rsidRPr="00D346B7">
        <w:rPr>
          <w:sz w:val="22"/>
          <w:lang w:val="en-GB"/>
        </w:rPr>
        <w:t>Morus</w:t>
      </w:r>
      <w:proofErr w:type="spellEnd"/>
      <w:r w:rsidRPr="00D346B7">
        <w:rPr>
          <w:sz w:val="22"/>
          <w:lang w:val="en-GB"/>
        </w:rPr>
        <w:t xml:space="preserve"> alba (white mulberry): A review. Food Chemistry, 245, 899–910. https://doi.org/10.1016/j.foodchem.2017.11.084</w:t>
      </w:r>
    </w:p>
    <w:p w14:paraId="7FD10F8A"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Hu, P., Yuan, M., Guo, B., Lin, J., Yan, S., &amp; Huang, H. (2024). Comprehensive overview of different medicinal parts from </w:t>
      </w:r>
      <w:proofErr w:type="spellStart"/>
      <w:r w:rsidRPr="00D346B7">
        <w:rPr>
          <w:sz w:val="22"/>
          <w:lang w:val="en-GB"/>
        </w:rPr>
        <w:t>Morus</w:t>
      </w:r>
      <w:proofErr w:type="spellEnd"/>
      <w:r w:rsidRPr="00D346B7">
        <w:rPr>
          <w:sz w:val="22"/>
          <w:lang w:val="en-GB"/>
        </w:rPr>
        <w:t xml:space="preserve"> alba L.: Chemical compositions and pharmacological activities. Frontiers in Pharmacology, 15, 1364948. https://doi.org/10.3389/fphar.2024.1364948</w:t>
      </w:r>
    </w:p>
    <w:p w14:paraId="124E1234"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Hsu, J. H., Yang, C. S., &amp; Chen, J. J. (2022). Antioxidant, anti-alpha-glucosidase, </w:t>
      </w:r>
      <w:proofErr w:type="spellStart"/>
      <w:r w:rsidRPr="00D346B7">
        <w:rPr>
          <w:sz w:val="22"/>
          <w:lang w:val="en-GB"/>
        </w:rPr>
        <w:t>antityrosinase</w:t>
      </w:r>
      <w:proofErr w:type="spellEnd"/>
      <w:r w:rsidRPr="00D346B7">
        <w:rPr>
          <w:sz w:val="22"/>
          <w:lang w:val="en-GB"/>
        </w:rPr>
        <w:t xml:space="preserve">, and anti-inflammatory activities of bioactive components from </w:t>
      </w:r>
      <w:proofErr w:type="spellStart"/>
      <w:r w:rsidRPr="00D346B7">
        <w:rPr>
          <w:sz w:val="22"/>
          <w:lang w:val="en-GB"/>
        </w:rPr>
        <w:t>Morus</w:t>
      </w:r>
      <w:proofErr w:type="spellEnd"/>
      <w:r w:rsidRPr="00D346B7">
        <w:rPr>
          <w:sz w:val="22"/>
          <w:lang w:val="en-GB"/>
        </w:rPr>
        <w:t xml:space="preserve"> alba. Antioxidants, 11(11), 2222. https://doi.org/10.3390/antiox11112222</w:t>
      </w:r>
    </w:p>
    <w:p w14:paraId="581D0C1D"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t>Parida</w:t>
      </w:r>
      <w:proofErr w:type="spellEnd"/>
      <w:r w:rsidRPr="00D346B7">
        <w:rPr>
          <w:sz w:val="22"/>
          <w:lang w:val="en-GB"/>
        </w:rPr>
        <w:t xml:space="preserve">, I. S., </w:t>
      </w:r>
      <w:proofErr w:type="spellStart"/>
      <w:r w:rsidRPr="00D346B7">
        <w:rPr>
          <w:sz w:val="22"/>
          <w:lang w:val="en-GB"/>
        </w:rPr>
        <w:t>Takasu</w:t>
      </w:r>
      <w:proofErr w:type="spellEnd"/>
      <w:r w:rsidRPr="00D346B7">
        <w:rPr>
          <w:sz w:val="22"/>
          <w:lang w:val="en-GB"/>
        </w:rPr>
        <w:t xml:space="preserve">, S., &amp; Nakagawa, K. (2023). A comprehensive review on the production, pharmacokinetics and health benefits of mulberry leaf </w:t>
      </w:r>
      <w:proofErr w:type="spellStart"/>
      <w:r w:rsidRPr="00D346B7">
        <w:rPr>
          <w:sz w:val="22"/>
          <w:lang w:val="en-GB"/>
        </w:rPr>
        <w:t>iminosugars</w:t>
      </w:r>
      <w:proofErr w:type="spellEnd"/>
      <w:r w:rsidRPr="00D346B7">
        <w:rPr>
          <w:sz w:val="22"/>
          <w:lang w:val="en-GB"/>
        </w:rPr>
        <w:t>: Main focus on 1-deoxynojirimycin, d-fagomine, and 2-O-α-d-</w:t>
      </w:r>
      <w:proofErr w:type="spellStart"/>
      <w:r w:rsidRPr="00D346B7">
        <w:rPr>
          <w:sz w:val="22"/>
          <w:lang w:val="en-GB"/>
        </w:rPr>
        <w:t>galactopyranosyl</w:t>
      </w:r>
      <w:proofErr w:type="spellEnd"/>
      <w:r w:rsidRPr="00D346B7">
        <w:rPr>
          <w:sz w:val="22"/>
          <w:lang w:val="en-GB"/>
        </w:rPr>
        <w:t>-DNJ. Critical Reviews in Food Science and Nutrition, 63(19), 3468–3496. https://doi.org/10.1080/10408398.2021.1989660</w:t>
      </w:r>
    </w:p>
    <w:p w14:paraId="6D66895A"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Qi, Z., Yang, B., </w:t>
      </w:r>
      <w:proofErr w:type="spellStart"/>
      <w:r w:rsidRPr="00D346B7">
        <w:rPr>
          <w:sz w:val="22"/>
          <w:lang w:val="en-GB"/>
        </w:rPr>
        <w:t>Armas</w:t>
      </w:r>
      <w:proofErr w:type="spellEnd"/>
      <w:r w:rsidRPr="00D346B7">
        <w:rPr>
          <w:sz w:val="22"/>
          <w:lang w:val="en-GB"/>
        </w:rPr>
        <w:t xml:space="preserve"> Diaz, Y., </w:t>
      </w:r>
      <w:proofErr w:type="spellStart"/>
      <w:r w:rsidRPr="00D346B7">
        <w:rPr>
          <w:sz w:val="22"/>
          <w:lang w:val="en-GB"/>
        </w:rPr>
        <w:t>Cassotta</w:t>
      </w:r>
      <w:proofErr w:type="spellEnd"/>
      <w:r w:rsidRPr="00D346B7">
        <w:rPr>
          <w:sz w:val="22"/>
          <w:lang w:val="en-GB"/>
        </w:rPr>
        <w:t xml:space="preserve">, M., </w:t>
      </w:r>
      <w:proofErr w:type="spellStart"/>
      <w:r w:rsidRPr="00D346B7">
        <w:rPr>
          <w:sz w:val="22"/>
          <w:lang w:val="en-GB"/>
        </w:rPr>
        <w:t>Cianciosi</w:t>
      </w:r>
      <w:proofErr w:type="spellEnd"/>
      <w:r w:rsidRPr="00D346B7">
        <w:rPr>
          <w:sz w:val="22"/>
          <w:lang w:val="en-GB"/>
        </w:rPr>
        <w:t xml:space="preserve">, D., </w:t>
      </w:r>
      <w:proofErr w:type="spellStart"/>
      <w:r w:rsidRPr="00D346B7">
        <w:rPr>
          <w:sz w:val="22"/>
          <w:lang w:val="en-GB"/>
        </w:rPr>
        <w:t>Mezzetti</w:t>
      </w:r>
      <w:proofErr w:type="spellEnd"/>
      <w:r w:rsidRPr="00D346B7">
        <w:rPr>
          <w:sz w:val="22"/>
          <w:lang w:val="en-GB"/>
        </w:rPr>
        <w:t xml:space="preserve">, B., </w:t>
      </w:r>
      <w:proofErr w:type="spellStart"/>
      <w:r w:rsidRPr="00D346B7">
        <w:rPr>
          <w:sz w:val="22"/>
          <w:lang w:val="en-GB"/>
        </w:rPr>
        <w:t>Quiles</w:t>
      </w:r>
      <w:proofErr w:type="spellEnd"/>
      <w:r w:rsidRPr="00D346B7">
        <w:rPr>
          <w:sz w:val="22"/>
          <w:lang w:val="en-GB"/>
        </w:rPr>
        <w:t xml:space="preserve">, J. L., Xiao, J. B., Zhang, D., Zou, X., Chen, X., </w:t>
      </w:r>
      <w:proofErr w:type="spellStart"/>
      <w:r w:rsidRPr="00D346B7">
        <w:rPr>
          <w:sz w:val="22"/>
          <w:lang w:val="en-GB"/>
        </w:rPr>
        <w:t>Battino</w:t>
      </w:r>
      <w:proofErr w:type="spellEnd"/>
      <w:r w:rsidRPr="00D346B7">
        <w:rPr>
          <w:sz w:val="22"/>
          <w:lang w:val="en-GB"/>
        </w:rPr>
        <w:t xml:space="preserve">, M., &amp; </w:t>
      </w:r>
      <w:proofErr w:type="spellStart"/>
      <w:r w:rsidRPr="00D346B7">
        <w:rPr>
          <w:sz w:val="22"/>
          <w:lang w:val="en-GB"/>
        </w:rPr>
        <w:t>Giampieri</w:t>
      </w:r>
      <w:proofErr w:type="spellEnd"/>
      <w:r w:rsidRPr="00D346B7">
        <w:rPr>
          <w:sz w:val="22"/>
          <w:lang w:val="en-GB"/>
        </w:rPr>
        <w:t>, F. (2025). Therapeutic potential of mulberry (</w:t>
      </w:r>
      <w:proofErr w:type="spellStart"/>
      <w:r w:rsidRPr="00D346B7">
        <w:rPr>
          <w:sz w:val="22"/>
          <w:lang w:val="en-GB"/>
        </w:rPr>
        <w:t>Morus</w:t>
      </w:r>
      <w:proofErr w:type="spellEnd"/>
      <w:r w:rsidRPr="00D346B7">
        <w:rPr>
          <w:sz w:val="22"/>
          <w:lang w:val="en-GB"/>
        </w:rPr>
        <w:t xml:space="preserve"> alba L.) </w:t>
      </w:r>
      <w:proofErr w:type="spellStart"/>
      <w:r w:rsidRPr="00D346B7">
        <w:rPr>
          <w:sz w:val="22"/>
          <w:lang w:val="en-GB"/>
        </w:rPr>
        <w:t>byproducts</w:t>
      </w:r>
      <w:proofErr w:type="spellEnd"/>
      <w:r w:rsidRPr="00D346B7">
        <w:rPr>
          <w:sz w:val="22"/>
          <w:lang w:val="en-GB"/>
        </w:rPr>
        <w:t xml:space="preserve"> for cardiovascular diseases. Journal of Berry Research, 15(1), 3–11. https://doi.org/10.1177/18785093251320209</w:t>
      </w:r>
    </w:p>
    <w:p w14:paraId="11B03337"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t>Ramappa</w:t>
      </w:r>
      <w:proofErr w:type="spellEnd"/>
      <w:r w:rsidRPr="00D346B7">
        <w:rPr>
          <w:sz w:val="22"/>
          <w:lang w:val="en-GB"/>
        </w:rPr>
        <w:t>, V. K., Srivastava, D., Singh, P., Kumar, U., &amp; Singh, V. (2020). Mulberry 1-deoxynojirimycin (DNJ): An exemplary compound for therapeutics. The Journal of Horticultural Science and Biotechnology, 95(6), 679–686. https://doi.org/10.1080/14620316.2020.1760738</w:t>
      </w:r>
    </w:p>
    <w:p w14:paraId="2FA97FA7"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Rodrigues, E. L., Marcelino, G., Silva, G. T., </w:t>
      </w:r>
      <w:proofErr w:type="spellStart"/>
      <w:r w:rsidRPr="00D346B7">
        <w:rPr>
          <w:sz w:val="22"/>
          <w:lang w:val="en-GB"/>
        </w:rPr>
        <w:t>Figueiredo</w:t>
      </w:r>
      <w:proofErr w:type="spellEnd"/>
      <w:r w:rsidRPr="00D346B7">
        <w:rPr>
          <w:sz w:val="22"/>
          <w:lang w:val="en-GB"/>
        </w:rPr>
        <w:t xml:space="preserve">, P. S., </w:t>
      </w:r>
      <w:proofErr w:type="spellStart"/>
      <w:r w:rsidRPr="00D346B7">
        <w:rPr>
          <w:sz w:val="22"/>
          <w:lang w:val="en-GB"/>
        </w:rPr>
        <w:t>Garcez</w:t>
      </w:r>
      <w:proofErr w:type="spellEnd"/>
      <w:r w:rsidRPr="00D346B7">
        <w:rPr>
          <w:sz w:val="22"/>
          <w:lang w:val="en-GB"/>
        </w:rPr>
        <w:t xml:space="preserve">, W. S., </w:t>
      </w:r>
      <w:proofErr w:type="spellStart"/>
      <w:r w:rsidRPr="00D346B7">
        <w:rPr>
          <w:sz w:val="22"/>
          <w:lang w:val="en-GB"/>
        </w:rPr>
        <w:t>Corsino</w:t>
      </w:r>
      <w:proofErr w:type="spellEnd"/>
      <w:r w:rsidRPr="00D346B7">
        <w:rPr>
          <w:sz w:val="22"/>
          <w:lang w:val="en-GB"/>
        </w:rPr>
        <w:t xml:space="preserve">, J., </w:t>
      </w:r>
      <w:proofErr w:type="spellStart"/>
      <w:r w:rsidRPr="00D346B7">
        <w:rPr>
          <w:sz w:val="22"/>
          <w:lang w:val="en-GB"/>
        </w:rPr>
        <w:t>Guimarães</w:t>
      </w:r>
      <w:proofErr w:type="spellEnd"/>
      <w:r w:rsidRPr="00D346B7">
        <w:rPr>
          <w:sz w:val="22"/>
          <w:lang w:val="en-GB"/>
        </w:rPr>
        <w:t xml:space="preserve">, R. C. A., &amp; Freitas, K. C. (2019). Nutraceutical and medicinal potential of the </w:t>
      </w:r>
      <w:proofErr w:type="spellStart"/>
      <w:r w:rsidRPr="00D346B7">
        <w:rPr>
          <w:sz w:val="22"/>
          <w:lang w:val="en-GB"/>
        </w:rPr>
        <w:t>Morus</w:t>
      </w:r>
      <w:proofErr w:type="spellEnd"/>
      <w:r w:rsidRPr="00D346B7">
        <w:rPr>
          <w:sz w:val="22"/>
          <w:lang w:val="en-GB"/>
        </w:rPr>
        <w:t xml:space="preserve"> species in metabolic dysfunctions. International Journal of Molecular Sciences, 20(2), 301. https://doi.org/10.3390/ijms20020301</w:t>
      </w:r>
    </w:p>
    <w:p w14:paraId="1492E5C3"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t>Roghan</w:t>
      </w:r>
      <w:proofErr w:type="spellEnd"/>
      <w:r w:rsidRPr="00D346B7">
        <w:rPr>
          <w:sz w:val="22"/>
          <w:lang w:val="en-GB"/>
        </w:rPr>
        <w:t xml:space="preserve">, H. B., </w:t>
      </w:r>
      <w:proofErr w:type="spellStart"/>
      <w:r w:rsidRPr="00D346B7">
        <w:rPr>
          <w:sz w:val="22"/>
          <w:lang w:val="en-GB"/>
        </w:rPr>
        <w:t>Sekar</w:t>
      </w:r>
      <w:proofErr w:type="spellEnd"/>
      <w:r w:rsidRPr="00D346B7">
        <w:rPr>
          <w:sz w:val="22"/>
          <w:lang w:val="en-GB"/>
        </w:rPr>
        <w:t xml:space="preserve">, I., &amp; </w:t>
      </w:r>
      <w:proofErr w:type="spellStart"/>
      <w:r w:rsidRPr="00D346B7">
        <w:rPr>
          <w:sz w:val="22"/>
          <w:lang w:val="en-GB"/>
        </w:rPr>
        <w:t>Sivaprakash</w:t>
      </w:r>
      <w:proofErr w:type="spellEnd"/>
      <w:r w:rsidRPr="00D346B7">
        <w:rPr>
          <w:sz w:val="22"/>
          <w:lang w:val="en-GB"/>
        </w:rPr>
        <w:t>, M. (2025). Critical review of 1-deoxynojirimycin (DNJ) in mulberry in curing diabetes mellitus. Pharmacognosy Magazine. https://doi.org/10.1177/09731296251383290</w:t>
      </w:r>
    </w:p>
    <w:p w14:paraId="6285373D" w14:textId="77777777" w:rsidR="004E5FAA" w:rsidRPr="00D346B7" w:rsidRDefault="00A64648" w:rsidP="00D346B7">
      <w:pPr>
        <w:pStyle w:val="ListParagraph"/>
        <w:numPr>
          <w:ilvl w:val="0"/>
          <w:numId w:val="12"/>
        </w:numPr>
        <w:spacing w:after="80"/>
        <w:jc w:val="both"/>
        <w:rPr>
          <w:lang w:val="en-GB"/>
        </w:rPr>
      </w:pPr>
      <w:proofErr w:type="spellStart"/>
      <w:r w:rsidRPr="00D346B7">
        <w:rPr>
          <w:sz w:val="22"/>
          <w:lang w:val="en-GB"/>
        </w:rPr>
        <w:lastRenderedPageBreak/>
        <w:t>Trimarco</w:t>
      </w:r>
      <w:proofErr w:type="spellEnd"/>
      <w:r w:rsidRPr="00D346B7">
        <w:rPr>
          <w:sz w:val="22"/>
          <w:lang w:val="en-GB"/>
        </w:rPr>
        <w:t xml:space="preserve">, V., Gallo, P., </w:t>
      </w:r>
      <w:proofErr w:type="spellStart"/>
      <w:r w:rsidRPr="00D346B7">
        <w:rPr>
          <w:sz w:val="22"/>
          <w:lang w:val="en-GB"/>
        </w:rPr>
        <w:t>Ghazihosseini</w:t>
      </w:r>
      <w:proofErr w:type="spellEnd"/>
      <w:r w:rsidRPr="00D346B7">
        <w:rPr>
          <w:sz w:val="22"/>
          <w:lang w:val="en-GB"/>
        </w:rPr>
        <w:t xml:space="preserve">, S., Izzo, A., </w:t>
      </w:r>
      <w:proofErr w:type="spellStart"/>
      <w:r w:rsidRPr="00D346B7">
        <w:rPr>
          <w:sz w:val="22"/>
          <w:lang w:val="en-GB"/>
        </w:rPr>
        <w:t>Rozza</w:t>
      </w:r>
      <w:proofErr w:type="spellEnd"/>
      <w:r w:rsidRPr="00D346B7">
        <w:rPr>
          <w:sz w:val="22"/>
          <w:lang w:val="en-GB"/>
        </w:rPr>
        <w:t xml:space="preserve">, P. I., Spinelli, A., Cristiano, S., De Rosa, C., </w:t>
      </w:r>
      <w:proofErr w:type="spellStart"/>
      <w:r w:rsidRPr="00D346B7">
        <w:rPr>
          <w:sz w:val="22"/>
          <w:lang w:val="en-GB"/>
        </w:rPr>
        <w:t>Rozza</w:t>
      </w:r>
      <w:proofErr w:type="spellEnd"/>
      <w:r w:rsidRPr="00D346B7">
        <w:rPr>
          <w:sz w:val="22"/>
          <w:lang w:val="en-GB"/>
        </w:rPr>
        <w:t>, F., &amp; Morisco, C. (2025). White mulberry plant extracts in cardiovascular prevention: An update. Nutrients, 17(14), 2262. https://doi.org/10.3390/nu17142262</w:t>
      </w:r>
    </w:p>
    <w:p w14:paraId="2BA5115A" w14:textId="77777777" w:rsidR="004E5FAA" w:rsidRPr="00D346B7" w:rsidRDefault="00A64648" w:rsidP="00D346B7">
      <w:pPr>
        <w:pStyle w:val="ListParagraph"/>
        <w:numPr>
          <w:ilvl w:val="0"/>
          <w:numId w:val="12"/>
        </w:numPr>
        <w:spacing w:after="80"/>
        <w:jc w:val="both"/>
        <w:rPr>
          <w:lang w:val="en-GB"/>
        </w:rPr>
      </w:pPr>
      <w:r w:rsidRPr="00D346B7">
        <w:rPr>
          <w:sz w:val="22"/>
          <w:lang w:val="en-GB"/>
        </w:rPr>
        <w:t>Tsai, M. C., Wang, C. C., Tsai, I. N., Yu, M. H., Yang, M. Y., Lee, Y. J., Chan, K. C., &amp; Wang, C. J. (2025). The neuroprotective effects of primary functional components mulberry leaf extract in diabetes-induced oxidative stress and inflammation. Journal of Agricultural and Food Chemistry. https://doi.org/10.1021/acs.jafc.4c09422</w:t>
      </w:r>
    </w:p>
    <w:p w14:paraId="76977CA3"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Wang, H., Chen, X., Li, J., Chen, Z., Zhou, A., &amp; Ye, L. (2024). </w:t>
      </w:r>
      <w:proofErr w:type="spellStart"/>
      <w:r w:rsidRPr="00D346B7">
        <w:rPr>
          <w:sz w:val="22"/>
          <w:lang w:val="en-GB"/>
        </w:rPr>
        <w:t>Oxyresveratrol</w:t>
      </w:r>
      <w:proofErr w:type="spellEnd"/>
      <w:r w:rsidRPr="00D346B7">
        <w:rPr>
          <w:sz w:val="22"/>
          <w:lang w:val="en-GB"/>
        </w:rPr>
        <w:t xml:space="preserve"> from mulberry (</w:t>
      </w:r>
      <w:proofErr w:type="spellStart"/>
      <w:r w:rsidRPr="00D346B7">
        <w:rPr>
          <w:sz w:val="22"/>
          <w:lang w:val="en-GB"/>
        </w:rPr>
        <w:t>Morus</w:t>
      </w:r>
      <w:proofErr w:type="spellEnd"/>
      <w:r w:rsidRPr="00D346B7">
        <w:rPr>
          <w:sz w:val="22"/>
          <w:lang w:val="en-GB"/>
        </w:rPr>
        <w:t xml:space="preserve"> alba L.) ameliorates post-inflammatory hyperpigmentation in vitro by anti-melanog</w:t>
      </w:r>
      <w:bookmarkStart w:id="0" w:name="_GoBack"/>
      <w:bookmarkEnd w:id="0"/>
      <w:r w:rsidRPr="00D346B7">
        <w:rPr>
          <w:sz w:val="22"/>
          <w:lang w:val="en-GB"/>
        </w:rPr>
        <w:t>enesis, inhibiting melanosome transfer, and providing photoprotection. Journal of Functional Foods, 122, 106557. https://doi.org/10.1016/j.jff.2024.106557</w:t>
      </w:r>
    </w:p>
    <w:p w14:paraId="2C957C57" w14:textId="77777777" w:rsidR="004E5FAA" w:rsidRPr="00D346B7" w:rsidRDefault="00A64648" w:rsidP="00D346B7">
      <w:pPr>
        <w:pStyle w:val="ListParagraph"/>
        <w:numPr>
          <w:ilvl w:val="0"/>
          <w:numId w:val="12"/>
        </w:numPr>
        <w:spacing w:after="80"/>
        <w:jc w:val="both"/>
        <w:rPr>
          <w:lang w:val="en-GB"/>
        </w:rPr>
      </w:pPr>
      <w:r w:rsidRPr="00D346B7">
        <w:rPr>
          <w:sz w:val="22"/>
          <w:lang w:val="en-GB"/>
        </w:rPr>
        <w:t xml:space="preserve">Wen, P., Hu, T. G., </w:t>
      </w:r>
      <w:proofErr w:type="spellStart"/>
      <w:r w:rsidRPr="00D346B7">
        <w:rPr>
          <w:sz w:val="22"/>
          <w:lang w:val="en-GB"/>
        </w:rPr>
        <w:t>Linhardt</w:t>
      </w:r>
      <w:proofErr w:type="spellEnd"/>
      <w:r w:rsidRPr="00D346B7">
        <w:rPr>
          <w:sz w:val="22"/>
          <w:lang w:val="en-GB"/>
        </w:rPr>
        <w:t>, R. J., Liao, S. T., Wu, H., &amp; Zou, Y. X. (2019). Mulberry: A review of bioactive compounds and advanced processing technology. Trends in Food Science &amp; Technology, 83, 138–158. https://doi.org/10.1016/j.tifs.2018.11.017</w:t>
      </w:r>
    </w:p>
    <w:p w14:paraId="7DCFEAA5" w14:textId="77777777" w:rsidR="004E5FAA" w:rsidRPr="00D346B7" w:rsidRDefault="00A64648" w:rsidP="00D346B7">
      <w:pPr>
        <w:pStyle w:val="ListParagraph"/>
        <w:numPr>
          <w:ilvl w:val="0"/>
          <w:numId w:val="12"/>
        </w:numPr>
        <w:spacing w:after="80"/>
        <w:jc w:val="both"/>
        <w:rPr>
          <w:lang w:val="en-GB"/>
        </w:rPr>
      </w:pPr>
      <w:r w:rsidRPr="00D346B7">
        <w:rPr>
          <w:sz w:val="22"/>
          <w:lang w:val="en-GB"/>
        </w:rPr>
        <w:t>Yuan, Q., &amp; Zhao, L. (2017). The mulberry (</w:t>
      </w:r>
      <w:proofErr w:type="spellStart"/>
      <w:r w:rsidRPr="00D346B7">
        <w:rPr>
          <w:sz w:val="22"/>
          <w:lang w:val="en-GB"/>
        </w:rPr>
        <w:t>Morus</w:t>
      </w:r>
      <w:proofErr w:type="spellEnd"/>
      <w:r w:rsidRPr="00D346B7">
        <w:rPr>
          <w:sz w:val="22"/>
          <w:lang w:val="en-GB"/>
        </w:rPr>
        <w:t xml:space="preserve"> alba L.) fruit — A review of characteristic components and health benefits. Journal of Agricultural and Food Chemistry, 65(48), 10383–10394. https://doi.org/10.1021/acs.jafc.7b03614</w:t>
      </w:r>
    </w:p>
    <w:p w14:paraId="2C69C25D" w14:textId="77777777" w:rsidR="004E5FAA" w:rsidRPr="00D346B7" w:rsidRDefault="00A64648" w:rsidP="00D346B7">
      <w:pPr>
        <w:pStyle w:val="ListParagraph"/>
        <w:numPr>
          <w:ilvl w:val="0"/>
          <w:numId w:val="12"/>
        </w:numPr>
        <w:spacing w:after="80"/>
        <w:jc w:val="both"/>
        <w:rPr>
          <w:lang w:val="en-GB"/>
        </w:rPr>
      </w:pPr>
      <w:r w:rsidRPr="00D346B7">
        <w:rPr>
          <w:sz w:val="22"/>
          <w:lang w:val="en-GB"/>
        </w:rPr>
        <w:t>Zhang, R., Zhang, Q., Zhu, S., Liu, B., Liu, F., &amp; Xu, Y. (2022). Mulberry leaf (</w:t>
      </w:r>
      <w:proofErr w:type="spellStart"/>
      <w:r w:rsidRPr="00D346B7">
        <w:rPr>
          <w:sz w:val="22"/>
          <w:lang w:val="en-GB"/>
        </w:rPr>
        <w:t>Morus</w:t>
      </w:r>
      <w:proofErr w:type="spellEnd"/>
      <w:r w:rsidRPr="00D346B7">
        <w:rPr>
          <w:sz w:val="22"/>
          <w:lang w:val="en-GB"/>
        </w:rPr>
        <w:t xml:space="preserve"> alba L.): A review of its potential influences in mechanisms of action on metabolic diseases. Pharmacological Research, 175, 106029. https://doi.org/10.1016/j.phrs.2021.106029</w:t>
      </w:r>
    </w:p>
    <w:p w14:paraId="1180F62C" w14:textId="7D6FE727" w:rsidR="00057A0A" w:rsidRDefault="00057A0A" w:rsidP="00057A0A">
      <w:pPr>
        <w:pStyle w:val="NormalWeb"/>
        <w:shd w:val="clear" w:color="auto" w:fill="FFFFFF"/>
        <w:spacing w:before="0" w:beforeAutospacing="0" w:after="150" w:afterAutospacing="0"/>
        <w:rPr>
          <w:sz w:val="22"/>
          <w:lang w:val="en-GB"/>
        </w:rPr>
      </w:pPr>
    </w:p>
    <w:p w14:paraId="644F9DD6" w14:textId="29669B02" w:rsidR="00057A0A" w:rsidRDefault="00057A0A" w:rsidP="00D346B7">
      <w:pPr>
        <w:pStyle w:val="NormalWeb"/>
        <w:numPr>
          <w:ilvl w:val="0"/>
          <w:numId w:val="12"/>
        </w:numPr>
        <w:shd w:val="clear" w:color="auto" w:fill="FFFFFF"/>
        <w:spacing w:before="0" w:beforeAutospacing="0" w:after="150" w:afterAutospacing="0"/>
        <w:rPr>
          <w:rFonts w:ascii="inherit" w:hAnsi="inherit" w:cs="Helvetica"/>
          <w:color w:val="222222"/>
          <w:sz w:val="18"/>
          <w:szCs w:val="18"/>
          <w:highlight w:val="yellow"/>
        </w:rPr>
      </w:pPr>
      <w:r w:rsidRPr="00032EDA">
        <w:rPr>
          <w:rFonts w:ascii="inherit" w:hAnsi="inherit" w:cs="Helvetica"/>
          <w:color w:val="222222"/>
          <w:sz w:val="18"/>
          <w:szCs w:val="18"/>
          <w:highlight w:val="yellow"/>
        </w:rPr>
        <w:t>Chen, J., Gou, Z., Huang, Y., Yu, Q., Kim, A. N., Shi, W., &amp; Zhou, Y. (2025). Research Progress on Phytochemicals from Mulberry with Neuroprotective Effects: A Review. </w:t>
      </w:r>
      <w:r w:rsidRPr="00032EDA">
        <w:rPr>
          <w:rStyle w:val="Emphasis"/>
          <w:rFonts w:ascii="inherit" w:hAnsi="inherit" w:cs="Helvetica"/>
          <w:color w:val="222222"/>
          <w:sz w:val="18"/>
          <w:szCs w:val="18"/>
          <w:highlight w:val="yellow"/>
        </w:rPr>
        <w:t>Pharmaceuticals</w:t>
      </w:r>
      <w:r w:rsidRPr="00032EDA">
        <w:rPr>
          <w:rFonts w:ascii="inherit" w:hAnsi="inherit" w:cs="Helvetica"/>
          <w:color w:val="222222"/>
          <w:sz w:val="18"/>
          <w:szCs w:val="18"/>
          <w:highlight w:val="yellow"/>
        </w:rPr>
        <w:t>, </w:t>
      </w:r>
      <w:r w:rsidRPr="00032EDA">
        <w:rPr>
          <w:rStyle w:val="Emphasis"/>
          <w:rFonts w:ascii="inherit" w:hAnsi="inherit" w:cs="Helvetica"/>
          <w:color w:val="222222"/>
          <w:sz w:val="18"/>
          <w:szCs w:val="18"/>
          <w:highlight w:val="yellow"/>
        </w:rPr>
        <w:t>18</w:t>
      </w:r>
      <w:r w:rsidRPr="00032EDA">
        <w:rPr>
          <w:rFonts w:ascii="inherit" w:hAnsi="inherit" w:cs="Helvetica"/>
          <w:color w:val="222222"/>
          <w:sz w:val="18"/>
          <w:szCs w:val="18"/>
          <w:highlight w:val="yellow"/>
        </w:rPr>
        <w:t xml:space="preserve">(5), 695. </w:t>
      </w:r>
      <w:hyperlink r:id="rId8" w:history="1">
        <w:r w:rsidRPr="00032EDA">
          <w:rPr>
            <w:rStyle w:val="Hyperlink"/>
            <w:rFonts w:ascii="inherit" w:hAnsi="inherit" w:cs="Helvetica"/>
            <w:sz w:val="18"/>
            <w:szCs w:val="18"/>
            <w:highlight w:val="yellow"/>
          </w:rPr>
          <w:t>https://doi.org/10.3390/ph18050695</w:t>
        </w:r>
      </w:hyperlink>
    </w:p>
    <w:p w14:paraId="7E583F76" w14:textId="5E4CB571" w:rsidR="00057A0A" w:rsidRDefault="00057A0A" w:rsidP="00D346B7">
      <w:pPr>
        <w:pStyle w:val="NormalWeb"/>
        <w:numPr>
          <w:ilvl w:val="0"/>
          <w:numId w:val="12"/>
        </w:numPr>
        <w:shd w:val="clear" w:color="auto" w:fill="FFFFFF"/>
        <w:spacing w:before="0" w:beforeAutospacing="0" w:after="150" w:afterAutospacing="0"/>
        <w:rPr>
          <w:rFonts w:ascii="inherit" w:hAnsi="inherit" w:cs="Helvetica"/>
          <w:color w:val="222222"/>
          <w:sz w:val="18"/>
          <w:szCs w:val="18"/>
        </w:rPr>
      </w:pPr>
      <w:proofErr w:type="spellStart"/>
      <w:r w:rsidRPr="00032EDA">
        <w:rPr>
          <w:rFonts w:ascii="Arial" w:hAnsi="Arial" w:cs="Arial"/>
          <w:color w:val="222222"/>
          <w:sz w:val="20"/>
          <w:szCs w:val="20"/>
          <w:highlight w:val="yellow"/>
          <w:shd w:val="clear" w:color="auto" w:fill="FFFFFF"/>
        </w:rPr>
        <w:t>Shou</w:t>
      </w:r>
      <w:proofErr w:type="spellEnd"/>
      <w:r w:rsidRPr="00032EDA">
        <w:rPr>
          <w:rFonts w:ascii="Arial" w:hAnsi="Arial" w:cs="Arial"/>
          <w:color w:val="222222"/>
          <w:sz w:val="20"/>
          <w:szCs w:val="20"/>
          <w:highlight w:val="yellow"/>
          <w:shd w:val="clear" w:color="auto" w:fill="FFFFFF"/>
        </w:rPr>
        <w:t>, J.-W.; Shaw, P.-C. Therapeutic Efficacies of Berberine against Neurological Disorders: An Update of Pharmacological Effects and Mechanisms. </w:t>
      </w:r>
      <w:r w:rsidRPr="00032EDA">
        <w:rPr>
          <w:rStyle w:val="html-italic"/>
          <w:rFonts w:ascii="Arial" w:hAnsi="Arial" w:cs="Arial"/>
          <w:i/>
          <w:iCs/>
          <w:color w:val="222222"/>
          <w:sz w:val="20"/>
          <w:szCs w:val="20"/>
          <w:highlight w:val="yellow"/>
          <w:shd w:val="clear" w:color="auto" w:fill="FFFFFF"/>
        </w:rPr>
        <w:t>Cells</w:t>
      </w:r>
      <w:r w:rsidRPr="00032EDA">
        <w:rPr>
          <w:rFonts w:ascii="Arial" w:hAnsi="Arial" w:cs="Arial"/>
          <w:color w:val="222222"/>
          <w:sz w:val="20"/>
          <w:szCs w:val="20"/>
          <w:highlight w:val="yellow"/>
          <w:shd w:val="clear" w:color="auto" w:fill="FFFFFF"/>
        </w:rPr>
        <w:t> </w:t>
      </w:r>
      <w:r w:rsidRPr="00032EDA">
        <w:rPr>
          <w:rFonts w:ascii="Arial" w:hAnsi="Arial" w:cs="Arial"/>
          <w:b/>
          <w:bCs/>
          <w:color w:val="222222"/>
          <w:sz w:val="20"/>
          <w:szCs w:val="20"/>
          <w:highlight w:val="yellow"/>
          <w:shd w:val="clear" w:color="auto" w:fill="FFFFFF"/>
        </w:rPr>
        <w:t>2022</w:t>
      </w:r>
      <w:r w:rsidRPr="00032EDA">
        <w:rPr>
          <w:rFonts w:ascii="Arial" w:hAnsi="Arial" w:cs="Arial"/>
          <w:color w:val="222222"/>
          <w:sz w:val="20"/>
          <w:szCs w:val="20"/>
          <w:highlight w:val="yellow"/>
          <w:shd w:val="clear" w:color="auto" w:fill="FFFFFF"/>
        </w:rPr>
        <w:t>, </w:t>
      </w:r>
      <w:r w:rsidRPr="00032EDA">
        <w:rPr>
          <w:rStyle w:val="html-italic"/>
          <w:rFonts w:ascii="Arial" w:hAnsi="Arial" w:cs="Arial"/>
          <w:i/>
          <w:iCs/>
          <w:color w:val="222222"/>
          <w:sz w:val="20"/>
          <w:szCs w:val="20"/>
          <w:highlight w:val="yellow"/>
          <w:shd w:val="clear" w:color="auto" w:fill="FFFFFF"/>
        </w:rPr>
        <w:t>11</w:t>
      </w:r>
      <w:r w:rsidRPr="00032EDA">
        <w:rPr>
          <w:rFonts w:ascii="Arial" w:hAnsi="Arial" w:cs="Arial"/>
          <w:color w:val="222222"/>
          <w:sz w:val="20"/>
          <w:szCs w:val="20"/>
          <w:highlight w:val="yellow"/>
          <w:shd w:val="clear" w:color="auto" w:fill="FFFFFF"/>
        </w:rPr>
        <w:t>, 796</w:t>
      </w:r>
    </w:p>
    <w:p w14:paraId="718E7ABE" w14:textId="6D5D3BB4" w:rsidR="00057A0A" w:rsidRPr="00D346B7" w:rsidRDefault="00CB598E" w:rsidP="00D346B7">
      <w:pPr>
        <w:pStyle w:val="ListParagraph"/>
        <w:numPr>
          <w:ilvl w:val="0"/>
          <w:numId w:val="12"/>
        </w:numPr>
        <w:spacing w:after="80"/>
        <w:jc w:val="both"/>
        <w:rPr>
          <w:lang w:val="en-GB"/>
        </w:rPr>
      </w:pPr>
      <w:r w:rsidRPr="00D346B7">
        <w:rPr>
          <w:rFonts w:ascii="Arial" w:hAnsi="Arial" w:cs="Arial"/>
          <w:color w:val="222222"/>
          <w:sz w:val="20"/>
          <w:szCs w:val="20"/>
          <w:highlight w:val="yellow"/>
          <w:shd w:val="clear" w:color="auto" w:fill="FFFFFF"/>
        </w:rPr>
        <w:t xml:space="preserve">Hu, Z., </w:t>
      </w:r>
      <w:proofErr w:type="spellStart"/>
      <w:r w:rsidRPr="00D346B7">
        <w:rPr>
          <w:rFonts w:ascii="Arial" w:hAnsi="Arial" w:cs="Arial"/>
          <w:color w:val="222222"/>
          <w:sz w:val="20"/>
          <w:szCs w:val="20"/>
          <w:highlight w:val="yellow"/>
          <w:shd w:val="clear" w:color="auto" w:fill="FFFFFF"/>
        </w:rPr>
        <w:t>Su</w:t>
      </w:r>
      <w:proofErr w:type="spellEnd"/>
      <w:r w:rsidRPr="00D346B7">
        <w:rPr>
          <w:rFonts w:ascii="Arial" w:hAnsi="Arial" w:cs="Arial"/>
          <w:color w:val="222222"/>
          <w:sz w:val="20"/>
          <w:szCs w:val="20"/>
          <w:highlight w:val="yellow"/>
          <w:shd w:val="clear" w:color="auto" w:fill="FFFFFF"/>
        </w:rPr>
        <w:t xml:space="preserve">, Y., Jia, J., </w:t>
      </w:r>
      <w:proofErr w:type="spellStart"/>
      <w:r w:rsidRPr="00D346B7">
        <w:rPr>
          <w:rFonts w:ascii="Arial" w:hAnsi="Arial" w:cs="Arial"/>
          <w:color w:val="222222"/>
          <w:sz w:val="20"/>
          <w:szCs w:val="20"/>
          <w:highlight w:val="yellow"/>
          <w:shd w:val="clear" w:color="auto" w:fill="FFFFFF"/>
        </w:rPr>
        <w:t>Bian</w:t>
      </w:r>
      <w:proofErr w:type="spellEnd"/>
      <w:r w:rsidRPr="00D346B7">
        <w:rPr>
          <w:rFonts w:ascii="Arial" w:hAnsi="Arial" w:cs="Arial"/>
          <w:color w:val="222222"/>
          <w:sz w:val="20"/>
          <w:szCs w:val="20"/>
          <w:highlight w:val="yellow"/>
          <w:shd w:val="clear" w:color="auto" w:fill="FFFFFF"/>
        </w:rPr>
        <w:t xml:space="preserve">, X., Gu, Y., </w:t>
      </w:r>
      <w:proofErr w:type="spellStart"/>
      <w:r w:rsidRPr="00D346B7">
        <w:rPr>
          <w:rFonts w:ascii="Arial" w:hAnsi="Arial" w:cs="Arial"/>
          <w:color w:val="222222"/>
          <w:sz w:val="20"/>
          <w:szCs w:val="20"/>
          <w:highlight w:val="yellow"/>
          <w:shd w:val="clear" w:color="auto" w:fill="FFFFFF"/>
        </w:rPr>
        <w:t>Lv</w:t>
      </w:r>
      <w:proofErr w:type="spellEnd"/>
      <w:r w:rsidRPr="00D346B7">
        <w:rPr>
          <w:rFonts w:ascii="Arial" w:hAnsi="Arial" w:cs="Arial"/>
          <w:color w:val="222222"/>
          <w:sz w:val="20"/>
          <w:szCs w:val="20"/>
          <w:highlight w:val="yellow"/>
          <w:shd w:val="clear" w:color="auto" w:fill="FFFFFF"/>
        </w:rPr>
        <w:t>, G., ... &amp; Jiang, N. (2025). Mulberry–Nutritional Value, health Benefits, and its applications in Food, Biomaterials, and medicine: A systematic review with bibliometric analysis. </w:t>
      </w:r>
      <w:r w:rsidRPr="00D346B7">
        <w:rPr>
          <w:rFonts w:ascii="Arial" w:hAnsi="Arial" w:cs="Arial"/>
          <w:i/>
          <w:iCs/>
          <w:color w:val="222222"/>
          <w:sz w:val="20"/>
          <w:szCs w:val="20"/>
          <w:highlight w:val="yellow"/>
          <w:shd w:val="clear" w:color="auto" w:fill="FFFFFF"/>
        </w:rPr>
        <w:t>Natural Product Communications</w:t>
      </w:r>
      <w:r w:rsidRPr="00D346B7">
        <w:rPr>
          <w:rFonts w:ascii="Arial" w:hAnsi="Arial" w:cs="Arial"/>
          <w:color w:val="222222"/>
          <w:sz w:val="20"/>
          <w:szCs w:val="20"/>
          <w:highlight w:val="yellow"/>
          <w:shd w:val="clear" w:color="auto" w:fill="FFFFFF"/>
        </w:rPr>
        <w:t>, </w:t>
      </w:r>
      <w:r w:rsidRPr="00D346B7">
        <w:rPr>
          <w:rFonts w:ascii="Arial" w:hAnsi="Arial" w:cs="Arial"/>
          <w:i/>
          <w:iCs/>
          <w:color w:val="222222"/>
          <w:sz w:val="20"/>
          <w:szCs w:val="20"/>
          <w:highlight w:val="yellow"/>
          <w:shd w:val="clear" w:color="auto" w:fill="FFFFFF"/>
        </w:rPr>
        <w:t>20</w:t>
      </w:r>
      <w:r w:rsidRPr="00D346B7">
        <w:rPr>
          <w:rFonts w:ascii="Arial" w:hAnsi="Arial" w:cs="Arial"/>
          <w:color w:val="222222"/>
          <w:sz w:val="20"/>
          <w:szCs w:val="20"/>
          <w:highlight w:val="yellow"/>
          <w:shd w:val="clear" w:color="auto" w:fill="FFFFFF"/>
        </w:rPr>
        <w:t>(1), 1934578X251314698.</w:t>
      </w:r>
    </w:p>
    <w:sectPr w:rsidR="00057A0A" w:rsidRPr="00D346B7" w:rsidSect="00034616">
      <w:headerReference w:type="even" r:id="rId9"/>
      <w:headerReference w:type="default" r:id="rId10"/>
      <w:footerReference w:type="even" r:id="rId11"/>
      <w:footerReference w:type="default" r:id="rId12"/>
      <w:headerReference w:type="first" r:id="rId13"/>
      <w:footerReference w:type="first" r:id="rId14"/>
      <w:pgSz w:w="11909" w:h="16834"/>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2BEA" w14:textId="77777777" w:rsidR="001B3C5A" w:rsidRDefault="001B3C5A" w:rsidP="0014681B">
      <w:pPr>
        <w:spacing w:after="0" w:line="240" w:lineRule="auto"/>
      </w:pPr>
      <w:r>
        <w:separator/>
      </w:r>
    </w:p>
  </w:endnote>
  <w:endnote w:type="continuationSeparator" w:id="0">
    <w:p w14:paraId="62AD96BC" w14:textId="77777777" w:rsidR="001B3C5A" w:rsidRDefault="001B3C5A" w:rsidP="0014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068F" w14:textId="77777777" w:rsidR="0014681B" w:rsidRDefault="0014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90F" w14:textId="77777777" w:rsidR="0014681B" w:rsidRDefault="00146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5253" w14:textId="77777777" w:rsidR="0014681B" w:rsidRDefault="0014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0A3C" w14:textId="77777777" w:rsidR="001B3C5A" w:rsidRDefault="001B3C5A" w:rsidP="0014681B">
      <w:pPr>
        <w:spacing w:after="0" w:line="240" w:lineRule="auto"/>
      </w:pPr>
      <w:r>
        <w:separator/>
      </w:r>
    </w:p>
  </w:footnote>
  <w:footnote w:type="continuationSeparator" w:id="0">
    <w:p w14:paraId="41BF0632" w14:textId="77777777" w:rsidR="001B3C5A" w:rsidRDefault="001B3C5A" w:rsidP="00146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DBAA" w14:textId="5D27CBF8" w:rsidR="0014681B" w:rsidRDefault="001B3C5A">
    <w:pPr>
      <w:pStyle w:val="Header"/>
    </w:pPr>
    <w:r>
      <w:rPr>
        <w:noProof/>
      </w:rPr>
      <w:pict w14:anchorId="3F814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445704"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A26C" w14:textId="16BC737A" w:rsidR="0014681B" w:rsidRDefault="001B3C5A">
    <w:pPr>
      <w:pStyle w:val="Header"/>
    </w:pPr>
    <w:r>
      <w:rPr>
        <w:noProof/>
      </w:rPr>
      <w:pict w14:anchorId="3AD84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445705" o:spid="_x0000_s2051"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CC3E" w14:textId="67594D60" w:rsidR="0014681B" w:rsidRDefault="001B3C5A">
    <w:pPr>
      <w:pStyle w:val="Header"/>
    </w:pPr>
    <w:r>
      <w:rPr>
        <w:noProof/>
      </w:rPr>
      <w:pict w14:anchorId="2216F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445703"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D1ECC"/>
    <w:multiLevelType w:val="hybridMultilevel"/>
    <w:tmpl w:val="56D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44F64"/>
    <w:multiLevelType w:val="hybridMultilevel"/>
    <w:tmpl w:val="E7F06F38"/>
    <w:lvl w:ilvl="0" w:tplc="807E0A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466B3"/>
    <w:multiLevelType w:val="hybridMultilevel"/>
    <w:tmpl w:val="4BA0C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DcwsTQCYkNLYyUdpeDU4uLM/DyQAsNaAHNHdBgsAAAA"/>
  </w:docVars>
  <w:rsids>
    <w:rsidRoot w:val="00B47730"/>
    <w:rsid w:val="00032EDA"/>
    <w:rsid w:val="00034616"/>
    <w:rsid w:val="00042586"/>
    <w:rsid w:val="00057A0A"/>
    <w:rsid w:val="0006063C"/>
    <w:rsid w:val="0014681B"/>
    <w:rsid w:val="0015074B"/>
    <w:rsid w:val="00174099"/>
    <w:rsid w:val="001B3C5A"/>
    <w:rsid w:val="001B58E3"/>
    <w:rsid w:val="001D690D"/>
    <w:rsid w:val="00206A20"/>
    <w:rsid w:val="0029639D"/>
    <w:rsid w:val="002E6B25"/>
    <w:rsid w:val="002F0B23"/>
    <w:rsid w:val="00300391"/>
    <w:rsid w:val="0030158E"/>
    <w:rsid w:val="00326F90"/>
    <w:rsid w:val="00344F09"/>
    <w:rsid w:val="003476B1"/>
    <w:rsid w:val="004E5FAA"/>
    <w:rsid w:val="007B23BB"/>
    <w:rsid w:val="0088660C"/>
    <w:rsid w:val="00A64648"/>
    <w:rsid w:val="00AA1D8D"/>
    <w:rsid w:val="00B224EF"/>
    <w:rsid w:val="00B47730"/>
    <w:rsid w:val="00CB0664"/>
    <w:rsid w:val="00CB598E"/>
    <w:rsid w:val="00D346B7"/>
    <w:rsid w:val="00E52462"/>
    <w:rsid w:val="00F11942"/>
    <w:rsid w:val="00FA2D5E"/>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868303"/>
  <w15:docId w15:val="{F217CB55-BCAB-4FD4-AE2F-41000B1B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8E"/>
    <w:rPr>
      <w:rFonts w:ascii="Segoe UI" w:hAnsi="Segoe UI" w:cs="Segoe UI"/>
      <w:sz w:val="18"/>
      <w:szCs w:val="18"/>
    </w:rPr>
  </w:style>
  <w:style w:type="character" w:styleId="Hyperlink">
    <w:name w:val="Hyperlink"/>
    <w:basedOn w:val="DefaultParagraphFont"/>
    <w:uiPriority w:val="99"/>
    <w:unhideWhenUsed/>
    <w:rsid w:val="00057A0A"/>
    <w:rPr>
      <w:color w:val="0000FF" w:themeColor="hyperlink"/>
      <w:u w:val="single"/>
    </w:rPr>
  </w:style>
  <w:style w:type="character" w:styleId="UnresolvedMention">
    <w:name w:val="Unresolved Mention"/>
    <w:basedOn w:val="DefaultParagraphFont"/>
    <w:uiPriority w:val="99"/>
    <w:semiHidden/>
    <w:unhideWhenUsed/>
    <w:rsid w:val="00057A0A"/>
    <w:rPr>
      <w:color w:val="605E5C"/>
      <w:shd w:val="clear" w:color="auto" w:fill="E1DFDD"/>
    </w:rPr>
  </w:style>
  <w:style w:type="paragraph" w:styleId="NormalWeb">
    <w:name w:val="Normal (Web)"/>
    <w:basedOn w:val="Normal"/>
    <w:uiPriority w:val="99"/>
    <w:semiHidden/>
    <w:unhideWhenUsed/>
    <w:rsid w:val="00057A0A"/>
    <w:pPr>
      <w:spacing w:before="100" w:beforeAutospacing="1" w:after="100" w:afterAutospacing="1" w:line="240" w:lineRule="auto"/>
    </w:pPr>
    <w:rPr>
      <w:rFonts w:eastAsia="Times New Roman" w:cs="Times New Roman"/>
      <w:szCs w:val="24"/>
    </w:rPr>
  </w:style>
  <w:style w:type="character" w:customStyle="1" w:styleId="html-italic">
    <w:name w:val="html-italic"/>
    <w:basedOn w:val="DefaultParagraphFont"/>
    <w:rsid w:val="0005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47538">
      <w:bodyDiv w:val="1"/>
      <w:marLeft w:val="0"/>
      <w:marRight w:val="0"/>
      <w:marTop w:val="0"/>
      <w:marBottom w:val="0"/>
      <w:divBdr>
        <w:top w:val="none" w:sz="0" w:space="0" w:color="auto"/>
        <w:left w:val="none" w:sz="0" w:space="0" w:color="auto"/>
        <w:bottom w:val="none" w:sz="0" w:space="0" w:color="auto"/>
        <w:right w:val="none" w:sz="0" w:space="0" w:color="auto"/>
      </w:divBdr>
      <w:divsChild>
        <w:div w:id="861093861">
          <w:marLeft w:val="0"/>
          <w:marRight w:val="0"/>
          <w:marTop w:val="0"/>
          <w:marBottom w:val="0"/>
          <w:divBdr>
            <w:top w:val="none" w:sz="0" w:space="0" w:color="auto"/>
            <w:left w:val="none" w:sz="0" w:space="0" w:color="auto"/>
            <w:bottom w:val="none" w:sz="0" w:space="0" w:color="auto"/>
            <w:right w:val="none" w:sz="0" w:space="0" w:color="auto"/>
          </w:divBdr>
          <w:divsChild>
            <w:div w:id="7379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h1805069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C3E5-C67E-4F2E-9CE4-5AC53F76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10561</Words>
  <Characters>60199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21</cp:revision>
  <dcterms:created xsi:type="dcterms:W3CDTF">2013-12-23T23:15:00Z</dcterms:created>
  <dcterms:modified xsi:type="dcterms:W3CDTF">2026-04-07T06:18:00Z</dcterms:modified>
  <cp:category/>
</cp:coreProperties>
</file>