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6FD2AA" w14:textId="77777777" w:rsidR="00286AFD" w:rsidRPr="006D641C" w:rsidRDefault="00286AFD" w:rsidP="00286AFD">
      <w:pPr>
        <w:pStyle w:val="Author"/>
        <w:spacing w:line="240" w:lineRule="auto"/>
        <w:outlineLvl w:val="0"/>
        <w:rPr>
          <w:rFonts w:ascii="Arial" w:hAnsi="Arial" w:cs="Arial"/>
          <w:bCs/>
          <w:i/>
          <w:iCs/>
          <w:kern w:val="28"/>
          <w:sz w:val="36"/>
          <w:u w:val="single"/>
        </w:rPr>
      </w:pPr>
      <w:r w:rsidRPr="006D641C">
        <w:rPr>
          <w:rFonts w:ascii="Arial" w:hAnsi="Arial" w:cs="Arial"/>
          <w:bCs/>
          <w:i/>
          <w:iCs/>
          <w:kern w:val="28"/>
          <w:sz w:val="36"/>
          <w:u w:val="single"/>
        </w:rPr>
        <w:t xml:space="preserve">Original Research </w:t>
      </w:r>
      <w:r>
        <w:rPr>
          <w:rFonts w:ascii="Arial" w:hAnsi="Arial" w:cs="Arial"/>
          <w:bCs/>
          <w:i/>
          <w:iCs/>
          <w:kern w:val="28"/>
          <w:sz w:val="36"/>
          <w:u w:val="single"/>
        </w:rPr>
        <w:t>Article</w:t>
      </w:r>
    </w:p>
    <w:p w14:paraId="19558847" w14:textId="77103936" w:rsidR="00196AA2" w:rsidRDefault="00196AA2" w:rsidP="00305399">
      <w:pPr>
        <w:spacing w:after="0" w:line="240" w:lineRule="auto"/>
        <w:jc w:val="center"/>
        <w:rPr>
          <w:rFonts w:ascii="Times New Roman" w:hAnsi="Times New Roman" w:cs="Times New Roman"/>
          <w:b/>
          <w:sz w:val="28"/>
          <w:lang w:val="en-US"/>
        </w:rPr>
      </w:pPr>
    </w:p>
    <w:p w14:paraId="497D4A97" w14:textId="27559583" w:rsidR="00343342" w:rsidRPr="00333877" w:rsidRDefault="00343342" w:rsidP="00305399">
      <w:pPr>
        <w:spacing w:after="0" w:line="240" w:lineRule="auto"/>
        <w:jc w:val="center"/>
        <w:rPr>
          <w:rFonts w:ascii="Times New Roman" w:hAnsi="Times New Roman" w:cs="Times New Roman"/>
          <w:b/>
          <w:sz w:val="28"/>
          <w:lang w:val="en-US"/>
        </w:rPr>
      </w:pPr>
      <w:proofErr w:type="spellStart"/>
      <w:r w:rsidRPr="00333877">
        <w:rPr>
          <w:rFonts w:ascii="Times New Roman" w:hAnsi="Times New Roman" w:cs="Times New Roman"/>
          <w:b/>
          <w:sz w:val="28"/>
          <w:lang w:val="en-US"/>
        </w:rPr>
        <w:t>Spatio</w:t>
      </w:r>
      <w:proofErr w:type="spellEnd"/>
      <w:r w:rsidRPr="00333877">
        <w:rPr>
          <w:rFonts w:ascii="Times New Roman" w:hAnsi="Times New Roman" w:cs="Times New Roman"/>
          <w:b/>
          <w:sz w:val="28"/>
          <w:lang w:val="en-US"/>
        </w:rPr>
        <w:t>-temporal dynamics of vegetation cover and flo</w:t>
      </w:r>
      <w:r w:rsidR="00BE4153" w:rsidRPr="00333877">
        <w:rPr>
          <w:rFonts w:ascii="Times New Roman" w:hAnsi="Times New Roman" w:cs="Times New Roman"/>
          <w:b/>
          <w:sz w:val="28"/>
          <w:lang w:val="en-US"/>
        </w:rPr>
        <w:t xml:space="preserve">od vulnerability in </w:t>
      </w:r>
      <w:proofErr w:type="spellStart"/>
      <w:r w:rsidRPr="00333877">
        <w:rPr>
          <w:rFonts w:ascii="Times New Roman" w:hAnsi="Times New Roman" w:cs="Times New Roman"/>
          <w:b/>
          <w:sz w:val="28"/>
          <w:lang w:val="en-US"/>
        </w:rPr>
        <w:t>Uvira</w:t>
      </w:r>
      <w:proofErr w:type="spellEnd"/>
      <w:r w:rsidR="00BE4153" w:rsidRPr="00333877">
        <w:rPr>
          <w:rFonts w:ascii="Times New Roman" w:hAnsi="Times New Roman" w:cs="Times New Roman"/>
          <w:b/>
          <w:sz w:val="28"/>
          <w:lang w:val="en-US"/>
        </w:rPr>
        <w:t xml:space="preserve"> City of DRC, from 1990 to 2024</w:t>
      </w:r>
    </w:p>
    <w:p w14:paraId="25AD807E" w14:textId="77777777" w:rsidR="00BE4153" w:rsidRPr="00305399" w:rsidRDefault="00BE4153" w:rsidP="00305399">
      <w:pPr>
        <w:spacing w:after="0" w:line="240" w:lineRule="auto"/>
        <w:jc w:val="center"/>
        <w:rPr>
          <w:rFonts w:ascii="Times New Roman" w:hAnsi="Times New Roman" w:cs="Times New Roman"/>
          <w:b/>
          <w:i/>
          <w:sz w:val="24"/>
          <w:lang w:val="en-US"/>
        </w:rPr>
      </w:pPr>
    </w:p>
    <w:p w14:paraId="745D4793" w14:textId="77777777" w:rsidR="00BE4153" w:rsidRPr="008076B8" w:rsidRDefault="00BE4153" w:rsidP="00BE4153">
      <w:pPr>
        <w:spacing w:after="0" w:line="240" w:lineRule="auto"/>
        <w:jc w:val="right"/>
        <w:rPr>
          <w:rFonts w:ascii="Arial" w:eastAsia="Calibri" w:hAnsi="Arial" w:cs="Arial"/>
          <w:i/>
          <w:color w:val="000000"/>
          <w:sz w:val="28"/>
          <w:szCs w:val="28"/>
          <w:lang w:val="en-GB"/>
        </w:rPr>
      </w:pPr>
    </w:p>
    <w:p w14:paraId="41B2F555" w14:textId="77777777" w:rsidR="00BE4153" w:rsidRPr="008076B8" w:rsidRDefault="00BE4153" w:rsidP="00BE4153">
      <w:pPr>
        <w:spacing w:after="0" w:line="240" w:lineRule="auto"/>
        <w:jc w:val="right"/>
        <w:rPr>
          <w:rFonts w:ascii="Arial" w:eastAsia="Times New Roman" w:hAnsi="Arial" w:cs="Arial"/>
          <w:b/>
          <w:bCs/>
          <w:sz w:val="28"/>
          <w:szCs w:val="28"/>
          <w:lang w:val="en-GB" w:eastAsia="fr-FR"/>
        </w:rPr>
      </w:pPr>
    </w:p>
    <w:p w14:paraId="1C3DF3DB" w14:textId="0457470F" w:rsidR="00BE4153" w:rsidRPr="008B6AAD" w:rsidRDefault="008076B8" w:rsidP="00BE4153">
      <w:pPr>
        <w:spacing w:after="0" w:line="240" w:lineRule="auto"/>
        <w:rPr>
          <w:rFonts w:ascii="Arial" w:eastAsia="Times New Roman" w:hAnsi="Arial" w:cs="Arial"/>
          <w:b/>
          <w:bCs/>
          <w:sz w:val="24"/>
          <w:szCs w:val="24"/>
          <w:lang w:val="en-GB" w:eastAsia="fr-FR"/>
        </w:rPr>
      </w:pPr>
      <w:r w:rsidRPr="008B6AAD">
        <w:rPr>
          <w:rFonts w:ascii="Arial" w:eastAsia="Times New Roman" w:hAnsi="Arial" w:cs="Arial"/>
          <w:b/>
          <w:bCs/>
          <w:sz w:val="24"/>
          <w:szCs w:val="24"/>
          <w:lang w:val="en-GB" w:eastAsia="fr-FR"/>
        </w:rPr>
        <w:t>ABSTRACT</w:t>
      </w:r>
    </w:p>
    <w:p w14:paraId="0728474A" w14:textId="0412CE29" w:rsidR="00463E79" w:rsidRDefault="00463E79" w:rsidP="00463E79">
      <w:pPr>
        <w:spacing w:after="0" w:line="360" w:lineRule="auto"/>
        <w:jc w:val="both"/>
        <w:rPr>
          <w:rFonts w:ascii="Times New Roman" w:eastAsia="Times New Roman" w:hAnsi="Times New Roman" w:cs="Times New Roman"/>
          <w:bCs/>
          <w:sz w:val="24"/>
          <w:szCs w:val="24"/>
          <w:lang w:val="en-GB" w:eastAsia="fr-FR"/>
        </w:rPr>
      </w:pPr>
      <w:r w:rsidRPr="00463E79">
        <w:rPr>
          <w:rFonts w:ascii="Times New Roman" w:eastAsia="Times New Roman" w:hAnsi="Times New Roman" w:cs="Times New Roman"/>
          <w:bCs/>
          <w:sz w:val="24"/>
          <w:szCs w:val="24"/>
          <w:lang w:val="en-GB" w:eastAsia="fr-FR"/>
        </w:rPr>
        <w:t xml:space="preserve">Secondary African cities are increasingly trapped between rapid, unplanned urbanization and escalating climate-related hazards. </w:t>
      </w:r>
      <w:proofErr w:type="spellStart"/>
      <w:r w:rsidRPr="00463E79">
        <w:rPr>
          <w:rFonts w:ascii="Times New Roman" w:eastAsia="Times New Roman" w:hAnsi="Times New Roman" w:cs="Times New Roman"/>
          <w:bCs/>
          <w:sz w:val="24"/>
          <w:szCs w:val="24"/>
          <w:lang w:val="en-GB" w:eastAsia="fr-FR"/>
        </w:rPr>
        <w:t>Uvira</w:t>
      </w:r>
      <w:proofErr w:type="spellEnd"/>
      <w:r w:rsidRPr="00463E79">
        <w:rPr>
          <w:rFonts w:ascii="Times New Roman" w:eastAsia="Times New Roman" w:hAnsi="Times New Roman" w:cs="Times New Roman"/>
          <w:bCs/>
          <w:sz w:val="24"/>
          <w:szCs w:val="24"/>
          <w:lang w:val="en-GB" w:eastAsia="fr-FR"/>
        </w:rPr>
        <w:t xml:space="preserve"> (DRC), strategically located between the steep Mitumba Mountains and Lake Tanganyika, exemplifies this critical vulnerability. </w:t>
      </w:r>
      <w:r w:rsidRPr="00463E79">
        <w:rPr>
          <w:rFonts w:ascii="Times New Roman" w:eastAsia="Times New Roman" w:hAnsi="Times New Roman" w:cs="Times New Roman"/>
          <w:b/>
          <w:bCs/>
          <w:sz w:val="24"/>
          <w:szCs w:val="24"/>
          <w:lang w:val="en-GB" w:eastAsia="fr-FR"/>
        </w:rPr>
        <w:t>Methods:</w:t>
      </w:r>
      <w:r w:rsidR="005D08B6">
        <w:rPr>
          <w:rFonts w:ascii="Times New Roman" w:eastAsia="Times New Roman" w:hAnsi="Times New Roman" w:cs="Times New Roman"/>
          <w:bCs/>
          <w:sz w:val="24"/>
          <w:szCs w:val="24"/>
          <w:lang w:val="en-GB" w:eastAsia="fr-FR"/>
        </w:rPr>
        <w:t xml:space="preserve"> This study investigate</w:t>
      </w:r>
      <w:r w:rsidRPr="00463E79">
        <w:rPr>
          <w:rFonts w:ascii="Times New Roman" w:eastAsia="Times New Roman" w:hAnsi="Times New Roman" w:cs="Times New Roman"/>
          <w:bCs/>
          <w:sz w:val="24"/>
          <w:szCs w:val="24"/>
          <w:lang w:val="en-GB" w:eastAsia="fr-FR"/>
        </w:rPr>
        <w:t xml:space="preserve"> the 34-year (1990-2024) </w:t>
      </w:r>
      <w:proofErr w:type="spellStart"/>
      <w:r w:rsidRPr="00463E79">
        <w:rPr>
          <w:rFonts w:ascii="Times New Roman" w:eastAsia="Times New Roman" w:hAnsi="Times New Roman" w:cs="Times New Roman"/>
          <w:bCs/>
          <w:sz w:val="24"/>
          <w:szCs w:val="24"/>
          <w:lang w:val="en-GB" w:eastAsia="fr-FR"/>
        </w:rPr>
        <w:t>spatio</w:t>
      </w:r>
      <w:proofErr w:type="spellEnd"/>
      <w:r w:rsidRPr="00463E79">
        <w:rPr>
          <w:rFonts w:ascii="Times New Roman" w:eastAsia="Times New Roman" w:hAnsi="Times New Roman" w:cs="Times New Roman"/>
          <w:bCs/>
          <w:sz w:val="24"/>
          <w:szCs w:val="24"/>
          <w:lang w:val="en-GB" w:eastAsia="fr-FR"/>
        </w:rPr>
        <w:t>-temporal interactions between vegetation dynamics and flood hazards using an integrated remote sensing and GIS approach. Multi-temporal Landsat and Sentinel-2 imagery were processed to derive NDVI and NDWI indices, coupled with Random Forest LULC classification (Kappa &amp;</w:t>
      </w:r>
      <w:proofErr w:type="spellStart"/>
      <w:r w:rsidRPr="00463E79">
        <w:rPr>
          <w:rFonts w:ascii="Times New Roman" w:eastAsia="Times New Roman" w:hAnsi="Times New Roman" w:cs="Times New Roman"/>
          <w:bCs/>
          <w:sz w:val="24"/>
          <w:szCs w:val="24"/>
          <w:lang w:val="en-GB" w:eastAsia="fr-FR"/>
        </w:rPr>
        <w:t>gt</w:t>
      </w:r>
      <w:proofErr w:type="spellEnd"/>
      <w:r w:rsidRPr="00463E79">
        <w:rPr>
          <w:rFonts w:ascii="Times New Roman" w:eastAsia="Times New Roman" w:hAnsi="Times New Roman" w:cs="Times New Roman"/>
          <w:bCs/>
          <w:sz w:val="24"/>
          <w:szCs w:val="24"/>
          <w:lang w:val="en-GB" w:eastAsia="fr-FR"/>
        </w:rPr>
        <w:t xml:space="preserve">; 0.85) and Digital Elevation Model (DEM) analysis. </w:t>
      </w:r>
      <w:r w:rsidRPr="00463E79">
        <w:rPr>
          <w:rFonts w:ascii="Times New Roman" w:eastAsia="Times New Roman" w:hAnsi="Times New Roman" w:cs="Times New Roman"/>
          <w:b/>
          <w:bCs/>
          <w:sz w:val="24"/>
          <w:szCs w:val="24"/>
          <w:lang w:val="en-GB" w:eastAsia="fr-FR"/>
        </w:rPr>
        <w:t>Results</w:t>
      </w:r>
      <w:r w:rsidRPr="00463E79">
        <w:rPr>
          <w:rFonts w:ascii="Times New Roman" w:eastAsia="Times New Roman" w:hAnsi="Times New Roman" w:cs="Times New Roman"/>
          <w:bCs/>
          <w:sz w:val="24"/>
          <w:szCs w:val="24"/>
          <w:lang w:val="en-GB" w:eastAsia="fr-FR"/>
        </w:rPr>
        <w:t xml:space="preserve">: findings quantify a profound ecological collapse, characterized by a 39.6% net reduction in vegetation cover and a </w:t>
      </w:r>
      <w:proofErr w:type="spellStart"/>
      <w:r w:rsidRPr="00463E79">
        <w:rPr>
          <w:rFonts w:ascii="Times New Roman" w:eastAsia="Times New Roman" w:hAnsi="Times New Roman" w:cs="Times New Roman"/>
          <w:bCs/>
          <w:sz w:val="24"/>
          <w:szCs w:val="24"/>
          <w:lang w:val="en-GB" w:eastAsia="fr-FR"/>
        </w:rPr>
        <w:t>sixfold</w:t>
      </w:r>
      <w:proofErr w:type="spellEnd"/>
      <w:r w:rsidRPr="00463E79">
        <w:rPr>
          <w:rFonts w:ascii="Times New Roman" w:eastAsia="Times New Roman" w:hAnsi="Times New Roman" w:cs="Times New Roman"/>
          <w:bCs/>
          <w:sz w:val="24"/>
          <w:szCs w:val="24"/>
          <w:lang w:val="en-GB" w:eastAsia="fr-FR"/>
        </w:rPr>
        <w:t xml:space="preserve"> increase in bare soils since 2010. This </w:t>
      </w:r>
      <w:r w:rsidR="000760C7">
        <w:rPr>
          <w:rFonts w:ascii="Times New Roman" w:eastAsia="Times New Roman" w:hAnsi="Times New Roman" w:cs="Times New Roman"/>
          <w:bCs/>
          <w:sz w:val="24"/>
          <w:szCs w:val="24"/>
          <w:lang w:val="en-GB" w:eastAsia="fr-FR"/>
        </w:rPr>
        <w:t>loss of green infrastructure have</w:t>
      </w:r>
      <w:r w:rsidRPr="00463E79">
        <w:rPr>
          <w:rFonts w:ascii="Times New Roman" w:eastAsia="Times New Roman" w:hAnsi="Times New Roman" w:cs="Times New Roman"/>
          <w:bCs/>
          <w:sz w:val="24"/>
          <w:szCs w:val="24"/>
          <w:lang w:val="en-GB" w:eastAsia="fr-FR"/>
        </w:rPr>
        <w:t xml:space="preserve"> fundamentally altered the </w:t>
      </w:r>
      <w:proofErr w:type="spellStart"/>
      <w:r w:rsidRPr="00463E79">
        <w:rPr>
          <w:rFonts w:ascii="Times New Roman" w:eastAsia="Times New Roman" w:hAnsi="Times New Roman" w:cs="Times New Roman"/>
          <w:bCs/>
          <w:sz w:val="24"/>
          <w:szCs w:val="24"/>
          <w:lang w:val="en-GB" w:eastAsia="fr-FR"/>
        </w:rPr>
        <w:t>catchment</w:t>
      </w:r>
      <w:proofErr w:type="gramStart"/>
      <w:r w:rsidRPr="00463E79">
        <w:rPr>
          <w:rFonts w:ascii="Times New Roman" w:eastAsia="Times New Roman" w:hAnsi="Times New Roman" w:cs="Times New Roman"/>
          <w:bCs/>
          <w:sz w:val="24"/>
          <w:szCs w:val="24"/>
          <w:lang w:val="en-GB" w:eastAsia="fr-FR"/>
        </w:rPr>
        <w:t>;s</w:t>
      </w:r>
      <w:proofErr w:type="spellEnd"/>
      <w:proofErr w:type="gramEnd"/>
      <w:r w:rsidRPr="00463E79">
        <w:rPr>
          <w:rFonts w:ascii="Times New Roman" w:eastAsia="Times New Roman" w:hAnsi="Times New Roman" w:cs="Times New Roman"/>
          <w:bCs/>
          <w:sz w:val="24"/>
          <w:szCs w:val="24"/>
          <w:lang w:val="en-GB" w:eastAsia="fr-FR"/>
        </w:rPr>
        <w:t xml:space="preserve"> hydrological response, as evidenced by a 7.8% expansion of water surface area (NDWI) in low-lying coastal zones. The topographic "funnel effect" of </w:t>
      </w:r>
      <w:proofErr w:type="spellStart"/>
      <w:r w:rsidRPr="00463E79">
        <w:rPr>
          <w:rFonts w:ascii="Times New Roman" w:eastAsia="Times New Roman" w:hAnsi="Times New Roman" w:cs="Times New Roman"/>
          <w:bCs/>
          <w:sz w:val="24"/>
          <w:szCs w:val="24"/>
          <w:lang w:val="en-GB" w:eastAsia="fr-FR"/>
        </w:rPr>
        <w:t>Uvira</w:t>
      </w:r>
      <w:proofErr w:type="gramStart"/>
      <w:r w:rsidRPr="00463E79">
        <w:rPr>
          <w:rFonts w:ascii="Times New Roman" w:eastAsia="Times New Roman" w:hAnsi="Times New Roman" w:cs="Times New Roman"/>
          <w:bCs/>
          <w:sz w:val="24"/>
          <w:szCs w:val="24"/>
          <w:lang w:val="en-GB" w:eastAsia="fr-FR"/>
        </w:rPr>
        <w:t>;s</w:t>
      </w:r>
      <w:proofErr w:type="spellEnd"/>
      <w:proofErr w:type="gramEnd"/>
      <w:r w:rsidRPr="00463E79">
        <w:rPr>
          <w:rFonts w:ascii="Times New Roman" w:eastAsia="Times New Roman" w:hAnsi="Times New Roman" w:cs="Times New Roman"/>
          <w:bCs/>
          <w:sz w:val="24"/>
          <w:szCs w:val="24"/>
          <w:lang w:val="en-GB" w:eastAsia="fr-FR"/>
        </w:rPr>
        <w:t xml:space="preserve"> steep slopes, combined with the erosion of n</w:t>
      </w:r>
      <w:r w:rsidR="002C6228">
        <w:rPr>
          <w:rFonts w:ascii="Times New Roman" w:eastAsia="Times New Roman" w:hAnsi="Times New Roman" w:cs="Times New Roman"/>
          <w:bCs/>
          <w:sz w:val="24"/>
          <w:szCs w:val="24"/>
          <w:lang w:val="en-GB" w:eastAsia="fr-FR"/>
        </w:rPr>
        <w:t>atural hydraulic resistance, have also</w:t>
      </w:r>
      <w:r w:rsidRPr="00463E79">
        <w:rPr>
          <w:rFonts w:ascii="Times New Roman" w:eastAsia="Times New Roman" w:hAnsi="Times New Roman" w:cs="Times New Roman"/>
          <w:bCs/>
          <w:sz w:val="24"/>
          <w:szCs w:val="24"/>
          <w:lang w:val="en-GB" w:eastAsia="fr-FR"/>
        </w:rPr>
        <w:t xml:space="preserve"> transformed seasonal discharge into destructive flash floods. The study </w:t>
      </w:r>
      <w:r w:rsidR="002C6228" w:rsidRPr="002C6228">
        <w:rPr>
          <w:rFonts w:ascii="Times New Roman" w:hAnsi="Times New Roman" w:cs="Times New Roman"/>
          <w:sz w:val="24"/>
          <w:lang w:val="en-US"/>
        </w:rPr>
        <w:t>demonstrated</w:t>
      </w:r>
      <w:r w:rsidR="002C6228" w:rsidRPr="002C6228">
        <w:rPr>
          <w:lang w:val="en-US"/>
        </w:rPr>
        <w:t xml:space="preserve"> </w:t>
      </w:r>
      <w:r w:rsidRPr="00463E79">
        <w:rPr>
          <w:rFonts w:ascii="Times New Roman" w:eastAsia="Times New Roman" w:hAnsi="Times New Roman" w:cs="Times New Roman"/>
          <w:bCs/>
          <w:sz w:val="24"/>
          <w:szCs w:val="24"/>
          <w:lang w:val="en-GB" w:eastAsia="fr-FR"/>
        </w:rPr>
        <w:t xml:space="preserve">that the "coastal </w:t>
      </w:r>
      <w:proofErr w:type="spellStart"/>
      <w:r w:rsidRPr="00463E79">
        <w:rPr>
          <w:rFonts w:ascii="Times New Roman" w:eastAsia="Times New Roman" w:hAnsi="Times New Roman" w:cs="Times New Roman"/>
          <w:bCs/>
          <w:sz w:val="24"/>
          <w:szCs w:val="24"/>
          <w:lang w:val="en-GB" w:eastAsia="fr-FR"/>
        </w:rPr>
        <w:t>squeeze"</w:t>
      </w:r>
      <w:proofErr w:type="gramStart"/>
      <w:r w:rsidRPr="00463E79">
        <w:rPr>
          <w:rFonts w:ascii="Times New Roman" w:eastAsia="Times New Roman" w:hAnsi="Times New Roman" w:cs="Times New Roman"/>
          <w:bCs/>
          <w:sz w:val="24"/>
          <w:szCs w:val="24"/>
          <w:lang w:val="en-GB" w:eastAsia="fr-FR"/>
        </w:rPr>
        <w:t>;the</w:t>
      </w:r>
      <w:proofErr w:type="spellEnd"/>
      <w:proofErr w:type="gramEnd"/>
      <w:r w:rsidRPr="00463E79">
        <w:rPr>
          <w:rFonts w:ascii="Times New Roman" w:eastAsia="Times New Roman" w:hAnsi="Times New Roman" w:cs="Times New Roman"/>
          <w:bCs/>
          <w:sz w:val="24"/>
          <w:szCs w:val="24"/>
          <w:lang w:val="en-GB" w:eastAsia="fr-FR"/>
        </w:rPr>
        <w:t xml:space="preserve"> convergence of rising lake levels and urban encroachment;</w:t>
      </w:r>
      <w:r w:rsidR="002C6228">
        <w:rPr>
          <w:rFonts w:ascii="Times New Roman" w:eastAsia="Times New Roman" w:hAnsi="Times New Roman" w:cs="Times New Roman"/>
          <w:bCs/>
          <w:sz w:val="24"/>
          <w:szCs w:val="24"/>
          <w:lang w:val="en-GB" w:eastAsia="fr-FR"/>
        </w:rPr>
        <w:t xml:space="preserve"> </w:t>
      </w:r>
      <w:r w:rsidRPr="00463E79">
        <w:rPr>
          <w:rFonts w:ascii="Times New Roman" w:eastAsia="Times New Roman" w:hAnsi="Times New Roman" w:cs="Times New Roman"/>
          <w:bCs/>
          <w:sz w:val="24"/>
          <w:szCs w:val="24"/>
          <w:lang w:val="en-GB" w:eastAsia="fr-FR"/>
        </w:rPr>
        <w:t>has institutionalized flood risk as a structural component of the landscape. We argue for the urgent integration of Nature-based Solutions (</w:t>
      </w:r>
      <w:proofErr w:type="spellStart"/>
      <w:r w:rsidRPr="00463E79">
        <w:rPr>
          <w:rFonts w:ascii="Times New Roman" w:eastAsia="Times New Roman" w:hAnsi="Times New Roman" w:cs="Times New Roman"/>
          <w:bCs/>
          <w:sz w:val="24"/>
          <w:szCs w:val="24"/>
          <w:lang w:val="en-GB" w:eastAsia="fr-FR"/>
        </w:rPr>
        <w:t>NbS</w:t>
      </w:r>
      <w:proofErr w:type="spellEnd"/>
      <w:r w:rsidRPr="00463E79">
        <w:rPr>
          <w:rFonts w:ascii="Times New Roman" w:eastAsia="Times New Roman" w:hAnsi="Times New Roman" w:cs="Times New Roman"/>
          <w:bCs/>
          <w:sz w:val="24"/>
          <w:szCs w:val="24"/>
          <w:lang w:val="en-GB" w:eastAsia="fr-FR"/>
        </w:rPr>
        <w:t>), specifically upstream reforestation and strict enforcement of non-</w:t>
      </w:r>
      <w:proofErr w:type="spellStart"/>
      <w:r w:rsidRPr="00463E79">
        <w:rPr>
          <w:rFonts w:ascii="Times New Roman" w:eastAsia="Times New Roman" w:hAnsi="Times New Roman" w:cs="Times New Roman"/>
          <w:bCs/>
          <w:sz w:val="24"/>
          <w:szCs w:val="24"/>
          <w:lang w:val="en-GB" w:eastAsia="fr-FR"/>
        </w:rPr>
        <w:t>aedificandi</w:t>
      </w:r>
      <w:proofErr w:type="spellEnd"/>
      <w:r w:rsidRPr="00463E79">
        <w:rPr>
          <w:rFonts w:ascii="Times New Roman" w:eastAsia="Times New Roman" w:hAnsi="Times New Roman" w:cs="Times New Roman"/>
          <w:bCs/>
          <w:sz w:val="24"/>
          <w:szCs w:val="24"/>
          <w:lang w:val="en-GB" w:eastAsia="fr-FR"/>
        </w:rPr>
        <w:t xml:space="preserve"> zones, to restore essential hydraulic regulation services and safeguard vulnerable populations.</w:t>
      </w:r>
    </w:p>
    <w:p w14:paraId="740E77FD" w14:textId="77777777" w:rsidR="008932B7" w:rsidRDefault="008932B7" w:rsidP="00463E79">
      <w:pPr>
        <w:spacing w:after="0" w:line="360" w:lineRule="auto"/>
        <w:jc w:val="both"/>
        <w:rPr>
          <w:rFonts w:ascii="Times New Roman" w:eastAsia="Times New Roman" w:hAnsi="Times New Roman" w:cs="Times New Roman"/>
          <w:bCs/>
          <w:sz w:val="24"/>
          <w:szCs w:val="24"/>
          <w:lang w:val="en-GB" w:eastAsia="fr-FR"/>
        </w:rPr>
      </w:pPr>
    </w:p>
    <w:p w14:paraId="11B005D6" w14:textId="08DB2869" w:rsidR="008932B7" w:rsidRPr="008932B7" w:rsidRDefault="008932B7" w:rsidP="008932B7">
      <w:pPr>
        <w:tabs>
          <w:tab w:val="left" w:pos="1959"/>
        </w:tabs>
        <w:spacing w:after="0" w:line="360" w:lineRule="auto"/>
        <w:jc w:val="both"/>
        <w:rPr>
          <w:rFonts w:ascii="Times New Roman" w:eastAsia="Times New Roman" w:hAnsi="Times New Roman" w:cs="Times New Roman"/>
          <w:bCs/>
          <w:sz w:val="24"/>
          <w:szCs w:val="24"/>
          <w:lang w:val="en-GB" w:eastAsia="fr-FR"/>
        </w:rPr>
      </w:pPr>
      <w:proofErr w:type="gramStart"/>
      <w:r w:rsidRPr="008932B7">
        <w:rPr>
          <w:rStyle w:val="lev"/>
          <w:rFonts w:ascii="Times New Roman" w:hAnsi="Times New Roman" w:cs="Times New Roman"/>
          <w:sz w:val="24"/>
          <w:szCs w:val="24"/>
          <w:lang w:val="en-US"/>
        </w:rPr>
        <w:t>Keywords</w:t>
      </w:r>
      <w:r w:rsidRPr="008932B7">
        <w:rPr>
          <w:rStyle w:val="lev"/>
          <w:rFonts w:ascii="Times New Roman" w:hAnsi="Times New Roman" w:cs="Times New Roman"/>
          <w:sz w:val="24"/>
          <w:szCs w:val="24"/>
          <w:lang w:val="en-US"/>
        </w:rPr>
        <w:t> :</w:t>
      </w:r>
      <w:proofErr w:type="gramEnd"/>
      <w:r w:rsidRPr="008932B7">
        <w:rPr>
          <w:rStyle w:val="lev"/>
          <w:rFonts w:ascii="Times New Roman" w:hAnsi="Times New Roman" w:cs="Times New Roman"/>
          <w:sz w:val="24"/>
          <w:szCs w:val="24"/>
          <w:lang w:val="en-US"/>
        </w:rPr>
        <w:t xml:space="preserve">  </w:t>
      </w:r>
      <w:proofErr w:type="spellStart"/>
      <w:r w:rsidRPr="008932B7">
        <w:rPr>
          <w:rFonts w:ascii="Times New Roman" w:hAnsi="Times New Roman" w:cs="Times New Roman"/>
          <w:b/>
          <w:sz w:val="24"/>
          <w:szCs w:val="24"/>
          <w:lang w:val="en-US"/>
        </w:rPr>
        <w:t>Spatio</w:t>
      </w:r>
      <w:bookmarkStart w:id="0" w:name="_GoBack"/>
      <w:bookmarkEnd w:id="0"/>
      <w:proofErr w:type="spellEnd"/>
      <w:r w:rsidRPr="008932B7">
        <w:rPr>
          <w:rFonts w:ascii="Times New Roman" w:hAnsi="Times New Roman" w:cs="Times New Roman"/>
          <w:b/>
          <w:sz w:val="24"/>
          <w:szCs w:val="24"/>
          <w:lang w:val="en-US"/>
        </w:rPr>
        <w:t>-temporal</w:t>
      </w:r>
      <w:r w:rsidRPr="008932B7">
        <w:rPr>
          <w:rFonts w:ascii="Times New Roman" w:hAnsi="Times New Roman" w:cs="Times New Roman"/>
          <w:b/>
          <w:sz w:val="24"/>
          <w:szCs w:val="24"/>
          <w:lang w:val="en-US"/>
        </w:rPr>
        <w:t>,</w:t>
      </w:r>
      <w:r w:rsidRPr="008932B7">
        <w:rPr>
          <w:rFonts w:ascii="Times New Roman" w:hAnsi="Times New Roman" w:cs="Times New Roman"/>
          <w:b/>
          <w:sz w:val="24"/>
          <w:szCs w:val="24"/>
          <w:lang w:val="en-US"/>
        </w:rPr>
        <w:t xml:space="preserve"> dynamics</w:t>
      </w:r>
      <w:r w:rsidRPr="008932B7">
        <w:rPr>
          <w:rFonts w:ascii="Times New Roman" w:hAnsi="Times New Roman" w:cs="Times New Roman"/>
          <w:b/>
          <w:sz w:val="24"/>
          <w:szCs w:val="24"/>
          <w:lang w:val="en-US"/>
        </w:rPr>
        <w:t xml:space="preserve">; </w:t>
      </w:r>
      <w:r w:rsidRPr="008932B7">
        <w:rPr>
          <w:rFonts w:ascii="Times New Roman" w:hAnsi="Times New Roman" w:cs="Times New Roman"/>
          <w:b/>
          <w:sz w:val="24"/>
          <w:szCs w:val="24"/>
          <w:lang w:val="en-US"/>
        </w:rPr>
        <w:t>vegetation cover</w:t>
      </w:r>
      <w:r w:rsidRPr="008932B7">
        <w:rPr>
          <w:rFonts w:ascii="Times New Roman" w:hAnsi="Times New Roman" w:cs="Times New Roman"/>
          <w:b/>
          <w:sz w:val="24"/>
          <w:szCs w:val="24"/>
          <w:lang w:val="en-US"/>
        </w:rPr>
        <w:t xml:space="preserve">; </w:t>
      </w:r>
      <w:r w:rsidRPr="008932B7">
        <w:rPr>
          <w:rFonts w:ascii="Times New Roman" w:hAnsi="Times New Roman" w:cs="Times New Roman"/>
          <w:b/>
          <w:sz w:val="24"/>
          <w:szCs w:val="24"/>
          <w:lang w:val="en-US"/>
        </w:rPr>
        <w:t>flood vulnerability</w:t>
      </w:r>
      <w:r w:rsidRPr="008932B7">
        <w:rPr>
          <w:rFonts w:ascii="Times New Roman" w:hAnsi="Times New Roman" w:cs="Times New Roman"/>
          <w:b/>
          <w:sz w:val="24"/>
          <w:szCs w:val="24"/>
          <w:lang w:val="en-US"/>
        </w:rPr>
        <w:t xml:space="preserve">; </w:t>
      </w:r>
      <w:proofErr w:type="spellStart"/>
      <w:r w:rsidRPr="008932B7">
        <w:rPr>
          <w:rFonts w:ascii="Times New Roman" w:hAnsi="Times New Roman" w:cs="Times New Roman"/>
          <w:b/>
          <w:sz w:val="24"/>
          <w:szCs w:val="24"/>
          <w:lang w:val="en-US"/>
        </w:rPr>
        <w:t>Uvira</w:t>
      </w:r>
      <w:proofErr w:type="spellEnd"/>
      <w:r w:rsidRPr="008932B7">
        <w:rPr>
          <w:rFonts w:ascii="Times New Roman" w:hAnsi="Times New Roman" w:cs="Times New Roman"/>
          <w:b/>
          <w:sz w:val="24"/>
          <w:szCs w:val="24"/>
          <w:lang w:val="en-US"/>
        </w:rPr>
        <w:t xml:space="preserve"> City</w:t>
      </w:r>
      <w:r w:rsidRPr="008932B7">
        <w:rPr>
          <w:rFonts w:ascii="Times New Roman" w:hAnsi="Times New Roman" w:cs="Times New Roman"/>
          <w:b/>
          <w:sz w:val="24"/>
          <w:szCs w:val="24"/>
          <w:lang w:val="en-US"/>
        </w:rPr>
        <w:t>; DRC</w:t>
      </w:r>
    </w:p>
    <w:p w14:paraId="5188DC47" w14:textId="77777777" w:rsidR="00463E79" w:rsidRDefault="00463E79" w:rsidP="00463E79">
      <w:pPr>
        <w:spacing w:after="0" w:line="240" w:lineRule="auto"/>
        <w:rPr>
          <w:rFonts w:ascii="Times New Roman" w:eastAsia="Times New Roman" w:hAnsi="Times New Roman" w:cs="Times New Roman"/>
          <w:bCs/>
          <w:sz w:val="24"/>
          <w:szCs w:val="24"/>
          <w:lang w:val="en-GB" w:eastAsia="fr-FR"/>
        </w:rPr>
      </w:pPr>
    </w:p>
    <w:p w14:paraId="25E76764" w14:textId="6184043A" w:rsidR="00A341D9" w:rsidRPr="00463E79" w:rsidRDefault="008076B8" w:rsidP="00463E79">
      <w:pPr>
        <w:pStyle w:val="Paragraphedeliste"/>
        <w:numPr>
          <w:ilvl w:val="0"/>
          <w:numId w:val="15"/>
        </w:numPr>
        <w:spacing w:after="0" w:line="240" w:lineRule="auto"/>
        <w:rPr>
          <w:rFonts w:ascii="Times New Roman" w:eastAsia="Calibri" w:hAnsi="Times New Roman"/>
          <w:i/>
          <w:color w:val="000000"/>
          <w:lang w:val="en-US"/>
        </w:rPr>
      </w:pPr>
      <w:r w:rsidRPr="00463E79">
        <w:rPr>
          <w:rFonts w:ascii="Times New Roman" w:eastAsia="Times New Roman" w:hAnsi="Times New Roman" w:cs="Times New Roman"/>
          <w:b/>
          <w:bCs/>
          <w:sz w:val="24"/>
          <w:szCs w:val="24"/>
          <w:lang w:val="en-US" w:eastAsia="fr-FR"/>
        </w:rPr>
        <w:t>INTRODUCTION</w:t>
      </w:r>
    </w:p>
    <w:p w14:paraId="069B1839" w14:textId="01C34B80" w:rsidR="00A341D9" w:rsidRPr="00523C45" w:rsidRDefault="00A341D9" w:rsidP="00A30E34">
      <w:pPr>
        <w:spacing w:before="100" w:beforeAutospacing="1" w:after="0" w:line="360" w:lineRule="auto"/>
        <w:jc w:val="both"/>
        <w:rPr>
          <w:rFonts w:ascii="Times New Roman" w:eastAsia="Times New Roman" w:hAnsi="Times New Roman" w:cs="Times New Roman"/>
          <w:sz w:val="24"/>
          <w:szCs w:val="24"/>
          <w:lang w:val="en-US" w:eastAsia="fr-FR"/>
        </w:rPr>
      </w:pPr>
      <w:r w:rsidRPr="00523C45">
        <w:rPr>
          <w:rFonts w:ascii="Times New Roman" w:eastAsia="Times New Roman" w:hAnsi="Times New Roman" w:cs="Times New Roman"/>
          <w:sz w:val="24"/>
          <w:szCs w:val="24"/>
          <w:lang w:val="en-US" w:eastAsia="fr-FR"/>
        </w:rPr>
        <w:t xml:space="preserve">Floods represent one of the most pervasive and destructive natural hazards worldwide, accounting for nearly 90% of climate-related disasters </w:t>
      </w:r>
      <w:r w:rsidR="008065E3">
        <w:rPr>
          <w:rFonts w:ascii="Times New Roman" w:eastAsia="Times New Roman" w:hAnsi="Times New Roman" w:cs="Times New Roman"/>
          <w:sz w:val="24"/>
          <w:szCs w:val="24"/>
          <w:lang w:val="en-US" w:eastAsia="fr-FR"/>
        </w:rPr>
        <w:fldChar w:fldCharType="begin"/>
      </w:r>
      <w:r w:rsidR="008065E3">
        <w:rPr>
          <w:rFonts w:ascii="Times New Roman" w:eastAsia="Times New Roman" w:hAnsi="Times New Roman" w:cs="Times New Roman"/>
          <w:sz w:val="24"/>
          <w:szCs w:val="24"/>
          <w:lang w:val="en-US" w:eastAsia="fr-FR"/>
        </w:rPr>
        <w:instrText xml:space="preserve"> ADDIN ZOTERO_ITEM CSL_CITATION {"citationID":"xC0bULRg","properties":{"formattedCitation":"(Food &amp; Nations, 2016)","plainCitation":"(Food &amp; Nations, 2016)","noteIndex":0},"citationItems":[{"id":485,"uris":["http://zotero.org/users/13682081/items/GP5A4THH"],"itemData":{"id":485,"type":"article-journal","container-title":"FAO Report","source":"Google Scholar","title":"State of the world’s forests 2016. Forests and agriculture: Land-use challenges and opportunities","title-short":"State of the world’s forests 2016. Forests and agriculture","author":[{"literal":"Food"},{"family":"Nations","given":"Agriculture Organization of the United"}],"issued":{"date-parts":[["2016"]]}}}],"schema":"https://github.com/citation-style-language/schema/raw/master/csl-citation.json"} </w:instrText>
      </w:r>
      <w:r w:rsidR="008065E3">
        <w:rPr>
          <w:rFonts w:ascii="Times New Roman" w:eastAsia="Times New Roman" w:hAnsi="Times New Roman" w:cs="Times New Roman"/>
          <w:sz w:val="24"/>
          <w:szCs w:val="24"/>
          <w:lang w:val="en-US" w:eastAsia="fr-FR"/>
        </w:rPr>
        <w:fldChar w:fldCharType="separate"/>
      </w:r>
      <w:r w:rsidR="008065E3" w:rsidRPr="008065E3">
        <w:rPr>
          <w:rFonts w:ascii="Times New Roman" w:hAnsi="Times New Roman" w:cs="Times New Roman"/>
          <w:sz w:val="24"/>
          <w:lang w:val="en-US"/>
        </w:rPr>
        <w:t>(Food &amp; Nations, 2016)</w:t>
      </w:r>
      <w:r w:rsidR="008065E3">
        <w:rPr>
          <w:rFonts w:ascii="Times New Roman" w:eastAsia="Times New Roman" w:hAnsi="Times New Roman" w:cs="Times New Roman"/>
          <w:sz w:val="24"/>
          <w:szCs w:val="24"/>
          <w:lang w:val="en-US" w:eastAsia="fr-FR"/>
        </w:rPr>
        <w:fldChar w:fldCharType="end"/>
      </w:r>
      <w:r w:rsidR="008065E3">
        <w:rPr>
          <w:rFonts w:ascii="Times New Roman" w:eastAsia="Times New Roman" w:hAnsi="Times New Roman" w:cs="Times New Roman"/>
          <w:sz w:val="24"/>
          <w:szCs w:val="24"/>
          <w:lang w:val="en-US" w:eastAsia="fr-FR"/>
        </w:rPr>
        <w:t xml:space="preserve">. </w:t>
      </w:r>
      <w:r w:rsidRPr="00523C45">
        <w:rPr>
          <w:rFonts w:ascii="Times New Roman" w:eastAsia="Times New Roman" w:hAnsi="Times New Roman" w:cs="Times New Roman"/>
          <w:sz w:val="24"/>
          <w:szCs w:val="24"/>
          <w:lang w:val="en-US" w:eastAsia="fr-FR"/>
        </w:rPr>
        <w:t>Their increasing frequency and intensity are driven by the combined effects of climate variability, rapid and often unplanned urban expansion, and widespread environmental degradation</w:t>
      </w:r>
      <w:r w:rsidR="00A30E34">
        <w:rPr>
          <w:rFonts w:ascii="Times New Roman" w:eastAsia="Times New Roman" w:hAnsi="Times New Roman" w:cs="Times New Roman"/>
          <w:sz w:val="24"/>
          <w:szCs w:val="24"/>
          <w:lang w:val="en-US" w:eastAsia="fr-FR"/>
        </w:rPr>
        <w:t xml:space="preserve">. </w:t>
      </w:r>
      <w:r w:rsidR="00A30E34" w:rsidRPr="00A30E34">
        <w:rPr>
          <w:rFonts w:ascii="Times New Roman" w:hAnsi="Times New Roman" w:cs="Times New Roman"/>
          <w:color w:val="000000"/>
          <w:sz w:val="24"/>
          <w:szCs w:val="24"/>
          <w:shd w:val="clear" w:color="auto" w:fill="FFFFFF"/>
          <w:lang w:val="en-US"/>
        </w:rPr>
        <w:t xml:space="preserve">In Sub-Saharan Africa, these interacting processes disproportionately affect rapidly growing secondary cities, where institutional and infrastructural capacities remain limited (Walsh et </w:t>
      </w:r>
      <w:r w:rsidR="00A30E34" w:rsidRPr="00A30E34">
        <w:rPr>
          <w:rFonts w:ascii="Times New Roman" w:hAnsi="Times New Roman" w:cs="Times New Roman"/>
          <w:color w:val="000000"/>
          <w:sz w:val="24"/>
          <w:szCs w:val="24"/>
          <w:shd w:val="clear" w:color="auto" w:fill="FFFFFF"/>
          <w:lang w:val="en-US"/>
        </w:rPr>
        <w:lastRenderedPageBreak/>
        <w:t>al., 2005). This situation is also evident in the Democratic Republic of Congo (DRC), which exemplifies this vulnerability.</w:t>
      </w:r>
      <w:r w:rsidRPr="00523C45">
        <w:rPr>
          <w:rFonts w:ascii="Times New Roman" w:eastAsia="Times New Roman" w:hAnsi="Times New Roman" w:cs="Times New Roman"/>
          <w:sz w:val="24"/>
          <w:szCs w:val="24"/>
          <w:lang w:val="en-US" w:eastAsia="fr-FR"/>
        </w:rPr>
        <w:t xml:space="preserve"> The city of </w:t>
      </w:r>
      <w:proofErr w:type="spellStart"/>
      <w:r w:rsidRPr="00523C45">
        <w:rPr>
          <w:rFonts w:ascii="Times New Roman" w:eastAsia="Times New Roman" w:hAnsi="Times New Roman" w:cs="Times New Roman"/>
          <w:sz w:val="24"/>
          <w:szCs w:val="24"/>
          <w:lang w:val="en-US" w:eastAsia="fr-FR"/>
        </w:rPr>
        <w:t>Uvira</w:t>
      </w:r>
      <w:proofErr w:type="spellEnd"/>
      <w:r w:rsidRPr="00523C45">
        <w:rPr>
          <w:rFonts w:ascii="Times New Roman" w:eastAsia="Times New Roman" w:hAnsi="Times New Roman" w:cs="Times New Roman"/>
          <w:sz w:val="24"/>
          <w:szCs w:val="24"/>
          <w:lang w:val="en-US" w:eastAsia="fr-FR"/>
        </w:rPr>
        <w:t>, located along the northern shore of Lake Tanganyika and bordered by the steep slopes of the Mitumba mountain range, is particularly exposed to hydrometeorological hazards. Its geomorphological setting, combined with dense hydrographic networks and uncontroll</w:t>
      </w:r>
      <w:r w:rsidR="003E2885">
        <w:rPr>
          <w:rFonts w:ascii="Times New Roman" w:eastAsia="Times New Roman" w:hAnsi="Times New Roman" w:cs="Times New Roman"/>
          <w:sz w:val="24"/>
          <w:szCs w:val="24"/>
          <w:lang w:val="en-US" w:eastAsia="fr-FR"/>
        </w:rPr>
        <w:t>ed urban expansion, creates favor</w:t>
      </w:r>
      <w:r w:rsidR="003E2885" w:rsidRPr="00523C45">
        <w:rPr>
          <w:rFonts w:ascii="Times New Roman" w:eastAsia="Times New Roman" w:hAnsi="Times New Roman" w:cs="Times New Roman"/>
          <w:sz w:val="24"/>
          <w:szCs w:val="24"/>
          <w:lang w:val="en-US" w:eastAsia="fr-FR"/>
        </w:rPr>
        <w:t>able</w:t>
      </w:r>
      <w:r w:rsidRPr="00523C45">
        <w:rPr>
          <w:rFonts w:ascii="Times New Roman" w:eastAsia="Times New Roman" w:hAnsi="Times New Roman" w:cs="Times New Roman"/>
          <w:sz w:val="24"/>
          <w:szCs w:val="24"/>
          <w:lang w:val="en-US" w:eastAsia="fr-FR"/>
        </w:rPr>
        <w:t xml:space="preserve"> conditions for recurrent flooding. Major flood events recorded in 2007, 2014, 2020, and 2023 have highlighted the critical role of anthropogenic drivers, including hillside deforestation, floodplain encroachment, and inadequate drainage systems.</w:t>
      </w:r>
    </w:p>
    <w:p w14:paraId="06FCF0DE" w14:textId="2F3FEA23" w:rsidR="00A341D9" w:rsidRPr="00523C45" w:rsidRDefault="00A341D9" w:rsidP="00A341D9">
      <w:pPr>
        <w:spacing w:before="100" w:beforeAutospacing="1" w:after="0" w:line="360" w:lineRule="auto"/>
        <w:jc w:val="both"/>
        <w:rPr>
          <w:rFonts w:ascii="Times New Roman" w:eastAsia="Times New Roman" w:hAnsi="Times New Roman" w:cs="Times New Roman"/>
          <w:sz w:val="24"/>
          <w:szCs w:val="24"/>
          <w:lang w:val="en-US" w:eastAsia="fr-FR"/>
        </w:rPr>
      </w:pPr>
      <w:r w:rsidRPr="00523C45">
        <w:rPr>
          <w:rFonts w:ascii="Times New Roman" w:eastAsia="Times New Roman" w:hAnsi="Times New Roman" w:cs="Times New Roman"/>
          <w:sz w:val="24"/>
          <w:szCs w:val="24"/>
          <w:lang w:val="en-US" w:eastAsia="fr-FR"/>
        </w:rPr>
        <w:t>Concurrently, the Congo Basin is experiencing rapid land-cover transformations driven by agricultural expansion, mining activities, and urban growth. These processes significantly alter ecosystem functions, particularly those related to hydrological regulation, soil stability, and runoff control</w:t>
      </w:r>
      <w:r w:rsidR="00525BA4">
        <w:rPr>
          <w:rFonts w:ascii="Times New Roman" w:eastAsia="Times New Roman" w:hAnsi="Times New Roman" w:cs="Times New Roman"/>
          <w:sz w:val="24"/>
          <w:szCs w:val="24"/>
          <w:lang w:val="en-US" w:eastAsia="fr-FR"/>
        </w:rPr>
        <w:t xml:space="preserve"> </w:t>
      </w:r>
      <w:r w:rsidR="00525BA4">
        <w:rPr>
          <w:rFonts w:ascii="Times New Roman" w:eastAsia="Times New Roman" w:hAnsi="Times New Roman" w:cs="Times New Roman"/>
          <w:sz w:val="24"/>
          <w:szCs w:val="24"/>
          <w:lang w:val="en-US" w:eastAsia="fr-FR"/>
        </w:rPr>
        <w:fldChar w:fldCharType="begin"/>
      </w:r>
      <w:r w:rsidR="008546E2">
        <w:rPr>
          <w:rFonts w:ascii="Times New Roman" w:eastAsia="Times New Roman" w:hAnsi="Times New Roman" w:cs="Times New Roman"/>
          <w:sz w:val="24"/>
          <w:szCs w:val="24"/>
          <w:lang w:val="en-US" w:eastAsia="fr-FR"/>
        </w:rPr>
        <w:instrText xml:space="preserve"> ADDIN ZOTERO_ITEM CSL_CITATION {"citationID":"uTSbJM38","properties":{"formattedCitation":"(Heri\\uc0\\u8208{}Kazi &amp; Bielders, 2021a)","plainCitation":"(Heri‐Kazi &amp; Bielders, 2021a)","noteIndex":0},"citationItems":[{"id":489,"uris":["http://zotero.org/users/13682081/items/953ULSHH"],"itemData":{"id":489,"type":"article-journal","abstract":"Abstract\n            Despite being one of the hotspots for soil erosion in the world, little is known regarding farmer's knowledge of soil erosion in the highlands of South‐Kivu in the Democratic Republic of Congo. A proper understanding of farmers' knowledge regarding soil erosion and conservation measures is a prerequisite for implementing resilient erosion control measures. The objective of this study was therefore to assess farmers' knowledge of soil erosion, to document existing soil and water conservation (SWC) measures and to identify their adoption constraints in the highlands of South‐Kivu. Data were collected using interviews with a semi‐structured questionnaire involving 720 respondents from eight watersheds in four territories. Farmers reported eight main erosion indicators. As opposed to gullies (80% of farmers), rills were perceived as important erosion indicators by only 50% of farmers, despite their common occurrence. Farmers were largely unaware of the potential impact of their crops and cropping practices on erosion. Farmers knew about only a limited range of SWC measures, which were perceived to be little to moderately efficient. Furthermore, the average level of adoption was very low (21%). Adoption constraints varied widely depending on the SWC measure. Thus, future interventions need to place much greater emphasis on awareness regarding soil erosion and SWC measures, to strengthen farmers' capacity for experimentation and adaptation to new technologies and finally to create a policy and institutional environment that stimulates widespread adoption of SWC techniques.","container-title":"Land Degradation &amp; Development","DOI":"10.1002/ldr.3755","ISSN":"1085-3278, 1099-145X","issue":"2","journalAbbreviation":"Land Degrad Dev","language":"en","page":"699-713","source":"DOI.org (Crossref)","title":"Erosion and soil and water conservation in &lt;span style=\"font-variant:small-caps;\"&gt;South‐Kivu&lt;/span&gt; (eastern DR Congo): The farmers' view","title-short":"Erosion and soil and water conservation in &lt;span style=\"font-variant","URL":"https://onlinelibrary.wiley.com/doi/10.1002/ldr.3755","volume":"32","author":[{"family":"Heri‐Kazi","given":"Aimé B."},{"family":"Bielders","given":"Charles L."}],"accessed":{"date-parts":[["2026",1,4]]},"issued":{"date-parts":[["2021",1,30]]}}}],"schema":"https://github.com/citation-style-language/schema/raw/master/csl-citation.json"} </w:instrText>
      </w:r>
      <w:r w:rsidR="00525BA4">
        <w:rPr>
          <w:rFonts w:ascii="Times New Roman" w:eastAsia="Times New Roman" w:hAnsi="Times New Roman" w:cs="Times New Roman"/>
          <w:sz w:val="24"/>
          <w:szCs w:val="24"/>
          <w:lang w:val="en-US" w:eastAsia="fr-FR"/>
        </w:rPr>
        <w:fldChar w:fldCharType="separate"/>
      </w:r>
      <w:r w:rsidR="003E2885">
        <w:rPr>
          <w:rFonts w:ascii="Times New Roman" w:hAnsi="Times New Roman" w:cs="Times New Roman"/>
          <w:sz w:val="24"/>
          <w:szCs w:val="24"/>
          <w:lang w:val="en-US"/>
        </w:rPr>
        <w:t>(Heri‐Kazi &amp; Bielders, 2021</w:t>
      </w:r>
      <w:r w:rsidR="008546E2" w:rsidRPr="00430849">
        <w:rPr>
          <w:rFonts w:ascii="Times New Roman" w:hAnsi="Times New Roman" w:cs="Times New Roman"/>
          <w:sz w:val="24"/>
          <w:szCs w:val="24"/>
          <w:lang w:val="en-US"/>
        </w:rPr>
        <w:t>)</w:t>
      </w:r>
      <w:r w:rsidR="00525BA4">
        <w:rPr>
          <w:rFonts w:ascii="Times New Roman" w:eastAsia="Times New Roman" w:hAnsi="Times New Roman" w:cs="Times New Roman"/>
          <w:sz w:val="24"/>
          <w:szCs w:val="24"/>
          <w:lang w:val="en-US" w:eastAsia="fr-FR"/>
        </w:rPr>
        <w:fldChar w:fldCharType="end"/>
      </w:r>
      <w:r w:rsidRPr="00523C45">
        <w:rPr>
          <w:rFonts w:ascii="Times New Roman" w:eastAsia="Times New Roman" w:hAnsi="Times New Roman" w:cs="Times New Roman"/>
          <w:sz w:val="24"/>
          <w:szCs w:val="24"/>
          <w:lang w:val="en-US" w:eastAsia="fr-FR"/>
        </w:rPr>
        <w:t>. The degradation of vegetative cover reduces infiltration capacity and amplifies surface runoff, thereby increasing both the magnitude and frequency of flood events</w:t>
      </w:r>
      <w:r w:rsidR="00525BA4">
        <w:rPr>
          <w:rFonts w:ascii="Times New Roman" w:eastAsia="Times New Roman" w:hAnsi="Times New Roman" w:cs="Times New Roman"/>
          <w:sz w:val="24"/>
          <w:szCs w:val="24"/>
          <w:lang w:val="en-US" w:eastAsia="fr-FR"/>
        </w:rPr>
        <w:t xml:space="preserve"> </w:t>
      </w:r>
      <w:r w:rsidR="00525BA4">
        <w:rPr>
          <w:rFonts w:ascii="Times New Roman" w:eastAsia="Times New Roman" w:hAnsi="Times New Roman" w:cs="Times New Roman"/>
          <w:sz w:val="24"/>
          <w:szCs w:val="24"/>
          <w:lang w:val="en-US" w:eastAsia="fr-FR"/>
        </w:rPr>
        <w:fldChar w:fldCharType="begin"/>
      </w:r>
      <w:r w:rsidR="00525BA4">
        <w:rPr>
          <w:rFonts w:ascii="Times New Roman" w:eastAsia="Times New Roman" w:hAnsi="Times New Roman" w:cs="Times New Roman"/>
          <w:sz w:val="24"/>
          <w:szCs w:val="24"/>
          <w:lang w:val="en-US" w:eastAsia="fr-FR"/>
        </w:rPr>
        <w:instrText xml:space="preserve"> ADDIN ZOTERO_ITEM CSL_CITATION {"citationID":"on0GSZtA","properties":{"formattedCitation":"(Geist &amp; Lambin, 2002)","plainCitation":"(Geist &amp; Lambin, 2002)","noteIndex":0},"citationItems":[{"id":487,"uris":["http://zotero.org/users/13682081/items/RLYC8PQW"],"itemData":{"id":487,"type":"article-journal","container-title":"BioScience","issue":"2","note":"publisher: American Institute of Biological Sciences","page":"143–150","source":"Google Scholar","title":"Proximate causes and underlying driving forces of tropical deforestation: Tropical forests are disappearing as the result of many pressures, both local and regional, acting in various combinations in different geographical locations","title-short":"Proximate causes and underlying driving forces of tropical deforestation","URL":"https://academic.oup.com/bioscience/article-abstract/52/2/143/341135","volume":"52","author":[{"family":"Geist","given":"Helmut J."},{"family":"Lambin","given":"Eric F."}],"accessed":{"date-parts":[["2026",1,4]]},"issued":{"date-parts":[["2002"]]}}}],"schema":"https://github.com/citation-style-language/schema/raw/master/csl-citation.json"} </w:instrText>
      </w:r>
      <w:r w:rsidR="00525BA4">
        <w:rPr>
          <w:rFonts w:ascii="Times New Roman" w:eastAsia="Times New Roman" w:hAnsi="Times New Roman" w:cs="Times New Roman"/>
          <w:sz w:val="24"/>
          <w:szCs w:val="24"/>
          <w:lang w:val="en-US" w:eastAsia="fr-FR"/>
        </w:rPr>
        <w:fldChar w:fldCharType="separate"/>
      </w:r>
      <w:r w:rsidR="00525BA4" w:rsidRPr="00525BA4">
        <w:rPr>
          <w:rFonts w:ascii="Times New Roman" w:hAnsi="Times New Roman" w:cs="Times New Roman"/>
          <w:sz w:val="24"/>
          <w:lang w:val="en-US"/>
        </w:rPr>
        <w:t>(Geist &amp; Lambin, 2002)</w:t>
      </w:r>
      <w:r w:rsidR="00525BA4">
        <w:rPr>
          <w:rFonts w:ascii="Times New Roman" w:eastAsia="Times New Roman" w:hAnsi="Times New Roman" w:cs="Times New Roman"/>
          <w:sz w:val="24"/>
          <w:szCs w:val="24"/>
          <w:lang w:val="en-US" w:eastAsia="fr-FR"/>
        </w:rPr>
        <w:fldChar w:fldCharType="end"/>
      </w:r>
      <w:r w:rsidRPr="00523C45">
        <w:rPr>
          <w:rFonts w:ascii="Times New Roman" w:eastAsia="Times New Roman" w:hAnsi="Times New Roman" w:cs="Times New Roman"/>
          <w:sz w:val="24"/>
          <w:szCs w:val="24"/>
          <w:lang w:val="en-US" w:eastAsia="fr-FR"/>
        </w:rPr>
        <w:t>.</w:t>
      </w:r>
    </w:p>
    <w:p w14:paraId="30B123EE" w14:textId="5BFFEFD8" w:rsidR="00A341D9" w:rsidRPr="00523C45" w:rsidRDefault="00A341D9" w:rsidP="00A341D9">
      <w:pPr>
        <w:spacing w:before="100" w:beforeAutospacing="1" w:after="0" w:line="360" w:lineRule="auto"/>
        <w:jc w:val="both"/>
        <w:rPr>
          <w:rFonts w:ascii="Times New Roman" w:eastAsia="Times New Roman" w:hAnsi="Times New Roman" w:cs="Times New Roman"/>
          <w:sz w:val="24"/>
          <w:szCs w:val="24"/>
          <w:lang w:val="en-US" w:eastAsia="fr-FR"/>
        </w:rPr>
      </w:pPr>
      <w:r w:rsidRPr="00523C45">
        <w:rPr>
          <w:rFonts w:ascii="Times New Roman" w:eastAsia="Times New Roman" w:hAnsi="Times New Roman" w:cs="Times New Roman"/>
          <w:sz w:val="24"/>
          <w:szCs w:val="24"/>
          <w:lang w:val="en-US" w:eastAsia="fr-FR"/>
        </w:rPr>
        <w:t xml:space="preserve">Despite the growing recurrence of flood disasters, there remains a significant lack of integrated, long-term assessments linking vegetation dynamics to flood vulnerability at the local scale. </w:t>
      </w:r>
      <w:r w:rsidR="003E2885" w:rsidRPr="003E2885">
        <w:rPr>
          <w:rFonts w:ascii="Times New Roman" w:hAnsi="Times New Roman" w:cs="Times New Roman"/>
          <w:sz w:val="24"/>
          <w:lang w:val="en-US"/>
        </w:rPr>
        <w:t>whereas</w:t>
      </w:r>
      <w:r w:rsidRPr="00523C45">
        <w:rPr>
          <w:rFonts w:ascii="Times New Roman" w:eastAsia="Times New Roman" w:hAnsi="Times New Roman" w:cs="Times New Roman"/>
          <w:sz w:val="24"/>
          <w:szCs w:val="24"/>
          <w:lang w:val="en-US" w:eastAsia="fr-FR"/>
        </w:rPr>
        <w:t xml:space="preserve"> remote sensing and Geographic Information Systems (GIS) have proven effective in analyzing land-use change and flood susceptibility in various contexts, their application in medium-sized African cities such as </w:t>
      </w:r>
      <w:proofErr w:type="spellStart"/>
      <w:r w:rsidRPr="00523C45">
        <w:rPr>
          <w:rFonts w:ascii="Times New Roman" w:eastAsia="Times New Roman" w:hAnsi="Times New Roman" w:cs="Times New Roman"/>
          <w:sz w:val="24"/>
          <w:szCs w:val="24"/>
          <w:lang w:val="en-US" w:eastAsia="fr-FR"/>
        </w:rPr>
        <w:t>Uvira</w:t>
      </w:r>
      <w:proofErr w:type="spellEnd"/>
      <w:r w:rsidRPr="00523C45">
        <w:rPr>
          <w:rFonts w:ascii="Times New Roman" w:eastAsia="Times New Roman" w:hAnsi="Times New Roman" w:cs="Times New Roman"/>
          <w:sz w:val="24"/>
          <w:szCs w:val="24"/>
          <w:lang w:val="en-US" w:eastAsia="fr-FR"/>
        </w:rPr>
        <w:t xml:space="preserve"> remains limited</w:t>
      </w:r>
      <w:r w:rsidR="008B5158">
        <w:rPr>
          <w:rFonts w:ascii="Times New Roman" w:eastAsia="Times New Roman" w:hAnsi="Times New Roman" w:cs="Times New Roman"/>
          <w:sz w:val="24"/>
          <w:szCs w:val="24"/>
          <w:lang w:val="en-US" w:eastAsia="fr-FR"/>
        </w:rPr>
        <w:t xml:space="preserve"> </w:t>
      </w:r>
      <w:r w:rsidR="008B5158">
        <w:rPr>
          <w:rFonts w:ascii="Times New Roman" w:eastAsia="Times New Roman" w:hAnsi="Times New Roman" w:cs="Times New Roman"/>
          <w:sz w:val="24"/>
          <w:szCs w:val="24"/>
          <w:lang w:val="en-US" w:eastAsia="fr-FR"/>
        </w:rPr>
        <w:fldChar w:fldCharType="begin"/>
      </w:r>
      <w:r w:rsidR="00954409">
        <w:rPr>
          <w:rFonts w:ascii="Times New Roman" w:eastAsia="Times New Roman" w:hAnsi="Times New Roman" w:cs="Times New Roman"/>
          <w:sz w:val="24"/>
          <w:szCs w:val="24"/>
          <w:lang w:val="en-US" w:eastAsia="fr-FR"/>
        </w:rPr>
        <w:instrText xml:space="preserve"> ADDIN ZOTERO_ITEM CSL_CITATION {"citationID":"UCgk1PJs","properties":{"formattedCitation":"(Kulimushi et al., 2021a)","plainCitation":"(Kulimushi et al., 2021a)","noteIndex":0},"citationItems":[{"id":496,"uris":["http://zotero.org/users/13682081/items/F4UQYVNY"],"itemData":{"id":496,"type":"article-journal","container-title":"Geomatics, Natural Hazards and Risk","DOI":"10.1080/19475705.2021.1906759","ISSN":"1947-5705, 1947-5713","issue":"1","journalAbbreviation":"Geomatics, Natural Hazards and Risk","language":"en","page":"961-987","source":"DOI.org (Crossref)","title":"GIS and remote sensing-based assessment of soil erosion risk using RUSLE model in South-Kivu province, eastern, Democratic Republic of Congo","URL":"https://www.tandfonline.com/doi/full/10.1080/19475705.2021.1906759","volume":"12","author":[{"family":"Kulimushi","given":"Luc Cimusa"},{"family":"Choudhari","given":"Pandurang"},{"family":"Mubalama","given":"Leonard K."},{"family":"Banswe","given":"Gedeon T."}],"accessed":{"date-parts":[["2026",1,4]]},"issued":{"date-parts":[["2021",1,1]]}}}],"schema":"https://github.com/citation-style-language/schema/raw/master/csl-citation.json"} </w:instrText>
      </w:r>
      <w:r w:rsidR="008B5158">
        <w:rPr>
          <w:rFonts w:ascii="Times New Roman" w:eastAsia="Times New Roman" w:hAnsi="Times New Roman" w:cs="Times New Roman"/>
          <w:sz w:val="24"/>
          <w:szCs w:val="24"/>
          <w:lang w:val="en-US" w:eastAsia="fr-FR"/>
        </w:rPr>
        <w:fldChar w:fldCharType="separate"/>
      </w:r>
      <w:r w:rsidR="00C16FF7">
        <w:rPr>
          <w:rFonts w:ascii="Times New Roman" w:hAnsi="Times New Roman" w:cs="Times New Roman"/>
          <w:sz w:val="24"/>
          <w:lang w:val="en-US"/>
        </w:rPr>
        <w:t>(Kulimushi et al., 2021</w:t>
      </w:r>
      <w:r w:rsidR="00954409" w:rsidRPr="00954409">
        <w:rPr>
          <w:rFonts w:ascii="Times New Roman" w:hAnsi="Times New Roman" w:cs="Times New Roman"/>
          <w:sz w:val="24"/>
          <w:lang w:val="en-US"/>
        </w:rPr>
        <w:t>)</w:t>
      </w:r>
      <w:r w:rsidR="008B5158">
        <w:rPr>
          <w:rFonts w:ascii="Times New Roman" w:eastAsia="Times New Roman" w:hAnsi="Times New Roman" w:cs="Times New Roman"/>
          <w:sz w:val="24"/>
          <w:szCs w:val="24"/>
          <w:lang w:val="en-US" w:eastAsia="fr-FR"/>
        </w:rPr>
        <w:fldChar w:fldCharType="end"/>
      </w:r>
      <w:r w:rsidRPr="00523C45">
        <w:rPr>
          <w:rFonts w:ascii="Times New Roman" w:eastAsia="Times New Roman" w:hAnsi="Times New Roman" w:cs="Times New Roman"/>
          <w:sz w:val="24"/>
          <w:szCs w:val="24"/>
          <w:lang w:val="en-US" w:eastAsia="fr-FR"/>
        </w:rPr>
        <w:t>.</w:t>
      </w:r>
    </w:p>
    <w:p w14:paraId="16BC2C8B" w14:textId="77777777" w:rsidR="00A341D9" w:rsidRPr="00523C45" w:rsidRDefault="00A341D9" w:rsidP="00A341D9">
      <w:pPr>
        <w:spacing w:before="100" w:beforeAutospacing="1" w:after="0" w:line="360" w:lineRule="auto"/>
        <w:jc w:val="both"/>
        <w:rPr>
          <w:rFonts w:ascii="Times New Roman" w:eastAsia="Times New Roman" w:hAnsi="Times New Roman" w:cs="Times New Roman"/>
          <w:sz w:val="24"/>
          <w:szCs w:val="24"/>
          <w:lang w:val="en-US" w:eastAsia="fr-FR"/>
        </w:rPr>
      </w:pPr>
      <w:r w:rsidRPr="00523C45">
        <w:rPr>
          <w:rFonts w:ascii="Times New Roman" w:eastAsia="Times New Roman" w:hAnsi="Times New Roman" w:cs="Times New Roman"/>
          <w:sz w:val="24"/>
          <w:szCs w:val="24"/>
          <w:lang w:val="en-US" w:eastAsia="fr-FR"/>
        </w:rPr>
        <w:t xml:space="preserve">Against this background, the present study aims to investigate the </w:t>
      </w:r>
      <w:proofErr w:type="spellStart"/>
      <w:r w:rsidRPr="00523C45">
        <w:rPr>
          <w:rFonts w:ascii="Times New Roman" w:eastAsia="Times New Roman" w:hAnsi="Times New Roman" w:cs="Times New Roman"/>
          <w:sz w:val="24"/>
          <w:szCs w:val="24"/>
          <w:lang w:val="en-US" w:eastAsia="fr-FR"/>
        </w:rPr>
        <w:t>spatio</w:t>
      </w:r>
      <w:proofErr w:type="spellEnd"/>
      <w:r w:rsidRPr="00523C45">
        <w:rPr>
          <w:rFonts w:ascii="Times New Roman" w:eastAsia="Times New Roman" w:hAnsi="Times New Roman" w:cs="Times New Roman"/>
          <w:sz w:val="24"/>
          <w:szCs w:val="24"/>
          <w:lang w:val="en-US" w:eastAsia="fr-FR"/>
        </w:rPr>
        <w:t xml:space="preserve">-temporal relationships between vegetation cover dynamics and flood vulnerability in the city of </w:t>
      </w:r>
      <w:proofErr w:type="spellStart"/>
      <w:r w:rsidRPr="00523C45">
        <w:rPr>
          <w:rFonts w:ascii="Times New Roman" w:eastAsia="Times New Roman" w:hAnsi="Times New Roman" w:cs="Times New Roman"/>
          <w:sz w:val="24"/>
          <w:szCs w:val="24"/>
          <w:lang w:val="en-US" w:eastAsia="fr-FR"/>
        </w:rPr>
        <w:t>Uvira</w:t>
      </w:r>
      <w:proofErr w:type="spellEnd"/>
      <w:r w:rsidRPr="00523C45">
        <w:rPr>
          <w:rFonts w:ascii="Times New Roman" w:eastAsia="Times New Roman" w:hAnsi="Times New Roman" w:cs="Times New Roman"/>
          <w:sz w:val="24"/>
          <w:szCs w:val="24"/>
          <w:lang w:val="en-US" w:eastAsia="fr-FR"/>
        </w:rPr>
        <w:t xml:space="preserve"> over the period 1990–2024. By integrating multi-source satellite data, spatial analysis techniques, and environmental indicators, this research seeks to enhance the understanding of hydrological risk drivers and to support evidence-based strategies for sustainable urban and environmental management.</w:t>
      </w:r>
    </w:p>
    <w:p w14:paraId="4C05841F" w14:textId="11F5BB85" w:rsidR="005457B2" w:rsidRPr="00A341D9" w:rsidRDefault="005457B2" w:rsidP="00A341D9">
      <w:pPr>
        <w:pStyle w:val="NormalWeb"/>
        <w:spacing w:after="0" w:afterAutospacing="0" w:line="360" w:lineRule="auto"/>
        <w:jc w:val="both"/>
        <w:rPr>
          <w:lang w:val="en-US"/>
        </w:rPr>
      </w:pPr>
      <w:r w:rsidRPr="00A341D9">
        <w:rPr>
          <w:lang w:val="en-US"/>
        </w:rPr>
        <w:t xml:space="preserve">The overarching objective of this study is to investigate the </w:t>
      </w:r>
      <w:proofErr w:type="spellStart"/>
      <w:r w:rsidRPr="00A341D9">
        <w:rPr>
          <w:lang w:val="en-US"/>
        </w:rPr>
        <w:t>spatio</w:t>
      </w:r>
      <w:proofErr w:type="spellEnd"/>
      <w:r w:rsidRPr="00A341D9">
        <w:rPr>
          <w:lang w:val="en-US"/>
        </w:rPr>
        <w:t xml:space="preserve">-temporal interactions between vegetation cover dynamics and flood vulnerability in the city of </w:t>
      </w:r>
      <w:proofErr w:type="spellStart"/>
      <w:r w:rsidRPr="00A341D9">
        <w:rPr>
          <w:lang w:val="en-US"/>
        </w:rPr>
        <w:t>Uvira</w:t>
      </w:r>
      <w:proofErr w:type="spellEnd"/>
      <w:r w:rsidRPr="00A341D9">
        <w:rPr>
          <w:lang w:val="en-US"/>
        </w:rPr>
        <w:t xml:space="preserve">, located along the northern shoreline of Lake Tanganyika, over the period 1990–2024. By integrating multi-temporal remote sensing data, Geographic Information Systems (GIS), and spatial analytical approaches, the study </w:t>
      </w:r>
      <w:r w:rsidR="00CE1D34" w:rsidRPr="00637FE0">
        <w:rPr>
          <w:lang w:val="en-US"/>
        </w:rPr>
        <w:t>elucidates</w:t>
      </w:r>
      <w:r w:rsidRPr="00A341D9">
        <w:rPr>
          <w:lang w:val="en-US"/>
        </w:rPr>
        <w:t xml:space="preserve"> how land cover transformations influence hydrological processes and contribute to the increasing exposure of urban areas to flood hazards.</w:t>
      </w:r>
    </w:p>
    <w:p w14:paraId="486C8456" w14:textId="33D95339" w:rsidR="009321FF" w:rsidRDefault="00637FE0" w:rsidP="00637FE0">
      <w:pPr>
        <w:pStyle w:val="NormalWeb"/>
        <w:spacing w:before="0" w:beforeAutospacing="0" w:after="0" w:afterAutospacing="0" w:line="360" w:lineRule="auto"/>
        <w:jc w:val="both"/>
        <w:rPr>
          <w:lang w:val="en-US"/>
        </w:rPr>
      </w:pPr>
      <w:r w:rsidRPr="00637FE0">
        <w:rPr>
          <w:color w:val="000000"/>
          <w:shd w:val="clear" w:color="auto" w:fill="FFFFFF"/>
          <w:lang w:val="en-US"/>
        </w:rPr>
        <w:lastRenderedPageBreak/>
        <w:t xml:space="preserve">More specifically, this study characterizes the </w:t>
      </w:r>
      <w:proofErr w:type="spellStart"/>
      <w:r w:rsidRPr="00637FE0">
        <w:rPr>
          <w:color w:val="000000"/>
          <w:shd w:val="clear" w:color="auto" w:fill="FFFFFF"/>
          <w:lang w:val="en-US"/>
        </w:rPr>
        <w:t>spatio</w:t>
      </w:r>
      <w:proofErr w:type="spellEnd"/>
      <w:r w:rsidRPr="00637FE0">
        <w:rPr>
          <w:color w:val="000000"/>
          <w:shd w:val="clear" w:color="auto" w:fill="FFFFFF"/>
          <w:lang w:val="en-US"/>
        </w:rPr>
        <w:t>-temporal evolution of land use and vegetation cover using multi-date satellite imagery, focusing on vegetation degradation, urban expansion, and landscape change</w:t>
      </w:r>
      <w:r w:rsidR="005457B2" w:rsidRPr="00637FE0">
        <w:rPr>
          <w:lang w:val="en-US"/>
        </w:rPr>
        <w:t>.</w:t>
      </w:r>
      <w:r w:rsidR="005457B2" w:rsidRPr="00637FE0">
        <w:rPr>
          <w:sz w:val="32"/>
          <w:lang w:val="en-US"/>
        </w:rPr>
        <w:t xml:space="preserve"> </w:t>
      </w:r>
      <w:r w:rsidR="005457B2" w:rsidRPr="00A341D9">
        <w:rPr>
          <w:lang w:val="en-US"/>
        </w:rPr>
        <w:t>It also seeks to model the spatial evolution of flood-prone areas using an index-based approach that integrates key biophysical and topographic parameters, including elevation, slope, land cover, and drainage characteristics. In addition, the study aims to assess socio-environmental vulnerability by examining the interactions between biophysical changes, human settlement patterns, and the exposure of populations and infrastructure to flood-related risks.</w:t>
      </w:r>
    </w:p>
    <w:p w14:paraId="4D5D49B0" w14:textId="77777777" w:rsidR="00910A6C" w:rsidRDefault="00910A6C" w:rsidP="00EB1335">
      <w:pPr>
        <w:pStyle w:val="NormalWeb"/>
        <w:spacing w:after="0" w:afterAutospacing="0" w:line="360" w:lineRule="auto"/>
        <w:jc w:val="both"/>
        <w:rPr>
          <w:lang w:val="en-US"/>
        </w:rPr>
      </w:pPr>
    </w:p>
    <w:p w14:paraId="5D0400FC" w14:textId="77777777" w:rsidR="00910A6C" w:rsidRDefault="00910A6C" w:rsidP="00EB1335">
      <w:pPr>
        <w:pStyle w:val="NormalWeb"/>
        <w:spacing w:after="0" w:afterAutospacing="0" w:line="360" w:lineRule="auto"/>
        <w:jc w:val="both"/>
        <w:rPr>
          <w:lang w:val="en-US"/>
        </w:rPr>
      </w:pPr>
    </w:p>
    <w:p w14:paraId="061DBBE0" w14:textId="2C952231" w:rsidR="00A7034D" w:rsidRPr="00A7034D" w:rsidRDefault="00EB1335" w:rsidP="00A7034D">
      <w:pPr>
        <w:pStyle w:val="Titre3"/>
        <w:spacing w:before="0" w:beforeAutospacing="0" w:after="0" w:afterAutospacing="0" w:line="360" w:lineRule="auto"/>
        <w:jc w:val="both"/>
        <w:rPr>
          <w:sz w:val="24"/>
          <w:szCs w:val="24"/>
          <w:lang w:val="en-US"/>
        </w:rPr>
      </w:pPr>
      <w:r w:rsidRPr="00A7034D">
        <w:rPr>
          <w:sz w:val="24"/>
          <w:szCs w:val="24"/>
          <w:lang w:val="en-US"/>
        </w:rPr>
        <w:t>2. MATERIALS AND METHODS</w:t>
      </w:r>
    </w:p>
    <w:p w14:paraId="3DBD31AE" w14:textId="77777777" w:rsidR="00A7034D" w:rsidRPr="00EB1335" w:rsidRDefault="00B64D81" w:rsidP="00A7034D">
      <w:pPr>
        <w:pStyle w:val="Titre4"/>
        <w:spacing w:before="0" w:line="360" w:lineRule="auto"/>
        <w:jc w:val="both"/>
        <w:rPr>
          <w:rFonts w:ascii="Times New Roman" w:hAnsi="Times New Roman" w:cs="Times New Roman"/>
          <w:b/>
          <w:i w:val="0"/>
          <w:color w:val="auto"/>
          <w:sz w:val="24"/>
          <w:szCs w:val="24"/>
          <w:lang w:val="en-US"/>
        </w:rPr>
      </w:pPr>
      <w:r w:rsidRPr="00EB1335">
        <w:rPr>
          <w:i w:val="0"/>
          <w:noProof/>
          <w:sz w:val="24"/>
          <w:szCs w:val="24"/>
          <w:lang w:eastAsia="fr-FR"/>
        </w:rPr>
        <w:drawing>
          <wp:anchor distT="0" distB="0" distL="114300" distR="114300" simplePos="0" relativeHeight="251659264" behindDoc="1" locked="0" layoutInCell="1" allowOverlap="1" wp14:anchorId="1A0F50F2" wp14:editId="26438FA3">
            <wp:simplePos x="0" y="0"/>
            <wp:positionH relativeFrom="margin">
              <wp:align>left</wp:align>
            </wp:positionH>
            <wp:positionV relativeFrom="paragraph">
              <wp:posOffset>103505</wp:posOffset>
            </wp:positionV>
            <wp:extent cx="4421425" cy="3076575"/>
            <wp:effectExtent l="0" t="0" r="0" b="0"/>
            <wp:wrapNone/>
            <wp:docPr id="2" name="Image 2" descr="D:\Recherche\Article 2025\Article Uvira\carte d'Uv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Recherche\Article 2025\Article Uvira\carte d'Uvir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1425" cy="307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7034D" w:rsidRPr="00EB1335">
        <w:rPr>
          <w:rFonts w:ascii="Times New Roman" w:hAnsi="Times New Roman" w:cs="Times New Roman"/>
          <w:b/>
          <w:i w:val="0"/>
          <w:color w:val="auto"/>
          <w:sz w:val="24"/>
          <w:szCs w:val="24"/>
          <w:lang w:val="en-US"/>
        </w:rPr>
        <w:t>2.1. Study Area and Data Acquisition</w:t>
      </w:r>
    </w:p>
    <w:p w14:paraId="1E27A79F" w14:textId="77777777" w:rsidR="00B64D81" w:rsidRPr="00DD7971" w:rsidRDefault="00B64D81" w:rsidP="00DD7971">
      <w:pPr>
        <w:rPr>
          <w:lang w:val="en-US"/>
        </w:rPr>
      </w:pPr>
    </w:p>
    <w:p w14:paraId="72563635" w14:textId="77777777" w:rsidR="00B64D81" w:rsidRDefault="00B64D81" w:rsidP="00A7034D">
      <w:pPr>
        <w:pStyle w:val="NormalWeb"/>
        <w:spacing w:before="0" w:beforeAutospacing="0" w:after="0" w:afterAutospacing="0" w:line="360" w:lineRule="auto"/>
        <w:jc w:val="both"/>
        <w:rPr>
          <w:lang w:val="en-US"/>
        </w:rPr>
      </w:pPr>
    </w:p>
    <w:p w14:paraId="706A78FA" w14:textId="77777777" w:rsidR="00B64D81" w:rsidRDefault="00B64D81" w:rsidP="00A7034D">
      <w:pPr>
        <w:pStyle w:val="NormalWeb"/>
        <w:spacing w:before="0" w:beforeAutospacing="0" w:after="0" w:afterAutospacing="0" w:line="360" w:lineRule="auto"/>
        <w:jc w:val="both"/>
        <w:rPr>
          <w:lang w:val="en-US"/>
        </w:rPr>
      </w:pPr>
    </w:p>
    <w:p w14:paraId="3FAFF40C" w14:textId="77777777" w:rsidR="00B64D81" w:rsidRDefault="00B64D81" w:rsidP="00A7034D">
      <w:pPr>
        <w:pStyle w:val="NormalWeb"/>
        <w:spacing w:before="0" w:beforeAutospacing="0" w:after="0" w:afterAutospacing="0" w:line="360" w:lineRule="auto"/>
        <w:jc w:val="both"/>
        <w:rPr>
          <w:lang w:val="en-US"/>
        </w:rPr>
      </w:pPr>
    </w:p>
    <w:p w14:paraId="5C32597B" w14:textId="77777777" w:rsidR="00B64D81" w:rsidRDefault="00B64D81" w:rsidP="00A7034D">
      <w:pPr>
        <w:pStyle w:val="NormalWeb"/>
        <w:spacing w:before="0" w:beforeAutospacing="0" w:after="0" w:afterAutospacing="0" w:line="360" w:lineRule="auto"/>
        <w:jc w:val="both"/>
        <w:rPr>
          <w:lang w:val="en-US"/>
        </w:rPr>
      </w:pPr>
    </w:p>
    <w:p w14:paraId="129FBDD2" w14:textId="77777777" w:rsidR="00B64D81" w:rsidRDefault="00B64D81" w:rsidP="00A7034D">
      <w:pPr>
        <w:pStyle w:val="NormalWeb"/>
        <w:spacing w:before="0" w:beforeAutospacing="0" w:after="0" w:afterAutospacing="0" w:line="360" w:lineRule="auto"/>
        <w:jc w:val="both"/>
        <w:rPr>
          <w:lang w:val="en-US"/>
        </w:rPr>
      </w:pPr>
    </w:p>
    <w:p w14:paraId="1541D79D" w14:textId="77777777" w:rsidR="00B64D81" w:rsidRDefault="00B64D81" w:rsidP="00A7034D">
      <w:pPr>
        <w:pStyle w:val="NormalWeb"/>
        <w:spacing w:before="0" w:beforeAutospacing="0" w:after="0" w:afterAutospacing="0" w:line="360" w:lineRule="auto"/>
        <w:jc w:val="both"/>
        <w:rPr>
          <w:lang w:val="en-US"/>
        </w:rPr>
      </w:pPr>
    </w:p>
    <w:p w14:paraId="19F96FF7" w14:textId="77777777" w:rsidR="00B64D81" w:rsidRDefault="00B64D81" w:rsidP="00A7034D">
      <w:pPr>
        <w:pStyle w:val="NormalWeb"/>
        <w:spacing w:before="0" w:beforeAutospacing="0" w:after="0" w:afterAutospacing="0" w:line="360" w:lineRule="auto"/>
        <w:jc w:val="both"/>
        <w:rPr>
          <w:lang w:val="en-US"/>
        </w:rPr>
      </w:pPr>
    </w:p>
    <w:p w14:paraId="1149069D" w14:textId="77777777" w:rsidR="00B64D81" w:rsidRDefault="00B64D81" w:rsidP="00A7034D">
      <w:pPr>
        <w:pStyle w:val="NormalWeb"/>
        <w:spacing w:before="0" w:beforeAutospacing="0" w:after="0" w:afterAutospacing="0" w:line="360" w:lineRule="auto"/>
        <w:jc w:val="both"/>
        <w:rPr>
          <w:lang w:val="en-US"/>
        </w:rPr>
      </w:pPr>
    </w:p>
    <w:p w14:paraId="398F6B22" w14:textId="77777777" w:rsidR="00B64D81" w:rsidRDefault="00B64D81" w:rsidP="00A7034D">
      <w:pPr>
        <w:pStyle w:val="NormalWeb"/>
        <w:spacing w:before="0" w:beforeAutospacing="0" w:after="0" w:afterAutospacing="0" w:line="360" w:lineRule="auto"/>
        <w:jc w:val="both"/>
        <w:rPr>
          <w:lang w:val="en-US"/>
        </w:rPr>
      </w:pPr>
    </w:p>
    <w:p w14:paraId="7C91A964" w14:textId="77777777" w:rsidR="00910A6C" w:rsidRDefault="00910A6C" w:rsidP="00A7034D">
      <w:pPr>
        <w:pStyle w:val="NormalWeb"/>
        <w:spacing w:before="0" w:beforeAutospacing="0" w:after="0" w:afterAutospacing="0" w:line="360" w:lineRule="auto"/>
        <w:jc w:val="both"/>
        <w:rPr>
          <w:lang w:val="en-US"/>
        </w:rPr>
      </w:pPr>
    </w:p>
    <w:p w14:paraId="0AB3F1B5" w14:textId="5DBEE86D" w:rsidR="00910A6C" w:rsidRDefault="00910A6C" w:rsidP="00A7034D">
      <w:pPr>
        <w:pStyle w:val="NormalWeb"/>
        <w:spacing w:before="0" w:beforeAutospacing="0" w:after="0" w:afterAutospacing="0" w:line="360" w:lineRule="auto"/>
        <w:jc w:val="both"/>
        <w:rPr>
          <w:lang w:val="en-US"/>
        </w:rPr>
      </w:pPr>
      <w:r>
        <w:rPr>
          <w:lang w:val="en-US"/>
        </w:rPr>
        <w:t xml:space="preserve">Map 1- </w:t>
      </w:r>
      <w:r w:rsidRPr="00EB1335">
        <w:rPr>
          <w:b/>
          <w:lang w:val="en-US"/>
        </w:rPr>
        <w:t>Study Area</w:t>
      </w:r>
    </w:p>
    <w:p w14:paraId="4E0DD6BC" w14:textId="77777777" w:rsidR="00B64D81" w:rsidRDefault="00B64D81" w:rsidP="00A7034D">
      <w:pPr>
        <w:pStyle w:val="NormalWeb"/>
        <w:spacing w:before="0" w:beforeAutospacing="0" w:after="0" w:afterAutospacing="0" w:line="360" w:lineRule="auto"/>
        <w:jc w:val="both"/>
        <w:rPr>
          <w:lang w:val="en-US"/>
        </w:rPr>
      </w:pPr>
    </w:p>
    <w:p w14:paraId="03F3CCE8" w14:textId="77777777" w:rsidR="00B64D81" w:rsidRDefault="00B64D81" w:rsidP="00A7034D">
      <w:pPr>
        <w:pStyle w:val="NormalWeb"/>
        <w:spacing w:before="0" w:beforeAutospacing="0" w:after="0" w:afterAutospacing="0" w:line="360" w:lineRule="auto"/>
        <w:jc w:val="both"/>
        <w:rPr>
          <w:lang w:val="en-US"/>
        </w:rPr>
      </w:pPr>
      <w:r>
        <w:rPr>
          <w:lang w:val="en-US"/>
        </w:rPr>
        <w:fldChar w:fldCharType="begin"/>
      </w:r>
      <w:r>
        <w:rPr>
          <w:lang w:val="en-US"/>
        </w:rPr>
        <w:instrText xml:space="preserve"> ADDIN ZOTERO_ITEM CSL_CITATION {"citationID":"lO1C8H4g","properties":{"formattedCitation":"(Nacishali Nteranya, 2021)","plainCitation":"(Nacishali Nteranya, 2021)","noteIndex":0},"citationItems":[{"id":545,"uris":["http://zotero.org/users/13682081/items/VY7F2VNW"],"itemData":{"id":545,"type":"article-journal","container-title":"VertigO-la revue électronique en sciences de l'environnement","issue":"20-3","note":"publisher: Les éditions en environnements VertigO","source":"Google Scholar","title":"Cartographie de l’érosion hydrique des sols et priorisation des mesures de conservation dans le territoire d’Uvira (République démocratique du Congo)","URL":"https://journals.openedition.org/vertigo/28888","author":[{"family":"Nacishali Nteranya","given":"Jean"}],"accessed":{"date-parts":[["2026",1,5]]},"issued":{"date-parts":[["2021"]]}}}],"schema":"https://github.com/citation-style-language/schema/raw/master/csl-citation.json"} </w:instrText>
      </w:r>
      <w:r>
        <w:rPr>
          <w:lang w:val="en-US"/>
        </w:rPr>
        <w:fldChar w:fldCharType="separate"/>
      </w:r>
      <w:r w:rsidRPr="00430849">
        <w:rPr>
          <w:lang w:val="en-US"/>
        </w:rPr>
        <w:t>(Nacishali Nteranya, 2021)</w:t>
      </w:r>
      <w:r>
        <w:rPr>
          <w:lang w:val="en-US"/>
        </w:rPr>
        <w:fldChar w:fldCharType="end"/>
      </w:r>
    </w:p>
    <w:p w14:paraId="3B089542" w14:textId="77777777" w:rsidR="00A7034D" w:rsidRPr="00A7034D" w:rsidRDefault="00A7034D" w:rsidP="00A7034D">
      <w:pPr>
        <w:pStyle w:val="NormalWeb"/>
        <w:spacing w:before="0" w:beforeAutospacing="0" w:after="0" w:afterAutospacing="0" w:line="360" w:lineRule="auto"/>
        <w:jc w:val="both"/>
        <w:rPr>
          <w:lang w:val="en-US"/>
        </w:rPr>
      </w:pPr>
      <w:r w:rsidRPr="00A7034D">
        <w:rPr>
          <w:lang w:val="en-US"/>
        </w:rPr>
        <w:t xml:space="preserve">The study focuses on the city of </w:t>
      </w:r>
      <w:proofErr w:type="spellStart"/>
      <w:r w:rsidRPr="00A7034D">
        <w:rPr>
          <w:lang w:val="en-US"/>
        </w:rPr>
        <w:t>Uvira</w:t>
      </w:r>
      <w:proofErr w:type="spellEnd"/>
      <w:r w:rsidRPr="00A7034D">
        <w:rPr>
          <w:lang w:val="en-US"/>
        </w:rPr>
        <w:t>, located in the South Kivu province of the Democratic Republic of Congo (DRC), on the northern shore of Lake Tanganyika. The area’s topography is characterized by a sharp transition between the Mitumba mountain ranges and the coastal plain, a configuration that increases flood sensitivity, particularly under rising anthropogenic pressures</w:t>
      </w:r>
      <w:r w:rsidR="003425EB">
        <w:rPr>
          <w:lang w:val="en-US"/>
        </w:rPr>
        <w:t xml:space="preserve"> </w:t>
      </w:r>
      <w:r w:rsidR="00B20CE5">
        <w:rPr>
          <w:color w:val="ED7D31" w:themeColor="accent2"/>
          <w:lang w:val="en-US"/>
        </w:rPr>
        <w:fldChar w:fldCharType="begin"/>
      </w:r>
      <w:r w:rsidR="00B20CE5">
        <w:rPr>
          <w:color w:val="ED7D31" w:themeColor="accent2"/>
          <w:lang w:val="en-US"/>
        </w:rPr>
        <w:instrText xml:space="preserve"> ADDIN ZOTERO_ITEM CSL_CITATION {"citationID":"Ec2R6b13","properties":{"formattedCitation":"({\\i{}OCHA_RDC_Rapport de situation Sud-Kivu Novembre 2025 (1)}, s.\\uc0\\u160{}d.)","plainCitation":"(OCHA_RDC_Rapport de situation Sud-Kivu Novembre 2025 (1), s. d.)","noteIndex":0},"citationItems":[{"id":537,"uris":["http://zotero.org/users/13682081/items/BMHYM3IA"],"itemData":{"id":537,"type":"document","title":"OCHA_RDC_Rapport de situation Sud-Kivu Novembre 2025 (1)"}}],"schema":"https://github.com/citation-style-language/schema/raw/master/csl-citation.json"} </w:instrText>
      </w:r>
      <w:r w:rsidR="00B20CE5">
        <w:rPr>
          <w:color w:val="ED7D31" w:themeColor="accent2"/>
          <w:lang w:val="en-US"/>
        </w:rPr>
        <w:fldChar w:fldCharType="separate"/>
      </w:r>
      <w:r w:rsidR="00B20CE5" w:rsidRPr="00B20CE5">
        <w:rPr>
          <w:lang w:val="en-US"/>
        </w:rPr>
        <w:t>(</w:t>
      </w:r>
      <w:r w:rsidR="00B20CE5" w:rsidRPr="00B20CE5">
        <w:rPr>
          <w:i/>
          <w:iCs/>
          <w:lang w:val="en-US"/>
        </w:rPr>
        <w:t>OCHA_RDC</w:t>
      </w:r>
      <w:r w:rsidR="00B64D81">
        <w:rPr>
          <w:i/>
          <w:iCs/>
          <w:lang w:val="en-US"/>
        </w:rPr>
        <w:t>.,</w:t>
      </w:r>
      <w:r w:rsidR="00B20CE5" w:rsidRPr="00B20CE5">
        <w:rPr>
          <w:i/>
          <w:iCs/>
          <w:lang w:val="en-US"/>
        </w:rPr>
        <w:t>2025</w:t>
      </w:r>
      <w:r w:rsidR="00B20CE5" w:rsidRPr="00B20CE5">
        <w:rPr>
          <w:lang w:val="en-US"/>
        </w:rPr>
        <w:t>)</w:t>
      </w:r>
      <w:r w:rsidR="00B20CE5">
        <w:rPr>
          <w:color w:val="ED7D31" w:themeColor="accent2"/>
          <w:lang w:val="en-US"/>
        </w:rPr>
        <w:fldChar w:fldCharType="end"/>
      </w:r>
      <w:r w:rsidRPr="00A7034D">
        <w:rPr>
          <w:lang w:val="en-US"/>
        </w:rPr>
        <w:t>.</w:t>
      </w:r>
    </w:p>
    <w:p w14:paraId="5352C890" w14:textId="77777777" w:rsidR="00A7034D" w:rsidRPr="00A7034D" w:rsidRDefault="00A7034D" w:rsidP="00A7034D">
      <w:pPr>
        <w:pStyle w:val="NormalWeb"/>
        <w:spacing w:before="0" w:beforeAutospacing="0" w:after="0" w:afterAutospacing="0" w:line="360" w:lineRule="auto"/>
        <w:jc w:val="both"/>
        <w:rPr>
          <w:lang w:val="en-US"/>
        </w:rPr>
      </w:pPr>
      <w:r w:rsidRPr="00A7034D">
        <w:rPr>
          <w:lang w:val="en-US"/>
        </w:rPr>
        <w:t xml:space="preserve">To analyze vegetation dynamics and flood-prone areas over the period 1990–2024, a multi-temporal database was compiled using Landsat 5 TM (1990), Landsat 7 ETM+ (2000 and 2010), Landsat 8 OLI, and Sentinel-2 MSI (2015–2024). These images, with spatial </w:t>
      </w:r>
      <w:r w:rsidRPr="00A7034D">
        <w:rPr>
          <w:lang w:val="en-US"/>
        </w:rPr>
        <w:lastRenderedPageBreak/>
        <w:t>resolutions ranging from 10 to 30 m, were selected during the dry season to minimize cloud cover and ensure opt</w:t>
      </w:r>
      <w:r w:rsidR="00954409">
        <w:rPr>
          <w:lang w:val="en-US"/>
        </w:rPr>
        <w:t xml:space="preserve">imal radiometric comparability </w:t>
      </w:r>
      <w:r w:rsidR="003425EB">
        <w:rPr>
          <w:lang w:val="en-US"/>
        </w:rPr>
        <w:fldChar w:fldCharType="begin"/>
      </w:r>
      <w:r w:rsidR="003425EB">
        <w:rPr>
          <w:lang w:val="en-US"/>
        </w:rPr>
        <w:instrText xml:space="preserve"> ADDIN ZOTERO_ITEM CSL_CITATION {"citationID":"RovpLBsE","properties":{"formattedCitation":"(Khaing et al., 2019)","plainCitation":"(Khaing et al., 2019)","noteIndex":0},"citationItems":[{"id":516,"uris":["http://zotero.org/users/13682081/items/MJPBNIXW"],"itemData":{"id":516,"type":"article-journal","container-title":"PLoS One","issue":"11","note":"publisher: Public Library of Science San Francisco, CA USA","page":"e0224558","source":"Google Scholar","title":"Flood hazard mapping and assessment in data-scarce Nyaungdon area, Myanmar","URL":"https://journals.plos.org/plosone/article?id=10.1371/journal.pone.0224558","volume":"14","author":[{"family":"Khaing","given":"Zaw Myo"},{"family":"Zhang","given":"Ke"},{"family":"Sawano","given":"Hisaya"},{"family":"Shrestha","given":"Badri Bhakra"},{"family":"Sayama","given":"Takahiro"},{"family":"Nakamura","given":"Kazuhiro"}],"accessed":{"date-parts":[["2026",1,4]]},"issued":{"date-parts":[["2019"]]}}}],"schema":"https://github.com/citation-style-language/schema/raw/master/csl-citation.json"} </w:instrText>
      </w:r>
      <w:r w:rsidR="003425EB">
        <w:rPr>
          <w:lang w:val="en-US"/>
        </w:rPr>
        <w:fldChar w:fldCharType="separate"/>
      </w:r>
      <w:r w:rsidR="003425EB" w:rsidRPr="003425EB">
        <w:rPr>
          <w:lang w:val="en-US"/>
        </w:rPr>
        <w:t>(Khaing et al., 2019</w:t>
      </w:r>
      <w:r w:rsidR="003425EB">
        <w:rPr>
          <w:lang w:val="en-US"/>
        </w:rPr>
        <w:fldChar w:fldCharType="end"/>
      </w:r>
      <w:r w:rsidR="003425EB">
        <w:rPr>
          <w:lang w:val="en-US"/>
        </w:rPr>
        <w:t xml:space="preserve"> </w:t>
      </w:r>
      <w:r w:rsidRPr="00A7034D">
        <w:rPr>
          <w:lang w:val="en-US"/>
        </w:rPr>
        <w:t xml:space="preserve">; </w:t>
      </w:r>
      <w:r w:rsidR="00954409">
        <w:rPr>
          <w:lang w:val="en-US"/>
        </w:rPr>
        <w:fldChar w:fldCharType="begin"/>
      </w:r>
      <w:r w:rsidR="00954409">
        <w:rPr>
          <w:lang w:val="en-US"/>
        </w:rPr>
        <w:instrText xml:space="preserve"> ADDIN ZOTERO_ITEM CSL_CITATION {"citationID":"GMRuLqm0","properties":{"formattedCitation":"(Seto et al., 2012)","plainCitation":"(Seto et al., 2012)","noteIndex":0},"citationItems":[{"id":528,"uris":["http://zotero.org/users/13682081/items/CKWKAYUN"],"itemData":{"id":528,"type":"article-journal","abstract":"Urban land-cover change threatens biodiversity and affects ecosystem productivity through loss of habitat, biomass, and carbon storage. However, despite projections that world urban populations will increase to nearly 5 billion by 2030, little is known about future locations, magnitudes, and rates of urban expansion. Here we develop spatially explicit probabilistic forecasts of global urban land-cover change and explore the direct impacts on biodiversity hotspots and tropical carbon biomass. If current trends in population density continue and all areas with high probabilities of urban expansion undergo change, then by 2030, urban land cover will increase by 1.2 million km\n              2\n              , nearly tripling the global urban land area circa 2000. This increase would result in considerable loss of habitats in key biodiversity hotspots, with the highest rates of forecasted urban growth to take place in regions that were relatively undisturbed by urban development in 2000: the Eastern Afromontane, the Guinean Forests of West Africa, and the Western Ghats and Sri Lanka hotspots. Within the pan-tropics, loss in vegetation biomass from areas with high probability of urban expansion is estimated to be 1.38 PgC (0.05 PgC yr\n              −1\n              ), equal to </w:instrText>
      </w:r>
      <w:r w:rsidR="00954409">
        <w:rPr>
          <w:rFonts w:ascii="Cambria Math" w:hAnsi="Cambria Math" w:cs="Cambria Math"/>
          <w:lang w:val="en-US"/>
        </w:rPr>
        <w:instrText>∼</w:instrText>
      </w:r>
      <w:r w:rsidR="00954409">
        <w:rPr>
          <w:lang w:val="en-US"/>
        </w:rPr>
        <w:instrText xml:space="preserve">5% of emissions from tropical deforestation and land-use change. Although urbanization is often considered a local issue, the aggregate global impacts of projected urban expansion will require significant policy changes to affect future growth trajectories to minimize global biodiversity and vegetation carbon losses.","container-title":"Proceedings of the National Academy of Sciences","DOI":"10.1073/pnas.1211658109","ISSN":"0027-8424, 1091-6490","issue":"40","journalAbbreviation":"Proc. Natl. Acad. Sci. U.S.A.","language":"en","page":"16083-16088","source":"DOI.org (Crossref)","title":"Global forecasts of urban expansion to 2030 and direct impacts on biodiversity and carbon pools","URL":"https://pnas.org/doi/full/10.1073/pnas.1211658109","volume":"109","author":[{"family":"Seto","given":"Karen C."},{"family":"Güneralp","given":"Burak"},{"family":"Hutyra","given":"Lucy R."}],"accessed":{"date-parts":[["2026",1,4]]},"issued":{"date-parts":[["2012",10,2]]}}}],"schema":"https://github.com/citation-style-language/schema/raw/master/csl-citation.json"} </w:instrText>
      </w:r>
      <w:r w:rsidR="00954409">
        <w:rPr>
          <w:lang w:val="en-US"/>
        </w:rPr>
        <w:fldChar w:fldCharType="separate"/>
      </w:r>
      <w:r w:rsidR="00954409" w:rsidRPr="00430849">
        <w:rPr>
          <w:lang w:val="en-US"/>
        </w:rPr>
        <w:t>Seto et al., 2012)</w:t>
      </w:r>
      <w:r w:rsidR="00954409">
        <w:rPr>
          <w:lang w:val="en-US"/>
        </w:rPr>
        <w:fldChar w:fldCharType="end"/>
      </w:r>
      <w:r w:rsidRPr="00A7034D">
        <w:rPr>
          <w:lang w:val="en-US"/>
        </w:rPr>
        <w:t>. A summary table of the images, indicating acquisition dates, sensors, and cloud cover percentages, was prepared to ensure data traceability.</w:t>
      </w:r>
    </w:p>
    <w:p w14:paraId="29E51002" w14:textId="77777777" w:rsidR="00A7034D" w:rsidRPr="00EB1335" w:rsidRDefault="00A7034D" w:rsidP="00EB1335">
      <w:pPr>
        <w:pStyle w:val="Titre4"/>
        <w:spacing w:before="120" w:after="120" w:line="360" w:lineRule="auto"/>
        <w:jc w:val="both"/>
        <w:rPr>
          <w:rFonts w:ascii="Times New Roman" w:hAnsi="Times New Roman" w:cs="Times New Roman"/>
          <w:b/>
          <w:i w:val="0"/>
          <w:color w:val="auto"/>
          <w:sz w:val="24"/>
          <w:szCs w:val="24"/>
          <w:lang w:val="en-US"/>
        </w:rPr>
      </w:pPr>
      <w:r w:rsidRPr="00EB1335">
        <w:rPr>
          <w:rFonts w:ascii="Times New Roman" w:hAnsi="Times New Roman" w:cs="Times New Roman"/>
          <w:b/>
          <w:i w:val="0"/>
          <w:color w:val="auto"/>
          <w:sz w:val="24"/>
          <w:szCs w:val="24"/>
          <w:lang w:val="en-US"/>
        </w:rPr>
        <w:t>2.2. Image Preprocessing</w:t>
      </w:r>
    </w:p>
    <w:p w14:paraId="53A3F272" w14:textId="77777777" w:rsidR="00A7034D" w:rsidRPr="00A7034D" w:rsidRDefault="00A7034D" w:rsidP="00A7034D">
      <w:pPr>
        <w:pStyle w:val="NormalWeb"/>
        <w:spacing w:before="0" w:beforeAutospacing="0" w:after="0" w:afterAutospacing="0" w:line="360" w:lineRule="auto"/>
        <w:jc w:val="both"/>
      </w:pPr>
      <w:r w:rsidRPr="00A7034D">
        <w:rPr>
          <w:lang w:val="en-US"/>
        </w:rPr>
        <w:t xml:space="preserve">A standardized preprocessing protocol was applied to all images to ensure temporal consistency and analytical quality. </w:t>
      </w:r>
      <w:r w:rsidRPr="00A7034D">
        <w:t xml:space="preserve">The </w:t>
      </w:r>
      <w:proofErr w:type="spellStart"/>
      <w:r w:rsidRPr="00A7034D">
        <w:t>steps</w:t>
      </w:r>
      <w:proofErr w:type="spellEnd"/>
      <w:r w:rsidRPr="00A7034D">
        <w:t xml:space="preserve"> </w:t>
      </w:r>
      <w:proofErr w:type="spellStart"/>
      <w:r w:rsidRPr="00A7034D">
        <w:t>included</w:t>
      </w:r>
      <w:proofErr w:type="spellEnd"/>
      <w:r w:rsidRPr="00A7034D">
        <w:t>:</w:t>
      </w:r>
    </w:p>
    <w:p w14:paraId="5398D176" w14:textId="77777777" w:rsidR="00A7034D" w:rsidRPr="00A7034D" w:rsidRDefault="00A7034D" w:rsidP="00A7034D">
      <w:pPr>
        <w:pStyle w:val="NormalWeb"/>
        <w:numPr>
          <w:ilvl w:val="0"/>
          <w:numId w:val="2"/>
        </w:numPr>
        <w:spacing w:before="0" w:beforeAutospacing="0" w:after="0" w:afterAutospacing="0" w:line="360" w:lineRule="auto"/>
        <w:jc w:val="both"/>
        <w:rPr>
          <w:lang w:val="en-US"/>
        </w:rPr>
      </w:pPr>
      <w:r w:rsidRPr="00A7034D">
        <w:rPr>
          <w:rStyle w:val="lev"/>
          <w:lang w:val="en-US"/>
        </w:rPr>
        <w:t>Radiometric and atmospheric correction</w:t>
      </w:r>
      <w:r w:rsidRPr="00A7034D">
        <w:rPr>
          <w:lang w:val="en-US"/>
        </w:rPr>
        <w:t>: conversion to Top-of-Atmosphere (TOA) reflectance to minimize atmospheric scattering and inter-sensor variations.</w:t>
      </w:r>
    </w:p>
    <w:p w14:paraId="28A871BD" w14:textId="77777777" w:rsidR="00A7034D" w:rsidRPr="00A7034D" w:rsidRDefault="00A7034D" w:rsidP="00A7034D">
      <w:pPr>
        <w:pStyle w:val="NormalWeb"/>
        <w:numPr>
          <w:ilvl w:val="0"/>
          <w:numId w:val="2"/>
        </w:numPr>
        <w:spacing w:before="0" w:beforeAutospacing="0" w:after="0" w:afterAutospacing="0" w:line="360" w:lineRule="auto"/>
        <w:jc w:val="both"/>
        <w:rPr>
          <w:lang w:val="en-US"/>
        </w:rPr>
      </w:pPr>
      <w:r w:rsidRPr="00A7034D">
        <w:rPr>
          <w:rStyle w:val="lev"/>
          <w:lang w:val="en-US"/>
        </w:rPr>
        <w:t>Geometric registration</w:t>
      </w:r>
      <w:r w:rsidRPr="00A7034D">
        <w:rPr>
          <w:lang w:val="en-US"/>
        </w:rPr>
        <w:t>: projection into the UTM Zone 35S (WGS 84) coordinate system to guarantee precise overlay across dates.</w:t>
      </w:r>
    </w:p>
    <w:p w14:paraId="61201947" w14:textId="77777777" w:rsidR="00A7034D" w:rsidRPr="00A7034D" w:rsidRDefault="00A7034D" w:rsidP="00A7034D">
      <w:pPr>
        <w:pStyle w:val="NormalWeb"/>
        <w:numPr>
          <w:ilvl w:val="0"/>
          <w:numId w:val="2"/>
        </w:numPr>
        <w:spacing w:before="0" w:beforeAutospacing="0" w:after="0" w:afterAutospacing="0" w:line="360" w:lineRule="auto"/>
        <w:jc w:val="both"/>
        <w:rPr>
          <w:lang w:val="en-US"/>
        </w:rPr>
      </w:pPr>
      <w:r w:rsidRPr="00A7034D">
        <w:rPr>
          <w:rStyle w:val="lev"/>
          <w:lang w:val="en-US"/>
        </w:rPr>
        <w:t>Masking of corrupted pixels</w:t>
      </w:r>
      <w:r w:rsidRPr="00A7034D">
        <w:rPr>
          <w:lang w:val="en-US"/>
        </w:rPr>
        <w:t>: identification and exclusion of cloudy or shadowed pixels using quality assessment (QA) bands.</w:t>
      </w:r>
    </w:p>
    <w:p w14:paraId="2776ACC9" w14:textId="77777777" w:rsidR="00A7034D" w:rsidRPr="00A7034D" w:rsidRDefault="00A7034D" w:rsidP="00A7034D">
      <w:pPr>
        <w:pStyle w:val="NormalWeb"/>
        <w:spacing w:before="0" w:beforeAutospacing="0" w:after="0" w:afterAutospacing="0" w:line="360" w:lineRule="auto"/>
        <w:jc w:val="both"/>
        <w:rPr>
          <w:lang w:val="en-US"/>
        </w:rPr>
      </w:pPr>
      <w:r w:rsidRPr="00A7034D">
        <w:rPr>
          <w:lang w:val="en-US"/>
        </w:rPr>
        <w:t>This approach ensures the reliability of diachronic analyses and the reproducibility of the workflow</w:t>
      </w:r>
      <w:r w:rsidR="00954409">
        <w:rPr>
          <w:lang w:val="en-US"/>
        </w:rPr>
        <w:t xml:space="preserve"> </w:t>
      </w:r>
      <w:r w:rsidR="00954409">
        <w:rPr>
          <w:lang w:val="en-US"/>
        </w:rPr>
        <w:fldChar w:fldCharType="begin"/>
      </w:r>
      <w:r w:rsidR="00954409">
        <w:rPr>
          <w:lang w:val="en-US"/>
        </w:rPr>
        <w:instrText xml:space="preserve"> ADDIN ZOTERO_ITEM CSL_CITATION {"citationID":"sgXUj3JJ","properties":{"formattedCitation":"(Addo et al., 2008)","plainCitation":"(Addo et al., 2008)","noteIndex":0},"citationItems":[{"id":469,"uris":["http://zotero.org/users/13682081/items/ZBC5MCSX"],"itemData":{"id":469,"type":"article-journal","container-title":"ISPRS Journal of Photogrammetry and Remote Sensing","issue":"5","note":"publisher: Elsevier","page":"543–558","source":"Google Scholar","title":"Detection, measurement and prediction of shoreline recession in Accra, Ghana","URL":"https://www.sciencedirect.com/science/article/pii/S0924271608000282","volume":"63","author":[{"family":"Addo","given":"K. Appeaning"},{"family":"Walkden","given":"M."},{"family":"Mills","given":"JP","dropping-particle":"t"}],"accessed":{"date-parts":[["2026",1,4]]},"issued":{"date-parts":[["2008"]]}}}],"schema":"https://github.com/citation-style-language/schema/raw/master/csl-citation.json"} </w:instrText>
      </w:r>
      <w:r w:rsidR="00954409">
        <w:rPr>
          <w:lang w:val="en-US"/>
        </w:rPr>
        <w:fldChar w:fldCharType="separate"/>
      </w:r>
      <w:r w:rsidR="00954409" w:rsidRPr="00954409">
        <w:rPr>
          <w:lang w:val="en-US"/>
        </w:rPr>
        <w:t>(Addo et al., 2008</w:t>
      </w:r>
      <w:r w:rsidR="00954409">
        <w:rPr>
          <w:lang w:val="en-US"/>
        </w:rPr>
        <w:fldChar w:fldCharType="end"/>
      </w:r>
      <w:r w:rsidR="00954409">
        <w:rPr>
          <w:lang w:val="en-US"/>
        </w:rPr>
        <w:t xml:space="preserve">; </w:t>
      </w:r>
      <w:r w:rsidR="00954409">
        <w:rPr>
          <w:lang w:val="en-US"/>
        </w:rPr>
        <w:fldChar w:fldCharType="begin"/>
      </w:r>
      <w:r w:rsidR="00954409">
        <w:rPr>
          <w:lang w:val="en-US"/>
        </w:rPr>
        <w:instrText xml:space="preserve"> ADDIN ZOTERO_ITEM CSL_CITATION {"citationID":"FbLXcnqp","properties":{"formattedCitation":"(Seto et al., 2012)","plainCitation":"(Seto et al., 2012)","noteIndex":0},"citationItems":[{"id":528,"uris":["http://zotero.org/users/13682081/items/CKWKAYUN"],"itemData":{"id":528,"type":"article-journal","abstract":"Urban land-cover change threatens biodiversity and affects ecosystem productivity through loss of habitat, biomass, and carbon storage. However, despite projections that world urban populations will increase to nearly 5 billion by 2030, little is known about future locations, magnitudes, and rates of urban expansion. Here we develop spatially explicit probabilistic forecasts of global urban land-cover change and explore the direct impacts on biodiversity hotspots and tropical carbon biomass. If current trends in population density continue and all areas with high probabilities of urban expansion undergo change, then by 2030, urban land cover will increase by 1.2 million km\n              2\n              , nearly tripling the global urban land area circa 2000. This increase would result in considerable loss of habitats in key biodiversity hotspots, with the highest rates of forecasted urban growth to take place in regions that were relatively undisturbed by urban development in 2000: the Eastern Afromontane, the Guinean Forests of West Africa, and the Western Ghats and Sri Lanka hotspots. Within the pan-tropics, loss in vegetation biomass from areas with high probability of urban expansion is estimated to be 1.38 PgC (0.05 PgC yr\n              −1\n              ), equal to </w:instrText>
      </w:r>
      <w:r w:rsidR="00954409">
        <w:rPr>
          <w:rFonts w:ascii="Cambria Math" w:hAnsi="Cambria Math" w:cs="Cambria Math"/>
          <w:lang w:val="en-US"/>
        </w:rPr>
        <w:instrText>∼</w:instrText>
      </w:r>
      <w:r w:rsidR="00954409">
        <w:rPr>
          <w:lang w:val="en-US"/>
        </w:rPr>
        <w:instrText xml:space="preserve">5% of emissions from tropical deforestation and land-use change. Although urbanization is often considered a local issue, the aggregate global impacts of projected urban expansion will require significant policy changes to affect future growth trajectories to minimize global biodiversity and vegetation carbon losses.","container-title":"Proceedings of the National Academy of Sciences","DOI":"10.1073/pnas.1211658109","ISSN":"0027-8424, 1091-6490","issue":"40","journalAbbreviation":"Proc. Natl. Acad. Sci. U.S.A.","language":"en","page":"16083-16088","source":"DOI.org (Crossref)","title":"Global forecasts of urban expansion to 2030 and direct impacts on biodiversity and carbon pools","URL":"https://pnas.org/doi/full/10.1073/pnas.1211658109","volume":"109","author":[{"family":"Seto","given":"Karen C."},{"family":"Güneralp","given":"Burak"},{"family":"Hutyra","given":"Lucy R."}],"accessed":{"date-parts":[["2026",1,4]]},"issued":{"date-parts":[["2012",10,2]]}}}],"schema":"https://github.com/citation-style-language/schema/raw/master/csl-citation.json"} </w:instrText>
      </w:r>
      <w:r w:rsidR="00954409">
        <w:rPr>
          <w:lang w:val="en-US"/>
        </w:rPr>
        <w:fldChar w:fldCharType="separate"/>
      </w:r>
      <w:r w:rsidR="00954409" w:rsidRPr="00954409">
        <w:rPr>
          <w:lang w:val="en-US"/>
        </w:rPr>
        <w:t>Seto et al., 2012</w:t>
      </w:r>
      <w:r w:rsidR="00954409">
        <w:rPr>
          <w:lang w:val="en-US"/>
        </w:rPr>
        <w:fldChar w:fldCharType="end"/>
      </w:r>
      <w:r w:rsidR="00954409">
        <w:rPr>
          <w:lang w:val="en-US"/>
        </w:rPr>
        <w:t xml:space="preserve">; </w:t>
      </w:r>
      <w:r w:rsidR="00954409">
        <w:rPr>
          <w:lang w:val="en-US"/>
        </w:rPr>
        <w:fldChar w:fldCharType="begin"/>
      </w:r>
      <w:r w:rsidR="00954409">
        <w:rPr>
          <w:lang w:val="en-US"/>
        </w:rPr>
        <w:instrText xml:space="preserve"> ADDIN ZOTERO_ITEM CSL_CITATION {"citationID":"6eQonTC3","properties":{"formattedCitation":"(Kulimushi et al., 2021b)","plainCitation":"(Kulimushi et al., 2021b)","noteIndex":0},"citationItems":[{"id":488,"uris":["http://zotero.org/users/13682081/items/TX5VKZD7"],"itemData":{"id":488,"type":"article-journal","container-title":"Geomatics, Natural Hazards and Risk","DOI":"10.1080/19475705.2021.1906759","ISSN":"1947-5705, 1947-5713","issue":"1","journalAbbreviation":"Geomatics, Natural Hazards and Risk","language":"en","page":"961-987","source":"DOI.org (Crossref)","title":"GIS and remote sensing-based assessment of soil erosion risk using RUSLE model in South-Kivu province, eastern, Democratic Republic of Congo","URL":"https://www.tandfonline.com/doi/full/10.1080/19475705.2021.1906759","volume":"12","author":[{"family":"Kulimushi","given":"Luc Cimusa"},{"family":"Choudhari","given":"Pandurang"},{"family":"Mubalama","given":"Leonard K."},{"family":"Banswe","given":"Gedeon T."}],"accessed":{"date-parts":[["2026",1,4]]},"issued":{"date-parts":[["2021",1,1]]}}}],"schema":"https://github.com/citation-style-language/schema/raw/master/csl-citation.json"} </w:instrText>
      </w:r>
      <w:r w:rsidR="00954409">
        <w:rPr>
          <w:lang w:val="en-US"/>
        </w:rPr>
        <w:fldChar w:fldCharType="separate"/>
      </w:r>
      <w:r w:rsidR="00954409" w:rsidRPr="00954409">
        <w:rPr>
          <w:lang w:val="en-US"/>
        </w:rPr>
        <w:t>Kulimushi et al., 2021)</w:t>
      </w:r>
      <w:r w:rsidR="00954409">
        <w:rPr>
          <w:lang w:val="en-US"/>
        </w:rPr>
        <w:fldChar w:fldCharType="end"/>
      </w:r>
      <w:r w:rsidRPr="00A7034D">
        <w:rPr>
          <w:lang w:val="en-US"/>
        </w:rPr>
        <w:t>.</w:t>
      </w:r>
    </w:p>
    <w:p w14:paraId="0ECF5564" w14:textId="77777777" w:rsidR="00A7034D" w:rsidRPr="00EB1335" w:rsidRDefault="00A7034D" w:rsidP="00EB1335">
      <w:pPr>
        <w:pStyle w:val="Titre4"/>
        <w:spacing w:before="240" w:after="240" w:line="360" w:lineRule="auto"/>
        <w:jc w:val="both"/>
        <w:rPr>
          <w:rFonts w:ascii="Times New Roman" w:hAnsi="Times New Roman" w:cs="Times New Roman"/>
          <w:b/>
          <w:i w:val="0"/>
          <w:color w:val="auto"/>
          <w:sz w:val="24"/>
          <w:szCs w:val="24"/>
          <w:lang w:val="en-US"/>
        </w:rPr>
      </w:pPr>
      <w:r w:rsidRPr="00EB1335">
        <w:rPr>
          <w:rFonts w:ascii="Times New Roman" w:hAnsi="Times New Roman" w:cs="Times New Roman"/>
          <w:b/>
          <w:i w:val="0"/>
          <w:color w:val="auto"/>
          <w:sz w:val="24"/>
          <w:szCs w:val="24"/>
          <w:lang w:val="en-US"/>
        </w:rPr>
        <w:t>2.3. Land Use/Land Cover (LULC) Classification</w:t>
      </w:r>
    </w:p>
    <w:p w14:paraId="430BA3E9" w14:textId="77777777" w:rsidR="00A7034D" w:rsidRPr="00A7034D" w:rsidRDefault="00A7034D" w:rsidP="00A7034D">
      <w:pPr>
        <w:pStyle w:val="NormalWeb"/>
        <w:spacing w:before="0" w:beforeAutospacing="0" w:after="0" w:afterAutospacing="0" w:line="360" w:lineRule="auto"/>
        <w:jc w:val="both"/>
        <w:rPr>
          <w:lang w:val="en-US"/>
        </w:rPr>
      </w:pPr>
      <w:r w:rsidRPr="00A7034D">
        <w:rPr>
          <w:lang w:val="en-US"/>
        </w:rPr>
        <w:t xml:space="preserve">LULC mapping was performed using a </w:t>
      </w:r>
      <w:r w:rsidRPr="005764F9">
        <w:rPr>
          <w:rStyle w:val="lev"/>
          <w:b w:val="0"/>
          <w:lang w:val="en-US"/>
        </w:rPr>
        <w:t>supervised classification</w:t>
      </w:r>
      <w:r w:rsidRPr="00A7034D">
        <w:rPr>
          <w:lang w:val="en-US"/>
        </w:rPr>
        <w:t xml:space="preserve"> approach with the </w:t>
      </w:r>
      <w:r w:rsidRPr="005764F9">
        <w:rPr>
          <w:rStyle w:val="lev"/>
          <w:b w:val="0"/>
          <w:lang w:val="en-US"/>
        </w:rPr>
        <w:t>Random Forest (RF)</w:t>
      </w:r>
      <w:r w:rsidRPr="00A7034D">
        <w:rPr>
          <w:lang w:val="en-US"/>
        </w:rPr>
        <w:t xml:space="preserve"> algorithm, which is well-suited to tropical urban environments and non-linear spectral responses. The Maximum Likelihood Classifier (MLC) was applied as a comparative method</w:t>
      </w:r>
      <w:r w:rsidR="006721CA">
        <w:rPr>
          <w:lang w:val="en-US"/>
        </w:rPr>
        <w:t xml:space="preserve"> </w:t>
      </w:r>
      <w:r w:rsidR="007F3756">
        <w:rPr>
          <w:color w:val="ED7D31" w:themeColor="accent2"/>
          <w:lang w:val="en-US"/>
        </w:rPr>
        <w:fldChar w:fldCharType="begin"/>
      </w:r>
      <w:r w:rsidR="007F3756">
        <w:rPr>
          <w:color w:val="ED7D31" w:themeColor="accent2"/>
          <w:lang w:val="en-US"/>
        </w:rPr>
        <w:instrText xml:space="preserve"> ADDIN ZOTERO_ITEM CSL_CITATION {"citationID":"35xb5kgl","properties":{"formattedCitation":"(Lou et al., 2025)","plainCitation":"(Lou et al., 2025)","noteIndex":0},"citationItems":[{"id":538,"uris":["http://zotero.org/users/13682081/items/R7QL2N65"],"itemData":{"id":538,"type":"article-journal","container-title":"Geo-spatial Information Science","DOI":"10.1080/10095020.2024.2332638","ISSN":"1009-5020, 1993-5153","issue":"2","journalAbbreviation":"Geo-spatial Information Science","language":"en","page":"345-386","source":"DOI.org (Crossref)","title":"Land use/land cover (LULC) classification using hyperspectral images: a review","title-short":"Land use/land cover (LULC) classification using hyperspectral images","URL":"https://www.tandfonline.com/doi/full/10.1080/10095020.2024.2332638","volume":"28","author":[{"family":"Lou","given":"Chen"},{"family":"Al-qaness","given":"Mohammed A. A."},{"family":"AL-Alimi","given":"Dalal"},{"family":"Dahou","given":"Abdelghani"},{"family":"Abd Elaziz","given":"Mohamed"},{"family":"Abualigah","given":"Laith"},{"family":"Ewees","given":"Ahmed A."}],"accessed":{"date-parts":[["2026",1,5]]},"issued":{"date-parts":[["2025",3,4]]}}}],"schema":"https://github.com/citation-style-language/schema/raw/master/csl-citation.json"} </w:instrText>
      </w:r>
      <w:r w:rsidR="007F3756">
        <w:rPr>
          <w:color w:val="ED7D31" w:themeColor="accent2"/>
          <w:lang w:val="en-US"/>
        </w:rPr>
        <w:fldChar w:fldCharType="separate"/>
      </w:r>
      <w:r w:rsidR="007F3756" w:rsidRPr="007F3756">
        <w:rPr>
          <w:lang w:val="en-US"/>
        </w:rPr>
        <w:t>(Lou et al., 2025)</w:t>
      </w:r>
      <w:r w:rsidR="007F3756">
        <w:rPr>
          <w:color w:val="ED7D31" w:themeColor="accent2"/>
          <w:lang w:val="en-US"/>
        </w:rPr>
        <w:fldChar w:fldCharType="end"/>
      </w:r>
    </w:p>
    <w:p w14:paraId="309BFF88" w14:textId="77777777" w:rsidR="00A7034D" w:rsidRPr="00A7034D" w:rsidRDefault="00A7034D" w:rsidP="00A7034D">
      <w:pPr>
        <w:pStyle w:val="NormalWeb"/>
        <w:spacing w:before="0" w:beforeAutospacing="0" w:after="0" w:afterAutospacing="0" w:line="360" w:lineRule="auto"/>
        <w:jc w:val="both"/>
        <w:rPr>
          <w:lang w:val="en-US"/>
        </w:rPr>
      </w:pPr>
      <w:r w:rsidRPr="00A7034D">
        <w:rPr>
          <w:lang w:val="en-US"/>
        </w:rPr>
        <w:t>The following classes were delineated:</w:t>
      </w:r>
    </w:p>
    <w:p w14:paraId="6BA6CEBC" w14:textId="77777777" w:rsidR="00A7034D" w:rsidRPr="004B72B0" w:rsidRDefault="00A7034D" w:rsidP="004B72B0">
      <w:pPr>
        <w:pStyle w:val="NormalWeb"/>
        <w:numPr>
          <w:ilvl w:val="0"/>
          <w:numId w:val="3"/>
        </w:numPr>
        <w:spacing w:before="0" w:beforeAutospacing="0" w:after="0" w:afterAutospacing="0" w:line="360" w:lineRule="auto"/>
        <w:jc w:val="both"/>
        <w:rPr>
          <w:lang w:val="en-US"/>
        </w:rPr>
      </w:pPr>
      <w:r w:rsidRPr="004B72B0">
        <w:rPr>
          <w:lang w:val="en-US"/>
        </w:rPr>
        <w:t>Dense vegetation</w:t>
      </w:r>
      <w:r w:rsidR="004B72B0" w:rsidRPr="004B72B0">
        <w:rPr>
          <w:lang w:val="en-US"/>
        </w:rPr>
        <w:t xml:space="preserve"> ; </w:t>
      </w:r>
      <w:r w:rsidRPr="004B72B0">
        <w:rPr>
          <w:lang w:val="en-US"/>
        </w:rPr>
        <w:t>Sparse vegetation / savannas</w:t>
      </w:r>
      <w:r w:rsidR="004B72B0" w:rsidRPr="004B72B0">
        <w:rPr>
          <w:lang w:val="en-US"/>
        </w:rPr>
        <w:t xml:space="preserve"> ; </w:t>
      </w:r>
      <w:r w:rsidRPr="004B72B0">
        <w:rPr>
          <w:lang w:val="en-US"/>
        </w:rPr>
        <w:t>Built-up areas and impervious surfaces</w:t>
      </w:r>
      <w:r w:rsidR="004B72B0">
        <w:rPr>
          <w:lang w:val="en-US"/>
        </w:rPr>
        <w:t xml:space="preserve">; </w:t>
      </w:r>
      <w:r w:rsidRPr="004B72B0">
        <w:rPr>
          <w:lang w:val="en-US"/>
        </w:rPr>
        <w:t>Agricultural lands</w:t>
      </w:r>
      <w:r w:rsidR="004B72B0">
        <w:rPr>
          <w:lang w:val="en-US"/>
        </w:rPr>
        <w:t xml:space="preserve">; </w:t>
      </w:r>
      <w:r w:rsidRPr="004B72B0">
        <w:rPr>
          <w:lang w:val="en-US"/>
        </w:rPr>
        <w:t>Water bodies</w:t>
      </w:r>
    </w:p>
    <w:p w14:paraId="7955E353" w14:textId="77777777" w:rsidR="00A7034D" w:rsidRPr="00A7034D" w:rsidRDefault="00A7034D" w:rsidP="00A7034D">
      <w:pPr>
        <w:pStyle w:val="NormalWeb"/>
        <w:spacing w:before="0" w:beforeAutospacing="0" w:after="0" w:afterAutospacing="0" w:line="360" w:lineRule="auto"/>
        <w:jc w:val="both"/>
        <w:rPr>
          <w:lang w:val="en-US"/>
        </w:rPr>
      </w:pPr>
      <w:r w:rsidRPr="00A7034D">
        <w:rPr>
          <w:lang w:val="en-US"/>
        </w:rPr>
        <w:t>Training and validation samples were selected from high-resolution imagery and field data. Classification performance was evaluated using confusion matrices, the Kappa coefficient, and overall accuracy, following FAO standards (2020). RF parameters, including the number of trees and variables per split, were optimized via cross-validation to ensure robustness</w:t>
      </w:r>
      <w:r w:rsidR="00A35820">
        <w:rPr>
          <w:lang w:val="en-US"/>
        </w:rPr>
        <w:t xml:space="preserve"> </w:t>
      </w:r>
      <w:r w:rsidR="00A35820">
        <w:rPr>
          <w:lang w:val="en-US"/>
        </w:rPr>
        <w:fldChar w:fldCharType="begin"/>
      </w:r>
      <w:r w:rsidR="00A35820">
        <w:rPr>
          <w:lang w:val="en-US"/>
        </w:rPr>
        <w:instrText xml:space="preserve"> ADDIN ZOTERO_ITEM CSL_CITATION {"citationID":"B1k7bePA","properties":{"formattedCitation":"(Talukdar et al., 2020)","plainCitation":"(Talukdar et al., 2020)","noteIndex":0},"citationItems":[{"id":540,"uris":["http://zotero.org/users/13682081/items/PJTLDJJ8"],"itemData":{"id":540,"type":"article-journal","container-title":"Remote sensing","issue":"7","note":"publisher: MDPI","page":"1135","source":"Google Scholar","title":"Land-use land-cover classification by machine learning classifiers for satellite observations—A review","URL":"https://www.mdpi.com/2072-4292/12/7/1135","volume":"12","author":[{"family":"Talukdar","given":"Swapan"},{"family":"Singha","given":"Pankaj"},{"family":"Mahato","given":"Susanta"},{"family":"Pal","given":"Swades"},{"family":"Liou","given":"Yuei-An"},{"family":"Rahman","given":"Atiqur"}],"accessed":{"date-parts":[["2026",1,5]]},"issued":{"date-parts":[["2020"]]}}}],"schema":"https://github.com/citation-style-language/schema/raw/master/csl-citation.json"} </w:instrText>
      </w:r>
      <w:r w:rsidR="00A35820">
        <w:rPr>
          <w:lang w:val="en-US"/>
        </w:rPr>
        <w:fldChar w:fldCharType="separate"/>
      </w:r>
      <w:r w:rsidR="00A35820" w:rsidRPr="00A35820">
        <w:rPr>
          <w:lang w:val="en-US"/>
        </w:rPr>
        <w:t>(Talukdar et al., 2020)</w:t>
      </w:r>
      <w:r w:rsidR="00A35820">
        <w:rPr>
          <w:lang w:val="en-US"/>
        </w:rPr>
        <w:fldChar w:fldCharType="end"/>
      </w:r>
      <w:r w:rsidRPr="00A7034D">
        <w:rPr>
          <w:lang w:val="en-US"/>
        </w:rPr>
        <w:t>.</w:t>
      </w:r>
    </w:p>
    <w:p w14:paraId="6EFEF00B" w14:textId="77777777" w:rsidR="00A7034D" w:rsidRPr="00EB1335" w:rsidRDefault="00A7034D" w:rsidP="00EB1335">
      <w:pPr>
        <w:pStyle w:val="Titre4"/>
        <w:spacing w:before="120" w:after="120" w:line="360" w:lineRule="auto"/>
        <w:jc w:val="both"/>
        <w:rPr>
          <w:rFonts w:ascii="Times New Roman" w:hAnsi="Times New Roman" w:cs="Times New Roman"/>
          <w:b/>
          <w:i w:val="0"/>
          <w:color w:val="auto"/>
          <w:sz w:val="24"/>
          <w:szCs w:val="24"/>
          <w:lang w:val="en-US"/>
        </w:rPr>
      </w:pPr>
      <w:r w:rsidRPr="00EB1335">
        <w:rPr>
          <w:rFonts w:ascii="Times New Roman" w:hAnsi="Times New Roman" w:cs="Times New Roman"/>
          <w:b/>
          <w:i w:val="0"/>
          <w:color w:val="auto"/>
          <w:sz w:val="24"/>
          <w:szCs w:val="24"/>
          <w:lang w:val="en-US"/>
        </w:rPr>
        <w:t>2.4. Flood-Prone Area Detection</w:t>
      </w:r>
    </w:p>
    <w:p w14:paraId="454BD0CE" w14:textId="77777777" w:rsidR="00A7034D" w:rsidRDefault="00A7034D" w:rsidP="00A7034D">
      <w:pPr>
        <w:pStyle w:val="NormalWeb"/>
        <w:spacing w:before="0" w:beforeAutospacing="0" w:after="0" w:afterAutospacing="0" w:line="360" w:lineRule="auto"/>
        <w:jc w:val="both"/>
        <w:rPr>
          <w:lang w:val="en-US"/>
        </w:rPr>
      </w:pPr>
      <w:r w:rsidRPr="00A7034D">
        <w:rPr>
          <w:lang w:val="en-US"/>
        </w:rPr>
        <w:t xml:space="preserve">Flood-prone areas were identified using the </w:t>
      </w:r>
      <w:r w:rsidRPr="002F04B3">
        <w:rPr>
          <w:rStyle w:val="lev"/>
          <w:b w:val="0"/>
          <w:lang w:val="en-US"/>
        </w:rPr>
        <w:t>Normalized Difference Water Index (NDWI)</w:t>
      </w:r>
      <w:r w:rsidRPr="00A7034D">
        <w:rPr>
          <w:lang w:val="en-US"/>
        </w:rPr>
        <w:t xml:space="preserve"> </w:t>
      </w:r>
      <w:r w:rsidR="0021241D">
        <w:rPr>
          <w:lang w:val="en-US"/>
        </w:rPr>
        <w:fldChar w:fldCharType="begin"/>
      </w:r>
      <w:r w:rsidR="0021241D">
        <w:rPr>
          <w:lang w:val="en-US"/>
        </w:rPr>
        <w:instrText xml:space="preserve"> ADDIN ZOTERO_ITEM CSL_CITATION {"citationID":"5qu8l0hO","properties":{"formattedCitation":"(McFEETERS, 1996)","plainCitation":"(McFEETERS, 1996)","noteIndex":0},"citationItems":[{"id":546,"uris":["http://zotero.org/users/13682081/items/L8G4K6V9"],"itemData":{"id":546,"type":"article-journal","container-title":"International Journal of Remote Sensing","DOI":"10.1080/01431169608948714","ISSN":"0143-1161, 1366-5901","issue":"7","journalAbbreviation":"International Journal of Remote Sensing","language":"en","page":"1425-1432","source":"DOI.org (Crossref)","title":"The use of the Normalized Difference Water Index (NDWI) in the delineation of open water features","URL":"https://www.tandfonline.com/doi/full/10.1080/01431169608948714","volume":"17","author":[{"family":"McFEETERS","given":"S. K."}],"accessed":{"date-parts":[["2026",1,5]]},"issued":{"date-parts":[["1996",5]]}}}],"schema":"https://github.com/citation-style-language/schema/raw/master/csl-citation.json"} </w:instrText>
      </w:r>
      <w:r w:rsidR="0021241D">
        <w:rPr>
          <w:lang w:val="en-US"/>
        </w:rPr>
        <w:fldChar w:fldCharType="separate"/>
      </w:r>
      <w:r w:rsidR="0021241D" w:rsidRPr="0021241D">
        <w:rPr>
          <w:lang w:val="en-US"/>
        </w:rPr>
        <w:t>(McFEETERS, 1996)</w:t>
      </w:r>
      <w:r w:rsidR="0021241D">
        <w:rPr>
          <w:lang w:val="en-US"/>
        </w:rPr>
        <w:fldChar w:fldCharType="end"/>
      </w:r>
      <w:r w:rsidR="0021241D">
        <w:rPr>
          <w:lang w:val="en-US"/>
        </w:rPr>
        <w:t xml:space="preserve">: </w:t>
      </w:r>
    </w:p>
    <w:p w14:paraId="08963D97" w14:textId="77777777" w:rsidR="006609E9" w:rsidRPr="003871D0" w:rsidRDefault="006609E9" w:rsidP="006609E9">
      <w:pPr>
        <w:pStyle w:val="NormalWeb"/>
        <w:spacing w:before="0" w:beforeAutospacing="0" w:after="0" w:afterAutospacing="0" w:line="360" w:lineRule="auto"/>
        <w:jc w:val="both"/>
        <w:rPr>
          <w:sz w:val="28"/>
        </w:rPr>
      </w:pPr>
      <m:oMathPara>
        <m:oMath>
          <m:r>
            <w:rPr>
              <w:rFonts w:ascii="Cambria Math" w:hAnsi="Cambria Math"/>
              <w:sz w:val="28"/>
            </w:rPr>
            <m:t>NDWI=</m:t>
          </m:r>
          <m:f>
            <m:fPr>
              <m:ctrlPr>
                <w:rPr>
                  <w:rFonts w:ascii="Cambria Math" w:hAnsi="Cambria Math"/>
                  <w:i/>
                  <w:sz w:val="28"/>
                </w:rPr>
              </m:ctrlPr>
            </m:fPr>
            <m:num>
              <m:r>
                <m:rPr>
                  <m:sty m:val="p"/>
                </m:rPr>
                <w:rPr>
                  <w:rStyle w:val="mord"/>
                  <w:rFonts w:ascii="Cambria Math" w:hAnsi="Cambria Math"/>
                  <w:sz w:val="28"/>
                </w:rPr>
                <m:t>Green</m:t>
              </m:r>
              <m:r>
                <w:rPr>
                  <w:rStyle w:val="mbin"/>
                  <w:rFonts w:ascii="Cambria Math" w:hAnsi="Cambria Math"/>
                  <w:sz w:val="28"/>
                </w:rPr>
                <m:t>-</m:t>
              </m:r>
              <m:r>
                <m:rPr>
                  <m:sty m:val="p"/>
                </m:rPr>
                <w:rPr>
                  <w:rStyle w:val="mord"/>
                  <w:rFonts w:ascii="Cambria Math" w:hAnsi="Cambria Math"/>
                  <w:sz w:val="28"/>
                </w:rPr>
                <m:t>NIR</m:t>
              </m:r>
            </m:num>
            <m:den>
              <m:r>
                <m:rPr>
                  <m:sty m:val="p"/>
                </m:rPr>
                <w:rPr>
                  <w:rStyle w:val="mord"/>
                  <w:rFonts w:ascii="Cambria Math" w:hAnsi="Cambria Math"/>
                  <w:sz w:val="28"/>
                </w:rPr>
                <m:t>Green</m:t>
              </m:r>
              <m:r>
                <m:rPr>
                  <m:sty m:val="b"/>
                </m:rPr>
                <w:rPr>
                  <w:rStyle w:val="mbin"/>
                  <w:rFonts w:ascii="Cambria Math" w:hAnsi="Cambria Math"/>
                  <w:sz w:val="28"/>
                </w:rPr>
                <m:t>+</m:t>
              </m:r>
              <m:r>
                <m:rPr>
                  <m:sty m:val="p"/>
                </m:rPr>
                <w:rPr>
                  <w:rStyle w:val="mord"/>
                  <w:rFonts w:ascii="Cambria Math" w:hAnsi="Cambria Math"/>
                  <w:sz w:val="28"/>
                </w:rPr>
                <m:t>NIR</m:t>
              </m:r>
            </m:den>
          </m:f>
        </m:oMath>
      </m:oMathPara>
    </w:p>
    <w:p w14:paraId="06C579AA" w14:textId="77777777" w:rsidR="00A7034D" w:rsidRPr="00A7034D" w:rsidRDefault="00A7034D" w:rsidP="00A7034D">
      <w:pPr>
        <w:pStyle w:val="NormalWeb"/>
        <w:spacing w:before="0" w:beforeAutospacing="0" w:after="0" w:afterAutospacing="0" w:line="360" w:lineRule="auto"/>
        <w:jc w:val="both"/>
        <w:rPr>
          <w:lang w:val="en-US"/>
        </w:rPr>
      </w:pPr>
      <w:r w:rsidRPr="00A7034D">
        <w:rPr>
          <w:lang w:val="en-US"/>
        </w:rPr>
        <w:lastRenderedPageBreak/>
        <w:t>Water pixels were extracted for each reference year. NDWI-derived maps were combined with topographic variables from a Digital Elevation Model (DEM), including elevation, slope, and flow direction. This integration refined the delineation of flood-prone zones and linked hydrological hazard to the biophysic</w:t>
      </w:r>
      <w:r w:rsidR="0021241D">
        <w:rPr>
          <w:lang w:val="en-US"/>
        </w:rPr>
        <w:t xml:space="preserve">al characteristics of the area </w:t>
      </w:r>
      <w:r w:rsidR="0021241D">
        <w:rPr>
          <w:lang w:val="en-US"/>
        </w:rPr>
        <w:fldChar w:fldCharType="begin"/>
      </w:r>
      <w:r w:rsidR="0021241D">
        <w:rPr>
          <w:lang w:val="en-US"/>
        </w:rPr>
        <w:instrText xml:space="preserve"> ADDIN ZOTERO_ITEM CSL_CITATION {"citationID":"0I8wSDXb","properties":{"formattedCitation":"(Douglas et al., 2008)","plainCitation":"(Douglas et al., 2008)","noteIndex":0},"citationItems":[{"id":484,"uris":["http://zotero.org/users/13682081/items/9XVEWLVK"],"itemData":{"id":484,"type":"article-journal","abstract":"Many of the urban poor in Africa face growing problems of severe flooding. Increased storm frequency and intensity related to climate change are exacerbated by such local factors as the growing occupation of floodplains, increased runoff from hard surfaces, inadequate waste management and silted-up drainage. One can distinguish four types of flooding in urban areas: localized flooding due to inadequate drainage; flooding from small streams within the built-up area; flooding from major rivers; and coastal flooding. ActionAid undertook participatory vulnerability analysis in five African cities, to explore local people's perceptions of why floods occur, how they adjust to them, who is responsible for reducing the flood risk and what action the community itself can take. While local people adapt to floods, recognition of local, national and international governments' and organizations' responsibility to act to alleviate flooding and its causes, especially the consequences of climate change, is urgently needed.","container-title":"Environment and Urbanization","DOI":"10.1177/0956247808089156","ISSN":"0956-2478, 1746-0301","issue":"1","journalAbbreviation":"Environment and Urbanization","language":"en","license":"https://journals.sagepub.com/page/policies/text-and-data-mining-license","page":"187-205","source":"DOI.org (Crossref)","title":"Unjust waters: climate change, flooding and the urban poor in Africa","title-short":"Unjust waters","URL":"https://journals.sagepub.com/doi/10.1177/0956247808089156","volume":"20","author":[{"family":"Douglas","given":"Ian"},{"family":"Alam","given":"Kurshid"},{"family":"Maghenda","given":"Maryanne"},{"family":"Mcdonnell","given":"Yasmin"},{"family":"Mclean","given":"Louise"},{"family":"Campbell","given":"Jack"}],"accessed":{"date-parts":[["2026",1,4]]},"issued":{"date-parts":[["2008",4]]}}}],"schema":"https://github.com/citation-style-language/schema/raw/master/csl-citation.json"} </w:instrText>
      </w:r>
      <w:r w:rsidR="0021241D">
        <w:rPr>
          <w:lang w:val="en-US"/>
        </w:rPr>
        <w:fldChar w:fldCharType="separate"/>
      </w:r>
      <w:r w:rsidR="0021241D" w:rsidRPr="0021241D">
        <w:rPr>
          <w:lang w:val="en-US"/>
        </w:rPr>
        <w:t>(Douglas et al., 2008</w:t>
      </w:r>
      <w:r w:rsidR="0021241D">
        <w:rPr>
          <w:lang w:val="en-US"/>
        </w:rPr>
        <w:fldChar w:fldCharType="end"/>
      </w:r>
      <w:r w:rsidRPr="00A7034D">
        <w:rPr>
          <w:lang w:val="en-US"/>
        </w:rPr>
        <w:t xml:space="preserve">; </w:t>
      </w:r>
      <w:r w:rsidR="0021241D">
        <w:rPr>
          <w:lang w:val="en-US"/>
        </w:rPr>
        <w:fldChar w:fldCharType="begin"/>
      </w:r>
      <w:r w:rsidR="0021241D">
        <w:rPr>
          <w:lang w:val="en-US"/>
        </w:rPr>
        <w:instrText xml:space="preserve"> ADDIN ZOTERO_ITEM CSL_CITATION {"citationID":"H6QduRIk","properties":{"formattedCitation":"(Niyongabire et al., 2016)","plainCitation":"(Niyongabire et al., 2016)","noteIndex":0},"citationItems":[{"id":547,"uris":["http://zotero.org/users/13682081/items/3SMSAXL9"],"itemData":{"id":547,"type":"paper-conference","container-title":"Proceedings, 6th international conference on cartography and GIS, Albena: Bulgaria","page":"241–248","source":"Google Scholar","title":"Use of digital elevation model in a GIS for flood susceptibility mapping: case of Bujumbura City","title-short":"Use of digital elevation model in a GIS for flood susceptibility mapping","URL":"https://www.researchgate.net/profile/Temenoujka-Bandrova/publication/309772611_6th_International_Conference_on_Cartography_and_GIS/links/5d13644a299bf1547c7f9906/6th-International-Conference-on-Cartography-and-GIS.pdf#page=241","author":[{"family":"Niyongabire","given":"Emmanuel"},{"family":"Hassan","given":"Rhinane"},{"family":"Elhassan","given":"Elarabi"},{"family":"Mehdi","given":"Mansour"}],"accessed":{"date-parts":[["2026",1,5]]},"issued":{"date-parts":[["2016"]]}}}],"schema":"https://github.com/citation-style-language/schema/raw/master/csl-citation.json"} </w:instrText>
      </w:r>
      <w:r w:rsidR="0021241D">
        <w:rPr>
          <w:lang w:val="en-US"/>
        </w:rPr>
        <w:fldChar w:fldCharType="separate"/>
      </w:r>
      <w:r w:rsidR="0021241D" w:rsidRPr="00430849">
        <w:rPr>
          <w:lang w:val="en-US"/>
        </w:rPr>
        <w:t>Niyongabire et al., 2016)</w:t>
      </w:r>
      <w:r w:rsidR="0021241D">
        <w:rPr>
          <w:lang w:val="en-US"/>
        </w:rPr>
        <w:fldChar w:fldCharType="end"/>
      </w:r>
      <w:r w:rsidRPr="00A7034D">
        <w:rPr>
          <w:lang w:val="en-US"/>
        </w:rPr>
        <w:t>.</w:t>
      </w:r>
    </w:p>
    <w:p w14:paraId="60D91DE3" w14:textId="77777777" w:rsidR="00A7034D" w:rsidRPr="00EB1335" w:rsidRDefault="00A7034D" w:rsidP="00EB1335">
      <w:pPr>
        <w:pStyle w:val="Titre4"/>
        <w:spacing w:before="120" w:after="120" w:line="360" w:lineRule="auto"/>
        <w:jc w:val="both"/>
        <w:rPr>
          <w:rFonts w:ascii="Times New Roman" w:hAnsi="Times New Roman" w:cs="Times New Roman"/>
          <w:b/>
          <w:i w:val="0"/>
          <w:color w:val="auto"/>
          <w:sz w:val="24"/>
          <w:szCs w:val="24"/>
          <w:lang w:val="en-US"/>
        </w:rPr>
      </w:pPr>
      <w:r w:rsidRPr="00EB1335">
        <w:rPr>
          <w:rFonts w:ascii="Times New Roman" w:hAnsi="Times New Roman" w:cs="Times New Roman"/>
          <w:b/>
          <w:i w:val="0"/>
          <w:color w:val="auto"/>
          <w:sz w:val="24"/>
          <w:szCs w:val="24"/>
          <w:lang w:val="en-US"/>
        </w:rPr>
        <w:t>2.5. Integrated Environmental Vulnerability Assessment</w:t>
      </w:r>
    </w:p>
    <w:p w14:paraId="045C70F9" w14:textId="77777777" w:rsidR="00A7034D" w:rsidRPr="00A7034D" w:rsidRDefault="00A7034D" w:rsidP="00A7034D">
      <w:pPr>
        <w:pStyle w:val="NormalWeb"/>
        <w:spacing w:before="0" w:beforeAutospacing="0" w:after="0" w:afterAutospacing="0" w:line="360" w:lineRule="auto"/>
        <w:jc w:val="both"/>
        <w:rPr>
          <w:lang w:val="en-US"/>
        </w:rPr>
      </w:pPr>
      <w:r w:rsidRPr="00A7034D">
        <w:rPr>
          <w:lang w:val="en-US"/>
        </w:rPr>
        <w:t>Vulnerability assessment was conducted in a GIS environment (QGIS 3.34) using an integrated approach combining three dimensions:</w:t>
      </w:r>
    </w:p>
    <w:p w14:paraId="6966BC53" w14:textId="77777777" w:rsidR="00A7034D" w:rsidRPr="00A7034D" w:rsidRDefault="00A7034D" w:rsidP="00A7034D">
      <w:pPr>
        <w:pStyle w:val="NormalWeb"/>
        <w:numPr>
          <w:ilvl w:val="0"/>
          <w:numId w:val="4"/>
        </w:numPr>
        <w:spacing w:before="0" w:beforeAutospacing="0" w:after="0" w:afterAutospacing="0" w:line="360" w:lineRule="auto"/>
        <w:jc w:val="both"/>
        <w:rPr>
          <w:lang w:val="en-US"/>
        </w:rPr>
      </w:pPr>
      <w:r w:rsidRPr="00A7034D">
        <w:rPr>
          <w:rStyle w:val="lev"/>
          <w:lang w:val="en-US"/>
        </w:rPr>
        <w:t>Hazard</w:t>
      </w:r>
      <w:r w:rsidRPr="00A7034D">
        <w:rPr>
          <w:lang w:val="en-US"/>
        </w:rPr>
        <w:t>: occurrence and spatial extent of flood-prone areas.</w:t>
      </w:r>
    </w:p>
    <w:p w14:paraId="25539B03" w14:textId="77777777" w:rsidR="00A7034D" w:rsidRPr="00A7034D" w:rsidRDefault="00A7034D" w:rsidP="00A7034D">
      <w:pPr>
        <w:pStyle w:val="NormalWeb"/>
        <w:numPr>
          <w:ilvl w:val="0"/>
          <w:numId w:val="4"/>
        </w:numPr>
        <w:spacing w:before="0" w:beforeAutospacing="0" w:after="0" w:afterAutospacing="0" w:line="360" w:lineRule="auto"/>
        <w:jc w:val="both"/>
        <w:rPr>
          <w:lang w:val="en-US"/>
        </w:rPr>
      </w:pPr>
      <w:r w:rsidRPr="00A7034D">
        <w:rPr>
          <w:rStyle w:val="lev"/>
          <w:lang w:val="en-US"/>
        </w:rPr>
        <w:t>Sensitivity</w:t>
      </w:r>
      <w:r w:rsidRPr="00A7034D">
        <w:rPr>
          <w:lang w:val="en-US"/>
        </w:rPr>
        <w:t>: degradation of vegetation cover and soil characteristics (</w:t>
      </w:r>
      <w:proofErr w:type="spellStart"/>
      <w:r w:rsidRPr="00A7034D">
        <w:rPr>
          <w:lang w:val="en-US"/>
        </w:rPr>
        <w:t>Heri-Kazi</w:t>
      </w:r>
      <w:proofErr w:type="spellEnd"/>
      <w:r w:rsidRPr="00A7034D">
        <w:rPr>
          <w:lang w:val="en-US"/>
        </w:rPr>
        <w:t xml:space="preserve"> &amp; </w:t>
      </w:r>
      <w:proofErr w:type="spellStart"/>
      <w:r w:rsidRPr="00A7034D">
        <w:rPr>
          <w:lang w:val="en-US"/>
        </w:rPr>
        <w:t>Bielders</w:t>
      </w:r>
      <w:proofErr w:type="spellEnd"/>
      <w:r w:rsidRPr="00A7034D">
        <w:rPr>
          <w:lang w:val="en-US"/>
        </w:rPr>
        <w:t>, 2020).</w:t>
      </w:r>
    </w:p>
    <w:p w14:paraId="136E9A49" w14:textId="77777777" w:rsidR="00A7034D" w:rsidRPr="00A7034D" w:rsidRDefault="00A7034D" w:rsidP="00A7034D">
      <w:pPr>
        <w:pStyle w:val="NormalWeb"/>
        <w:numPr>
          <w:ilvl w:val="0"/>
          <w:numId w:val="4"/>
        </w:numPr>
        <w:spacing w:before="0" w:beforeAutospacing="0" w:after="0" w:afterAutospacing="0" w:line="360" w:lineRule="auto"/>
        <w:jc w:val="both"/>
        <w:rPr>
          <w:lang w:val="en-US"/>
        </w:rPr>
      </w:pPr>
      <w:r w:rsidRPr="00A7034D">
        <w:rPr>
          <w:rStyle w:val="lev"/>
          <w:lang w:val="en-US"/>
        </w:rPr>
        <w:t>Exposure</w:t>
      </w:r>
      <w:r w:rsidRPr="00A7034D">
        <w:rPr>
          <w:lang w:val="en-US"/>
        </w:rPr>
        <w:t>: distribution of critical infrastructure and inhabited areas (</w:t>
      </w:r>
      <w:proofErr w:type="spellStart"/>
      <w:r w:rsidRPr="00A7034D">
        <w:rPr>
          <w:lang w:val="en-US"/>
        </w:rPr>
        <w:t>Wamba</w:t>
      </w:r>
      <w:proofErr w:type="spellEnd"/>
      <w:r w:rsidRPr="00A7034D">
        <w:rPr>
          <w:lang w:val="en-US"/>
        </w:rPr>
        <w:t>, 2021; UNDP DRC, 2021).</w:t>
      </w:r>
    </w:p>
    <w:p w14:paraId="15218DFB" w14:textId="4F00B37F" w:rsidR="00A7034D" w:rsidRDefault="00D821EA" w:rsidP="00A7034D">
      <w:pPr>
        <w:pStyle w:val="NormalWeb"/>
        <w:spacing w:before="0" w:beforeAutospacing="0" w:after="0" w:afterAutospacing="0" w:line="360" w:lineRule="auto"/>
        <w:jc w:val="both"/>
        <w:rPr>
          <w:lang w:val="en-US"/>
        </w:rPr>
      </w:pPr>
      <w:r w:rsidRPr="00C54D48">
        <w:rPr>
          <w:noProof/>
        </w:rPr>
        <w:drawing>
          <wp:anchor distT="0" distB="0" distL="114300" distR="114300" simplePos="0" relativeHeight="251661312" behindDoc="1" locked="0" layoutInCell="1" allowOverlap="1" wp14:anchorId="7894DD60" wp14:editId="08EA187D">
            <wp:simplePos x="0" y="0"/>
            <wp:positionH relativeFrom="margin">
              <wp:posOffset>671830</wp:posOffset>
            </wp:positionH>
            <wp:positionV relativeFrom="paragraph">
              <wp:posOffset>1287780</wp:posOffset>
            </wp:positionV>
            <wp:extent cx="4343400" cy="4821603"/>
            <wp:effectExtent l="19050" t="19050" r="19050" b="17145"/>
            <wp:wrapNone/>
            <wp:docPr id="3" name="Image 3" descr="C:\Users\SB\Downloads\methodology_uvira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B\Downloads\methodology_uvira_e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46243" cy="4824759"/>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A7034D" w:rsidRPr="00A7034D">
        <w:rPr>
          <w:lang w:val="en-US"/>
        </w:rPr>
        <w:t xml:space="preserve">Each component was normalized (0–1) and weighted using the </w:t>
      </w:r>
      <w:r w:rsidR="00A7034D" w:rsidRPr="006609E9">
        <w:rPr>
          <w:rStyle w:val="lev"/>
          <w:b w:val="0"/>
          <w:lang w:val="en-US"/>
        </w:rPr>
        <w:t>Analytic Hierarchy Process (AHP)</w:t>
      </w:r>
      <w:r w:rsidR="00A7034D" w:rsidRPr="00A7034D">
        <w:rPr>
          <w:lang w:val="en-US"/>
        </w:rPr>
        <w:t xml:space="preserve"> based on expert criteria. Spatial overlay allowed identification of priority intervention zones and generation of a final vulnerability map, reflecting the convergence of hazard, sensitivity, and exposure. This approach provides a robust framework for developing sustainable flood risk management strategies in a coastal urban context</w:t>
      </w:r>
      <w:r w:rsidR="00BE20DB">
        <w:rPr>
          <w:lang w:val="en-US"/>
        </w:rPr>
        <w:t xml:space="preserve"> </w:t>
      </w:r>
      <w:r w:rsidR="00BE20DB">
        <w:rPr>
          <w:lang w:val="en-US"/>
        </w:rPr>
        <w:fldChar w:fldCharType="begin"/>
      </w:r>
      <w:r w:rsidR="00BE20DB">
        <w:rPr>
          <w:lang w:val="en-US"/>
        </w:rPr>
        <w:instrText xml:space="preserve"> ADDIN ZOTERO_ITEM CSL_CITATION {"citationID":"nKlOgX1S","properties":{"formattedCitation":"(Niyongabire et al., 2016)","plainCitation":"(Niyongabire et al., 2016)","noteIndex":0},"citationItems":[{"id":547,"uris":["http://zotero.org/users/13682081/items/3SMSAXL9"],"itemData":{"id":547,"type":"paper-conference","container-title":"Proceedings, 6th international conference on cartography and GIS, Albena: Bulgaria","page":"241–248","source":"Google Scholar","title":"Use of digital elevation model in a GIS for flood susceptibility mapping: case of Bujumbura City","title-short":"Use of digital elevation model in a GIS for flood susceptibility mapping","URL":"https://www.researchgate.net/profile/Temenoujka-Bandrova/publication/309772611_6th_International_Conference_on_Cartography_and_GIS/links/5d13644a299bf1547c7f9906/6th-International-Conference-on-Cartography-and-GIS.pdf#page=241","author":[{"family":"Niyongabire","given":"Emmanuel"},{"family":"Hassan","given":"Rhinane"},{"family":"Elhassan","given":"Elarabi"},{"family":"Mehdi","given":"Mansour"}],"accessed":{"date-parts":[["2026",1,5]]},"issued":{"date-parts":[["2016"]]}}}],"schema":"https://github.com/citation-style-language/schema/raw/master/csl-citation.json"} </w:instrText>
      </w:r>
      <w:r w:rsidR="00BE20DB">
        <w:rPr>
          <w:lang w:val="en-US"/>
        </w:rPr>
        <w:fldChar w:fldCharType="separate"/>
      </w:r>
      <w:r w:rsidR="00BE20DB" w:rsidRPr="00BE20DB">
        <w:rPr>
          <w:lang w:val="en-US"/>
        </w:rPr>
        <w:t>(Niyongabire et al., 2016)</w:t>
      </w:r>
      <w:r w:rsidR="00BE20DB">
        <w:rPr>
          <w:lang w:val="en-US"/>
        </w:rPr>
        <w:fldChar w:fldCharType="end"/>
      </w:r>
      <w:r w:rsidR="00A7034D" w:rsidRPr="00A7034D">
        <w:rPr>
          <w:lang w:val="en-US"/>
        </w:rPr>
        <w:t>.</w:t>
      </w:r>
    </w:p>
    <w:p w14:paraId="26966807" w14:textId="638A62E4" w:rsidR="00D821EA" w:rsidRDefault="00D821EA" w:rsidP="00EB1335">
      <w:pPr>
        <w:spacing w:before="120" w:after="240" w:line="360" w:lineRule="auto"/>
        <w:jc w:val="both"/>
        <w:rPr>
          <w:rFonts w:ascii="Times New Roman" w:hAnsi="Times New Roman" w:cs="Times New Roman"/>
          <w:noProof/>
          <w:sz w:val="24"/>
          <w:szCs w:val="24"/>
          <w:lang w:val="en-US" w:eastAsia="fr-FR"/>
        </w:rPr>
      </w:pPr>
    </w:p>
    <w:p w14:paraId="05C352CB" w14:textId="661E53FC" w:rsidR="006C4343" w:rsidRPr="00623051" w:rsidRDefault="006C4343" w:rsidP="00A341D9">
      <w:pPr>
        <w:spacing w:after="0" w:line="360" w:lineRule="auto"/>
        <w:jc w:val="both"/>
        <w:rPr>
          <w:rFonts w:ascii="Times New Roman" w:hAnsi="Times New Roman" w:cs="Times New Roman"/>
          <w:noProof/>
          <w:sz w:val="24"/>
          <w:szCs w:val="24"/>
          <w:lang w:val="en-US" w:eastAsia="fr-FR"/>
        </w:rPr>
      </w:pPr>
    </w:p>
    <w:p w14:paraId="1C375274" w14:textId="26BF7DAD" w:rsidR="00EB1335" w:rsidRPr="00623051" w:rsidRDefault="00EB1335" w:rsidP="00A341D9">
      <w:pPr>
        <w:spacing w:after="0" w:line="360" w:lineRule="auto"/>
        <w:jc w:val="both"/>
        <w:rPr>
          <w:rFonts w:ascii="Times New Roman" w:hAnsi="Times New Roman" w:cs="Times New Roman"/>
          <w:noProof/>
          <w:sz w:val="24"/>
          <w:szCs w:val="24"/>
          <w:lang w:val="en-US" w:eastAsia="fr-FR"/>
        </w:rPr>
      </w:pPr>
    </w:p>
    <w:p w14:paraId="1162FAE5" w14:textId="72FFFC65" w:rsidR="00EB1335" w:rsidRPr="00623051" w:rsidRDefault="00EB1335" w:rsidP="00A341D9">
      <w:pPr>
        <w:spacing w:after="0" w:line="360" w:lineRule="auto"/>
        <w:jc w:val="both"/>
        <w:rPr>
          <w:rFonts w:ascii="Times New Roman" w:hAnsi="Times New Roman" w:cs="Times New Roman"/>
          <w:noProof/>
          <w:sz w:val="24"/>
          <w:szCs w:val="24"/>
          <w:lang w:val="en-US" w:eastAsia="fr-FR"/>
        </w:rPr>
      </w:pPr>
    </w:p>
    <w:p w14:paraId="4AC276E6" w14:textId="77777777" w:rsidR="00EB1335" w:rsidRPr="00623051" w:rsidRDefault="00EB1335" w:rsidP="00A341D9">
      <w:pPr>
        <w:spacing w:after="0" w:line="360" w:lineRule="auto"/>
        <w:jc w:val="both"/>
        <w:rPr>
          <w:rFonts w:ascii="Times New Roman" w:hAnsi="Times New Roman" w:cs="Times New Roman"/>
          <w:noProof/>
          <w:sz w:val="24"/>
          <w:szCs w:val="24"/>
          <w:lang w:val="en-US" w:eastAsia="fr-FR"/>
        </w:rPr>
      </w:pPr>
    </w:p>
    <w:p w14:paraId="1D3FD300" w14:textId="77777777" w:rsidR="00EB1335" w:rsidRPr="00623051" w:rsidRDefault="00EB1335" w:rsidP="00A341D9">
      <w:pPr>
        <w:spacing w:after="0" w:line="360" w:lineRule="auto"/>
        <w:jc w:val="both"/>
        <w:rPr>
          <w:rFonts w:ascii="Times New Roman" w:hAnsi="Times New Roman" w:cs="Times New Roman"/>
          <w:noProof/>
          <w:sz w:val="24"/>
          <w:szCs w:val="24"/>
          <w:lang w:val="en-US" w:eastAsia="fr-FR"/>
        </w:rPr>
      </w:pPr>
    </w:p>
    <w:p w14:paraId="348E5622" w14:textId="334D669B" w:rsidR="00EB1335" w:rsidRPr="00623051" w:rsidRDefault="00EB1335" w:rsidP="00A341D9">
      <w:pPr>
        <w:spacing w:after="0" w:line="360" w:lineRule="auto"/>
        <w:jc w:val="both"/>
        <w:rPr>
          <w:rFonts w:ascii="Times New Roman" w:hAnsi="Times New Roman" w:cs="Times New Roman"/>
          <w:noProof/>
          <w:sz w:val="24"/>
          <w:szCs w:val="24"/>
          <w:lang w:val="en-US" w:eastAsia="fr-FR"/>
        </w:rPr>
      </w:pPr>
    </w:p>
    <w:p w14:paraId="538B137E" w14:textId="3580D402" w:rsidR="00EB1335" w:rsidRPr="00623051" w:rsidRDefault="00EB1335" w:rsidP="00A341D9">
      <w:pPr>
        <w:spacing w:after="0" w:line="360" w:lineRule="auto"/>
        <w:jc w:val="both"/>
        <w:rPr>
          <w:rFonts w:ascii="Times New Roman" w:hAnsi="Times New Roman" w:cs="Times New Roman"/>
          <w:noProof/>
          <w:sz w:val="24"/>
          <w:szCs w:val="24"/>
          <w:lang w:val="en-US" w:eastAsia="fr-FR"/>
        </w:rPr>
      </w:pPr>
    </w:p>
    <w:p w14:paraId="1977AB02" w14:textId="57095DF1" w:rsidR="00EB1335" w:rsidRPr="00623051" w:rsidRDefault="00EB1335" w:rsidP="00A341D9">
      <w:pPr>
        <w:spacing w:after="0" w:line="360" w:lineRule="auto"/>
        <w:jc w:val="both"/>
        <w:rPr>
          <w:rFonts w:ascii="Times New Roman" w:hAnsi="Times New Roman" w:cs="Times New Roman"/>
          <w:noProof/>
          <w:sz w:val="24"/>
          <w:szCs w:val="24"/>
          <w:lang w:val="en-US" w:eastAsia="fr-FR"/>
        </w:rPr>
      </w:pPr>
    </w:p>
    <w:p w14:paraId="1EE8243A" w14:textId="77777777" w:rsidR="00EB1335" w:rsidRPr="00623051" w:rsidRDefault="00EB1335" w:rsidP="00A341D9">
      <w:pPr>
        <w:spacing w:after="0" w:line="360" w:lineRule="auto"/>
        <w:jc w:val="both"/>
        <w:rPr>
          <w:rFonts w:ascii="Times New Roman" w:hAnsi="Times New Roman" w:cs="Times New Roman"/>
          <w:b/>
          <w:sz w:val="24"/>
          <w:szCs w:val="24"/>
          <w:lang w:val="en-US"/>
        </w:rPr>
      </w:pPr>
    </w:p>
    <w:p w14:paraId="314BDBE3" w14:textId="5CDAF656" w:rsidR="006C4343" w:rsidRPr="00623051" w:rsidRDefault="006C4343" w:rsidP="00A341D9">
      <w:pPr>
        <w:spacing w:after="0" w:line="360" w:lineRule="auto"/>
        <w:jc w:val="both"/>
        <w:rPr>
          <w:rFonts w:ascii="Times New Roman" w:hAnsi="Times New Roman" w:cs="Times New Roman"/>
          <w:b/>
          <w:sz w:val="24"/>
          <w:szCs w:val="24"/>
          <w:lang w:val="en-US"/>
        </w:rPr>
      </w:pPr>
    </w:p>
    <w:p w14:paraId="463F5866" w14:textId="77777777" w:rsidR="006C4343" w:rsidRPr="00623051" w:rsidRDefault="006C4343" w:rsidP="00A341D9">
      <w:pPr>
        <w:spacing w:after="0" w:line="360" w:lineRule="auto"/>
        <w:jc w:val="both"/>
        <w:rPr>
          <w:rFonts w:ascii="Times New Roman" w:hAnsi="Times New Roman" w:cs="Times New Roman"/>
          <w:b/>
          <w:sz w:val="24"/>
          <w:szCs w:val="24"/>
          <w:lang w:val="en-US"/>
        </w:rPr>
      </w:pPr>
    </w:p>
    <w:p w14:paraId="072F1F18" w14:textId="77777777" w:rsidR="006C4343" w:rsidRPr="00623051" w:rsidRDefault="006C4343" w:rsidP="00A341D9">
      <w:pPr>
        <w:spacing w:after="0" w:line="360" w:lineRule="auto"/>
        <w:jc w:val="both"/>
        <w:rPr>
          <w:rFonts w:ascii="Times New Roman" w:hAnsi="Times New Roman" w:cs="Times New Roman"/>
          <w:b/>
          <w:sz w:val="24"/>
          <w:szCs w:val="24"/>
          <w:lang w:val="en-US"/>
        </w:rPr>
      </w:pPr>
    </w:p>
    <w:p w14:paraId="35C88D9F" w14:textId="77777777" w:rsidR="006C4343" w:rsidRPr="00623051" w:rsidRDefault="006C4343" w:rsidP="00A341D9">
      <w:pPr>
        <w:spacing w:after="0" w:line="360" w:lineRule="auto"/>
        <w:jc w:val="both"/>
        <w:rPr>
          <w:rFonts w:ascii="Times New Roman" w:hAnsi="Times New Roman" w:cs="Times New Roman"/>
          <w:b/>
          <w:sz w:val="24"/>
          <w:szCs w:val="24"/>
          <w:lang w:val="en-US"/>
        </w:rPr>
      </w:pPr>
    </w:p>
    <w:p w14:paraId="69EDE58D" w14:textId="77777777" w:rsidR="006C4343" w:rsidRPr="00623051" w:rsidRDefault="006C4343" w:rsidP="00A341D9">
      <w:pPr>
        <w:spacing w:after="0" w:line="360" w:lineRule="auto"/>
        <w:jc w:val="both"/>
        <w:rPr>
          <w:rFonts w:ascii="Times New Roman" w:hAnsi="Times New Roman" w:cs="Times New Roman"/>
          <w:b/>
          <w:sz w:val="24"/>
          <w:szCs w:val="24"/>
          <w:lang w:val="en-US"/>
        </w:rPr>
      </w:pPr>
    </w:p>
    <w:p w14:paraId="668C356D" w14:textId="207B102E" w:rsidR="006C4343" w:rsidRPr="00623051" w:rsidRDefault="006C4343" w:rsidP="00A341D9">
      <w:pPr>
        <w:spacing w:after="0" w:line="360" w:lineRule="auto"/>
        <w:jc w:val="both"/>
        <w:rPr>
          <w:rFonts w:ascii="Times New Roman" w:hAnsi="Times New Roman" w:cs="Times New Roman"/>
          <w:b/>
          <w:sz w:val="24"/>
          <w:szCs w:val="24"/>
          <w:lang w:val="en-US"/>
        </w:rPr>
      </w:pPr>
    </w:p>
    <w:p w14:paraId="7DBC2FE9" w14:textId="5AC2D622" w:rsidR="006C4343" w:rsidRPr="008164B8" w:rsidRDefault="00D821EA" w:rsidP="00D821EA">
      <w:pPr>
        <w:spacing w:before="120" w:after="240" w:line="360" w:lineRule="auto"/>
        <w:jc w:val="both"/>
        <w:rPr>
          <w:rFonts w:ascii="Times New Roman" w:hAnsi="Times New Roman" w:cs="Times New Roman"/>
          <w:b/>
          <w:sz w:val="24"/>
          <w:szCs w:val="24"/>
          <w:lang w:val="en-US"/>
        </w:rPr>
      </w:pPr>
      <w:r w:rsidRPr="005D08B6">
        <w:rPr>
          <w:rFonts w:ascii="Times New Roman" w:hAnsi="Times New Roman" w:cs="Times New Roman"/>
          <w:noProof/>
          <w:sz w:val="24"/>
          <w:szCs w:val="24"/>
          <w:lang w:val="en-US" w:eastAsia="fr-FR"/>
        </w:rPr>
        <w:t xml:space="preserve">Fig 1 : </w:t>
      </w:r>
      <w:r>
        <w:rPr>
          <w:rFonts w:ascii="Times New Roman" w:hAnsi="Times New Roman" w:cs="Times New Roman"/>
          <w:b/>
          <w:sz w:val="24"/>
          <w:szCs w:val="24"/>
          <w:lang w:val="en-US"/>
        </w:rPr>
        <w:t xml:space="preserve"> </w:t>
      </w:r>
      <w:r w:rsidR="008164B8" w:rsidRPr="008164B8">
        <w:rPr>
          <w:rFonts w:ascii="Times New Roman" w:hAnsi="Times New Roman" w:cs="Times New Roman"/>
          <w:b/>
          <w:sz w:val="24"/>
          <w:lang w:val="en-US"/>
        </w:rPr>
        <w:t>Workflow methodology</w:t>
      </w:r>
    </w:p>
    <w:p w14:paraId="677F254D" w14:textId="7277EE95" w:rsidR="0068207C" w:rsidRPr="00623051" w:rsidRDefault="0068207C" w:rsidP="00A341D9">
      <w:pPr>
        <w:spacing w:after="0" w:line="360" w:lineRule="auto"/>
        <w:jc w:val="both"/>
        <w:rPr>
          <w:rFonts w:ascii="Times New Roman" w:hAnsi="Times New Roman" w:cs="Times New Roman"/>
          <w:b/>
          <w:sz w:val="24"/>
          <w:szCs w:val="24"/>
          <w:lang w:val="en-US"/>
        </w:rPr>
      </w:pPr>
      <w:r w:rsidRPr="00623051">
        <w:rPr>
          <w:rFonts w:ascii="Times New Roman" w:hAnsi="Times New Roman" w:cs="Times New Roman"/>
          <w:b/>
          <w:sz w:val="24"/>
          <w:szCs w:val="24"/>
          <w:lang w:val="en-US"/>
        </w:rPr>
        <w:t>3. RESULTS AND DISCUSSION</w:t>
      </w:r>
    </w:p>
    <w:p w14:paraId="1C47BC6F" w14:textId="67A7354A" w:rsidR="0068207C" w:rsidRPr="00A05DAA" w:rsidRDefault="0068207C" w:rsidP="00A05DAA">
      <w:pPr>
        <w:shd w:val="clear" w:color="auto" w:fill="FFFFFF" w:themeFill="background1"/>
        <w:spacing w:before="120" w:after="120" w:line="240" w:lineRule="auto"/>
        <w:jc w:val="both"/>
        <w:rPr>
          <w:rFonts w:ascii="Times New Roman" w:hAnsi="Times New Roman" w:cs="Times New Roman"/>
          <w:b/>
          <w:color w:val="34322D"/>
          <w:sz w:val="24"/>
          <w:szCs w:val="24"/>
          <w:lang w:val="en-GB"/>
        </w:rPr>
      </w:pPr>
      <w:r w:rsidRPr="00A05DAA">
        <w:rPr>
          <w:rFonts w:ascii="Times New Roman" w:hAnsi="Times New Roman" w:cs="Times New Roman"/>
          <w:b/>
          <w:sz w:val="24"/>
          <w:szCs w:val="24"/>
          <w:lang w:val="en-GB"/>
        </w:rPr>
        <w:t>3.1.</w:t>
      </w:r>
      <w:r w:rsidRPr="00A05DAA">
        <w:rPr>
          <w:rFonts w:ascii="Times New Roman" w:hAnsi="Times New Roman" w:cs="Times New Roman"/>
          <w:b/>
          <w:color w:val="34322D"/>
          <w:sz w:val="24"/>
          <w:szCs w:val="24"/>
          <w:lang w:val="en-GB"/>
        </w:rPr>
        <w:t xml:space="preserve"> Normalized </w:t>
      </w:r>
      <w:r w:rsidR="00A05DAA">
        <w:rPr>
          <w:rFonts w:ascii="Times New Roman" w:hAnsi="Times New Roman" w:cs="Times New Roman"/>
          <w:b/>
          <w:color w:val="34322D"/>
          <w:sz w:val="24"/>
          <w:szCs w:val="24"/>
          <w:lang w:val="en-GB"/>
        </w:rPr>
        <w:t xml:space="preserve">Difference </w:t>
      </w:r>
      <w:r w:rsidR="00A05DAA" w:rsidRPr="00A05DAA">
        <w:rPr>
          <w:rFonts w:ascii="Times New Roman" w:hAnsi="Times New Roman" w:cs="Times New Roman"/>
          <w:b/>
          <w:color w:val="34322D"/>
          <w:sz w:val="24"/>
          <w:szCs w:val="24"/>
          <w:lang w:val="en-GB"/>
        </w:rPr>
        <w:t xml:space="preserve">Vegetation </w:t>
      </w:r>
      <w:r w:rsidR="00A05DAA">
        <w:rPr>
          <w:rFonts w:ascii="Times New Roman" w:hAnsi="Times New Roman" w:cs="Times New Roman"/>
          <w:b/>
          <w:color w:val="34322D"/>
          <w:sz w:val="24"/>
          <w:szCs w:val="24"/>
          <w:lang w:val="en-GB"/>
        </w:rPr>
        <w:t>Index (NDVI)</w:t>
      </w:r>
      <w:r w:rsidR="00A05DAA" w:rsidRPr="00A05DAA">
        <w:rPr>
          <w:rFonts w:ascii="Times New Roman" w:hAnsi="Times New Roman" w:cs="Times New Roman"/>
          <w:b/>
          <w:color w:val="34322D"/>
          <w:sz w:val="24"/>
          <w:szCs w:val="24"/>
          <w:lang w:val="en-GB"/>
        </w:rPr>
        <w:t xml:space="preserve"> between</w:t>
      </w:r>
      <w:r w:rsidR="00A05DAA">
        <w:rPr>
          <w:rFonts w:ascii="Times New Roman" w:hAnsi="Times New Roman" w:cs="Times New Roman"/>
          <w:b/>
          <w:color w:val="34322D"/>
          <w:sz w:val="24"/>
          <w:szCs w:val="24"/>
          <w:lang w:val="en-GB"/>
        </w:rPr>
        <w:t xml:space="preserve"> 1990 and </w:t>
      </w:r>
      <w:r w:rsidRPr="00A05DAA">
        <w:rPr>
          <w:rFonts w:ascii="Times New Roman" w:hAnsi="Times New Roman" w:cs="Times New Roman"/>
          <w:b/>
          <w:color w:val="34322D"/>
          <w:sz w:val="24"/>
          <w:szCs w:val="24"/>
          <w:lang w:val="en-GB"/>
        </w:rPr>
        <w:t>2024</w:t>
      </w:r>
    </w:p>
    <w:p w14:paraId="6A7DAD8D" w14:textId="77777777" w:rsidR="0068207C" w:rsidRDefault="0068207C" w:rsidP="0068207C">
      <w:pPr>
        <w:shd w:val="clear" w:color="auto" w:fill="FFFFFF" w:themeFill="background1"/>
        <w:spacing w:line="360" w:lineRule="auto"/>
        <w:jc w:val="both"/>
        <w:rPr>
          <w:rFonts w:ascii="Times New Roman" w:hAnsi="Times New Roman" w:cs="Times New Roman"/>
          <w:color w:val="34322D"/>
          <w:sz w:val="24"/>
          <w:szCs w:val="24"/>
          <w:lang w:val="en-US"/>
        </w:rPr>
      </w:pPr>
      <w:r w:rsidRPr="00EA0327">
        <w:rPr>
          <w:rFonts w:ascii="Times New Roman" w:hAnsi="Times New Roman" w:cs="Times New Roman"/>
          <w:color w:val="34322D"/>
          <w:sz w:val="24"/>
          <w:szCs w:val="24"/>
          <w:lang w:val="en-US"/>
        </w:rPr>
        <w:t xml:space="preserve">The multi-decadal monitoring of </w:t>
      </w:r>
      <w:proofErr w:type="spellStart"/>
      <w:r w:rsidRPr="00EA0327">
        <w:rPr>
          <w:rFonts w:ascii="Times New Roman" w:hAnsi="Times New Roman" w:cs="Times New Roman"/>
          <w:color w:val="34322D"/>
          <w:sz w:val="24"/>
          <w:szCs w:val="24"/>
          <w:lang w:val="en-US"/>
        </w:rPr>
        <w:t>Uvira</w:t>
      </w:r>
      <w:proofErr w:type="spellEnd"/>
      <w:r w:rsidRPr="00EA0327">
        <w:rPr>
          <w:rFonts w:ascii="Times New Roman" w:hAnsi="Times New Roman" w:cs="Times New Roman"/>
          <w:color w:val="34322D"/>
          <w:sz w:val="24"/>
          <w:szCs w:val="24"/>
          <w:lang w:val="en-US"/>
        </w:rPr>
        <w:t xml:space="preserve"> (1990–2024) reveals a trajectory of severe ecological degradation, characterized by a systematic decline in NDVI-derived biomass. The transition from a robust forest-savanna baseline in 1990 (NDVI &gt; 0.52) to a fragmented urban landscape in 2024 reflec</w:t>
      </w:r>
      <w:r>
        <w:rPr>
          <w:rFonts w:ascii="Times New Roman" w:hAnsi="Times New Roman" w:cs="Times New Roman"/>
          <w:color w:val="34322D"/>
          <w:sz w:val="24"/>
          <w:szCs w:val="24"/>
          <w:lang w:val="en-US"/>
        </w:rPr>
        <w:t>ts a broader regional trend of “unplanned peri-urbanization”</w:t>
      </w:r>
      <w:r w:rsidRPr="00EA0327">
        <w:rPr>
          <w:rFonts w:ascii="Times New Roman" w:hAnsi="Times New Roman" w:cs="Times New Roman"/>
          <w:color w:val="34322D"/>
          <w:sz w:val="24"/>
          <w:szCs w:val="24"/>
          <w:lang w:val="en-US"/>
        </w:rPr>
        <w:t xml:space="preserve"> typical of the Great Lakes region </w:t>
      </w:r>
      <w:r>
        <w:rPr>
          <w:rFonts w:ascii="Times New Roman" w:hAnsi="Times New Roman" w:cs="Times New Roman"/>
          <w:color w:val="34322D"/>
          <w:sz w:val="24"/>
          <w:szCs w:val="24"/>
          <w:lang w:val="en-US"/>
        </w:rPr>
        <w:fldChar w:fldCharType="begin"/>
      </w:r>
      <w:r>
        <w:rPr>
          <w:rFonts w:ascii="Times New Roman" w:hAnsi="Times New Roman" w:cs="Times New Roman"/>
          <w:color w:val="34322D"/>
          <w:sz w:val="24"/>
          <w:szCs w:val="24"/>
          <w:lang w:val="en-US"/>
        </w:rPr>
        <w:instrText xml:space="preserve"> ADDIN ZOTERO_ITEM CSL_CITATION {"citationID":"UbFTnDzO","properties":{"formattedCitation":"(Lambin &amp; Meyfroidt, 2011a)","plainCitation":"(Lambin &amp; Meyfroidt, 2011a)","noteIndex":0},"citationItems":[{"id":511,"uris":["http://zotero.org/users/13682081/items/C3UHGMFK"],"itemData":{"id":511,"type":"article-journal","abstract":"A central challenge for sustainability is how to preserve forest ecosystems and the services that they provide us while enhancing food production. This challenge for developing countries confronts the force of economic globalization, which seeks cropland that is shrinking in availability and triggers deforestation. Four mechanisms—the displacement, rebound, cascade, and remittance effects—that are amplified by economic globalization accelerate land conversion. A few developing countries have managed a land use transition over the recent decades that simultaneously increased their forest cover and agricultural production. These countries have relied on various mixes of agricultural intensification, land use zoning, forest protection, increased reliance on imported food and wood products, the creation of off-farm jobs, foreign capital investments, and remittances. Sound policies and innovations can therefore reconcile forest preservation with food production. Globalization can be harnessed to increase land use efficiency rather than leading to uncontrolled land use expansion. To do so, land systems should be understood and modeled as open systems with large flows of goods, people, and capital that connect local land use with global-scale factors.","container-title":"Proceedings of the National Academy of Sciences","DOI":"10.1073/pnas.1100480108","ISSN":"0027-8424, 1091-6490","issue":"9","journalAbbreviation":"Proc. Natl. Acad. Sci. U.S.A.","language":"en","page":"3465-3472","source":"DOI.org (Crossref)","title":"Global land use change, economic globalization, and the looming land scarcity","URL":"https://pnas.org/doi/full/10.1073/pnas.1100480108","volume":"108","author":[{"family":"Lambin","given":"Eric F."},{"family":"Meyfroidt","given":"Patrick"}],"accessed":{"date-parts":[["2026",1,4]]},"issued":{"date-parts":[["2011",3]]}}}],"schema":"https://github.com/citation-style-language/schema/raw/master/csl-citation.json"} </w:instrText>
      </w:r>
      <w:r>
        <w:rPr>
          <w:rFonts w:ascii="Times New Roman" w:hAnsi="Times New Roman" w:cs="Times New Roman"/>
          <w:color w:val="34322D"/>
          <w:sz w:val="24"/>
          <w:szCs w:val="24"/>
          <w:lang w:val="en-US"/>
        </w:rPr>
        <w:fldChar w:fldCharType="separate"/>
      </w:r>
      <w:r w:rsidRPr="00EC47E9">
        <w:rPr>
          <w:rFonts w:ascii="Times New Roman" w:hAnsi="Times New Roman" w:cs="Times New Roman"/>
          <w:sz w:val="24"/>
          <w:lang w:val="en-US"/>
        </w:rPr>
        <w:t>(Lambin &amp; Meyfroidt, 2011a)</w:t>
      </w:r>
      <w:r>
        <w:rPr>
          <w:rFonts w:ascii="Times New Roman" w:hAnsi="Times New Roman" w:cs="Times New Roman"/>
          <w:color w:val="34322D"/>
          <w:sz w:val="24"/>
          <w:szCs w:val="24"/>
          <w:lang w:val="en-US"/>
        </w:rPr>
        <w:fldChar w:fldCharType="end"/>
      </w:r>
      <w:r>
        <w:rPr>
          <w:rFonts w:ascii="Times New Roman" w:hAnsi="Times New Roman" w:cs="Times New Roman"/>
          <w:color w:val="34322D"/>
          <w:sz w:val="24"/>
          <w:szCs w:val="24"/>
          <w:lang w:val="en-US"/>
        </w:rPr>
        <w:t xml:space="preserve">. </w:t>
      </w:r>
      <w:r w:rsidRPr="00EA0327">
        <w:rPr>
          <w:rFonts w:ascii="Times New Roman" w:hAnsi="Times New Roman" w:cs="Times New Roman"/>
          <w:color w:val="34322D"/>
          <w:sz w:val="24"/>
          <w:szCs w:val="24"/>
          <w:lang w:val="en-US"/>
        </w:rPr>
        <w:t xml:space="preserve">This loss of green infrastructure is not merely a spatial change but a functional collapse; as noted by </w:t>
      </w:r>
      <w:r>
        <w:rPr>
          <w:rFonts w:ascii="Times New Roman" w:hAnsi="Times New Roman" w:cs="Times New Roman"/>
          <w:color w:val="34322D"/>
          <w:sz w:val="24"/>
          <w:szCs w:val="24"/>
          <w:lang w:val="en-US"/>
        </w:rPr>
        <w:fldChar w:fldCharType="begin"/>
      </w:r>
      <w:r>
        <w:rPr>
          <w:rFonts w:ascii="Times New Roman" w:hAnsi="Times New Roman" w:cs="Times New Roman"/>
          <w:color w:val="34322D"/>
          <w:sz w:val="24"/>
          <w:szCs w:val="24"/>
          <w:lang w:val="en-US"/>
        </w:rPr>
        <w:instrText xml:space="preserve"> ADDIN ZOTERO_ITEM CSL_CITATION {"citationID":"zq1Vstmh","properties":{"formattedCitation":"(Seto et al., 2012)","plainCitation":"(Seto et al., 2012)","noteIndex":0},"citationItems":[{"id":528,"uris":["http://zotero.org/users/13682081/items/CKWKAYUN"],"itemData":{"id":528,"type":"article-journal","abstract":"Urban land-cover change threatens biodiversity and affects ecosystem productivity through loss of habitat, biomass, and carbon storage. However, despite projections that world urban populations will increase to nearly 5 billion by 2030, little is known about future locations, magnitudes, and rates of urban expansion. Here we develop spatially explicit probabilistic forecasts of global urban land-cover change and explore the direct impacts on biodiversity hotspots and tropical carbon biomass. If current trends in population density continue and all areas with high probabilities of urban expansion undergo change, then by 2030, urban land cover will increase by 1.2 million km\n              2\n              , nearly tripling the global urban land area circa 2000. This increase would result in considerable loss of habitats in key biodiversity hotspots, with the highest rates of forecasted urban growth to take place in regions that were relatively undisturbed by urban development in 2000: the Eastern Afromontane, the Guinean Forests of West Africa, and the Western Ghats and Sri Lanka hotspots. Within the pan-tropics, loss in vegetation biomass from areas with high probability of urban expansion is estimated to be 1.38 PgC (0.05 PgC yr\n              −1\n              ), equal to </w:instrText>
      </w:r>
      <w:r>
        <w:rPr>
          <w:rFonts w:ascii="Cambria Math" w:hAnsi="Cambria Math" w:cs="Cambria Math"/>
          <w:color w:val="34322D"/>
          <w:sz w:val="24"/>
          <w:szCs w:val="24"/>
          <w:lang w:val="en-US"/>
        </w:rPr>
        <w:instrText>∼</w:instrText>
      </w:r>
      <w:r>
        <w:rPr>
          <w:rFonts w:ascii="Times New Roman" w:hAnsi="Times New Roman" w:cs="Times New Roman"/>
          <w:color w:val="34322D"/>
          <w:sz w:val="24"/>
          <w:szCs w:val="24"/>
          <w:lang w:val="en-US"/>
        </w:rPr>
        <w:instrText xml:space="preserve">5% of emissions from tropical deforestation and land-use change. Although urbanization is often considered a local issue, the aggregate global impacts of projected urban expansion will require significant policy changes to affect future growth trajectories to minimize global biodiversity and vegetation carbon losses.","container-title":"Proceedings of the National Academy of Sciences","DOI":"10.1073/pnas.1211658109","ISSN":"0027-8424, 1091-6490","issue":"40","journalAbbreviation":"Proc. Natl. Acad. Sci. U.S.A.","language":"en","page":"16083-16088","source":"DOI.org (Crossref)","title":"Global forecasts of urban expansion to 2030 and direct impacts on biodiversity and carbon pools","URL":"https://pnas.org/doi/full/10.1073/pnas.1211658109","volume":"109","author":[{"family":"Seto","given":"Karen C."},{"family":"Güneralp","given":"Burak"},{"family":"Hutyra","given":"Lucy R."}],"accessed":{"date-parts":[["2026",1,4]]},"issued":{"date-parts":[["2012",10,2]]}}}],"schema":"https://github.com/citation-style-language/schema/raw/master/csl-citation.json"} </w:instrText>
      </w:r>
      <w:r>
        <w:rPr>
          <w:rFonts w:ascii="Times New Roman" w:hAnsi="Times New Roman" w:cs="Times New Roman"/>
          <w:color w:val="34322D"/>
          <w:sz w:val="24"/>
          <w:szCs w:val="24"/>
          <w:lang w:val="en-US"/>
        </w:rPr>
        <w:fldChar w:fldCharType="separate"/>
      </w:r>
      <w:r w:rsidRPr="00CD0F9A">
        <w:rPr>
          <w:rFonts w:ascii="Times New Roman" w:hAnsi="Times New Roman" w:cs="Times New Roman"/>
          <w:sz w:val="24"/>
          <w:lang w:val="en-US"/>
        </w:rPr>
        <w:t>Seto et al., 2012</w:t>
      </w:r>
      <w:r>
        <w:rPr>
          <w:rFonts w:ascii="Times New Roman" w:hAnsi="Times New Roman" w:cs="Times New Roman"/>
          <w:color w:val="34322D"/>
          <w:sz w:val="24"/>
          <w:szCs w:val="24"/>
          <w:lang w:val="en-US"/>
        </w:rPr>
        <w:fldChar w:fldCharType="end"/>
      </w:r>
      <w:r>
        <w:rPr>
          <w:rFonts w:ascii="Times New Roman" w:hAnsi="Times New Roman" w:cs="Times New Roman"/>
          <w:color w:val="34322D"/>
          <w:sz w:val="24"/>
          <w:szCs w:val="24"/>
          <w:lang w:val="en-US"/>
        </w:rPr>
        <w:t xml:space="preserve">, </w:t>
      </w:r>
      <w:r w:rsidRPr="00EA0327">
        <w:rPr>
          <w:rFonts w:ascii="Times New Roman" w:hAnsi="Times New Roman" w:cs="Times New Roman"/>
          <w:color w:val="34322D"/>
          <w:sz w:val="24"/>
          <w:szCs w:val="24"/>
          <w:lang w:val="en-US"/>
        </w:rPr>
        <w:t>the replacement of photosynthetic surfaces with impervious urban materials fundamentally alters the local energy balance and hydrological response. The localized secondary succession observed in 2010 highlights a transient resilience, yet it remains insufficient to counteract the dominant trend of habitat loss driven by demographic pressure</w:t>
      </w:r>
      <w:r>
        <w:rPr>
          <w:rFonts w:ascii="Times New Roman" w:hAnsi="Times New Roman" w:cs="Times New Roman"/>
          <w:color w:val="34322D"/>
          <w:sz w:val="24"/>
          <w:szCs w:val="24"/>
          <w:lang w:val="en-US"/>
        </w:rPr>
        <w:t xml:space="preserve"> </w:t>
      </w:r>
      <w:r>
        <w:rPr>
          <w:rFonts w:ascii="Times New Roman" w:hAnsi="Times New Roman" w:cs="Times New Roman"/>
          <w:color w:val="34322D"/>
          <w:sz w:val="24"/>
          <w:szCs w:val="24"/>
          <w:lang w:val="en-US"/>
        </w:rPr>
        <w:fldChar w:fldCharType="begin"/>
      </w:r>
      <w:r>
        <w:rPr>
          <w:rFonts w:ascii="Times New Roman" w:hAnsi="Times New Roman" w:cs="Times New Roman"/>
          <w:color w:val="34322D"/>
          <w:sz w:val="24"/>
          <w:szCs w:val="24"/>
          <w:lang w:val="en-US"/>
        </w:rPr>
        <w:instrText xml:space="preserve"> ADDIN ZOTERO_ITEM CSL_CITATION {"citationID":"y0sZ7CHA","properties":{"formattedCitation":"(Geist &amp; Lambin, 2002)","plainCitation":"(Geist &amp; Lambin, 2002)","noteIndex":0},"citationItems":[{"id":487,"uris":["http://zotero.org/users/13682081/items/RLYC8PQW"],"itemData":{"id":487,"type":"article-journal","container-title":"BioScience","issue":"2","note":"publisher: American Institute of Biological Sciences","page":"143–150","source":"Google Scholar","title":"Proximate causes and underlying driving forces of tropical deforestation: Tropical forests are disappearing as the result of many pressures, both local and regional, acting in various combinations in different geographical locations","title-short":"Proximate causes and underlying driving forces of tropical deforestation","URL":"https://academic.oup.com/bioscience/article-abstract/52/2/143/341135","volume":"52","author":[{"family":"Geist","given":"Helmut J."},{"family":"Lambin","given":"Eric F."}],"accessed":{"date-parts":[["2026",1,4]]},"issued":{"date-parts":[["2002"]]}}}],"schema":"https://github.com/citation-style-language/schema/raw/master/csl-citation.json"} </w:instrText>
      </w:r>
      <w:r>
        <w:rPr>
          <w:rFonts w:ascii="Times New Roman" w:hAnsi="Times New Roman" w:cs="Times New Roman"/>
          <w:color w:val="34322D"/>
          <w:sz w:val="24"/>
          <w:szCs w:val="24"/>
          <w:lang w:val="en-US"/>
        </w:rPr>
        <w:fldChar w:fldCharType="separate"/>
      </w:r>
      <w:r w:rsidRPr="00896650">
        <w:rPr>
          <w:rFonts w:ascii="Times New Roman" w:hAnsi="Times New Roman" w:cs="Times New Roman"/>
          <w:sz w:val="24"/>
          <w:lang w:val="en-US"/>
        </w:rPr>
        <w:t>(Geist &amp; Lambin, 2002)</w:t>
      </w:r>
      <w:r>
        <w:rPr>
          <w:rFonts w:ascii="Times New Roman" w:hAnsi="Times New Roman" w:cs="Times New Roman"/>
          <w:color w:val="34322D"/>
          <w:sz w:val="24"/>
          <w:szCs w:val="24"/>
          <w:lang w:val="en-US"/>
        </w:rPr>
        <w:fldChar w:fldCharType="end"/>
      </w:r>
      <w:r>
        <w:rPr>
          <w:rFonts w:ascii="Times New Roman" w:hAnsi="Times New Roman" w:cs="Times New Roman"/>
          <w:color w:val="34322D"/>
          <w:sz w:val="24"/>
          <w:szCs w:val="24"/>
          <w:lang w:val="en-US"/>
        </w:rPr>
        <w:t xml:space="preserve">. </w:t>
      </w:r>
    </w:p>
    <w:p w14:paraId="0FE80211" w14:textId="77777777" w:rsidR="0068207C" w:rsidRDefault="0068207C" w:rsidP="0068207C">
      <w:pPr>
        <w:shd w:val="clear" w:color="auto" w:fill="FFFFFF" w:themeFill="background1"/>
        <w:spacing w:after="0" w:line="360" w:lineRule="auto"/>
        <w:jc w:val="both"/>
        <w:rPr>
          <w:rFonts w:ascii="Times New Roman" w:hAnsi="Times New Roman" w:cs="Times New Roman"/>
          <w:color w:val="34322D"/>
          <w:sz w:val="24"/>
          <w:szCs w:val="24"/>
        </w:rPr>
      </w:pPr>
      <w:r>
        <w:rPr>
          <w:noProof/>
          <w:lang w:eastAsia="fr-FR"/>
        </w:rPr>
        <w:drawing>
          <wp:inline distT="0" distB="0" distL="0" distR="0" wp14:anchorId="604BAFAC" wp14:editId="17BA36B3">
            <wp:extent cx="5619750" cy="5076825"/>
            <wp:effectExtent l="19050" t="19050" r="19050" b="28575"/>
            <wp:docPr id="5" name="Image 1"/>
            <wp:cNvGraphicFramePr/>
            <a:graphic xmlns:a="http://schemas.openxmlformats.org/drawingml/2006/main">
              <a:graphicData uri="http://schemas.openxmlformats.org/drawingml/2006/picture">
                <pic:pic xmlns:pic="http://schemas.openxmlformats.org/drawingml/2006/picture">
                  <pic:nvPicPr>
                    <pic:cNvPr id="2" name="Image 1"/>
                    <pic:cNvPicPr/>
                  </pic:nvPicPr>
                  <pic:blipFill rotWithShape="1">
                    <a:blip r:embed="rId10" cstate="print">
                      <a:extLst>
                        <a:ext uri="{28A0092B-C50C-407E-A947-70E740481C1C}">
                          <a14:useLocalDpi xmlns:a14="http://schemas.microsoft.com/office/drawing/2010/main" val="0"/>
                        </a:ext>
                      </a:extLst>
                    </a:blip>
                    <a:srcRect/>
                    <a:stretch>
                      <a:fillRect/>
                    </a:stretch>
                  </pic:blipFill>
                  <pic:spPr>
                    <a:xfrm>
                      <a:off x="0" y="0"/>
                      <a:ext cx="5619750" cy="5076825"/>
                    </a:xfrm>
                    <a:prstGeom prst="rect">
                      <a:avLst/>
                    </a:prstGeom>
                    <a:ln w="3175">
                      <a:solidFill>
                        <a:schemeClr val="tx1"/>
                      </a:solidFill>
                    </a:ln>
                  </pic:spPr>
                </pic:pic>
              </a:graphicData>
            </a:graphic>
          </wp:inline>
        </w:drawing>
      </w:r>
    </w:p>
    <w:p w14:paraId="0625B148" w14:textId="73F60962" w:rsidR="0068207C" w:rsidRPr="0068207C" w:rsidRDefault="0068207C" w:rsidP="0068207C">
      <w:pPr>
        <w:shd w:val="clear" w:color="auto" w:fill="FFFFFF" w:themeFill="background1"/>
        <w:spacing w:after="0" w:line="240" w:lineRule="auto"/>
        <w:jc w:val="both"/>
        <w:rPr>
          <w:rFonts w:ascii="Times New Roman" w:hAnsi="Times New Roman" w:cs="Times New Roman"/>
          <w:color w:val="34322D"/>
          <w:sz w:val="24"/>
          <w:szCs w:val="24"/>
        </w:rPr>
      </w:pPr>
      <w:r>
        <w:rPr>
          <w:rFonts w:ascii="Times New Roman" w:hAnsi="Times New Roman" w:cs="Times New Roman"/>
          <w:b/>
          <w:color w:val="34322D"/>
          <w:sz w:val="24"/>
          <w:szCs w:val="24"/>
        </w:rPr>
        <w:lastRenderedPageBreak/>
        <w:t>Figure 2</w:t>
      </w:r>
      <w:r w:rsidRPr="0068207C">
        <w:rPr>
          <w:rFonts w:ascii="Times New Roman" w:hAnsi="Times New Roman" w:cs="Times New Roman"/>
          <w:b/>
          <w:color w:val="34322D"/>
          <w:sz w:val="24"/>
          <w:szCs w:val="24"/>
        </w:rPr>
        <w:t>:</w:t>
      </w:r>
      <w:r w:rsidRPr="0068207C">
        <w:rPr>
          <w:rFonts w:ascii="Times New Roman" w:hAnsi="Times New Roman" w:cs="Times New Roman"/>
          <w:color w:val="34322D"/>
          <w:sz w:val="24"/>
          <w:szCs w:val="24"/>
        </w:rPr>
        <w:t xml:space="preserve"> Résultats du NDVI indiquent, d’une manière générale, une dynamique plus importante entre 1990 et 2024</w:t>
      </w:r>
    </w:p>
    <w:p w14:paraId="593FB216" w14:textId="3FE32E4C" w:rsidR="0068207C" w:rsidRPr="0068207C" w:rsidRDefault="0068207C" w:rsidP="0068207C">
      <w:pPr>
        <w:shd w:val="clear" w:color="auto" w:fill="FFFFFF" w:themeFill="background1"/>
        <w:spacing w:line="360" w:lineRule="auto"/>
        <w:jc w:val="both"/>
        <w:rPr>
          <w:rFonts w:ascii="Times New Roman" w:hAnsi="Times New Roman" w:cs="Times New Roman"/>
          <w:color w:val="34322D"/>
          <w:sz w:val="24"/>
          <w:szCs w:val="24"/>
          <w:lang w:val="en-GB"/>
        </w:rPr>
      </w:pPr>
      <w:r w:rsidRPr="00EA0327">
        <w:rPr>
          <w:rFonts w:ascii="Times New Roman" w:hAnsi="Times New Roman" w:cs="Times New Roman"/>
          <w:color w:val="34322D"/>
          <w:sz w:val="24"/>
          <w:szCs w:val="24"/>
          <w:lang w:val="en-US"/>
        </w:rPr>
        <w:t xml:space="preserve">The critical threshold reached in 2024, where negative NDVI values dominate the urban core and southern littoral, directly amplifies flood vulnerability. This biophysical shift aligns with the "urban stream syndrome" </w:t>
      </w:r>
      <w:r>
        <w:rPr>
          <w:rFonts w:ascii="Times New Roman" w:hAnsi="Times New Roman" w:cs="Times New Roman"/>
          <w:color w:val="34322D"/>
          <w:sz w:val="24"/>
          <w:szCs w:val="24"/>
          <w:lang w:val="en-US"/>
        </w:rPr>
        <w:fldChar w:fldCharType="begin"/>
      </w:r>
      <w:r>
        <w:rPr>
          <w:rFonts w:ascii="Times New Roman" w:hAnsi="Times New Roman" w:cs="Times New Roman"/>
          <w:color w:val="34322D"/>
          <w:sz w:val="24"/>
          <w:szCs w:val="24"/>
          <w:lang w:val="en-US"/>
        </w:rPr>
        <w:instrText xml:space="preserve"> ADDIN ZOTERO_ITEM CSL_CITATION {"citationID":"ZCMpKflL","properties":{"formattedCitation":"(Walsh et al., 2005)","plainCitation":"(Walsh et al., 2005)","noteIndex":0},"citationItems":[{"id":534,"uris":["http://zotero.org/users/13682081/items/GDWSFNVZ"],"itemData":{"id":534,"type":"article-journal","container-title":"Journal of the North American Benthological Society","DOI":"10.1899/04-028.1","ISSN":"0887-3593, 1937-237X","issue":"3","journalAbbreviation":"Journal of the North American Benthological Society","language":"en","page":"706-723","source":"DOI.org (Crossref)","title":"The urban stream syndrome: current knowledge and the search for a cure","title-short":"The urban stream syndrome","URL":"https://www.journals.uchicago.edu/doi/10.1899/04-028.1","volume":"24","author":[{"family":"Walsh","given":"Christopher J."},{"family":"Roy","given":"Allison H."},{"family":"Feminella","given":"Jack W."},{"family":"Cottingham","given":"Peter D."},{"family":"Groffman","given":"Peter M."},{"family":"Morgan","given":"Raymond P."}],"accessed":{"date-parts":[["2026",1,4]]},"issued":{"date-parts":[["2005",9]]}}}],"schema":"https://github.com/citation-style-language/schema/raw/master/csl-citation.json"} </w:instrText>
      </w:r>
      <w:r>
        <w:rPr>
          <w:rFonts w:ascii="Times New Roman" w:hAnsi="Times New Roman" w:cs="Times New Roman"/>
          <w:color w:val="34322D"/>
          <w:sz w:val="24"/>
          <w:szCs w:val="24"/>
          <w:lang w:val="en-US"/>
        </w:rPr>
        <w:fldChar w:fldCharType="separate"/>
      </w:r>
      <w:r w:rsidRPr="00896650">
        <w:rPr>
          <w:rFonts w:ascii="Times New Roman" w:hAnsi="Times New Roman" w:cs="Times New Roman"/>
          <w:sz w:val="24"/>
          <w:lang w:val="en-US"/>
        </w:rPr>
        <w:t>(Walsh et al., 2005)</w:t>
      </w:r>
      <w:r>
        <w:rPr>
          <w:rFonts w:ascii="Times New Roman" w:hAnsi="Times New Roman" w:cs="Times New Roman"/>
          <w:color w:val="34322D"/>
          <w:sz w:val="24"/>
          <w:szCs w:val="24"/>
          <w:lang w:val="en-US"/>
        </w:rPr>
        <w:fldChar w:fldCharType="end"/>
      </w:r>
      <w:r w:rsidRPr="00EA0327">
        <w:rPr>
          <w:rFonts w:ascii="Times New Roman" w:hAnsi="Times New Roman" w:cs="Times New Roman"/>
          <w:color w:val="34322D"/>
          <w:sz w:val="24"/>
          <w:szCs w:val="24"/>
          <w:lang w:val="en-US"/>
        </w:rPr>
        <w:t xml:space="preserve">, where the reduction in canopy interception and root-mediated infiltration accelerates surface runoff. In the specific context of </w:t>
      </w:r>
      <w:proofErr w:type="spellStart"/>
      <w:r w:rsidRPr="00EA0327">
        <w:rPr>
          <w:rFonts w:ascii="Times New Roman" w:hAnsi="Times New Roman" w:cs="Times New Roman"/>
          <w:color w:val="34322D"/>
          <w:sz w:val="24"/>
          <w:szCs w:val="24"/>
          <w:lang w:val="en-US"/>
        </w:rPr>
        <w:t>Uvira’s</w:t>
      </w:r>
      <w:proofErr w:type="spellEnd"/>
      <w:r w:rsidRPr="00EA0327">
        <w:rPr>
          <w:rFonts w:ascii="Times New Roman" w:hAnsi="Times New Roman" w:cs="Times New Roman"/>
          <w:color w:val="34322D"/>
          <w:sz w:val="24"/>
          <w:szCs w:val="24"/>
          <w:lang w:val="en-US"/>
        </w:rPr>
        <w:t xml:space="preserve"> steep topography, this loss of vegetative buffer zones transforms moderate precipitation into high-velocity flash floods, confirming the findings of</w:t>
      </w:r>
      <w:r>
        <w:rPr>
          <w:rFonts w:ascii="Times New Roman" w:hAnsi="Times New Roman" w:cs="Times New Roman"/>
          <w:color w:val="34322D"/>
          <w:sz w:val="24"/>
          <w:szCs w:val="24"/>
          <w:lang w:val="en-US"/>
        </w:rPr>
        <w:t xml:space="preserve"> </w:t>
      </w:r>
      <w:r w:rsidRPr="00EA0327">
        <w:rPr>
          <w:rFonts w:ascii="Times New Roman" w:hAnsi="Times New Roman" w:cs="Times New Roman"/>
          <w:color w:val="34322D"/>
          <w:sz w:val="24"/>
          <w:szCs w:val="24"/>
          <w:lang w:val="en-US"/>
        </w:rPr>
        <w:t xml:space="preserve"> </w:t>
      </w:r>
      <w:r>
        <w:rPr>
          <w:rFonts w:ascii="Times New Roman" w:hAnsi="Times New Roman" w:cs="Times New Roman"/>
          <w:color w:val="34322D"/>
          <w:sz w:val="24"/>
          <w:szCs w:val="24"/>
          <w:lang w:val="en-US"/>
        </w:rPr>
        <w:fldChar w:fldCharType="begin"/>
      </w:r>
      <w:r>
        <w:rPr>
          <w:rFonts w:ascii="Times New Roman" w:hAnsi="Times New Roman" w:cs="Times New Roman"/>
          <w:color w:val="34322D"/>
          <w:sz w:val="24"/>
          <w:szCs w:val="24"/>
          <w:lang w:val="en-US"/>
        </w:rPr>
        <w:instrText xml:space="preserve"> ADDIN ZOTERO_ITEM CSL_CITATION {"citationID":"dniCoRFw","properties":{"formattedCitation":"(Heri\\uc0\\u8208{}Kazi &amp; Bielders, 2021b)","plainCitation":"(Heri‐Kazi &amp; Bielders, 2021b)","noteIndex":0},"citationItems":[{"id":498,"uris":["http://zotero.org/users/13682081/items/5IB3EGXN"],"itemData":{"id":498,"type":"article-journal","abstract":"Abstract\n            Despite being one of the hotspots for soil erosion in the world, little is known regarding farmer's knowledge of soil erosion in the highlands of South‐Kivu in the Democratic Republic of Congo. A proper understanding of farmers' knowledge regarding soil erosion and conservation measures is a prerequisite for implementing resilient erosion control measures. The objective of this study was therefore to assess farmers' knowledge of soil erosion, to document existing soil and water conservation (SWC) measures and to identify their adoption constraints in the highlands of South‐Kivu. Data were collected using interviews with a semi‐structured questionnaire involving 720 respondents from eight watersheds in four territories. Farmers reported eight main erosion indicators. As opposed to gullies (80% of farmers), rills were perceived as important erosion indicators by only 50% of farmers, despite their common occurrence. Farmers were largely unaware of the potential impact of their crops and cropping practices on erosion. Farmers knew about only a limited range of SWC measures, which were perceived to be little to moderately efficient. Furthermore, the average level of adoption was very low (21%). Adoption constraints varied widely depending on the SWC measure. Thus, future interventions need to place much greater emphasis on awareness regarding soil erosion and SWC measures, to strengthen farmers' capacity for experimentation and adaptation to new technologies and finally to create a policy and institutional environment that stimulates widespread adoption of SWC techniques.","container-title":"Land Degradation &amp; Development","DOI":"10.1002/ldr.3755","ISSN":"1085-3278, 1099-145X","issue":"2","journalAbbreviation":"Land Degrad Dev","language":"en","page":"699-713","source":"DOI.org (Crossref)","title":"Erosion and soil and water conservation in &lt;span style=\"font-variant:small-caps;\"&gt;South‐Kivu&lt;/span&gt; (eastern DR Congo): The farmers' view","title-short":"Erosion and soil and water conservation in &lt;span style=\"font-variant","URL":"https://onlinelibrary.wiley.com/doi/10.1002/ldr.3755","volume":"32","author":[{"family":"Heri‐Kazi","given":"Aimé B."},{"family":"Bielders","given":"Charles L."}],"accessed":{"date-parts":[["2026",1,4]]},"issued":{"date-parts":[["2021",1,30]]}}}],"schema":"https://github.com/citation-style-language/schema/raw/master/csl-citation.json"} </w:instrText>
      </w:r>
      <w:r>
        <w:rPr>
          <w:rFonts w:ascii="Times New Roman" w:hAnsi="Times New Roman" w:cs="Times New Roman"/>
          <w:color w:val="34322D"/>
          <w:sz w:val="24"/>
          <w:szCs w:val="24"/>
          <w:lang w:val="en-US"/>
        </w:rPr>
        <w:fldChar w:fldCharType="separate"/>
      </w:r>
      <w:r w:rsidRPr="008546E2">
        <w:rPr>
          <w:rFonts w:ascii="Times New Roman" w:hAnsi="Times New Roman" w:cs="Times New Roman"/>
          <w:sz w:val="24"/>
          <w:szCs w:val="24"/>
          <w:lang w:val="en-US"/>
        </w:rPr>
        <w:t>Heri‐Kazi &amp; Bielders, 2021</w:t>
      </w:r>
      <w:r>
        <w:rPr>
          <w:rFonts w:ascii="Times New Roman" w:hAnsi="Times New Roman" w:cs="Times New Roman"/>
          <w:color w:val="34322D"/>
          <w:sz w:val="24"/>
          <w:szCs w:val="24"/>
          <w:lang w:val="en-US"/>
        </w:rPr>
        <w:fldChar w:fldCharType="end"/>
      </w:r>
      <w:r w:rsidRPr="00EA0327">
        <w:rPr>
          <w:rFonts w:ascii="Times New Roman" w:hAnsi="Times New Roman" w:cs="Times New Roman"/>
          <w:color w:val="34322D"/>
          <w:sz w:val="24"/>
          <w:szCs w:val="24"/>
          <w:lang w:val="en-US"/>
        </w:rPr>
        <w:t xml:space="preserve"> on the link between land degradation and hydrological disasters in the Kivu ridge. Consequently, the observed vegetation regression serves as a precursor to the increased flood hazards identified via NDWI, necessitating an urgent integration of nature-based solutions into </w:t>
      </w:r>
      <w:proofErr w:type="spellStart"/>
      <w:r w:rsidRPr="00EA0327">
        <w:rPr>
          <w:rFonts w:ascii="Times New Roman" w:hAnsi="Times New Roman" w:cs="Times New Roman"/>
          <w:color w:val="34322D"/>
          <w:sz w:val="24"/>
          <w:szCs w:val="24"/>
          <w:lang w:val="en-US"/>
        </w:rPr>
        <w:t>Uvira’s</w:t>
      </w:r>
      <w:proofErr w:type="spellEnd"/>
      <w:r w:rsidRPr="00EA0327">
        <w:rPr>
          <w:rFonts w:ascii="Times New Roman" w:hAnsi="Times New Roman" w:cs="Times New Roman"/>
          <w:color w:val="34322D"/>
          <w:sz w:val="24"/>
          <w:szCs w:val="24"/>
          <w:lang w:val="en-US"/>
        </w:rPr>
        <w:t xml:space="preserve"> territorial planning to restore essential hydraulic regulation services </w:t>
      </w:r>
      <w:r>
        <w:rPr>
          <w:rFonts w:ascii="Times New Roman" w:hAnsi="Times New Roman" w:cs="Times New Roman"/>
          <w:color w:val="34322D"/>
          <w:sz w:val="24"/>
          <w:szCs w:val="24"/>
          <w:lang w:val="en-US"/>
        </w:rPr>
        <w:fldChar w:fldCharType="begin"/>
      </w:r>
      <w:r>
        <w:rPr>
          <w:rFonts w:ascii="Times New Roman" w:hAnsi="Times New Roman" w:cs="Times New Roman"/>
          <w:color w:val="34322D"/>
          <w:sz w:val="24"/>
          <w:szCs w:val="24"/>
          <w:lang w:val="en-US"/>
        </w:rPr>
        <w:instrText xml:space="preserve"> ADDIN ZOTERO_ITEM CSL_CITATION {"citationID":"1eUsAiBj","properties":{"formattedCitation":"(FAO, 2020)","plainCitation":"(FAO, 2020)","noteIndex":0},"citationItems":[{"id":486,"uris":["http://zotero.org/users/13682081/items/UYDBV37V"],"itemData":{"id":486,"type":"article-journal","source":"Google Scholar","title":"Global Forest Resources Assessment 2020: Main report. Rome","title-short":"Global Forest Resources Assessment 2020","author":[{"literal":"FAO"}],"issued":{"date-parts":[["2020"]]}}}],"schema":"https://github.com/citation-style-language/schema/raw/master/csl-citation.json"} </w:instrText>
      </w:r>
      <w:r>
        <w:rPr>
          <w:rFonts w:ascii="Times New Roman" w:hAnsi="Times New Roman" w:cs="Times New Roman"/>
          <w:color w:val="34322D"/>
          <w:sz w:val="24"/>
          <w:szCs w:val="24"/>
          <w:lang w:val="en-US"/>
        </w:rPr>
        <w:fldChar w:fldCharType="separate"/>
      </w:r>
      <w:r w:rsidRPr="008546E2">
        <w:rPr>
          <w:rFonts w:ascii="Times New Roman" w:hAnsi="Times New Roman" w:cs="Times New Roman"/>
          <w:sz w:val="24"/>
          <w:lang w:val="en-US"/>
        </w:rPr>
        <w:t>(FAO, 2020)</w:t>
      </w:r>
      <w:r>
        <w:rPr>
          <w:rFonts w:ascii="Times New Roman" w:hAnsi="Times New Roman" w:cs="Times New Roman"/>
          <w:color w:val="34322D"/>
          <w:sz w:val="24"/>
          <w:szCs w:val="24"/>
          <w:lang w:val="en-US"/>
        </w:rPr>
        <w:fldChar w:fldCharType="end"/>
      </w:r>
      <w:r>
        <w:rPr>
          <w:rFonts w:ascii="Times New Roman" w:hAnsi="Times New Roman" w:cs="Times New Roman"/>
          <w:color w:val="34322D"/>
          <w:sz w:val="24"/>
          <w:szCs w:val="24"/>
          <w:lang w:val="en-US"/>
        </w:rPr>
        <w:t>.</w:t>
      </w:r>
    </w:p>
    <w:p w14:paraId="75FA3D9D" w14:textId="50CD6FF1" w:rsidR="00B152F2" w:rsidRPr="0072732D" w:rsidRDefault="00B152F2" w:rsidP="00EB1335">
      <w:pPr>
        <w:shd w:val="clear" w:color="auto" w:fill="FFFFFF" w:themeFill="background1"/>
        <w:spacing w:line="360" w:lineRule="auto"/>
        <w:jc w:val="both"/>
        <w:rPr>
          <w:rFonts w:ascii="Times New Roman" w:hAnsi="Times New Roman" w:cs="Times New Roman"/>
          <w:color w:val="34322D"/>
          <w:sz w:val="24"/>
          <w:szCs w:val="24"/>
          <w:lang w:val="en-US"/>
        </w:rPr>
      </w:pPr>
      <w:r>
        <w:rPr>
          <w:noProof/>
          <w:lang w:eastAsia="fr-FR"/>
        </w:rPr>
        <w:drawing>
          <wp:inline distT="0" distB="0" distL="0" distR="0" wp14:anchorId="69ED0742" wp14:editId="5DD128D9">
            <wp:extent cx="5772150" cy="5781675"/>
            <wp:effectExtent l="0" t="0" r="0" b="9525"/>
            <wp:docPr id="4" name="Image 1"/>
            <wp:cNvGraphicFramePr/>
            <a:graphic xmlns:a="http://schemas.openxmlformats.org/drawingml/2006/main">
              <a:graphicData uri="http://schemas.openxmlformats.org/drawingml/2006/picture">
                <pic:pic xmlns:pic="http://schemas.openxmlformats.org/drawingml/2006/picture">
                  <pic:nvPicPr>
                    <pic:cNvPr id="2" name="Image 1"/>
                    <pic:cNvPicPr/>
                  </pic:nvPicPr>
                  <pic:blipFill rotWithShape="1">
                    <a:blip r:embed="rId11" cstate="print">
                      <a:extLst>
                        <a:ext uri="{28A0092B-C50C-407E-A947-70E740481C1C}">
                          <a14:useLocalDpi xmlns:a14="http://schemas.microsoft.com/office/drawing/2010/main" val="0"/>
                        </a:ext>
                      </a:extLst>
                    </a:blip>
                    <a:srcRect/>
                    <a:stretch>
                      <a:fillRect/>
                    </a:stretch>
                  </pic:blipFill>
                  <pic:spPr>
                    <a:xfrm>
                      <a:off x="0" y="0"/>
                      <a:ext cx="5770242" cy="5779764"/>
                    </a:xfrm>
                    <a:prstGeom prst="rect">
                      <a:avLst/>
                    </a:prstGeom>
                  </pic:spPr>
                </pic:pic>
              </a:graphicData>
            </a:graphic>
          </wp:inline>
        </w:drawing>
      </w:r>
      <w:r w:rsidR="0068207C" w:rsidRPr="00623051">
        <w:rPr>
          <w:rFonts w:ascii="Times New Roman" w:hAnsi="Times New Roman" w:cs="Times New Roman"/>
          <w:b/>
          <w:color w:val="34322D"/>
          <w:sz w:val="24"/>
          <w:szCs w:val="24"/>
          <w:lang w:val="en-US"/>
        </w:rPr>
        <w:t>Figure3:</w:t>
      </w:r>
      <w:r w:rsidR="00623051" w:rsidRPr="00623051">
        <w:rPr>
          <w:rFonts w:ascii="Times New Roman" w:hAnsi="Times New Roman" w:cs="Times New Roman"/>
          <w:b/>
          <w:color w:val="34322D"/>
          <w:sz w:val="24"/>
          <w:szCs w:val="24"/>
          <w:lang w:val="en-US"/>
        </w:rPr>
        <w:t xml:space="preserve"> </w:t>
      </w:r>
      <w:proofErr w:type="spellStart"/>
      <w:r w:rsidR="00204D17" w:rsidRPr="00204D17">
        <w:rPr>
          <w:rFonts w:ascii="Times New Roman" w:hAnsi="Times New Roman" w:cs="Times New Roman"/>
          <w:b/>
          <w:sz w:val="24"/>
          <w:szCs w:val="24"/>
          <w:lang w:val="en-US"/>
        </w:rPr>
        <w:t>Spatio</w:t>
      </w:r>
      <w:proofErr w:type="spellEnd"/>
      <w:r w:rsidR="00204D17" w:rsidRPr="00204D17">
        <w:rPr>
          <w:rFonts w:ascii="Times New Roman" w:hAnsi="Times New Roman" w:cs="Times New Roman"/>
          <w:b/>
          <w:sz w:val="24"/>
          <w:szCs w:val="24"/>
          <w:lang w:val="en-US"/>
        </w:rPr>
        <w:t>-temporal dynamics of vegetation</w:t>
      </w:r>
      <w:r w:rsidR="00204D17" w:rsidRPr="00204D17">
        <w:rPr>
          <w:rFonts w:ascii="Times New Roman" w:hAnsi="Times New Roman" w:cs="Times New Roman"/>
          <w:b/>
          <w:color w:val="34322D"/>
          <w:sz w:val="24"/>
          <w:szCs w:val="24"/>
          <w:lang w:val="en-US"/>
        </w:rPr>
        <w:t xml:space="preserve"> form</w:t>
      </w:r>
      <w:r w:rsidR="00623051" w:rsidRPr="00204D17">
        <w:rPr>
          <w:rFonts w:ascii="Times New Roman" w:hAnsi="Times New Roman" w:cs="Times New Roman"/>
          <w:b/>
          <w:color w:val="34322D"/>
          <w:sz w:val="24"/>
          <w:szCs w:val="24"/>
          <w:lang w:val="en-US"/>
        </w:rPr>
        <w:t>1990 à 2024</w:t>
      </w:r>
      <w:r w:rsidR="00623051">
        <w:rPr>
          <w:rFonts w:ascii="Times New Roman" w:hAnsi="Times New Roman" w:cs="Times New Roman"/>
          <w:b/>
          <w:color w:val="34322D"/>
          <w:sz w:val="24"/>
          <w:szCs w:val="24"/>
          <w:lang w:val="en-US"/>
        </w:rPr>
        <w:t xml:space="preserve"> </w:t>
      </w:r>
    </w:p>
    <w:p w14:paraId="4054986C" w14:textId="77777777" w:rsidR="00B910C3" w:rsidRDefault="00B910C3" w:rsidP="00204D17">
      <w:pPr>
        <w:shd w:val="clear" w:color="auto" w:fill="FFFFFF" w:themeFill="background1"/>
        <w:spacing w:after="0" w:line="360" w:lineRule="auto"/>
        <w:jc w:val="both"/>
        <w:rPr>
          <w:rFonts w:ascii="Times New Roman" w:hAnsi="Times New Roman" w:cs="Times New Roman"/>
          <w:b/>
          <w:color w:val="34322D"/>
          <w:sz w:val="24"/>
          <w:szCs w:val="24"/>
          <w:lang w:val="en-US"/>
        </w:rPr>
      </w:pPr>
    </w:p>
    <w:p w14:paraId="08682DE5" w14:textId="77777777" w:rsidR="00B910C3" w:rsidRDefault="00B910C3" w:rsidP="00204D17">
      <w:pPr>
        <w:shd w:val="clear" w:color="auto" w:fill="FFFFFF" w:themeFill="background1"/>
        <w:spacing w:after="0" w:line="360" w:lineRule="auto"/>
        <w:jc w:val="both"/>
        <w:rPr>
          <w:rFonts w:ascii="Times New Roman" w:hAnsi="Times New Roman" w:cs="Times New Roman"/>
          <w:b/>
          <w:color w:val="34322D"/>
          <w:sz w:val="24"/>
          <w:szCs w:val="24"/>
          <w:lang w:val="en-US"/>
        </w:rPr>
      </w:pPr>
    </w:p>
    <w:p w14:paraId="1FB568AF" w14:textId="77777777" w:rsidR="00B910C3" w:rsidRDefault="00B910C3" w:rsidP="00204D17">
      <w:pPr>
        <w:shd w:val="clear" w:color="auto" w:fill="FFFFFF" w:themeFill="background1"/>
        <w:spacing w:after="0" w:line="360" w:lineRule="auto"/>
        <w:jc w:val="both"/>
        <w:rPr>
          <w:rFonts w:ascii="Times New Roman" w:hAnsi="Times New Roman" w:cs="Times New Roman"/>
          <w:b/>
          <w:color w:val="34322D"/>
          <w:sz w:val="24"/>
          <w:szCs w:val="24"/>
          <w:lang w:val="en-US"/>
        </w:rPr>
      </w:pPr>
    </w:p>
    <w:p w14:paraId="0D7DC7C9" w14:textId="77777777" w:rsidR="00B910C3" w:rsidRDefault="00B910C3" w:rsidP="00204D17">
      <w:pPr>
        <w:shd w:val="clear" w:color="auto" w:fill="FFFFFF" w:themeFill="background1"/>
        <w:spacing w:after="0" w:line="360" w:lineRule="auto"/>
        <w:jc w:val="both"/>
        <w:rPr>
          <w:rFonts w:ascii="Times New Roman" w:hAnsi="Times New Roman" w:cs="Times New Roman"/>
          <w:b/>
          <w:color w:val="34322D"/>
          <w:sz w:val="24"/>
          <w:szCs w:val="24"/>
          <w:lang w:val="en-US"/>
        </w:rPr>
      </w:pPr>
    </w:p>
    <w:p w14:paraId="317D6D55" w14:textId="45C18D15" w:rsidR="00B152F2" w:rsidRPr="00204D17" w:rsidRDefault="00204D17" w:rsidP="00204D17">
      <w:pPr>
        <w:shd w:val="clear" w:color="auto" w:fill="FFFFFF" w:themeFill="background1"/>
        <w:spacing w:after="0" w:line="360" w:lineRule="auto"/>
        <w:jc w:val="both"/>
        <w:rPr>
          <w:rFonts w:ascii="Times New Roman" w:hAnsi="Times New Roman" w:cs="Times New Roman"/>
          <w:b/>
          <w:color w:val="34322D"/>
          <w:sz w:val="24"/>
          <w:szCs w:val="24"/>
          <w:lang w:val="en-US"/>
        </w:rPr>
      </w:pPr>
      <w:r w:rsidRPr="00204D17">
        <w:rPr>
          <w:rFonts w:ascii="Times New Roman" w:hAnsi="Times New Roman" w:cs="Times New Roman"/>
          <w:b/>
          <w:color w:val="34322D"/>
          <w:sz w:val="24"/>
          <w:szCs w:val="24"/>
          <w:lang w:val="en-US"/>
        </w:rPr>
        <w:t xml:space="preserve">Table </w:t>
      </w:r>
      <w:r w:rsidR="0068207C" w:rsidRPr="00204D17">
        <w:rPr>
          <w:rFonts w:ascii="Times New Roman" w:hAnsi="Times New Roman" w:cs="Times New Roman"/>
          <w:b/>
          <w:color w:val="34322D"/>
          <w:sz w:val="24"/>
          <w:szCs w:val="24"/>
          <w:lang w:val="en-US"/>
        </w:rPr>
        <w:t>1:</w:t>
      </w:r>
      <w:r w:rsidRPr="00204D17">
        <w:rPr>
          <w:rFonts w:ascii="Times New Roman" w:hAnsi="Times New Roman" w:cs="Times New Roman"/>
          <w:b/>
          <w:color w:val="34322D"/>
          <w:sz w:val="24"/>
          <w:szCs w:val="24"/>
          <w:lang w:val="en-US"/>
        </w:rPr>
        <w:t xml:space="preserve"> </w:t>
      </w:r>
      <w:r w:rsidRPr="00204D17">
        <w:rPr>
          <w:rFonts w:ascii="Times New Roman" w:hAnsi="Times New Roman" w:cs="Times New Roman"/>
          <w:b/>
          <w:sz w:val="24"/>
          <w:lang w:val="en-US"/>
        </w:rPr>
        <w:t>Trends in the spatial extent of land use types</w:t>
      </w:r>
    </w:p>
    <w:tbl>
      <w:tblPr>
        <w:tblStyle w:val="Grilledutableau"/>
        <w:tblW w:w="9147" w:type="dxa"/>
        <w:jc w:val="center"/>
        <w:tblLook w:val="04A0" w:firstRow="1" w:lastRow="0" w:firstColumn="1" w:lastColumn="0" w:noHBand="0" w:noVBand="1"/>
      </w:tblPr>
      <w:tblGrid>
        <w:gridCol w:w="2443"/>
        <w:gridCol w:w="756"/>
        <w:gridCol w:w="851"/>
        <w:gridCol w:w="850"/>
        <w:gridCol w:w="851"/>
        <w:gridCol w:w="845"/>
        <w:gridCol w:w="856"/>
        <w:gridCol w:w="850"/>
        <w:gridCol w:w="845"/>
      </w:tblGrid>
      <w:tr w:rsidR="00B152F2" w:rsidRPr="00B152F2" w14:paraId="1FD28D19" w14:textId="77777777" w:rsidTr="00B152F2">
        <w:trPr>
          <w:trHeight w:val="70"/>
          <w:jc w:val="center"/>
        </w:trPr>
        <w:tc>
          <w:tcPr>
            <w:tcW w:w="2443" w:type="dxa"/>
            <w:vMerge w:val="restart"/>
            <w:tcBorders>
              <w:bottom w:val="single" w:sz="4" w:space="0" w:color="auto"/>
            </w:tcBorders>
            <w:noWrap/>
            <w:hideMark/>
          </w:tcPr>
          <w:p w14:paraId="4EAA87FA" w14:textId="1DA33613" w:rsidR="00B152F2" w:rsidRPr="00B152F2" w:rsidRDefault="001F51C2" w:rsidP="00B152F2">
            <w:pPr>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xml:space="preserve">Surface type </w:t>
            </w:r>
          </w:p>
          <w:p w14:paraId="0D46E9FE" w14:textId="7F2F5450" w:rsidR="00B152F2" w:rsidRPr="00B152F2" w:rsidRDefault="00B152F2" w:rsidP="00B152F2">
            <w:pPr>
              <w:rPr>
                <w:rFonts w:ascii="Times New Roman" w:eastAsia="Times New Roman" w:hAnsi="Times New Roman" w:cs="Times New Roman"/>
                <w:b/>
                <w:bCs/>
                <w:color w:val="000000"/>
                <w:sz w:val="24"/>
                <w:szCs w:val="24"/>
                <w:lang w:eastAsia="fr-FR"/>
              </w:rPr>
            </w:pPr>
            <w:r w:rsidRPr="00B152F2">
              <w:rPr>
                <w:rFonts w:ascii="Times New Roman" w:eastAsia="Times New Roman" w:hAnsi="Times New Roman" w:cs="Times New Roman"/>
                <w:b/>
                <w:bCs/>
                <w:color w:val="000000"/>
                <w:sz w:val="24"/>
                <w:szCs w:val="24"/>
                <w:lang w:eastAsia="fr-FR"/>
              </w:rPr>
              <w:t> </w:t>
            </w:r>
          </w:p>
        </w:tc>
        <w:tc>
          <w:tcPr>
            <w:tcW w:w="1607" w:type="dxa"/>
            <w:gridSpan w:val="2"/>
            <w:tcBorders>
              <w:bottom w:val="single" w:sz="4" w:space="0" w:color="auto"/>
            </w:tcBorders>
            <w:noWrap/>
            <w:hideMark/>
          </w:tcPr>
          <w:p w14:paraId="748B63CD" w14:textId="77777777" w:rsidR="00B152F2" w:rsidRPr="00B152F2" w:rsidRDefault="00B152F2" w:rsidP="00B152F2">
            <w:pPr>
              <w:jc w:val="right"/>
              <w:rPr>
                <w:rFonts w:ascii="Times New Roman" w:eastAsia="Times New Roman" w:hAnsi="Times New Roman" w:cs="Times New Roman"/>
                <w:b/>
                <w:bCs/>
                <w:color w:val="000000"/>
                <w:sz w:val="24"/>
                <w:szCs w:val="24"/>
                <w:lang w:eastAsia="fr-FR"/>
              </w:rPr>
            </w:pPr>
            <w:r w:rsidRPr="00B152F2">
              <w:rPr>
                <w:rFonts w:ascii="Times New Roman" w:eastAsia="Times New Roman" w:hAnsi="Times New Roman" w:cs="Times New Roman"/>
                <w:b/>
                <w:bCs/>
                <w:color w:val="000000"/>
                <w:sz w:val="24"/>
                <w:szCs w:val="24"/>
                <w:lang w:eastAsia="fr-FR"/>
              </w:rPr>
              <w:t>1990</w:t>
            </w:r>
          </w:p>
        </w:tc>
        <w:tc>
          <w:tcPr>
            <w:tcW w:w="1701" w:type="dxa"/>
            <w:gridSpan w:val="2"/>
            <w:tcBorders>
              <w:bottom w:val="single" w:sz="4" w:space="0" w:color="auto"/>
            </w:tcBorders>
            <w:noWrap/>
            <w:hideMark/>
          </w:tcPr>
          <w:p w14:paraId="2280A7F6" w14:textId="77777777" w:rsidR="00B152F2" w:rsidRPr="00B152F2" w:rsidRDefault="00B152F2" w:rsidP="00B152F2">
            <w:pPr>
              <w:jc w:val="right"/>
              <w:rPr>
                <w:rFonts w:ascii="Times New Roman" w:eastAsia="Times New Roman" w:hAnsi="Times New Roman" w:cs="Times New Roman"/>
                <w:b/>
                <w:bCs/>
                <w:color w:val="000000"/>
                <w:sz w:val="24"/>
                <w:szCs w:val="24"/>
                <w:lang w:eastAsia="fr-FR"/>
              </w:rPr>
            </w:pPr>
            <w:r w:rsidRPr="00B152F2">
              <w:rPr>
                <w:rFonts w:ascii="Times New Roman" w:eastAsia="Times New Roman" w:hAnsi="Times New Roman" w:cs="Times New Roman"/>
                <w:b/>
                <w:bCs/>
                <w:color w:val="000000"/>
                <w:sz w:val="24"/>
                <w:szCs w:val="24"/>
                <w:lang w:eastAsia="fr-FR"/>
              </w:rPr>
              <w:t>2000</w:t>
            </w:r>
          </w:p>
        </w:tc>
        <w:tc>
          <w:tcPr>
            <w:tcW w:w="1701" w:type="dxa"/>
            <w:gridSpan w:val="2"/>
            <w:tcBorders>
              <w:bottom w:val="single" w:sz="4" w:space="0" w:color="auto"/>
            </w:tcBorders>
            <w:noWrap/>
            <w:hideMark/>
          </w:tcPr>
          <w:p w14:paraId="3CB83ED7" w14:textId="77777777" w:rsidR="00B152F2" w:rsidRPr="00B152F2" w:rsidRDefault="00B152F2" w:rsidP="00B152F2">
            <w:pPr>
              <w:jc w:val="right"/>
              <w:rPr>
                <w:rFonts w:ascii="Times New Roman" w:eastAsia="Times New Roman" w:hAnsi="Times New Roman" w:cs="Times New Roman"/>
                <w:b/>
                <w:bCs/>
                <w:color w:val="000000"/>
                <w:sz w:val="24"/>
                <w:szCs w:val="24"/>
                <w:lang w:eastAsia="fr-FR"/>
              </w:rPr>
            </w:pPr>
            <w:r w:rsidRPr="00B152F2">
              <w:rPr>
                <w:rFonts w:ascii="Times New Roman" w:eastAsia="Times New Roman" w:hAnsi="Times New Roman" w:cs="Times New Roman"/>
                <w:b/>
                <w:bCs/>
                <w:color w:val="000000"/>
                <w:sz w:val="24"/>
                <w:szCs w:val="24"/>
                <w:lang w:eastAsia="fr-FR"/>
              </w:rPr>
              <w:t>2010</w:t>
            </w:r>
          </w:p>
        </w:tc>
        <w:tc>
          <w:tcPr>
            <w:tcW w:w="1695" w:type="dxa"/>
            <w:gridSpan w:val="2"/>
            <w:tcBorders>
              <w:bottom w:val="single" w:sz="4" w:space="0" w:color="auto"/>
            </w:tcBorders>
            <w:noWrap/>
            <w:hideMark/>
          </w:tcPr>
          <w:p w14:paraId="034F99F9" w14:textId="77777777" w:rsidR="00B152F2" w:rsidRPr="00B152F2" w:rsidRDefault="00B152F2" w:rsidP="00B152F2">
            <w:pPr>
              <w:jc w:val="right"/>
              <w:rPr>
                <w:rFonts w:ascii="Times New Roman" w:eastAsia="Times New Roman" w:hAnsi="Times New Roman" w:cs="Times New Roman"/>
                <w:b/>
                <w:bCs/>
                <w:color w:val="000000"/>
                <w:sz w:val="24"/>
                <w:szCs w:val="24"/>
                <w:lang w:eastAsia="fr-FR"/>
              </w:rPr>
            </w:pPr>
            <w:r w:rsidRPr="00B152F2">
              <w:rPr>
                <w:rFonts w:ascii="Times New Roman" w:eastAsia="Times New Roman" w:hAnsi="Times New Roman" w:cs="Times New Roman"/>
                <w:b/>
                <w:bCs/>
                <w:color w:val="000000"/>
                <w:sz w:val="24"/>
                <w:szCs w:val="24"/>
                <w:lang w:eastAsia="fr-FR"/>
              </w:rPr>
              <w:t>2024</w:t>
            </w:r>
          </w:p>
        </w:tc>
      </w:tr>
      <w:tr w:rsidR="00B152F2" w:rsidRPr="00B152F2" w14:paraId="1A2E8A3C" w14:textId="77777777" w:rsidTr="00B152F2">
        <w:trPr>
          <w:trHeight w:val="330"/>
          <w:jc w:val="center"/>
        </w:trPr>
        <w:tc>
          <w:tcPr>
            <w:tcW w:w="2443" w:type="dxa"/>
            <w:vMerge/>
            <w:noWrap/>
            <w:hideMark/>
          </w:tcPr>
          <w:p w14:paraId="6F4EF8DF" w14:textId="36687785" w:rsidR="00B152F2" w:rsidRPr="00B152F2" w:rsidRDefault="00B152F2" w:rsidP="00B152F2">
            <w:pPr>
              <w:rPr>
                <w:rFonts w:ascii="Times New Roman" w:eastAsia="Times New Roman" w:hAnsi="Times New Roman" w:cs="Times New Roman"/>
                <w:b/>
                <w:bCs/>
                <w:color w:val="000000"/>
                <w:sz w:val="24"/>
                <w:szCs w:val="24"/>
                <w:lang w:eastAsia="fr-FR"/>
              </w:rPr>
            </w:pPr>
          </w:p>
        </w:tc>
        <w:tc>
          <w:tcPr>
            <w:tcW w:w="756" w:type="dxa"/>
            <w:noWrap/>
            <w:hideMark/>
          </w:tcPr>
          <w:p w14:paraId="43AE6458"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Km²</w:t>
            </w:r>
          </w:p>
        </w:tc>
        <w:tc>
          <w:tcPr>
            <w:tcW w:w="851" w:type="dxa"/>
            <w:noWrap/>
            <w:hideMark/>
          </w:tcPr>
          <w:p w14:paraId="144C5C03"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w:t>
            </w:r>
          </w:p>
        </w:tc>
        <w:tc>
          <w:tcPr>
            <w:tcW w:w="850" w:type="dxa"/>
            <w:noWrap/>
            <w:hideMark/>
          </w:tcPr>
          <w:p w14:paraId="5072A2F9"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Km²</w:t>
            </w:r>
          </w:p>
        </w:tc>
        <w:tc>
          <w:tcPr>
            <w:tcW w:w="851" w:type="dxa"/>
            <w:noWrap/>
            <w:hideMark/>
          </w:tcPr>
          <w:p w14:paraId="58E31A06"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w:t>
            </w:r>
          </w:p>
        </w:tc>
        <w:tc>
          <w:tcPr>
            <w:tcW w:w="845" w:type="dxa"/>
            <w:noWrap/>
            <w:hideMark/>
          </w:tcPr>
          <w:p w14:paraId="1B6A43C7"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Km²</w:t>
            </w:r>
          </w:p>
        </w:tc>
        <w:tc>
          <w:tcPr>
            <w:tcW w:w="856" w:type="dxa"/>
            <w:noWrap/>
            <w:hideMark/>
          </w:tcPr>
          <w:p w14:paraId="56B6FCD6"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w:t>
            </w:r>
          </w:p>
        </w:tc>
        <w:tc>
          <w:tcPr>
            <w:tcW w:w="850" w:type="dxa"/>
            <w:noWrap/>
            <w:hideMark/>
          </w:tcPr>
          <w:p w14:paraId="450E8BE3"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Km²</w:t>
            </w:r>
          </w:p>
        </w:tc>
        <w:tc>
          <w:tcPr>
            <w:tcW w:w="845" w:type="dxa"/>
            <w:noWrap/>
            <w:hideMark/>
          </w:tcPr>
          <w:p w14:paraId="5A195DC1"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w:t>
            </w:r>
          </w:p>
        </w:tc>
      </w:tr>
      <w:tr w:rsidR="00B152F2" w:rsidRPr="00B152F2" w14:paraId="60F3EB5D" w14:textId="77777777" w:rsidTr="00B152F2">
        <w:trPr>
          <w:trHeight w:val="315"/>
          <w:jc w:val="center"/>
        </w:trPr>
        <w:tc>
          <w:tcPr>
            <w:tcW w:w="2443" w:type="dxa"/>
            <w:noWrap/>
            <w:hideMark/>
          </w:tcPr>
          <w:p w14:paraId="0679E077" w14:textId="3081F7A7" w:rsidR="00B152F2" w:rsidRPr="00B152F2" w:rsidRDefault="001F51C2" w:rsidP="00B152F2">
            <w:pPr>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water</w:t>
            </w:r>
          </w:p>
        </w:tc>
        <w:tc>
          <w:tcPr>
            <w:tcW w:w="756" w:type="dxa"/>
            <w:noWrap/>
            <w:hideMark/>
          </w:tcPr>
          <w:p w14:paraId="0CA4DF58" w14:textId="0F9BA6CF"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82</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3</w:t>
            </w:r>
          </w:p>
        </w:tc>
        <w:tc>
          <w:tcPr>
            <w:tcW w:w="851" w:type="dxa"/>
            <w:noWrap/>
            <w:hideMark/>
          </w:tcPr>
          <w:p w14:paraId="2C18E998" w14:textId="7C89279A"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62</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49</w:t>
            </w:r>
          </w:p>
        </w:tc>
        <w:tc>
          <w:tcPr>
            <w:tcW w:w="850" w:type="dxa"/>
            <w:noWrap/>
            <w:hideMark/>
          </w:tcPr>
          <w:p w14:paraId="52C62FA7" w14:textId="74166CC2"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82</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1</w:t>
            </w:r>
          </w:p>
        </w:tc>
        <w:tc>
          <w:tcPr>
            <w:tcW w:w="851" w:type="dxa"/>
            <w:noWrap/>
            <w:hideMark/>
          </w:tcPr>
          <w:p w14:paraId="181F05CB" w14:textId="7B92877F"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62</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34</w:t>
            </w:r>
          </w:p>
        </w:tc>
        <w:tc>
          <w:tcPr>
            <w:tcW w:w="845" w:type="dxa"/>
            <w:noWrap/>
            <w:hideMark/>
          </w:tcPr>
          <w:p w14:paraId="792DF457" w14:textId="23EB9F0C"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80</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7</w:t>
            </w:r>
          </w:p>
        </w:tc>
        <w:tc>
          <w:tcPr>
            <w:tcW w:w="856" w:type="dxa"/>
            <w:noWrap/>
            <w:hideMark/>
          </w:tcPr>
          <w:p w14:paraId="7303A543" w14:textId="616B695E"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61</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28</w:t>
            </w:r>
          </w:p>
        </w:tc>
        <w:tc>
          <w:tcPr>
            <w:tcW w:w="850" w:type="dxa"/>
            <w:noWrap/>
            <w:hideMark/>
          </w:tcPr>
          <w:p w14:paraId="6DE7FEB0"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87</w:t>
            </w:r>
          </w:p>
        </w:tc>
        <w:tc>
          <w:tcPr>
            <w:tcW w:w="845" w:type="dxa"/>
            <w:noWrap/>
            <w:hideMark/>
          </w:tcPr>
          <w:p w14:paraId="78228FCF" w14:textId="16414936"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66</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06</w:t>
            </w:r>
          </w:p>
        </w:tc>
      </w:tr>
      <w:tr w:rsidR="00B152F2" w:rsidRPr="00B152F2" w14:paraId="4DAFFFA5" w14:textId="77777777" w:rsidTr="00B152F2">
        <w:trPr>
          <w:trHeight w:val="315"/>
          <w:jc w:val="center"/>
        </w:trPr>
        <w:tc>
          <w:tcPr>
            <w:tcW w:w="2443" w:type="dxa"/>
            <w:noWrap/>
            <w:hideMark/>
          </w:tcPr>
          <w:p w14:paraId="08992FAC" w14:textId="0F61316B" w:rsidR="00B152F2" w:rsidRPr="00B152F2" w:rsidRDefault="001F51C2" w:rsidP="00B152F2">
            <w:pPr>
              <w:rPr>
                <w:rFonts w:ascii="Times New Roman" w:eastAsia="Times New Roman" w:hAnsi="Times New Roman" w:cs="Times New Roman"/>
                <w:b/>
                <w:bCs/>
                <w:color w:val="000000"/>
                <w:sz w:val="24"/>
                <w:szCs w:val="24"/>
                <w:lang w:eastAsia="fr-FR"/>
              </w:rPr>
            </w:pPr>
            <w:proofErr w:type="spellStart"/>
            <w:r>
              <w:rPr>
                <w:rFonts w:ascii="Times New Roman" w:eastAsia="Times New Roman" w:hAnsi="Times New Roman" w:cs="Times New Roman"/>
                <w:b/>
                <w:bCs/>
                <w:color w:val="000000"/>
                <w:sz w:val="24"/>
                <w:szCs w:val="24"/>
                <w:lang w:eastAsia="fr-FR"/>
              </w:rPr>
              <w:t>Vege</w:t>
            </w:r>
            <w:r w:rsidR="00B152F2" w:rsidRPr="00B152F2">
              <w:rPr>
                <w:rFonts w:ascii="Times New Roman" w:eastAsia="Times New Roman" w:hAnsi="Times New Roman" w:cs="Times New Roman"/>
                <w:b/>
                <w:bCs/>
                <w:color w:val="000000"/>
                <w:sz w:val="24"/>
                <w:szCs w:val="24"/>
                <w:lang w:eastAsia="fr-FR"/>
              </w:rPr>
              <w:t>tation</w:t>
            </w:r>
            <w:proofErr w:type="spellEnd"/>
          </w:p>
        </w:tc>
        <w:tc>
          <w:tcPr>
            <w:tcW w:w="756" w:type="dxa"/>
            <w:noWrap/>
            <w:hideMark/>
          </w:tcPr>
          <w:p w14:paraId="77C687A3" w14:textId="2D3D5F7E"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26</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5</w:t>
            </w:r>
          </w:p>
        </w:tc>
        <w:tc>
          <w:tcPr>
            <w:tcW w:w="851" w:type="dxa"/>
            <w:noWrap/>
            <w:hideMark/>
          </w:tcPr>
          <w:p w14:paraId="164E7439" w14:textId="5EB4B63E"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20</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12</w:t>
            </w:r>
          </w:p>
        </w:tc>
        <w:tc>
          <w:tcPr>
            <w:tcW w:w="850" w:type="dxa"/>
            <w:noWrap/>
            <w:hideMark/>
          </w:tcPr>
          <w:p w14:paraId="5ACD79DC" w14:textId="4ED817C3"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23</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7</w:t>
            </w:r>
          </w:p>
        </w:tc>
        <w:tc>
          <w:tcPr>
            <w:tcW w:w="851" w:type="dxa"/>
            <w:noWrap/>
            <w:hideMark/>
          </w:tcPr>
          <w:p w14:paraId="17C8CDE2" w14:textId="53B4A761"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18</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00</w:t>
            </w:r>
          </w:p>
        </w:tc>
        <w:tc>
          <w:tcPr>
            <w:tcW w:w="845" w:type="dxa"/>
            <w:noWrap/>
            <w:hideMark/>
          </w:tcPr>
          <w:p w14:paraId="0D8F0C3B" w14:textId="378BD348"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23</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9</w:t>
            </w:r>
          </w:p>
        </w:tc>
        <w:tc>
          <w:tcPr>
            <w:tcW w:w="856" w:type="dxa"/>
            <w:noWrap/>
            <w:hideMark/>
          </w:tcPr>
          <w:p w14:paraId="43D4DE98" w14:textId="3796C0D0"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18</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15</w:t>
            </w:r>
          </w:p>
        </w:tc>
        <w:tc>
          <w:tcPr>
            <w:tcW w:w="850" w:type="dxa"/>
            <w:noWrap/>
            <w:hideMark/>
          </w:tcPr>
          <w:p w14:paraId="586C38AC"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16</w:t>
            </w:r>
          </w:p>
        </w:tc>
        <w:tc>
          <w:tcPr>
            <w:tcW w:w="845" w:type="dxa"/>
            <w:noWrap/>
            <w:hideMark/>
          </w:tcPr>
          <w:p w14:paraId="4AC6F4F4" w14:textId="321D674D"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12</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15</w:t>
            </w:r>
          </w:p>
        </w:tc>
      </w:tr>
      <w:tr w:rsidR="00B152F2" w:rsidRPr="00B152F2" w14:paraId="56F8D1FE" w14:textId="77777777" w:rsidTr="00B152F2">
        <w:trPr>
          <w:trHeight w:val="315"/>
          <w:jc w:val="center"/>
        </w:trPr>
        <w:tc>
          <w:tcPr>
            <w:tcW w:w="2443" w:type="dxa"/>
            <w:noWrap/>
            <w:hideMark/>
          </w:tcPr>
          <w:p w14:paraId="73EF2FF6" w14:textId="58413346" w:rsidR="00B152F2" w:rsidRPr="00B152F2" w:rsidRDefault="001F51C2" w:rsidP="00B152F2">
            <w:pPr>
              <w:rPr>
                <w:rFonts w:ascii="Times New Roman" w:eastAsia="Times New Roman" w:hAnsi="Times New Roman" w:cs="Times New Roman"/>
                <w:b/>
                <w:bCs/>
                <w:color w:val="000000"/>
                <w:sz w:val="24"/>
                <w:szCs w:val="24"/>
                <w:lang w:eastAsia="fr-FR"/>
              </w:rPr>
            </w:pPr>
            <w:proofErr w:type="spellStart"/>
            <w:r>
              <w:rPr>
                <w:rFonts w:ascii="Times New Roman" w:eastAsia="Times New Roman" w:hAnsi="Times New Roman" w:cs="Times New Roman"/>
                <w:b/>
                <w:bCs/>
                <w:color w:val="000000"/>
                <w:sz w:val="24"/>
                <w:szCs w:val="24"/>
                <w:lang w:eastAsia="fr-FR"/>
              </w:rPr>
              <w:t>Urban</w:t>
            </w:r>
            <w:proofErr w:type="spellEnd"/>
            <w:r>
              <w:rPr>
                <w:rFonts w:ascii="Times New Roman" w:eastAsia="Times New Roman" w:hAnsi="Times New Roman" w:cs="Times New Roman"/>
                <w:b/>
                <w:bCs/>
                <w:color w:val="000000"/>
                <w:sz w:val="24"/>
                <w:szCs w:val="24"/>
                <w:lang w:eastAsia="fr-FR"/>
              </w:rPr>
              <w:t>/</w:t>
            </w:r>
            <w:proofErr w:type="spellStart"/>
            <w:r>
              <w:rPr>
                <w:rFonts w:ascii="Times New Roman" w:eastAsia="Times New Roman" w:hAnsi="Times New Roman" w:cs="Times New Roman"/>
                <w:b/>
                <w:bCs/>
                <w:color w:val="000000"/>
                <w:sz w:val="24"/>
                <w:szCs w:val="24"/>
                <w:lang w:eastAsia="fr-FR"/>
              </w:rPr>
              <w:t>built</w:t>
            </w:r>
            <w:proofErr w:type="spellEnd"/>
            <w:r>
              <w:rPr>
                <w:rFonts w:ascii="Times New Roman" w:eastAsia="Times New Roman" w:hAnsi="Times New Roman" w:cs="Times New Roman"/>
                <w:b/>
                <w:bCs/>
                <w:color w:val="000000"/>
                <w:sz w:val="24"/>
                <w:szCs w:val="24"/>
                <w:lang w:eastAsia="fr-FR"/>
              </w:rPr>
              <w:t>-up land</w:t>
            </w:r>
            <w:r w:rsidR="00B152F2" w:rsidRPr="00B152F2">
              <w:rPr>
                <w:rFonts w:ascii="Times New Roman" w:eastAsia="Times New Roman" w:hAnsi="Times New Roman" w:cs="Times New Roman"/>
                <w:b/>
                <w:bCs/>
                <w:color w:val="000000"/>
                <w:sz w:val="24"/>
                <w:szCs w:val="24"/>
                <w:lang w:eastAsia="fr-FR"/>
              </w:rPr>
              <w:t xml:space="preserve"> </w:t>
            </w:r>
          </w:p>
        </w:tc>
        <w:tc>
          <w:tcPr>
            <w:tcW w:w="756" w:type="dxa"/>
            <w:noWrap/>
            <w:hideMark/>
          </w:tcPr>
          <w:p w14:paraId="3A0FD419" w14:textId="76962D5B"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21</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7</w:t>
            </w:r>
          </w:p>
        </w:tc>
        <w:tc>
          <w:tcPr>
            <w:tcW w:w="851" w:type="dxa"/>
            <w:noWrap/>
            <w:hideMark/>
          </w:tcPr>
          <w:p w14:paraId="0C4893EF" w14:textId="744C7CC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16</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48</w:t>
            </w:r>
          </w:p>
        </w:tc>
        <w:tc>
          <w:tcPr>
            <w:tcW w:w="850" w:type="dxa"/>
            <w:noWrap/>
            <w:hideMark/>
          </w:tcPr>
          <w:p w14:paraId="575FEAED" w14:textId="1CC4AA4E"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25</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5</w:t>
            </w:r>
          </w:p>
        </w:tc>
        <w:tc>
          <w:tcPr>
            <w:tcW w:w="851" w:type="dxa"/>
            <w:noWrap/>
            <w:hideMark/>
          </w:tcPr>
          <w:p w14:paraId="15C45B4B" w14:textId="31F873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19</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36</w:t>
            </w:r>
          </w:p>
        </w:tc>
        <w:tc>
          <w:tcPr>
            <w:tcW w:w="845" w:type="dxa"/>
            <w:noWrap/>
            <w:hideMark/>
          </w:tcPr>
          <w:p w14:paraId="28EF13E1" w14:textId="77BB52A2"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26</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6</w:t>
            </w:r>
          </w:p>
        </w:tc>
        <w:tc>
          <w:tcPr>
            <w:tcW w:w="856" w:type="dxa"/>
            <w:noWrap/>
            <w:hideMark/>
          </w:tcPr>
          <w:p w14:paraId="76DA6B16" w14:textId="79A1D032"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20</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20</w:t>
            </w:r>
          </w:p>
        </w:tc>
        <w:tc>
          <w:tcPr>
            <w:tcW w:w="850" w:type="dxa"/>
            <w:noWrap/>
            <w:hideMark/>
          </w:tcPr>
          <w:p w14:paraId="344B2EB8" w14:textId="24894A8D"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25</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7</w:t>
            </w:r>
          </w:p>
        </w:tc>
        <w:tc>
          <w:tcPr>
            <w:tcW w:w="845" w:type="dxa"/>
            <w:noWrap/>
            <w:hideMark/>
          </w:tcPr>
          <w:p w14:paraId="434C08C2" w14:textId="42FCA1A6"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19</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51</w:t>
            </w:r>
          </w:p>
        </w:tc>
      </w:tr>
      <w:tr w:rsidR="00B152F2" w:rsidRPr="00B152F2" w14:paraId="6D303C05" w14:textId="77777777" w:rsidTr="00B152F2">
        <w:trPr>
          <w:trHeight w:val="315"/>
          <w:jc w:val="center"/>
        </w:trPr>
        <w:tc>
          <w:tcPr>
            <w:tcW w:w="2443" w:type="dxa"/>
            <w:noWrap/>
            <w:hideMark/>
          </w:tcPr>
          <w:p w14:paraId="229CDD1C" w14:textId="011E43C7" w:rsidR="00B152F2" w:rsidRPr="00B152F2" w:rsidRDefault="001F51C2" w:rsidP="00B152F2">
            <w:pPr>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Barren land surfaces</w:t>
            </w:r>
            <w:r w:rsidR="00B152F2" w:rsidRPr="00B152F2">
              <w:rPr>
                <w:rFonts w:ascii="Times New Roman" w:eastAsia="Times New Roman" w:hAnsi="Times New Roman" w:cs="Times New Roman"/>
                <w:b/>
                <w:bCs/>
                <w:color w:val="000000"/>
                <w:sz w:val="24"/>
                <w:szCs w:val="24"/>
                <w:lang w:eastAsia="fr-FR"/>
              </w:rPr>
              <w:t xml:space="preserve"> </w:t>
            </w:r>
          </w:p>
        </w:tc>
        <w:tc>
          <w:tcPr>
            <w:tcW w:w="756" w:type="dxa"/>
            <w:noWrap/>
            <w:hideMark/>
          </w:tcPr>
          <w:p w14:paraId="76DB3ADC" w14:textId="4B583B16"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2</w:t>
            </w:r>
          </w:p>
        </w:tc>
        <w:tc>
          <w:tcPr>
            <w:tcW w:w="851" w:type="dxa"/>
            <w:noWrap/>
            <w:hideMark/>
          </w:tcPr>
          <w:p w14:paraId="536DF2E5" w14:textId="2903E288"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91</w:t>
            </w:r>
          </w:p>
        </w:tc>
        <w:tc>
          <w:tcPr>
            <w:tcW w:w="850" w:type="dxa"/>
            <w:noWrap/>
            <w:hideMark/>
          </w:tcPr>
          <w:p w14:paraId="3C0C2777" w14:textId="12BA7B9E"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4</w:t>
            </w:r>
          </w:p>
        </w:tc>
        <w:tc>
          <w:tcPr>
            <w:tcW w:w="851" w:type="dxa"/>
            <w:noWrap/>
            <w:hideMark/>
          </w:tcPr>
          <w:p w14:paraId="3952C5C4" w14:textId="03B0D81F"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30</w:t>
            </w:r>
          </w:p>
        </w:tc>
        <w:tc>
          <w:tcPr>
            <w:tcW w:w="845" w:type="dxa"/>
            <w:noWrap/>
            <w:hideMark/>
          </w:tcPr>
          <w:p w14:paraId="3779B942" w14:textId="1F2887BC"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5</w:t>
            </w:r>
          </w:p>
        </w:tc>
        <w:tc>
          <w:tcPr>
            <w:tcW w:w="856" w:type="dxa"/>
            <w:noWrap/>
            <w:hideMark/>
          </w:tcPr>
          <w:p w14:paraId="53C4F6A3" w14:textId="262FF8E1"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38</w:t>
            </w:r>
          </w:p>
        </w:tc>
        <w:tc>
          <w:tcPr>
            <w:tcW w:w="850" w:type="dxa"/>
            <w:noWrap/>
            <w:hideMark/>
          </w:tcPr>
          <w:p w14:paraId="4636A700"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3</w:t>
            </w:r>
          </w:p>
        </w:tc>
        <w:tc>
          <w:tcPr>
            <w:tcW w:w="845" w:type="dxa"/>
            <w:noWrap/>
            <w:hideMark/>
          </w:tcPr>
          <w:p w14:paraId="39B19865" w14:textId="4EE5CC03"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28</w:t>
            </w:r>
          </w:p>
        </w:tc>
      </w:tr>
      <w:tr w:rsidR="00B152F2" w:rsidRPr="00B152F2" w14:paraId="6B246027" w14:textId="77777777" w:rsidTr="00B152F2">
        <w:trPr>
          <w:trHeight w:val="315"/>
          <w:jc w:val="center"/>
        </w:trPr>
        <w:tc>
          <w:tcPr>
            <w:tcW w:w="2443" w:type="dxa"/>
            <w:noWrap/>
            <w:hideMark/>
          </w:tcPr>
          <w:p w14:paraId="6E7B8A25" w14:textId="77777777" w:rsidR="00B152F2" w:rsidRPr="00B152F2" w:rsidRDefault="00B152F2" w:rsidP="00B152F2">
            <w:pPr>
              <w:rPr>
                <w:rFonts w:ascii="Times New Roman" w:eastAsia="Times New Roman" w:hAnsi="Times New Roman" w:cs="Times New Roman"/>
                <w:b/>
                <w:bCs/>
                <w:color w:val="000000"/>
                <w:sz w:val="24"/>
                <w:szCs w:val="24"/>
                <w:lang w:eastAsia="fr-FR"/>
              </w:rPr>
            </w:pPr>
            <w:r w:rsidRPr="00B152F2">
              <w:rPr>
                <w:rFonts w:ascii="Times New Roman" w:eastAsia="Times New Roman" w:hAnsi="Times New Roman" w:cs="Times New Roman"/>
                <w:b/>
                <w:bCs/>
                <w:color w:val="000000"/>
                <w:sz w:val="24"/>
                <w:szCs w:val="24"/>
                <w:lang w:eastAsia="fr-FR"/>
              </w:rPr>
              <w:t>Total</w:t>
            </w:r>
          </w:p>
        </w:tc>
        <w:tc>
          <w:tcPr>
            <w:tcW w:w="756" w:type="dxa"/>
            <w:noWrap/>
            <w:hideMark/>
          </w:tcPr>
          <w:p w14:paraId="146F90B9" w14:textId="35874D72"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131</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7</w:t>
            </w:r>
          </w:p>
        </w:tc>
        <w:tc>
          <w:tcPr>
            <w:tcW w:w="851" w:type="dxa"/>
            <w:noWrap/>
            <w:hideMark/>
          </w:tcPr>
          <w:p w14:paraId="170FD69C"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100</w:t>
            </w:r>
          </w:p>
        </w:tc>
        <w:tc>
          <w:tcPr>
            <w:tcW w:w="850" w:type="dxa"/>
            <w:noWrap/>
            <w:hideMark/>
          </w:tcPr>
          <w:p w14:paraId="55A8EA80" w14:textId="42ECA9A6"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131</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7</w:t>
            </w:r>
          </w:p>
        </w:tc>
        <w:tc>
          <w:tcPr>
            <w:tcW w:w="851" w:type="dxa"/>
            <w:noWrap/>
            <w:hideMark/>
          </w:tcPr>
          <w:p w14:paraId="4C390372"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100</w:t>
            </w:r>
          </w:p>
        </w:tc>
        <w:tc>
          <w:tcPr>
            <w:tcW w:w="845" w:type="dxa"/>
            <w:noWrap/>
            <w:hideMark/>
          </w:tcPr>
          <w:p w14:paraId="4246092D" w14:textId="6E5D1013"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131</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7</w:t>
            </w:r>
          </w:p>
        </w:tc>
        <w:tc>
          <w:tcPr>
            <w:tcW w:w="856" w:type="dxa"/>
            <w:noWrap/>
            <w:hideMark/>
          </w:tcPr>
          <w:p w14:paraId="13DAD83F"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100</w:t>
            </w:r>
          </w:p>
        </w:tc>
        <w:tc>
          <w:tcPr>
            <w:tcW w:w="850" w:type="dxa"/>
            <w:noWrap/>
            <w:hideMark/>
          </w:tcPr>
          <w:p w14:paraId="4DA694A5" w14:textId="1401988B"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131</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7</w:t>
            </w:r>
          </w:p>
        </w:tc>
        <w:tc>
          <w:tcPr>
            <w:tcW w:w="845" w:type="dxa"/>
            <w:noWrap/>
            <w:hideMark/>
          </w:tcPr>
          <w:p w14:paraId="0AA15AC8"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100</w:t>
            </w:r>
          </w:p>
        </w:tc>
      </w:tr>
    </w:tbl>
    <w:p w14:paraId="19E664A0" w14:textId="3D5DDF8D" w:rsidR="001606FB" w:rsidRPr="00B152F2" w:rsidRDefault="001606FB" w:rsidP="005424C8">
      <w:pPr>
        <w:tabs>
          <w:tab w:val="left" w:pos="3630"/>
        </w:tabs>
        <w:spacing w:before="240" w:after="0" w:line="360" w:lineRule="auto"/>
        <w:jc w:val="both"/>
        <w:rPr>
          <w:rFonts w:ascii="Times New Roman" w:hAnsi="Times New Roman" w:cs="Times New Roman"/>
          <w:b/>
          <w:sz w:val="24"/>
          <w:szCs w:val="24"/>
          <w:lang w:val="en-US"/>
        </w:rPr>
      </w:pPr>
      <w:r w:rsidRPr="00B152F2">
        <w:rPr>
          <w:rFonts w:ascii="Times New Roman" w:hAnsi="Times New Roman" w:cs="Times New Roman"/>
          <w:b/>
          <w:sz w:val="24"/>
          <w:szCs w:val="24"/>
          <w:lang w:val="en-US"/>
        </w:rPr>
        <w:t>3.2. Quantitative LULC Transitions and Environmental Risk Assessment</w:t>
      </w:r>
    </w:p>
    <w:p w14:paraId="36AF0F9D" w14:textId="77777777" w:rsidR="001F45E6" w:rsidRPr="001F45E6" w:rsidRDefault="001F45E6" w:rsidP="005424C8">
      <w:pPr>
        <w:pStyle w:val="NormalWeb"/>
        <w:spacing w:after="0" w:afterAutospacing="0" w:line="360" w:lineRule="auto"/>
        <w:jc w:val="both"/>
        <w:rPr>
          <w:lang w:val="en-US"/>
        </w:rPr>
      </w:pPr>
      <w:r w:rsidRPr="001F45E6">
        <w:rPr>
          <w:lang w:val="en-US"/>
        </w:rPr>
        <w:t>The multi-temporal analysis of Land Use/Land Cover (LULC) change</w:t>
      </w:r>
      <w:r w:rsidR="00A2282A">
        <w:rPr>
          <w:lang w:val="en-US"/>
        </w:rPr>
        <w:t>s between 1990 and 2024 (Table 1</w:t>
      </w:r>
      <w:r w:rsidRPr="001F45E6">
        <w:rPr>
          <w:lang w:val="en-US"/>
        </w:rPr>
        <w:t xml:space="preserve">) highlights a profound transformation of </w:t>
      </w:r>
      <w:proofErr w:type="spellStart"/>
      <w:r w:rsidRPr="001F45E6">
        <w:rPr>
          <w:lang w:val="en-US"/>
        </w:rPr>
        <w:t>Uvira’s</w:t>
      </w:r>
      <w:proofErr w:type="spellEnd"/>
      <w:r w:rsidRPr="001F45E6">
        <w:rPr>
          <w:lang w:val="en-US"/>
        </w:rPr>
        <w:t xml:space="preserve"> landscape, characterized by a 39.6% net reduction in vegetation cover, from 26.5 km² to 16 km². This trend reflects an aggressive process of urban encroachment, in which natural buffer zones have been progressively replaced by impervious surfaces and degraded soils, a pattern widely documented in rapidly urbanizing regions </w:t>
      </w:r>
      <w:r w:rsidR="008C0611">
        <w:rPr>
          <w:lang w:val="en-US"/>
        </w:rPr>
        <w:fldChar w:fldCharType="begin"/>
      </w:r>
      <w:r w:rsidR="00EC47E9">
        <w:rPr>
          <w:lang w:val="en-US"/>
        </w:rPr>
        <w:instrText xml:space="preserve"> ADDIN ZOTERO_ITEM CSL_CITATION {"citationID":"uafwT7Wp","properties":{"formattedCitation":"(Lambin &amp; Meyfroidt, 2011a)","plainCitation":"(Lambin &amp; Meyfroidt, 2011a)","noteIndex":0},"citationItems":[{"id":511,"uris":["http://zotero.org/users/13682081/items/C3UHGMFK"],"itemData":{"id":511,"type":"article-journal","abstract":"A central challenge for sustainability is how to preserve forest ecosystems and the services that they provide us while enhancing food production. This challenge for developing countries confronts the force of economic globalization, which seeks cropland that is shrinking in availability and triggers deforestation. Four mechanisms—the displacement, rebound, cascade, and remittance effects—that are amplified by economic globalization accelerate land conversion. A few developing countries have managed a land use transition over the recent decades that simultaneously increased their forest cover and agricultural production. These countries have relied on various mixes of agricultural intensification, land use zoning, forest protection, increased reliance on imported food and wood products, the creation of off-farm jobs, foreign capital investments, and remittances. Sound policies and innovations can therefore reconcile forest preservation with food production. Globalization can be harnessed to increase land use efficiency rather than leading to uncontrolled land use expansion. To do so, land systems should be understood and modeled as open systems with large flows of goods, people, and capital that connect local land use with global-scale factors.","container-title":"Proceedings of the National Academy of Sciences","DOI":"10.1073/pnas.1100480108","ISSN":"0027-8424, 1091-6490","issue":"9","journalAbbreviation":"Proc. Natl. Acad. Sci. U.S.A.","language":"en","page":"3465-3472","source":"DOI.org (Crossref)","title":"Global land use change, economic globalization, and the looming land scarcity","URL":"https://pnas.org/doi/full/10.1073/pnas.1100480108","volume":"108","author":[{"family":"Lambin","given":"Eric F."},{"family":"Meyfroidt","given":"Patrick"}],"accessed":{"date-parts":[["2026",1,4]]},"issued":{"date-parts":[["2011",3]]}}}],"schema":"https://github.com/citation-style-language/schema/raw/master/csl-citation.json"} </w:instrText>
      </w:r>
      <w:r w:rsidR="008C0611">
        <w:rPr>
          <w:lang w:val="en-US"/>
        </w:rPr>
        <w:fldChar w:fldCharType="separate"/>
      </w:r>
      <w:r w:rsidR="00EC47E9" w:rsidRPr="00EC47E9">
        <w:rPr>
          <w:lang w:val="en-US"/>
        </w:rPr>
        <w:t>(Lambin &amp; Meyfroidt, 2011a)</w:t>
      </w:r>
      <w:r w:rsidR="008C0611">
        <w:rPr>
          <w:lang w:val="en-US"/>
        </w:rPr>
        <w:fldChar w:fldCharType="end"/>
      </w:r>
      <w:r w:rsidR="008C0611">
        <w:rPr>
          <w:lang w:val="en-US"/>
        </w:rPr>
        <w:t xml:space="preserve">. </w:t>
      </w:r>
      <w:r w:rsidRPr="001F45E6">
        <w:rPr>
          <w:lang w:val="en-US"/>
        </w:rPr>
        <w:t>The observed decline in vegetated areas suggests a systematic erosion of ecological functions that are critical for hydrological regulation and soil stabilization.</w:t>
      </w:r>
    </w:p>
    <w:p w14:paraId="2C004AA5" w14:textId="61C1425F" w:rsidR="005424C8" w:rsidRDefault="001F45E6" w:rsidP="001F45E6">
      <w:pPr>
        <w:pStyle w:val="NormalWeb"/>
        <w:spacing w:line="360" w:lineRule="auto"/>
        <w:jc w:val="both"/>
        <w:rPr>
          <w:lang w:val="en-US"/>
        </w:rPr>
      </w:pPr>
      <w:r w:rsidRPr="001F45E6">
        <w:rPr>
          <w:lang w:val="en-US"/>
        </w:rPr>
        <w:t xml:space="preserve">A particularly critical finding is the </w:t>
      </w:r>
      <w:proofErr w:type="spellStart"/>
      <w:r w:rsidRPr="001F45E6">
        <w:rPr>
          <w:lang w:val="en-US"/>
        </w:rPr>
        <w:t>sixfold</w:t>
      </w:r>
      <w:proofErr w:type="spellEnd"/>
      <w:r w:rsidRPr="001F45E6">
        <w:rPr>
          <w:lang w:val="en-US"/>
        </w:rPr>
        <w:t xml:space="preserve"> increase in uncovered zones (bare soils) between 2010 and 2024, expanding from 0.5 km² to 3 km². </w:t>
      </w:r>
      <w:r w:rsidRPr="00E26D7A">
        <w:rPr>
          <w:lang w:val="en-US"/>
        </w:rPr>
        <w:t xml:space="preserve">This sharp rise indicates a substantial loss of soil-protective vegetation and root systems, which play a key role in controlling erosion and limiting surface runoff. In parallel, water surface areas increased by 7.8% during the same period, from 80.7 km² to 87 km², providing a quantitative proxy for the spatial expansion of flood-prone zones and the permanent inundation of low-lying coastal areas. This pattern is consistent with the concept of “coastal squeeze,” whereby unplanned urbanization combined with fluctuating water levels progressively eliminates natural flood-mitigation zones </w:t>
      </w:r>
      <w:r w:rsidR="00FE30BF">
        <w:rPr>
          <w:lang w:val="en-US"/>
        </w:rPr>
        <w:fldChar w:fldCharType="begin"/>
      </w:r>
      <w:r w:rsidR="00FE30BF">
        <w:rPr>
          <w:lang w:val="en-US"/>
        </w:rPr>
        <w:instrText xml:space="preserve"> ADDIN ZOTERO_ITEM CSL_CITATION {"citationID":"dDwuTSB0","properties":{"formattedCitation":"(Doody, 2004)","plainCitation":"(Doody, 2004)","noteIndex":0},"citationItems":[{"id":471,"uris":["http://zotero.org/users/13682081/items/A7ATCCIF"],"itemData":{"id":471,"type":"article-journal","container-title":"Journal of Coastal Conservation","DOI":"10.1652/1400-0350(2004)010[0129:CSAHP]2.0.CO;2","ISSN":"1400-0350","issue":"1","journalAbbreviation":"J Coast Conserv","language":"en","page":"129","source":"DOI.org (Crossref)","title":"‘Coastal squeeze’ – an historical perspective","URL":"http://link.springer.com/10.1652/1400-0350(2004)010[0129:CSAHP]2.0.CO;2","volume":"10","author":[{"family":"Doody","given":"J. Pat"}],"accessed":{"date-parts":[["2026",1,4]]},"issued":{"date-parts":[["2004"]]}}}],"schema":"https://github.com/citation-style-language/schema/raw/master/csl-citation.json"} </w:instrText>
      </w:r>
      <w:r w:rsidR="00FE30BF">
        <w:rPr>
          <w:lang w:val="en-US"/>
        </w:rPr>
        <w:fldChar w:fldCharType="separate"/>
      </w:r>
      <w:r w:rsidR="00FE30BF" w:rsidRPr="00FE30BF">
        <w:rPr>
          <w:lang w:val="en-US"/>
        </w:rPr>
        <w:t>(Doody, 2004)</w:t>
      </w:r>
      <w:r w:rsidR="00FE30BF">
        <w:rPr>
          <w:lang w:val="en-US"/>
        </w:rPr>
        <w:fldChar w:fldCharType="end"/>
      </w:r>
      <w:r w:rsidRPr="00E26D7A">
        <w:rPr>
          <w:lang w:val="en-US"/>
        </w:rPr>
        <w:t xml:space="preserve">. The strong correspondence between vegetation loss and water surface expansion confirms that the degradation of natural capital has significantly increased runoff coefficients, thereby transforming seasonal hydrological flows into destructive flood events, as previously reported in similar contexts </w:t>
      </w:r>
      <w:r w:rsidR="00FE30BF">
        <w:rPr>
          <w:lang w:val="en-US"/>
        </w:rPr>
        <w:fldChar w:fldCharType="begin"/>
      </w:r>
      <w:r w:rsidR="00FE30BF">
        <w:rPr>
          <w:lang w:val="en-US"/>
        </w:rPr>
        <w:instrText xml:space="preserve"> ADDIN ZOTERO_ITEM CSL_CITATION {"citationID":"TqsQnWk0","properties":{"formattedCitation":"(Heri\\uc0\\u8208{}Kazi &amp; Bielders, 2021b)","plainCitation":"(Heri‐Kazi &amp; Bielders, 2021b)","noteIndex":0},"citationItems":[{"id":498,"uris":["http://zotero.org/users/13682081/items/5IB3EGXN"],"itemData":{"id":498,"type":"article-journal","abstract":"Abstract\n            Despite being one of the hotspots for soil erosion in the world, little is known regarding farmer's knowledge of soil erosion in the highlands of South‐Kivu in the Democratic Republic of Congo. A proper understanding of farmers' knowledge regarding soil erosion and conservation measures is a prerequisite for implementing resilient erosion control measures. The objective of this study was therefore to assess farmers' knowledge of soil erosion, to document existing soil and water conservation (SWC) measures and to identify their adoption constraints in the highlands of South‐Kivu. Data were collected using interviews with a semi‐structured questionnaire involving 720 respondents from eight watersheds in four territories. Farmers reported eight main erosion indicators. As opposed to gullies (80% of farmers), rills were perceived as important erosion indicators by only 50% of farmers, desp</w:instrText>
      </w:r>
      <w:r w:rsidR="00FE30BF" w:rsidRPr="00623051">
        <w:rPr>
          <w:lang w:val="en-US"/>
        </w:rPr>
        <w:instrText xml:space="preserve">ite their common occurrence. Farmers were largely unaware of the potential impact of their crops and cropping practices on erosion. Farmers knew about only a limited range of SWC measures, which were perceived to be little to moderately efficient. Furthermore, the average level of adoption was very low (21%). Adoption constraints varied widely depending on the SWC measure. Thus, future interventions need to place much greater emphasis on awareness regarding soil erosion and SWC measures, to strengthen farmers' capacity for experimentation and adaptation to new technologies and finally to create a policy and institutional environment that stimulates widespread adoption of SWC techniques.","container-title":"Land Degradation &amp; Development","DOI":"10.1002/ldr.3755","ISSN":"1085-3278, 1099-145X","issue":"2","journalAbbreviation":"Land Degrad Dev","language":"en","page":"699-713","source":"DOI.org (Crossref)","title":"Erosion and soil and water conservation in &lt;span style=\"font-variant:small-caps;\"&gt;South‐Kivu&lt;/span&gt; (eastern DR Congo): The farmers' view","title-short":"Erosion and soil and water conservation in &lt;span style=\"font-variant","URL":"https://onlinelibrary.wiley.com/doi/10.1002/ldr.3755","volume":"32","author":[{"family":"Heri‐Kazi","given":"Aimé B."},{"family":"Bielders","given":"Charles L."}],"accessed":{"date-parts":[["2026",1,4]]},"issued":{"date-parts":[["2021",1,30]]}}}],"schema":"https://github.com/citation-style-language/schema/raw/master/csl-citation.json"} </w:instrText>
      </w:r>
      <w:r w:rsidR="00FE30BF">
        <w:rPr>
          <w:lang w:val="en-US"/>
        </w:rPr>
        <w:fldChar w:fldCharType="separate"/>
      </w:r>
      <w:r w:rsidR="00FE30BF" w:rsidRPr="00623051">
        <w:rPr>
          <w:lang w:val="en-US"/>
        </w:rPr>
        <w:t>(Heri‐Kazi &amp; Bielders, 2021</w:t>
      </w:r>
      <w:r w:rsidR="00FE30BF">
        <w:rPr>
          <w:lang w:val="en-US"/>
        </w:rPr>
        <w:fldChar w:fldCharType="end"/>
      </w:r>
      <w:r w:rsidR="00FE30BF" w:rsidRPr="00623051">
        <w:rPr>
          <w:lang w:val="en-US"/>
        </w:rPr>
        <w:t>)</w:t>
      </w:r>
      <w:r w:rsidRPr="00623051">
        <w:rPr>
          <w:lang w:val="en-US"/>
        </w:rPr>
        <w:t>.</w:t>
      </w:r>
    </w:p>
    <w:p w14:paraId="6E62776F" w14:textId="77777777" w:rsidR="00910A6C" w:rsidRDefault="00910A6C" w:rsidP="001F45E6">
      <w:pPr>
        <w:pStyle w:val="NormalWeb"/>
        <w:spacing w:line="360" w:lineRule="auto"/>
        <w:jc w:val="both"/>
        <w:rPr>
          <w:lang w:val="en-US"/>
        </w:rPr>
      </w:pPr>
    </w:p>
    <w:p w14:paraId="7F7A889D" w14:textId="77777777" w:rsidR="00910A6C" w:rsidRDefault="00910A6C" w:rsidP="001F45E6">
      <w:pPr>
        <w:pStyle w:val="NormalWeb"/>
        <w:spacing w:line="360" w:lineRule="auto"/>
        <w:jc w:val="both"/>
        <w:rPr>
          <w:lang w:val="en-US"/>
        </w:rPr>
      </w:pPr>
    </w:p>
    <w:p w14:paraId="68976DC4" w14:textId="77777777" w:rsidR="00910A6C" w:rsidRDefault="00910A6C" w:rsidP="001F45E6">
      <w:pPr>
        <w:pStyle w:val="NormalWeb"/>
        <w:spacing w:line="360" w:lineRule="auto"/>
        <w:jc w:val="both"/>
        <w:rPr>
          <w:lang w:val="en-US"/>
        </w:rPr>
      </w:pPr>
    </w:p>
    <w:p w14:paraId="7D18CC11" w14:textId="77777777" w:rsidR="00910A6C" w:rsidRPr="00623051" w:rsidRDefault="00910A6C" w:rsidP="001F45E6">
      <w:pPr>
        <w:pStyle w:val="NormalWeb"/>
        <w:spacing w:line="360" w:lineRule="auto"/>
        <w:jc w:val="both"/>
        <w:rPr>
          <w:lang w:val="en-US"/>
        </w:rPr>
      </w:pPr>
    </w:p>
    <w:p w14:paraId="3AC0DA58" w14:textId="5D95785D" w:rsidR="00E26D7A" w:rsidRDefault="00333877" w:rsidP="00E26D7A">
      <w:pPr>
        <w:spacing w:after="0" w:line="240" w:lineRule="auto"/>
        <w:rPr>
          <w:rFonts w:ascii="Times New Roman" w:hAnsi="Times New Roman"/>
          <w:b/>
          <w:sz w:val="24"/>
          <w:szCs w:val="24"/>
          <w:lang w:val="en-GB"/>
        </w:rPr>
      </w:pPr>
      <w:r>
        <w:rPr>
          <w:noProof/>
          <w:lang w:eastAsia="fr-FR"/>
        </w:rPr>
        <w:drawing>
          <wp:anchor distT="0" distB="0" distL="114300" distR="114300" simplePos="0" relativeHeight="251658240" behindDoc="1" locked="0" layoutInCell="1" allowOverlap="1" wp14:anchorId="2D99E5E3" wp14:editId="3C18F309">
            <wp:simplePos x="0" y="0"/>
            <wp:positionH relativeFrom="column">
              <wp:posOffset>147955</wp:posOffset>
            </wp:positionH>
            <wp:positionV relativeFrom="paragraph">
              <wp:posOffset>241300</wp:posOffset>
            </wp:positionV>
            <wp:extent cx="4676775" cy="4686300"/>
            <wp:effectExtent l="0" t="0" r="9525" b="0"/>
            <wp:wrapNone/>
            <wp:docPr id="1062" name="Image 20" descr="Fusion_cartes_INDW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20"/>
                    <pic:cNvPicPr/>
                  </pic:nvPicPr>
                  <pic:blipFill rotWithShape="1">
                    <a:blip r:embed="rId12" cstate="print">
                      <a:extLst>
                        <a:ext uri="{28A0092B-C50C-407E-A947-70E740481C1C}">
                          <a14:useLocalDpi xmlns:a14="http://schemas.microsoft.com/office/drawing/2010/main" val="0"/>
                        </a:ext>
                      </a:extLst>
                    </a:blip>
                    <a:srcRect b="3080"/>
                    <a:stretch/>
                  </pic:blipFill>
                  <pic:spPr bwMode="auto">
                    <a:xfrm>
                      <a:off x="0" y="0"/>
                      <a:ext cx="4676775" cy="468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5DAA" w:rsidRPr="00A05DAA">
        <w:rPr>
          <w:rFonts w:ascii="Times New Roman" w:hAnsi="Times New Roman"/>
          <w:b/>
          <w:sz w:val="24"/>
          <w:szCs w:val="24"/>
          <w:lang w:val="en-GB"/>
        </w:rPr>
        <w:t>3.3</w:t>
      </w:r>
      <w:r w:rsidR="00E26D7A" w:rsidRPr="00A05DAA">
        <w:rPr>
          <w:rFonts w:ascii="Times New Roman" w:hAnsi="Times New Roman"/>
          <w:b/>
          <w:sz w:val="24"/>
          <w:szCs w:val="24"/>
          <w:lang w:val="en-GB"/>
        </w:rPr>
        <w:t xml:space="preserve">. </w:t>
      </w:r>
      <w:r w:rsidR="00A05DAA" w:rsidRPr="00A05DAA">
        <w:rPr>
          <w:rFonts w:ascii="Times New Roman" w:hAnsi="Times New Roman"/>
          <w:b/>
          <w:sz w:val="24"/>
          <w:szCs w:val="24"/>
          <w:lang w:val="en-GB"/>
        </w:rPr>
        <w:t>Analysis of Normalized Difference Water</w:t>
      </w:r>
      <w:r w:rsidR="00A05DAA">
        <w:rPr>
          <w:rFonts w:ascii="Times New Roman" w:hAnsi="Times New Roman"/>
          <w:b/>
          <w:sz w:val="24"/>
          <w:szCs w:val="24"/>
          <w:lang w:val="en-GB"/>
        </w:rPr>
        <w:t xml:space="preserve"> Index (</w:t>
      </w:r>
      <w:r w:rsidR="00A05DAA" w:rsidRPr="00A05DAA">
        <w:rPr>
          <w:rFonts w:ascii="Times New Roman" w:hAnsi="Times New Roman"/>
          <w:b/>
          <w:sz w:val="24"/>
          <w:szCs w:val="24"/>
          <w:lang w:val="en-GB"/>
        </w:rPr>
        <w:t>NDWI</w:t>
      </w:r>
      <w:r w:rsidR="00A05DAA">
        <w:rPr>
          <w:rFonts w:ascii="Times New Roman" w:hAnsi="Times New Roman"/>
          <w:b/>
          <w:sz w:val="24"/>
          <w:szCs w:val="24"/>
          <w:lang w:val="en-GB"/>
        </w:rPr>
        <w:t>)</w:t>
      </w:r>
      <w:r w:rsidR="00A05DAA" w:rsidRPr="00A05DAA">
        <w:rPr>
          <w:rFonts w:ascii="Times New Roman" w:hAnsi="Times New Roman"/>
          <w:b/>
          <w:sz w:val="24"/>
          <w:szCs w:val="24"/>
          <w:lang w:val="en-GB"/>
        </w:rPr>
        <w:t xml:space="preserve"> in </w:t>
      </w:r>
      <w:proofErr w:type="spellStart"/>
      <w:r w:rsidR="00A05DAA" w:rsidRPr="00A05DAA">
        <w:rPr>
          <w:rFonts w:ascii="Times New Roman" w:hAnsi="Times New Roman"/>
          <w:b/>
          <w:sz w:val="24"/>
          <w:szCs w:val="24"/>
          <w:lang w:val="en-GB"/>
        </w:rPr>
        <w:t>Uvira</w:t>
      </w:r>
      <w:proofErr w:type="spellEnd"/>
      <w:r w:rsidR="00A05DAA" w:rsidRPr="00A05DAA">
        <w:rPr>
          <w:rFonts w:ascii="Times New Roman" w:hAnsi="Times New Roman"/>
          <w:b/>
          <w:sz w:val="24"/>
          <w:szCs w:val="24"/>
          <w:lang w:val="en-GB"/>
        </w:rPr>
        <w:t xml:space="preserve"> between 2000 and</w:t>
      </w:r>
      <w:r w:rsidR="00E26D7A" w:rsidRPr="00A05DAA">
        <w:rPr>
          <w:rFonts w:ascii="Times New Roman" w:hAnsi="Times New Roman"/>
          <w:b/>
          <w:sz w:val="24"/>
          <w:szCs w:val="24"/>
          <w:lang w:val="en-GB"/>
        </w:rPr>
        <w:t xml:space="preserve"> 2024.</w:t>
      </w:r>
    </w:p>
    <w:p w14:paraId="73BAEA95" w14:textId="77777777" w:rsidR="00910A6C" w:rsidRDefault="00910A6C" w:rsidP="00E26D7A">
      <w:pPr>
        <w:spacing w:after="0" w:line="240" w:lineRule="auto"/>
        <w:rPr>
          <w:rFonts w:ascii="Times New Roman" w:hAnsi="Times New Roman"/>
          <w:b/>
          <w:sz w:val="24"/>
          <w:szCs w:val="24"/>
          <w:lang w:val="en-GB"/>
        </w:rPr>
      </w:pPr>
    </w:p>
    <w:p w14:paraId="25D424AF" w14:textId="77777777" w:rsidR="00910A6C" w:rsidRPr="00A05DAA" w:rsidRDefault="00910A6C" w:rsidP="00E26D7A">
      <w:pPr>
        <w:spacing w:after="0" w:line="240" w:lineRule="auto"/>
        <w:rPr>
          <w:rFonts w:ascii="Times New Roman" w:hAnsi="Times New Roman"/>
          <w:b/>
          <w:sz w:val="24"/>
          <w:szCs w:val="24"/>
          <w:lang w:val="en-GB"/>
        </w:rPr>
      </w:pPr>
    </w:p>
    <w:p w14:paraId="13852987" w14:textId="4960199B" w:rsidR="00E26D7A" w:rsidRPr="00A05DAA" w:rsidRDefault="00E26D7A" w:rsidP="00E26D7A">
      <w:pPr>
        <w:spacing w:after="0" w:line="240" w:lineRule="auto"/>
        <w:rPr>
          <w:lang w:val="en-GB"/>
        </w:rPr>
      </w:pPr>
    </w:p>
    <w:p w14:paraId="23400588" w14:textId="5D7E9E8D" w:rsidR="00B21DA5" w:rsidRPr="00A05DAA" w:rsidRDefault="00B21DA5" w:rsidP="00B21DA5">
      <w:pPr>
        <w:rPr>
          <w:rFonts w:ascii="Times New Roman" w:hAnsi="Times New Roman" w:cs="Times New Roman"/>
          <w:sz w:val="24"/>
          <w:szCs w:val="24"/>
          <w:lang w:val="en-GB"/>
        </w:rPr>
      </w:pPr>
    </w:p>
    <w:p w14:paraId="6A20FC5C" w14:textId="48447132" w:rsidR="00C604DB" w:rsidRPr="00A05DAA" w:rsidRDefault="00C604DB" w:rsidP="00B21DA5">
      <w:pPr>
        <w:rPr>
          <w:rFonts w:ascii="Times New Roman" w:hAnsi="Times New Roman" w:cs="Times New Roman"/>
          <w:sz w:val="24"/>
          <w:szCs w:val="24"/>
          <w:lang w:val="en-GB"/>
        </w:rPr>
      </w:pPr>
    </w:p>
    <w:p w14:paraId="0E7E39FB" w14:textId="77777777" w:rsidR="00E26D7A" w:rsidRPr="00A05DAA" w:rsidRDefault="00E26D7A" w:rsidP="00B21DA5">
      <w:pPr>
        <w:rPr>
          <w:rFonts w:ascii="Times New Roman" w:hAnsi="Times New Roman" w:cs="Times New Roman"/>
          <w:sz w:val="24"/>
          <w:szCs w:val="24"/>
          <w:lang w:val="en-GB"/>
        </w:rPr>
      </w:pPr>
    </w:p>
    <w:p w14:paraId="1B82FC85" w14:textId="77777777" w:rsidR="00E26D7A" w:rsidRPr="00A05DAA" w:rsidRDefault="00E26D7A" w:rsidP="00B21DA5">
      <w:pPr>
        <w:rPr>
          <w:rFonts w:ascii="Times New Roman" w:hAnsi="Times New Roman" w:cs="Times New Roman"/>
          <w:sz w:val="24"/>
          <w:szCs w:val="24"/>
          <w:lang w:val="en-GB"/>
        </w:rPr>
      </w:pPr>
    </w:p>
    <w:p w14:paraId="0B1E45D9" w14:textId="77777777" w:rsidR="00E26D7A" w:rsidRPr="00A05DAA" w:rsidRDefault="00E26D7A" w:rsidP="00B21DA5">
      <w:pPr>
        <w:rPr>
          <w:rFonts w:ascii="Times New Roman" w:hAnsi="Times New Roman" w:cs="Times New Roman"/>
          <w:sz w:val="24"/>
          <w:szCs w:val="24"/>
          <w:lang w:val="en-GB"/>
        </w:rPr>
      </w:pPr>
    </w:p>
    <w:p w14:paraId="236A4CE8" w14:textId="77777777" w:rsidR="00E26D7A" w:rsidRPr="00A05DAA" w:rsidRDefault="00E26D7A" w:rsidP="00B21DA5">
      <w:pPr>
        <w:rPr>
          <w:rFonts w:ascii="Times New Roman" w:hAnsi="Times New Roman" w:cs="Times New Roman"/>
          <w:sz w:val="24"/>
          <w:szCs w:val="24"/>
          <w:lang w:val="en-GB"/>
        </w:rPr>
      </w:pPr>
    </w:p>
    <w:p w14:paraId="4015272A" w14:textId="77777777" w:rsidR="00E26D7A" w:rsidRPr="00A05DAA" w:rsidRDefault="00E26D7A" w:rsidP="00B21DA5">
      <w:pPr>
        <w:rPr>
          <w:rFonts w:ascii="Times New Roman" w:hAnsi="Times New Roman" w:cs="Times New Roman"/>
          <w:sz w:val="24"/>
          <w:szCs w:val="24"/>
          <w:lang w:val="en-GB"/>
        </w:rPr>
      </w:pPr>
    </w:p>
    <w:p w14:paraId="068C49A8" w14:textId="77777777" w:rsidR="00E26D7A" w:rsidRPr="00A05DAA" w:rsidRDefault="00E26D7A" w:rsidP="00B21DA5">
      <w:pPr>
        <w:rPr>
          <w:rFonts w:ascii="Times New Roman" w:hAnsi="Times New Roman" w:cs="Times New Roman"/>
          <w:sz w:val="24"/>
          <w:szCs w:val="24"/>
          <w:lang w:val="en-GB"/>
        </w:rPr>
      </w:pPr>
    </w:p>
    <w:p w14:paraId="4EF26BE0" w14:textId="77777777" w:rsidR="00E26D7A" w:rsidRPr="00A05DAA" w:rsidRDefault="00E26D7A" w:rsidP="00B21DA5">
      <w:pPr>
        <w:rPr>
          <w:rFonts w:ascii="Times New Roman" w:hAnsi="Times New Roman" w:cs="Times New Roman"/>
          <w:sz w:val="24"/>
          <w:szCs w:val="24"/>
          <w:lang w:val="en-GB"/>
        </w:rPr>
      </w:pPr>
    </w:p>
    <w:p w14:paraId="452152E8" w14:textId="77777777" w:rsidR="00E26D7A" w:rsidRPr="00A05DAA" w:rsidRDefault="00E26D7A" w:rsidP="00B21DA5">
      <w:pPr>
        <w:rPr>
          <w:rFonts w:ascii="Times New Roman" w:hAnsi="Times New Roman" w:cs="Times New Roman"/>
          <w:sz w:val="24"/>
          <w:szCs w:val="24"/>
          <w:lang w:val="en-GB"/>
        </w:rPr>
      </w:pPr>
    </w:p>
    <w:p w14:paraId="2A7662A7" w14:textId="77777777" w:rsidR="00E26D7A" w:rsidRPr="00A05DAA" w:rsidRDefault="00E26D7A" w:rsidP="00B21DA5">
      <w:pPr>
        <w:rPr>
          <w:rFonts w:ascii="Times New Roman" w:hAnsi="Times New Roman" w:cs="Times New Roman"/>
          <w:sz w:val="24"/>
          <w:szCs w:val="24"/>
          <w:lang w:val="en-GB"/>
        </w:rPr>
      </w:pPr>
    </w:p>
    <w:p w14:paraId="1AB36860" w14:textId="77777777" w:rsidR="00E26D7A" w:rsidRPr="00A05DAA" w:rsidRDefault="00E26D7A" w:rsidP="00B21DA5">
      <w:pPr>
        <w:rPr>
          <w:rFonts w:ascii="Times New Roman" w:hAnsi="Times New Roman" w:cs="Times New Roman"/>
          <w:sz w:val="24"/>
          <w:szCs w:val="24"/>
          <w:lang w:val="en-GB"/>
        </w:rPr>
      </w:pPr>
    </w:p>
    <w:p w14:paraId="147D1F17" w14:textId="77777777" w:rsidR="00790D01" w:rsidRPr="00790D01" w:rsidRDefault="00790D01" w:rsidP="00790D01">
      <w:pPr>
        <w:pStyle w:val="Titre3"/>
        <w:spacing w:line="360" w:lineRule="auto"/>
        <w:jc w:val="both"/>
        <w:rPr>
          <w:sz w:val="8"/>
          <w:szCs w:val="24"/>
          <w:lang w:val="en-GB"/>
        </w:rPr>
      </w:pPr>
    </w:p>
    <w:p w14:paraId="79E53FAC" w14:textId="77777777" w:rsidR="00910A6C" w:rsidRDefault="00910A6C" w:rsidP="00E26D7A">
      <w:pPr>
        <w:pStyle w:val="Titre3"/>
        <w:spacing w:line="360" w:lineRule="auto"/>
        <w:jc w:val="both"/>
        <w:rPr>
          <w:sz w:val="24"/>
          <w:szCs w:val="24"/>
          <w:lang w:val="en-GB"/>
        </w:rPr>
      </w:pPr>
    </w:p>
    <w:p w14:paraId="565E6D95" w14:textId="3B59AA40" w:rsidR="00333877" w:rsidRDefault="00790D01" w:rsidP="00E26D7A">
      <w:pPr>
        <w:pStyle w:val="Titre3"/>
        <w:spacing w:line="360" w:lineRule="auto"/>
        <w:jc w:val="both"/>
        <w:rPr>
          <w:sz w:val="24"/>
          <w:szCs w:val="24"/>
          <w:lang w:val="en-GB"/>
        </w:rPr>
      </w:pPr>
      <w:r>
        <w:rPr>
          <w:sz w:val="24"/>
          <w:szCs w:val="24"/>
          <w:lang w:val="en-GB"/>
        </w:rPr>
        <w:t>Figure4:</w:t>
      </w:r>
      <w:r w:rsidR="005424C8">
        <w:rPr>
          <w:sz w:val="24"/>
          <w:szCs w:val="24"/>
          <w:lang w:val="en-GB"/>
        </w:rPr>
        <w:t xml:space="preserve"> </w:t>
      </w:r>
      <w:r w:rsidR="005424C8" w:rsidRPr="00A05DAA">
        <w:rPr>
          <w:sz w:val="24"/>
          <w:szCs w:val="24"/>
          <w:lang w:val="en-GB"/>
        </w:rPr>
        <w:t>Analysis of Normalized Difference Water</w:t>
      </w:r>
      <w:r w:rsidR="005424C8">
        <w:rPr>
          <w:sz w:val="24"/>
          <w:szCs w:val="24"/>
          <w:lang w:val="en-GB"/>
        </w:rPr>
        <w:t xml:space="preserve"> Index (</w:t>
      </w:r>
      <w:r w:rsidR="005424C8" w:rsidRPr="00A05DAA">
        <w:rPr>
          <w:sz w:val="24"/>
          <w:szCs w:val="24"/>
          <w:lang w:val="en-GB"/>
        </w:rPr>
        <w:t>NDWI</w:t>
      </w:r>
      <w:r w:rsidR="005424C8">
        <w:rPr>
          <w:sz w:val="24"/>
          <w:szCs w:val="24"/>
          <w:lang w:val="en-GB"/>
        </w:rPr>
        <w:t>)</w:t>
      </w:r>
      <w:r w:rsidR="005424C8" w:rsidRPr="00A05DAA">
        <w:rPr>
          <w:sz w:val="24"/>
          <w:szCs w:val="24"/>
          <w:lang w:val="en-GB"/>
        </w:rPr>
        <w:t xml:space="preserve"> in </w:t>
      </w:r>
      <w:proofErr w:type="spellStart"/>
      <w:r w:rsidR="005424C8" w:rsidRPr="00A05DAA">
        <w:rPr>
          <w:sz w:val="24"/>
          <w:szCs w:val="24"/>
          <w:lang w:val="en-GB"/>
        </w:rPr>
        <w:t>Uvira</w:t>
      </w:r>
      <w:proofErr w:type="spellEnd"/>
      <w:r w:rsidR="005424C8" w:rsidRPr="00A05DAA">
        <w:rPr>
          <w:sz w:val="24"/>
          <w:szCs w:val="24"/>
          <w:lang w:val="en-GB"/>
        </w:rPr>
        <w:t xml:space="preserve"> between 2000 and 2024.</w:t>
      </w:r>
    </w:p>
    <w:p w14:paraId="205CE968" w14:textId="7F9ED354" w:rsidR="00E26D7A" w:rsidRPr="00333877" w:rsidRDefault="00790D01" w:rsidP="00E26D7A">
      <w:pPr>
        <w:pStyle w:val="Titre3"/>
        <w:spacing w:line="360" w:lineRule="auto"/>
        <w:jc w:val="both"/>
        <w:rPr>
          <w:sz w:val="24"/>
          <w:szCs w:val="24"/>
          <w:lang w:val="en-GB"/>
        </w:rPr>
      </w:pPr>
      <w:r>
        <w:rPr>
          <w:sz w:val="24"/>
          <w:szCs w:val="24"/>
          <w:lang w:val="en-US"/>
        </w:rPr>
        <w:t>3.4</w:t>
      </w:r>
      <w:r w:rsidR="00E26D7A" w:rsidRPr="00E26D7A">
        <w:rPr>
          <w:sz w:val="24"/>
          <w:szCs w:val="24"/>
          <w:lang w:val="en-US"/>
        </w:rPr>
        <w:t xml:space="preserve">. </w:t>
      </w:r>
      <w:proofErr w:type="spellStart"/>
      <w:r w:rsidR="00E26D7A" w:rsidRPr="00E26D7A">
        <w:rPr>
          <w:sz w:val="24"/>
          <w:szCs w:val="24"/>
          <w:lang w:val="en-US"/>
        </w:rPr>
        <w:t>Spatio</w:t>
      </w:r>
      <w:proofErr w:type="spellEnd"/>
      <w:r w:rsidR="00E26D7A" w:rsidRPr="00E26D7A">
        <w:rPr>
          <w:sz w:val="24"/>
          <w:szCs w:val="24"/>
          <w:lang w:val="en-US"/>
        </w:rPr>
        <w:t>-temporal Fl</w:t>
      </w:r>
      <w:r>
        <w:rPr>
          <w:sz w:val="24"/>
          <w:szCs w:val="24"/>
          <w:lang w:val="en-US"/>
        </w:rPr>
        <w:t>ood Hazard Assessment through NDWI from 2000 to 2024</w:t>
      </w:r>
    </w:p>
    <w:p w14:paraId="27730D63" w14:textId="77777777" w:rsidR="00E26D7A" w:rsidRPr="00E26D7A" w:rsidRDefault="00E26D7A" w:rsidP="00E26D7A">
      <w:pPr>
        <w:pStyle w:val="NormalWeb"/>
        <w:spacing w:line="360" w:lineRule="auto"/>
        <w:jc w:val="both"/>
        <w:rPr>
          <w:lang w:val="en-US"/>
        </w:rPr>
      </w:pPr>
      <w:r w:rsidRPr="00E26D7A">
        <w:rPr>
          <w:lang w:val="en-US"/>
        </w:rPr>
        <w:t xml:space="preserve">The diachronic analysis of the Normalized Difference Water Index (NDWI) reveals a marked transformation of </w:t>
      </w:r>
      <w:proofErr w:type="spellStart"/>
      <w:r w:rsidRPr="00E26D7A">
        <w:rPr>
          <w:lang w:val="en-US"/>
        </w:rPr>
        <w:t>Uvira’s</w:t>
      </w:r>
      <w:proofErr w:type="spellEnd"/>
      <w:r w:rsidRPr="00E26D7A">
        <w:rPr>
          <w:lang w:val="en-US"/>
        </w:rPr>
        <w:t xml:space="preserve"> hydrological regime, shifting from a condition of relative stability in 2000 toward a state of recurrent and increasingly persistent inundation by 2024. The baseline year (2000) shows a well-defined separation between terrestrial and aquatic surfaces, reflecting a hydrological system that was still largely regulated. In contrast, the 2008 observations underscore the system’s pronounced sensitivity to seasonal variability, as </w:t>
      </w:r>
      <w:r w:rsidRPr="00E26D7A">
        <w:rPr>
          <w:lang w:val="en-US"/>
        </w:rPr>
        <w:lastRenderedPageBreak/>
        <w:t>evidenced by a noticeable contraction of water surfaces during the dry season. However, the subsequent expansion observed in 2016, followed by an unprecedented increase in 2024, points to a fundamental alteration of the catchment’s water balance. By 2024, NDWI values exceeding 0.62 extend into areas that were previously terrestrial, indicating the permanent inundation of residential and agricultural zones along the southern littoral.</w:t>
      </w:r>
    </w:p>
    <w:p w14:paraId="3E38ED21" w14:textId="77D1E673" w:rsidR="00B910C3" w:rsidRDefault="00B910C3" w:rsidP="00E26D7A">
      <w:pPr>
        <w:pStyle w:val="NormalWeb"/>
        <w:spacing w:line="360" w:lineRule="auto"/>
        <w:jc w:val="both"/>
        <w:rPr>
          <w:lang w:val="en-US"/>
        </w:rPr>
      </w:pPr>
      <w:r>
        <w:rPr>
          <w:noProof/>
        </w:rPr>
        <w:drawing>
          <wp:anchor distT="0" distB="0" distL="114300" distR="114300" simplePos="0" relativeHeight="251655168" behindDoc="1" locked="0" layoutInCell="1" allowOverlap="1" wp14:anchorId="329AC751" wp14:editId="243070D2">
            <wp:simplePos x="0" y="0"/>
            <wp:positionH relativeFrom="column">
              <wp:posOffset>614681</wp:posOffset>
            </wp:positionH>
            <wp:positionV relativeFrom="paragraph">
              <wp:posOffset>3275965</wp:posOffset>
            </wp:positionV>
            <wp:extent cx="4076700" cy="4933950"/>
            <wp:effectExtent l="0" t="0" r="0" b="0"/>
            <wp:wrapNone/>
            <wp:docPr id="1052" name="Image 32" descr="Modèle_numérique_de_terrain2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32"/>
                    <pic:cNvPicPr/>
                  </pic:nvPicPr>
                  <pic:blipFill>
                    <a:blip r:embed="rId13" cstate="print">
                      <a:extLst>
                        <a:ext uri="{28A0092B-C50C-407E-A947-70E740481C1C}">
                          <a14:useLocalDpi xmlns:a14="http://schemas.microsoft.com/office/drawing/2010/main" val="0"/>
                        </a:ext>
                      </a:extLst>
                    </a:blip>
                    <a:srcRect/>
                    <a:stretch/>
                  </pic:blipFill>
                  <pic:spPr>
                    <a:xfrm>
                      <a:off x="0" y="0"/>
                      <a:ext cx="4076700" cy="4933950"/>
                    </a:xfrm>
                    <a:prstGeom prst="rect">
                      <a:avLst/>
                    </a:prstGeom>
                  </pic:spPr>
                </pic:pic>
              </a:graphicData>
            </a:graphic>
            <wp14:sizeRelH relativeFrom="page">
              <wp14:pctWidth>0</wp14:pctWidth>
            </wp14:sizeRelH>
            <wp14:sizeRelV relativeFrom="page">
              <wp14:pctHeight>0</wp14:pctHeight>
            </wp14:sizeRelV>
          </wp:anchor>
        </w:drawing>
      </w:r>
      <w:r w:rsidR="00E26D7A" w:rsidRPr="00E26D7A">
        <w:rPr>
          <w:lang w:val="en-US"/>
        </w:rPr>
        <w:t xml:space="preserve">This hydrological evolution cannot be interpreted solely as a response to regional climatic variability, but must be understood in close connection with the land cover degradation documented in Section 3.1. The progressive removal of vegetation has substantially reduced canopy interception and soil infiltration capacity, thereby promoting what has been described as an “accelerated runoff syndrome” </w:t>
      </w:r>
      <w:r w:rsidR="008143DC">
        <w:rPr>
          <w:lang w:val="en-US"/>
        </w:rPr>
        <w:fldChar w:fldCharType="begin"/>
      </w:r>
      <w:r w:rsidR="008143DC">
        <w:rPr>
          <w:lang w:val="en-US"/>
        </w:rPr>
        <w:instrText xml:space="preserve"> ADDIN ZOTERO_ITEM CSL_CITATION {"citationID":"16oSjyik","properties":{"formattedCitation":"(Niyongabire et al., 2016)","plainCitation":"(Niyongabire et al., 2016)","noteIndex":0},"citationItems":[{"id":547,"uris":["http://zotero.org/users/13682081/items/3SMSAXL9"],"itemData":{"id":547,"type":"paper-conference","container-title":"Proceedings, 6th international conference on cartography and GIS, Albena: Bulgaria","page":"241–248","source":"Google Scholar","title":"Use of digital elevation model in a GIS for flood susceptibility mapping: case of Bujumbura City","title-short":"Use of digital elevation model in a GIS for flood susceptibility mapping","URL":"https://www.researchgate.net/profile/Temenoujka-Bandrova/publication/309772611_6th_International_Conference_on_Cartography_and_GIS/links/5d13644a299bf1547c7f9906/6th-International-Conference-on-Cartography-and-GIS.pdf#page=241","author":[{"family":"Niyongabire","given":"Emmanuel"},{"family":"Hassan","given":"Rhinane"},{"family":"Elhassan","given":"Elarabi"},{"family":"Mehdi","given":"Mansour"}],"accessed":{"date-parts":[["2026",1,5]]},"issued":{"date-parts":[["2016"]]}}}],"schema":"https://github.com/citation-style-language/schema/raw/master/csl-citation.json"} </w:instrText>
      </w:r>
      <w:r w:rsidR="008143DC">
        <w:rPr>
          <w:lang w:val="en-US"/>
        </w:rPr>
        <w:fldChar w:fldCharType="separate"/>
      </w:r>
      <w:r w:rsidR="008143DC" w:rsidRPr="008143DC">
        <w:rPr>
          <w:lang w:val="en-US"/>
        </w:rPr>
        <w:t>(Niyongabire et al., 2016</w:t>
      </w:r>
      <w:r w:rsidR="008143DC">
        <w:rPr>
          <w:lang w:val="en-US"/>
        </w:rPr>
        <w:fldChar w:fldCharType="end"/>
      </w:r>
      <w:r w:rsidR="008143DC">
        <w:rPr>
          <w:lang w:val="en-US"/>
        </w:rPr>
        <w:t xml:space="preserve">; </w:t>
      </w:r>
      <w:r w:rsidR="008143DC">
        <w:rPr>
          <w:lang w:val="en-US"/>
        </w:rPr>
        <w:fldChar w:fldCharType="begin"/>
      </w:r>
      <w:r w:rsidR="008143DC">
        <w:rPr>
          <w:lang w:val="en-US"/>
        </w:rPr>
        <w:instrText xml:space="preserve"> ADDIN ZOTERO_ITEM CSL_CITATION {"citationID":"xz857jwt","properties":{"formattedCitation":"(Nyesheja et al., 2019)","plainCitation":"(Nyesheja et al., 2019)","noteIndex":0},"citationItems":[{"id":497,"uris":["http://zotero.org/users/13682081/items/MEGAMMQU"],"itemData":{"id":497,"type":"article-journal","container-title":"Physical Geography","DOI":"10.1080/02723646.2018.1541706","ISSN":"0272-3646, 1930-0557","issue":"4","journalAbbreviation":"Physical Geography","language":"en","page":"339-360","source":"DOI.org (Crossref)","title":"Soil erosion assessment using RUSLE model in the Congo Nile Ridge region of Rwanda","URL":"https://www.tandfonline.com/doi/full/10.1080/02723646.2018.1541706","volume":"40","author":[{"family":"Nyesheja","given":"Enan M."},{"family":"Chen","given":"Xi"},{"family":"El-Tantawi","given":"Attia M."},{"family":"Karamage","given":"Fidele"},{"family":"Mupenzi","given":"Christophe"},{"family":"Nsengiyumva","given":"Jean Baptiste"}],"accessed":{"date-parts":[["2026",1,4]]},"issued":{"date-parts":[["2019",7,4]]}}}],"schema":"https://github.com/citation-style-language/schema/raw/master/csl-citation.json"} </w:instrText>
      </w:r>
      <w:r w:rsidR="008143DC">
        <w:rPr>
          <w:lang w:val="en-US"/>
        </w:rPr>
        <w:fldChar w:fldCharType="separate"/>
      </w:r>
      <w:r w:rsidR="008143DC" w:rsidRPr="008143DC">
        <w:rPr>
          <w:lang w:val="en-US"/>
        </w:rPr>
        <w:t>Nyesheja et al., 2019)</w:t>
      </w:r>
      <w:r w:rsidR="008143DC">
        <w:rPr>
          <w:lang w:val="en-US"/>
        </w:rPr>
        <w:fldChar w:fldCharType="end"/>
      </w:r>
      <w:r w:rsidR="008143DC">
        <w:rPr>
          <w:lang w:val="en-US"/>
        </w:rPr>
        <w:t xml:space="preserve">. </w:t>
      </w:r>
      <w:r w:rsidR="00E26D7A" w:rsidRPr="00E26D7A">
        <w:rPr>
          <w:lang w:val="en-US"/>
        </w:rPr>
        <w:t xml:space="preserve">In the steeply sloping context of </w:t>
      </w:r>
      <w:proofErr w:type="spellStart"/>
      <w:r w:rsidR="00E26D7A" w:rsidRPr="00E26D7A">
        <w:rPr>
          <w:lang w:val="en-US"/>
        </w:rPr>
        <w:t>Uvira</w:t>
      </w:r>
      <w:proofErr w:type="spellEnd"/>
      <w:r w:rsidR="00E26D7A" w:rsidRPr="00E26D7A">
        <w:rPr>
          <w:lang w:val="en-US"/>
        </w:rPr>
        <w:t>, the loss of natural hydraulic resistance facilitates the rapid conversion of intense rainfall events into high-velocity surface flows, which exceed the capacity of the city’s limited drainage infrastructure. Moreover, the spatial expansion of water surfaces observed in 2024 is consistent with the “coastal squeeze” phenomenon, whereby the combined effects of rising Lake Tanganyika water levels and unplanned urban expansion progressively eliminate natural buffer zones, effectively embedding flood risk as a structural and persistent component of the urban landscape</w:t>
      </w:r>
      <w:r w:rsidR="00E9454B">
        <w:rPr>
          <w:lang w:val="en-US"/>
        </w:rPr>
        <w:t xml:space="preserve"> </w:t>
      </w:r>
      <w:r w:rsidR="00E9454B">
        <w:rPr>
          <w:lang w:val="en-US"/>
        </w:rPr>
        <w:fldChar w:fldCharType="begin"/>
      </w:r>
      <w:r w:rsidR="00E9454B">
        <w:rPr>
          <w:lang w:val="en-US"/>
        </w:rPr>
        <w:instrText xml:space="preserve"> ADDIN ZOTERO_ITEM CSL_CITATION {"citationID":"u60Fur2K","properties":{"formattedCitation":"(FAO, 2020)","plainCitation":"(FAO, 2020)","noteIndex":0},"citationItems":[{"id":486,"uris":["http://zotero.org/users/13682081/items/UYDBV37V"],"itemData":{"id":486,"type":"article-journal","source":"Google Scholar","title":"Global Forest Resources Assessment 2020: Main report. Rome","title-short":"Global Forest Resources Assessment 2020","author":[{"literal":"FAO"}],"issued":{"date-parts":[["2020"]]}}}],"schema":"https://github.com/citation-style-language/schema/raw/master/csl-citation.json"} </w:instrText>
      </w:r>
      <w:r w:rsidR="00E9454B">
        <w:rPr>
          <w:lang w:val="en-US"/>
        </w:rPr>
        <w:fldChar w:fldCharType="separate"/>
      </w:r>
      <w:r w:rsidR="00E9454B" w:rsidRPr="00E9454B">
        <w:rPr>
          <w:lang w:val="en-US"/>
        </w:rPr>
        <w:t>(FAO, 2020</w:t>
      </w:r>
      <w:r w:rsidR="00E9454B">
        <w:rPr>
          <w:lang w:val="en-US"/>
        </w:rPr>
        <w:fldChar w:fldCharType="end"/>
      </w:r>
      <w:r w:rsidR="00E9454B">
        <w:rPr>
          <w:lang w:val="en-US"/>
        </w:rPr>
        <w:t xml:space="preserve"> ; </w:t>
      </w:r>
      <w:r w:rsidR="00E9454B">
        <w:rPr>
          <w:lang w:val="en-US"/>
        </w:rPr>
        <w:fldChar w:fldCharType="begin"/>
      </w:r>
      <w:r w:rsidR="00E9454B">
        <w:rPr>
          <w:lang w:val="en-US"/>
        </w:rPr>
        <w:instrText xml:space="preserve"> ADDIN ZOTERO_ITEM CSL_CITATION {"citationID":"yX5tvO5h","properties":{"formattedCitation":"(Heri-Kazi &amp; Bielders, 2021)","plainCitation":"(Heri-Kazi &amp; Bielders, 2021)","noteIndex":0},"citationItems":[{"id":500,"uris":["http://zotero.org/users/13682081/items/Z6SUEMIU"],"itemData":{"id":500,"type":"article-journal","container-title":"Geoderma Regional","note":"publisher: Elsevier","page":"e00404","source":"Google Scholar","title":"Cropland characteristics and extent of soil loss by rill and gully erosion in smallholder farms in the KIVU highlands, DR Congo","URL":"https://www.sciencedirect.com/science/article/pii/S2352009421000493","volume":"26","author":[{"family":"Heri-Kazi","given":"Aimé B."},{"family":"Bielders","given":"Charles L."}],"accessed":{"date-parts":[["2026",1,4]]},"issued":{"date-parts":[["2021"]]}}}],"schema":"https://github.com/citation-style-language/schema/raw/master/csl-citation.json"} </w:instrText>
      </w:r>
      <w:r w:rsidR="00E9454B">
        <w:rPr>
          <w:lang w:val="en-US"/>
        </w:rPr>
        <w:fldChar w:fldCharType="separate"/>
      </w:r>
      <w:r w:rsidR="00E9454B" w:rsidRPr="00E9454B">
        <w:rPr>
          <w:lang w:val="en-US"/>
        </w:rPr>
        <w:t>Heri-Kazi &amp; Bielders, 2021</w:t>
      </w:r>
      <w:r w:rsidR="00E9454B">
        <w:rPr>
          <w:lang w:val="en-US"/>
        </w:rPr>
        <w:fldChar w:fldCharType="end"/>
      </w:r>
      <w:r w:rsidR="00E9454B">
        <w:rPr>
          <w:lang w:val="en-US"/>
        </w:rPr>
        <w:fldChar w:fldCharType="begin"/>
      </w:r>
      <w:r w:rsidR="00E9454B">
        <w:rPr>
          <w:lang w:val="en-US"/>
        </w:rPr>
        <w:instrText xml:space="preserve"> ADDIN ZOTERO_ITEM CSL_CITATION {"citationID":"OpzzhdyX","properties":{"formattedCitation":"(FAO, 2020)","plainCitation":"(FAO, 2020)","noteIndex":0},"citationItems":[{"id":486,"uris":["http://zotero.org/users/13682081/items/UYDBV37V"],"itemData":{"id":486,"type":"article-journal","source":"Google Scholar","title":"Global Forest Resources Assessment 2020: Main report. Rome","title-short":"Global Forest Resources Assessment 2020","author":[{"literal":"FAO"}],"issued":{"date-parts":[["2020"]]}}}],"schema":"https://github.com/citation-style-language/schema/raw/master/csl-citation.json"} </w:instrText>
      </w:r>
      <w:r w:rsidR="00E9454B">
        <w:rPr>
          <w:lang w:val="en-US"/>
        </w:rPr>
        <w:fldChar w:fldCharType="separate"/>
      </w:r>
      <w:r w:rsidR="00E9454B" w:rsidRPr="00E9454B">
        <w:rPr>
          <w:lang w:val="en-US"/>
        </w:rPr>
        <w:t>)</w:t>
      </w:r>
      <w:r w:rsidR="00E9454B">
        <w:rPr>
          <w:lang w:val="en-US"/>
        </w:rPr>
        <w:fldChar w:fldCharType="end"/>
      </w:r>
      <w:r w:rsidR="00E26D7A" w:rsidRPr="00E26D7A">
        <w:rPr>
          <w:lang w:val="en-US"/>
        </w:rPr>
        <w:t>.</w:t>
      </w:r>
    </w:p>
    <w:p w14:paraId="20CE1DA1" w14:textId="1F1B5D2A" w:rsidR="00333877" w:rsidRDefault="00333877" w:rsidP="00E26D7A">
      <w:pPr>
        <w:pStyle w:val="NormalWeb"/>
        <w:spacing w:line="360" w:lineRule="auto"/>
        <w:jc w:val="both"/>
        <w:rPr>
          <w:lang w:val="en-US"/>
        </w:rPr>
      </w:pPr>
    </w:p>
    <w:p w14:paraId="1E536FC6" w14:textId="75AF1F02" w:rsidR="00333877" w:rsidRDefault="00333877" w:rsidP="00E26D7A">
      <w:pPr>
        <w:pStyle w:val="NormalWeb"/>
        <w:spacing w:line="360" w:lineRule="auto"/>
        <w:jc w:val="both"/>
        <w:rPr>
          <w:lang w:val="en-US"/>
        </w:rPr>
      </w:pPr>
    </w:p>
    <w:p w14:paraId="01F3C0F2" w14:textId="77777777" w:rsidR="00333877" w:rsidRDefault="00333877" w:rsidP="00E26D7A">
      <w:pPr>
        <w:pStyle w:val="NormalWeb"/>
        <w:spacing w:line="360" w:lineRule="auto"/>
        <w:jc w:val="both"/>
        <w:rPr>
          <w:lang w:val="en-US"/>
        </w:rPr>
      </w:pPr>
    </w:p>
    <w:p w14:paraId="2A9A45AC" w14:textId="163A7579" w:rsidR="00F02AA2" w:rsidRDefault="00F02AA2" w:rsidP="00E26D7A">
      <w:pPr>
        <w:pStyle w:val="NormalWeb"/>
        <w:spacing w:line="360" w:lineRule="auto"/>
        <w:jc w:val="both"/>
        <w:rPr>
          <w:lang w:val="en-US"/>
        </w:rPr>
      </w:pPr>
    </w:p>
    <w:p w14:paraId="7B6FA645" w14:textId="77777777" w:rsidR="00F02AA2" w:rsidRDefault="00F02AA2" w:rsidP="00E26D7A">
      <w:pPr>
        <w:pStyle w:val="NormalWeb"/>
        <w:spacing w:line="360" w:lineRule="auto"/>
        <w:jc w:val="both"/>
        <w:rPr>
          <w:lang w:val="en-US"/>
        </w:rPr>
      </w:pPr>
    </w:p>
    <w:p w14:paraId="054A91E7" w14:textId="77777777" w:rsidR="00F02AA2" w:rsidRDefault="00F02AA2" w:rsidP="00E26D7A">
      <w:pPr>
        <w:pStyle w:val="NormalWeb"/>
        <w:spacing w:line="360" w:lineRule="auto"/>
        <w:jc w:val="both"/>
        <w:rPr>
          <w:lang w:val="en-US"/>
        </w:rPr>
      </w:pPr>
    </w:p>
    <w:p w14:paraId="18CC0B49" w14:textId="77777777" w:rsidR="00F02AA2" w:rsidRDefault="00F02AA2" w:rsidP="00E26D7A">
      <w:pPr>
        <w:pStyle w:val="NormalWeb"/>
        <w:spacing w:line="360" w:lineRule="auto"/>
        <w:jc w:val="both"/>
        <w:rPr>
          <w:lang w:val="en-US"/>
        </w:rPr>
      </w:pPr>
    </w:p>
    <w:p w14:paraId="66D9A41E" w14:textId="77777777" w:rsidR="00BA763C" w:rsidRDefault="00BA763C" w:rsidP="00E26D7A">
      <w:pPr>
        <w:pStyle w:val="NormalWeb"/>
        <w:spacing w:line="360" w:lineRule="auto"/>
        <w:jc w:val="both"/>
        <w:rPr>
          <w:lang w:val="en-US"/>
        </w:rPr>
      </w:pPr>
    </w:p>
    <w:p w14:paraId="467A005E" w14:textId="77777777" w:rsidR="00B71D49" w:rsidRDefault="00B71D49" w:rsidP="00E26D7A">
      <w:pPr>
        <w:pStyle w:val="NormalWeb"/>
        <w:spacing w:line="360" w:lineRule="auto"/>
        <w:jc w:val="both"/>
        <w:rPr>
          <w:lang w:val="en-US"/>
        </w:rPr>
      </w:pPr>
    </w:p>
    <w:p w14:paraId="516CFE73" w14:textId="77777777" w:rsidR="00B71D49" w:rsidRDefault="00B71D49" w:rsidP="00F81B18">
      <w:pPr>
        <w:pStyle w:val="NormalWeb"/>
        <w:spacing w:line="360" w:lineRule="auto"/>
        <w:jc w:val="center"/>
        <w:rPr>
          <w:lang w:val="en-US"/>
        </w:rPr>
      </w:pPr>
    </w:p>
    <w:p w14:paraId="2BC08762" w14:textId="77777777" w:rsidR="00790D01" w:rsidRDefault="00790D01" w:rsidP="00E26D7A">
      <w:pPr>
        <w:pStyle w:val="NormalWeb"/>
        <w:spacing w:line="360" w:lineRule="auto"/>
        <w:jc w:val="both"/>
        <w:rPr>
          <w:lang w:val="en-US"/>
        </w:rPr>
      </w:pPr>
    </w:p>
    <w:p w14:paraId="2EDB0AAD" w14:textId="7F358AF3" w:rsidR="00B71D49" w:rsidRPr="002173CD" w:rsidRDefault="00790D01" w:rsidP="00790D01">
      <w:pPr>
        <w:pStyle w:val="NormalWeb"/>
        <w:spacing w:line="360" w:lineRule="auto"/>
        <w:jc w:val="both"/>
        <w:rPr>
          <w:b/>
          <w:lang w:val="en-US"/>
        </w:rPr>
      </w:pPr>
      <w:r w:rsidRPr="002173CD">
        <w:rPr>
          <w:b/>
          <w:lang w:val="en-US"/>
        </w:rPr>
        <w:t>Figure5:</w:t>
      </w:r>
      <w:r w:rsidR="002173CD" w:rsidRPr="002173CD">
        <w:rPr>
          <w:b/>
          <w:lang w:val="en-US"/>
        </w:rPr>
        <w:t xml:space="preserve"> Digital Elevation Model (DEM) of the city of </w:t>
      </w:r>
      <w:proofErr w:type="spellStart"/>
      <w:r w:rsidR="002173CD" w:rsidRPr="002173CD">
        <w:rPr>
          <w:b/>
          <w:lang w:val="en-US"/>
        </w:rPr>
        <w:t>Uvira</w:t>
      </w:r>
      <w:proofErr w:type="spellEnd"/>
    </w:p>
    <w:p w14:paraId="24356577" w14:textId="59E6E9B4" w:rsidR="009A73D3" w:rsidRPr="009A73D3" w:rsidRDefault="00790D01" w:rsidP="009A73D3">
      <w:pPr>
        <w:pStyle w:val="Titre3"/>
        <w:spacing w:before="0" w:beforeAutospacing="0" w:after="0" w:afterAutospacing="0" w:line="360" w:lineRule="auto"/>
        <w:jc w:val="both"/>
        <w:rPr>
          <w:sz w:val="24"/>
          <w:szCs w:val="24"/>
          <w:lang w:val="en-US"/>
        </w:rPr>
      </w:pPr>
      <w:r>
        <w:rPr>
          <w:sz w:val="24"/>
          <w:szCs w:val="24"/>
          <w:lang w:val="en-US"/>
        </w:rPr>
        <w:t>3.5</w:t>
      </w:r>
      <w:r w:rsidR="009A73D3" w:rsidRPr="009A73D3">
        <w:rPr>
          <w:sz w:val="24"/>
          <w:szCs w:val="24"/>
          <w:lang w:val="en-US"/>
        </w:rPr>
        <w:t>. Geomorphological Analysis and Topographic Control of Flood Hazards</w:t>
      </w:r>
    </w:p>
    <w:p w14:paraId="2F825F2C" w14:textId="6B231F98" w:rsidR="009A73D3" w:rsidRPr="009A73D3" w:rsidRDefault="009A73D3" w:rsidP="009A73D3">
      <w:pPr>
        <w:pStyle w:val="NormalWeb"/>
        <w:spacing w:before="0" w:beforeAutospacing="0" w:after="0" w:afterAutospacing="0" w:line="360" w:lineRule="auto"/>
        <w:jc w:val="both"/>
        <w:rPr>
          <w:lang w:val="en-US"/>
        </w:rPr>
      </w:pPr>
      <w:r w:rsidRPr="009A73D3">
        <w:rPr>
          <w:lang w:val="en-US"/>
        </w:rPr>
        <w:t>The Digital Elevatio</w:t>
      </w:r>
      <w:r w:rsidR="0020690F">
        <w:rPr>
          <w:lang w:val="en-US"/>
        </w:rPr>
        <w:t xml:space="preserve">n Model (DEM) of </w:t>
      </w:r>
      <w:proofErr w:type="spellStart"/>
      <w:r w:rsidR="0020690F">
        <w:rPr>
          <w:lang w:val="en-US"/>
        </w:rPr>
        <w:t>Uvira</w:t>
      </w:r>
      <w:proofErr w:type="spellEnd"/>
      <w:r w:rsidRPr="009A73D3">
        <w:rPr>
          <w:lang w:val="en-US"/>
        </w:rPr>
        <w:t xml:space="preserve"> depicts a sharply contrasted topographic setting, marked by a pronounced altitudinal gradient extending from approximately 760 m along the shoreline of Lake Tanganyika to 1,181 m at the foothills of the Mitumba Mountains over a horizontal distance of less than 5 km. Such an abrupt relief configuration constitutes a fundamental control on the city’s hydrological </w:t>
      </w:r>
      <w:proofErr w:type="spellStart"/>
      <w:r w:rsidR="009810EF" w:rsidRPr="006928A7">
        <w:rPr>
          <w:lang w:val="en-US"/>
        </w:rPr>
        <w:t>behaviour</w:t>
      </w:r>
      <w:proofErr w:type="spellEnd"/>
      <w:r w:rsidRPr="009A73D3">
        <w:rPr>
          <w:lang w:val="en-US"/>
        </w:rPr>
        <w:t>. The rapid transition from steep upstream slopes (red to orange classes) to the low-lying coastal plain (dark green classes) generates a pronounced “funnel effect,” whereby gravitational forces concentrate and accelerate surface runoff from the upland catchments toward the densely urbanized littoral zone.</w:t>
      </w:r>
    </w:p>
    <w:p w14:paraId="3789E5C3" w14:textId="32EC4F04" w:rsidR="009A73D3" w:rsidRPr="009A73D3" w:rsidRDefault="006928A7" w:rsidP="009A73D3">
      <w:pPr>
        <w:pStyle w:val="NormalWeb"/>
        <w:spacing w:before="0" w:beforeAutospacing="0" w:after="0" w:afterAutospacing="0" w:line="360" w:lineRule="auto"/>
        <w:jc w:val="both"/>
        <w:rPr>
          <w:lang w:val="en-US"/>
        </w:rPr>
      </w:pPr>
      <w:r w:rsidRPr="00A64369">
        <w:rPr>
          <w:lang w:val="en-US"/>
        </w:rPr>
        <w:t>Considering a flood-risk assessment perspective, the geomorphological context establishes a condition of structurally embedded hydrological vulnerability. In catchments characterized by steep relief and short flow paths, the time of concentration is markedly reduced, resulting in rapid hydrological responses to intense rainfall events.</w:t>
      </w:r>
      <w:r>
        <w:rPr>
          <w:lang w:val="en-US"/>
        </w:rPr>
        <w:t xml:space="preserve"> </w:t>
      </w:r>
      <w:r w:rsidR="0020690F">
        <w:rPr>
          <w:lang w:val="en-US"/>
        </w:rPr>
        <w:fldChar w:fldCharType="begin"/>
      </w:r>
      <w:r w:rsidR="0020690F">
        <w:rPr>
          <w:lang w:val="en-US"/>
        </w:rPr>
        <w:instrText xml:space="preserve"> ADDIN ZOTERO_ITEM CSL_CITATION {"citationID":"pvAF2ap9","properties":{"formattedCitation":"(Rwanyiziri et al., 2020)","plainCitation":"(Rwanyiziri et al., 2020)","noteIndex":0},"citationItems":[{"id":551,"uris":["http://zotero.org/users/13682081/items/9FUE6QD9"],"itemData":{"id":551,"type":"article-journal","container-title":"Journal of Applied Sciences and Environmental Management","issue":"9","page":"1495–1501","source":"Google Scholar","title":"Spatio-temporal analysis of urban growth and its effects on wetlands in Rwanda: the case of Rwampara wetland in the city of Kigali","title-short":"Spatio-temporal analysis of urban growth and its effects on wetlands in Rwanda","URL":"https://www.ajol.info/index.php/jasem/article/view/200601","volume":"24","author":[{"family":"Rwanyiziri","given":"G."},{"family":"Kayitesi","given":"C."},{"family":"Mugabowindekwe","given":"M."},{"family":"Byizigiro","given":"R. V."},{"family":"Muyombano","given":"E."},{"family":"Kagabika","given":"M. B."},{"family":"Bimenyimana","given":"T."}],"accessed":{"date-parts":[["2026",1,5]]},"issued":{"date-parts":[["2020"]]}}}],"schema":"https://github.com/citation-style-language/schema/raw/master/csl-citation.json"} </w:instrText>
      </w:r>
      <w:r w:rsidR="0020690F">
        <w:rPr>
          <w:lang w:val="en-US"/>
        </w:rPr>
        <w:fldChar w:fldCharType="separate"/>
      </w:r>
      <w:r w:rsidR="0020690F" w:rsidRPr="0020690F">
        <w:rPr>
          <w:lang w:val="en-US"/>
        </w:rPr>
        <w:t>(Rwanyiziri et al., 2020)</w:t>
      </w:r>
      <w:r w:rsidR="0020690F">
        <w:rPr>
          <w:lang w:val="en-US"/>
        </w:rPr>
        <w:fldChar w:fldCharType="end"/>
      </w:r>
      <w:r w:rsidR="0020690F">
        <w:rPr>
          <w:lang w:val="en-US"/>
        </w:rPr>
        <w:t xml:space="preserve">. </w:t>
      </w:r>
      <w:r w:rsidR="009A73D3" w:rsidRPr="009A73D3">
        <w:rPr>
          <w:lang w:val="en-US"/>
        </w:rPr>
        <w:t>When this inherent topographic constraint is combined with the substantial loss of vegetation cover documented in Section 3.1 (−39.6% between 1990 and 2024), the system shifts from a regime of seasonal runoff to one dominated by high-magnitude flash floods. The removal of vegetative roughness on slopes between 760 m and 1,181 m has effectively dismantled the natural hydraulic “braking mechanisms” of the watershed, allowing high-energy flows to propagate downslope and exceed the conveyance capacity of the urban drainage network in the lower elevation zones (&lt;780 m).</w:t>
      </w:r>
    </w:p>
    <w:p w14:paraId="40404E52" w14:textId="77777777" w:rsidR="00B71D49" w:rsidRPr="00E26D7A" w:rsidRDefault="009A73D3" w:rsidP="009A73D3">
      <w:pPr>
        <w:pStyle w:val="NormalWeb"/>
        <w:spacing w:before="0" w:beforeAutospacing="0" w:after="0" w:afterAutospacing="0" w:line="360" w:lineRule="auto"/>
        <w:jc w:val="both"/>
        <w:rPr>
          <w:lang w:val="en-US"/>
        </w:rPr>
      </w:pPr>
      <w:r w:rsidRPr="009A73D3">
        <w:rPr>
          <w:lang w:val="en-US"/>
        </w:rPr>
        <w:t xml:space="preserve">In addition, the DEM analysis reveals a critical spatial convergence between geomorphological accumulation zones and patterns of urban settlement. The most densely populated neighborhoods of </w:t>
      </w:r>
      <w:proofErr w:type="spellStart"/>
      <w:r w:rsidRPr="009A73D3">
        <w:rPr>
          <w:lang w:val="en-US"/>
        </w:rPr>
        <w:t>Uvira</w:t>
      </w:r>
      <w:proofErr w:type="spellEnd"/>
      <w:r w:rsidRPr="009A73D3">
        <w:rPr>
          <w:lang w:val="en-US"/>
        </w:rPr>
        <w:t xml:space="preserve"> are located within the low-elevation coastal plain, where flow accumulation and sediment deposition are maximized. This superposition of high-exposure land uses onto high-hazard geomorphological units illustrates a classic case of “geomorphological blindness” in urban and territorial planning, as described by </w:t>
      </w:r>
      <w:r w:rsidR="00737230">
        <w:rPr>
          <w:lang w:val="en-US"/>
        </w:rPr>
        <w:fldChar w:fldCharType="begin"/>
      </w:r>
      <w:r w:rsidR="00737230">
        <w:rPr>
          <w:lang w:val="en-US"/>
        </w:rPr>
        <w:instrText xml:space="preserve"> ADDIN ZOTERO_ITEM CSL_CITATION {"citationID":"ZQ3kVluR","properties":{"formattedCitation":"(Heri-Kazi &amp; Bielders, 2021)","plainCitation":"(Heri-Kazi &amp; Bielders, 2021)","noteIndex":0},"citationItems":[{"id":500,"uris":["http://zotero.org/users/13682081/items/Z6SUEMIU"],"itemData":{"id":500,"type":"article-journal","container-title":"Geoderma Regional","note":"publisher: Elsevier","page":"e00404","source":"Google Scholar","title":"Cropland characteristics and extent of soil loss by rill and gully erosion in smallholder farms in the KIVU highlands, DR Congo","URL":"https://www.sciencedirect.com/science/article/pii/S2352009421000493","volume":"26","author":[{"family":"Heri-Kazi","given":"Aimé B."},{"family":"Bielders","given":"Charles L."}],"accessed":{"date-parts":[["2026",1,4]]},"issued":{"date-parts":[["2021"]]}}}],"schema":"https://github.com/citation-style-language/schema/raw/master/csl-citation.json"} </w:instrText>
      </w:r>
      <w:r w:rsidR="00737230">
        <w:rPr>
          <w:lang w:val="en-US"/>
        </w:rPr>
        <w:fldChar w:fldCharType="separate"/>
      </w:r>
      <w:r w:rsidR="00737230" w:rsidRPr="00737230">
        <w:rPr>
          <w:lang w:val="en-US"/>
        </w:rPr>
        <w:t>Heri-Kazi &amp; Bielders, 2021</w:t>
      </w:r>
      <w:r w:rsidR="00737230">
        <w:rPr>
          <w:lang w:val="en-US"/>
        </w:rPr>
        <w:fldChar w:fldCharType="end"/>
      </w:r>
      <w:r w:rsidRPr="009A73D3">
        <w:rPr>
          <w:lang w:val="en-US"/>
        </w:rPr>
        <w:t xml:space="preserve">. The expansion of water surfaces detected through NDWI analysis in 2024 (Section 3.5) is spatially constrained to these same low-lying sectors, demonstrating that the observed “coastal squeeze” is not solely driven by climatic variability but is strongly dictated by topographic controls. Accordingly, effective and sustainable flood mitigation in </w:t>
      </w:r>
      <w:proofErr w:type="spellStart"/>
      <w:r w:rsidRPr="009A73D3">
        <w:rPr>
          <w:lang w:val="en-US"/>
        </w:rPr>
        <w:t>Uvira</w:t>
      </w:r>
      <w:proofErr w:type="spellEnd"/>
      <w:r w:rsidRPr="009A73D3">
        <w:rPr>
          <w:lang w:val="en-US"/>
        </w:rPr>
        <w:t xml:space="preserve"> must prioritize interventions at the catchment scale, particularly the restoration of upstream </w:t>
      </w:r>
      <w:r w:rsidRPr="009A73D3">
        <w:rPr>
          <w:lang w:val="en-US"/>
        </w:rPr>
        <w:lastRenderedPageBreak/>
        <w:t>vegetative buffers capable of dissipating runoff energy before it reaches the vulnerable coastal plain</w:t>
      </w:r>
      <w:r w:rsidR="00B25888">
        <w:rPr>
          <w:lang w:val="en-US"/>
        </w:rPr>
        <w:t xml:space="preserve"> </w:t>
      </w:r>
      <w:r w:rsidR="00B25888">
        <w:rPr>
          <w:lang w:val="en-US"/>
        </w:rPr>
        <w:fldChar w:fldCharType="begin"/>
      </w:r>
      <w:r w:rsidR="00B25888">
        <w:rPr>
          <w:lang w:val="en-US"/>
        </w:rPr>
        <w:instrText xml:space="preserve"> ADDIN ZOTERO_ITEM CSL_CITATION {"citationID":"S5FitpVg","properties":{"formattedCitation":"(Walsh et al., 2005)","plainCitation":"(Walsh et al., 2005)","noteIndex":0},"citationItems":[{"id":534,"uris":["http://zotero.org/users/13682081/items/GDWSFNVZ"],"itemData":{"id":534,"type":"article-journal","container-title":"Journal of the North American Benthological Society","DOI":"10.1899/04-028.1","ISSN":"0887-3593, 1937-237X","issue":"3","journalAbbreviation":"Journal of the North American Benthological Society","language":"en","page":"706-723","source":"DOI.org (Crossref)","title":"The urban stream syndrome: current knowledge and the search for a cure","title-short":"The urban stream syndrome","URL":"https://www.journals.uchicago.edu/doi/10.1899/04-028.1","volume":"24","author":[{"family":"Walsh","given":"Christopher J."},{"family":"Roy","given":"Allison H."},{"family":"Feminella","given":"Jack W."},{"family":"Cottingham","given":"Peter D."},{"family":"Groffman","given":"Peter M."},{"family":"Morgan","given":"Raymond P."}],"accessed":{"date-parts":[["2026",1,4]]},"issued":{"date-parts":[["2005",9]]}}}],"schema":"https://github.com/citation-style-language/schema/raw/master/csl-citation.json"} </w:instrText>
      </w:r>
      <w:r w:rsidR="00B25888">
        <w:rPr>
          <w:lang w:val="en-US"/>
        </w:rPr>
        <w:fldChar w:fldCharType="separate"/>
      </w:r>
      <w:r w:rsidR="00B25888" w:rsidRPr="00B25888">
        <w:rPr>
          <w:lang w:val="en-US"/>
        </w:rPr>
        <w:t>(Walsh et al., 2005</w:t>
      </w:r>
      <w:r w:rsidR="00B25888">
        <w:rPr>
          <w:lang w:val="en-US"/>
        </w:rPr>
        <w:fldChar w:fldCharType="end"/>
      </w:r>
      <w:r w:rsidR="00B25888">
        <w:rPr>
          <w:lang w:val="en-US"/>
        </w:rPr>
        <w:t xml:space="preserve">; </w:t>
      </w:r>
      <w:r w:rsidR="00576847">
        <w:rPr>
          <w:lang w:val="en-US"/>
        </w:rPr>
        <w:fldChar w:fldCharType="begin"/>
      </w:r>
      <w:r w:rsidR="00576847">
        <w:rPr>
          <w:lang w:val="en-US"/>
        </w:rPr>
        <w:instrText xml:space="preserve"> ADDIN ZOTERO_ITEM CSL_CITATION {"citationID":"9JaArjzA","properties":{"formattedCitation":"(FAO, 2020)","plainCitation":"(FAO, 2020)","noteIndex":0},"citationItems":[{"id":486,"uris":["http://zotero.org/users/13682081/items/UYDBV37V"],"itemData":{"id":486,"type":"article-journal","source":"Google Scholar","title":"Global Forest Resources Assessment 2020: Main report. Rome","title-short":"Global Forest Resources Assessment 2020","author":[{"literal":"FAO"}],"issued":{"date-parts":[["2020"]]}}}],"schema":"https://github.com/citation-style-language/schema/raw/master/csl-citation.json"} </w:instrText>
      </w:r>
      <w:r w:rsidR="00576847">
        <w:rPr>
          <w:lang w:val="en-US"/>
        </w:rPr>
        <w:fldChar w:fldCharType="separate"/>
      </w:r>
      <w:r w:rsidR="00576847" w:rsidRPr="00576847">
        <w:rPr>
          <w:lang w:val="en-US"/>
        </w:rPr>
        <w:t>FAO, 2020</w:t>
      </w:r>
      <w:r w:rsidR="00576847">
        <w:rPr>
          <w:lang w:val="en-US"/>
        </w:rPr>
        <w:fldChar w:fldCharType="end"/>
      </w:r>
      <w:r w:rsidR="00B25888">
        <w:rPr>
          <w:lang w:val="en-US"/>
        </w:rPr>
        <w:t>)</w:t>
      </w:r>
      <w:r w:rsidRPr="009A73D3">
        <w:rPr>
          <w:lang w:val="en-US"/>
        </w:rPr>
        <w:t>.</w:t>
      </w:r>
    </w:p>
    <w:p w14:paraId="7E096984" w14:textId="068AEBAF" w:rsidR="00E504DC" w:rsidRPr="00E504DC" w:rsidRDefault="008B6AAD" w:rsidP="00E504DC">
      <w:pPr>
        <w:pStyle w:val="Titre2"/>
        <w:spacing w:before="0" w:line="360" w:lineRule="auto"/>
        <w:jc w:val="both"/>
        <w:rPr>
          <w:rFonts w:ascii="Times New Roman" w:hAnsi="Times New Roman" w:cs="Times New Roman"/>
          <w:b/>
          <w:color w:val="auto"/>
          <w:sz w:val="24"/>
          <w:szCs w:val="24"/>
          <w:lang w:val="en-US"/>
        </w:rPr>
      </w:pPr>
      <w:r w:rsidRPr="00E504DC">
        <w:rPr>
          <w:rFonts w:ascii="Times New Roman" w:hAnsi="Times New Roman" w:cs="Times New Roman"/>
          <w:b/>
          <w:color w:val="auto"/>
          <w:sz w:val="24"/>
          <w:szCs w:val="24"/>
          <w:lang w:val="en-US"/>
        </w:rPr>
        <w:t>4. DISCUSSION</w:t>
      </w:r>
    </w:p>
    <w:p w14:paraId="4A21E2F7" w14:textId="77777777" w:rsidR="00E504DC" w:rsidRPr="00E504DC" w:rsidRDefault="00E504DC" w:rsidP="00E504DC">
      <w:pPr>
        <w:pStyle w:val="Titre3"/>
        <w:spacing w:before="0" w:beforeAutospacing="0" w:line="360" w:lineRule="auto"/>
        <w:jc w:val="both"/>
        <w:rPr>
          <w:sz w:val="24"/>
          <w:szCs w:val="24"/>
          <w:lang w:val="en-US"/>
        </w:rPr>
      </w:pPr>
      <w:r w:rsidRPr="00E504DC">
        <w:rPr>
          <w:sz w:val="24"/>
          <w:szCs w:val="24"/>
          <w:lang w:val="en-US"/>
        </w:rPr>
        <w:t>4.1. Anthropogenic Drivers of Landscape Fragmentation and Land Degradation</w:t>
      </w:r>
    </w:p>
    <w:p w14:paraId="110CFADF" w14:textId="77777777" w:rsidR="00E504DC" w:rsidRPr="00E504DC" w:rsidRDefault="00E504DC" w:rsidP="00E504DC">
      <w:pPr>
        <w:pStyle w:val="NormalWeb"/>
        <w:spacing w:line="360" w:lineRule="auto"/>
        <w:jc w:val="both"/>
        <w:rPr>
          <w:lang w:val="en-US"/>
        </w:rPr>
      </w:pPr>
      <w:r w:rsidRPr="00E504DC">
        <w:rPr>
          <w:lang w:val="en-US"/>
        </w:rPr>
        <w:t xml:space="preserve">The documented 39.6% reduction in vegetation cover between 1990 and 2024 reflects a profound ecological transition in the city of </w:t>
      </w:r>
      <w:proofErr w:type="spellStart"/>
      <w:r w:rsidRPr="00E504DC">
        <w:rPr>
          <w:lang w:val="en-US"/>
        </w:rPr>
        <w:t>Uvira</w:t>
      </w:r>
      <w:proofErr w:type="spellEnd"/>
      <w:r w:rsidRPr="00E504DC">
        <w:rPr>
          <w:lang w:val="en-US"/>
        </w:rPr>
        <w:t xml:space="preserve">, driven predominantly by unplanned urban expansion and agricultural encroachment into peri-urban and hillside areas. This trajectory is consistent with the forest transition framework observed across Sub-Saharan Africa, where rapid demographic growth in secondary cities accelerates the depletion of green infrastructure and natural buffer zones </w:t>
      </w:r>
      <w:r w:rsidR="00EC47E9">
        <w:rPr>
          <w:lang w:val="en-US"/>
        </w:rPr>
        <w:fldChar w:fldCharType="begin"/>
      </w:r>
      <w:r w:rsidR="00EC47E9">
        <w:rPr>
          <w:lang w:val="en-US"/>
        </w:rPr>
        <w:instrText xml:space="preserve"> ADDIN ZOTERO_ITEM CSL_CITATION {"citationID":"JRPK5z38","properties":{"formattedCitation":"(Lambin &amp; Meyfroidt, 2011b)","plainCitation":"(Lambin &amp; Meyfroidt, 2011b)","noteIndex":0},"citationItems":[{"id":555,"uris":["http://zotero.org/users/13682081/items/GISZBTXY"],"itemData":{"id":555,"type":"article-journal","abstract":"A central challenge for sustainability is how to preserve forest ecosystems and the services that they provide us while enhancing food production. This challenge for developing countries confronts the force of economic globalization, which seeks cropland that is shrinking in availability and triggers deforestation. Four mechanisms—the displacement, rebound, cascade, and remittance effects—that are amplified by economic globalization accelerate land conversion. A few developing countries have managed a land use transition over the recent decades that simultaneously increased their forest cover and agricultural production. These countries have relied on various mixes of agricultural intensification, land use zoning, forest protection, increased reliance on imported food and wood products, the creation of off-farm jobs, foreign capital investments, and remittances. Sound policies and innovations can therefore reconcile forest preservation with food production. Globalization can be harnessed to increase land use efficiency rather than leading to uncontrolled land use expansion. To do so, land systems should be understood and modeled as open systems with large flows of goods, people, and capital that connect local land use with global-scale factors.","container-title":"Proceedings of the National Academy of Sciences","DOI":"10.1073/pnas.1100480108","ISSN":"0027-8424, 1091-6490","issue":"9","journalAbbreviation":"Proc. Natl. Acad. Sci. U.S.A.","language":"en","page":"3465-3472","source":"DOI.org (Crossref)","title":"Global land use change, economic globalization, and the looming land scarcity","URL":"https://pnas.org/doi/full/10.1073/pnas.1100480108","volume":"108","author":[{"family":"Lambin","given":"Eric F."},{"family":"Meyfroidt","given":"Patrick"}],"accessed":{"date-parts":[["2026",1,5]]},"issued":{"date-parts":[["2011",3]]}}}],"schema":"https://github.com/citation-style-language/schema/raw/master/csl-citation.json"} </w:instrText>
      </w:r>
      <w:r w:rsidR="00EC47E9">
        <w:rPr>
          <w:lang w:val="en-US"/>
        </w:rPr>
        <w:fldChar w:fldCharType="separate"/>
      </w:r>
      <w:r w:rsidR="00EC47E9" w:rsidRPr="00EC47E9">
        <w:rPr>
          <w:lang w:val="en-US"/>
        </w:rPr>
        <w:t>(Lambin &amp; Meyfroidt, 2011b)</w:t>
      </w:r>
      <w:r w:rsidR="00EC47E9">
        <w:rPr>
          <w:lang w:val="en-US"/>
        </w:rPr>
        <w:fldChar w:fldCharType="end"/>
      </w:r>
      <w:r w:rsidR="00EC47E9">
        <w:rPr>
          <w:lang w:val="en-US"/>
        </w:rPr>
        <w:t xml:space="preserve">. </w:t>
      </w:r>
      <w:r w:rsidRPr="00E504DC">
        <w:rPr>
          <w:lang w:val="en-US"/>
        </w:rPr>
        <w:t xml:space="preserve">The </w:t>
      </w:r>
      <w:proofErr w:type="spellStart"/>
      <w:r w:rsidRPr="00E504DC">
        <w:rPr>
          <w:lang w:val="en-US"/>
        </w:rPr>
        <w:t>sixfold</w:t>
      </w:r>
      <w:proofErr w:type="spellEnd"/>
      <w:r w:rsidRPr="00E504DC">
        <w:rPr>
          <w:lang w:val="en-US"/>
        </w:rPr>
        <w:t xml:space="preserve"> increase in bare soils recorded since 2010 represents a critical indicator of land degradation, highlighting the progressive removal of soil-stabilizing root systems and the exposure of steep slopes to intensified erosive processes.</w:t>
      </w:r>
    </w:p>
    <w:p w14:paraId="3A00E805" w14:textId="77777777" w:rsidR="00E504DC" w:rsidRPr="00E504DC" w:rsidRDefault="00E504DC" w:rsidP="00E504DC">
      <w:pPr>
        <w:pStyle w:val="NormalWeb"/>
        <w:spacing w:line="360" w:lineRule="auto"/>
        <w:jc w:val="both"/>
        <w:rPr>
          <w:lang w:val="en-US"/>
        </w:rPr>
      </w:pPr>
      <w:r w:rsidRPr="00E504DC">
        <w:rPr>
          <w:lang w:val="en-US"/>
        </w:rPr>
        <w:t xml:space="preserve">Beyond spatial transformation, these land-cover changes entail a functional degradation of the landscape. As emphasized by </w:t>
      </w:r>
      <w:r w:rsidR="00151B32">
        <w:rPr>
          <w:lang w:val="en-US"/>
        </w:rPr>
        <w:fldChar w:fldCharType="begin"/>
      </w:r>
      <w:r w:rsidR="00151B32">
        <w:rPr>
          <w:lang w:val="en-US"/>
        </w:rPr>
        <w:instrText xml:space="preserve"> ADDIN ZOTERO_ITEM CSL_CITATION {"citationID":"FXEmgkF1","properties":{"formattedCitation":"(Seto et al., 2012)","plainCitation":"(Seto et al., 2012)","noteIndex":0},"citationItems":[{"id":528,"uris":["http://zotero.org/users/13682081/items/CKWKAYUN"],"itemData":{"id":528,"type":"article-journal","abstract":"Urban land-cover change threatens biodiversity and affects ecosystem productivity through loss of habitat, biomass, and carbon storage. However, despite projections that world urban populations will increase to nearly 5 billion by 2030, little is known about future locations, magnitudes, and rates of urban expansion. Here we develop spatially explicit probabilistic forecasts of global urban land-cover change and explore the direct impacts on biodiversity hotspots and tropical carbon biomass. If current trends in population density continue and all areas with high probabilities of urban expansion undergo change, then by 2030, urban land cover will increase by 1.2 million km\n              2\n              , nearly tripling the global urban land area circa 2000. This increase would result in considerable loss of habitats in key biodiversity hotspots, with the highest rates of forecasted urban growth to take place in regions that were relatively undisturbed by urban development in 2000: the Eastern Afromontane, the Guinean Forests of West Africa, and the Western Ghats and Sri Lanka hotspots. Within the pan-tropics, loss in vegetation biomass from areas with high probability of urban expansion is estimated to be 1.38 PgC (0.05 PgC yr\n              −1\n              ), equal to </w:instrText>
      </w:r>
      <w:r w:rsidR="00151B32">
        <w:rPr>
          <w:rFonts w:ascii="Cambria Math" w:hAnsi="Cambria Math" w:cs="Cambria Math"/>
          <w:lang w:val="en-US"/>
        </w:rPr>
        <w:instrText>∼</w:instrText>
      </w:r>
      <w:r w:rsidR="00151B32">
        <w:rPr>
          <w:lang w:val="en-US"/>
        </w:rPr>
        <w:instrText xml:space="preserve">5% of emissions from tropical deforestation and land-use change. Although urbanization is often considered a local issue, the aggregate global impacts of projected urban expansion will require significant policy changes to affect future growth trajectories to minimize global biodiversity and vegetation carbon losses.","container-title":"Proceedings of the National Academy of Sciences","DOI":"10.1073/pnas.1211658109","ISSN":"0027-8424, 1091-6490","issue":"40","journalAbbreviation":"Proc. Natl. Acad. Sci. U.S.A.","language":"en","page":"16083-16088","source":"DOI.org (Crossref)","title":"Global forecasts of urban expansion to 2030 and direct impacts on biodiversity and carbon pools","URL":"https://pnas.org/doi/full/10.1073/pnas.1211658109","volume":"109","author":[{"family":"Seto","given":"Karen C."},{"family":"Güneralp","given":"Burak"},{"family":"Hutyra","given":"Lucy R."}],"accessed":{"date-parts":[["2026",1,4]]},"issued":{"date-parts":[["2012",10,2]]}}}],"schema":"https://github.com/citation-style-language/schema/raw/master/csl-citation.json"} </w:instrText>
      </w:r>
      <w:r w:rsidR="00151B32">
        <w:rPr>
          <w:lang w:val="en-US"/>
        </w:rPr>
        <w:fldChar w:fldCharType="separate"/>
      </w:r>
      <w:r w:rsidR="00151B32" w:rsidRPr="00151B32">
        <w:rPr>
          <w:lang w:val="en-US"/>
        </w:rPr>
        <w:t>Seto et al., 2012</w:t>
      </w:r>
      <w:r w:rsidR="00151B32">
        <w:rPr>
          <w:lang w:val="en-US"/>
        </w:rPr>
        <w:fldChar w:fldCharType="end"/>
      </w:r>
      <w:r w:rsidR="00151B32">
        <w:rPr>
          <w:lang w:val="en-US"/>
        </w:rPr>
        <w:t xml:space="preserve">, </w:t>
      </w:r>
      <w:r w:rsidRPr="00E504DC">
        <w:rPr>
          <w:lang w:val="en-US"/>
        </w:rPr>
        <w:t xml:space="preserve">the replacement of vegetated surfaces with impervious or degraded land fundamentally alters surface energy exchanges, carbon storage capacity, and ecosystem resilience. In the case of </w:t>
      </w:r>
      <w:proofErr w:type="spellStart"/>
      <w:r w:rsidRPr="00E504DC">
        <w:rPr>
          <w:lang w:val="en-US"/>
        </w:rPr>
        <w:t>Uvira</w:t>
      </w:r>
      <w:proofErr w:type="spellEnd"/>
      <w:r w:rsidRPr="00E504DC">
        <w:rPr>
          <w:lang w:val="en-US"/>
        </w:rPr>
        <w:t>, the fragmentation of vegetation has effectively weakened the ecological integrity of the urban–mountain interface, locking the system into a trajectory of increasing environmental vulnerability.</w:t>
      </w:r>
    </w:p>
    <w:p w14:paraId="4FD1EBB2" w14:textId="77777777" w:rsidR="00E504DC" w:rsidRPr="00E504DC" w:rsidRDefault="00E504DC" w:rsidP="00E504DC">
      <w:pPr>
        <w:pStyle w:val="Titre3"/>
        <w:spacing w:line="360" w:lineRule="auto"/>
        <w:jc w:val="both"/>
        <w:rPr>
          <w:sz w:val="24"/>
          <w:szCs w:val="24"/>
          <w:lang w:val="en-US"/>
        </w:rPr>
      </w:pPr>
      <w:r w:rsidRPr="00E504DC">
        <w:rPr>
          <w:sz w:val="24"/>
          <w:szCs w:val="24"/>
          <w:lang w:val="en-US"/>
        </w:rPr>
        <w:t>4.2. The Nexus Between Vegetation Loss and Hydrological Hazard Amplification</w:t>
      </w:r>
    </w:p>
    <w:p w14:paraId="434BEA60" w14:textId="77777777" w:rsidR="00E504DC" w:rsidRPr="00E504DC" w:rsidRDefault="00E504DC" w:rsidP="00E504DC">
      <w:pPr>
        <w:pStyle w:val="NormalWeb"/>
        <w:spacing w:line="360" w:lineRule="auto"/>
        <w:jc w:val="both"/>
        <w:rPr>
          <w:lang w:val="en-US"/>
        </w:rPr>
      </w:pPr>
      <w:r w:rsidRPr="00E504DC">
        <w:rPr>
          <w:lang w:val="en-US"/>
        </w:rPr>
        <w:t xml:space="preserve">The strong correspondence between declining NDVI values and the 7.8% expansion of water surfaces derived from NDWI analysis provides robust empirical evidence of the link between vegetation loss and flood hazard amplification. The systematic degradation of the vegetative mantle has undermined two critical ecosystem services: rainfall interception by canopy cover and soil infiltration facilitated by root networks. The collapse of these functions has triggered hydrological responses consistent with the “urban stream syndrome,” whereby reduced surface roughness accelerates the transformation of rainfall into rapid surface runoff </w:t>
      </w:r>
      <w:r w:rsidR="002139C8">
        <w:rPr>
          <w:lang w:val="en-US"/>
        </w:rPr>
        <w:fldChar w:fldCharType="begin"/>
      </w:r>
      <w:r w:rsidR="002139C8">
        <w:rPr>
          <w:lang w:val="en-US"/>
        </w:rPr>
        <w:instrText xml:space="preserve"> ADDIN ZOTERO_ITEM CSL_CITATION {"citationID":"G4RRolwP","properties":{"formattedCitation":"(Walsh et al., 2005)","plainCitation":"(Walsh et al., 2005)","noteIndex":0},"citationItems":[{"id":534,"uris":["http://zotero.org/users/13682081/items/GDWSFNVZ"],"itemData":{"id":534,"type":"article-journal","container-title":"Journal of the North American Benthological Society","DOI":"10.1899/04-028.1","ISSN":"0887-3593, 1937-237X","issue":"3","journalAbbreviation":"Journal of the North American Benthological Society","language":"en","page":"706-723","source":"DOI.org (Crossref)","title":"The urban stream syndrome: current knowledge and the search for a cure","title-short":"The urban stream syndrome","URL":"https://www.journals.uchicago.edu/doi/10.1899/04-028.1","volume":"24","author":[{"family":"Walsh","given":"Christopher J."},{"family":"Roy","given":"Allison H."},{"family":"Feminella","given":"Jack W."},{"family":"Cottingham","given":"Peter D."},{"family":"Groffman","given":"Peter M."},{"family":"Morgan","given":"Raymond P."}],"accessed":{"date-parts":[["2026",1,4]]},"issued":{"date-parts":[["2005",9]]}}}],"schema":"https://github.com/citation-style-language/schema/raw/master/csl-citation.json"} </w:instrText>
      </w:r>
      <w:r w:rsidR="002139C8">
        <w:rPr>
          <w:lang w:val="en-US"/>
        </w:rPr>
        <w:fldChar w:fldCharType="separate"/>
      </w:r>
      <w:r w:rsidR="002139C8" w:rsidRPr="002139C8">
        <w:rPr>
          <w:lang w:val="en-US"/>
        </w:rPr>
        <w:t>(Walsh et al., 2005)</w:t>
      </w:r>
      <w:r w:rsidR="002139C8">
        <w:rPr>
          <w:lang w:val="en-US"/>
        </w:rPr>
        <w:fldChar w:fldCharType="end"/>
      </w:r>
      <w:r w:rsidRPr="00E504DC">
        <w:rPr>
          <w:lang w:val="en-US"/>
        </w:rPr>
        <w:t>.</w:t>
      </w:r>
    </w:p>
    <w:p w14:paraId="526B2F21" w14:textId="77777777" w:rsidR="00E504DC" w:rsidRPr="00E504DC" w:rsidRDefault="00E504DC" w:rsidP="00E504DC">
      <w:pPr>
        <w:pStyle w:val="NormalWeb"/>
        <w:spacing w:line="360" w:lineRule="auto"/>
        <w:jc w:val="both"/>
        <w:rPr>
          <w:lang w:val="en-US"/>
        </w:rPr>
      </w:pPr>
      <w:r w:rsidRPr="00E504DC">
        <w:rPr>
          <w:lang w:val="en-US"/>
        </w:rPr>
        <w:t xml:space="preserve">In </w:t>
      </w:r>
      <w:proofErr w:type="spellStart"/>
      <w:r w:rsidRPr="00E504DC">
        <w:rPr>
          <w:lang w:val="en-US"/>
        </w:rPr>
        <w:t>Uvira’s</w:t>
      </w:r>
      <w:proofErr w:type="spellEnd"/>
      <w:r w:rsidRPr="00E504DC">
        <w:rPr>
          <w:lang w:val="en-US"/>
        </w:rPr>
        <w:t xml:space="preserve"> geomorphological setting, characterized by steep slopes and short hydrological response times, this process is particularly severe. The loss of natural hydraulic resistance results in the rapid concentration of flows, converting moderate precipitation events into destructive flash floods that exceed the capacity of existing drainage infrastructure. Similar </w:t>
      </w:r>
      <w:r w:rsidRPr="00E504DC">
        <w:rPr>
          <w:lang w:val="en-US"/>
        </w:rPr>
        <w:lastRenderedPageBreak/>
        <w:t xml:space="preserve">mechanisms have been documented in the Kivu highlands, where land degradation acts as a key amplifier of hydrological extremes </w:t>
      </w:r>
      <w:r w:rsidR="00795E5D">
        <w:rPr>
          <w:lang w:val="en-US"/>
        </w:rPr>
        <w:fldChar w:fldCharType="begin"/>
      </w:r>
      <w:r w:rsidR="00795E5D">
        <w:rPr>
          <w:lang w:val="en-US"/>
        </w:rPr>
        <w:instrText xml:space="preserve"> ADDIN ZOTERO_ITEM CSL_CITATION {"citationID":"PkklTTWq","properties":{"formattedCitation":"(Rwanyiziri et al., 2020)","plainCitation":"(Rwanyiziri et al., 2020)","noteIndex":0},"citationItems":[{"id":551,"uris":["http://zotero.org/users/13682081/items/9FUE6QD9"],"itemData":{"id":551,"type":"article-journal","container-title":"Journal of Applied Sciences and Environmental Management","issue":"9","page":"1495–1501","source":"Google Scholar","title":"Spatio-temporal analysis of urban growth and its effects on wetlands in Rwanda: the case of Rwampara wetland in the city of Kigali","title-short":"Spatio-temporal analysis of urban growth and its effects on wetlands in Rwanda","URL":"https://www.ajol.info/index.php/jasem/article/view/200601","volume":"24","author":[{"family":"Rwanyiziri","given":"G."},{"family":"Kayitesi","given":"C."},{"family":"Mugabowindekwe","given":"M."},{"family":"Byizigiro","given":"R. V."},{"family":"Muyombano","given":"E."},{"family":"Kagabika","given":"M. B."},{"family":"Bimenyimana","given":"T."}],"accessed":{"date-parts":[["2026",1,5]]},"issued":{"date-parts":[["2020"]]}}}],"schema":"https://github.com/citation-style-language/schema/raw/master/csl-citation.json"} </w:instrText>
      </w:r>
      <w:r w:rsidR="00795E5D">
        <w:rPr>
          <w:lang w:val="en-US"/>
        </w:rPr>
        <w:fldChar w:fldCharType="separate"/>
      </w:r>
      <w:r w:rsidR="00795E5D" w:rsidRPr="00795E5D">
        <w:rPr>
          <w:lang w:val="en-US"/>
        </w:rPr>
        <w:t>(Rwanyiziri et al., 2020</w:t>
      </w:r>
      <w:r w:rsidR="00795E5D">
        <w:rPr>
          <w:lang w:val="en-US"/>
        </w:rPr>
        <w:fldChar w:fldCharType="end"/>
      </w:r>
      <w:r w:rsidRPr="00E504DC">
        <w:rPr>
          <w:lang w:val="en-US"/>
        </w:rPr>
        <w:t xml:space="preserve">; </w:t>
      </w:r>
      <w:r w:rsidR="00795E5D">
        <w:rPr>
          <w:lang w:val="en-US"/>
        </w:rPr>
        <w:fldChar w:fldCharType="begin"/>
      </w:r>
      <w:r w:rsidR="00795E5D">
        <w:rPr>
          <w:lang w:val="en-US"/>
        </w:rPr>
        <w:instrText xml:space="preserve"> ADDIN ZOTERO_ITEM CSL_CITATION {"citationID":"TNNAOa0O","properties":{"formattedCitation":"(Heri\\uc0\\u8208{}Kazi &amp; Bielders, 2021a)","plainCitation":"(Heri‐Kazi &amp; Bielders, 2021a)","noteIndex":0},"citationItems":[{"id":489,"uris":["http://zotero.org/users/13682081/items/953ULSHH"],"itemData":{"id":489,"type":"article-journal","abstract":"Abstract\n            Despite being one of the hotspots for soil erosion in the world, little is known regarding farmer's knowledge of soil erosion in the highlands of South‐Kivu in the Democratic Republic of Congo. A proper understanding of farmers' knowledge regarding soil erosion and conservation measures is a prerequisite for implementing resilient erosion control measures. The objective of this study was therefore to assess farmers' knowledge of soil erosion, to document existing soil and water conservation (SWC) measures and to identify their adoption constraints in the highlands of South‐Kivu. Data were collected using interviews with a semi‐structured questionnaire involving 720 respondents from eight watersheds in four territories. Farmers reported eight main erosion indicators. As opposed to gullies (80% of farmers), rills were perceived as important erosion indicators by only 50% of farmers, despite their common occurrence. Farmers were largely unaware of the potential impact of their crops and cropping practices on erosion. Farmers knew about only a limited range of SWC measures, which were perceived to be little to moderately efficient. Furthermore, the average level of adoption was very low (21%). Adoption constraints varied widely depending on the SWC measure. Thus, future interventions need to place much greater emphasis on awareness regarding soil erosion and SWC measures, to strengthen farmers' capacity for experimentation and adaptation to new technologies and finally to create a policy and institutional environment that stimulates widespread adoption of SWC techniques.","container-title":"Land Degradation &amp; Development","DOI":"10.1002/ldr.3755","ISSN":"1085-3278, 1099-145X","issue":"2","journalAbbreviation":"Land Degrad Dev","language":"en","page":"699-713","source":"DOI.org (Crossref)","title":"Erosion and soil and water conservation in &lt;span style=\"font-variant:small-caps;\"&gt;South‐Kivu&lt;/span&gt; (eastern DR Congo): The farmers' view","title-short":"Erosion and soil and water conservation in &lt;span style=\"font-variant","URL":"https://onlinelibrary.wiley.com/doi/10.1002/ldr.3755","volume":"32","author":[{"family":"Heri‐Kazi","given":"Aimé B."},{"family":"Bielders","given":"Charles L."}],"accessed":{"date-parts":[["2026",1,4]]},"issued":{"date-parts":[["2021",1,30]]}}}],"schema":"https://github.com/citation-style-language/schema/raw/master/csl-citation.json"} </w:instrText>
      </w:r>
      <w:r w:rsidR="00795E5D">
        <w:rPr>
          <w:lang w:val="en-US"/>
        </w:rPr>
        <w:fldChar w:fldCharType="separate"/>
      </w:r>
      <w:r w:rsidR="00795E5D" w:rsidRPr="00795E5D">
        <w:rPr>
          <w:lang w:val="en-US"/>
        </w:rPr>
        <w:t>(Heri‐Kazi &amp; Bielders, 2021)</w:t>
      </w:r>
      <w:r w:rsidR="00795E5D">
        <w:rPr>
          <w:lang w:val="en-US"/>
        </w:rPr>
        <w:fldChar w:fldCharType="end"/>
      </w:r>
      <w:r w:rsidR="00795E5D">
        <w:rPr>
          <w:lang w:val="en-US"/>
        </w:rPr>
        <w:t xml:space="preserve">. </w:t>
      </w:r>
      <w:r w:rsidRPr="00E504DC">
        <w:rPr>
          <w:lang w:val="en-US"/>
        </w:rPr>
        <w:t xml:space="preserve">These findings confirm that flood risk in </w:t>
      </w:r>
      <w:proofErr w:type="spellStart"/>
      <w:r w:rsidRPr="00E504DC">
        <w:rPr>
          <w:lang w:val="en-US"/>
        </w:rPr>
        <w:t>Uvira</w:t>
      </w:r>
      <w:proofErr w:type="spellEnd"/>
      <w:r w:rsidRPr="00E504DC">
        <w:rPr>
          <w:lang w:val="en-US"/>
        </w:rPr>
        <w:t xml:space="preserve"> is not solely climate-driven but is strongly conditioned by anthropogenic land-cover change.</w:t>
      </w:r>
    </w:p>
    <w:p w14:paraId="74FBDF0D" w14:textId="77777777" w:rsidR="00E504DC" w:rsidRPr="00E504DC" w:rsidRDefault="00E504DC" w:rsidP="00E504DC">
      <w:pPr>
        <w:pStyle w:val="Titre3"/>
        <w:spacing w:line="360" w:lineRule="auto"/>
        <w:jc w:val="both"/>
        <w:rPr>
          <w:sz w:val="24"/>
          <w:szCs w:val="24"/>
          <w:lang w:val="en-US"/>
        </w:rPr>
      </w:pPr>
      <w:r w:rsidRPr="00E504DC">
        <w:rPr>
          <w:sz w:val="24"/>
          <w:szCs w:val="24"/>
          <w:lang w:val="en-US"/>
        </w:rPr>
        <w:t>4.3. Coastal Squeeze and the Institutionalization of Vulnerability</w:t>
      </w:r>
    </w:p>
    <w:p w14:paraId="7DA8DC4C" w14:textId="77777777" w:rsidR="00E504DC" w:rsidRPr="00E504DC" w:rsidRDefault="00E504DC" w:rsidP="00E504DC">
      <w:pPr>
        <w:pStyle w:val="NormalWeb"/>
        <w:spacing w:line="360" w:lineRule="auto"/>
        <w:jc w:val="both"/>
        <w:rPr>
          <w:lang w:val="en-US"/>
        </w:rPr>
      </w:pPr>
      <w:r w:rsidRPr="00E504DC">
        <w:rPr>
          <w:lang w:val="en-US"/>
        </w:rPr>
        <w:t xml:space="preserve">The unprecedented expansion of flood-prone areas observed in 2024 reflects a classic coastal squeeze dynamic, in which urban growth is constrained between rising lake levels and increasingly unstable mountain slopes </w:t>
      </w:r>
      <w:r w:rsidR="002D564A">
        <w:rPr>
          <w:lang w:val="en-US"/>
        </w:rPr>
        <w:fldChar w:fldCharType="begin"/>
      </w:r>
      <w:r w:rsidR="002D564A">
        <w:rPr>
          <w:lang w:val="en-US"/>
        </w:rPr>
        <w:instrText xml:space="preserve"> ADDIN ZOTERO_ITEM CSL_CITATION {"citationID":"6hNTx8qm","properties":{"formattedCitation":"(Doody, 2004)","plainCitation":"(Doody, 2004)","noteIndex":0},"citationItems":[{"id":471,"uris":["http://zotero.org/users/13682081/items/A7ATCCIF"],"itemData":{"id":471,"type":"article-journal","container-title":"Journal of Coastal Conservation","DOI":"10.1652/1400-0350(2004)010[0129:CSAHP]2.0.CO;2","ISSN":"1400-0350","issue":"1","journalAbbreviation":"J Coast Conserv","language":"en","page":"129","source":"DOI.org (Crossref)","title":"‘Coastal squeeze’ – an historical perspective","URL":"http://link.springer.com/10.1652/1400-0350(2004)010[0129:CSAHP]2.0.CO;2","volume":"10","author":[{"family":"Doody","given":"J. Pat"}],"accessed":{"date-parts":[["2026",1,4]]},"issued":{"date-parts":[["2004"]]}}}],"schema":"https://github.com/citation-style-language/schema/raw/master/csl-citation.json"} </w:instrText>
      </w:r>
      <w:r w:rsidR="002D564A">
        <w:rPr>
          <w:lang w:val="en-US"/>
        </w:rPr>
        <w:fldChar w:fldCharType="separate"/>
      </w:r>
      <w:r w:rsidR="002D564A" w:rsidRPr="002D564A">
        <w:rPr>
          <w:lang w:val="en-US"/>
        </w:rPr>
        <w:t>(Doody, 2004)</w:t>
      </w:r>
      <w:r w:rsidR="002D564A">
        <w:rPr>
          <w:lang w:val="en-US"/>
        </w:rPr>
        <w:fldChar w:fldCharType="end"/>
      </w:r>
      <w:r w:rsidRPr="00E504DC">
        <w:rPr>
          <w:lang w:val="en-US"/>
        </w:rPr>
        <w:t xml:space="preserve">. The permanent inundation of residential and agricultural areas along the southern littoral suggests that </w:t>
      </w:r>
      <w:proofErr w:type="spellStart"/>
      <w:r w:rsidRPr="00E504DC">
        <w:rPr>
          <w:lang w:val="en-US"/>
        </w:rPr>
        <w:t>Uvira</w:t>
      </w:r>
      <w:proofErr w:type="spellEnd"/>
      <w:r w:rsidRPr="00E504DC">
        <w:rPr>
          <w:lang w:val="en-US"/>
        </w:rPr>
        <w:t xml:space="preserve"> has crossed a biophysical threshold beyond which conventional, infrastructure-based flood management solutions are insufficient. This condition signals the institutionalization of flood risk as a structural feature of the urban landscape.</w:t>
      </w:r>
    </w:p>
    <w:p w14:paraId="52184313" w14:textId="77777777" w:rsidR="00E504DC" w:rsidRPr="00E504DC" w:rsidRDefault="00E504DC" w:rsidP="00E504DC">
      <w:pPr>
        <w:pStyle w:val="NormalWeb"/>
        <w:spacing w:line="360" w:lineRule="auto"/>
        <w:jc w:val="both"/>
        <w:rPr>
          <w:lang w:val="en-US"/>
        </w:rPr>
      </w:pPr>
      <w:r w:rsidRPr="00E504DC">
        <w:rPr>
          <w:lang w:val="en-US"/>
        </w:rPr>
        <w:t>This vulnerability is further exacerbated by the occupation of high-risk zones, a pattern commonly observed in secondary cities of the Democratic Republic of Congo, where land-use regulation remains weak and largely disconnected from environmental</w:t>
      </w:r>
      <w:r w:rsidR="002D564A">
        <w:rPr>
          <w:lang w:val="en-US"/>
        </w:rPr>
        <w:t xml:space="preserve"> monitoring and risk assessment </w:t>
      </w:r>
      <w:r w:rsidR="002D564A">
        <w:rPr>
          <w:lang w:val="en-US"/>
        </w:rPr>
        <w:fldChar w:fldCharType="begin"/>
      </w:r>
      <w:r w:rsidR="002D564A">
        <w:rPr>
          <w:lang w:val="en-US"/>
        </w:rPr>
        <w:instrText xml:space="preserve"> ADDIN ZOTERO_ITEM CSL_CITATION {"citationID":"vG368NXk","properties":{"formattedCitation":"(Kulimushi et al., 2021a)","plainCitation":"(Kulimushi et al., 2021a)","noteIndex":0},"citationItems":[{"id":496,"uris":["http://zotero.org/users/13682081/items/F4UQYVNY"],"itemData":{"id":496,"type":"article-journal","container-title":"Geomatics, Natural Hazards and Risk","DOI":"10.1080/19475705.2021.1906759","ISSN":"1947-5705, 1947-5713","issue":"1","journalAbbreviation":"Geomatics, Natural Hazards and Risk","language":"en","page":"961-987","source":"DOI.org (Crossref)","title":"GIS and remote sensing-based assessment of soil erosion risk using RUSLE model in South-Kivu province, eastern, Democratic Republic of Congo","URL":"https://www.tandfonline.com/doi/full/10.1080/19475705.2021.1906759","volume":"12","author":[{"family":"Kulimushi","given":"Luc Cimusa"},{"family":"Choudhari","given":"Pandurang"},{"family":"Mubalama","given":"Leonard K."},{"family":"Banswe","given":"Gedeon T."}],"accessed":{"date-parts":[["2026",1,4]]},"issued":{"date-parts":[["2021",1,1]]}}}],"schema":"https://github.com/citation-style-language/schema/raw/master/csl-citation.json"} </w:instrText>
      </w:r>
      <w:r w:rsidR="002D564A">
        <w:rPr>
          <w:lang w:val="en-US"/>
        </w:rPr>
        <w:fldChar w:fldCharType="separate"/>
      </w:r>
      <w:r w:rsidR="002D564A" w:rsidRPr="002D564A">
        <w:rPr>
          <w:lang w:val="en-US"/>
        </w:rPr>
        <w:t>(Kulimushi et al., 2021)</w:t>
      </w:r>
      <w:r w:rsidR="002D564A">
        <w:rPr>
          <w:lang w:val="en-US"/>
        </w:rPr>
        <w:fldChar w:fldCharType="end"/>
      </w:r>
      <w:r w:rsidR="002D564A">
        <w:rPr>
          <w:lang w:val="en-US"/>
        </w:rPr>
        <w:t xml:space="preserve">. </w:t>
      </w:r>
      <w:r w:rsidRPr="00E504DC">
        <w:rPr>
          <w:lang w:val="en-US"/>
        </w:rPr>
        <w:t>The results of this study underscore the urgent need to shift toward preventive and ecosystem-based approaches. In particular, the integr</w:t>
      </w:r>
      <w:r w:rsidR="001D5867">
        <w:rPr>
          <w:lang w:val="en-US"/>
        </w:rPr>
        <w:t>ation of Nature-based Solutions (</w:t>
      </w:r>
      <w:r w:rsidRPr="00E504DC">
        <w:rPr>
          <w:lang w:val="en-US"/>
        </w:rPr>
        <w:t>such as upstream reforestation, slope stabilization, and the resto</w:t>
      </w:r>
      <w:r w:rsidR="001D5867">
        <w:rPr>
          <w:lang w:val="en-US"/>
        </w:rPr>
        <w:t xml:space="preserve">ration of riparian buffer zones) </w:t>
      </w:r>
      <w:r w:rsidRPr="00E504DC">
        <w:rPr>
          <w:lang w:val="en-US"/>
        </w:rPr>
        <w:t xml:space="preserve">emerges as a critical pathway for restoring hydrological regulation and reducing future flood impacts under increasing climate variability </w:t>
      </w:r>
      <w:r w:rsidR="009E5B9F">
        <w:rPr>
          <w:lang w:val="en-US"/>
        </w:rPr>
        <w:fldChar w:fldCharType="begin"/>
      </w:r>
      <w:r w:rsidR="009E5B9F">
        <w:rPr>
          <w:lang w:val="en-US"/>
        </w:rPr>
        <w:instrText xml:space="preserve"> ADDIN ZOTERO_ITEM CSL_CITATION {"citationID":"PpupgB53","properties":{"formattedCitation":"(FAO, 2020)","plainCitation":"(FAO, 2020)","noteIndex":0},"citationItems":[{"id":486,"uris":["http://zotero.org/users/13682081/items/UYDBV37V"],"itemData":{"id":486,"type":"article-journal","source":"Google Scholar","title":"Global Forest Resources Assessment 2020: Main report. Rome","title-short":"Global Forest Resources Assessment 2020","author":[{"literal":"FAO"}],"issued":{"date-parts":[["2020"]]}}}],"schema":"https://github.com/citation-style-language/schema/raw/master/csl-citation.json"} </w:instrText>
      </w:r>
      <w:r w:rsidR="009E5B9F">
        <w:rPr>
          <w:lang w:val="en-US"/>
        </w:rPr>
        <w:fldChar w:fldCharType="separate"/>
      </w:r>
      <w:r w:rsidR="009E5B9F" w:rsidRPr="009E5B9F">
        <w:rPr>
          <w:lang w:val="en-US"/>
        </w:rPr>
        <w:t>(FAO, 2020)</w:t>
      </w:r>
      <w:r w:rsidR="009E5B9F">
        <w:rPr>
          <w:lang w:val="en-US"/>
        </w:rPr>
        <w:fldChar w:fldCharType="end"/>
      </w:r>
      <w:r w:rsidR="009E5B9F">
        <w:rPr>
          <w:lang w:val="en-US"/>
        </w:rPr>
        <w:t xml:space="preserve">. </w:t>
      </w:r>
    </w:p>
    <w:p w14:paraId="07D2064C" w14:textId="65FCD7C7" w:rsidR="009B3F07" w:rsidRPr="00D92377" w:rsidRDefault="008B6AAD" w:rsidP="009B3F07">
      <w:pPr>
        <w:numPr>
          <w:ilvl w:val="0"/>
          <w:numId w:val="5"/>
        </w:numPr>
        <w:spacing w:before="100" w:beforeAutospacing="1" w:after="100" w:afterAutospacing="1" w:line="360" w:lineRule="auto"/>
        <w:jc w:val="both"/>
        <w:rPr>
          <w:rFonts w:ascii="Times New Roman" w:eastAsia="Times New Roman" w:hAnsi="Times New Roman" w:cs="Times New Roman"/>
          <w:b/>
          <w:sz w:val="24"/>
          <w:szCs w:val="24"/>
          <w:lang w:val="en-US" w:eastAsia="fr-FR"/>
        </w:rPr>
      </w:pPr>
      <w:r w:rsidRPr="009B3F07">
        <w:rPr>
          <w:rFonts w:ascii="Times New Roman" w:eastAsia="Times New Roman" w:hAnsi="Times New Roman" w:cs="Times New Roman"/>
          <w:b/>
          <w:sz w:val="24"/>
          <w:szCs w:val="24"/>
          <w:lang w:val="en-US" w:eastAsia="fr-FR"/>
        </w:rPr>
        <w:t xml:space="preserve">CONCLUSION </w:t>
      </w:r>
    </w:p>
    <w:p w14:paraId="1F4855A6" w14:textId="3279AF3B" w:rsidR="009B3F07" w:rsidRPr="009B3F07" w:rsidRDefault="009B3F07" w:rsidP="009B3F07">
      <w:pPr>
        <w:spacing w:before="100" w:beforeAutospacing="1" w:after="100" w:afterAutospacing="1" w:line="360" w:lineRule="auto"/>
        <w:jc w:val="both"/>
        <w:rPr>
          <w:rFonts w:ascii="Times New Roman" w:eastAsia="Times New Roman" w:hAnsi="Times New Roman" w:cs="Times New Roman"/>
          <w:sz w:val="24"/>
          <w:szCs w:val="24"/>
          <w:lang w:val="en-US" w:eastAsia="fr-FR"/>
        </w:rPr>
      </w:pPr>
      <w:r w:rsidRPr="009B3F07">
        <w:rPr>
          <w:rFonts w:ascii="Times New Roman" w:eastAsia="Times New Roman" w:hAnsi="Times New Roman" w:cs="Times New Roman"/>
          <w:sz w:val="24"/>
          <w:szCs w:val="24"/>
          <w:lang w:val="en-US" w:eastAsia="fr-FR"/>
        </w:rPr>
        <w:t xml:space="preserve">This study examined the </w:t>
      </w:r>
      <w:proofErr w:type="spellStart"/>
      <w:r w:rsidRPr="009B3F07">
        <w:rPr>
          <w:rFonts w:ascii="Times New Roman" w:eastAsia="Times New Roman" w:hAnsi="Times New Roman" w:cs="Times New Roman"/>
          <w:sz w:val="24"/>
          <w:szCs w:val="24"/>
          <w:lang w:val="en-US" w:eastAsia="fr-FR"/>
        </w:rPr>
        <w:t>spatio</w:t>
      </w:r>
      <w:proofErr w:type="spellEnd"/>
      <w:r w:rsidRPr="009B3F07">
        <w:rPr>
          <w:rFonts w:ascii="Times New Roman" w:eastAsia="Times New Roman" w:hAnsi="Times New Roman" w:cs="Times New Roman"/>
          <w:sz w:val="24"/>
          <w:szCs w:val="24"/>
          <w:lang w:val="en-US" w:eastAsia="fr-FR"/>
        </w:rPr>
        <w:t xml:space="preserve">-temporal interactions between vegetation cover dynamics and flood vulnerability in </w:t>
      </w:r>
      <w:proofErr w:type="spellStart"/>
      <w:r w:rsidRPr="009B3F07">
        <w:rPr>
          <w:rFonts w:ascii="Times New Roman" w:eastAsia="Times New Roman" w:hAnsi="Times New Roman" w:cs="Times New Roman"/>
          <w:sz w:val="24"/>
          <w:szCs w:val="24"/>
          <w:lang w:val="en-US" w:eastAsia="fr-FR"/>
        </w:rPr>
        <w:t>Uvira</w:t>
      </w:r>
      <w:proofErr w:type="spellEnd"/>
      <w:r w:rsidRPr="009B3F07">
        <w:rPr>
          <w:rFonts w:ascii="Times New Roman" w:eastAsia="Times New Roman" w:hAnsi="Times New Roman" w:cs="Times New Roman"/>
          <w:sz w:val="24"/>
          <w:szCs w:val="24"/>
          <w:lang w:val="en-US" w:eastAsia="fr-FR"/>
        </w:rPr>
        <w:t xml:space="preserve"> (Democratic Republic of the Congo) over a 34-year period (1990–2024), using an integrated framework combining multi-temporal remote sensing indices (NDVI, NDWI) and GIS-based land use/land cover (LULC) analysis. The results </w:t>
      </w:r>
      <w:r w:rsidR="00A64369" w:rsidRPr="00A64369">
        <w:rPr>
          <w:rFonts w:ascii="Times New Roman" w:hAnsi="Times New Roman" w:cs="Times New Roman"/>
          <w:sz w:val="24"/>
          <w:lang w:val="en-US"/>
        </w:rPr>
        <w:t>revealed</w:t>
      </w:r>
      <w:r w:rsidRPr="009B3F07">
        <w:rPr>
          <w:rFonts w:ascii="Times New Roman" w:eastAsia="Times New Roman" w:hAnsi="Times New Roman" w:cs="Times New Roman"/>
          <w:sz w:val="24"/>
          <w:szCs w:val="24"/>
          <w:lang w:val="en-US" w:eastAsia="fr-FR"/>
        </w:rPr>
        <w:t xml:space="preserve"> a profound environmental transformation marked by a 39.6% decline in natural vegetation and a concomitant expansion of flood-prone areas, confirming the central role of anthropogenic land degradation in reshaping local hydrological processes.</w:t>
      </w:r>
    </w:p>
    <w:p w14:paraId="350A7216" w14:textId="77777777" w:rsidR="009B3F07" w:rsidRPr="009B3F07" w:rsidRDefault="009B3F07" w:rsidP="009B3F07">
      <w:pPr>
        <w:spacing w:before="100" w:beforeAutospacing="1" w:after="100" w:afterAutospacing="1" w:line="360" w:lineRule="auto"/>
        <w:jc w:val="both"/>
        <w:rPr>
          <w:rFonts w:ascii="Times New Roman" w:eastAsia="Times New Roman" w:hAnsi="Times New Roman" w:cs="Times New Roman"/>
          <w:sz w:val="24"/>
          <w:szCs w:val="24"/>
          <w:lang w:val="en-US" w:eastAsia="fr-FR"/>
        </w:rPr>
      </w:pPr>
      <w:r w:rsidRPr="009B3F07">
        <w:rPr>
          <w:rFonts w:ascii="Times New Roman" w:eastAsia="Times New Roman" w:hAnsi="Times New Roman" w:cs="Times New Roman"/>
          <w:sz w:val="24"/>
          <w:szCs w:val="24"/>
          <w:lang w:val="en-US" w:eastAsia="fr-FR"/>
        </w:rPr>
        <w:t xml:space="preserve">The systematic loss of vegetation has critically weakened key ecosystem services, particularly rainfall interception, soil stabilization, and infiltration capacity. This functional degradation has intensified surface runoff, converting seasonal rainfall into destructive flash floods </w:t>
      </w:r>
      <w:r w:rsidRPr="009B3F07">
        <w:rPr>
          <w:rFonts w:ascii="Times New Roman" w:eastAsia="Times New Roman" w:hAnsi="Times New Roman" w:cs="Times New Roman"/>
          <w:sz w:val="24"/>
          <w:szCs w:val="24"/>
          <w:lang w:val="en-US" w:eastAsia="fr-FR"/>
        </w:rPr>
        <w:lastRenderedPageBreak/>
        <w:t>through an accelerated runoff syndrome. The threshold reached in</w:t>
      </w:r>
      <w:r>
        <w:rPr>
          <w:rFonts w:ascii="Times New Roman" w:eastAsia="Times New Roman" w:hAnsi="Times New Roman" w:cs="Times New Roman"/>
          <w:sz w:val="24"/>
          <w:szCs w:val="24"/>
          <w:lang w:val="en-US" w:eastAsia="fr-FR"/>
        </w:rPr>
        <w:t xml:space="preserve"> 2024 (</w:t>
      </w:r>
      <w:r w:rsidRPr="009B3F07">
        <w:rPr>
          <w:rFonts w:ascii="Times New Roman" w:eastAsia="Times New Roman" w:hAnsi="Times New Roman" w:cs="Times New Roman"/>
          <w:sz w:val="24"/>
          <w:szCs w:val="24"/>
          <w:lang w:val="en-US" w:eastAsia="fr-FR"/>
        </w:rPr>
        <w:t>characterized by the permanent inundatio</w:t>
      </w:r>
      <w:r>
        <w:rPr>
          <w:rFonts w:ascii="Times New Roman" w:eastAsia="Times New Roman" w:hAnsi="Times New Roman" w:cs="Times New Roman"/>
          <w:sz w:val="24"/>
          <w:szCs w:val="24"/>
          <w:lang w:val="en-US" w:eastAsia="fr-FR"/>
        </w:rPr>
        <w:t xml:space="preserve">n of coastal and riparian zones) </w:t>
      </w:r>
      <w:r w:rsidRPr="009B3F07">
        <w:rPr>
          <w:rFonts w:ascii="Times New Roman" w:eastAsia="Times New Roman" w:hAnsi="Times New Roman" w:cs="Times New Roman"/>
          <w:sz w:val="24"/>
          <w:szCs w:val="24"/>
          <w:lang w:val="en-US" w:eastAsia="fr-FR"/>
        </w:rPr>
        <w:t>illustrates a clear “coastal squeeze” dynamic, whereby unregulated urban expansion converges with increasing hydrological hazards and limited geomorphological accommodation space.</w:t>
      </w:r>
    </w:p>
    <w:p w14:paraId="6126A47D" w14:textId="157CD84E" w:rsidR="008B6AAD" w:rsidRPr="008B6AAD" w:rsidRDefault="008919F7" w:rsidP="008B6AAD">
      <w:pPr>
        <w:spacing w:before="100" w:beforeAutospacing="1" w:after="100" w:afterAutospacing="1" w:line="360" w:lineRule="auto"/>
        <w:jc w:val="both"/>
        <w:rPr>
          <w:rFonts w:ascii="Times New Roman" w:eastAsia="Times New Roman" w:hAnsi="Times New Roman" w:cs="Times New Roman"/>
          <w:sz w:val="24"/>
          <w:szCs w:val="24"/>
          <w:lang w:val="en-US" w:eastAsia="fr-FR"/>
        </w:rPr>
      </w:pPr>
      <w:r w:rsidRPr="008919F7">
        <w:rPr>
          <w:rFonts w:ascii="Times New Roman" w:hAnsi="Times New Roman" w:cs="Times New Roman"/>
          <w:sz w:val="24"/>
          <w:lang w:val="en-US"/>
        </w:rPr>
        <w:t>Considering a management perspective, these findings underscore the urgent need to shift from reactive flood response strategies toward proactive, ecosystem-based territorial planning.</w:t>
      </w:r>
      <w:r w:rsidRPr="008919F7">
        <w:rPr>
          <w:sz w:val="24"/>
          <w:lang w:val="en-US"/>
        </w:rPr>
        <w:t xml:space="preserve"> </w:t>
      </w:r>
      <w:r w:rsidR="009B3F07" w:rsidRPr="009B3F07">
        <w:rPr>
          <w:rFonts w:ascii="Times New Roman" w:eastAsia="Times New Roman" w:hAnsi="Times New Roman" w:cs="Times New Roman"/>
          <w:sz w:val="24"/>
          <w:szCs w:val="24"/>
          <w:lang w:val="en-US" w:eastAsia="fr-FR"/>
        </w:rPr>
        <w:t>Priority actions should include the reforestation of upstream mountain slopes to restore hydraulic resistance and slope stability, the strict enforcement of non-</w:t>
      </w:r>
      <w:proofErr w:type="spellStart"/>
      <w:r w:rsidR="009B3F07" w:rsidRPr="009B3F07">
        <w:rPr>
          <w:rFonts w:ascii="Times New Roman" w:eastAsia="Times New Roman" w:hAnsi="Times New Roman" w:cs="Times New Roman"/>
          <w:sz w:val="24"/>
          <w:szCs w:val="24"/>
          <w:lang w:val="en-US" w:eastAsia="fr-FR"/>
        </w:rPr>
        <w:t>aedificandi</w:t>
      </w:r>
      <w:proofErr w:type="spellEnd"/>
      <w:r w:rsidR="009B3F07" w:rsidRPr="009B3F07">
        <w:rPr>
          <w:rFonts w:ascii="Times New Roman" w:eastAsia="Times New Roman" w:hAnsi="Times New Roman" w:cs="Times New Roman"/>
          <w:sz w:val="24"/>
          <w:szCs w:val="24"/>
          <w:lang w:val="en-US" w:eastAsia="fr-FR"/>
        </w:rPr>
        <w:t xml:space="preserve"> regulations in high-risk floodplains, and the establishment of continuous environmental monitoring systems based on satellite-derived indicators to support evidence-based urban governance. Beyond the local context, this study provides a transferable methodological framework for secondary African cities facing similar challenges of rapid urbanization, environmental </w:t>
      </w:r>
      <w:r w:rsidR="009B3F07" w:rsidRPr="008B6AAD">
        <w:rPr>
          <w:rFonts w:ascii="Times New Roman" w:eastAsia="Times New Roman" w:hAnsi="Times New Roman" w:cs="Times New Roman"/>
          <w:sz w:val="24"/>
          <w:szCs w:val="24"/>
          <w:lang w:val="en-US" w:eastAsia="fr-FR"/>
        </w:rPr>
        <w:t>degradation, and increasing hydro-climatic risks under climate change.</w:t>
      </w:r>
    </w:p>
    <w:p w14:paraId="56E2088C" w14:textId="228126C7" w:rsidR="008B6AAD" w:rsidRPr="008B6AAD" w:rsidRDefault="008B6AAD" w:rsidP="008B6AAD">
      <w:pPr>
        <w:spacing w:after="0" w:line="360" w:lineRule="auto"/>
        <w:jc w:val="both"/>
        <w:rPr>
          <w:rFonts w:ascii="Times New Roman" w:eastAsia="Times New Roman" w:hAnsi="Times New Roman" w:cs="Times New Roman"/>
          <w:sz w:val="24"/>
          <w:szCs w:val="24"/>
          <w:lang w:val="en-US" w:eastAsia="fr-FR"/>
        </w:rPr>
      </w:pPr>
      <w:r w:rsidRPr="008B6AAD">
        <w:rPr>
          <w:rFonts w:ascii="Times New Roman" w:hAnsi="Times New Roman" w:cs="Times New Roman"/>
          <w:b/>
          <w:bCs/>
          <w:sz w:val="24"/>
          <w:szCs w:val="24"/>
          <w:lang w:val="en-GB"/>
        </w:rPr>
        <w:t xml:space="preserve">DISCLAIMER (ARTIFICIAL INTELLIGENCE) </w:t>
      </w:r>
    </w:p>
    <w:p w14:paraId="4C05051F" w14:textId="20A8FFF6" w:rsidR="008B6AAD" w:rsidRPr="008B6AAD" w:rsidRDefault="008B6AAD" w:rsidP="008B6AAD">
      <w:pPr>
        <w:pStyle w:val="Default"/>
        <w:jc w:val="both"/>
        <w:rPr>
          <w:rFonts w:ascii="Times New Roman" w:hAnsi="Times New Roman" w:cs="Times New Roman"/>
          <w:color w:val="auto"/>
          <w:lang w:val="en-GB"/>
        </w:rPr>
      </w:pPr>
      <w:r w:rsidRPr="008B6AAD">
        <w:rPr>
          <w:rFonts w:ascii="Times New Roman" w:hAnsi="Times New Roman" w:cs="Times New Roman"/>
          <w:color w:val="auto"/>
          <w:lang w:val="en-GB"/>
        </w:rPr>
        <w:t>Author(s) hereby declare that NO generative AI technologies such as Large Language Models (</w:t>
      </w:r>
      <w:proofErr w:type="spellStart"/>
      <w:r w:rsidRPr="008B6AAD">
        <w:rPr>
          <w:rFonts w:ascii="Times New Roman" w:hAnsi="Times New Roman" w:cs="Times New Roman"/>
          <w:color w:val="auto"/>
          <w:lang w:val="en-GB"/>
        </w:rPr>
        <w:t>ChatGPT</w:t>
      </w:r>
      <w:proofErr w:type="spellEnd"/>
      <w:r w:rsidRPr="008B6AAD">
        <w:rPr>
          <w:rFonts w:ascii="Times New Roman" w:hAnsi="Times New Roman" w:cs="Times New Roman"/>
          <w:color w:val="auto"/>
          <w:lang w:val="en-GB"/>
        </w:rPr>
        <w:t xml:space="preserve">, COPILOT, </w:t>
      </w:r>
      <w:proofErr w:type="spellStart"/>
      <w:r w:rsidRPr="008B6AAD">
        <w:rPr>
          <w:rFonts w:ascii="Times New Roman" w:hAnsi="Times New Roman" w:cs="Times New Roman"/>
          <w:color w:val="auto"/>
          <w:lang w:val="en-GB"/>
        </w:rPr>
        <w:t>etc</w:t>
      </w:r>
      <w:proofErr w:type="spellEnd"/>
      <w:r w:rsidRPr="008B6AAD">
        <w:rPr>
          <w:rFonts w:ascii="Times New Roman" w:hAnsi="Times New Roman" w:cs="Times New Roman"/>
          <w:color w:val="auto"/>
          <w:lang w:val="en-GB"/>
        </w:rPr>
        <w:t>) and text-to-image generators have been used during writing or editing of this manuscript.</w:t>
      </w:r>
    </w:p>
    <w:p w14:paraId="0E704993" w14:textId="77777777" w:rsidR="008B6AAD" w:rsidRPr="008B6AAD" w:rsidRDefault="008B6AAD" w:rsidP="008B6AAD">
      <w:pPr>
        <w:pStyle w:val="Default"/>
        <w:jc w:val="both"/>
        <w:rPr>
          <w:rFonts w:ascii="Times New Roman" w:hAnsi="Times New Roman" w:cs="Times New Roman"/>
          <w:color w:val="auto"/>
          <w:lang w:val="en-GB"/>
        </w:rPr>
      </w:pPr>
    </w:p>
    <w:p w14:paraId="75ADF0A3" w14:textId="77777777" w:rsidR="008B6AAD" w:rsidRPr="008B6AAD" w:rsidRDefault="008B6AAD" w:rsidP="008B6AAD">
      <w:pPr>
        <w:pStyle w:val="Default"/>
        <w:rPr>
          <w:rFonts w:ascii="Times New Roman" w:hAnsi="Times New Roman" w:cs="Times New Roman"/>
          <w:b/>
          <w:bCs/>
          <w:lang w:val="en-GB"/>
        </w:rPr>
      </w:pPr>
      <w:r w:rsidRPr="008B6AAD">
        <w:rPr>
          <w:rFonts w:ascii="Times New Roman" w:hAnsi="Times New Roman" w:cs="Times New Roman"/>
          <w:b/>
          <w:bCs/>
          <w:lang w:val="en-GB"/>
        </w:rPr>
        <w:t>COMPETING INTERESTS</w:t>
      </w:r>
    </w:p>
    <w:p w14:paraId="39F65ED8" w14:textId="2CF58704" w:rsidR="008B6AAD" w:rsidRPr="008B6AAD" w:rsidRDefault="008B6AAD" w:rsidP="008B6AAD">
      <w:pPr>
        <w:pStyle w:val="Default"/>
        <w:rPr>
          <w:rFonts w:ascii="Times New Roman" w:hAnsi="Times New Roman" w:cs="Times New Roman"/>
          <w:lang w:val="en-GB"/>
        </w:rPr>
      </w:pPr>
      <w:r w:rsidRPr="008B6AAD">
        <w:rPr>
          <w:rFonts w:ascii="Times New Roman" w:hAnsi="Times New Roman" w:cs="Times New Roman"/>
          <w:b/>
          <w:bCs/>
          <w:lang w:val="en-GB"/>
        </w:rPr>
        <w:t xml:space="preserve"> </w:t>
      </w:r>
    </w:p>
    <w:p w14:paraId="3BA14522" w14:textId="77777777" w:rsidR="008B6AAD" w:rsidRPr="008B6AAD" w:rsidRDefault="008B6AAD" w:rsidP="008B6AAD">
      <w:pPr>
        <w:pStyle w:val="Default"/>
        <w:rPr>
          <w:rFonts w:ascii="Times New Roman" w:hAnsi="Times New Roman" w:cs="Times New Roman"/>
          <w:lang w:val="en-GB"/>
        </w:rPr>
      </w:pPr>
      <w:r w:rsidRPr="008B6AAD">
        <w:rPr>
          <w:rFonts w:ascii="Times New Roman" w:hAnsi="Times New Roman" w:cs="Times New Roman"/>
          <w:lang w:val="en-GB"/>
        </w:rPr>
        <w:t xml:space="preserve">Authors have declared that no competing interests exist. </w:t>
      </w:r>
    </w:p>
    <w:p w14:paraId="62496A36" w14:textId="77777777" w:rsidR="008B6AAD" w:rsidRPr="008B6AAD" w:rsidRDefault="008B6AAD" w:rsidP="008B6AAD">
      <w:pPr>
        <w:pStyle w:val="Default"/>
        <w:rPr>
          <w:rFonts w:ascii="Times New Roman" w:hAnsi="Times New Roman" w:cs="Times New Roman"/>
          <w:lang w:val="en-GB"/>
        </w:rPr>
      </w:pPr>
    </w:p>
    <w:p w14:paraId="04C351A4" w14:textId="34E5F9D3" w:rsidR="008B6AAD" w:rsidRDefault="008B6AAD" w:rsidP="008B6AAD">
      <w:pPr>
        <w:pStyle w:val="Default"/>
        <w:jc w:val="both"/>
        <w:rPr>
          <w:rFonts w:ascii="Times New Roman" w:hAnsi="Times New Roman" w:cs="Times New Roman"/>
          <w:b/>
          <w:bCs/>
          <w:lang w:val="en-GB"/>
        </w:rPr>
      </w:pPr>
      <w:r w:rsidRPr="008B6AAD">
        <w:rPr>
          <w:rFonts w:ascii="Times New Roman" w:hAnsi="Times New Roman" w:cs="Times New Roman"/>
          <w:b/>
          <w:bCs/>
          <w:lang w:val="en-GB"/>
        </w:rPr>
        <w:t>REFERENCES</w:t>
      </w:r>
    </w:p>
    <w:p w14:paraId="35144628" w14:textId="77777777" w:rsidR="008B6AAD" w:rsidRDefault="008B6AAD" w:rsidP="008B6AAD">
      <w:pPr>
        <w:pStyle w:val="Default"/>
        <w:jc w:val="both"/>
        <w:rPr>
          <w:rFonts w:ascii="Times New Roman" w:hAnsi="Times New Roman" w:cs="Times New Roman"/>
          <w:b/>
          <w:bCs/>
          <w:lang w:val="en-GB"/>
        </w:rPr>
      </w:pPr>
    </w:p>
    <w:p w14:paraId="1CF28CCC" w14:textId="77777777" w:rsidR="008B6AAD" w:rsidRPr="00FC7BDB" w:rsidRDefault="008B6AAD" w:rsidP="008B6AAD">
      <w:pPr>
        <w:pStyle w:val="Bibliographie"/>
        <w:spacing w:line="276" w:lineRule="auto"/>
        <w:rPr>
          <w:rFonts w:ascii="Times New Roman" w:hAnsi="Times New Roman" w:cs="Times New Roman"/>
          <w:sz w:val="24"/>
          <w:lang w:val="en-US"/>
        </w:rPr>
      </w:pPr>
      <w:r>
        <w:rPr>
          <w:lang w:val="en-US"/>
        </w:rPr>
        <w:fldChar w:fldCharType="begin"/>
      </w:r>
      <w:r>
        <w:rPr>
          <w:lang w:val="en-US"/>
        </w:rPr>
        <w:instrText xml:space="preserve"> ADDIN ZOTERO_BIBL {"uncited":[],"omitted":[],"custom":[]} CSL_BIBLIOGRAPHY </w:instrText>
      </w:r>
      <w:r>
        <w:rPr>
          <w:lang w:val="en-US"/>
        </w:rPr>
        <w:fldChar w:fldCharType="separate"/>
      </w:r>
      <w:r w:rsidRPr="00FC7BDB">
        <w:rPr>
          <w:rFonts w:ascii="Times New Roman" w:hAnsi="Times New Roman" w:cs="Times New Roman"/>
          <w:sz w:val="24"/>
          <w:lang w:val="en-US"/>
        </w:rPr>
        <w:t xml:space="preserve">Addo, K. A., Walkden, M., &amp; Mills, J. t. (2008). Detection, measurement and prediction of shoreline recession in Accra, Ghana. </w:t>
      </w:r>
      <w:r w:rsidRPr="00FC7BDB">
        <w:rPr>
          <w:rFonts w:ascii="Times New Roman" w:hAnsi="Times New Roman" w:cs="Times New Roman"/>
          <w:i/>
          <w:iCs/>
          <w:sz w:val="24"/>
          <w:lang w:val="en-US"/>
        </w:rPr>
        <w:t>ISPRS Journal of Photogrammetry and Remote Sensing</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63</w:t>
      </w:r>
      <w:r w:rsidRPr="00FC7BDB">
        <w:rPr>
          <w:rFonts w:ascii="Times New Roman" w:hAnsi="Times New Roman" w:cs="Times New Roman"/>
          <w:sz w:val="24"/>
          <w:lang w:val="en-US"/>
        </w:rPr>
        <w:t>(5), 543‑558. https://www.sciencedirect.com/science/article/pii/S0924271608000282</w:t>
      </w:r>
    </w:p>
    <w:p w14:paraId="20102974" w14:textId="77777777" w:rsidR="008B6AAD" w:rsidRPr="00FC7BDB" w:rsidRDefault="008B6AAD" w:rsidP="008B6AAD">
      <w:pPr>
        <w:pStyle w:val="Bibliographie"/>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Doody, J. P. (2004). ‘Coastal squeeze’ – an historical perspective. </w:t>
      </w:r>
      <w:r w:rsidRPr="00FC7BDB">
        <w:rPr>
          <w:rFonts w:ascii="Times New Roman" w:hAnsi="Times New Roman" w:cs="Times New Roman"/>
          <w:i/>
          <w:iCs/>
          <w:sz w:val="24"/>
          <w:lang w:val="en-US"/>
        </w:rPr>
        <w:t>Journal of Coastal Conservation</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10</w:t>
      </w:r>
      <w:r w:rsidRPr="00FC7BDB">
        <w:rPr>
          <w:rFonts w:ascii="Times New Roman" w:hAnsi="Times New Roman" w:cs="Times New Roman"/>
          <w:sz w:val="24"/>
          <w:lang w:val="en-US"/>
        </w:rPr>
        <w:t>(1), 129. https://doi.org/10.1652/1400-0350(2004)010[0129:CSAHP]2.0.CO;2</w:t>
      </w:r>
    </w:p>
    <w:p w14:paraId="27131B96" w14:textId="77777777" w:rsidR="008B6AAD" w:rsidRPr="00FC7BDB" w:rsidRDefault="008B6AAD" w:rsidP="008B6AAD">
      <w:pPr>
        <w:pStyle w:val="Bibliographie"/>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Douglas, I., Alam, K., Maghenda, M., Mcdonnell, Y., Mclean, L., &amp; Campbell, J. (2008). Unjust waters : Climate change, flooding and the urban poor in Africa. </w:t>
      </w:r>
      <w:r w:rsidRPr="00FC7BDB">
        <w:rPr>
          <w:rFonts w:ascii="Times New Roman" w:hAnsi="Times New Roman" w:cs="Times New Roman"/>
          <w:i/>
          <w:iCs/>
          <w:sz w:val="24"/>
          <w:lang w:val="en-US"/>
        </w:rPr>
        <w:t>Environment and Urbanization</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20</w:t>
      </w:r>
      <w:r w:rsidRPr="00FC7BDB">
        <w:rPr>
          <w:rFonts w:ascii="Times New Roman" w:hAnsi="Times New Roman" w:cs="Times New Roman"/>
          <w:sz w:val="24"/>
          <w:lang w:val="en-US"/>
        </w:rPr>
        <w:t>(1), 187‑205. https://doi.org/10.1177/0956247808089156</w:t>
      </w:r>
    </w:p>
    <w:p w14:paraId="2316182B" w14:textId="77777777" w:rsidR="008B6AAD" w:rsidRPr="00FC7BDB" w:rsidRDefault="008B6AAD" w:rsidP="008B6AAD">
      <w:pPr>
        <w:pStyle w:val="Bibliographie"/>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FAO. (2020). </w:t>
      </w:r>
      <w:r w:rsidRPr="00FC7BDB">
        <w:rPr>
          <w:rFonts w:ascii="Times New Roman" w:hAnsi="Times New Roman" w:cs="Times New Roman"/>
          <w:i/>
          <w:iCs/>
          <w:sz w:val="24"/>
          <w:lang w:val="en-US"/>
        </w:rPr>
        <w:t>Global Forest Resources Assessment 2020 : Main report. Rome</w:t>
      </w:r>
      <w:r w:rsidRPr="00FC7BDB">
        <w:rPr>
          <w:rFonts w:ascii="Times New Roman" w:hAnsi="Times New Roman" w:cs="Times New Roman"/>
          <w:sz w:val="24"/>
          <w:lang w:val="en-US"/>
        </w:rPr>
        <w:t>.</w:t>
      </w:r>
    </w:p>
    <w:p w14:paraId="21A9F8D3" w14:textId="77777777" w:rsidR="008B6AAD" w:rsidRPr="00FC7BDB" w:rsidRDefault="008B6AAD" w:rsidP="008B6AAD">
      <w:pPr>
        <w:pStyle w:val="Bibliographie"/>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Food, &amp; Nations, A. O. of the U. (2016). State of the world’s forests 2016. Forests and agriculture : Land-use challenges and opportunities. </w:t>
      </w:r>
      <w:r w:rsidRPr="00FC7BDB">
        <w:rPr>
          <w:rFonts w:ascii="Times New Roman" w:hAnsi="Times New Roman" w:cs="Times New Roman"/>
          <w:i/>
          <w:iCs/>
          <w:sz w:val="24"/>
          <w:lang w:val="en-US"/>
        </w:rPr>
        <w:t>FAO Report</w:t>
      </w:r>
      <w:r w:rsidRPr="00FC7BDB">
        <w:rPr>
          <w:rFonts w:ascii="Times New Roman" w:hAnsi="Times New Roman" w:cs="Times New Roman"/>
          <w:sz w:val="24"/>
          <w:lang w:val="en-US"/>
        </w:rPr>
        <w:t>.</w:t>
      </w:r>
    </w:p>
    <w:p w14:paraId="10BB69E8" w14:textId="77777777" w:rsidR="008B6AAD" w:rsidRPr="00FC7BDB" w:rsidRDefault="008B6AAD" w:rsidP="008B6AAD">
      <w:pPr>
        <w:pStyle w:val="Bibliographie"/>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Geist, H. J., &amp; Lambin, E. F. (2002). Proximate causes and underlying driving forces of tropical deforestation : Tropical forests are disappearing as the result of many pressures, both local and regional, acting in various combinations in different </w:t>
      </w:r>
      <w:r w:rsidRPr="00FC7BDB">
        <w:rPr>
          <w:rFonts w:ascii="Times New Roman" w:hAnsi="Times New Roman" w:cs="Times New Roman"/>
          <w:sz w:val="24"/>
          <w:lang w:val="en-US"/>
        </w:rPr>
        <w:lastRenderedPageBreak/>
        <w:t xml:space="preserve">geographical locations. </w:t>
      </w:r>
      <w:r w:rsidRPr="00FC7BDB">
        <w:rPr>
          <w:rFonts w:ascii="Times New Roman" w:hAnsi="Times New Roman" w:cs="Times New Roman"/>
          <w:i/>
          <w:iCs/>
          <w:sz w:val="24"/>
          <w:lang w:val="en-US"/>
        </w:rPr>
        <w:t>BioScience</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52</w:t>
      </w:r>
      <w:r w:rsidRPr="00FC7BDB">
        <w:rPr>
          <w:rFonts w:ascii="Times New Roman" w:hAnsi="Times New Roman" w:cs="Times New Roman"/>
          <w:sz w:val="24"/>
          <w:lang w:val="en-US"/>
        </w:rPr>
        <w:t>(2), 143‑150. https://academic.oup.com/bioscience/article-abstract/52/2/143/341135</w:t>
      </w:r>
    </w:p>
    <w:p w14:paraId="00DAA60D" w14:textId="77777777" w:rsidR="008B6AAD" w:rsidRPr="00FC7BDB" w:rsidRDefault="008B6AAD" w:rsidP="008B6AAD">
      <w:pPr>
        <w:pStyle w:val="Bibliographie"/>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Heri-Kazi, A. B., &amp; Bielders, C. L. (2021). Cropland characteristics and extent of soil loss by rill and gully erosion in smallholder farms in the KIVU highlands, DR Congo. </w:t>
      </w:r>
      <w:r w:rsidRPr="00FC7BDB">
        <w:rPr>
          <w:rFonts w:ascii="Times New Roman" w:hAnsi="Times New Roman" w:cs="Times New Roman"/>
          <w:i/>
          <w:iCs/>
          <w:sz w:val="24"/>
          <w:lang w:val="en-US"/>
        </w:rPr>
        <w:t>Geoderma Regional</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26</w:t>
      </w:r>
      <w:r w:rsidRPr="00FC7BDB">
        <w:rPr>
          <w:rFonts w:ascii="Times New Roman" w:hAnsi="Times New Roman" w:cs="Times New Roman"/>
          <w:sz w:val="24"/>
          <w:lang w:val="en-US"/>
        </w:rPr>
        <w:t>, e00404. https://www.sciencedirect.com/science/article/pii/S2352009421000493</w:t>
      </w:r>
    </w:p>
    <w:p w14:paraId="5F21001C" w14:textId="77777777" w:rsidR="008B6AAD" w:rsidRPr="00FC7BDB" w:rsidRDefault="008B6AAD" w:rsidP="008B6AAD">
      <w:pPr>
        <w:pStyle w:val="Bibliographie"/>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Heri‐Kazi, A. B., &amp; Bielders, C. L. (2021a). Erosion and soil and water conservation in </w:t>
      </w:r>
      <w:r w:rsidRPr="00FC7BDB">
        <w:rPr>
          <w:rFonts w:ascii="Times New Roman" w:hAnsi="Times New Roman" w:cs="Times New Roman"/>
          <w:smallCaps/>
          <w:sz w:val="24"/>
          <w:lang w:val="en-US"/>
        </w:rPr>
        <w:t>South‐Kivu</w:t>
      </w:r>
      <w:r w:rsidRPr="00FC7BDB">
        <w:rPr>
          <w:rFonts w:ascii="Times New Roman" w:hAnsi="Times New Roman" w:cs="Times New Roman"/>
          <w:sz w:val="24"/>
          <w:lang w:val="en-US"/>
        </w:rPr>
        <w:t xml:space="preserve"> (eastern DR Congo) : The farmers’ view. </w:t>
      </w:r>
      <w:r w:rsidRPr="00FC7BDB">
        <w:rPr>
          <w:rFonts w:ascii="Times New Roman" w:hAnsi="Times New Roman" w:cs="Times New Roman"/>
          <w:i/>
          <w:iCs/>
          <w:sz w:val="24"/>
          <w:lang w:val="en-US"/>
        </w:rPr>
        <w:t>Land Degradation &amp; Development</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32</w:t>
      </w:r>
      <w:r w:rsidRPr="00FC7BDB">
        <w:rPr>
          <w:rFonts w:ascii="Times New Roman" w:hAnsi="Times New Roman" w:cs="Times New Roman"/>
          <w:sz w:val="24"/>
          <w:lang w:val="en-US"/>
        </w:rPr>
        <w:t>(2), 699‑713. https://doi.org/10.1002/ldr.3755</w:t>
      </w:r>
    </w:p>
    <w:p w14:paraId="100E25A4" w14:textId="77777777" w:rsidR="008B6AAD" w:rsidRPr="00FC7BDB" w:rsidRDefault="008B6AAD" w:rsidP="008B6AAD">
      <w:pPr>
        <w:pStyle w:val="Bibliographie"/>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Heri‐Kazi, A. B., &amp; Bielders, C. L. (2021b). Erosion and soil and water conservation in </w:t>
      </w:r>
      <w:r w:rsidRPr="00FC7BDB">
        <w:rPr>
          <w:rFonts w:ascii="Times New Roman" w:hAnsi="Times New Roman" w:cs="Times New Roman"/>
          <w:smallCaps/>
          <w:sz w:val="24"/>
          <w:lang w:val="en-US"/>
        </w:rPr>
        <w:t>South‐Kivu</w:t>
      </w:r>
      <w:r w:rsidRPr="00FC7BDB">
        <w:rPr>
          <w:rFonts w:ascii="Times New Roman" w:hAnsi="Times New Roman" w:cs="Times New Roman"/>
          <w:sz w:val="24"/>
          <w:lang w:val="en-US"/>
        </w:rPr>
        <w:t xml:space="preserve"> (eastern DR Congo) : The farmers’ view. </w:t>
      </w:r>
      <w:r w:rsidRPr="00FC7BDB">
        <w:rPr>
          <w:rFonts w:ascii="Times New Roman" w:hAnsi="Times New Roman" w:cs="Times New Roman"/>
          <w:i/>
          <w:iCs/>
          <w:sz w:val="24"/>
          <w:lang w:val="en-US"/>
        </w:rPr>
        <w:t>Land Degradation &amp; Development</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32</w:t>
      </w:r>
      <w:r w:rsidRPr="00FC7BDB">
        <w:rPr>
          <w:rFonts w:ascii="Times New Roman" w:hAnsi="Times New Roman" w:cs="Times New Roman"/>
          <w:sz w:val="24"/>
          <w:lang w:val="en-US"/>
        </w:rPr>
        <w:t>(2), 699‑713. https://doi.org/10.1002/ldr.3755</w:t>
      </w:r>
    </w:p>
    <w:p w14:paraId="09C6C000" w14:textId="77777777" w:rsidR="008B6AAD" w:rsidRPr="00F3415A" w:rsidRDefault="008B6AAD" w:rsidP="008B6AAD">
      <w:pPr>
        <w:pStyle w:val="Bibliographie"/>
        <w:spacing w:line="276" w:lineRule="auto"/>
        <w:rPr>
          <w:rFonts w:ascii="Times New Roman" w:hAnsi="Times New Roman" w:cs="Times New Roman"/>
          <w:sz w:val="24"/>
          <w:lang w:val="en-US"/>
        </w:rPr>
      </w:pPr>
      <w:r w:rsidRPr="00F3415A">
        <w:rPr>
          <w:rFonts w:ascii="Times New Roman" w:hAnsi="Times New Roman" w:cs="Times New Roman"/>
          <w:sz w:val="24"/>
          <w:lang w:val="en-US"/>
        </w:rPr>
        <w:t>https://www.academia.edu/download/107505862/IJSMES.pdf</w:t>
      </w:r>
    </w:p>
    <w:p w14:paraId="28C0750D" w14:textId="77777777" w:rsidR="008B6AAD" w:rsidRPr="00FC7BDB" w:rsidRDefault="008B6AAD" w:rsidP="008B6AAD">
      <w:pPr>
        <w:pStyle w:val="Bibliographie"/>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Khaing, Z. M., Zhang, K., Sawano, H., Shrestha, B. B., Sayama, T., &amp; Nakamura, K. (2019). Flood hazard mapping and assessment in data-scarce Nyaungdon area, Myanmar. </w:t>
      </w:r>
      <w:r w:rsidRPr="00FC7BDB">
        <w:rPr>
          <w:rFonts w:ascii="Times New Roman" w:hAnsi="Times New Roman" w:cs="Times New Roman"/>
          <w:i/>
          <w:iCs/>
          <w:sz w:val="24"/>
          <w:lang w:val="en-US"/>
        </w:rPr>
        <w:t>PLoS One</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14</w:t>
      </w:r>
      <w:r w:rsidRPr="00FC7BDB">
        <w:rPr>
          <w:rFonts w:ascii="Times New Roman" w:hAnsi="Times New Roman" w:cs="Times New Roman"/>
          <w:sz w:val="24"/>
          <w:lang w:val="en-US"/>
        </w:rPr>
        <w:t>(11), e0224558. https://journals.plos.org/plosone/article?id=10.1371/journal.pone.0224558</w:t>
      </w:r>
    </w:p>
    <w:p w14:paraId="7A573E46" w14:textId="77777777" w:rsidR="008B6AAD" w:rsidRPr="00FC7BDB" w:rsidRDefault="008B6AAD" w:rsidP="008B6AAD">
      <w:pPr>
        <w:pStyle w:val="Bibliographie"/>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Kulimushi, L. C., Choudhari, P., Mubalama, L. K., &amp; Banswe, G. T. (2021a). GIS and remote sensing-based assessment of soil erosion risk using RUSLE model in South-Kivu province, eastern, Democratic Republic of Congo. </w:t>
      </w:r>
      <w:r w:rsidRPr="00FC7BDB">
        <w:rPr>
          <w:rFonts w:ascii="Times New Roman" w:hAnsi="Times New Roman" w:cs="Times New Roman"/>
          <w:i/>
          <w:iCs/>
          <w:sz w:val="24"/>
          <w:lang w:val="en-US"/>
        </w:rPr>
        <w:t>Geomatics, Natural Hazards and Risk</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12</w:t>
      </w:r>
      <w:r w:rsidRPr="00FC7BDB">
        <w:rPr>
          <w:rFonts w:ascii="Times New Roman" w:hAnsi="Times New Roman" w:cs="Times New Roman"/>
          <w:sz w:val="24"/>
          <w:lang w:val="en-US"/>
        </w:rPr>
        <w:t>(1), 961‑987. https://doi.org/10.1080/19475705.2021.1906759</w:t>
      </w:r>
    </w:p>
    <w:p w14:paraId="7FFCF95D" w14:textId="77777777" w:rsidR="008B6AAD" w:rsidRPr="00FC7BDB" w:rsidRDefault="008B6AAD" w:rsidP="008B6AAD">
      <w:pPr>
        <w:pStyle w:val="Bibliographie"/>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Kulimushi, L. C., Choudhari, P., Mubalama, L. K., &amp; Banswe, G. T. (2021b). GIS and remote sensing-based assessment of soil erosion risk using RUSLE model in South-Kivu province, eastern, Democratic Republic of Congo. </w:t>
      </w:r>
      <w:r w:rsidRPr="00FC7BDB">
        <w:rPr>
          <w:rFonts w:ascii="Times New Roman" w:hAnsi="Times New Roman" w:cs="Times New Roman"/>
          <w:i/>
          <w:iCs/>
          <w:sz w:val="24"/>
          <w:lang w:val="en-US"/>
        </w:rPr>
        <w:t>Geomatics, Natural Hazards and Risk</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12</w:t>
      </w:r>
      <w:r w:rsidRPr="00FC7BDB">
        <w:rPr>
          <w:rFonts w:ascii="Times New Roman" w:hAnsi="Times New Roman" w:cs="Times New Roman"/>
          <w:sz w:val="24"/>
          <w:lang w:val="en-US"/>
        </w:rPr>
        <w:t>(1), 961‑987. https://doi.org/10.1080/19475705.2021.1906759</w:t>
      </w:r>
    </w:p>
    <w:p w14:paraId="26F7613E" w14:textId="77777777" w:rsidR="008B6AAD" w:rsidRPr="00FC7BDB" w:rsidRDefault="008B6AAD" w:rsidP="008B6AAD">
      <w:pPr>
        <w:pStyle w:val="Bibliographie"/>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Lambin, E. F., &amp; Meyfroidt, P. (2011a). Global land use change, economic globalization, and the looming land scarcity. </w:t>
      </w:r>
      <w:r w:rsidRPr="00FC7BDB">
        <w:rPr>
          <w:rFonts w:ascii="Times New Roman" w:hAnsi="Times New Roman" w:cs="Times New Roman"/>
          <w:i/>
          <w:iCs/>
          <w:sz w:val="24"/>
          <w:lang w:val="en-US"/>
        </w:rPr>
        <w:t>Proceedings of the National Academy of Sciences</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108</w:t>
      </w:r>
      <w:r w:rsidRPr="00FC7BDB">
        <w:rPr>
          <w:rFonts w:ascii="Times New Roman" w:hAnsi="Times New Roman" w:cs="Times New Roman"/>
          <w:sz w:val="24"/>
          <w:lang w:val="en-US"/>
        </w:rPr>
        <w:t>(9), 3465‑3472. https://doi.org/10.1073/pnas.1100480108</w:t>
      </w:r>
    </w:p>
    <w:p w14:paraId="7B5A561F" w14:textId="77777777" w:rsidR="008B6AAD" w:rsidRPr="00FC7BDB" w:rsidRDefault="008B6AAD" w:rsidP="008B6AAD">
      <w:pPr>
        <w:pStyle w:val="Bibliographie"/>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Lambin, E. F., &amp; Meyfroidt, P. (2011b). Global land use change, economic globalization, and the looming land scarcity. </w:t>
      </w:r>
      <w:r w:rsidRPr="00FC7BDB">
        <w:rPr>
          <w:rFonts w:ascii="Times New Roman" w:hAnsi="Times New Roman" w:cs="Times New Roman"/>
          <w:i/>
          <w:iCs/>
          <w:sz w:val="24"/>
          <w:lang w:val="en-US"/>
        </w:rPr>
        <w:t>Proceedings of the National Academy of Sciences</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108</w:t>
      </w:r>
      <w:r w:rsidRPr="00FC7BDB">
        <w:rPr>
          <w:rFonts w:ascii="Times New Roman" w:hAnsi="Times New Roman" w:cs="Times New Roman"/>
          <w:sz w:val="24"/>
          <w:lang w:val="en-US"/>
        </w:rPr>
        <w:t>(9), 3465‑3472. https://doi.org/10.1073/pnas.1100480108</w:t>
      </w:r>
    </w:p>
    <w:p w14:paraId="53A6D1DB" w14:textId="77777777" w:rsidR="008B6AAD" w:rsidRPr="00FC7BDB" w:rsidRDefault="008B6AAD" w:rsidP="008B6AAD">
      <w:pPr>
        <w:pStyle w:val="Bibliographie"/>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Lou, C., Al-qaness, M. A. A., AL-Alimi, D., Dahou, A., Abd Elaziz, M., Abualigah, L., &amp; Ewees, A. A. (2025). Land use/land cover (LULC) classification using hyperspectral images : A review. </w:t>
      </w:r>
      <w:r w:rsidRPr="00FC7BDB">
        <w:rPr>
          <w:rFonts w:ascii="Times New Roman" w:hAnsi="Times New Roman" w:cs="Times New Roman"/>
          <w:i/>
          <w:iCs/>
          <w:sz w:val="24"/>
          <w:lang w:val="en-US"/>
        </w:rPr>
        <w:t>Geo-Spatial Information Science</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28</w:t>
      </w:r>
      <w:r w:rsidRPr="00FC7BDB">
        <w:rPr>
          <w:rFonts w:ascii="Times New Roman" w:hAnsi="Times New Roman" w:cs="Times New Roman"/>
          <w:sz w:val="24"/>
          <w:lang w:val="en-US"/>
        </w:rPr>
        <w:t>(2), 345‑386. https://doi.org/10.1080/10095020.2024.2332638</w:t>
      </w:r>
    </w:p>
    <w:p w14:paraId="41CD9C4B" w14:textId="77777777" w:rsidR="008B6AAD" w:rsidRPr="00FC7BDB" w:rsidRDefault="008B6AAD" w:rsidP="008B6AAD">
      <w:pPr>
        <w:pStyle w:val="Bibliographie"/>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McFEETERS, S. K. (1996). The use of the Normalized Difference Water Index (NDWI) in the delineation of open water features. </w:t>
      </w:r>
      <w:r w:rsidRPr="00FC7BDB">
        <w:rPr>
          <w:rFonts w:ascii="Times New Roman" w:hAnsi="Times New Roman" w:cs="Times New Roman"/>
          <w:i/>
          <w:iCs/>
          <w:sz w:val="24"/>
          <w:lang w:val="en-US"/>
        </w:rPr>
        <w:t>International Journal of Remote Sensing</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17</w:t>
      </w:r>
      <w:r w:rsidRPr="00FC7BDB">
        <w:rPr>
          <w:rFonts w:ascii="Times New Roman" w:hAnsi="Times New Roman" w:cs="Times New Roman"/>
          <w:sz w:val="24"/>
          <w:lang w:val="en-US"/>
        </w:rPr>
        <w:t>(7), 1425‑1432. https://doi.org/10.1080/01431169608948714</w:t>
      </w:r>
    </w:p>
    <w:p w14:paraId="07F1CC01" w14:textId="77777777" w:rsidR="008B6AAD" w:rsidRPr="00FC7BDB" w:rsidRDefault="008B6AAD" w:rsidP="008B6AAD">
      <w:pPr>
        <w:pStyle w:val="Bibliographie"/>
        <w:spacing w:line="276" w:lineRule="auto"/>
        <w:rPr>
          <w:rFonts w:ascii="Times New Roman" w:hAnsi="Times New Roman" w:cs="Times New Roman"/>
          <w:sz w:val="24"/>
        </w:rPr>
      </w:pPr>
      <w:r w:rsidRPr="00FC7BDB">
        <w:rPr>
          <w:rFonts w:ascii="Times New Roman" w:hAnsi="Times New Roman" w:cs="Times New Roman"/>
          <w:sz w:val="24"/>
          <w:lang w:val="en-US"/>
        </w:rPr>
        <w:t xml:space="preserve">Nacishali Nteranya, J. (2021). </w:t>
      </w:r>
      <w:r w:rsidRPr="00FC7BDB">
        <w:rPr>
          <w:rFonts w:ascii="Times New Roman" w:hAnsi="Times New Roman" w:cs="Times New Roman"/>
          <w:sz w:val="24"/>
        </w:rPr>
        <w:t xml:space="preserve">Cartographie de l’érosion hydrique des sols et priorisation des mesures de conservation dans le territoire d’Uvira (République démocratique du Congo). </w:t>
      </w:r>
      <w:r w:rsidRPr="00FC7BDB">
        <w:rPr>
          <w:rFonts w:ascii="Times New Roman" w:hAnsi="Times New Roman" w:cs="Times New Roman"/>
          <w:i/>
          <w:iCs/>
          <w:sz w:val="24"/>
        </w:rPr>
        <w:t>VertigO-la revue électronique en sciences de l’environnement</w:t>
      </w:r>
      <w:r w:rsidRPr="00FC7BDB">
        <w:rPr>
          <w:rFonts w:ascii="Times New Roman" w:hAnsi="Times New Roman" w:cs="Times New Roman"/>
          <w:sz w:val="24"/>
        </w:rPr>
        <w:t xml:space="preserve">, </w:t>
      </w:r>
      <w:r w:rsidRPr="00FC7BDB">
        <w:rPr>
          <w:rFonts w:ascii="Times New Roman" w:hAnsi="Times New Roman" w:cs="Times New Roman"/>
          <w:i/>
          <w:iCs/>
          <w:sz w:val="24"/>
        </w:rPr>
        <w:t>20‑3</w:t>
      </w:r>
      <w:r w:rsidRPr="00FC7BDB">
        <w:rPr>
          <w:rFonts w:ascii="Times New Roman" w:hAnsi="Times New Roman" w:cs="Times New Roman"/>
          <w:sz w:val="24"/>
        </w:rPr>
        <w:t>. https://journals.openedition.org/vertigo/28888</w:t>
      </w:r>
    </w:p>
    <w:p w14:paraId="622C0546" w14:textId="77777777" w:rsidR="008B6AAD" w:rsidRPr="00FC7BDB" w:rsidRDefault="008B6AAD" w:rsidP="008B6AAD">
      <w:pPr>
        <w:pStyle w:val="Bibliographie"/>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Niyongabire, E., Hassan, R., Elhassan, E., &amp; Mehdi, M. (2016). Use of digital elevation model in a GIS for flood susceptibility mapping : Case of Bujumbura City. </w:t>
      </w:r>
      <w:r w:rsidRPr="00FC7BDB">
        <w:rPr>
          <w:rFonts w:ascii="Times New Roman" w:hAnsi="Times New Roman" w:cs="Times New Roman"/>
          <w:i/>
          <w:iCs/>
          <w:sz w:val="24"/>
          <w:lang w:val="en-US"/>
        </w:rPr>
        <w:t>Proceedings, 6th international conference on cartography and GIS, Albena: Bulgaria</w:t>
      </w:r>
      <w:r w:rsidRPr="00FC7BDB">
        <w:rPr>
          <w:rFonts w:ascii="Times New Roman" w:hAnsi="Times New Roman" w:cs="Times New Roman"/>
          <w:sz w:val="24"/>
          <w:lang w:val="en-US"/>
        </w:rPr>
        <w:t>, 241‑248. https://www.researchgate.net/profile/Temenoujka-</w:t>
      </w:r>
      <w:r w:rsidRPr="00FC7BDB">
        <w:rPr>
          <w:rFonts w:ascii="Times New Roman" w:hAnsi="Times New Roman" w:cs="Times New Roman"/>
          <w:sz w:val="24"/>
          <w:lang w:val="en-US"/>
        </w:rPr>
        <w:lastRenderedPageBreak/>
        <w:t>Bandrova/publication/309772611_6th_International_Conference_on_Cartography_and_GIS/links/5d13644a299bf1547c7f9906/6th-International-Conference-on-Cartography-and-GIS.pdf#page=241</w:t>
      </w:r>
    </w:p>
    <w:p w14:paraId="4DD33023" w14:textId="77777777" w:rsidR="008B6AAD" w:rsidRPr="00FC7BDB" w:rsidRDefault="008B6AAD" w:rsidP="008B6AAD">
      <w:pPr>
        <w:pStyle w:val="Bibliographie"/>
        <w:spacing w:line="276" w:lineRule="auto"/>
        <w:rPr>
          <w:rFonts w:ascii="Times New Roman" w:hAnsi="Times New Roman" w:cs="Times New Roman"/>
          <w:sz w:val="24"/>
        </w:rPr>
      </w:pPr>
      <w:r w:rsidRPr="00FC7BDB">
        <w:rPr>
          <w:rFonts w:ascii="Times New Roman" w:hAnsi="Times New Roman" w:cs="Times New Roman"/>
          <w:sz w:val="24"/>
          <w:lang w:val="en-US"/>
        </w:rPr>
        <w:t xml:space="preserve">Nyesheja, E. M., Chen, X., El-Tantawi, A. M., Karamage, F., Mupenzi, C., &amp; Nsengiyumva, J. B. (2019). Soil erosion assessment using RUSLE model in the Congo Nile Ridge region of Rwanda. </w:t>
      </w:r>
      <w:r w:rsidRPr="00FC7BDB">
        <w:rPr>
          <w:rFonts w:ascii="Times New Roman" w:hAnsi="Times New Roman" w:cs="Times New Roman"/>
          <w:i/>
          <w:iCs/>
          <w:sz w:val="24"/>
        </w:rPr>
        <w:t>Physical Geography</w:t>
      </w:r>
      <w:r w:rsidRPr="00FC7BDB">
        <w:rPr>
          <w:rFonts w:ascii="Times New Roman" w:hAnsi="Times New Roman" w:cs="Times New Roman"/>
          <w:sz w:val="24"/>
        </w:rPr>
        <w:t xml:space="preserve">, </w:t>
      </w:r>
      <w:r w:rsidRPr="00FC7BDB">
        <w:rPr>
          <w:rFonts w:ascii="Times New Roman" w:hAnsi="Times New Roman" w:cs="Times New Roman"/>
          <w:i/>
          <w:iCs/>
          <w:sz w:val="24"/>
        </w:rPr>
        <w:t>40</w:t>
      </w:r>
      <w:r w:rsidRPr="00FC7BDB">
        <w:rPr>
          <w:rFonts w:ascii="Times New Roman" w:hAnsi="Times New Roman" w:cs="Times New Roman"/>
          <w:sz w:val="24"/>
        </w:rPr>
        <w:t>(4), 339‑360. https://doi.org/10.1080/02723646.2018.1541706</w:t>
      </w:r>
    </w:p>
    <w:p w14:paraId="39EA8329" w14:textId="77777777" w:rsidR="008B6AAD" w:rsidRPr="00FC7BDB" w:rsidRDefault="008B6AAD" w:rsidP="008B6AAD">
      <w:pPr>
        <w:pStyle w:val="Bibliographie"/>
        <w:spacing w:line="276" w:lineRule="auto"/>
        <w:rPr>
          <w:rFonts w:ascii="Times New Roman" w:hAnsi="Times New Roman" w:cs="Times New Roman"/>
          <w:sz w:val="24"/>
        </w:rPr>
      </w:pPr>
      <w:r w:rsidRPr="00FC7BDB">
        <w:rPr>
          <w:rFonts w:ascii="Times New Roman" w:hAnsi="Times New Roman" w:cs="Times New Roman"/>
          <w:i/>
          <w:iCs/>
          <w:sz w:val="24"/>
        </w:rPr>
        <w:t>OCHA_RDC_Rapport de situation Sud-Kivu Novembre 2025 (1)</w:t>
      </w:r>
      <w:r w:rsidRPr="00FC7BDB">
        <w:rPr>
          <w:rFonts w:ascii="Times New Roman" w:hAnsi="Times New Roman" w:cs="Times New Roman"/>
          <w:sz w:val="24"/>
        </w:rPr>
        <w:t>. (s. d.).</w:t>
      </w:r>
    </w:p>
    <w:p w14:paraId="74B68A91" w14:textId="77777777" w:rsidR="008B6AAD" w:rsidRPr="00FC7BDB" w:rsidRDefault="008B6AAD" w:rsidP="008B6AAD">
      <w:pPr>
        <w:pStyle w:val="Bibliographie"/>
        <w:spacing w:line="276" w:lineRule="auto"/>
        <w:rPr>
          <w:rFonts w:ascii="Times New Roman" w:hAnsi="Times New Roman" w:cs="Times New Roman"/>
          <w:sz w:val="24"/>
          <w:lang w:val="en-US"/>
        </w:rPr>
      </w:pPr>
      <w:r w:rsidRPr="00FC7BDB">
        <w:rPr>
          <w:rFonts w:ascii="Times New Roman" w:hAnsi="Times New Roman" w:cs="Times New Roman"/>
          <w:sz w:val="24"/>
        </w:rPr>
        <w:t xml:space="preserve">Rwanyiziri, G., Kayitesi, C., Mugabowindekwe, M., Byizigiro, R. V., Muyombano, E., Kagabika, M. B., &amp; Bimenyimana, T. (2020). </w:t>
      </w:r>
      <w:r w:rsidRPr="00FC7BDB">
        <w:rPr>
          <w:rFonts w:ascii="Times New Roman" w:hAnsi="Times New Roman" w:cs="Times New Roman"/>
          <w:sz w:val="24"/>
          <w:lang w:val="en-US"/>
        </w:rPr>
        <w:t xml:space="preserve">Spatio-temporal analysis of urban growth and its effects on wetlands in Rwanda : The case of Rwampara wetland in the city of Kigali. </w:t>
      </w:r>
      <w:r w:rsidRPr="00FC7BDB">
        <w:rPr>
          <w:rFonts w:ascii="Times New Roman" w:hAnsi="Times New Roman" w:cs="Times New Roman"/>
          <w:i/>
          <w:iCs/>
          <w:sz w:val="24"/>
          <w:lang w:val="en-US"/>
        </w:rPr>
        <w:t>Journal of Applied Sciences and Environmental Management</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24</w:t>
      </w:r>
      <w:r w:rsidRPr="00FC7BDB">
        <w:rPr>
          <w:rFonts w:ascii="Times New Roman" w:hAnsi="Times New Roman" w:cs="Times New Roman"/>
          <w:sz w:val="24"/>
          <w:lang w:val="en-US"/>
        </w:rPr>
        <w:t>(9), 1495‑1501. https://www.ajol.info/index.php/jasem/article/view/200601</w:t>
      </w:r>
    </w:p>
    <w:p w14:paraId="19EED23E" w14:textId="77777777" w:rsidR="008B6AAD" w:rsidRPr="00FC7BDB" w:rsidRDefault="008B6AAD" w:rsidP="008B6AAD">
      <w:pPr>
        <w:pStyle w:val="Bibliographie"/>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Seto, K. C., Güneralp, B., &amp; Hutyra, L. R. (2012). Global forecasts of urban expansion to 2030 and direct impacts on biodiversity and carbon pools. </w:t>
      </w:r>
      <w:r w:rsidRPr="00FC7BDB">
        <w:rPr>
          <w:rFonts w:ascii="Times New Roman" w:hAnsi="Times New Roman" w:cs="Times New Roman"/>
          <w:i/>
          <w:iCs/>
          <w:sz w:val="24"/>
          <w:lang w:val="en-US"/>
        </w:rPr>
        <w:t>Proceedings of the National Academy of Sciences</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109</w:t>
      </w:r>
      <w:r w:rsidRPr="00FC7BDB">
        <w:rPr>
          <w:rFonts w:ascii="Times New Roman" w:hAnsi="Times New Roman" w:cs="Times New Roman"/>
          <w:sz w:val="24"/>
          <w:lang w:val="en-US"/>
        </w:rPr>
        <w:t>(40), 16083‑16088. https://doi.org/10.1073/pnas.1211658109</w:t>
      </w:r>
    </w:p>
    <w:p w14:paraId="7A0447D9" w14:textId="77777777" w:rsidR="008B6AAD" w:rsidRPr="00FC7BDB" w:rsidRDefault="008B6AAD" w:rsidP="008B6AAD">
      <w:pPr>
        <w:pStyle w:val="Bibliographie"/>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Talukdar, S., Singha, P., Mahato, S., Pal, S., Liou, Y.-A., &amp; Rahman, A. (2020). Land-use land-cover classification by machine learning classifiers for satellite observations—A review. </w:t>
      </w:r>
      <w:r w:rsidRPr="00FC7BDB">
        <w:rPr>
          <w:rFonts w:ascii="Times New Roman" w:hAnsi="Times New Roman" w:cs="Times New Roman"/>
          <w:i/>
          <w:iCs/>
          <w:sz w:val="24"/>
          <w:lang w:val="en-US"/>
        </w:rPr>
        <w:t>Remote sensing</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12</w:t>
      </w:r>
      <w:r w:rsidRPr="00FC7BDB">
        <w:rPr>
          <w:rFonts w:ascii="Times New Roman" w:hAnsi="Times New Roman" w:cs="Times New Roman"/>
          <w:sz w:val="24"/>
          <w:lang w:val="en-US"/>
        </w:rPr>
        <w:t>(7), 1135. https://www.mdpi.com/2072-4292/12/7/1135</w:t>
      </w:r>
    </w:p>
    <w:p w14:paraId="114539EF" w14:textId="77777777" w:rsidR="008B6AAD" w:rsidRPr="00FC7BDB" w:rsidRDefault="008B6AAD" w:rsidP="008B6AAD">
      <w:pPr>
        <w:pStyle w:val="Bibliographie"/>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Walsh, C. J., Roy, A. H., Feminella, J. W., Cottingham, P. D., Groffman, P. M., &amp; Morgan, R. P. (2005). The urban stream syndrome : Current knowledge and the search for a cure. </w:t>
      </w:r>
      <w:r w:rsidRPr="00FC7BDB">
        <w:rPr>
          <w:rFonts w:ascii="Times New Roman" w:hAnsi="Times New Roman" w:cs="Times New Roman"/>
          <w:i/>
          <w:iCs/>
          <w:sz w:val="24"/>
          <w:lang w:val="en-US"/>
        </w:rPr>
        <w:t>Journal of the North American Benthological Society</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24</w:t>
      </w:r>
      <w:r w:rsidRPr="00FC7BDB">
        <w:rPr>
          <w:rFonts w:ascii="Times New Roman" w:hAnsi="Times New Roman" w:cs="Times New Roman"/>
          <w:sz w:val="24"/>
          <w:lang w:val="en-US"/>
        </w:rPr>
        <w:t>(3), 706‑723. https://doi.org/10.1899/04-028.1</w:t>
      </w:r>
    </w:p>
    <w:p w14:paraId="27CC4118" w14:textId="77777777" w:rsidR="008B6AAD" w:rsidRPr="00E26D7A" w:rsidRDefault="008B6AAD" w:rsidP="008B6AAD">
      <w:pPr>
        <w:tabs>
          <w:tab w:val="left" w:pos="1845"/>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fldChar w:fldCharType="end"/>
      </w:r>
    </w:p>
    <w:sectPr w:rsidR="008B6AAD" w:rsidRPr="00E26D7A" w:rsidSect="00305399">
      <w:headerReference w:type="even" r:id="rId14"/>
      <w:headerReference w:type="default" r:id="rId15"/>
      <w:footerReference w:type="even" r:id="rId16"/>
      <w:footerReference w:type="default" r:id="rId17"/>
      <w:headerReference w:type="first" r:id="rId18"/>
      <w:footerReference w:type="first" r:id="rId19"/>
      <w:pgSz w:w="11906" w:h="16838"/>
      <w:pgMar w:top="993" w:right="1417" w:bottom="1135"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C0094D" w14:textId="77777777" w:rsidR="00C86DDB" w:rsidRDefault="00C86DDB" w:rsidP="003425EB">
      <w:pPr>
        <w:spacing w:after="0" w:line="240" w:lineRule="auto"/>
      </w:pPr>
      <w:r>
        <w:separator/>
      </w:r>
    </w:p>
  </w:endnote>
  <w:endnote w:type="continuationSeparator" w:id="0">
    <w:p w14:paraId="2C4631CF" w14:textId="77777777" w:rsidR="00C86DDB" w:rsidRDefault="00C86DDB" w:rsidP="00342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9F197" w14:textId="77777777" w:rsidR="00AD08F0" w:rsidRDefault="00AD08F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E4BAB" w14:textId="77777777" w:rsidR="00AD08F0" w:rsidRDefault="00AD08F0">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3187B" w14:textId="77777777" w:rsidR="00AD08F0" w:rsidRDefault="00AD08F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D37BB8" w14:textId="77777777" w:rsidR="00C86DDB" w:rsidRDefault="00C86DDB" w:rsidP="003425EB">
      <w:pPr>
        <w:spacing w:after="0" w:line="240" w:lineRule="auto"/>
      </w:pPr>
      <w:r>
        <w:separator/>
      </w:r>
    </w:p>
  </w:footnote>
  <w:footnote w:type="continuationSeparator" w:id="0">
    <w:p w14:paraId="57CD7BDF" w14:textId="77777777" w:rsidR="00C86DDB" w:rsidRDefault="00C86DDB" w:rsidP="003425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B5929" w14:textId="499006F1" w:rsidR="00AD08F0" w:rsidRDefault="00C86DDB">
    <w:pPr>
      <w:pStyle w:val="En-tte"/>
    </w:pPr>
    <w:r>
      <w:rPr>
        <w:noProof/>
      </w:rPr>
      <w:pict w14:anchorId="2D163F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430908"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202C6" w14:textId="458530D0" w:rsidR="00AD08F0" w:rsidRDefault="00C86DDB">
    <w:pPr>
      <w:pStyle w:val="En-tte"/>
    </w:pPr>
    <w:r>
      <w:rPr>
        <w:noProof/>
      </w:rPr>
      <w:pict w14:anchorId="628FE6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430909"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6CE6D" w14:textId="782B0979" w:rsidR="00AD08F0" w:rsidRDefault="00C86DDB">
    <w:pPr>
      <w:pStyle w:val="En-tte"/>
    </w:pPr>
    <w:r>
      <w:rPr>
        <w:noProof/>
      </w:rPr>
      <w:pict w14:anchorId="128E4C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430907"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75BF0"/>
    <w:multiLevelType w:val="multilevel"/>
    <w:tmpl w:val="7EF29D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BE0522"/>
    <w:multiLevelType w:val="hybridMultilevel"/>
    <w:tmpl w:val="3948F28A"/>
    <w:lvl w:ilvl="0" w:tplc="628C0038">
      <w:start w:val="1"/>
      <w:numFmt w:val="bullet"/>
      <w:lvlText w:val=""/>
      <w:lvlJc w:val="left"/>
      <w:pPr>
        <w:ind w:left="1080" w:hanging="360"/>
      </w:pPr>
      <w:rPr>
        <w:rFonts w:ascii="Symbol" w:hAnsi="Symbol"/>
      </w:rPr>
    </w:lvl>
    <w:lvl w:ilvl="1" w:tplc="B6D2483E">
      <w:start w:val="1"/>
      <w:numFmt w:val="bullet"/>
      <w:lvlText w:val=""/>
      <w:lvlJc w:val="left"/>
      <w:pPr>
        <w:ind w:left="1080" w:hanging="360"/>
      </w:pPr>
      <w:rPr>
        <w:rFonts w:ascii="Symbol" w:hAnsi="Symbol"/>
      </w:rPr>
    </w:lvl>
    <w:lvl w:ilvl="2" w:tplc="C64A9E8E">
      <w:start w:val="1"/>
      <w:numFmt w:val="bullet"/>
      <w:lvlText w:val=""/>
      <w:lvlJc w:val="left"/>
      <w:pPr>
        <w:ind w:left="1080" w:hanging="360"/>
      </w:pPr>
      <w:rPr>
        <w:rFonts w:ascii="Symbol" w:hAnsi="Symbol"/>
      </w:rPr>
    </w:lvl>
    <w:lvl w:ilvl="3" w:tplc="28407C7C">
      <w:start w:val="1"/>
      <w:numFmt w:val="bullet"/>
      <w:lvlText w:val=""/>
      <w:lvlJc w:val="left"/>
      <w:pPr>
        <w:ind w:left="1080" w:hanging="360"/>
      </w:pPr>
      <w:rPr>
        <w:rFonts w:ascii="Symbol" w:hAnsi="Symbol"/>
      </w:rPr>
    </w:lvl>
    <w:lvl w:ilvl="4" w:tplc="38C67F8C">
      <w:start w:val="1"/>
      <w:numFmt w:val="bullet"/>
      <w:lvlText w:val=""/>
      <w:lvlJc w:val="left"/>
      <w:pPr>
        <w:ind w:left="1080" w:hanging="360"/>
      </w:pPr>
      <w:rPr>
        <w:rFonts w:ascii="Symbol" w:hAnsi="Symbol"/>
      </w:rPr>
    </w:lvl>
    <w:lvl w:ilvl="5" w:tplc="84CAD7AA">
      <w:start w:val="1"/>
      <w:numFmt w:val="bullet"/>
      <w:lvlText w:val=""/>
      <w:lvlJc w:val="left"/>
      <w:pPr>
        <w:ind w:left="1080" w:hanging="360"/>
      </w:pPr>
      <w:rPr>
        <w:rFonts w:ascii="Symbol" w:hAnsi="Symbol"/>
      </w:rPr>
    </w:lvl>
    <w:lvl w:ilvl="6" w:tplc="24E27054">
      <w:start w:val="1"/>
      <w:numFmt w:val="bullet"/>
      <w:lvlText w:val=""/>
      <w:lvlJc w:val="left"/>
      <w:pPr>
        <w:ind w:left="1080" w:hanging="360"/>
      </w:pPr>
      <w:rPr>
        <w:rFonts w:ascii="Symbol" w:hAnsi="Symbol"/>
      </w:rPr>
    </w:lvl>
    <w:lvl w:ilvl="7" w:tplc="A0D0EDD0">
      <w:start w:val="1"/>
      <w:numFmt w:val="bullet"/>
      <w:lvlText w:val=""/>
      <w:lvlJc w:val="left"/>
      <w:pPr>
        <w:ind w:left="1080" w:hanging="360"/>
      </w:pPr>
      <w:rPr>
        <w:rFonts w:ascii="Symbol" w:hAnsi="Symbol"/>
      </w:rPr>
    </w:lvl>
    <w:lvl w:ilvl="8" w:tplc="DBFCE644">
      <w:start w:val="1"/>
      <w:numFmt w:val="bullet"/>
      <w:lvlText w:val=""/>
      <w:lvlJc w:val="left"/>
      <w:pPr>
        <w:ind w:left="1080" w:hanging="360"/>
      </w:pPr>
      <w:rPr>
        <w:rFonts w:ascii="Symbol" w:hAnsi="Symbol"/>
      </w:rPr>
    </w:lvl>
  </w:abstractNum>
  <w:abstractNum w:abstractNumId="2">
    <w:nsid w:val="20A227D1"/>
    <w:multiLevelType w:val="hybridMultilevel"/>
    <w:tmpl w:val="C1C089E0"/>
    <w:lvl w:ilvl="0" w:tplc="BBC041AC">
      <w:start w:val="1"/>
      <w:numFmt w:val="decimal"/>
      <w:lvlText w:val="%1."/>
      <w:lvlJc w:val="left"/>
      <w:pPr>
        <w:ind w:left="720" w:hanging="360"/>
      </w:pPr>
      <w:rPr>
        <w:rFonts w:eastAsia="Times New Roman" w:cs="Times New Roman" w:hint="default"/>
        <w:i w:val="0"/>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2677A7C"/>
    <w:multiLevelType w:val="hybridMultilevel"/>
    <w:tmpl w:val="E76CB8CA"/>
    <w:lvl w:ilvl="0" w:tplc="45400DC0">
      <w:start w:val="1"/>
      <w:numFmt w:val="upperRoman"/>
      <w:lvlText w:val="%1."/>
      <w:lvlJc w:val="left"/>
      <w:pPr>
        <w:ind w:left="1080" w:hanging="720"/>
      </w:pPr>
      <w:rPr>
        <w:rFonts w:eastAsia="Times New Roman" w:cs="Times New Roman" w:hint="default"/>
        <w:b/>
        <w:i w:val="0"/>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71A5C53"/>
    <w:multiLevelType w:val="multilevel"/>
    <w:tmpl w:val="54F81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CA902F7"/>
    <w:multiLevelType w:val="hybridMultilevel"/>
    <w:tmpl w:val="3DFE93E4"/>
    <w:lvl w:ilvl="0" w:tplc="4D8A3FF6">
      <w:start w:val="1"/>
      <w:numFmt w:val="decimal"/>
      <w:lvlText w:val="%1."/>
      <w:lvlJc w:val="left"/>
      <w:pPr>
        <w:ind w:left="360" w:hanging="360"/>
      </w:pPr>
      <w:rPr>
        <w:rFonts w:eastAsia="Times New Roman" w:cs="Times New Roman" w:hint="default"/>
        <w:b/>
        <w:i w:val="0"/>
        <w:color w:val="auto"/>
        <w:sz w:val="24"/>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nsid w:val="3A1C07BB"/>
    <w:multiLevelType w:val="hybridMultilevel"/>
    <w:tmpl w:val="D0B8BCEC"/>
    <w:lvl w:ilvl="0" w:tplc="1A048410">
      <w:start w:val="1"/>
      <w:numFmt w:val="bullet"/>
      <w:lvlText w:val=""/>
      <w:lvlJc w:val="left"/>
      <w:pPr>
        <w:ind w:left="720" w:hanging="360"/>
      </w:pPr>
      <w:rPr>
        <w:rFonts w:ascii="Symbol" w:hAnsi="Symbol"/>
      </w:rPr>
    </w:lvl>
    <w:lvl w:ilvl="1" w:tplc="BF86F66A">
      <w:start w:val="1"/>
      <w:numFmt w:val="bullet"/>
      <w:lvlText w:val=""/>
      <w:lvlJc w:val="left"/>
      <w:pPr>
        <w:ind w:left="1080" w:hanging="360"/>
      </w:pPr>
      <w:rPr>
        <w:rFonts w:ascii="Symbol" w:hAnsi="Symbol"/>
      </w:rPr>
    </w:lvl>
    <w:lvl w:ilvl="2" w:tplc="F280AE4A">
      <w:start w:val="1"/>
      <w:numFmt w:val="bullet"/>
      <w:lvlText w:val=""/>
      <w:lvlJc w:val="left"/>
      <w:pPr>
        <w:ind w:left="1080" w:hanging="360"/>
      </w:pPr>
      <w:rPr>
        <w:rFonts w:ascii="Symbol" w:hAnsi="Symbol"/>
      </w:rPr>
    </w:lvl>
    <w:lvl w:ilvl="3" w:tplc="E30A7682">
      <w:start w:val="1"/>
      <w:numFmt w:val="bullet"/>
      <w:lvlText w:val=""/>
      <w:lvlJc w:val="left"/>
      <w:pPr>
        <w:ind w:left="1080" w:hanging="360"/>
      </w:pPr>
      <w:rPr>
        <w:rFonts w:ascii="Symbol" w:hAnsi="Symbol"/>
      </w:rPr>
    </w:lvl>
    <w:lvl w:ilvl="4" w:tplc="CFD48B38">
      <w:start w:val="1"/>
      <w:numFmt w:val="bullet"/>
      <w:lvlText w:val=""/>
      <w:lvlJc w:val="left"/>
      <w:pPr>
        <w:ind w:left="1080" w:hanging="360"/>
      </w:pPr>
      <w:rPr>
        <w:rFonts w:ascii="Symbol" w:hAnsi="Symbol"/>
      </w:rPr>
    </w:lvl>
    <w:lvl w:ilvl="5" w:tplc="75967CB0">
      <w:start w:val="1"/>
      <w:numFmt w:val="bullet"/>
      <w:lvlText w:val=""/>
      <w:lvlJc w:val="left"/>
      <w:pPr>
        <w:ind w:left="1080" w:hanging="360"/>
      </w:pPr>
      <w:rPr>
        <w:rFonts w:ascii="Symbol" w:hAnsi="Symbol"/>
      </w:rPr>
    </w:lvl>
    <w:lvl w:ilvl="6" w:tplc="DE3C691A">
      <w:start w:val="1"/>
      <w:numFmt w:val="bullet"/>
      <w:lvlText w:val=""/>
      <w:lvlJc w:val="left"/>
      <w:pPr>
        <w:ind w:left="1080" w:hanging="360"/>
      </w:pPr>
      <w:rPr>
        <w:rFonts w:ascii="Symbol" w:hAnsi="Symbol"/>
      </w:rPr>
    </w:lvl>
    <w:lvl w:ilvl="7" w:tplc="6E62126A">
      <w:start w:val="1"/>
      <w:numFmt w:val="bullet"/>
      <w:lvlText w:val=""/>
      <w:lvlJc w:val="left"/>
      <w:pPr>
        <w:ind w:left="1080" w:hanging="360"/>
      </w:pPr>
      <w:rPr>
        <w:rFonts w:ascii="Symbol" w:hAnsi="Symbol"/>
      </w:rPr>
    </w:lvl>
    <w:lvl w:ilvl="8" w:tplc="C67AA8B2">
      <w:start w:val="1"/>
      <w:numFmt w:val="bullet"/>
      <w:lvlText w:val=""/>
      <w:lvlJc w:val="left"/>
      <w:pPr>
        <w:ind w:left="1080" w:hanging="360"/>
      </w:pPr>
      <w:rPr>
        <w:rFonts w:ascii="Symbol" w:hAnsi="Symbol"/>
      </w:rPr>
    </w:lvl>
  </w:abstractNum>
  <w:abstractNum w:abstractNumId="7">
    <w:nsid w:val="3C302D66"/>
    <w:multiLevelType w:val="multilevel"/>
    <w:tmpl w:val="95881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4E80B3F"/>
    <w:multiLevelType w:val="multilevel"/>
    <w:tmpl w:val="5254E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7C5DEE"/>
    <w:multiLevelType w:val="hybridMultilevel"/>
    <w:tmpl w:val="7C8C9468"/>
    <w:lvl w:ilvl="0" w:tplc="D4FEC676">
      <w:start w:val="1"/>
      <w:numFmt w:val="bullet"/>
      <w:lvlText w:val=""/>
      <w:lvlJc w:val="left"/>
      <w:pPr>
        <w:ind w:left="1080" w:hanging="360"/>
      </w:pPr>
      <w:rPr>
        <w:rFonts w:ascii="Symbol" w:hAnsi="Symbol"/>
      </w:rPr>
    </w:lvl>
    <w:lvl w:ilvl="1" w:tplc="3FAABDBE">
      <w:start w:val="1"/>
      <w:numFmt w:val="bullet"/>
      <w:lvlText w:val=""/>
      <w:lvlJc w:val="left"/>
      <w:pPr>
        <w:ind w:left="1080" w:hanging="360"/>
      </w:pPr>
      <w:rPr>
        <w:rFonts w:ascii="Symbol" w:hAnsi="Symbol"/>
      </w:rPr>
    </w:lvl>
    <w:lvl w:ilvl="2" w:tplc="C1A0B6CC">
      <w:start w:val="1"/>
      <w:numFmt w:val="bullet"/>
      <w:lvlText w:val=""/>
      <w:lvlJc w:val="left"/>
      <w:pPr>
        <w:ind w:left="1080" w:hanging="360"/>
      </w:pPr>
      <w:rPr>
        <w:rFonts w:ascii="Symbol" w:hAnsi="Symbol"/>
      </w:rPr>
    </w:lvl>
    <w:lvl w:ilvl="3" w:tplc="6492CC9C">
      <w:start w:val="1"/>
      <w:numFmt w:val="bullet"/>
      <w:lvlText w:val=""/>
      <w:lvlJc w:val="left"/>
      <w:pPr>
        <w:ind w:left="1080" w:hanging="360"/>
      </w:pPr>
      <w:rPr>
        <w:rFonts w:ascii="Symbol" w:hAnsi="Symbol"/>
      </w:rPr>
    </w:lvl>
    <w:lvl w:ilvl="4" w:tplc="0CAEDAD6">
      <w:start w:val="1"/>
      <w:numFmt w:val="bullet"/>
      <w:lvlText w:val=""/>
      <w:lvlJc w:val="left"/>
      <w:pPr>
        <w:ind w:left="1080" w:hanging="360"/>
      </w:pPr>
      <w:rPr>
        <w:rFonts w:ascii="Symbol" w:hAnsi="Symbol"/>
      </w:rPr>
    </w:lvl>
    <w:lvl w:ilvl="5" w:tplc="E598B61A">
      <w:start w:val="1"/>
      <w:numFmt w:val="bullet"/>
      <w:lvlText w:val=""/>
      <w:lvlJc w:val="left"/>
      <w:pPr>
        <w:ind w:left="1080" w:hanging="360"/>
      </w:pPr>
      <w:rPr>
        <w:rFonts w:ascii="Symbol" w:hAnsi="Symbol"/>
      </w:rPr>
    </w:lvl>
    <w:lvl w:ilvl="6" w:tplc="90545EC4">
      <w:start w:val="1"/>
      <w:numFmt w:val="bullet"/>
      <w:lvlText w:val=""/>
      <w:lvlJc w:val="left"/>
      <w:pPr>
        <w:ind w:left="1080" w:hanging="360"/>
      </w:pPr>
      <w:rPr>
        <w:rFonts w:ascii="Symbol" w:hAnsi="Symbol"/>
      </w:rPr>
    </w:lvl>
    <w:lvl w:ilvl="7" w:tplc="1CA41F8E">
      <w:start w:val="1"/>
      <w:numFmt w:val="bullet"/>
      <w:lvlText w:val=""/>
      <w:lvlJc w:val="left"/>
      <w:pPr>
        <w:ind w:left="1080" w:hanging="360"/>
      </w:pPr>
      <w:rPr>
        <w:rFonts w:ascii="Symbol" w:hAnsi="Symbol"/>
      </w:rPr>
    </w:lvl>
    <w:lvl w:ilvl="8" w:tplc="F9D898CE">
      <w:start w:val="1"/>
      <w:numFmt w:val="bullet"/>
      <w:lvlText w:val=""/>
      <w:lvlJc w:val="left"/>
      <w:pPr>
        <w:ind w:left="1080" w:hanging="360"/>
      </w:pPr>
      <w:rPr>
        <w:rFonts w:ascii="Symbol" w:hAnsi="Symbol"/>
      </w:rPr>
    </w:lvl>
  </w:abstractNum>
  <w:abstractNum w:abstractNumId="10">
    <w:nsid w:val="5F022A32"/>
    <w:multiLevelType w:val="multilevel"/>
    <w:tmpl w:val="19C63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68A09FA"/>
    <w:multiLevelType w:val="hybridMultilevel"/>
    <w:tmpl w:val="EF1000C6"/>
    <w:lvl w:ilvl="0" w:tplc="F7E0EEFA">
      <w:start w:val="1"/>
      <w:numFmt w:val="bullet"/>
      <w:lvlText w:val=""/>
      <w:lvlJc w:val="left"/>
      <w:pPr>
        <w:ind w:left="720" w:hanging="360"/>
      </w:pPr>
      <w:rPr>
        <w:rFonts w:ascii="Symbol" w:hAnsi="Symbol"/>
      </w:rPr>
    </w:lvl>
    <w:lvl w:ilvl="1" w:tplc="AC2C9D36">
      <w:start w:val="1"/>
      <w:numFmt w:val="bullet"/>
      <w:lvlText w:val=""/>
      <w:lvlJc w:val="left"/>
      <w:pPr>
        <w:ind w:left="720" w:hanging="360"/>
      </w:pPr>
      <w:rPr>
        <w:rFonts w:ascii="Symbol" w:hAnsi="Symbol"/>
      </w:rPr>
    </w:lvl>
    <w:lvl w:ilvl="2" w:tplc="8CFE4CB4">
      <w:start w:val="1"/>
      <w:numFmt w:val="bullet"/>
      <w:lvlText w:val=""/>
      <w:lvlJc w:val="left"/>
      <w:pPr>
        <w:ind w:left="720" w:hanging="360"/>
      </w:pPr>
      <w:rPr>
        <w:rFonts w:ascii="Symbol" w:hAnsi="Symbol"/>
      </w:rPr>
    </w:lvl>
    <w:lvl w:ilvl="3" w:tplc="F5626B40">
      <w:start w:val="1"/>
      <w:numFmt w:val="bullet"/>
      <w:lvlText w:val=""/>
      <w:lvlJc w:val="left"/>
      <w:pPr>
        <w:ind w:left="720" w:hanging="360"/>
      </w:pPr>
      <w:rPr>
        <w:rFonts w:ascii="Symbol" w:hAnsi="Symbol"/>
      </w:rPr>
    </w:lvl>
    <w:lvl w:ilvl="4" w:tplc="F6B2D6AC">
      <w:start w:val="1"/>
      <w:numFmt w:val="bullet"/>
      <w:lvlText w:val=""/>
      <w:lvlJc w:val="left"/>
      <w:pPr>
        <w:ind w:left="720" w:hanging="360"/>
      </w:pPr>
      <w:rPr>
        <w:rFonts w:ascii="Symbol" w:hAnsi="Symbol"/>
      </w:rPr>
    </w:lvl>
    <w:lvl w:ilvl="5" w:tplc="27741AC0">
      <w:start w:val="1"/>
      <w:numFmt w:val="bullet"/>
      <w:lvlText w:val=""/>
      <w:lvlJc w:val="left"/>
      <w:pPr>
        <w:ind w:left="720" w:hanging="360"/>
      </w:pPr>
      <w:rPr>
        <w:rFonts w:ascii="Symbol" w:hAnsi="Symbol"/>
      </w:rPr>
    </w:lvl>
    <w:lvl w:ilvl="6" w:tplc="8C867746">
      <w:start w:val="1"/>
      <w:numFmt w:val="bullet"/>
      <w:lvlText w:val=""/>
      <w:lvlJc w:val="left"/>
      <w:pPr>
        <w:ind w:left="720" w:hanging="360"/>
      </w:pPr>
      <w:rPr>
        <w:rFonts w:ascii="Symbol" w:hAnsi="Symbol"/>
      </w:rPr>
    </w:lvl>
    <w:lvl w:ilvl="7" w:tplc="4840152C">
      <w:start w:val="1"/>
      <w:numFmt w:val="bullet"/>
      <w:lvlText w:val=""/>
      <w:lvlJc w:val="left"/>
      <w:pPr>
        <w:ind w:left="720" w:hanging="360"/>
      </w:pPr>
      <w:rPr>
        <w:rFonts w:ascii="Symbol" w:hAnsi="Symbol"/>
      </w:rPr>
    </w:lvl>
    <w:lvl w:ilvl="8" w:tplc="B754BB5C">
      <w:start w:val="1"/>
      <w:numFmt w:val="bullet"/>
      <w:lvlText w:val=""/>
      <w:lvlJc w:val="left"/>
      <w:pPr>
        <w:ind w:left="720" w:hanging="360"/>
      </w:pPr>
      <w:rPr>
        <w:rFonts w:ascii="Symbol" w:hAnsi="Symbol"/>
      </w:rPr>
    </w:lvl>
  </w:abstractNum>
  <w:abstractNum w:abstractNumId="12">
    <w:nsid w:val="6B5320FC"/>
    <w:multiLevelType w:val="hybridMultilevel"/>
    <w:tmpl w:val="0030961E"/>
    <w:lvl w:ilvl="0" w:tplc="B2225FA8">
      <w:start w:val="1"/>
      <w:numFmt w:val="bullet"/>
      <w:lvlText w:val=""/>
      <w:lvlJc w:val="left"/>
      <w:pPr>
        <w:ind w:left="1080" w:hanging="360"/>
      </w:pPr>
      <w:rPr>
        <w:rFonts w:ascii="Symbol" w:hAnsi="Symbol"/>
      </w:rPr>
    </w:lvl>
    <w:lvl w:ilvl="1" w:tplc="7AE2CEAA">
      <w:start w:val="1"/>
      <w:numFmt w:val="bullet"/>
      <w:lvlText w:val=""/>
      <w:lvlJc w:val="left"/>
      <w:pPr>
        <w:ind w:left="1440" w:hanging="360"/>
      </w:pPr>
      <w:rPr>
        <w:rFonts w:ascii="Symbol" w:hAnsi="Symbol"/>
      </w:rPr>
    </w:lvl>
    <w:lvl w:ilvl="2" w:tplc="4624471E">
      <w:start w:val="1"/>
      <w:numFmt w:val="bullet"/>
      <w:lvlText w:val=""/>
      <w:lvlJc w:val="left"/>
      <w:pPr>
        <w:ind w:left="1080" w:hanging="360"/>
      </w:pPr>
      <w:rPr>
        <w:rFonts w:ascii="Symbol" w:hAnsi="Symbol"/>
      </w:rPr>
    </w:lvl>
    <w:lvl w:ilvl="3" w:tplc="B296D044">
      <w:start w:val="1"/>
      <w:numFmt w:val="bullet"/>
      <w:lvlText w:val=""/>
      <w:lvlJc w:val="left"/>
      <w:pPr>
        <w:ind w:left="1080" w:hanging="360"/>
      </w:pPr>
      <w:rPr>
        <w:rFonts w:ascii="Symbol" w:hAnsi="Symbol"/>
      </w:rPr>
    </w:lvl>
    <w:lvl w:ilvl="4" w:tplc="6B7E20CC">
      <w:start w:val="1"/>
      <w:numFmt w:val="bullet"/>
      <w:lvlText w:val=""/>
      <w:lvlJc w:val="left"/>
      <w:pPr>
        <w:ind w:left="1080" w:hanging="360"/>
      </w:pPr>
      <w:rPr>
        <w:rFonts w:ascii="Symbol" w:hAnsi="Symbol"/>
      </w:rPr>
    </w:lvl>
    <w:lvl w:ilvl="5" w:tplc="816EBD72">
      <w:start w:val="1"/>
      <w:numFmt w:val="bullet"/>
      <w:lvlText w:val=""/>
      <w:lvlJc w:val="left"/>
      <w:pPr>
        <w:ind w:left="1080" w:hanging="360"/>
      </w:pPr>
      <w:rPr>
        <w:rFonts w:ascii="Symbol" w:hAnsi="Symbol"/>
      </w:rPr>
    </w:lvl>
    <w:lvl w:ilvl="6" w:tplc="3BFA5712">
      <w:start w:val="1"/>
      <w:numFmt w:val="bullet"/>
      <w:lvlText w:val=""/>
      <w:lvlJc w:val="left"/>
      <w:pPr>
        <w:ind w:left="1080" w:hanging="360"/>
      </w:pPr>
      <w:rPr>
        <w:rFonts w:ascii="Symbol" w:hAnsi="Symbol"/>
      </w:rPr>
    </w:lvl>
    <w:lvl w:ilvl="7" w:tplc="E1D8D686">
      <w:start w:val="1"/>
      <w:numFmt w:val="bullet"/>
      <w:lvlText w:val=""/>
      <w:lvlJc w:val="left"/>
      <w:pPr>
        <w:ind w:left="1080" w:hanging="360"/>
      </w:pPr>
      <w:rPr>
        <w:rFonts w:ascii="Symbol" w:hAnsi="Symbol"/>
      </w:rPr>
    </w:lvl>
    <w:lvl w:ilvl="8" w:tplc="5150C5FE">
      <w:start w:val="1"/>
      <w:numFmt w:val="bullet"/>
      <w:lvlText w:val=""/>
      <w:lvlJc w:val="left"/>
      <w:pPr>
        <w:ind w:left="1080" w:hanging="360"/>
      </w:pPr>
      <w:rPr>
        <w:rFonts w:ascii="Symbol" w:hAnsi="Symbol"/>
      </w:rPr>
    </w:lvl>
  </w:abstractNum>
  <w:abstractNum w:abstractNumId="13">
    <w:nsid w:val="6D0E0E73"/>
    <w:multiLevelType w:val="hybridMultilevel"/>
    <w:tmpl w:val="FA7AA568"/>
    <w:lvl w:ilvl="0" w:tplc="F9D87BE0">
      <w:start w:val="1"/>
      <w:numFmt w:val="bullet"/>
      <w:lvlText w:val=""/>
      <w:lvlJc w:val="left"/>
      <w:pPr>
        <w:ind w:left="1080" w:hanging="360"/>
      </w:pPr>
      <w:rPr>
        <w:rFonts w:ascii="Symbol" w:hAnsi="Symbol"/>
      </w:rPr>
    </w:lvl>
    <w:lvl w:ilvl="1" w:tplc="A4827860">
      <w:start w:val="1"/>
      <w:numFmt w:val="bullet"/>
      <w:lvlText w:val=""/>
      <w:lvlJc w:val="left"/>
      <w:pPr>
        <w:ind w:left="1080" w:hanging="360"/>
      </w:pPr>
      <w:rPr>
        <w:rFonts w:ascii="Symbol" w:hAnsi="Symbol"/>
      </w:rPr>
    </w:lvl>
    <w:lvl w:ilvl="2" w:tplc="76064962">
      <w:start w:val="1"/>
      <w:numFmt w:val="bullet"/>
      <w:lvlText w:val=""/>
      <w:lvlJc w:val="left"/>
      <w:pPr>
        <w:ind w:left="1080" w:hanging="360"/>
      </w:pPr>
      <w:rPr>
        <w:rFonts w:ascii="Symbol" w:hAnsi="Symbol"/>
      </w:rPr>
    </w:lvl>
    <w:lvl w:ilvl="3" w:tplc="C994C128">
      <w:start w:val="1"/>
      <w:numFmt w:val="bullet"/>
      <w:lvlText w:val=""/>
      <w:lvlJc w:val="left"/>
      <w:pPr>
        <w:ind w:left="1080" w:hanging="360"/>
      </w:pPr>
      <w:rPr>
        <w:rFonts w:ascii="Symbol" w:hAnsi="Symbol"/>
      </w:rPr>
    </w:lvl>
    <w:lvl w:ilvl="4" w:tplc="CF686D00">
      <w:start w:val="1"/>
      <w:numFmt w:val="bullet"/>
      <w:lvlText w:val=""/>
      <w:lvlJc w:val="left"/>
      <w:pPr>
        <w:ind w:left="1080" w:hanging="360"/>
      </w:pPr>
      <w:rPr>
        <w:rFonts w:ascii="Symbol" w:hAnsi="Symbol"/>
      </w:rPr>
    </w:lvl>
    <w:lvl w:ilvl="5" w:tplc="FC2252F4">
      <w:start w:val="1"/>
      <w:numFmt w:val="bullet"/>
      <w:lvlText w:val=""/>
      <w:lvlJc w:val="left"/>
      <w:pPr>
        <w:ind w:left="1080" w:hanging="360"/>
      </w:pPr>
      <w:rPr>
        <w:rFonts w:ascii="Symbol" w:hAnsi="Symbol"/>
      </w:rPr>
    </w:lvl>
    <w:lvl w:ilvl="6" w:tplc="F1CA6C7C">
      <w:start w:val="1"/>
      <w:numFmt w:val="bullet"/>
      <w:lvlText w:val=""/>
      <w:lvlJc w:val="left"/>
      <w:pPr>
        <w:ind w:left="1080" w:hanging="360"/>
      </w:pPr>
      <w:rPr>
        <w:rFonts w:ascii="Symbol" w:hAnsi="Symbol"/>
      </w:rPr>
    </w:lvl>
    <w:lvl w:ilvl="7" w:tplc="314CB746">
      <w:start w:val="1"/>
      <w:numFmt w:val="bullet"/>
      <w:lvlText w:val=""/>
      <w:lvlJc w:val="left"/>
      <w:pPr>
        <w:ind w:left="1080" w:hanging="360"/>
      </w:pPr>
      <w:rPr>
        <w:rFonts w:ascii="Symbol" w:hAnsi="Symbol"/>
      </w:rPr>
    </w:lvl>
    <w:lvl w:ilvl="8" w:tplc="7F86B6D2">
      <w:start w:val="1"/>
      <w:numFmt w:val="bullet"/>
      <w:lvlText w:val=""/>
      <w:lvlJc w:val="left"/>
      <w:pPr>
        <w:ind w:left="1080" w:hanging="360"/>
      </w:pPr>
      <w:rPr>
        <w:rFonts w:ascii="Symbol" w:hAnsi="Symbol"/>
      </w:rPr>
    </w:lvl>
  </w:abstractNum>
  <w:abstractNum w:abstractNumId="14">
    <w:nsid w:val="7E5424FF"/>
    <w:multiLevelType w:val="hybridMultilevel"/>
    <w:tmpl w:val="F2E24CC4"/>
    <w:lvl w:ilvl="0" w:tplc="7D083F66">
      <w:start w:val="1"/>
      <w:numFmt w:val="bullet"/>
      <w:lvlText w:val=""/>
      <w:lvlJc w:val="left"/>
      <w:pPr>
        <w:ind w:left="1080" w:hanging="360"/>
      </w:pPr>
      <w:rPr>
        <w:rFonts w:ascii="Symbol" w:hAnsi="Symbol"/>
      </w:rPr>
    </w:lvl>
    <w:lvl w:ilvl="1" w:tplc="B4F6C350">
      <w:start w:val="1"/>
      <w:numFmt w:val="bullet"/>
      <w:lvlText w:val=""/>
      <w:lvlJc w:val="left"/>
      <w:pPr>
        <w:ind w:left="1080" w:hanging="360"/>
      </w:pPr>
      <w:rPr>
        <w:rFonts w:ascii="Symbol" w:hAnsi="Symbol"/>
      </w:rPr>
    </w:lvl>
    <w:lvl w:ilvl="2" w:tplc="4A04DEBA">
      <w:start w:val="1"/>
      <w:numFmt w:val="bullet"/>
      <w:lvlText w:val=""/>
      <w:lvlJc w:val="left"/>
      <w:pPr>
        <w:ind w:left="1080" w:hanging="360"/>
      </w:pPr>
      <w:rPr>
        <w:rFonts w:ascii="Symbol" w:hAnsi="Symbol"/>
      </w:rPr>
    </w:lvl>
    <w:lvl w:ilvl="3" w:tplc="31944E10">
      <w:start w:val="1"/>
      <w:numFmt w:val="bullet"/>
      <w:lvlText w:val=""/>
      <w:lvlJc w:val="left"/>
      <w:pPr>
        <w:ind w:left="1080" w:hanging="360"/>
      </w:pPr>
      <w:rPr>
        <w:rFonts w:ascii="Symbol" w:hAnsi="Symbol"/>
      </w:rPr>
    </w:lvl>
    <w:lvl w:ilvl="4" w:tplc="172081A4">
      <w:start w:val="1"/>
      <w:numFmt w:val="bullet"/>
      <w:lvlText w:val=""/>
      <w:lvlJc w:val="left"/>
      <w:pPr>
        <w:ind w:left="1080" w:hanging="360"/>
      </w:pPr>
      <w:rPr>
        <w:rFonts w:ascii="Symbol" w:hAnsi="Symbol"/>
      </w:rPr>
    </w:lvl>
    <w:lvl w:ilvl="5" w:tplc="05F02F8C">
      <w:start w:val="1"/>
      <w:numFmt w:val="bullet"/>
      <w:lvlText w:val=""/>
      <w:lvlJc w:val="left"/>
      <w:pPr>
        <w:ind w:left="1080" w:hanging="360"/>
      </w:pPr>
      <w:rPr>
        <w:rFonts w:ascii="Symbol" w:hAnsi="Symbol"/>
      </w:rPr>
    </w:lvl>
    <w:lvl w:ilvl="6" w:tplc="6F9AC1EA">
      <w:start w:val="1"/>
      <w:numFmt w:val="bullet"/>
      <w:lvlText w:val=""/>
      <w:lvlJc w:val="left"/>
      <w:pPr>
        <w:ind w:left="1080" w:hanging="360"/>
      </w:pPr>
      <w:rPr>
        <w:rFonts w:ascii="Symbol" w:hAnsi="Symbol"/>
      </w:rPr>
    </w:lvl>
    <w:lvl w:ilvl="7" w:tplc="CACA26D4">
      <w:start w:val="1"/>
      <w:numFmt w:val="bullet"/>
      <w:lvlText w:val=""/>
      <w:lvlJc w:val="left"/>
      <w:pPr>
        <w:ind w:left="1080" w:hanging="360"/>
      </w:pPr>
      <w:rPr>
        <w:rFonts w:ascii="Symbol" w:hAnsi="Symbol"/>
      </w:rPr>
    </w:lvl>
    <w:lvl w:ilvl="8" w:tplc="127ED70C">
      <w:start w:val="1"/>
      <w:numFmt w:val="bullet"/>
      <w:lvlText w:val=""/>
      <w:lvlJc w:val="left"/>
      <w:pPr>
        <w:ind w:left="1080" w:hanging="360"/>
      </w:pPr>
      <w:rPr>
        <w:rFonts w:ascii="Symbol" w:hAnsi="Symbol"/>
      </w:rPr>
    </w:lvl>
  </w:abstractNum>
  <w:num w:numId="1">
    <w:abstractNumId w:val="4"/>
  </w:num>
  <w:num w:numId="2">
    <w:abstractNumId w:val="10"/>
  </w:num>
  <w:num w:numId="3">
    <w:abstractNumId w:val="7"/>
  </w:num>
  <w:num w:numId="4">
    <w:abstractNumId w:val="8"/>
  </w:num>
  <w:num w:numId="5">
    <w:abstractNumId w:val="0"/>
  </w:num>
  <w:num w:numId="6">
    <w:abstractNumId w:val="11"/>
  </w:num>
  <w:num w:numId="7">
    <w:abstractNumId w:val="6"/>
  </w:num>
  <w:num w:numId="8">
    <w:abstractNumId w:val="14"/>
  </w:num>
  <w:num w:numId="9">
    <w:abstractNumId w:val="9"/>
  </w:num>
  <w:num w:numId="10">
    <w:abstractNumId w:val="13"/>
  </w:num>
  <w:num w:numId="11">
    <w:abstractNumId w:val="12"/>
  </w:num>
  <w:num w:numId="12">
    <w:abstractNumId w:val="1"/>
  </w:num>
  <w:num w:numId="13">
    <w:abstractNumId w:val="3"/>
  </w:num>
  <w:num w:numId="14">
    <w:abstractNumId w:val="5"/>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CA1"/>
    <w:rsid w:val="00042D9C"/>
    <w:rsid w:val="000549DB"/>
    <w:rsid w:val="000760C7"/>
    <w:rsid w:val="000A1C45"/>
    <w:rsid w:val="00117CA1"/>
    <w:rsid w:val="00151B32"/>
    <w:rsid w:val="001606FB"/>
    <w:rsid w:val="00167946"/>
    <w:rsid w:val="00196AA2"/>
    <w:rsid w:val="001C1EE8"/>
    <w:rsid w:val="001D5867"/>
    <w:rsid w:val="001F45E6"/>
    <w:rsid w:val="001F51C2"/>
    <w:rsid w:val="00204D17"/>
    <w:rsid w:val="0020690F"/>
    <w:rsid w:val="0021241D"/>
    <w:rsid w:val="002139C8"/>
    <w:rsid w:val="002173CD"/>
    <w:rsid w:val="00245122"/>
    <w:rsid w:val="0025240C"/>
    <w:rsid w:val="00266A4E"/>
    <w:rsid w:val="00286AFD"/>
    <w:rsid w:val="002C6228"/>
    <w:rsid w:val="002D564A"/>
    <w:rsid w:val="002E4135"/>
    <w:rsid w:val="002F04B3"/>
    <w:rsid w:val="00305399"/>
    <w:rsid w:val="00333877"/>
    <w:rsid w:val="003425EB"/>
    <w:rsid w:val="00343342"/>
    <w:rsid w:val="003D0BFC"/>
    <w:rsid w:val="003D260D"/>
    <w:rsid w:val="003D3918"/>
    <w:rsid w:val="003D715B"/>
    <w:rsid w:val="003D7E0C"/>
    <w:rsid w:val="003E2885"/>
    <w:rsid w:val="00430849"/>
    <w:rsid w:val="00452026"/>
    <w:rsid w:val="004604B2"/>
    <w:rsid w:val="00463E79"/>
    <w:rsid w:val="004A45C5"/>
    <w:rsid w:val="004B1E5C"/>
    <w:rsid w:val="004B72B0"/>
    <w:rsid w:val="004C2769"/>
    <w:rsid w:val="004D1955"/>
    <w:rsid w:val="00525BA4"/>
    <w:rsid w:val="005424C8"/>
    <w:rsid w:val="005457B2"/>
    <w:rsid w:val="00550533"/>
    <w:rsid w:val="005764F9"/>
    <w:rsid w:val="00576847"/>
    <w:rsid w:val="005D08B6"/>
    <w:rsid w:val="006021D2"/>
    <w:rsid w:val="006070B7"/>
    <w:rsid w:val="00623051"/>
    <w:rsid w:val="00637FE0"/>
    <w:rsid w:val="006609E9"/>
    <w:rsid w:val="006721CA"/>
    <w:rsid w:val="0068207C"/>
    <w:rsid w:val="006928A7"/>
    <w:rsid w:val="006A5732"/>
    <w:rsid w:val="006C4343"/>
    <w:rsid w:val="006D0CCE"/>
    <w:rsid w:val="0072732D"/>
    <w:rsid w:val="00734A17"/>
    <w:rsid w:val="00737230"/>
    <w:rsid w:val="00790D01"/>
    <w:rsid w:val="00795E5D"/>
    <w:rsid w:val="007B53CC"/>
    <w:rsid w:val="007E3ADE"/>
    <w:rsid w:val="007F3756"/>
    <w:rsid w:val="008065E3"/>
    <w:rsid w:val="008076B8"/>
    <w:rsid w:val="008143DC"/>
    <w:rsid w:val="008164B8"/>
    <w:rsid w:val="00832805"/>
    <w:rsid w:val="00844A4C"/>
    <w:rsid w:val="008546E2"/>
    <w:rsid w:val="008919F7"/>
    <w:rsid w:val="008932B7"/>
    <w:rsid w:val="00896650"/>
    <w:rsid w:val="008B5158"/>
    <w:rsid w:val="008B6AAD"/>
    <w:rsid w:val="008C0611"/>
    <w:rsid w:val="00910A6C"/>
    <w:rsid w:val="009321FF"/>
    <w:rsid w:val="00950547"/>
    <w:rsid w:val="00954409"/>
    <w:rsid w:val="00974438"/>
    <w:rsid w:val="009810EF"/>
    <w:rsid w:val="009A73D3"/>
    <w:rsid w:val="009B3F07"/>
    <w:rsid w:val="009E4C22"/>
    <w:rsid w:val="009E5B9F"/>
    <w:rsid w:val="00A05DAA"/>
    <w:rsid w:val="00A2282A"/>
    <w:rsid w:val="00A30E34"/>
    <w:rsid w:val="00A341D9"/>
    <w:rsid w:val="00A35820"/>
    <w:rsid w:val="00A431BC"/>
    <w:rsid w:val="00A56A56"/>
    <w:rsid w:val="00A56B2F"/>
    <w:rsid w:val="00A64369"/>
    <w:rsid w:val="00A7034D"/>
    <w:rsid w:val="00A81F3E"/>
    <w:rsid w:val="00AC6288"/>
    <w:rsid w:val="00AD08F0"/>
    <w:rsid w:val="00AD527F"/>
    <w:rsid w:val="00B015D1"/>
    <w:rsid w:val="00B04477"/>
    <w:rsid w:val="00B152F2"/>
    <w:rsid w:val="00B20CE5"/>
    <w:rsid w:val="00B21DA5"/>
    <w:rsid w:val="00B25888"/>
    <w:rsid w:val="00B64D81"/>
    <w:rsid w:val="00B71D49"/>
    <w:rsid w:val="00B8006A"/>
    <w:rsid w:val="00B910C3"/>
    <w:rsid w:val="00BA763C"/>
    <w:rsid w:val="00BE20DB"/>
    <w:rsid w:val="00BE4153"/>
    <w:rsid w:val="00BE7277"/>
    <w:rsid w:val="00C16FF7"/>
    <w:rsid w:val="00C27311"/>
    <w:rsid w:val="00C54D48"/>
    <w:rsid w:val="00C604DB"/>
    <w:rsid w:val="00C86DDB"/>
    <w:rsid w:val="00CD049C"/>
    <w:rsid w:val="00CD0F9A"/>
    <w:rsid w:val="00CE1D34"/>
    <w:rsid w:val="00CF3570"/>
    <w:rsid w:val="00D358D5"/>
    <w:rsid w:val="00D41CE9"/>
    <w:rsid w:val="00D6136B"/>
    <w:rsid w:val="00D821EA"/>
    <w:rsid w:val="00D907C9"/>
    <w:rsid w:val="00D92377"/>
    <w:rsid w:val="00DC4446"/>
    <w:rsid w:val="00DD7971"/>
    <w:rsid w:val="00E26D7A"/>
    <w:rsid w:val="00E504DC"/>
    <w:rsid w:val="00E509B4"/>
    <w:rsid w:val="00E737E1"/>
    <w:rsid w:val="00E9454B"/>
    <w:rsid w:val="00EA0327"/>
    <w:rsid w:val="00EB1335"/>
    <w:rsid w:val="00EC2085"/>
    <w:rsid w:val="00EC47E9"/>
    <w:rsid w:val="00EE2C40"/>
    <w:rsid w:val="00F02AA2"/>
    <w:rsid w:val="00F3415A"/>
    <w:rsid w:val="00F420DB"/>
    <w:rsid w:val="00F81B18"/>
    <w:rsid w:val="00F95B46"/>
    <w:rsid w:val="00FA643D"/>
    <w:rsid w:val="00FB472D"/>
    <w:rsid w:val="00FC7BDB"/>
    <w:rsid w:val="00FE30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DC1D69"/>
  <w15:docId w15:val="{A69E5EE6-7AF8-4EEF-A5F8-8D5A03D71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uiPriority w:val="9"/>
    <w:semiHidden/>
    <w:unhideWhenUsed/>
    <w:qFormat/>
    <w:rsid w:val="003D260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link w:val="Titre3Car"/>
    <w:uiPriority w:val="9"/>
    <w:qFormat/>
    <w:rsid w:val="005457B2"/>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A7034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5457B2"/>
    <w:rPr>
      <w:rFonts w:ascii="Times New Roman" w:eastAsia="Times New Roman" w:hAnsi="Times New Roman" w:cs="Times New Roman"/>
      <w:b/>
      <w:bCs/>
      <w:sz w:val="27"/>
      <w:szCs w:val="27"/>
      <w:lang w:eastAsia="fr-FR"/>
    </w:rPr>
  </w:style>
  <w:style w:type="character" w:styleId="lev">
    <w:name w:val="Strong"/>
    <w:basedOn w:val="Policepardfaut"/>
    <w:uiPriority w:val="22"/>
    <w:qFormat/>
    <w:rsid w:val="005457B2"/>
    <w:rPr>
      <w:b/>
      <w:bCs/>
    </w:rPr>
  </w:style>
  <w:style w:type="character" w:styleId="Accentuation">
    <w:name w:val="Emphasis"/>
    <w:basedOn w:val="Policepardfaut"/>
    <w:uiPriority w:val="20"/>
    <w:qFormat/>
    <w:rsid w:val="005457B2"/>
    <w:rPr>
      <w:i/>
      <w:iCs/>
    </w:rPr>
  </w:style>
  <w:style w:type="paragraph" w:styleId="NormalWeb">
    <w:name w:val="Normal (Web)"/>
    <w:basedOn w:val="Normal"/>
    <w:uiPriority w:val="99"/>
    <w:unhideWhenUsed/>
    <w:rsid w:val="005457B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uiPriority w:val="9"/>
    <w:semiHidden/>
    <w:rsid w:val="00A7034D"/>
    <w:rPr>
      <w:rFonts w:asciiTheme="majorHAnsi" w:eastAsiaTheme="majorEastAsia" w:hAnsiTheme="majorHAnsi" w:cstheme="majorBidi"/>
      <w:i/>
      <w:iCs/>
      <w:color w:val="2E74B5" w:themeColor="accent1" w:themeShade="BF"/>
    </w:rPr>
  </w:style>
  <w:style w:type="character" w:customStyle="1" w:styleId="katex-mathml">
    <w:name w:val="katex-mathml"/>
    <w:basedOn w:val="Policepardfaut"/>
    <w:rsid w:val="00A7034D"/>
  </w:style>
  <w:style w:type="character" w:customStyle="1" w:styleId="mord">
    <w:name w:val="mord"/>
    <w:basedOn w:val="Policepardfaut"/>
    <w:rsid w:val="00A7034D"/>
  </w:style>
  <w:style w:type="character" w:customStyle="1" w:styleId="mrel">
    <w:name w:val="mrel"/>
    <w:basedOn w:val="Policepardfaut"/>
    <w:rsid w:val="00A7034D"/>
  </w:style>
  <w:style w:type="character" w:customStyle="1" w:styleId="mbin">
    <w:name w:val="mbin"/>
    <w:basedOn w:val="Policepardfaut"/>
    <w:rsid w:val="00A7034D"/>
  </w:style>
  <w:style w:type="character" w:customStyle="1" w:styleId="vlist-s">
    <w:name w:val="vlist-s"/>
    <w:basedOn w:val="Policepardfaut"/>
    <w:rsid w:val="00A7034D"/>
  </w:style>
  <w:style w:type="character" w:customStyle="1" w:styleId="Titre2Car">
    <w:name w:val="Titre 2 Car"/>
    <w:basedOn w:val="Policepardfaut"/>
    <w:link w:val="Titre2"/>
    <w:uiPriority w:val="9"/>
    <w:semiHidden/>
    <w:rsid w:val="003D260D"/>
    <w:rPr>
      <w:rFonts w:asciiTheme="majorHAnsi" w:eastAsiaTheme="majorEastAsia" w:hAnsiTheme="majorHAnsi" w:cstheme="majorBidi"/>
      <w:color w:val="2E74B5" w:themeColor="accent1" w:themeShade="BF"/>
      <w:sz w:val="26"/>
      <w:szCs w:val="26"/>
    </w:rPr>
  </w:style>
  <w:style w:type="paragraph" w:styleId="Lgende">
    <w:name w:val="caption"/>
    <w:basedOn w:val="Normal"/>
    <w:next w:val="Normal"/>
    <w:uiPriority w:val="35"/>
    <w:qFormat/>
    <w:rsid w:val="000A1C45"/>
    <w:pPr>
      <w:spacing w:after="200" w:line="240" w:lineRule="auto"/>
    </w:pPr>
    <w:rPr>
      <w:rFonts w:ascii="Calibri" w:eastAsia="Calibri" w:hAnsi="Calibri" w:cs="Arial"/>
      <w:b/>
      <w:bCs/>
      <w:color w:val="5B9BD5"/>
      <w:sz w:val="18"/>
      <w:szCs w:val="18"/>
      <w:lang w:val="en-US"/>
    </w:rPr>
  </w:style>
  <w:style w:type="table" w:customStyle="1" w:styleId="TableauGrille5Fonc-Accentuation11">
    <w:name w:val="Tableau Grille 5 Foncé - Accentuation 11"/>
    <w:basedOn w:val="TableauNormal"/>
    <w:uiPriority w:val="50"/>
    <w:rsid w:val="00D6136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auGrille1Clair-Accentuation61">
    <w:name w:val="Tableau Grille 1 Clair - Accentuation 61"/>
    <w:basedOn w:val="TableauNormal"/>
    <w:uiPriority w:val="46"/>
    <w:rsid w:val="00D6136B"/>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En-tte">
    <w:name w:val="header"/>
    <w:basedOn w:val="Normal"/>
    <w:link w:val="En-tteCar"/>
    <w:uiPriority w:val="99"/>
    <w:unhideWhenUsed/>
    <w:rsid w:val="003425EB"/>
    <w:pPr>
      <w:tabs>
        <w:tab w:val="center" w:pos="4536"/>
        <w:tab w:val="right" w:pos="9072"/>
      </w:tabs>
      <w:spacing w:after="0" w:line="240" w:lineRule="auto"/>
    </w:pPr>
  </w:style>
  <w:style w:type="character" w:customStyle="1" w:styleId="En-tteCar">
    <w:name w:val="En-tête Car"/>
    <w:basedOn w:val="Policepardfaut"/>
    <w:link w:val="En-tte"/>
    <w:uiPriority w:val="99"/>
    <w:rsid w:val="003425EB"/>
  </w:style>
  <w:style w:type="paragraph" w:styleId="Pieddepage">
    <w:name w:val="footer"/>
    <w:basedOn w:val="Normal"/>
    <w:link w:val="PieddepageCar"/>
    <w:uiPriority w:val="99"/>
    <w:unhideWhenUsed/>
    <w:rsid w:val="003425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425EB"/>
  </w:style>
  <w:style w:type="paragraph" w:styleId="Bibliographie">
    <w:name w:val="Bibliography"/>
    <w:basedOn w:val="Normal"/>
    <w:next w:val="Normal"/>
    <w:uiPriority w:val="37"/>
    <w:unhideWhenUsed/>
    <w:rsid w:val="00B8006A"/>
    <w:pPr>
      <w:spacing w:after="0" w:line="480" w:lineRule="auto"/>
      <w:ind w:left="720" w:hanging="720"/>
    </w:pPr>
  </w:style>
  <w:style w:type="character" w:customStyle="1" w:styleId="15">
    <w:name w:val="15"/>
    <w:basedOn w:val="Policepardfaut"/>
    <w:rsid w:val="00430849"/>
    <w:rPr>
      <w:rFonts w:ascii="Calibri" w:hAnsi="Calibri" w:cs="Calibri" w:hint="default"/>
      <w:b/>
      <w:bCs/>
    </w:rPr>
  </w:style>
  <w:style w:type="paragraph" w:styleId="Rvision">
    <w:name w:val="Revision"/>
    <w:hidden/>
    <w:uiPriority w:val="99"/>
    <w:semiHidden/>
    <w:rsid w:val="004C2769"/>
    <w:pPr>
      <w:spacing w:after="0" w:line="240" w:lineRule="auto"/>
    </w:pPr>
  </w:style>
  <w:style w:type="character" w:styleId="Marquedecommentaire">
    <w:name w:val="annotation reference"/>
    <w:basedOn w:val="Policepardfaut"/>
    <w:uiPriority w:val="99"/>
    <w:semiHidden/>
    <w:unhideWhenUsed/>
    <w:rsid w:val="004C2769"/>
    <w:rPr>
      <w:sz w:val="16"/>
      <w:szCs w:val="16"/>
    </w:rPr>
  </w:style>
  <w:style w:type="paragraph" w:styleId="Commentaire">
    <w:name w:val="annotation text"/>
    <w:basedOn w:val="Normal"/>
    <w:link w:val="CommentaireCar"/>
    <w:uiPriority w:val="99"/>
    <w:unhideWhenUsed/>
    <w:rsid w:val="004C2769"/>
    <w:pPr>
      <w:spacing w:line="240" w:lineRule="auto"/>
    </w:pPr>
    <w:rPr>
      <w:sz w:val="20"/>
      <w:szCs w:val="20"/>
    </w:rPr>
  </w:style>
  <w:style w:type="character" w:customStyle="1" w:styleId="CommentaireCar">
    <w:name w:val="Commentaire Car"/>
    <w:basedOn w:val="Policepardfaut"/>
    <w:link w:val="Commentaire"/>
    <w:uiPriority w:val="99"/>
    <w:rsid w:val="004C2769"/>
    <w:rPr>
      <w:sz w:val="20"/>
      <w:szCs w:val="20"/>
    </w:rPr>
  </w:style>
  <w:style w:type="paragraph" w:styleId="Objetducommentaire">
    <w:name w:val="annotation subject"/>
    <w:basedOn w:val="Commentaire"/>
    <w:next w:val="Commentaire"/>
    <w:link w:val="ObjetducommentaireCar"/>
    <w:uiPriority w:val="99"/>
    <w:semiHidden/>
    <w:unhideWhenUsed/>
    <w:rsid w:val="004C2769"/>
    <w:rPr>
      <w:b/>
      <w:bCs/>
    </w:rPr>
  </w:style>
  <w:style w:type="character" w:customStyle="1" w:styleId="ObjetducommentaireCar">
    <w:name w:val="Objet du commentaire Car"/>
    <w:basedOn w:val="CommentaireCar"/>
    <w:link w:val="Objetducommentaire"/>
    <w:uiPriority w:val="99"/>
    <w:semiHidden/>
    <w:rsid w:val="004C2769"/>
    <w:rPr>
      <w:b/>
      <w:bCs/>
      <w:sz w:val="20"/>
      <w:szCs w:val="20"/>
    </w:rPr>
  </w:style>
  <w:style w:type="paragraph" w:styleId="Textedebulles">
    <w:name w:val="Balloon Text"/>
    <w:basedOn w:val="Normal"/>
    <w:link w:val="TextedebullesCar"/>
    <w:uiPriority w:val="99"/>
    <w:semiHidden/>
    <w:unhideWhenUsed/>
    <w:rsid w:val="00BE415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E4153"/>
    <w:rPr>
      <w:rFonts w:ascii="Tahoma" w:hAnsi="Tahoma" w:cs="Tahoma"/>
      <w:sz w:val="16"/>
      <w:szCs w:val="16"/>
    </w:rPr>
  </w:style>
  <w:style w:type="paragraph" w:customStyle="1" w:styleId="Default">
    <w:name w:val="Default"/>
    <w:rsid w:val="00BE4153"/>
    <w:pPr>
      <w:autoSpaceDE w:val="0"/>
      <w:autoSpaceDN w:val="0"/>
      <w:adjustRightInd w:val="0"/>
      <w:spacing w:after="0" w:line="240" w:lineRule="auto"/>
    </w:pPr>
    <w:rPr>
      <w:rFonts w:ascii="Arial" w:hAnsi="Arial" w:cs="Arial"/>
      <w:color w:val="000000"/>
      <w:sz w:val="24"/>
      <w:szCs w:val="24"/>
    </w:rPr>
  </w:style>
  <w:style w:type="character" w:styleId="Lienhypertexte">
    <w:name w:val="Hyperlink"/>
    <w:basedOn w:val="Policepardfaut"/>
    <w:uiPriority w:val="99"/>
    <w:unhideWhenUsed/>
    <w:rsid w:val="008076B8"/>
    <w:rPr>
      <w:color w:val="0563C1" w:themeColor="hyperlink"/>
      <w:u w:val="single"/>
    </w:rPr>
  </w:style>
  <w:style w:type="paragraph" w:styleId="Paragraphedeliste">
    <w:name w:val="List Paragraph"/>
    <w:basedOn w:val="Normal"/>
    <w:uiPriority w:val="34"/>
    <w:qFormat/>
    <w:rsid w:val="008076B8"/>
    <w:pPr>
      <w:ind w:left="720"/>
      <w:contextualSpacing/>
    </w:pPr>
  </w:style>
  <w:style w:type="table" w:styleId="Grilledutableau">
    <w:name w:val="Table Grid"/>
    <w:basedOn w:val="TableauNormal"/>
    <w:uiPriority w:val="39"/>
    <w:rsid w:val="00B152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hor">
    <w:name w:val="Author"/>
    <w:basedOn w:val="Normal"/>
    <w:rsid w:val="00286AFD"/>
    <w:pPr>
      <w:spacing w:after="0" w:line="280" w:lineRule="exact"/>
      <w:jc w:val="right"/>
    </w:pPr>
    <w:rPr>
      <w:rFonts w:ascii="Helvetica" w:eastAsia="Times New Roman" w:hAnsi="Helvetica" w:cs="Times New Roman"/>
      <w:b/>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292364">
      <w:bodyDiv w:val="1"/>
      <w:marLeft w:val="0"/>
      <w:marRight w:val="0"/>
      <w:marTop w:val="0"/>
      <w:marBottom w:val="0"/>
      <w:divBdr>
        <w:top w:val="none" w:sz="0" w:space="0" w:color="auto"/>
        <w:left w:val="none" w:sz="0" w:space="0" w:color="auto"/>
        <w:bottom w:val="none" w:sz="0" w:space="0" w:color="auto"/>
        <w:right w:val="none" w:sz="0" w:space="0" w:color="auto"/>
      </w:divBdr>
    </w:div>
    <w:div w:id="303048989">
      <w:bodyDiv w:val="1"/>
      <w:marLeft w:val="0"/>
      <w:marRight w:val="0"/>
      <w:marTop w:val="0"/>
      <w:marBottom w:val="0"/>
      <w:divBdr>
        <w:top w:val="none" w:sz="0" w:space="0" w:color="auto"/>
        <w:left w:val="none" w:sz="0" w:space="0" w:color="auto"/>
        <w:bottom w:val="none" w:sz="0" w:space="0" w:color="auto"/>
        <w:right w:val="none" w:sz="0" w:space="0" w:color="auto"/>
      </w:divBdr>
      <w:divsChild>
        <w:div w:id="954024950">
          <w:marLeft w:val="0"/>
          <w:marRight w:val="0"/>
          <w:marTop w:val="240"/>
          <w:marBottom w:val="15"/>
          <w:divBdr>
            <w:top w:val="single" w:sz="2" w:space="0" w:color="E5E7EB"/>
            <w:left w:val="single" w:sz="2" w:space="0" w:color="E5E7EB"/>
            <w:bottom w:val="single" w:sz="2" w:space="0" w:color="E5E7EB"/>
            <w:right w:val="single" w:sz="2" w:space="0" w:color="E5E7EB"/>
          </w:divBdr>
        </w:div>
        <w:div w:id="99492305">
          <w:marLeft w:val="0"/>
          <w:marRight w:val="0"/>
          <w:marTop w:val="15"/>
          <w:marBottom w:val="15"/>
          <w:divBdr>
            <w:top w:val="single" w:sz="2" w:space="0" w:color="E5E7EB"/>
            <w:left w:val="single" w:sz="2" w:space="0" w:color="E5E7EB"/>
            <w:bottom w:val="single" w:sz="2" w:space="0" w:color="E5E7EB"/>
            <w:right w:val="single" w:sz="2" w:space="0" w:color="E5E7EB"/>
          </w:divBdr>
          <w:divsChild>
            <w:div w:id="1195458237">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1578512582">
          <w:marLeft w:val="0"/>
          <w:marRight w:val="0"/>
          <w:marTop w:val="15"/>
          <w:marBottom w:val="15"/>
          <w:divBdr>
            <w:top w:val="single" w:sz="2" w:space="0" w:color="E5E7EB"/>
            <w:left w:val="single" w:sz="2" w:space="0" w:color="E5E7EB"/>
            <w:bottom w:val="single" w:sz="2" w:space="0" w:color="E5E7EB"/>
            <w:right w:val="single" w:sz="2" w:space="0" w:color="E5E7EB"/>
          </w:divBdr>
          <w:divsChild>
            <w:div w:id="1496147591">
              <w:marLeft w:val="0"/>
              <w:marRight w:val="0"/>
              <w:marTop w:val="0"/>
              <w:marBottom w:val="0"/>
              <w:divBdr>
                <w:top w:val="single" w:sz="2" w:space="2" w:color="E5E7EB"/>
                <w:left w:val="single" w:sz="2" w:space="0" w:color="E5E7EB"/>
                <w:bottom w:val="single" w:sz="2" w:space="2" w:color="E5E7EB"/>
                <w:right w:val="single" w:sz="2" w:space="0" w:color="E5E7EB"/>
              </w:divBdr>
            </w:div>
          </w:divsChild>
        </w:div>
      </w:divsChild>
    </w:div>
    <w:div w:id="499198656">
      <w:bodyDiv w:val="1"/>
      <w:marLeft w:val="0"/>
      <w:marRight w:val="0"/>
      <w:marTop w:val="0"/>
      <w:marBottom w:val="0"/>
      <w:divBdr>
        <w:top w:val="none" w:sz="0" w:space="0" w:color="auto"/>
        <w:left w:val="none" w:sz="0" w:space="0" w:color="auto"/>
        <w:bottom w:val="none" w:sz="0" w:space="0" w:color="auto"/>
        <w:right w:val="none" w:sz="0" w:space="0" w:color="auto"/>
      </w:divBdr>
    </w:div>
    <w:div w:id="592012424">
      <w:bodyDiv w:val="1"/>
      <w:marLeft w:val="0"/>
      <w:marRight w:val="0"/>
      <w:marTop w:val="0"/>
      <w:marBottom w:val="0"/>
      <w:divBdr>
        <w:top w:val="none" w:sz="0" w:space="0" w:color="auto"/>
        <w:left w:val="none" w:sz="0" w:space="0" w:color="auto"/>
        <w:bottom w:val="none" w:sz="0" w:space="0" w:color="auto"/>
        <w:right w:val="none" w:sz="0" w:space="0" w:color="auto"/>
      </w:divBdr>
    </w:div>
    <w:div w:id="786891791">
      <w:bodyDiv w:val="1"/>
      <w:marLeft w:val="0"/>
      <w:marRight w:val="0"/>
      <w:marTop w:val="0"/>
      <w:marBottom w:val="0"/>
      <w:divBdr>
        <w:top w:val="none" w:sz="0" w:space="0" w:color="auto"/>
        <w:left w:val="none" w:sz="0" w:space="0" w:color="auto"/>
        <w:bottom w:val="none" w:sz="0" w:space="0" w:color="auto"/>
        <w:right w:val="none" w:sz="0" w:space="0" w:color="auto"/>
      </w:divBdr>
    </w:div>
    <w:div w:id="959455118">
      <w:bodyDiv w:val="1"/>
      <w:marLeft w:val="0"/>
      <w:marRight w:val="0"/>
      <w:marTop w:val="0"/>
      <w:marBottom w:val="0"/>
      <w:divBdr>
        <w:top w:val="none" w:sz="0" w:space="0" w:color="auto"/>
        <w:left w:val="none" w:sz="0" w:space="0" w:color="auto"/>
        <w:bottom w:val="none" w:sz="0" w:space="0" w:color="auto"/>
        <w:right w:val="none" w:sz="0" w:space="0" w:color="auto"/>
      </w:divBdr>
    </w:div>
    <w:div w:id="1008605958">
      <w:bodyDiv w:val="1"/>
      <w:marLeft w:val="0"/>
      <w:marRight w:val="0"/>
      <w:marTop w:val="0"/>
      <w:marBottom w:val="0"/>
      <w:divBdr>
        <w:top w:val="none" w:sz="0" w:space="0" w:color="auto"/>
        <w:left w:val="none" w:sz="0" w:space="0" w:color="auto"/>
        <w:bottom w:val="none" w:sz="0" w:space="0" w:color="auto"/>
        <w:right w:val="none" w:sz="0" w:space="0" w:color="auto"/>
      </w:divBdr>
    </w:div>
    <w:div w:id="1041514289">
      <w:bodyDiv w:val="1"/>
      <w:marLeft w:val="0"/>
      <w:marRight w:val="0"/>
      <w:marTop w:val="0"/>
      <w:marBottom w:val="0"/>
      <w:divBdr>
        <w:top w:val="none" w:sz="0" w:space="0" w:color="auto"/>
        <w:left w:val="none" w:sz="0" w:space="0" w:color="auto"/>
        <w:bottom w:val="none" w:sz="0" w:space="0" w:color="auto"/>
        <w:right w:val="none" w:sz="0" w:space="0" w:color="auto"/>
      </w:divBdr>
      <w:divsChild>
        <w:div w:id="1848209294">
          <w:marLeft w:val="0"/>
          <w:marRight w:val="0"/>
          <w:marTop w:val="240"/>
          <w:marBottom w:val="15"/>
          <w:divBdr>
            <w:top w:val="single" w:sz="2" w:space="0" w:color="E5E7EB"/>
            <w:left w:val="single" w:sz="2" w:space="0" w:color="E5E7EB"/>
            <w:bottom w:val="single" w:sz="2" w:space="0" w:color="E5E7EB"/>
            <w:right w:val="single" w:sz="2" w:space="0" w:color="E5E7EB"/>
          </w:divBdr>
        </w:div>
        <w:div w:id="236982848">
          <w:marLeft w:val="0"/>
          <w:marRight w:val="0"/>
          <w:marTop w:val="15"/>
          <w:marBottom w:val="15"/>
          <w:divBdr>
            <w:top w:val="single" w:sz="2" w:space="0" w:color="E5E7EB"/>
            <w:left w:val="single" w:sz="2" w:space="0" w:color="E5E7EB"/>
            <w:bottom w:val="single" w:sz="2" w:space="0" w:color="E5E7EB"/>
            <w:right w:val="single" w:sz="2" w:space="0" w:color="E5E7EB"/>
          </w:divBdr>
          <w:divsChild>
            <w:div w:id="902987655">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1520660423">
          <w:marLeft w:val="0"/>
          <w:marRight w:val="0"/>
          <w:marTop w:val="15"/>
          <w:marBottom w:val="15"/>
          <w:divBdr>
            <w:top w:val="single" w:sz="2" w:space="0" w:color="E5E7EB"/>
            <w:left w:val="single" w:sz="2" w:space="0" w:color="E5E7EB"/>
            <w:bottom w:val="single" w:sz="2" w:space="0" w:color="E5E7EB"/>
            <w:right w:val="single" w:sz="2" w:space="0" w:color="E5E7EB"/>
          </w:divBdr>
          <w:divsChild>
            <w:div w:id="1017463932">
              <w:marLeft w:val="0"/>
              <w:marRight w:val="0"/>
              <w:marTop w:val="0"/>
              <w:marBottom w:val="0"/>
              <w:divBdr>
                <w:top w:val="single" w:sz="2" w:space="2" w:color="E5E7EB"/>
                <w:left w:val="single" w:sz="2" w:space="0" w:color="E5E7EB"/>
                <w:bottom w:val="single" w:sz="2" w:space="2" w:color="E5E7EB"/>
                <w:right w:val="single" w:sz="2" w:space="0" w:color="E5E7EB"/>
              </w:divBdr>
            </w:div>
          </w:divsChild>
        </w:div>
      </w:divsChild>
    </w:div>
    <w:div w:id="1081172166">
      <w:bodyDiv w:val="1"/>
      <w:marLeft w:val="0"/>
      <w:marRight w:val="0"/>
      <w:marTop w:val="0"/>
      <w:marBottom w:val="0"/>
      <w:divBdr>
        <w:top w:val="none" w:sz="0" w:space="0" w:color="auto"/>
        <w:left w:val="none" w:sz="0" w:space="0" w:color="auto"/>
        <w:bottom w:val="none" w:sz="0" w:space="0" w:color="auto"/>
        <w:right w:val="none" w:sz="0" w:space="0" w:color="auto"/>
      </w:divBdr>
    </w:div>
    <w:div w:id="1091899149">
      <w:bodyDiv w:val="1"/>
      <w:marLeft w:val="0"/>
      <w:marRight w:val="0"/>
      <w:marTop w:val="0"/>
      <w:marBottom w:val="0"/>
      <w:divBdr>
        <w:top w:val="none" w:sz="0" w:space="0" w:color="auto"/>
        <w:left w:val="none" w:sz="0" w:space="0" w:color="auto"/>
        <w:bottom w:val="none" w:sz="0" w:space="0" w:color="auto"/>
        <w:right w:val="none" w:sz="0" w:space="0" w:color="auto"/>
      </w:divBdr>
    </w:div>
    <w:div w:id="1147669347">
      <w:bodyDiv w:val="1"/>
      <w:marLeft w:val="0"/>
      <w:marRight w:val="0"/>
      <w:marTop w:val="0"/>
      <w:marBottom w:val="0"/>
      <w:divBdr>
        <w:top w:val="none" w:sz="0" w:space="0" w:color="auto"/>
        <w:left w:val="none" w:sz="0" w:space="0" w:color="auto"/>
        <w:bottom w:val="none" w:sz="0" w:space="0" w:color="auto"/>
        <w:right w:val="none" w:sz="0" w:space="0" w:color="auto"/>
      </w:divBdr>
    </w:div>
    <w:div w:id="1162156273">
      <w:bodyDiv w:val="1"/>
      <w:marLeft w:val="0"/>
      <w:marRight w:val="0"/>
      <w:marTop w:val="0"/>
      <w:marBottom w:val="0"/>
      <w:divBdr>
        <w:top w:val="none" w:sz="0" w:space="0" w:color="auto"/>
        <w:left w:val="none" w:sz="0" w:space="0" w:color="auto"/>
        <w:bottom w:val="none" w:sz="0" w:space="0" w:color="auto"/>
        <w:right w:val="none" w:sz="0" w:space="0" w:color="auto"/>
      </w:divBdr>
    </w:div>
    <w:div w:id="1447384800">
      <w:bodyDiv w:val="1"/>
      <w:marLeft w:val="0"/>
      <w:marRight w:val="0"/>
      <w:marTop w:val="0"/>
      <w:marBottom w:val="0"/>
      <w:divBdr>
        <w:top w:val="none" w:sz="0" w:space="0" w:color="auto"/>
        <w:left w:val="none" w:sz="0" w:space="0" w:color="auto"/>
        <w:bottom w:val="none" w:sz="0" w:space="0" w:color="auto"/>
        <w:right w:val="none" w:sz="0" w:space="0" w:color="auto"/>
      </w:divBdr>
    </w:div>
    <w:div w:id="1902250878">
      <w:bodyDiv w:val="1"/>
      <w:marLeft w:val="0"/>
      <w:marRight w:val="0"/>
      <w:marTop w:val="0"/>
      <w:marBottom w:val="0"/>
      <w:divBdr>
        <w:top w:val="none" w:sz="0" w:space="0" w:color="auto"/>
        <w:left w:val="none" w:sz="0" w:space="0" w:color="auto"/>
        <w:bottom w:val="none" w:sz="0" w:space="0" w:color="auto"/>
        <w:right w:val="none" w:sz="0" w:space="0" w:color="auto"/>
      </w:divBdr>
      <w:divsChild>
        <w:div w:id="1798259198">
          <w:marLeft w:val="0"/>
          <w:marRight w:val="0"/>
          <w:marTop w:val="240"/>
          <w:marBottom w:val="15"/>
          <w:divBdr>
            <w:top w:val="single" w:sz="2" w:space="0" w:color="E5E7EB"/>
            <w:left w:val="single" w:sz="2" w:space="0" w:color="E5E7EB"/>
            <w:bottom w:val="single" w:sz="2" w:space="0" w:color="E5E7EB"/>
            <w:right w:val="single" w:sz="2" w:space="0" w:color="E5E7EB"/>
          </w:divBdr>
        </w:div>
        <w:div w:id="1436176007">
          <w:marLeft w:val="0"/>
          <w:marRight w:val="0"/>
          <w:marTop w:val="15"/>
          <w:marBottom w:val="15"/>
          <w:divBdr>
            <w:top w:val="single" w:sz="2" w:space="0" w:color="E5E7EB"/>
            <w:left w:val="single" w:sz="2" w:space="0" w:color="E5E7EB"/>
            <w:bottom w:val="single" w:sz="2" w:space="0" w:color="E5E7EB"/>
            <w:right w:val="single" w:sz="2" w:space="0" w:color="E5E7EB"/>
          </w:divBdr>
          <w:divsChild>
            <w:div w:id="1375959167">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768502464">
          <w:marLeft w:val="0"/>
          <w:marRight w:val="0"/>
          <w:marTop w:val="15"/>
          <w:marBottom w:val="15"/>
          <w:divBdr>
            <w:top w:val="single" w:sz="2" w:space="0" w:color="E5E7EB"/>
            <w:left w:val="single" w:sz="2" w:space="0" w:color="E5E7EB"/>
            <w:bottom w:val="single" w:sz="2" w:space="0" w:color="E5E7EB"/>
            <w:right w:val="single" w:sz="2" w:space="0" w:color="E5E7EB"/>
          </w:divBdr>
          <w:divsChild>
            <w:div w:id="977563810">
              <w:marLeft w:val="0"/>
              <w:marRight w:val="0"/>
              <w:marTop w:val="0"/>
              <w:marBottom w:val="0"/>
              <w:divBdr>
                <w:top w:val="single" w:sz="2" w:space="2" w:color="E5E7EB"/>
                <w:left w:val="single" w:sz="2" w:space="0" w:color="E5E7EB"/>
                <w:bottom w:val="single" w:sz="2" w:space="2" w:color="E5E7EB"/>
                <w:right w:val="single" w:sz="2" w:space="0" w:color="E5E7EB"/>
              </w:divBdr>
            </w:div>
          </w:divsChild>
        </w:div>
      </w:divsChild>
    </w:div>
    <w:div w:id="2110200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A64FB-265B-493C-BFCB-3512AF91C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16</Pages>
  <Words>14470</Words>
  <Characters>79586</Characters>
  <Application>Microsoft Office Word</Application>
  <DocSecurity>0</DocSecurity>
  <Lines>663</Lines>
  <Paragraphs>187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Compte Microsoft</dc:creator>
  <cp:lastModifiedBy>Compte Microsoft</cp:lastModifiedBy>
  <cp:revision>37</cp:revision>
  <dcterms:created xsi:type="dcterms:W3CDTF">2026-02-13T14:27:00Z</dcterms:created>
  <dcterms:modified xsi:type="dcterms:W3CDTF">2026-03-07T20:42:00Z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zotero-version="7.0.19"&gt;&lt;session id="hKqwMhEb"/&gt;&lt;style id="http://www.zotero.org/styles/apa" locale="fr-FR" hasBibliography="1" bibliographyStyleHasBeenSet="1"/&gt;&lt;prefs&gt;&lt;pref name="fieldType" value="Field"/&gt;&lt;/prefs&gt;&lt;/data&gt;</vt:lpwstr>
  </property>
</Properties>
</file>