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2506" w14:textId="7C1DFC45" w:rsidR="00754C9A" w:rsidRPr="00444C47" w:rsidRDefault="00D97A76" w:rsidP="00441B6F">
      <w:pPr>
        <w:pStyle w:val="Title"/>
        <w:spacing w:after="0"/>
        <w:jc w:val="both"/>
        <w:rPr>
          <w:rFonts w:ascii="Arial" w:hAnsi="Arial" w:cs="Arial"/>
        </w:rPr>
      </w:pPr>
      <w:r w:rsidRPr="00444C47">
        <w:rPr>
          <w:rFonts w:ascii="Arial" w:hAnsi="Arial" w:cs="Arial"/>
        </w:rPr>
        <w:t>Original Research Article</w:t>
      </w:r>
    </w:p>
    <w:p w14:paraId="469BAC8B" w14:textId="77777777" w:rsidR="00D97A76" w:rsidRPr="00444C47" w:rsidRDefault="00D97A76" w:rsidP="00441B6F">
      <w:pPr>
        <w:pStyle w:val="Title"/>
        <w:spacing w:after="0"/>
        <w:jc w:val="both"/>
        <w:rPr>
          <w:rFonts w:ascii="Arial" w:hAnsi="Arial" w:cs="Arial"/>
        </w:rPr>
      </w:pPr>
    </w:p>
    <w:p w14:paraId="41491D51" w14:textId="30115945" w:rsidR="00163BC4" w:rsidRPr="00444C47" w:rsidRDefault="00D851C5" w:rsidP="00D851C5">
      <w:pPr>
        <w:pStyle w:val="Author"/>
        <w:spacing w:line="360" w:lineRule="auto"/>
        <w:rPr>
          <w:rFonts w:ascii="Arial" w:hAnsi="Arial" w:cs="Arial"/>
          <w:bCs/>
          <w:iCs/>
          <w:kern w:val="28"/>
          <w:sz w:val="36"/>
        </w:rPr>
      </w:pPr>
      <w:r w:rsidRPr="00D851C5">
        <w:rPr>
          <w:rFonts w:ascii="Arial" w:hAnsi="Arial" w:cs="Arial"/>
          <w:bCs/>
          <w:iCs/>
          <w:kern w:val="28"/>
          <w:sz w:val="36"/>
        </w:rPr>
        <w:t>Evaluating the Effectiveness of Environmental CSR Practices in the Mining Sector: Evidence from SECL</w:t>
      </w:r>
    </w:p>
    <w:p w14:paraId="18C7EC0A" w14:textId="77777777" w:rsidR="00D97A76" w:rsidRPr="00444C47" w:rsidRDefault="00D97A76" w:rsidP="00441B6F">
      <w:pPr>
        <w:pStyle w:val="Author"/>
        <w:spacing w:line="240" w:lineRule="auto"/>
        <w:rPr>
          <w:rFonts w:ascii="Arial" w:hAnsi="Arial" w:cs="Arial"/>
          <w:vertAlign w:val="superscript"/>
        </w:rPr>
      </w:pPr>
    </w:p>
    <w:p w14:paraId="34E70061" w14:textId="308A77B8" w:rsidR="00061B69" w:rsidRPr="00444C47" w:rsidRDefault="00863285" w:rsidP="003E42FA">
      <w:pPr>
        <w:ind w:left="720"/>
        <w:jc w:val="center"/>
        <w:rPr>
          <w:rFonts w:ascii="Arial" w:hAnsi="Arial" w:cs="Arial"/>
        </w:rPr>
      </w:pPr>
      <w:r w:rsidRPr="00444C47">
        <w:rPr>
          <w:rFonts w:ascii="Times New Roman" w:hAnsi="Times New Roman"/>
          <w:sz w:val="24"/>
          <w:szCs w:val="24"/>
        </w:rPr>
        <w:t xml:space="preserve">              </w:t>
      </w:r>
    </w:p>
    <w:p w14:paraId="4910AFCE" w14:textId="77777777" w:rsidR="00790ADA" w:rsidRPr="00444C47" w:rsidRDefault="00790ADA" w:rsidP="00441B6F">
      <w:pPr>
        <w:pStyle w:val="Author"/>
        <w:spacing w:line="240" w:lineRule="auto"/>
        <w:rPr>
          <w:rFonts w:ascii="Arial" w:hAnsi="Arial" w:cs="Arial"/>
        </w:rPr>
      </w:pPr>
    </w:p>
    <w:p w14:paraId="60881B22" w14:textId="77777777" w:rsidR="002C57D2" w:rsidRPr="00444C47" w:rsidRDefault="002C57D2" w:rsidP="00441B6F">
      <w:pPr>
        <w:pStyle w:val="Affiliation"/>
        <w:spacing w:after="0" w:line="240" w:lineRule="auto"/>
        <w:jc w:val="both"/>
        <w:rPr>
          <w:rFonts w:ascii="Arial" w:hAnsi="Arial" w:cs="Arial"/>
        </w:rPr>
      </w:pPr>
    </w:p>
    <w:p w14:paraId="6085BF04" w14:textId="529E19E5" w:rsidR="00B01FCD" w:rsidRPr="00444C47" w:rsidRDefault="00D16CAF" w:rsidP="00441B6F">
      <w:pPr>
        <w:pStyle w:val="Copyright"/>
        <w:spacing w:after="0" w:line="240" w:lineRule="auto"/>
        <w:jc w:val="both"/>
        <w:rPr>
          <w:rFonts w:ascii="Arial" w:hAnsi="Arial" w:cs="Arial"/>
        </w:rPr>
        <w:sectPr w:rsidR="00B01FCD" w:rsidRPr="00444C47" w:rsidSect="00EC09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44C47">
        <w:rPr>
          <w:rFonts w:ascii="Arial" w:hAnsi="Arial" w:cs="Arial"/>
          <w:noProof/>
        </w:rPr>
        <mc:AlternateContent>
          <mc:Choice Requires="wps">
            <w:drawing>
              <wp:inline distT="0" distB="0" distL="0" distR="0" wp14:anchorId="0B4F5F2E" wp14:editId="44FDAB36">
                <wp:extent cx="5303520" cy="635"/>
                <wp:effectExtent l="11430" t="13970" r="9525" b="14605"/>
                <wp:docPr id="15952443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C019A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44C47">
        <w:rPr>
          <w:rFonts w:ascii="Arial" w:hAnsi="Arial" w:cs="Arial"/>
        </w:rPr>
        <w:t>.</w:t>
      </w:r>
    </w:p>
    <w:p w14:paraId="05FDEA3A" w14:textId="2AC6AFF2" w:rsidR="00B01FCD" w:rsidRPr="00444C47" w:rsidRDefault="00B01FCD" w:rsidP="00441B6F">
      <w:pPr>
        <w:pStyle w:val="AbstHead"/>
        <w:spacing w:after="0"/>
        <w:jc w:val="both"/>
        <w:rPr>
          <w:rFonts w:ascii="Arial" w:hAnsi="Arial" w:cs="Arial"/>
        </w:rPr>
      </w:pPr>
      <w:r w:rsidRPr="00444C47">
        <w:rPr>
          <w:rFonts w:ascii="Arial" w:hAnsi="Arial" w:cs="Arial"/>
        </w:rPr>
        <w:t>ABSTRACT</w:t>
      </w:r>
      <w:r w:rsidR="0066510A" w:rsidRPr="00444C47">
        <w:rPr>
          <w:rFonts w:ascii="Arial" w:hAnsi="Arial" w:cs="Arial"/>
        </w:rPr>
        <w:t xml:space="preserve"> </w:t>
      </w:r>
    </w:p>
    <w:p w14:paraId="790F6A84" w14:textId="77777777" w:rsidR="00790ADA" w:rsidRPr="00444C4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44C47" w14:paraId="2568FA8D" w14:textId="77777777" w:rsidTr="001E44FE">
        <w:tc>
          <w:tcPr>
            <w:tcW w:w="9576" w:type="dxa"/>
            <w:shd w:val="clear" w:color="auto" w:fill="F2F2F2"/>
          </w:tcPr>
          <w:p w14:paraId="767BD715" w14:textId="1C7E3B2A" w:rsidR="00FA3F7B" w:rsidRPr="00FA3F7B" w:rsidRDefault="00FA3F7B" w:rsidP="00FA3F7B">
            <w:pPr>
              <w:spacing w:line="360" w:lineRule="auto"/>
              <w:jc w:val="both"/>
              <w:rPr>
                <w:rFonts w:ascii="Arial" w:eastAsia="Calibri" w:hAnsi="Arial" w:cs="Arial"/>
                <w:szCs w:val="22"/>
                <w:lang w:val="en-IN"/>
              </w:rPr>
            </w:pPr>
            <w:r w:rsidRPr="00FA3F7B">
              <w:rPr>
                <w:rFonts w:ascii="Arial" w:eastAsia="Calibri" w:hAnsi="Arial" w:cs="Arial"/>
                <w:szCs w:val="22"/>
                <w:lang w:val="en-IN"/>
              </w:rPr>
              <w:t>The mining sector is inherently associated with significant environmental challenges such as land degradation, biodiversity loss, and pollution, raising critical concerns about sustainable resource management. Although Corporate Social Responsibility (CSR), institutionalized under the Companies Act, 2013 in India, provides a formal mechanism to address these concerns, limited empirical research has evaluated the actual effectiveness of environmental CSR initiatives in large public sector mining enterprises. Addressing this gap, the present study examines the role and effectiveness of CSR in promoting environmental responsibility, with a specific focus on South Eastern Coalfields Limited (SECL).</w:t>
            </w:r>
            <w:r>
              <w:rPr>
                <w:rFonts w:ascii="Arial" w:eastAsia="Calibri" w:hAnsi="Arial" w:cs="Arial"/>
                <w:szCs w:val="22"/>
                <w:lang w:val="en-IN"/>
              </w:rPr>
              <w:t xml:space="preserve"> </w:t>
            </w:r>
            <w:r w:rsidRPr="00FA3F7B">
              <w:rPr>
                <w:rFonts w:ascii="Arial" w:eastAsia="Calibri" w:hAnsi="Arial" w:cs="Arial"/>
                <w:szCs w:val="22"/>
                <w:lang w:val="en-IN"/>
              </w:rPr>
              <w:t>The study adopts a qualitative case study approach based on secondary data collected from company reports, government documents, and relevant academic literature. Environmental CSR initiatives are analysed across key dimensions, including afforestation, land reclamation, water management, and pollution control, using criteria such as environmental impact, sustainability, stakeholder engagement, and transparency.</w:t>
            </w:r>
            <w:r>
              <w:rPr>
                <w:rFonts w:ascii="Arial" w:eastAsia="Calibri" w:hAnsi="Arial" w:cs="Arial"/>
                <w:szCs w:val="22"/>
                <w:lang w:val="en-IN"/>
              </w:rPr>
              <w:t xml:space="preserve"> </w:t>
            </w:r>
            <w:r w:rsidRPr="00FA3F7B">
              <w:rPr>
                <w:rFonts w:ascii="Arial" w:eastAsia="Calibri" w:hAnsi="Arial" w:cs="Arial"/>
                <w:szCs w:val="22"/>
                <w:lang w:val="en-IN"/>
              </w:rPr>
              <w:t>The findings reveal that SECL has undertaken substantial environmental initiatives, including large-scale afforestation, scientific land reclamation, and the utilization of treated mine water, contributing to partial ecological restoration and improved resource efficiency in mining regions such as Gevra and Kusmunda. However, the overall effectiveness of these initiatives remains moderate due to challenges related to low plantation survival rates, inadequate monitoring systems, and limited community participation. The study further identifies a predominance of input-oriented CSR practices with insufficient emphasis on measurable environmental outcomes.</w:t>
            </w:r>
            <w:r>
              <w:rPr>
                <w:rFonts w:ascii="Arial" w:eastAsia="Calibri" w:hAnsi="Arial" w:cs="Arial"/>
                <w:szCs w:val="22"/>
                <w:lang w:val="en-IN"/>
              </w:rPr>
              <w:t xml:space="preserve"> </w:t>
            </w:r>
            <w:r w:rsidRPr="00FA3F7B">
              <w:rPr>
                <w:rFonts w:ascii="Arial" w:eastAsia="Calibri" w:hAnsi="Arial" w:cs="Arial"/>
                <w:szCs w:val="22"/>
                <w:lang w:val="en-IN"/>
              </w:rPr>
              <w:t>Theoretically, the study contributes to the CSR literature by providing an organization-specific evaluation grounded in stakeholder and sustainability perspectives. Practically, it highlights the need for outcome-based monitoring frameworks, enhanced stakeholder engagement, and greater integration of CSR with core operational strategies to strengthen long-term environmental sustainability in the mining sector.</w:t>
            </w:r>
          </w:p>
          <w:p w14:paraId="53775E49" w14:textId="79A148AE" w:rsidR="00505F06" w:rsidRPr="00444C47" w:rsidRDefault="00505F06" w:rsidP="00FA3F7B">
            <w:pPr>
              <w:spacing w:line="360" w:lineRule="auto"/>
              <w:jc w:val="both"/>
              <w:rPr>
                <w:rFonts w:ascii="Arial" w:eastAsia="Calibri" w:hAnsi="Arial" w:cs="Arial"/>
                <w:szCs w:val="22"/>
              </w:rPr>
            </w:pPr>
          </w:p>
        </w:tc>
      </w:tr>
    </w:tbl>
    <w:p w14:paraId="4A4C3A73" w14:textId="77777777" w:rsidR="00863285" w:rsidRPr="00444C47" w:rsidRDefault="00863285" w:rsidP="00441B6F">
      <w:pPr>
        <w:pStyle w:val="Body"/>
        <w:spacing w:after="0"/>
        <w:rPr>
          <w:rFonts w:ascii="Arial" w:hAnsi="Arial" w:cs="Arial"/>
          <w:i/>
        </w:rPr>
      </w:pPr>
    </w:p>
    <w:p w14:paraId="292F563D" w14:textId="7B756055" w:rsidR="00B52896" w:rsidRPr="00444C47" w:rsidRDefault="00863285" w:rsidP="00252E72">
      <w:pPr>
        <w:pStyle w:val="Body"/>
        <w:spacing w:after="0"/>
        <w:rPr>
          <w:rFonts w:ascii="Arial" w:hAnsi="Arial" w:cs="Arial"/>
          <w:i/>
          <w:iCs/>
        </w:rPr>
      </w:pPr>
      <w:r w:rsidRPr="00444C47">
        <w:rPr>
          <w:rFonts w:ascii="Arial" w:hAnsi="Arial" w:cs="Arial"/>
          <w:i/>
        </w:rPr>
        <w:t xml:space="preserve">Keywords: </w:t>
      </w:r>
      <w:r w:rsidRPr="00444C47">
        <w:rPr>
          <w:rFonts w:ascii="Arial" w:hAnsi="Arial" w:cs="Arial"/>
          <w:i/>
          <w:iCs/>
        </w:rPr>
        <w:t>CSR, Environmental Sustainability, SECL, Mining Industry, Afforestation, Land Reclamation</w:t>
      </w:r>
      <w:r w:rsidR="00033F08" w:rsidRPr="00033F08">
        <w:rPr>
          <w:rFonts w:ascii="Arial" w:hAnsi="Arial" w:cs="Arial"/>
          <w:i/>
          <w:iCs/>
        </w:rPr>
        <w:t>, Environmental Performance, Sustainable Mining, Ecological Restoration, Mine Reclamation, Water Resource Management, Public Sector Enterprises, Outcome-Based CSR, Stakeholder Engagement</w:t>
      </w:r>
    </w:p>
    <w:p w14:paraId="180C267F" w14:textId="77777777" w:rsidR="0024282C" w:rsidRPr="00444C47" w:rsidRDefault="0024282C" w:rsidP="00441B6F">
      <w:pPr>
        <w:pStyle w:val="Body"/>
        <w:spacing w:after="0"/>
        <w:rPr>
          <w:rFonts w:ascii="Arial" w:hAnsi="Arial" w:cs="Arial"/>
          <w:i/>
          <w:sz w:val="18"/>
        </w:rPr>
      </w:pPr>
    </w:p>
    <w:p w14:paraId="252DA2CA" w14:textId="77777777" w:rsidR="00505F06" w:rsidRPr="00444C47" w:rsidRDefault="00505F06" w:rsidP="00441B6F">
      <w:pPr>
        <w:pStyle w:val="Body"/>
        <w:spacing w:after="0"/>
        <w:rPr>
          <w:rFonts w:ascii="Arial" w:hAnsi="Arial" w:cs="Arial"/>
          <w:i/>
        </w:rPr>
      </w:pPr>
    </w:p>
    <w:p w14:paraId="62CAF240" w14:textId="6A005E59" w:rsidR="007F7B32" w:rsidRPr="00444C47" w:rsidRDefault="00902823" w:rsidP="00441B6F">
      <w:pPr>
        <w:pStyle w:val="AbstHead"/>
        <w:spacing w:after="0"/>
        <w:jc w:val="both"/>
        <w:rPr>
          <w:rFonts w:ascii="Arial" w:hAnsi="Arial" w:cs="Arial"/>
        </w:rPr>
      </w:pPr>
      <w:r w:rsidRPr="00444C47">
        <w:rPr>
          <w:rFonts w:ascii="Arial" w:hAnsi="Arial" w:cs="Arial"/>
        </w:rPr>
        <w:t xml:space="preserve">1. </w:t>
      </w:r>
      <w:r w:rsidR="00B01FCD" w:rsidRPr="00444C47">
        <w:rPr>
          <w:rFonts w:ascii="Arial" w:hAnsi="Arial" w:cs="Arial"/>
        </w:rPr>
        <w:t>INTRODUCTION</w:t>
      </w:r>
    </w:p>
    <w:p w14:paraId="6F5BBD98" w14:textId="67D57A9C" w:rsidR="00252E72" w:rsidRPr="00444C47" w:rsidRDefault="00252E72" w:rsidP="00252E72">
      <w:pPr>
        <w:spacing w:line="360" w:lineRule="auto"/>
        <w:jc w:val="both"/>
        <w:rPr>
          <w:rFonts w:ascii="Arial" w:hAnsi="Arial" w:cs="Arial"/>
        </w:rPr>
      </w:pPr>
      <w:r w:rsidRPr="00444C47">
        <w:rPr>
          <w:rFonts w:ascii="Arial" w:hAnsi="Arial" w:cs="Arial"/>
        </w:rPr>
        <w:t xml:space="preserve">Industrial development in resource-intensive sectors such as coal mining has long been associated with significant environmental challenges, including land degradation, biodiversity loss, and air and water pollution. These impacts not only disrupt ecological balance but also affect the health and livelihoods of communities in mining regions (Singh &amp; Mishra, 2018). In response to growing global concerns regarding sustainability, there has been increasing pressure on industries to adopt environmentally responsible practices. CSR has emerged as an important framework through which companies can integrate social and environmental considerations into their operations (Carroll, 1991). In India, the enactment of the Companies Act has institutionalized CSR by mandating eligible firms to allocate a portion of their profits toward activities that promote social welfare and environmental sustainability </w:t>
      </w:r>
      <w:sdt>
        <w:sdtPr>
          <w:rPr>
            <w:rFonts w:ascii="Arial" w:hAnsi="Arial" w:cs="Arial"/>
          </w:rPr>
          <w:id w:val="-132407898"/>
          <w:citation/>
        </w:sdtPr>
        <w:sdtEndPr/>
        <w:sdtContent>
          <w:r w:rsidR="00F814A1">
            <w:rPr>
              <w:rFonts w:ascii="Arial" w:hAnsi="Arial" w:cs="Arial"/>
            </w:rPr>
            <w:fldChar w:fldCharType="begin"/>
          </w:r>
          <w:r w:rsidR="00F814A1">
            <w:rPr>
              <w:rFonts w:ascii="Arial" w:hAnsi="Arial" w:cs="Arial"/>
            </w:rPr>
            <w:instrText xml:space="preserve"> CITATION Gov13 \l 1033 </w:instrText>
          </w:r>
          <w:r w:rsidR="00F814A1">
            <w:rPr>
              <w:rFonts w:ascii="Arial" w:hAnsi="Arial" w:cs="Arial"/>
            </w:rPr>
            <w:fldChar w:fldCharType="separate"/>
          </w:r>
          <w:r w:rsidR="00F814A1" w:rsidRPr="00F814A1">
            <w:rPr>
              <w:rFonts w:ascii="Arial" w:hAnsi="Arial" w:cs="Arial"/>
              <w:noProof/>
            </w:rPr>
            <w:t>(India, 2013)</w:t>
          </w:r>
          <w:r w:rsidR="00F814A1">
            <w:rPr>
              <w:rFonts w:ascii="Arial" w:hAnsi="Arial" w:cs="Arial"/>
            </w:rPr>
            <w:fldChar w:fldCharType="end"/>
          </w:r>
        </w:sdtContent>
      </w:sdt>
      <w:r w:rsidR="00F814A1">
        <w:rPr>
          <w:rFonts w:ascii="Arial" w:hAnsi="Arial" w:cs="Arial"/>
        </w:rPr>
        <w:t xml:space="preserve">. </w:t>
      </w:r>
      <w:r w:rsidRPr="00444C47">
        <w:rPr>
          <w:rFonts w:ascii="Arial" w:hAnsi="Arial" w:cs="Arial"/>
        </w:rPr>
        <w:t xml:space="preserve">This regulatory framework has been particularly relevant for environmentally sensitive sectors such as mining, where CSR plays a crucial role in mitigating ecological impacts and promoting sustainable development </w:t>
      </w:r>
      <w:sdt>
        <w:sdtPr>
          <w:rPr>
            <w:rFonts w:ascii="Arial" w:hAnsi="Arial" w:cs="Arial"/>
          </w:rPr>
          <w:id w:val="273760729"/>
          <w:citation/>
        </w:sdtPr>
        <w:sdtEndPr/>
        <w:sdtContent>
          <w:r w:rsidR="00787281">
            <w:rPr>
              <w:rFonts w:ascii="Arial" w:hAnsi="Arial" w:cs="Arial"/>
            </w:rPr>
            <w:fldChar w:fldCharType="begin"/>
          </w:r>
          <w:r w:rsidR="00787281">
            <w:rPr>
              <w:rFonts w:ascii="Arial" w:hAnsi="Arial" w:cs="Arial"/>
            </w:rPr>
            <w:instrText xml:space="preserve"> CITATION Joh13 \l 1033 </w:instrText>
          </w:r>
          <w:r w:rsidR="00787281">
            <w:rPr>
              <w:rFonts w:ascii="Arial" w:hAnsi="Arial" w:cs="Arial"/>
            </w:rPr>
            <w:fldChar w:fldCharType="separate"/>
          </w:r>
          <w:r w:rsidR="00787281" w:rsidRPr="00787281">
            <w:rPr>
              <w:rFonts w:ascii="Arial" w:hAnsi="Arial" w:cs="Arial"/>
              <w:noProof/>
            </w:rPr>
            <w:t>(John R. Owen, 2013)</w:t>
          </w:r>
          <w:r w:rsidR="00787281">
            <w:rPr>
              <w:rFonts w:ascii="Arial" w:hAnsi="Arial" w:cs="Arial"/>
            </w:rPr>
            <w:fldChar w:fldCharType="end"/>
          </w:r>
        </w:sdtContent>
      </w:sdt>
      <w:r w:rsidR="00787281">
        <w:rPr>
          <w:rFonts w:ascii="Arial" w:hAnsi="Arial" w:cs="Arial"/>
        </w:rPr>
        <w:t>.</w:t>
      </w:r>
    </w:p>
    <w:p w14:paraId="2D855021" w14:textId="0227122A" w:rsidR="00252E72" w:rsidRPr="00444C47" w:rsidRDefault="00252E72" w:rsidP="00252E72">
      <w:pPr>
        <w:spacing w:line="360" w:lineRule="auto"/>
        <w:jc w:val="both"/>
        <w:rPr>
          <w:rFonts w:ascii="Arial" w:hAnsi="Arial" w:cs="Arial"/>
        </w:rPr>
      </w:pPr>
      <w:r w:rsidRPr="00444C47">
        <w:rPr>
          <w:rFonts w:ascii="Arial" w:hAnsi="Arial" w:cs="Arial"/>
        </w:rPr>
        <w:t xml:space="preserve">Existing literature suggests that mining companies have increasingly adopted CSR initiatives aimed at environmental conservation, including afforestation, land reclamation, pollution control, and water resource management </w:t>
      </w:r>
      <w:sdt>
        <w:sdtPr>
          <w:rPr>
            <w:rFonts w:ascii="Arial" w:hAnsi="Arial" w:cs="Arial"/>
          </w:rPr>
          <w:id w:val="-65259429"/>
          <w:citation/>
        </w:sdtPr>
        <w:sdtEndPr/>
        <w:sdtContent>
          <w:r w:rsidR="0096738B">
            <w:rPr>
              <w:rFonts w:ascii="Arial" w:hAnsi="Arial" w:cs="Arial"/>
            </w:rPr>
            <w:fldChar w:fldCharType="begin"/>
          </w:r>
          <w:r w:rsidR="0096738B">
            <w:rPr>
              <w:rFonts w:ascii="Arial" w:hAnsi="Arial" w:cs="Arial"/>
            </w:rPr>
            <w:instrText xml:space="preserve"> CITATION Hel06 \l 1033 </w:instrText>
          </w:r>
          <w:r w:rsidR="0096738B">
            <w:rPr>
              <w:rFonts w:ascii="Arial" w:hAnsi="Arial" w:cs="Arial"/>
            </w:rPr>
            <w:fldChar w:fldCharType="separate"/>
          </w:r>
          <w:r w:rsidR="0096738B" w:rsidRPr="0096738B">
            <w:rPr>
              <w:rFonts w:ascii="Arial" w:hAnsi="Arial" w:cs="Arial"/>
              <w:noProof/>
            </w:rPr>
            <w:t>(Heledd Jenkins, 2006)</w:t>
          </w:r>
          <w:r w:rsidR="0096738B">
            <w:rPr>
              <w:rFonts w:ascii="Arial" w:hAnsi="Arial" w:cs="Arial"/>
            </w:rPr>
            <w:fldChar w:fldCharType="end"/>
          </w:r>
        </w:sdtContent>
      </w:sdt>
      <w:r w:rsidR="0096738B">
        <w:rPr>
          <w:rFonts w:ascii="Arial" w:hAnsi="Arial" w:cs="Arial"/>
        </w:rPr>
        <w:t>.</w:t>
      </w:r>
      <w:r w:rsidRPr="00444C47">
        <w:rPr>
          <w:rFonts w:ascii="Arial" w:hAnsi="Arial" w:cs="Arial"/>
        </w:rPr>
        <w:t xml:space="preserve"> In the Indian context, studies indicate that CSR has contributed to improved environmental awareness and compliance; however, concerns remain regarding the effectiveness and long-term sustainability of these initiatives </w:t>
      </w:r>
      <w:sdt>
        <w:sdtPr>
          <w:rPr>
            <w:rFonts w:ascii="Arial" w:hAnsi="Arial" w:cs="Arial"/>
          </w:rPr>
          <w:id w:val="-2075573752"/>
          <w:citation/>
        </w:sdtPr>
        <w:sdtEndPr/>
        <w:sdtContent>
          <w:r w:rsidR="0096738B">
            <w:rPr>
              <w:rFonts w:ascii="Arial" w:hAnsi="Arial" w:cs="Arial"/>
            </w:rPr>
            <w:fldChar w:fldCharType="begin"/>
          </w:r>
          <w:r w:rsidR="0096738B">
            <w:rPr>
              <w:rFonts w:ascii="Arial" w:hAnsi="Arial" w:cs="Arial"/>
            </w:rPr>
            <w:instrText xml:space="preserve"> CITATION RSi10 \l 1033 </w:instrText>
          </w:r>
          <w:r w:rsidR="0096738B">
            <w:rPr>
              <w:rFonts w:ascii="Arial" w:hAnsi="Arial" w:cs="Arial"/>
            </w:rPr>
            <w:fldChar w:fldCharType="separate"/>
          </w:r>
          <w:r w:rsidR="0096738B" w:rsidRPr="0096738B">
            <w:rPr>
              <w:rFonts w:ascii="Arial" w:hAnsi="Arial" w:cs="Arial"/>
              <w:noProof/>
            </w:rPr>
            <w:t>(Singh, 2010)</w:t>
          </w:r>
          <w:r w:rsidR="0096738B">
            <w:rPr>
              <w:rFonts w:ascii="Arial" w:hAnsi="Arial" w:cs="Arial"/>
            </w:rPr>
            <w:fldChar w:fldCharType="end"/>
          </w:r>
        </w:sdtContent>
      </w:sdt>
      <w:r w:rsidRPr="00444C47">
        <w:rPr>
          <w:rFonts w:ascii="Arial" w:hAnsi="Arial" w:cs="Arial"/>
        </w:rPr>
        <w:t>. Recent research also highlights that the success of CSR programs depends on factors such as stakeholder engagement, transparency, and continuous monitoring (Kumar et al., 2020). Despite these insights, much of the existing research is either conceptual or lacks a detailed, context-specific evaluation of CSR practices in large public sector mining enterprises. In particular, there is limited empirical evidence assessing how environmental CSR initiatives translate into tangible sustainability outcomes at the regional level, thereby indicating a clear research gap.</w:t>
      </w:r>
    </w:p>
    <w:p w14:paraId="6E5FC8A5" w14:textId="77777777" w:rsidR="00252E72" w:rsidRPr="00444C47" w:rsidRDefault="00252E72" w:rsidP="00252E72">
      <w:pPr>
        <w:spacing w:line="360" w:lineRule="auto"/>
        <w:jc w:val="both"/>
        <w:rPr>
          <w:rFonts w:ascii="Arial" w:hAnsi="Arial" w:cs="Arial"/>
        </w:rPr>
      </w:pPr>
      <w:r w:rsidRPr="00444C47">
        <w:rPr>
          <w:rFonts w:ascii="Arial" w:hAnsi="Arial" w:cs="Arial"/>
        </w:rPr>
        <w:t>In this context, SECL a major subsidiary of Coal India Limited, represents a significant case for examining CSR-driven environmental practices in the mining sector. Operating primarily in the coal-rich regions of Chhattisgarh and Madhya Pradesh. SECL undertakes large-scale mining activities with substantial environmental implications (Ministry of Coal, 2024). To address these challenges, the company has implemented various CSR initiatives, including afforestation programs, mine land reclamation, water conservation measures, and pollution control strategies (SECL, 2023). Initiatives in key mining areas such as Gevra and Kusmunda illustrate efforts toward ecological restoration and sustainable resource management. Given its scale and environmental footprint, SECL provides a relevant context for evaluating the effectiveness and limitations of CSR interventions in mining regions.</w:t>
      </w:r>
    </w:p>
    <w:p w14:paraId="6BA146CB" w14:textId="77777777" w:rsidR="00252E72" w:rsidRPr="00444C47" w:rsidRDefault="00252E72" w:rsidP="00252E72">
      <w:pPr>
        <w:spacing w:line="360" w:lineRule="auto"/>
        <w:jc w:val="both"/>
        <w:rPr>
          <w:rFonts w:ascii="Arial" w:hAnsi="Arial" w:cs="Arial"/>
        </w:rPr>
      </w:pPr>
      <w:r w:rsidRPr="00444C47">
        <w:rPr>
          <w:rFonts w:ascii="Arial" w:hAnsi="Arial" w:cs="Arial"/>
        </w:rPr>
        <w:t>Against this background, the present study aims to examine the role of CSR in promoting environmental responsibility in the mining sector, with a specific focus on SECL. The study analyses major environmental CSR initiatives undertaken by the company and evaluates their effectiveness in addressing ecological challenges. By adopting a qualitative approach based on secondary data, the research contributes to the existing literature by providing a focused and critical assessment of CSR practices in a major public sector enterprise. The findings are expected to offer insights for improving the design and implementation of CSR strategies to enhance environmental sustainability in mining regions.</w:t>
      </w:r>
    </w:p>
    <w:p w14:paraId="72E23C79" w14:textId="77777777" w:rsidR="00790ADA" w:rsidRPr="00444C47" w:rsidRDefault="00790ADA" w:rsidP="00441B6F">
      <w:pPr>
        <w:pStyle w:val="Body"/>
        <w:spacing w:after="0"/>
        <w:rPr>
          <w:rFonts w:ascii="Arial" w:hAnsi="Arial" w:cs="Arial"/>
        </w:rPr>
      </w:pPr>
    </w:p>
    <w:p w14:paraId="6D1A7CCA" w14:textId="232940DD" w:rsidR="00252E72" w:rsidRDefault="00902823" w:rsidP="00252E72">
      <w:pPr>
        <w:spacing w:line="360" w:lineRule="auto"/>
        <w:jc w:val="both"/>
        <w:rPr>
          <w:rFonts w:ascii="Arial" w:hAnsi="Arial" w:cs="Arial"/>
          <w:b/>
          <w:bCs/>
          <w:sz w:val="22"/>
          <w:szCs w:val="22"/>
        </w:rPr>
      </w:pPr>
      <w:r w:rsidRPr="00444C47">
        <w:rPr>
          <w:rFonts w:ascii="Arial" w:hAnsi="Arial" w:cs="Arial"/>
          <w:b/>
          <w:bCs/>
          <w:sz w:val="22"/>
          <w:szCs w:val="22"/>
        </w:rPr>
        <w:t>2</w:t>
      </w:r>
      <w:r w:rsidR="00252E72" w:rsidRPr="00444C47">
        <w:rPr>
          <w:rFonts w:ascii="Arial" w:hAnsi="Arial" w:cs="Arial"/>
          <w:b/>
          <w:bCs/>
          <w:sz w:val="22"/>
          <w:szCs w:val="22"/>
        </w:rPr>
        <w:t>. LITERATURE REVIEW</w:t>
      </w:r>
    </w:p>
    <w:p w14:paraId="1A6C67EB" w14:textId="77777777" w:rsidR="004C0865" w:rsidRPr="004C0865" w:rsidRDefault="004C0865" w:rsidP="004C0865">
      <w:pPr>
        <w:spacing w:line="360" w:lineRule="auto"/>
        <w:jc w:val="both"/>
        <w:rPr>
          <w:rFonts w:ascii="Arial" w:hAnsi="Arial" w:cs="Arial"/>
          <w:lang w:val="en-IN"/>
        </w:rPr>
      </w:pPr>
      <w:r w:rsidRPr="004C0865">
        <w:rPr>
          <w:rFonts w:ascii="Arial" w:hAnsi="Arial" w:cs="Arial"/>
          <w:lang w:val="en-IN"/>
        </w:rPr>
        <w:t>The concept of Corporate Social Responsibility (CSR) has evolved into a significant framework for integrating environmental and social considerations into business operations, particularly in environmentally sensitive sectors such as mining. Early theoretical contributions by Carroll (1991) conceptualize CSR as a multidimensional construct encompassing economic, legal, ethical, and philanthropic responsibilities. This perspective is further supported by Freeman’s (1984) stakeholder theory, which emphasizes that organizations are accountable to a wide range of stakeholders, including local communities and the environment. Additionally, the Triple Bottom Line framework proposed by Elkington (1997) highlights the need to balance economic, social, and environmental performance, thereby reinforcing the relevance of sustainability-oriented CSR practices.</w:t>
      </w:r>
    </w:p>
    <w:p w14:paraId="4BDB7371" w14:textId="77777777" w:rsidR="004C0865" w:rsidRPr="004C0865" w:rsidRDefault="004C0865" w:rsidP="004C0865">
      <w:pPr>
        <w:spacing w:line="360" w:lineRule="auto"/>
        <w:jc w:val="both"/>
        <w:rPr>
          <w:rFonts w:ascii="Arial" w:hAnsi="Arial" w:cs="Arial"/>
          <w:lang w:val="en-IN"/>
        </w:rPr>
      </w:pPr>
      <w:r w:rsidRPr="004C0865">
        <w:rPr>
          <w:rFonts w:ascii="Arial" w:hAnsi="Arial" w:cs="Arial"/>
          <w:lang w:val="en-IN"/>
        </w:rPr>
        <w:t>In recent years, CSR has transitioned from a compliance-driven obligation to a more strategic and sustainability-oriented approach. Contemporary studies indicate that firms are increasingly embedding environmental responsibility into their core business strategies to achieve long-term value creation (Rahman &amp; Post, 2021; Jain &amp; Winner, 2022). More recent evidence suggests that CSR is now closely linked with Environmental, Social, and Governance (ESG) frameworks, which emphasize measurable sustainability outcomes and corporate accountability (Khan et al., 2023; World Bank, 2023). This shift reflects a growing recognition that environmental sustainability is not merely a regulatory requirement but a strategic necessity for organizational legitimacy and competitiveness.</w:t>
      </w:r>
    </w:p>
    <w:p w14:paraId="3CE8A46C" w14:textId="77777777" w:rsidR="004C0865" w:rsidRPr="004C0865" w:rsidRDefault="004C0865" w:rsidP="004C0865">
      <w:pPr>
        <w:spacing w:line="360" w:lineRule="auto"/>
        <w:jc w:val="both"/>
        <w:rPr>
          <w:rFonts w:ascii="Arial" w:hAnsi="Arial" w:cs="Arial"/>
          <w:lang w:val="en-IN"/>
        </w:rPr>
      </w:pPr>
      <w:r w:rsidRPr="004C0865">
        <w:rPr>
          <w:rFonts w:ascii="Arial" w:hAnsi="Arial" w:cs="Arial"/>
          <w:lang w:val="en-IN"/>
        </w:rPr>
        <w:t>Within the global mining sector, CSR has emerged as a critical mechanism to address environmental degradation caused by extraction activities. Earlier studies by Jenkins and Yakovleva (2006) highlighted the increasing importance of environmental disclosure and transparency in mining operations. Similarly, Kemp and Owen (2013) emphasized that effective CSR requires long-term stakeholder engagement and integration with core business processes. Building on this, recent studies demonstrate that mining companies are increasingly adopting advanced environmental management practices, including biodiversity conservation, land rehabilitation, and water sustainability initiatives (Sharma, 2019; Bice, 2019; Hilson, 2020).</w:t>
      </w:r>
    </w:p>
    <w:p w14:paraId="43F88C11" w14:textId="77777777" w:rsidR="004C0865" w:rsidRPr="004C0865" w:rsidRDefault="004C0865" w:rsidP="004C0865">
      <w:pPr>
        <w:spacing w:line="360" w:lineRule="auto"/>
        <w:jc w:val="both"/>
        <w:rPr>
          <w:rFonts w:ascii="Arial" w:hAnsi="Arial" w:cs="Arial"/>
          <w:lang w:val="en-IN"/>
        </w:rPr>
      </w:pPr>
      <w:r w:rsidRPr="004C0865">
        <w:rPr>
          <w:rFonts w:ascii="Arial" w:hAnsi="Arial" w:cs="Arial"/>
          <w:lang w:val="en-IN"/>
        </w:rPr>
        <w:t>More recent contributions further indicate that the effectiveness of CSR in mining is increasingly evaluated through outcome-based indicators such as ecological restoration, carbon reduction, and community well-being (Khan et al., 2023; Gupta &amp; Misra, 2024). These studies highlight a shift from activity-based CSR reporting toward impact-driven sustainability assessment, reflecting evolving global standards in responsible mining practices.</w:t>
      </w:r>
    </w:p>
    <w:p w14:paraId="312230EF" w14:textId="77777777" w:rsidR="004C0865" w:rsidRPr="004C0865" w:rsidRDefault="004C0865" w:rsidP="004C0865">
      <w:pPr>
        <w:spacing w:line="360" w:lineRule="auto"/>
        <w:jc w:val="both"/>
        <w:rPr>
          <w:rFonts w:ascii="Arial" w:hAnsi="Arial" w:cs="Arial"/>
          <w:lang w:val="en-IN"/>
        </w:rPr>
      </w:pPr>
      <w:r w:rsidRPr="004C0865">
        <w:rPr>
          <w:rFonts w:ascii="Arial" w:hAnsi="Arial" w:cs="Arial"/>
          <w:lang w:val="en-IN"/>
        </w:rPr>
        <w:t>In the Indian context, environmental challenges associated with mining are particularly acute due to large-scale land degradation, deforestation, and water resource depletion. Singh (2010) notes that mining operations significantly disrupt ecological systems, necessitating structured environmental interventions. The enactment of the Companies Act, 2013 has institutionalized CSR in India, mandating firms to allocate resources toward social and environmental development (Ministry of Corporate Affairs, 2013). Recent policy-oriented studies suggest that this regulatory framework has significantly improved CSR spending and reporting practices; however, concerns regarding effectiveness and accountability persist (Ministry of Coal, 2024; NITI Aayog, 2023).</w:t>
      </w:r>
    </w:p>
    <w:p w14:paraId="07BC029D" w14:textId="77777777" w:rsidR="004C0865" w:rsidRPr="004C0865" w:rsidRDefault="004C0865" w:rsidP="004C0865">
      <w:pPr>
        <w:spacing w:line="360" w:lineRule="auto"/>
        <w:jc w:val="both"/>
        <w:rPr>
          <w:rFonts w:ascii="Arial" w:hAnsi="Arial" w:cs="Arial"/>
          <w:lang w:val="en-IN"/>
        </w:rPr>
      </w:pPr>
      <w:r w:rsidRPr="004C0865">
        <w:rPr>
          <w:rFonts w:ascii="Arial" w:hAnsi="Arial" w:cs="Arial"/>
          <w:lang w:val="en-IN"/>
        </w:rPr>
        <w:t>Empirical studies on CSR effectiveness in the mining sector present mixed findings. While CSR initiatives have contributed to improvements in environmental awareness and resource management, their long-term sustainability remains uncertain. Kumar et al. (2020) emphasize that the effectiveness of CSR interventions depends on stakeholder participation, transparency, and continuous monitoring. Similarly, Singh and Mishra (2018) highlight that initiatives such as afforestation and land reclamation often face challenges related to low survival rates and inadequate maintenance.</w:t>
      </w:r>
    </w:p>
    <w:p w14:paraId="52BD06F1" w14:textId="77777777" w:rsidR="004C0865" w:rsidRPr="004C0865" w:rsidRDefault="004C0865" w:rsidP="004C0865">
      <w:pPr>
        <w:spacing w:line="360" w:lineRule="auto"/>
        <w:jc w:val="both"/>
        <w:rPr>
          <w:rFonts w:ascii="Arial" w:hAnsi="Arial" w:cs="Arial"/>
          <w:lang w:val="en-IN"/>
        </w:rPr>
      </w:pPr>
      <w:r w:rsidRPr="004C0865">
        <w:rPr>
          <w:rFonts w:ascii="Arial" w:hAnsi="Arial" w:cs="Arial"/>
          <w:lang w:val="en-IN"/>
        </w:rPr>
        <w:t>Recent studies further reinforce these concerns, indicating that CSR initiatives frequently remain input-oriented, focusing on expenditure rather than measurable environmental outcomes (Gupta &amp; Misra, 2024; World Bank, 2023). In addition, weak monitoring mechanisms and limited community engagement reduce the long-term impact of CSR interventions (Khan et al., 2023). These findings suggest that despite increased CSR investments, the translation of initiatives into tangible sustainability outcomes remains inconsistent.</w:t>
      </w:r>
    </w:p>
    <w:p w14:paraId="38C03773" w14:textId="77777777" w:rsidR="004C0865" w:rsidRPr="004C0865" w:rsidRDefault="004C0865" w:rsidP="004C0865">
      <w:pPr>
        <w:spacing w:line="360" w:lineRule="auto"/>
        <w:jc w:val="both"/>
        <w:rPr>
          <w:rFonts w:ascii="Arial" w:hAnsi="Arial" w:cs="Arial"/>
          <w:lang w:val="en-IN"/>
        </w:rPr>
      </w:pPr>
      <w:r w:rsidRPr="004C0865">
        <w:rPr>
          <w:rFonts w:ascii="Arial" w:hAnsi="Arial" w:cs="Arial"/>
          <w:lang w:val="en-IN"/>
        </w:rPr>
        <w:t>Another emerging concern in recent literature is the limited integration of CSR with core business strategies in extractive industries. Studies indicate that CSR activities are often implemented as peripheral or compliance-driven functions rather than being embedded within operational decision-making processes (Hilson, 2020; Bice, 2019). This lack of strategic integration constrains the transformative potential of CSR and limits its contribution to long-term environmental sustainability.</w:t>
      </w:r>
    </w:p>
    <w:p w14:paraId="411BFFD5" w14:textId="77777777" w:rsidR="004C0865" w:rsidRPr="004C0865" w:rsidRDefault="004C0865" w:rsidP="004C0865">
      <w:pPr>
        <w:spacing w:line="360" w:lineRule="auto"/>
        <w:jc w:val="both"/>
        <w:rPr>
          <w:rFonts w:ascii="Arial" w:hAnsi="Arial" w:cs="Arial"/>
          <w:lang w:val="en-IN"/>
        </w:rPr>
      </w:pPr>
      <w:r w:rsidRPr="004C0865">
        <w:rPr>
          <w:rFonts w:ascii="Arial" w:hAnsi="Arial" w:cs="Arial"/>
          <w:lang w:val="en-IN"/>
        </w:rPr>
        <w:t>Despite the growing body of literature, a significant research gap remains in terms of organization-specific and region-focused empirical analyses, particularly in large public sector mining enterprises. Much of the existing research is either conceptual or generalized, with limited focus on evaluating the actual environmental outcomes of CSR initiatives at the operational level. Recent reviews also emphasize the need for micro-level studies that assess the effectiveness of CSR interventions in specific geographical and institutional contexts (Gupta &amp; Misra, 2024; Khan et al., 2023).</w:t>
      </w:r>
    </w:p>
    <w:p w14:paraId="6A326C09" w14:textId="77777777" w:rsidR="004C0865" w:rsidRPr="004C0865" w:rsidRDefault="004C0865" w:rsidP="004C0865">
      <w:pPr>
        <w:spacing w:line="360" w:lineRule="auto"/>
        <w:jc w:val="both"/>
        <w:rPr>
          <w:rFonts w:ascii="Arial" w:hAnsi="Arial" w:cs="Arial"/>
          <w:lang w:val="en-IN"/>
        </w:rPr>
      </w:pPr>
      <w:r w:rsidRPr="004C0865">
        <w:rPr>
          <w:rFonts w:ascii="Arial" w:hAnsi="Arial" w:cs="Arial"/>
          <w:lang w:val="en-IN"/>
        </w:rPr>
        <w:t>Public sector enterprises such as South Eastern Coalfields Limited (SECL), a subsidiary of Coal India Limited, provide a relevant context for such analysis due to their extensive mining operations and significant environmental footprint. Available reports indicate that SECL has undertaken various environmental CSR initiatives, including afforestation, land reclamation, mine water utilization, and pollution control measures (SECL, 2023; Ministry of Coal, 2024). However, the extent to which these initiatives translate into measurable environmental sustainability outcomes remains insufficiently explored.</w:t>
      </w:r>
    </w:p>
    <w:p w14:paraId="2B67976C" w14:textId="77777777" w:rsidR="004C0865" w:rsidRPr="004C0865" w:rsidRDefault="004C0865" w:rsidP="004C0865">
      <w:pPr>
        <w:spacing w:line="360" w:lineRule="auto"/>
        <w:jc w:val="both"/>
        <w:rPr>
          <w:rFonts w:ascii="Arial" w:hAnsi="Arial" w:cs="Arial"/>
          <w:lang w:val="en-IN"/>
        </w:rPr>
      </w:pPr>
      <w:r w:rsidRPr="004C0865">
        <w:rPr>
          <w:rFonts w:ascii="Arial" w:hAnsi="Arial" w:cs="Arial"/>
          <w:lang w:val="en-IN"/>
        </w:rPr>
        <w:t>Overall, the literature suggests that CSR has the potential to play a transformative role in mitigating environmental challenges in the mining sector. However, its effectiveness remains uneven due to implementation gaps, limited outcome orientation, and insufficient stakeholder engagement. This highlights the need for a focused, organization-specific evaluation of CSR practices, thereby justifying the present study’s emphasis on SECL.</w:t>
      </w:r>
    </w:p>
    <w:p w14:paraId="49E2E87A" w14:textId="77777777" w:rsidR="00252E72" w:rsidRPr="00444C47" w:rsidRDefault="00000F8F" w:rsidP="00252E72">
      <w:pPr>
        <w:pStyle w:val="NormalWeb"/>
        <w:spacing w:line="360" w:lineRule="auto"/>
        <w:jc w:val="both"/>
        <w:rPr>
          <w:rFonts w:ascii="Arial" w:hAnsi="Arial" w:cs="Arial"/>
          <w:b/>
          <w:bCs/>
          <w:sz w:val="22"/>
          <w:szCs w:val="22"/>
        </w:rPr>
      </w:pPr>
      <w:r w:rsidRPr="00444C47">
        <w:rPr>
          <w:rFonts w:ascii="Arial" w:hAnsi="Arial" w:cs="Arial"/>
          <w:b/>
          <w:bCs/>
          <w:sz w:val="22"/>
          <w:szCs w:val="22"/>
        </w:rPr>
        <w:t>3</w:t>
      </w:r>
      <w:r w:rsidR="00902823" w:rsidRPr="00444C47">
        <w:rPr>
          <w:rFonts w:ascii="Arial" w:hAnsi="Arial" w:cs="Arial"/>
          <w:b/>
          <w:bCs/>
          <w:sz w:val="22"/>
          <w:szCs w:val="22"/>
        </w:rPr>
        <w:t xml:space="preserve">. </w:t>
      </w:r>
      <w:r w:rsidR="00252E72" w:rsidRPr="00444C47">
        <w:rPr>
          <w:rFonts w:ascii="Arial" w:hAnsi="Arial" w:cs="Arial"/>
          <w:b/>
          <w:bCs/>
          <w:sz w:val="22"/>
          <w:szCs w:val="22"/>
        </w:rPr>
        <w:t>THEORETICAL FRAMEWORK</w:t>
      </w:r>
    </w:p>
    <w:p w14:paraId="1EEE78F0" w14:textId="4F995F1E" w:rsidR="00252E72" w:rsidRPr="00444C47" w:rsidRDefault="00252E72" w:rsidP="00252E72">
      <w:pPr>
        <w:pStyle w:val="NormalWeb"/>
        <w:spacing w:line="360" w:lineRule="auto"/>
        <w:jc w:val="both"/>
        <w:rPr>
          <w:rFonts w:ascii="Arial" w:hAnsi="Arial" w:cs="Arial"/>
          <w:b/>
          <w:bCs/>
          <w:sz w:val="20"/>
          <w:szCs w:val="20"/>
        </w:rPr>
      </w:pPr>
      <w:r w:rsidRPr="00444C47">
        <w:rPr>
          <w:rFonts w:ascii="Arial" w:hAnsi="Arial" w:cs="Arial"/>
          <w:sz w:val="20"/>
          <w:szCs w:val="20"/>
        </w:rPr>
        <w:t>This study is grounded in established theories that explain corporate behaviour in relation to environmental responsibility and CSR. The integration of multiple theoretical perspectives strengthens the analytical depth and enhances the interpretative validity of the study.</w:t>
      </w:r>
    </w:p>
    <w:p w14:paraId="3DA24270" w14:textId="77777777" w:rsidR="00252E72" w:rsidRPr="00444C47" w:rsidRDefault="00252E72" w:rsidP="00252E72">
      <w:pPr>
        <w:spacing w:line="360" w:lineRule="auto"/>
        <w:jc w:val="both"/>
        <w:rPr>
          <w:rFonts w:ascii="Arial" w:hAnsi="Arial" w:cs="Arial"/>
        </w:rPr>
      </w:pPr>
      <w:r w:rsidRPr="00444C47">
        <w:rPr>
          <w:rFonts w:ascii="Arial" w:hAnsi="Arial" w:cs="Arial"/>
        </w:rPr>
        <w:t>Stakeholder Theory provides a foundational basis for understanding CSR practices. Proposed by R. Edward Freeman, this theory argues that organizations are accountable not only to shareholders but also to a broader set of stakeholders, including local communities, employees, regulators, and the environment. In the context of mining companies like SECL, stakeholder theory explains the need to undertake environmental initiatives such as afforestation, land reclamation, and pollution control to address the expectations of affected communities and regulatory bodies (Freeman, 1984). It emphasizes that long-term organizational sustainability depends on balancing diverse stakeholder interests rather than focusing solely on profit maximization.</w:t>
      </w:r>
    </w:p>
    <w:p w14:paraId="14DBA5D2" w14:textId="77777777" w:rsidR="00252E72" w:rsidRPr="00444C47" w:rsidRDefault="00252E72" w:rsidP="00252E72">
      <w:pPr>
        <w:spacing w:line="360" w:lineRule="auto"/>
        <w:jc w:val="both"/>
        <w:rPr>
          <w:rFonts w:ascii="Arial" w:hAnsi="Arial" w:cs="Arial"/>
        </w:rPr>
      </w:pPr>
      <w:r w:rsidRPr="00444C47">
        <w:rPr>
          <w:rFonts w:ascii="Arial" w:hAnsi="Arial" w:cs="Arial"/>
        </w:rPr>
        <w:t>Triple Bottom Line (TBL), introduced by John Elkington, extends the concept of corporate performance beyond financial outcomes to include social and environmental dimensions. The TBL framework is based on three pillars—economic, social, and environmental performance—often referred to as “profit, people, and planet” (Elkington, 1997). This approach is particularly relevant for evaluating CSR effectiveness in environmentally sensitive sectors such as coal mining, where companies are expected to generate economic value while simultaneously minimizing ecological damage and contributing to community welfare. In this study, TBL provides a comprehensive lens to assess SECL’s CSR initiatives in terms of environmental sustainability and social impact.</w:t>
      </w:r>
    </w:p>
    <w:p w14:paraId="497528AE" w14:textId="77777777" w:rsidR="00252E72" w:rsidRPr="00444C47" w:rsidRDefault="00252E72" w:rsidP="00252E72">
      <w:pPr>
        <w:spacing w:line="360" w:lineRule="auto"/>
        <w:jc w:val="both"/>
        <w:rPr>
          <w:rFonts w:ascii="Arial" w:hAnsi="Arial" w:cs="Arial"/>
        </w:rPr>
      </w:pPr>
      <w:r w:rsidRPr="00444C47">
        <w:rPr>
          <w:rFonts w:ascii="Arial" w:hAnsi="Arial" w:cs="Arial"/>
        </w:rPr>
        <w:t>Legitimacy Theory further supports the analysis by explaining why companies engage in CSR disclosures and environmental initiatives. According to Mark C. Suchman, organizations seek to ensure that their operations are perceived as legitimate within the norms and values of society (Suchman, 1995). In environmentally intensive industries, CSR activities such as environmental restoration and sustainability reporting serve as strategic tools to maintain social approval and reduce legitimacy gaps. For SECL, engaging in visible environmental CSR initiatives helps reinforce its public image and align its operations with societal expectations and regulatory requirements.</w:t>
      </w:r>
    </w:p>
    <w:p w14:paraId="2EA66850" w14:textId="77777777" w:rsidR="00252E72" w:rsidRPr="00444C47" w:rsidRDefault="00252E72" w:rsidP="00252E72">
      <w:pPr>
        <w:spacing w:line="360" w:lineRule="auto"/>
        <w:jc w:val="both"/>
        <w:rPr>
          <w:rFonts w:ascii="Arial" w:hAnsi="Arial" w:cs="Arial"/>
          <w:b/>
          <w:bCs/>
        </w:rPr>
      </w:pPr>
      <w:r w:rsidRPr="00444C47">
        <w:rPr>
          <w:rFonts w:ascii="Arial" w:hAnsi="Arial" w:cs="Arial"/>
        </w:rPr>
        <w:t>Collectively, these theories provide a robust conceptual foundation for analysing the environmental CSR practices of SECL. While Stakeholder Theory highlights accountability to diverse interest groups, the Triple Bottom Line framework enables multidimensional performance evaluation, and Legitimacy Theory explains the strategic motivations behind CSR engagement and disclosure.</w:t>
      </w:r>
    </w:p>
    <w:p w14:paraId="18DC9CA9" w14:textId="77777777" w:rsidR="00252E72" w:rsidRPr="00444C47" w:rsidRDefault="00252E72" w:rsidP="00441B6F">
      <w:pPr>
        <w:pStyle w:val="ConcHead"/>
        <w:spacing w:after="0"/>
        <w:jc w:val="both"/>
        <w:rPr>
          <w:rFonts w:ascii="Arial" w:hAnsi="Arial" w:cs="Arial"/>
        </w:rPr>
      </w:pPr>
    </w:p>
    <w:p w14:paraId="7E387F2E" w14:textId="0E5974A5" w:rsidR="00B01FCD" w:rsidRPr="00444C47" w:rsidRDefault="00000F8F" w:rsidP="00441B6F">
      <w:pPr>
        <w:pStyle w:val="ConcHead"/>
        <w:spacing w:after="0"/>
        <w:jc w:val="both"/>
        <w:rPr>
          <w:rFonts w:ascii="Arial" w:hAnsi="Arial" w:cs="Arial"/>
        </w:rPr>
      </w:pPr>
      <w:r w:rsidRPr="00444C47">
        <w:rPr>
          <w:rFonts w:ascii="Arial" w:hAnsi="Arial" w:cs="Arial"/>
        </w:rPr>
        <w:t xml:space="preserve">4. </w:t>
      </w:r>
      <w:r w:rsidR="00252E72" w:rsidRPr="00444C47">
        <w:rPr>
          <w:rFonts w:ascii="Arial" w:hAnsi="Arial" w:cs="Arial"/>
          <w:bCs/>
          <w:szCs w:val="22"/>
        </w:rPr>
        <w:t>Objectives of the Study</w:t>
      </w:r>
    </w:p>
    <w:p w14:paraId="5873F5DB" w14:textId="77777777" w:rsidR="00790ADA" w:rsidRPr="00444C47" w:rsidRDefault="00790ADA" w:rsidP="00441B6F">
      <w:pPr>
        <w:pStyle w:val="ConcHead"/>
        <w:spacing w:after="0"/>
        <w:jc w:val="both"/>
        <w:rPr>
          <w:rFonts w:ascii="Arial" w:hAnsi="Arial" w:cs="Arial"/>
        </w:rPr>
      </w:pPr>
    </w:p>
    <w:p w14:paraId="4359552F" w14:textId="77777777" w:rsidR="00252E72" w:rsidRPr="00444C47" w:rsidRDefault="00252E72" w:rsidP="00252E72">
      <w:pPr>
        <w:spacing w:line="360" w:lineRule="auto"/>
        <w:jc w:val="both"/>
        <w:rPr>
          <w:rFonts w:ascii="Arial" w:hAnsi="Arial" w:cs="Arial"/>
        </w:rPr>
      </w:pPr>
      <w:r w:rsidRPr="00444C47">
        <w:rPr>
          <w:rFonts w:ascii="Arial" w:hAnsi="Arial" w:cs="Arial"/>
        </w:rPr>
        <w:t>The study is based on the following objectives:</w:t>
      </w:r>
    </w:p>
    <w:p w14:paraId="5525C084" w14:textId="77777777" w:rsidR="00252E72" w:rsidRPr="00444C47" w:rsidRDefault="00252E72" w:rsidP="00252E72">
      <w:pPr>
        <w:pStyle w:val="ListParagraph"/>
        <w:numPr>
          <w:ilvl w:val="0"/>
          <w:numId w:val="32"/>
        </w:numPr>
        <w:spacing w:line="360" w:lineRule="auto"/>
        <w:jc w:val="both"/>
        <w:rPr>
          <w:rFonts w:ascii="Arial" w:hAnsi="Arial" w:cs="Arial"/>
          <w:sz w:val="20"/>
          <w:szCs w:val="20"/>
        </w:rPr>
      </w:pPr>
      <w:r w:rsidRPr="00444C47">
        <w:rPr>
          <w:rFonts w:ascii="Arial" w:hAnsi="Arial" w:cs="Arial"/>
          <w:sz w:val="20"/>
          <w:szCs w:val="20"/>
        </w:rPr>
        <w:t xml:space="preserve">To examine the conceptual linkage between CSR and environmental responsibility in the mining sector. </w:t>
      </w:r>
    </w:p>
    <w:p w14:paraId="24577CFE" w14:textId="77777777" w:rsidR="00252E72" w:rsidRPr="00444C47" w:rsidRDefault="00252E72" w:rsidP="00252E72">
      <w:pPr>
        <w:pStyle w:val="ListParagraph"/>
        <w:numPr>
          <w:ilvl w:val="0"/>
          <w:numId w:val="32"/>
        </w:numPr>
        <w:spacing w:line="360" w:lineRule="auto"/>
        <w:jc w:val="both"/>
        <w:rPr>
          <w:rFonts w:ascii="Arial" w:hAnsi="Arial" w:cs="Arial"/>
          <w:sz w:val="20"/>
          <w:szCs w:val="20"/>
        </w:rPr>
      </w:pPr>
      <w:r w:rsidRPr="00444C47">
        <w:rPr>
          <w:rFonts w:ascii="Arial" w:hAnsi="Arial" w:cs="Arial"/>
          <w:sz w:val="20"/>
          <w:szCs w:val="20"/>
        </w:rPr>
        <w:t xml:space="preserve">To analyse environmental CSR initiatives undertaken by SECL based on secondary data. </w:t>
      </w:r>
    </w:p>
    <w:p w14:paraId="4B62EB79" w14:textId="77777777" w:rsidR="00252E72" w:rsidRPr="00444C47" w:rsidRDefault="00252E72" w:rsidP="00252E72">
      <w:pPr>
        <w:pStyle w:val="ListParagraph"/>
        <w:numPr>
          <w:ilvl w:val="0"/>
          <w:numId w:val="32"/>
        </w:numPr>
        <w:spacing w:line="360" w:lineRule="auto"/>
        <w:jc w:val="both"/>
        <w:rPr>
          <w:rFonts w:ascii="Arial" w:hAnsi="Arial" w:cs="Arial"/>
          <w:sz w:val="20"/>
          <w:szCs w:val="20"/>
        </w:rPr>
      </w:pPr>
      <w:r w:rsidRPr="00444C47">
        <w:rPr>
          <w:rFonts w:ascii="Arial" w:hAnsi="Arial" w:cs="Arial"/>
          <w:sz w:val="20"/>
          <w:szCs w:val="20"/>
        </w:rPr>
        <w:t xml:space="preserve">To evaluate the effectiveness of these initiatives in promoting ecological restoration and sustainable resource management in mining regions. </w:t>
      </w:r>
    </w:p>
    <w:p w14:paraId="2CF05A93" w14:textId="77777777" w:rsidR="00252E72" w:rsidRPr="00444C47" w:rsidRDefault="00252E72" w:rsidP="00252E72">
      <w:pPr>
        <w:pStyle w:val="ListParagraph"/>
        <w:numPr>
          <w:ilvl w:val="0"/>
          <w:numId w:val="32"/>
        </w:numPr>
        <w:spacing w:line="360" w:lineRule="auto"/>
        <w:jc w:val="both"/>
        <w:rPr>
          <w:rFonts w:ascii="Arial" w:hAnsi="Arial" w:cs="Arial"/>
          <w:sz w:val="20"/>
          <w:szCs w:val="20"/>
        </w:rPr>
      </w:pPr>
      <w:r w:rsidRPr="00444C47">
        <w:rPr>
          <w:rFonts w:ascii="Arial" w:hAnsi="Arial" w:cs="Arial"/>
          <w:sz w:val="20"/>
          <w:szCs w:val="20"/>
        </w:rPr>
        <w:t xml:space="preserve">To identify key limitations in the implementation of CSR practices. </w:t>
      </w:r>
    </w:p>
    <w:p w14:paraId="1BCF762C" w14:textId="77777777" w:rsidR="00252E72" w:rsidRPr="00444C47" w:rsidRDefault="00252E72" w:rsidP="00252E72">
      <w:pPr>
        <w:pStyle w:val="ListParagraph"/>
        <w:numPr>
          <w:ilvl w:val="0"/>
          <w:numId w:val="32"/>
        </w:numPr>
        <w:spacing w:line="360" w:lineRule="auto"/>
        <w:jc w:val="both"/>
        <w:rPr>
          <w:rFonts w:ascii="Arial" w:hAnsi="Arial" w:cs="Arial"/>
          <w:sz w:val="20"/>
          <w:szCs w:val="20"/>
        </w:rPr>
      </w:pPr>
      <w:r w:rsidRPr="00444C47">
        <w:rPr>
          <w:rFonts w:ascii="Arial" w:hAnsi="Arial" w:cs="Arial"/>
          <w:sz w:val="20"/>
          <w:szCs w:val="20"/>
        </w:rPr>
        <w:t>To suggest strategic measures for enhancing the environmental sustainability of CSR interventions in the mining sector.</w:t>
      </w:r>
    </w:p>
    <w:p w14:paraId="6F4DB0EA" w14:textId="6E907A14" w:rsidR="00CF0F19" w:rsidRPr="00444C47" w:rsidRDefault="00CF0F19" w:rsidP="00CF0F19">
      <w:pPr>
        <w:spacing w:line="360" w:lineRule="auto"/>
        <w:jc w:val="both"/>
        <w:rPr>
          <w:rFonts w:ascii="Arial" w:hAnsi="Arial" w:cs="Arial"/>
          <w:b/>
          <w:bCs/>
          <w:sz w:val="22"/>
          <w:szCs w:val="22"/>
        </w:rPr>
      </w:pPr>
      <w:r w:rsidRPr="00444C47">
        <w:rPr>
          <w:rFonts w:ascii="Arial" w:hAnsi="Arial" w:cs="Arial"/>
          <w:b/>
          <w:bCs/>
          <w:sz w:val="22"/>
          <w:szCs w:val="22"/>
        </w:rPr>
        <w:t>5. METHODOLOGY</w:t>
      </w:r>
    </w:p>
    <w:p w14:paraId="73316506" w14:textId="1F17B9B3" w:rsidR="00CF0F19" w:rsidRPr="00444C47" w:rsidRDefault="00CF0F19" w:rsidP="00CF0F19">
      <w:pPr>
        <w:spacing w:line="360" w:lineRule="auto"/>
        <w:jc w:val="both"/>
        <w:rPr>
          <w:rFonts w:ascii="Arial" w:hAnsi="Arial" w:cs="Arial"/>
          <w:b/>
          <w:bCs/>
        </w:rPr>
      </w:pPr>
      <w:r w:rsidRPr="00444C47">
        <w:rPr>
          <w:rFonts w:ascii="Arial" w:hAnsi="Arial" w:cs="Arial"/>
        </w:rPr>
        <w:t>The study adopts a qualitative case study approach to examine the role of CSR in promoting environmental responsibility in the mining sector, with specific reference to SECL. The research is based entirely on secondary data collected from reliable sources, including SECL’s annual and CSR reports, government publications, and relevant academic literature. SECL has been purposively selected due to its significant environmental footprint and the availability of comprehensive data on its CSR initiatives. Key mining areas such as Gevra Coal Mine and Kusmunda Coal Mine are considered to provide contextual insights. The study employs qualitative content to evaluate CSR initiatives across major environmental dimensions, including afforestation, land reclamation, water management, pollution control, and community participation. The effectiveness of these initiatives is assessed based on criteria such as environmental impact, sustainability, stakeholder involvement, and transparency. To ensure reliability, data have been cross-verified across multiple sources. However, the study is limited by its reliance on secondary data and the absence of primary stakeholder perspectives.</w:t>
      </w:r>
    </w:p>
    <w:p w14:paraId="19A4AA65" w14:textId="77777777" w:rsidR="00CF0F19" w:rsidRPr="00444C47" w:rsidRDefault="00CF0F19" w:rsidP="00CF0F19">
      <w:pPr>
        <w:spacing w:line="360" w:lineRule="auto"/>
        <w:jc w:val="both"/>
        <w:rPr>
          <w:rFonts w:ascii="Arial" w:hAnsi="Arial" w:cs="Arial"/>
          <w:b/>
          <w:bCs/>
          <w:sz w:val="22"/>
          <w:szCs w:val="22"/>
        </w:rPr>
      </w:pPr>
    </w:p>
    <w:p w14:paraId="083D7620" w14:textId="34BB89DD" w:rsidR="00CF0F19" w:rsidRPr="00444C47" w:rsidRDefault="00CF0F19" w:rsidP="00CF0F19">
      <w:pPr>
        <w:spacing w:line="360" w:lineRule="auto"/>
        <w:jc w:val="both"/>
        <w:rPr>
          <w:rFonts w:ascii="Arial" w:hAnsi="Arial" w:cs="Arial"/>
          <w:b/>
          <w:bCs/>
          <w:sz w:val="22"/>
          <w:szCs w:val="22"/>
        </w:rPr>
      </w:pPr>
      <w:r w:rsidRPr="00444C47">
        <w:rPr>
          <w:rFonts w:ascii="Arial" w:hAnsi="Arial" w:cs="Arial"/>
          <w:b/>
          <w:bCs/>
          <w:sz w:val="22"/>
          <w:szCs w:val="22"/>
        </w:rPr>
        <w:t>6. ENVIRONMENTAL CSR PRACTICES OF SECL</w:t>
      </w:r>
    </w:p>
    <w:p w14:paraId="3F07018E" w14:textId="107508A2" w:rsidR="00CF0F19" w:rsidRPr="00444C47" w:rsidRDefault="00CF0F19" w:rsidP="00CF0F19">
      <w:pPr>
        <w:spacing w:line="360" w:lineRule="auto"/>
        <w:jc w:val="both"/>
        <w:rPr>
          <w:rFonts w:ascii="Arial" w:hAnsi="Arial" w:cs="Arial"/>
          <w:b/>
          <w:bCs/>
          <w:sz w:val="22"/>
          <w:szCs w:val="22"/>
        </w:rPr>
      </w:pPr>
      <w:r w:rsidRPr="00444C47">
        <w:rPr>
          <w:rFonts w:ascii="Arial" w:hAnsi="Arial" w:cs="Arial"/>
          <w:b/>
          <w:bCs/>
          <w:sz w:val="22"/>
          <w:szCs w:val="22"/>
        </w:rPr>
        <w:t>6.1 CSR AND ENVIRONMENTAL RESPONSIBILITY IN MINING</w:t>
      </w:r>
    </w:p>
    <w:p w14:paraId="103537F1" w14:textId="77777777" w:rsidR="00CF0F19" w:rsidRPr="00444C47" w:rsidRDefault="00CF0F19" w:rsidP="00CF0F19">
      <w:pPr>
        <w:spacing w:line="360" w:lineRule="auto"/>
        <w:jc w:val="both"/>
        <w:rPr>
          <w:rFonts w:ascii="Arial" w:hAnsi="Arial" w:cs="Arial"/>
          <w:b/>
          <w:bCs/>
        </w:rPr>
      </w:pPr>
      <w:r w:rsidRPr="00444C47">
        <w:rPr>
          <w:rFonts w:ascii="Arial" w:hAnsi="Arial" w:cs="Arial"/>
        </w:rPr>
        <w:t>The mining sector is widely associated with significant environmental challenges, including land degradation, biodiversity loss, and air and water pollution, which necessitate the integration of sustainable practices into industrial operations (Singh &amp; Mishra, 2018). In this context, CSR has emerged as a key mechanism for promoting environmental accountability and aligning business activities with sustainability objectives. The conceptual framework of CSR, as proposed by Archie B. Carroll (1991), emphasizes the integration of economic, legal, and ethical responsibilities, with environmental stewardship forming a critical component.</w:t>
      </w:r>
    </w:p>
    <w:p w14:paraId="64AFDA30" w14:textId="28B8AB45" w:rsidR="00CF0F19" w:rsidRPr="00444C47" w:rsidRDefault="00CF0F19" w:rsidP="00CF0F19">
      <w:pPr>
        <w:spacing w:line="360" w:lineRule="auto"/>
        <w:jc w:val="both"/>
        <w:rPr>
          <w:rFonts w:ascii="Arial" w:hAnsi="Arial" w:cs="Arial"/>
        </w:rPr>
      </w:pPr>
      <w:r w:rsidRPr="00444C47">
        <w:rPr>
          <w:rFonts w:ascii="Arial" w:hAnsi="Arial" w:cs="Arial"/>
        </w:rPr>
        <w:t>In India, the enactment of the Companies Act, 2013 has institutionalized CSR, encouraging firms in environmentally sensitive sectors such as mining to undertake structured initiatives for ecological conservation</w:t>
      </w:r>
      <w:r w:rsidR="00787281">
        <w:rPr>
          <w:rFonts w:ascii="Arial" w:hAnsi="Arial" w:cs="Arial"/>
        </w:rPr>
        <w:t xml:space="preserve"> </w:t>
      </w:r>
      <w:sdt>
        <w:sdtPr>
          <w:rPr>
            <w:rFonts w:ascii="Arial" w:hAnsi="Arial" w:cs="Arial"/>
          </w:rPr>
          <w:id w:val="-1453093219"/>
          <w:citation/>
        </w:sdtPr>
        <w:sdtEndPr/>
        <w:sdtContent>
          <w:r w:rsidR="00787281">
            <w:rPr>
              <w:rFonts w:ascii="Arial" w:hAnsi="Arial" w:cs="Arial"/>
            </w:rPr>
            <w:fldChar w:fldCharType="begin"/>
          </w:r>
          <w:r w:rsidR="00787281">
            <w:rPr>
              <w:rFonts w:ascii="Arial" w:hAnsi="Arial" w:cs="Arial"/>
            </w:rPr>
            <w:instrText xml:space="preserve"> CITATION Gov13 \l 1033 </w:instrText>
          </w:r>
          <w:r w:rsidR="00787281">
            <w:rPr>
              <w:rFonts w:ascii="Arial" w:hAnsi="Arial" w:cs="Arial"/>
            </w:rPr>
            <w:fldChar w:fldCharType="separate"/>
          </w:r>
          <w:r w:rsidR="00787281" w:rsidRPr="00F814A1">
            <w:rPr>
              <w:rFonts w:ascii="Arial" w:hAnsi="Arial" w:cs="Arial"/>
              <w:noProof/>
            </w:rPr>
            <w:t>(India, 2013)</w:t>
          </w:r>
          <w:r w:rsidR="00787281">
            <w:rPr>
              <w:rFonts w:ascii="Arial" w:hAnsi="Arial" w:cs="Arial"/>
            </w:rPr>
            <w:fldChar w:fldCharType="end"/>
          </w:r>
        </w:sdtContent>
      </w:sdt>
      <w:r w:rsidR="00787281">
        <w:rPr>
          <w:rFonts w:ascii="Arial" w:hAnsi="Arial" w:cs="Arial"/>
        </w:rPr>
        <w:t>.</w:t>
      </w:r>
      <w:r w:rsidRPr="00444C47">
        <w:rPr>
          <w:rFonts w:ascii="Arial" w:hAnsi="Arial" w:cs="Arial"/>
        </w:rPr>
        <w:t xml:space="preserve"> These initiatives typically include afforestation, mine land reclamation, water resource management, and pollution control, which collectively aim to mitigate the adverse environmental impacts of mining operations </w:t>
      </w:r>
      <w:sdt>
        <w:sdtPr>
          <w:rPr>
            <w:rFonts w:ascii="Arial" w:hAnsi="Arial" w:cs="Arial"/>
          </w:rPr>
          <w:id w:val="626356623"/>
          <w:citation/>
        </w:sdtPr>
        <w:sdtEndPr/>
        <w:sdtContent>
          <w:r w:rsidR="0096738B">
            <w:rPr>
              <w:rFonts w:ascii="Arial" w:hAnsi="Arial" w:cs="Arial"/>
            </w:rPr>
            <w:fldChar w:fldCharType="begin"/>
          </w:r>
          <w:r w:rsidR="0096738B">
            <w:rPr>
              <w:rFonts w:ascii="Arial" w:hAnsi="Arial" w:cs="Arial"/>
            </w:rPr>
            <w:instrText xml:space="preserve"> CITATION Hel06 \l 1033 </w:instrText>
          </w:r>
          <w:r w:rsidR="0096738B">
            <w:rPr>
              <w:rFonts w:ascii="Arial" w:hAnsi="Arial" w:cs="Arial"/>
            </w:rPr>
            <w:fldChar w:fldCharType="separate"/>
          </w:r>
          <w:r w:rsidR="0096738B" w:rsidRPr="0096738B">
            <w:rPr>
              <w:rFonts w:ascii="Arial" w:hAnsi="Arial" w:cs="Arial"/>
              <w:noProof/>
            </w:rPr>
            <w:t>(Heledd Jenkins, 2006)</w:t>
          </w:r>
          <w:r w:rsidR="0096738B">
            <w:rPr>
              <w:rFonts w:ascii="Arial" w:hAnsi="Arial" w:cs="Arial"/>
            </w:rPr>
            <w:fldChar w:fldCharType="end"/>
          </w:r>
        </w:sdtContent>
      </w:sdt>
      <w:r w:rsidR="0096738B">
        <w:rPr>
          <w:rFonts w:ascii="Arial" w:hAnsi="Arial" w:cs="Arial"/>
        </w:rPr>
        <w:t>;</w:t>
      </w:r>
      <w:r w:rsidRPr="00444C47">
        <w:rPr>
          <w:rFonts w:ascii="Arial" w:hAnsi="Arial" w:cs="Arial"/>
        </w:rPr>
        <w:t xml:space="preserve"> </w:t>
      </w:r>
      <w:r w:rsidR="0096738B">
        <w:rPr>
          <w:rFonts w:ascii="Arial" w:hAnsi="Arial" w:cs="Arial"/>
        </w:rPr>
        <w:t>(</w:t>
      </w:r>
      <w:r w:rsidRPr="00444C47">
        <w:rPr>
          <w:rFonts w:ascii="Arial" w:hAnsi="Arial" w:cs="Arial"/>
        </w:rPr>
        <w:t>Kumar et al., 2020).</w:t>
      </w:r>
    </w:p>
    <w:p w14:paraId="495241C6" w14:textId="10B68750" w:rsidR="00CF0F19" w:rsidRPr="00444C47" w:rsidRDefault="00CF0F19" w:rsidP="00CF0F19">
      <w:pPr>
        <w:spacing w:line="360" w:lineRule="auto"/>
        <w:jc w:val="both"/>
        <w:rPr>
          <w:rFonts w:ascii="Arial" w:hAnsi="Arial" w:cs="Arial"/>
        </w:rPr>
      </w:pPr>
      <w:r w:rsidRPr="00444C47">
        <w:rPr>
          <w:rFonts w:ascii="Arial" w:hAnsi="Arial" w:cs="Arial"/>
        </w:rPr>
        <w:t xml:space="preserve">However, existing studies indicate that the effectiveness of environmental CSR initiatives remains uneven. Challenges such as inadequate monitoring, low survival rates of plantations, and limited stakeholder participation often constrain long-term sustainability outcomes (Kumar et al., 2020; Singh &amp; Mishra, 2018). Furthermore, CSR activities are sometimes implemented as peripheral obligations rather than being integrated into core business strategies, thereby limiting their transformative potential </w:t>
      </w:r>
      <w:sdt>
        <w:sdtPr>
          <w:rPr>
            <w:rFonts w:ascii="Arial" w:hAnsi="Arial" w:cs="Arial"/>
          </w:rPr>
          <w:id w:val="1137150325"/>
          <w:citation/>
        </w:sdtPr>
        <w:sdtEndPr/>
        <w:sdtContent>
          <w:r w:rsidR="009D1D7B">
            <w:rPr>
              <w:rFonts w:ascii="Arial" w:hAnsi="Arial" w:cs="Arial"/>
            </w:rPr>
            <w:fldChar w:fldCharType="begin"/>
          </w:r>
          <w:r w:rsidR="009D1D7B">
            <w:rPr>
              <w:rFonts w:ascii="Arial" w:hAnsi="Arial" w:cs="Arial"/>
            </w:rPr>
            <w:instrText xml:space="preserve"> CITATION Joh13 \l 1033 </w:instrText>
          </w:r>
          <w:r w:rsidR="009D1D7B">
            <w:rPr>
              <w:rFonts w:ascii="Arial" w:hAnsi="Arial" w:cs="Arial"/>
            </w:rPr>
            <w:fldChar w:fldCharType="separate"/>
          </w:r>
          <w:r w:rsidR="009D1D7B" w:rsidRPr="00787281">
            <w:rPr>
              <w:rFonts w:ascii="Arial" w:hAnsi="Arial" w:cs="Arial"/>
              <w:noProof/>
            </w:rPr>
            <w:t>(John R. Owen, 2013)</w:t>
          </w:r>
          <w:r w:rsidR="009D1D7B">
            <w:rPr>
              <w:rFonts w:ascii="Arial" w:hAnsi="Arial" w:cs="Arial"/>
            </w:rPr>
            <w:fldChar w:fldCharType="end"/>
          </w:r>
        </w:sdtContent>
      </w:sdt>
      <w:r w:rsidR="009D1D7B">
        <w:rPr>
          <w:rFonts w:ascii="Arial" w:hAnsi="Arial" w:cs="Arial"/>
        </w:rPr>
        <w:t>.</w:t>
      </w:r>
    </w:p>
    <w:p w14:paraId="73B216B4" w14:textId="77777777" w:rsidR="00CF0F19" w:rsidRPr="00444C47" w:rsidRDefault="00CF0F19" w:rsidP="00CF0F19">
      <w:pPr>
        <w:spacing w:line="360" w:lineRule="auto"/>
        <w:jc w:val="both"/>
        <w:rPr>
          <w:rFonts w:ascii="Arial" w:hAnsi="Arial" w:cs="Arial"/>
        </w:rPr>
      </w:pPr>
      <w:r w:rsidRPr="00444C47">
        <w:rPr>
          <w:rFonts w:ascii="Arial" w:hAnsi="Arial" w:cs="Arial"/>
        </w:rPr>
        <w:t>Overall, while CSR provides a valuable framework for addressing environmental challenges in the mining sector, its success depends on strategic implementation, continuous monitoring, and active stakeholder engagement. This underscores the need for organization-specific evaluations to better understand the practical impact of CSR initiatives on environmental sustainability.</w:t>
      </w:r>
    </w:p>
    <w:p w14:paraId="5B0BC0C6" w14:textId="77777777" w:rsidR="00CF0F19" w:rsidRPr="00444C47" w:rsidRDefault="00CF0F19" w:rsidP="00CF0F19">
      <w:pPr>
        <w:spacing w:line="360" w:lineRule="auto"/>
        <w:jc w:val="both"/>
        <w:rPr>
          <w:rFonts w:ascii="Arial" w:hAnsi="Arial" w:cs="Arial"/>
          <w:b/>
          <w:bCs/>
          <w:sz w:val="22"/>
          <w:szCs w:val="22"/>
        </w:rPr>
      </w:pPr>
    </w:p>
    <w:p w14:paraId="279D493B" w14:textId="0790048F" w:rsidR="00CF0F19" w:rsidRPr="00444C47" w:rsidRDefault="00CF0F19" w:rsidP="00CF0F19">
      <w:pPr>
        <w:spacing w:line="360" w:lineRule="auto"/>
        <w:jc w:val="both"/>
        <w:rPr>
          <w:rFonts w:ascii="Arial" w:hAnsi="Arial" w:cs="Arial"/>
          <w:b/>
          <w:bCs/>
          <w:sz w:val="22"/>
          <w:szCs w:val="22"/>
        </w:rPr>
      </w:pPr>
      <w:r w:rsidRPr="00444C47">
        <w:rPr>
          <w:rFonts w:ascii="Arial" w:hAnsi="Arial" w:cs="Arial"/>
          <w:b/>
          <w:bCs/>
          <w:sz w:val="22"/>
          <w:szCs w:val="22"/>
        </w:rPr>
        <w:t>6.2 KEY ENVIRONMENTAL CSR INITIATIVES BY SECL</w:t>
      </w:r>
    </w:p>
    <w:p w14:paraId="580F34C6" w14:textId="77777777" w:rsidR="00CF0F19" w:rsidRPr="00444C47" w:rsidRDefault="00CF0F19" w:rsidP="00CF0F19">
      <w:pPr>
        <w:spacing w:line="360" w:lineRule="auto"/>
        <w:jc w:val="both"/>
        <w:rPr>
          <w:rFonts w:ascii="Arial" w:hAnsi="Arial" w:cs="Arial"/>
        </w:rPr>
      </w:pPr>
      <w:r w:rsidRPr="00444C47">
        <w:rPr>
          <w:rFonts w:ascii="Arial" w:hAnsi="Arial" w:cs="Arial"/>
        </w:rPr>
        <w:t>Environmental sustainability has emerged as a critical priority for mining enterprises, particularly in ecologically sensitive regions where extraction activities generate significant environmental externalities. In this context, SECL has undertaken a range of structured CSR initiatives aimed at mitigating environmental degradation and promoting ecological restoration across its operational areas. These initiatives reflect an increasing alignment with regulatory expectations under the Companies Act, 2013 and broader sustainability goals in the mining sector.</w:t>
      </w:r>
    </w:p>
    <w:p w14:paraId="5A686FB0" w14:textId="77777777" w:rsidR="00CF0F19" w:rsidRPr="00444C47" w:rsidRDefault="00CF0F19" w:rsidP="00CF0F19">
      <w:pPr>
        <w:spacing w:line="360" w:lineRule="auto"/>
        <w:jc w:val="both"/>
        <w:rPr>
          <w:rFonts w:ascii="Arial" w:hAnsi="Arial" w:cs="Arial"/>
        </w:rPr>
      </w:pPr>
      <w:r w:rsidRPr="00444C47">
        <w:rPr>
          <w:rFonts w:ascii="Arial" w:hAnsi="Arial" w:cs="Arial"/>
        </w:rPr>
        <w:t>One of the most prominent environmental interventions by SECL is large-scale afforestation and green belt development. The company has undertaken extensive plantation drives in mined-out areas, overburden dumps, and surrounding communities to restore vegetation cover and improve ecological balance. The use of native species and long-term plantation planning has contributed to soil stabilization, carbon sequestration, and improvement in local air quality. However, existing evidence suggests that the long-term effectiveness of such initiatives depends significantly on post-plantation maintenance and monitoring mechanisms (Singh &amp; Mishra, 2018).</w:t>
      </w:r>
    </w:p>
    <w:p w14:paraId="73919205" w14:textId="77777777" w:rsidR="00CF0F19" w:rsidRPr="00444C47" w:rsidRDefault="00CF0F19" w:rsidP="00CF0F19">
      <w:pPr>
        <w:spacing w:line="360" w:lineRule="auto"/>
        <w:jc w:val="both"/>
        <w:rPr>
          <w:rFonts w:ascii="Arial" w:hAnsi="Arial" w:cs="Arial"/>
        </w:rPr>
      </w:pPr>
      <w:r w:rsidRPr="00444C47">
        <w:rPr>
          <w:rFonts w:ascii="Arial" w:hAnsi="Arial" w:cs="Arial"/>
        </w:rPr>
        <w:t>In addition to afforestation, SECL has implemented systematic land reclamation and mine closure practices to address the issue of degraded landscapes resulting from mining activities. Reclamation efforts involve scientific levelling of overburden dumps, application of topsoil, and subsequent vegetation development to restore land usability and ecological function. In several instances, reclaimed land has been converted into green spaces or water bodies, thereby contributing to both environmental restoration and community utility (Ministry of Coal, 2024).</w:t>
      </w:r>
    </w:p>
    <w:p w14:paraId="329BB6EA" w14:textId="77777777" w:rsidR="00CF0F19" w:rsidRPr="00444C47" w:rsidRDefault="00CF0F19" w:rsidP="00CF0F19">
      <w:pPr>
        <w:spacing w:line="360" w:lineRule="auto"/>
        <w:jc w:val="both"/>
        <w:rPr>
          <w:rFonts w:ascii="Arial" w:hAnsi="Arial" w:cs="Arial"/>
        </w:rPr>
      </w:pPr>
      <w:r w:rsidRPr="00444C47">
        <w:rPr>
          <w:rFonts w:ascii="Arial" w:hAnsi="Arial" w:cs="Arial"/>
        </w:rPr>
        <w:t>Water resource management constitutes another key dimension of SECL’s environmental CSR strategy. Mining operations often exert pressure on local water systems; in response, SECL has adopted measures such as rainwater harvesting, treatment of mine water, and construction of reservoirs for storage and reuse. The utilization of treated mine water for irrigation and domestic purposes in nearby communities reflects a shift toward resource efficiency and sustainable water governance (SECL, 2023).</w:t>
      </w:r>
    </w:p>
    <w:p w14:paraId="1AC4F478" w14:textId="77777777" w:rsidR="00CF0F19" w:rsidRPr="00444C47" w:rsidRDefault="00CF0F19" w:rsidP="00CF0F19">
      <w:pPr>
        <w:spacing w:line="360" w:lineRule="auto"/>
        <w:jc w:val="both"/>
        <w:rPr>
          <w:rFonts w:ascii="Arial" w:hAnsi="Arial" w:cs="Arial"/>
        </w:rPr>
      </w:pPr>
      <w:r w:rsidRPr="00444C47">
        <w:rPr>
          <w:rFonts w:ascii="Arial" w:hAnsi="Arial" w:cs="Arial"/>
        </w:rPr>
        <w:t>Furthermore, SECL has introduced various pollution control mechanisms to mitigate air and dust pollution associated with coal mining. These include water sprinkling on haul roads, deployment of dust suppression technologies, and development of green belts around mining sites. Such measures have contributed to localized improvements in air quality and reduced environmental health risks.</w:t>
      </w:r>
    </w:p>
    <w:p w14:paraId="10E361AF" w14:textId="4AC12B75" w:rsidR="00CF0F19" w:rsidRPr="00444C47" w:rsidRDefault="00CF0F19" w:rsidP="00CF0F19">
      <w:pPr>
        <w:spacing w:line="360" w:lineRule="auto"/>
        <w:jc w:val="both"/>
        <w:rPr>
          <w:rFonts w:ascii="Arial" w:hAnsi="Arial" w:cs="Arial"/>
        </w:rPr>
      </w:pPr>
      <w:r w:rsidRPr="00444C47">
        <w:rPr>
          <w:rFonts w:ascii="Arial" w:hAnsi="Arial" w:cs="Arial"/>
        </w:rPr>
        <w:t>Beyond technical interventions, SECL has also emphasized community-oriented environmental awareness programs. These initiatives aim to enhance local participation in sustainability practices through plantation drives, environmental education, and awareness campaigns. However, the literature indicates that the effectiveness of CSR initiatives in the mining sector is closely linked to the depth of stakeholder engagement and transparency in implementation (Kumar et al., 2020</w:t>
      </w:r>
      <w:r w:rsidR="00C57F23">
        <w:rPr>
          <w:rFonts w:ascii="Arial" w:hAnsi="Arial" w:cs="Arial"/>
        </w:rPr>
        <w:t>)</w:t>
      </w:r>
      <w:r w:rsidRPr="00444C47">
        <w:rPr>
          <w:rFonts w:ascii="Arial" w:hAnsi="Arial" w:cs="Arial"/>
        </w:rPr>
        <w:t xml:space="preserve">; </w:t>
      </w:r>
      <w:sdt>
        <w:sdtPr>
          <w:rPr>
            <w:rFonts w:ascii="Arial" w:hAnsi="Arial" w:cs="Arial"/>
          </w:rPr>
          <w:id w:val="1928228548"/>
          <w:citation/>
        </w:sdtPr>
        <w:sdtEndPr/>
        <w:sdtContent>
          <w:r w:rsidR="00C57F23">
            <w:rPr>
              <w:rFonts w:ascii="Arial" w:hAnsi="Arial" w:cs="Arial"/>
            </w:rPr>
            <w:fldChar w:fldCharType="begin"/>
          </w:r>
          <w:r w:rsidR="00C57F23">
            <w:rPr>
              <w:rFonts w:ascii="Arial" w:hAnsi="Arial" w:cs="Arial"/>
            </w:rPr>
            <w:instrText xml:space="preserve"> CITATION Joh13 \l 1033 </w:instrText>
          </w:r>
          <w:r w:rsidR="00C57F23">
            <w:rPr>
              <w:rFonts w:ascii="Arial" w:hAnsi="Arial" w:cs="Arial"/>
            </w:rPr>
            <w:fldChar w:fldCharType="separate"/>
          </w:r>
          <w:r w:rsidR="00C57F23" w:rsidRPr="00787281">
            <w:rPr>
              <w:rFonts w:ascii="Arial" w:hAnsi="Arial" w:cs="Arial"/>
              <w:noProof/>
            </w:rPr>
            <w:t>(John R. Owen, 2013)</w:t>
          </w:r>
          <w:r w:rsidR="00C57F23">
            <w:rPr>
              <w:rFonts w:ascii="Arial" w:hAnsi="Arial" w:cs="Arial"/>
            </w:rPr>
            <w:fldChar w:fldCharType="end"/>
          </w:r>
        </w:sdtContent>
      </w:sdt>
      <w:r w:rsidR="00C57F23">
        <w:rPr>
          <w:rFonts w:ascii="Arial" w:hAnsi="Arial" w:cs="Arial"/>
        </w:rPr>
        <w:t>.</w:t>
      </w:r>
    </w:p>
    <w:p w14:paraId="7E2731FD" w14:textId="77777777" w:rsidR="00CF0F19" w:rsidRPr="00444C47" w:rsidRDefault="00CF0F19" w:rsidP="00CF0F19">
      <w:pPr>
        <w:spacing w:line="360" w:lineRule="auto"/>
        <w:jc w:val="both"/>
        <w:rPr>
          <w:rFonts w:ascii="Arial" w:hAnsi="Arial" w:cs="Arial"/>
        </w:rPr>
      </w:pPr>
      <w:r w:rsidRPr="00444C47">
        <w:rPr>
          <w:rFonts w:ascii="Arial" w:hAnsi="Arial" w:cs="Arial"/>
        </w:rPr>
        <w:t>Overall, SECL’s environmental CSR initiatives demonstrate a comprehensive approach encompassing ecological restoration, resource management, and pollution control. While these efforts indicate a positive shift toward sustainable mining practices, their long-term impact remains contingent upon continuous monitoring, improved survival rates of plantations, and stronger integration of community participation within the CSR framework.</w:t>
      </w:r>
    </w:p>
    <w:p w14:paraId="4F1E8D5F" w14:textId="77777777" w:rsidR="00CF0F19" w:rsidRPr="00444C47" w:rsidRDefault="00CF0F19" w:rsidP="00CF0F19">
      <w:pPr>
        <w:spacing w:line="360" w:lineRule="auto"/>
        <w:jc w:val="both"/>
        <w:rPr>
          <w:rFonts w:ascii="Times New Roman" w:hAnsi="Times New Roman"/>
          <w:b/>
          <w:bCs/>
          <w:sz w:val="24"/>
          <w:szCs w:val="24"/>
        </w:rPr>
      </w:pPr>
    </w:p>
    <w:p w14:paraId="36A975B8" w14:textId="19959545" w:rsidR="00CF0F19" w:rsidRPr="00444C47" w:rsidRDefault="00CF0F19" w:rsidP="00CF0F19">
      <w:pPr>
        <w:spacing w:line="360" w:lineRule="auto"/>
        <w:jc w:val="both"/>
        <w:rPr>
          <w:rFonts w:ascii="Arial" w:hAnsi="Arial" w:cs="Arial"/>
          <w:b/>
          <w:bCs/>
        </w:rPr>
      </w:pPr>
      <w:r w:rsidRPr="00444C47">
        <w:rPr>
          <w:rFonts w:ascii="Arial" w:hAnsi="Arial" w:cs="Arial"/>
          <w:b/>
          <w:bCs/>
        </w:rPr>
        <w:t xml:space="preserve">Table 1: </w:t>
      </w:r>
      <w:r w:rsidR="00C9719B" w:rsidRPr="00C9719B">
        <w:rPr>
          <w:rFonts w:ascii="Arial" w:hAnsi="Arial" w:cs="Arial"/>
          <w:b/>
          <w:bCs/>
        </w:rPr>
        <w:t>Environmental CSR Initiatives of SECL—Activities, Outcomes, and Implementation Challenges</w:t>
      </w:r>
    </w:p>
    <w:tbl>
      <w:tblPr>
        <w:tblStyle w:val="TableGrid"/>
        <w:tblW w:w="0" w:type="auto"/>
        <w:tblLook w:val="04A0" w:firstRow="1" w:lastRow="0" w:firstColumn="1" w:lastColumn="0" w:noHBand="0" w:noVBand="1"/>
      </w:tblPr>
      <w:tblGrid>
        <w:gridCol w:w="1938"/>
        <w:gridCol w:w="2192"/>
        <w:gridCol w:w="2018"/>
        <w:gridCol w:w="2050"/>
      </w:tblGrid>
      <w:tr w:rsidR="00CF0F19" w:rsidRPr="00444C47" w14:paraId="0D3948A7" w14:textId="77777777" w:rsidTr="00C9719B">
        <w:tc>
          <w:tcPr>
            <w:tcW w:w="1938" w:type="dxa"/>
          </w:tcPr>
          <w:p w14:paraId="1E15DB67" w14:textId="77777777" w:rsidR="00CF0F19" w:rsidRPr="00444C47" w:rsidRDefault="00CF0F19" w:rsidP="00385F01">
            <w:pPr>
              <w:spacing w:line="276" w:lineRule="auto"/>
              <w:jc w:val="center"/>
              <w:rPr>
                <w:rFonts w:ascii="Arial" w:hAnsi="Arial" w:cs="Arial"/>
                <w:b/>
                <w:bCs/>
                <w:color w:val="0D0D0D"/>
                <w:sz w:val="20"/>
                <w:szCs w:val="20"/>
              </w:rPr>
            </w:pPr>
            <w:r w:rsidRPr="00444C47">
              <w:rPr>
                <w:rFonts w:ascii="Arial" w:hAnsi="Arial" w:cs="Arial"/>
                <w:b/>
                <w:bCs/>
                <w:color w:val="0D0D0D"/>
                <w:sz w:val="20"/>
                <w:szCs w:val="20"/>
              </w:rPr>
              <w:t>CSR Dimension</w:t>
            </w:r>
          </w:p>
          <w:p w14:paraId="478EC3CD" w14:textId="77777777" w:rsidR="00CF0F19" w:rsidRPr="00444C47" w:rsidRDefault="00CF0F19" w:rsidP="00385F01">
            <w:pPr>
              <w:spacing w:line="276" w:lineRule="auto"/>
              <w:jc w:val="center"/>
              <w:rPr>
                <w:rFonts w:ascii="Arial" w:hAnsi="Arial" w:cs="Arial"/>
                <w:sz w:val="20"/>
                <w:szCs w:val="20"/>
              </w:rPr>
            </w:pPr>
          </w:p>
        </w:tc>
        <w:tc>
          <w:tcPr>
            <w:tcW w:w="2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9719B" w:rsidRPr="00C9719B" w14:paraId="226CB8FD" w14:textId="77777777">
              <w:trPr>
                <w:tblCellSpacing w:w="15" w:type="dxa"/>
              </w:trPr>
              <w:tc>
                <w:tcPr>
                  <w:tcW w:w="0" w:type="auto"/>
                  <w:vAlign w:val="center"/>
                  <w:hideMark/>
                </w:tcPr>
                <w:p w14:paraId="7D618D0A" w14:textId="77777777" w:rsidR="00C9719B" w:rsidRPr="00C9719B" w:rsidRDefault="00C9719B" w:rsidP="00C9719B">
                  <w:pPr>
                    <w:spacing w:line="276" w:lineRule="auto"/>
                    <w:jc w:val="center"/>
                    <w:rPr>
                      <w:rFonts w:ascii="Arial" w:eastAsia="Calibri" w:hAnsi="Arial" w:cs="Arial"/>
                      <w:b/>
                      <w:bCs/>
                      <w:lang w:val="en-IN"/>
                    </w:rPr>
                  </w:pPr>
                </w:p>
              </w:tc>
            </w:tr>
          </w:tbl>
          <w:p w14:paraId="40017B3B" w14:textId="77777777" w:rsidR="00C9719B" w:rsidRPr="00C9719B" w:rsidRDefault="00C9719B" w:rsidP="00C9719B">
            <w:pPr>
              <w:spacing w:line="276" w:lineRule="auto"/>
              <w:jc w:val="center"/>
              <w:rPr>
                <w:rFonts w:ascii="Arial" w:hAnsi="Arial" w:cs="Arial"/>
                <w:b/>
                <w:bCs/>
                <w:vanish/>
                <w:lang w:val="en-IN"/>
              </w:rPr>
            </w:pPr>
          </w:p>
          <w:p w14:paraId="490B71AE" w14:textId="77777777" w:rsidR="00C9719B" w:rsidRDefault="00C9719B" w:rsidP="00C9719B">
            <w:pPr>
              <w:spacing w:line="276" w:lineRule="auto"/>
              <w:rPr>
                <w:rFonts w:ascii="Arial" w:hAnsi="Arial" w:cs="Arial"/>
                <w:b/>
                <w:bCs/>
                <w:sz w:val="20"/>
                <w:szCs w:val="20"/>
              </w:rPr>
            </w:pPr>
            <w:r w:rsidRPr="00C9719B">
              <w:rPr>
                <w:rFonts w:ascii="Arial" w:hAnsi="Arial" w:cs="Arial"/>
                <w:b/>
                <w:bCs/>
                <w:sz w:val="20"/>
                <w:szCs w:val="20"/>
              </w:rPr>
              <w:t>Key</w:t>
            </w:r>
          </w:p>
          <w:p w14:paraId="4AFA70F4" w14:textId="035AAF80" w:rsidR="00CF0F19" w:rsidRPr="00C9719B" w:rsidRDefault="00C9719B" w:rsidP="00C9719B">
            <w:pPr>
              <w:spacing w:line="276" w:lineRule="auto"/>
              <w:rPr>
                <w:rFonts w:ascii="Arial" w:hAnsi="Arial" w:cs="Arial"/>
                <w:b/>
                <w:bCs/>
                <w:sz w:val="20"/>
                <w:szCs w:val="20"/>
              </w:rPr>
            </w:pPr>
            <w:r w:rsidRPr="00C9719B">
              <w:rPr>
                <w:rFonts w:ascii="Arial" w:hAnsi="Arial" w:cs="Arial"/>
                <w:b/>
                <w:bCs/>
                <w:sz w:val="20"/>
                <w:szCs w:val="20"/>
              </w:rPr>
              <w:t>Initiatives/Activities</w:t>
            </w:r>
          </w:p>
        </w:tc>
        <w:tc>
          <w:tcPr>
            <w:tcW w:w="2018" w:type="dxa"/>
          </w:tcPr>
          <w:p w14:paraId="04CC268C" w14:textId="23177879" w:rsidR="00CF0F19" w:rsidRPr="00444C47" w:rsidRDefault="00C9719B" w:rsidP="00385F01">
            <w:pPr>
              <w:spacing w:line="276" w:lineRule="auto"/>
              <w:jc w:val="center"/>
              <w:rPr>
                <w:rFonts w:ascii="Arial" w:hAnsi="Arial" w:cs="Arial"/>
                <w:b/>
                <w:bCs/>
                <w:color w:val="0D0D0D"/>
                <w:sz w:val="20"/>
                <w:szCs w:val="20"/>
              </w:rPr>
            </w:pPr>
            <w:r w:rsidRPr="00C9719B">
              <w:rPr>
                <w:rFonts w:ascii="Arial" w:hAnsi="Arial" w:cs="Arial"/>
                <w:b/>
                <w:bCs/>
                <w:color w:val="0D0D0D"/>
                <w:sz w:val="20"/>
                <w:szCs w:val="20"/>
              </w:rPr>
              <w:t>Intended Environmental Outcomes</w:t>
            </w:r>
          </w:p>
          <w:p w14:paraId="26EF7D89" w14:textId="77777777" w:rsidR="00CF0F19" w:rsidRPr="00444C47" w:rsidRDefault="00CF0F19" w:rsidP="00385F01">
            <w:pPr>
              <w:spacing w:line="276" w:lineRule="auto"/>
              <w:jc w:val="center"/>
              <w:rPr>
                <w:rFonts w:ascii="Arial" w:hAnsi="Arial" w:cs="Arial"/>
                <w:sz w:val="20"/>
                <w:szCs w:val="20"/>
              </w:rPr>
            </w:pPr>
          </w:p>
        </w:tc>
        <w:tc>
          <w:tcPr>
            <w:tcW w:w="2050" w:type="dxa"/>
          </w:tcPr>
          <w:p w14:paraId="4CAFBED8" w14:textId="4BABFD55" w:rsidR="00CF0F19" w:rsidRPr="00444C47" w:rsidRDefault="00C9719B" w:rsidP="00385F01">
            <w:pPr>
              <w:spacing w:line="276" w:lineRule="auto"/>
              <w:jc w:val="center"/>
              <w:rPr>
                <w:rFonts w:ascii="Arial" w:hAnsi="Arial" w:cs="Arial"/>
                <w:b/>
                <w:bCs/>
                <w:sz w:val="20"/>
                <w:szCs w:val="20"/>
              </w:rPr>
            </w:pPr>
            <w:r w:rsidRPr="00C9719B">
              <w:rPr>
                <w:rFonts w:ascii="Arial" w:hAnsi="Arial" w:cs="Arial"/>
                <w:b/>
                <w:bCs/>
                <w:sz w:val="20"/>
                <w:szCs w:val="20"/>
              </w:rPr>
              <w:t>Implementation Challenges / Limitations</w:t>
            </w:r>
          </w:p>
        </w:tc>
      </w:tr>
      <w:tr w:rsidR="00CF0F19" w:rsidRPr="00444C47" w14:paraId="14F478F9" w14:textId="77777777" w:rsidTr="00C9719B">
        <w:tc>
          <w:tcPr>
            <w:tcW w:w="1938" w:type="dxa"/>
          </w:tcPr>
          <w:p w14:paraId="69A4DC86" w14:textId="3044A2D1"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Afforestation and Green Belt Development</w:t>
            </w:r>
          </w:p>
        </w:tc>
        <w:tc>
          <w:tcPr>
            <w:tcW w:w="2192" w:type="dxa"/>
          </w:tcPr>
          <w:p w14:paraId="74ACE0CF" w14:textId="1BDA2F08"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Large-scale plantation drives; development of green belts using native species; plantation on overburden dumps and reclaimed land</w:t>
            </w:r>
          </w:p>
        </w:tc>
        <w:tc>
          <w:tcPr>
            <w:tcW w:w="2018" w:type="dxa"/>
          </w:tcPr>
          <w:p w14:paraId="27396720" w14:textId="438FF26B"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Restoration of vegetation cover; enhancement of biodiversity; carbon sequestration; improvement in air quality</w:t>
            </w:r>
          </w:p>
        </w:tc>
        <w:tc>
          <w:tcPr>
            <w:tcW w:w="2050" w:type="dxa"/>
          </w:tcPr>
          <w:p w14:paraId="60360F43" w14:textId="6621EFDA"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Low survival rates of saplings; inadequate post-plantation maintenance; weak long-term monitoring mechanisms</w:t>
            </w:r>
          </w:p>
        </w:tc>
      </w:tr>
      <w:tr w:rsidR="00CF0F19" w:rsidRPr="00444C47" w14:paraId="7AAA36CC" w14:textId="77777777" w:rsidTr="00C9719B">
        <w:tc>
          <w:tcPr>
            <w:tcW w:w="1938" w:type="dxa"/>
          </w:tcPr>
          <w:p w14:paraId="01D1B710" w14:textId="5C75A6BB"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Land Reclamation and Mine Closure</w:t>
            </w:r>
          </w:p>
        </w:tc>
        <w:tc>
          <w:tcPr>
            <w:tcW w:w="2192" w:type="dxa"/>
          </w:tcPr>
          <w:p w14:paraId="656882AE" w14:textId="26E4DAC3"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Scientific levelling of overburden dumps; application of topsoil; biological reclamation; conversion of mined-out land into green spaces or water bodies</w:t>
            </w:r>
          </w:p>
        </w:tc>
        <w:tc>
          <w:tcPr>
            <w:tcW w:w="201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F0F19" w:rsidRPr="00444C47" w14:paraId="04FE7FAD" w14:textId="77777777" w:rsidTr="00385F01">
              <w:trPr>
                <w:tblCellSpacing w:w="15" w:type="dxa"/>
              </w:trPr>
              <w:tc>
                <w:tcPr>
                  <w:tcW w:w="0" w:type="auto"/>
                  <w:vAlign w:val="center"/>
                  <w:hideMark/>
                </w:tcPr>
                <w:p w14:paraId="756A2AF2" w14:textId="77777777" w:rsidR="00CF0F19" w:rsidRPr="00444C47" w:rsidRDefault="00CF0F19" w:rsidP="00385F01">
                  <w:pPr>
                    <w:spacing w:line="276" w:lineRule="auto"/>
                    <w:jc w:val="center"/>
                    <w:rPr>
                      <w:rFonts w:ascii="Arial" w:hAnsi="Arial" w:cs="Arial"/>
                    </w:rPr>
                  </w:pPr>
                </w:p>
              </w:tc>
            </w:tr>
          </w:tbl>
          <w:p w14:paraId="3274C9C5" w14:textId="77777777" w:rsidR="00CF0F19" w:rsidRPr="00444C47" w:rsidRDefault="00CF0F19" w:rsidP="00385F01">
            <w:pPr>
              <w:spacing w:line="276" w:lineRule="auto"/>
              <w:jc w:val="center"/>
              <w:rPr>
                <w:rFonts w:ascii="Arial" w:hAnsi="Arial" w:cs="Arial"/>
                <w:vanish/>
                <w:sz w:val="20"/>
                <w:szCs w:val="20"/>
              </w:rPr>
            </w:pPr>
          </w:p>
          <w:p w14:paraId="0819D5AA" w14:textId="5CDC0936"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Restoration of land usability; stabilization of degraded landscapes; ecological regeneration</w:t>
            </w:r>
          </w:p>
        </w:tc>
        <w:tc>
          <w:tcPr>
            <w:tcW w:w="2050" w:type="dxa"/>
          </w:tcPr>
          <w:p w14:paraId="62268431" w14:textId="1BA2A5B6"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Long gestation period for ecological recovery; need for continuous monitoring; risk of incomplete restoration</w:t>
            </w:r>
          </w:p>
        </w:tc>
      </w:tr>
      <w:tr w:rsidR="00CF0F19" w:rsidRPr="00444C47" w14:paraId="4F09D180" w14:textId="77777777" w:rsidTr="00C9719B">
        <w:tc>
          <w:tcPr>
            <w:tcW w:w="1938" w:type="dxa"/>
          </w:tcPr>
          <w:p w14:paraId="6F0518A2" w14:textId="2A6CF131"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Water Resource Management</w:t>
            </w:r>
          </w:p>
        </w:tc>
        <w:tc>
          <w:tcPr>
            <w:tcW w:w="2192" w:type="dxa"/>
          </w:tcPr>
          <w:p w14:paraId="318EE7AD" w14:textId="32607811"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Rainwater harvesting; treatment and reuse of min</w:t>
            </w:r>
            <w:r w:rsidR="008329FB">
              <w:rPr>
                <w:rFonts w:ascii="Arial" w:hAnsi="Arial" w:cs="Arial"/>
                <w:sz w:val="20"/>
                <w:szCs w:val="20"/>
              </w:rPr>
              <w:t>ing</w:t>
            </w:r>
            <w:r w:rsidRPr="00C9719B">
              <w:rPr>
                <w:rFonts w:ascii="Arial" w:hAnsi="Arial" w:cs="Arial"/>
                <w:sz w:val="20"/>
                <w:szCs w:val="20"/>
              </w:rPr>
              <w:t xml:space="preserve"> water; construction of reservoirs and water storage systems</w:t>
            </w:r>
          </w:p>
        </w:tc>
        <w:tc>
          <w:tcPr>
            <w:tcW w:w="2018" w:type="dxa"/>
          </w:tcPr>
          <w:p w14:paraId="525AB62E" w14:textId="3135F6B4"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Conservation of water resources; improved water availability for local communities; promotion of resource efficiency</w:t>
            </w:r>
          </w:p>
        </w:tc>
        <w:tc>
          <w:tcPr>
            <w:tcW w:w="2050" w:type="dxa"/>
          </w:tcPr>
          <w:p w14:paraId="7D0BF6D9" w14:textId="63B9F568"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Infrastructure constraints; maintenance of treatment facilities; inadequate water quality monitoring</w:t>
            </w:r>
          </w:p>
        </w:tc>
      </w:tr>
      <w:tr w:rsidR="00CF0F19" w:rsidRPr="00444C47" w14:paraId="3E864F78" w14:textId="77777777" w:rsidTr="00C9719B">
        <w:tc>
          <w:tcPr>
            <w:tcW w:w="1938" w:type="dxa"/>
          </w:tcPr>
          <w:p w14:paraId="46B70047" w14:textId="27A1F4B1" w:rsidR="00CF0F19" w:rsidRPr="00444C47" w:rsidRDefault="00C9719B" w:rsidP="00C9719B">
            <w:pPr>
              <w:spacing w:line="276" w:lineRule="auto"/>
              <w:jc w:val="center"/>
              <w:rPr>
                <w:rFonts w:ascii="Arial" w:hAnsi="Arial" w:cs="Arial"/>
                <w:sz w:val="20"/>
                <w:szCs w:val="20"/>
              </w:rPr>
            </w:pPr>
            <w:r w:rsidRPr="00C9719B">
              <w:rPr>
                <w:rFonts w:ascii="Arial" w:hAnsi="Arial" w:cs="Arial"/>
                <w:sz w:val="20"/>
                <w:szCs w:val="20"/>
              </w:rPr>
              <w:t>Pollution Control Measures</w:t>
            </w:r>
          </w:p>
        </w:tc>
        <w:tc>
          <w:tcPr>
            <w:tcW w:w="2192" w:type="dxa"/>
          </w:tcPr>
          <w:p w14:paraId="75928965" w14:textId="6B73F663"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Water sprinkling on haul roads; deployment of dust suppression systems; development of green buffers around mining sites</w:t>
            </w:r>
          </w:p>
        </w:tc>
        <w:tc>
          <w:tcPr>
            <w:tcW w:w="2018" w:type="dxa"/>
          </w:tcPr>
          <w:p w14:paraId="11ADCD39" w14:textId="4B5CAB27"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Reduction in air and dust pollution; improvement in local air quality; mitigation of health risks</w:t>
            </w:r>
          </w:p>
        </w:tc>
        <w:tc>
          <w:tcPr>
            <w:tcW w:w="2050" w:type="dxa"/>
          </w:tcPr>
          <w:p w14:paraId="53A6BBFA" w14:textId="4945E3FA"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Inconsistent implementation; operational constraints; dependence on continuous monitoring and enforcement</w:t>
            </w:r>
          </w:p>
        </w:tc>
      </w:tr>
      <w:tr w:rsidR="00CF0F19" w:rsidRPr="00444C47" w14:paraId="308C25B9" w14:textId="77777777" w:rsidTr="00C9719B">
        <w:tc>
          <w:tcPr>
            <w:tcW w:w="1938" w:type="dxa"/>
          </w:tcPr>
          <w:p w14:paraId="41A38CC7" w14:textId="6A34458F"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Community Participation and Environmental Awareness</w:t>
            </w:r>
          </w:p>
        </w:tc>
        <w:tc>
          <w:tcPr>
            <w:tcW w:w="2192" w:type="dxa"/>
          </w:tcPr>
          <w:p w14:paraId="3A5C947F" w14:textId="260BE9FF"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Environmental awareness campaigns; community-based plantation drives; educational initiatives on sustainability</w:t>
            </w:r>
          </w:p>
        </w:tc>
        <w:tc>
          <w:tcPr>
            <w:tcW w:w="2018" w:type="dxa"/>
          </w:tcPr>
          <w:p w14:paraId="0CB99CB0" w14:textId="0F795221"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Increased environmental awareness; promotion of participatory sustainability practices; strengthening of community engagement</w:t>
            </w:r>
          </w:p>
        </w:tc>
        <w:tc>
          <w:tcPr>
            <w:tcW w:w="2050" w:type="dxa"/>
          </w:tcPr>
          <w:p w14:paraId="47BCC987" w14:textId="456EF92F" w:rsidR="00CF0F19" w:rsidRPr="00444C47" w:rsidRDefault="00C9719B" w:rsidP="00385F01">
            <w:pPr>
              <w:spacing w:line="276" w:lineRule="auto"/>
              <w:jc w:val="center"/>
              <w:rPr>
                <w:rFonts w:ascii="Arial" w:hAnsi="Arial" w:cs="Arial"/>
                <w:sz w:val="20"/>
                <w:szCs w:val="20"/>
              </w:rPr>
            </w:pPr>
            <w:r w:rsidRPr="00C9719B">
              <w:rPr>
                <w:rFonts w:ascii="Arial" w:hAnsi="Arial" w:cs="Arial"/>
                <w:sz w:val="20"/>
                <w:szCs w:val="20"/>
              </w:rPr>
              <w:t>Limited stakeholder participation; top-down implementation approach; lack of sustained community involvement</w:t>
            </w:r>
          </w:p>
        </w:tc>
      </w:tr>
    </w:tbl>
    <w:p w14:paraId="40CD6009" w14:textId="0B8FF058" w:rsidR="00CF0F19" w:rsidRPr="00444C47" w:rsidRDefault="00CF0F19" w:rsidP="00CF0F19">
      <w:pPr>
        <w:spacing w:line="360" w:lineRule="auto"/>
        <w:jc w:val="both"/>
        <w:rPr>
          <w:rFonts w:ascii="Arial" w:hAnsi="Arial" w:cs="Arial"/>
          <w:i/>
          <w:iCs/>
        </w:rPr>
      </w:pPr>
      <w:r w:rsidRPr="00444C47">
        <w:rPr>
          <w:rFonts w:ascii="Arial" w:hAnsi="Arial" w:cs="Arial"/>
          <w:i/>
          <w:iCs/>
        </w:rPr>
        <w:t>Source: Compiled by author</w:t>
      </w:r>
    </w:p>
    <w:p w14:paraId="50A4C7AE" w14:textId="77777777" w:rsidR="00110A95" w:rsidRPr="00444C47" w:rsidRDefault="00110A95" w:rsidP="00317F11">
      <w:pPr>
        <w:spacing w:line="360" w:lineRule="auto"/>
        <w:jc w:val="both"/>
        <w:rPr>
          <w:rFonts w:ascii="Arial" w:hAnsi="Arial" w:cs="Arial"/>
          <w:b/>
          <w:bCs/>
          <w:sz w:val="22"/>
          <w:szCs w:val="22"/>
        </w:rPr>
      </w:pPr>
    </w:p>
    <w:p w14:paraId="0DF6AD16" w14:textId="032229A8" w:rsidR="00317F11" w:rsidRPr="00444C47" w:rsidRDefault="00317F11" w:rsidP="00317F11">
      <w:pPr>
        <w:spacing w:line="360" w:lineRule="auto"/>
        <w:jc w:val="both"/>
        <w:rPr>
          <w:rFonts w:ascii="Arial" w:hAnsi="Arial" w:cs="Arial"/>
          <w:b/>
          <w:bCs/>
          <w:sz w:val="22"/>
          <w:szCs w:val="22"/>
        </w:rPr>
      </w:pPr>
      <w:r w:rsidRPr="00444C47">
        <w:rPr>
          <w:rFonts w:ascii="Arial" w:hAnsi="Arial" w:cs="Arial"/>
          <w:b/>
          <w:bCs/>
          <w:sz w:val="22"/>
          <w:szCs w:val="22"/>
        </w:rPr>
        <w:t>6.3 CASE STUDIES OF SECL’S ENVIRONMENTAL CSR INITIATIVES</w:t>
      </w:r>
    </w:p>
    <w:p w14:paraId="4B5AD6F8"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Case Study 1: Afforestation and Ecological Restoration in Mining Areas</w:t>
      </w:r>
    </w:p>
    <w:p w14:paraId="76F5C7D9" w14:textId="77777777" w:rsidR="00317F11" w:rsidRPr="00444C47" w:rsidRDefault="00317F11" w:rsidP="00317F11">
      <w:pPr>
        <w:spacing w:line="360" w:lineRule="auto"/>
        <w:jc w:val="both"/>
        <w:rPr>
          <w:rFonts w:ascii="Arial" w:hAnsi="Arial" w:cs="Arial"/>
        </w:rPr>
      </w:pPr>
      <w:r w:rsidRPr="00444C47">
        <w:rPr>
          <w:rFonts w:ascii="Arial" w:hAnsi="Arial" w:cs="Arial"/>
        </w:rPr>
        <w:t>Large-scale coal mining operations typically result in deforestation, soil degradation, and biodiversity loss, necessitating systematic ecological restoration measures. In response, SECL has implemented extensive afforestation and green belt development programs across its operational regions, particularly in reclaimed mine lands and overburden dump areas. These initiatives involve plantation drives using native and site-specific species to enhance ecological compatibility and improve survival rates.</w:t>
      </w:r>
    </w:p>
    <w:p w14:paraId="4E00D547" w14:textId="77777777" w:rsidR="00317F11" w:rsidRPr="00444C47" w:rsidRDefault="00317F11" w:rsidP="00317F11">
      <w:pPr>
        <w:spacing w:line="360" w:lineRule="auto"/>
        <w:jc w:val="both"/>
        <w:rPr>
          <w:rFonts w:ascii="Arial" w:hAnsi="Arial" w:cs="Arial"/>
        </w:rPr>
      </w:pPr>
      <w:r w:rsidRPr="00444C47">
        <w:rPr>
          <w:rFonts w:ascii="Arial" w:hAnsi="Arial" w:cs="Arial"/>
        </w:rPr>
        <w:t>According to company disclosures, SECL has planted millions of saplings as part of its long-term environmental management strategy, with plantation activities integrated into mine closure and land reclamation plans (SECL, 2023). In addition to restoring vegetation cover, green belt development around mining zones contributes to dust mitigation, micro-climatic regulation, and carbon sequestration (Ministry of Coal, 2024).</w:t>
      </w:r>
    </w:p>
    <w:p w14:paraId="1102F1F7" w14:textId="77777777" w:rsidR="00317F11" w:rsidRPr="00444C47" w:rsidRDefault="00317F11" w:rsidP="00317F11">
      <w:pPr>
        <w:spacing w:line="360" w:lineRule="auto"/>
        <w:jc w:val="both"/>
        <w:rPr>
          <w:rFonts w:ascii="Arial" w:hAnsi="Arial" w:cs="Arial"/>
        </w:rPr>
      </w:pPr>
      <w:r w:rsidRPr="00444C47">
        <w:rPr>
          <w:rFonts w:ascii="Arial" w:hAnsi="Arial" w:cs="Arial"/>
        </w:rPr>
        <w:t>However, the effectiveness of afforestation initiatives is contingent upon sustained post-plantation care, including irrigation, soil management, and protection against external disturbances. Empirical studies indicate that plantation success in mining regions is often constrained by poor soil quality and inadequate monitoring systems, leading to variable survival rates (Singh &amp; Mishra, 2018). Thus, while SECL’s afforestation efforts demonstrate a strong commitment to ecological restoration, their long-term sustainability depends on continuous monitoring and maintenance mechanisms.</w:t>
      </w:r>
    </w:p>
    <w:p w14:paraId="39095D28"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Case Study 2: Mine Closure and Land Reclamation Practices</w:t>
      </w:r>
    </w:p>
    <w:p w14:paraId="3747ABDC" w14:textId="77777777" w:rsidR="00317F11" w:rsidRPr="00444C47" w:rsidRDefault="00317F11" w:rsidP="00317F11">
      <w:pPr>
        <w:spacing w:line="360" w:lineRule="auto"/>
        <w:jc w:val="both"/>
        <w:rPr>
          <w:rFonts w:ascii="Arial" w:hAnsi="Arial" w:cs="Arial"/>
        </w:rPr>
      </w:pPr>
      <w:r w:rsidRPr="00444C47">
        <w:rPr>
          <w:rFonts w:ascii="Arial" w:hAnsi="Arial" w:cs="Arial"/>
        </w:rPr>
        <w:t>Mining activities frequently leave behind degraded landscapes, including overburden dumps and exhausted pits that are unsuitable for productive use. To address this challenge, SECL has adopted structured mine closure and land reclamation practices aimed at restoring ecological balance and land usability.</w:t>
      </w:r>
    </w:p>
    <w:p w14:paraId="5398F914" w14:textId="77777777" w:rsidR="00317F11" w:rsidRPr="00444C47" w:rsidRDefault="00317F11" w:rsidP="00317F11">
      <w:pPr>
        <w:spacing w:line="360" w:lineRule="auto"/>
        <w:jc w:val="both"/>
        <w:rPr>
          <w:rFonts w:ascii="Arial" w:hAnsi="Arial" w:cs="Arial"/>
        </w:rPr>
      </w:pPr>
      <w:r w:rsidRPr="00444C47">
        <w:rPr>
          <w:rFonts w:ascii="Arial" w:hAnsi="Arial" w:cs="Arial"/>
        </w:rPr>
        <w:t>These reclamation efforts involve scientific levelling of overburden dumps, application of topsoil, and subsequent plantation to stabilize the land and facilitate ecological recovery. In several instances, reclaimed areas have been transformed into green spaces, forestry zones, or water reservoirs, thereby contributing to both environmental restoration and community utility (Ministry of Coal, 2024).</w:t>
      </w:r>
    </w:p>
    <w:p w14:paraId="2E984C28" w14:textId="77777777" w:rsidR="00317F11" w:rsidRPr="00444C47" w:rsidRDefault="00317F11" w:rsidP="00317F11">
      <w:pPr>
        <w:spacing w:line="360" w:lineRule="auto"/>
        <w:jc w:val="both"/>
        <w:rPr>
          <w:rFonts w:ascii="Arial" w:hAnsi="Arial" w:cs="Arial"/>
        </w:rPr>
      </w:pPr>
      <w:r w:rsidRPr="00444C47">
        <w:rPr>
          <w:rFonts w:ascii="Arial" w:hAnsi="Arial" w:cs="Arial"/>
        </w:rPr>
        <w:t>Such interventions align with broader sustainable mining practices by converting environmentally degraded land into functional ecosystems. Nevertheless, the long-term success of reclamation initiatives depends on consistent ecological monitoring, soil stabilization, and vegetation management. Existing literature highlights that without sustained follow-up measures, reclaimed land may fail to achieve full ecological restoration (Singh &amp; Mishra, 2018). Therefore, while SECL’s reclamation practices represent a positive step toward sustainability, their effectiveness requires long-term institutional commitment.</w:t>
      </w:r>
    </w:p>
    <w:p w14:paraId="23AE76D8"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Case Study 3: Mine Water Management and Community Utilization</w:t>
      </w:r>
    </w:p>
    <w:p w14:paraId="77120DEA" w14:textId="77777777" w:rsidR="00317F11" w:rsidRPr="00444C47" w:rsidRDefault="00317F11" w:rsidP="00317F11">
      <w:pPr>
        <w:spacing w:line="360" w:lineRule="auto"/>
        <w:jc w:val="both"/>
        <w:rPr>
          <w:rFonts w:ascii="Arial" w:hAnsi="Arial" w:cs="Arial"/>
        </w:rPr>
      </w:pPr>
      <w:r w:rsidRPr="00444C47">
        <w:rPr>
          <w:rFonts w:ascii="Arial" w:hAnsi="Arial" w:cs="Arial"/>
        </w:rPr>
        <w:t>Water management represents a critical environmental concern in coal mining regions due to the dual challenges of resource depletion and contamination. SECL has addressed this issue through the treatment and utilization of mine water for community and agricultural purposes.</w:t>
      </w:r>
    </w:p>
    <w:p w14:paraId="0AACB4DC" w14:textId="77777777" w:rsidR="00317F11" w:rsidRPr="00444C47" w:rsidRDefault="00317F11" w:rsidP="00317F11">
      <w:pPr>
        <w:spacing w:line="360" w:lineRule="auto"/>
        <w:jc w:val="both"/>
        <w:rPr>
          <w:rFonts w:ascii="Arial" w:hAnsi="Arial" w:cs="Arial"/>
        </w:rPr>
      </w:pPr>
      <w:r w:rsidRPr="00444C47">
        <w:rPr>
          <w:rFonts w:ascii="Arial" w:hAnsi="Arial" w:cs="Arial"/>
        </w:rPr>
        <w:t>Under this initiative, water extracted during mining operations is treated through sedimentation and filtration processes before being supplied to nearby villages for domestic use and irrigation. Additionally, SECL has constructed reservoirs and rainwater harvesting structures to store treated mine water, thereby enhancing water availability in water-scarce regions (South Eastern Coalfields Limited, 2023; Ministry of Coal, 2024).</w:t>
      </w:r>
    </w:p>
    <w:p w14:paraId="1EA3104D" w14:textId="77777777" w:rsidR="00317F11" w:rsidRPr="00444C47" w:rsidRDefault="00317F11" w:rsidP="00317F11">
      <w:pPr>
        <w:spacing w:line="360" w:lineRule="auto"/>
        <w:jc w:val="both"/>
        <w:rPr>
          <w:rFonts w:ascii="Arial" w:hAnsi="Arial" w:cs="Arial"/>
        </w:rPr>
      </w:pPr>
      <w:r w:rsidRPr="00444C47">
        <w:rPr>
          <w:rFonts w:ascii="Arial" w:hAnsi="Arial" w:cs="Arial"/>
        </w:rPr>
        <w:t>This approach reflects a shift toward resource efficiency and circular water management in the mining sector. By converting a by-product of mining into a usable resource, SECL contributes to both environmental conservation and community welfare. However, the sustainability of such initiatives depends on regular monitoring of water quality and maintenance of treatment infrastructure to prevent potential health and environmental risks (Singh &amp; Mishra, 2018).</w:t>
      </w:r>
    </w:p>
    <w:p w14:paraId="70B50C2C"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Case Study 4: Pollution Control and Environmental Management</w:t>
      </w:r>
    </w:p>
    <w:p w14:paraId="6CA0E8A5" w14:textId="77777777" w:rsidR="00317F11" w:rsidRPr="00444C47" w:rsidRDefault="00317F11" w:rsidP="00317F11">
      <w:pPr>
        <w:spacing w:line="360" w:lineRule="auto"/>
        <w:jc w:val="both"/>
        <w:rPr>
          <w:rFonts w:ascii="Arial" w:hAnsi="Arial" w:cs="Arial"/>
        </w:rPr>
      </w:pPr>
      <w:r w:rsidRPr="00444C47">
        <w:rPr>
          <w:rFonts w:ascii="Arial" w:hAnsi="Arial" w:cs="Arial"/>
        </w:rPr>
        <w:t>Air and dust pollution are among the most significant environmental impacts associated with open-cast coal mining. To mitigate these effects, SECL has implemented a range of pollution control measures, including water sprinkling on haul roads, installation of dust suppression systems, and development of green buffers around mining sites.</w:t>
      </w:r>
    </w:p>
    <w:p w14:paraId="7409FB19" w14:textId="77777777" w:rsidR="00317F11" w:rsidRPr="00444C47" w:rsidRDefault="00317F11" w:rsidP="00317F11">
      <w:pPr>
        <w:spacing w:line="360" w:lineRule="auto"/>
        <w:jc w:val="both"/>
        <w:rPr>
          <w:rFonts w:ascii="Arial" w:hAnsi="Arial" w:cs="Arial"/>
        </w:rPr>
      </w:pPr>
      <w:r w:rsidRPr="00444C47">
        <w:rPr>
          <w:rFonts w:ascii="Arial" w:hAnsi="Arial" w:cs="Arial"/>
        </w:rPr>
        <w:t>These interventions have contributed to localized improvements in air quality and reduction in particulate matter concentrations, thereby minimizing health risks for nearby communities. Green belt development further enhances the effectiveness of pollution control by acting as a natural barrier against dust dispersion (Ministry of Coal, 2024).</w:t>
      </w:r>
    </w:p>
    <w:p w14:paraId="3DF2E358" w14:textId="77777777" w:rsidR="00317F11" w:rsidRPr="00444C47" w:rsidRDefault="00317F11" w:rsidP="00317F11">
      <w:pPr>
        <w:spacing w:line="360" w:lineRule="auto"/>
        <w:jc w:val="both"/>
        <w:rPr>
          <w:rFonts w:ascii="Arial" w:hAnsi="Arial" w:cs="Arial"/>
        </w:rPr>
      </w:pPr>
      <w:r w:rsidRPr="00444C47">
        <w:rPr>
          <w:rFonts w:ascii="Arial" w:hAnsi="Arial" w:cs="Arial"/>
        </w:rPr>
        <w:t>Despite these measures, maintaining operational consistency remains a challenge, particularly in large-scale mining environments where production pressures may affect environmental compliance. Therefore, continuous monitoring and technological upgradation are essential to ensure the long-term effectiveness of pollution control strategies.</w:t>
      </w:r>
    </w:p>
    <w:p w14:paraId="2A088B26"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Case Study 5: Community Engagement in Environmental Sustainability</w:t>
      </w:r>
    </w:p>
    <w:p w14:paraId="24CF0507" w14:textId="77777777" w:rsidR="00317F11" w:rsidRPr="00444C47" w:rsidRDefault="00317F11" w:rsidP="00317F11">
      <w:pPr>
        <w:spacing w:line="360" w:lineRule="auto"/>
        <w:jc w:val="both"/>
        <w:rPr>
          <w:rFonts w:ascii="Arial" w:hAnsi="Arial" w:cs="Arial"/>
        </w:rPr>
      </w:pPr>
      <w:r w:rsidRPr="00444C47">
        <w:rPr>
          <w:rFonts w:ascii="Arial" w:hAnsi="Arial" w:cs="Arial"/>
        </w:rPr>
        <w:t>Recognizing that environmental sustainability requires active stakeholder participation, SECL has undertaken community-oriented CSR initiatives aimed at promoting environmental awareness and participation. These include plantation drives, environmental education programs, and awareness campaigns in mining-affected communities.</w:t>
      </w:r>
    </w:p>
    <w:p w14:paraId="1AABED48" w14:textId="21E98E40" w:rsidR="00C57F23" w:rsidRPr="00444C47" w:rsidRDefault="00317F11" w:rsidP="00C57F23">
      <w:pPr>
        <w:spacing w:line="360" w:lineRule="auto"/>
        <w:jc w:val="both"/>
        <w:rPr>
          <w:rFonts w:ascii="Arial" w:hAnsi="Arial" w:cs="Arial"/>
        </w:rPr>
      </w:pPr>
      <w:r w:rsidRPr="00444C47">
        <w:rPr>
          <w:rFonts w:ascii="Arial" w:hAnsi="Arial" w:cs="Arial"/>
        </w:rPr>
        <w:t>Such initiatives are intended to foster a sense of shared responsibility toward environmental conservation and encourage local participation in sustainability practices. However, research indicates that the effectiveness of CSR initiatives in the mining sector is strongly influenced by the level of stakeholder engagement and transparency in implementation (Kumar et al., 2020</w:t>
      </w:r>
      <w:r w:rsidR="00C57F23">
        <w:rPr>
          <w:rFonts w:ascii="Arial" w:hAnsi="Arial" w:cs="Arial"/>
        </w:rPr>
        <w:t>)</w:t>
      </w:r>
      <w:r w:rsidRPr="00444C47">
        <w:rPr>
          <w:rFonts w:ascii="Arial" w:hAnsi="Arial" w:cs="Arial"/>
        </w:rPr>
        <w:t>;</w:t>
      </w:r>
      <w:r w:rsidR="00C57F23" w:rsidRPr="00C57F23">
        <w:rPr>
          <w:rFonts w:ascii="Arial" w:hAnsi="Arial" w:cs="Arial"/>
        </w:rPr>
        <w:t xml:space="preserve"> </w:t>
      </w:r>
      <w:sdt>
        <w:sdtPr>
          <w:rPr>
            <w:rFonts w:ascii="Arial" w:hAnsi="Arial" w:cs="Arial"/>
          </w:rPr>
          <w:id w:val="-1634320487"/>
          <w:citation/>
        </w:sdtPr>
        <w:sdtEndPr/>
        <w:sdtContent>
          <w:r w:rsidR="00C57F23">
            <w:rPr>
              <w:rFonts w:ascii="Arial" w:hAnsi="Arial" w:cs="Arial"/>
            </w:rPr>
            <w:fldChar w:fldCharType="begin"/>
          </w:r>
          <w:r w:rsidR="00C57F23">
            <w:rPr>
              <w:rFonts w:ascii="Arial" w:hAnsi="Arial" w:cs="Arial"/>
            </w:rPr>
            <w:instrText xml:space="preserve"> CITATION Joh13 \l 1033 </w:instrText>
          </w:r>
          <w:r w:rsidR="00C57F23">
            <w:rPr>
              <w:rFonts w:ascii="Arial" w:hAnsi="Arial" w:cs="Arial"/>
            </w:rPr>
            <w:fldChar w:fldCharType="separate"/>
          </w:r>
          <w:r w:rsidR="00C57F23" w:rsidRPr="00787281">
            <w:rPr>
              <w:rFonts w:ascii="Arial" w:hAnsi="Arial" w:cs="Arial"/>
              <w:noProof/>
            </w:rPr>
            <w:t>(John R. Owen, 2013)</w:t>
          </w:r>
          <w:r w:rsidR="00C57F23">
            <w:rPr>
              <w:rFonts w:ascii="Arial" w:hAnsi="Arial" w:cs="Arial"/>
            </w:rPr>
            <w:fldChar w:fldCharType="end"/>
          </w:r>
        </w:sdtContent>
      </w:sdt>
      <w:r w:rsidR="00C57F23">
        <w:rPr>
          <w:rFonts w:ascii="Arial" w:hAnsi="Arial" w:cs="Arial"/>
        </w:rPr>
        <w:t>.</w:t>
      </w:r>
    </w:p>
    <w:p w14:paraId="35009750" w14:textId="50BA9B6D" w:rsidR="00317F11" w:rsidRPr="00444C47" w:rsidRDefault="00317F11" w:rsidP="00317F11">
      <w:pPr>
        <w:spacing w:line="360" w:lineRule="auto"/>
        <w:jc w:val="both"/>
        <w:rPr>
          <w:rFonts w:ascii="Arial" w:hAnsi="Arial" w:cs="Arial"/>
        </w:rPr>
      </w:pPr>
    </w:p>
    <w:p w14:paraId="72B9B39F" w14:textId="77777777" w:rsidR="00317F11" w:rsidRPr="00444C47" w:rsidRDefault="00317F11" w:rsidP="00317F11">
      <w:pPr>
        <w:spacing w:line="360" w:lineRule="auto"/>
        <w:jc w:val="both"/>
        <w:rPr>
          <w:rFonts w:ascii="Arial" w:hAnsi="Arial" w:cs="Arial"/>
        </w:rPr>
      </w:pPr>
      <w:r w:rsidRPr="00444C47">
        <w:rPr>
          <w:rFonts w:ascii="Arial" w:hAnsi="Arial" w:cs="Arial"/>
        </w:rPr>
        <w:t>In the case of SECL, while community engagement efforts are evident, their depth and consistency remain areas for improvement. Strengthening participatory approaches and incorporating local knowledge into environmental planning could significantly enhance the impact of CSR initiatives.</w:t>
      </w:r>
    </w:p>
    <w:p w14:paraId="592CD99D"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Overall Assessment</w:t>
      </w:r>
    </w:p>
    <w:p w14:paraId="28A549CF" w14:textId="77777777" w:rsidR="00317F11" w:rsidRPr="00444C47" w:rsidRDefault="00317F11" w:rsidP="00317F11">
      <w:pPr>
        <w:spacing w:line="360" w:lineRule="auto"/>
        <w:jc w:val="both"/>
        <w:rPr>
          <w:rFonts w:ascii="Arial" w:hAnsi="Arial" w:cs="Arial"/>
        </w:rPr>
      </w:pPr>
      <w:r w:rsidRPr="00444C47">
        <w:rPr>
          <w:rFonts w:ascii="Arial" w:hAnsi="Arial" w:cs="Arial"/>
        </w:rPr>
        <w:t>The case studies highlight that SECL has adopted a multi-dimensional approach toward environmental CSR, encompassing afforestation, land reclamation, water management, pollution control, and community engagement. These initiatives demonstrate a transition from compliance-based CSR to a more sustainability-oriented framework.</w:t>
      </w:r>
    </w:p>
    <w:p w14:paraId="1FE79424" w14:textId="77777777" w:rsidR="00317F11" w:rsidRPr="00444C47" w:rsidRDefault="00317F11" w:rsidP="00317F11">
      <w:pPr>
        <w:spacing w:line="360" w:lineRule="auto"/>
        <w:jc w:val="both"/>
        <w:rPr>
          <w:rFonts w:ascii="Arial" w:hAnsi="Arial" w:cs="Arial"/>
          <w:b/>
          <w:bCs/>
          <w:sz w:val="22"/>
          <w:szCs w:val="22"/>
        </w:rPr>
      </w:pPr>
    </w:p>
    <w:p w14:paraId="680D41A5" w14:textId="7BA91069" w:rsidR="00317F11" w:rsidRPr="00444C47" w:rsidRDefault="00317F11" w:rsidP="00317F11">
      <w:pPr>
        <w:spacing w:line="360" w:lineRule="auto"/>
        <w:jc w:val="both"/>
        <w:rPr>
          <w:rFonts w:ascii="Arial" w:hAnsi="Arial" w:cs="Arial"/>
          <w:b/>
          <w:bCs/>
          <w:sz w:val="22"/>
          <w:szCs w:val="22"/>
        </w:rPr>
      </w:pPr>
      <w:r w:rsidRPr="00444C47">
        <w:rPr>
          <w:rFonts w:ascii="Arial" w:hAnsi="Arial" w:cs="Arial"/>
          <w:b/>
          <w:bCs/>
          <w:sz w:val="22"/>
          <w:szCs w:val="22"/>
        </w:rPr>
        <w:t>6.4 CRITICAL EVALUATION OF SECL’S CSR PRACTICES</w:t>
      </w:r>
    </w:p>
    <w:p w14:paraId="5F9C40AA" w14:textId="77777777" w:rsidR="00317F11" w:rsidRPr="00444C47" w:rsidRDefault="00317F11" w:rsidP="00317F11">
      <w:pPr>
        <w:spacing w:line="360" w:lineRule="auto"/>
        <w:jc w:val="both"/>
        <w:rPr>
          <w:rFonts w:ascii="Arial" w:hAnsi="Arial" w:cs="Arial"/>
        </w:rPr>
      </w:pPr>
      <w:r w:rsidRPr="00444C47">
        <w:rPr>
          <w:rFonts w:ascii="Arial" w:hAnsi="Arial" w:cs="Arial"/>
        </w:rPr>
        <w:t>The CSR practices of SECL reflect a structured yet predominantly compliance-driven approach influenced by the Companies Act, 2013. While the company has made significant investments in environmental restoration and community development, the overall effectiveness of these initiatives remains mixed.</w:t>
      </w:r>
    </w:p>
    <w:p w14:paraId="08699EEA" w14:textId="77777777" w:rsidR="00317F11" w:rsidRPr="00444C47" w:rsidRDefault="00317F11" w:rsidP="00317F11">
      <w:pPr>
        <w:spacing w:line="360" w:lineRule="auto"/>
        <w:jc w:val="both"/>
        <w:rPr>
          <w:rFonts w:ascii="Arial" w:hAnsi="Arial" w:cs="Arial"/>
        </w:rPr>
      </w:pPr>
      <w:r w:rsidRPr="00444C47">
        <w:rPr>
          <w:rFonts w:ascii="Arial" w:hAnsi="Arial" w:cs="Arial"/>
        </w:rPr>
        <w:t>A key strength of SECL’s CSR framework is its large-scale resource allocation and diversified interventions, particularly in afforestation, land reclamation, and water management. These efforts demonstrate a gradual shift toward sustainability-oriented practices. However, their long-term impact is often constrained by weak monitoring systems and limited outcome-based evaluation, reducing the ability to assess actual social and environmental benefits.</w:t>
      </w:r>
    </w:p>
    <w:p w14:paraId="570232B9" w14:textId="77777777" w:rsidR="00317F11" w:rsidRPr="00444C47" w:rsidRDefault="00317F11" w:rsidP="00317F11">
      <w:pPr>
        <w:spacing w:line="360" w:lineRule="auto"/>
        <w:jc w:val="both"/>
        <w:rPr>
          <w:rFonts w:ascii="Arial" w:hAnsi="Arial" w:cs="Arial"/>
        </w:rPr>
      </w:pPr>
      <w:r w:rsidRPr="00444C47">
        <w:rPr>
          <w:rFonts w:ascii="Arial" w:hAnsi="Arial" w:cs="Arial"/>
        </w:rPr>
        <w:t>Implementation gaps further affect effectiveness, as several initiatives—especially plantation and reclamation activities—face challenges related to maintenance, survival rates, and operational consistency. Additionally, stakeholder engagement remains relatively limited, with CSR activities largely designed in a top-down manner, restricting community participation and ownership.</w:t>
      </w:r>
    </w:p>
    <w:p w14:paraId="0A60DA7F" w14:textId="77777777" w:rsidR="00317F11" w:rsidRPr="00444C47" w:rsidRDefault="00317F11" w:rsidP="00317F11">
      <w:pPr>
        <w:spacing w:line="360" w:lineRule="auto"/>
        <w:jc w:val="both"/>
        <w:rPr>
          <w:rFonts w:ascii="Arial" w:hAnsi="Arial" w:cs="Arial"/>
        </w:rPr>
      </w:pPr>
      <w:r w:rsidRPr="00444C47">
        <w:rPr>
          <w:rFonts w:ascii="Arial" w:hAnsi="Arial" w:cs="Arial"/>
        </w:rPr>
        <w:t>Moreover, CSR disclosures are primarily activity- and expenditure-focused, with insufficient emphasis on measurable outcomes and impact indicators. This limits transparency and weakens the credibility of reported achievements. From a strategic perspective, CSR at SECL is not yet fully integrated with core business operations, thereby constraining its potential to deliver long-term sustainability outcomes.</w:t>
      </w:r>
    </w:p>
    <w:p w14:paraId="40AAF435" w14:textId="77777777" w:rsidR="00317F11" w:rsidRPr="00444C47" w:rsidRDefault="00317F11" w:rsidP="00317F11">
      <w:pPr>
        <w:spacing w:line="360" w:lineRule="auto"/>
        <w:jc w:val="both"/>
        <w:rPr>
          <w:rFonts w:ascii="Arial" w:hAnsi="Arial" w:cs="Arial"/>
        </w:rPr>
      </w:pPr>
      <w:r w:rsidRPr="00444C47">
        <w:rPr>
          <w:rFonts w:ascii="Arial" w:hAnsi="Arial" w:cs="Arial"/>
        </w:rPr>
        <w:t>Overall, SECL’s CSR practices indicate progressive intent but partial effectiveness, highlighting the need for stronger monitoring mechanisms, participatory approaches, and outcome-oriented reporting to enhance their long-term impact.</w:t>
      </w:r>
    </w:p>
    <w:p w14:paraId="0F1A0681" w14:textId="77777777" w:rsidR="00317F11" w:rsidRPr="00444C47" w:rsidRDefault="00317F11" w:rsidP="00317F11">
      <w:pPr>
        <w:spacing w:line="360" w:lineRule="auto"/>
        <w:jc w:val="both"/>
        <w:rPr>
          <w:rFonts w:ascii="Arial" w:hAnsi="Arial" w:cs="Arial"/>
          <w:b/>
          <w:bCs/>
          <w:sz w:val="22"/>
          <w:szCs w:val="22"/>
        </w:rPr>
      </w:pPr>
    </w:p>
    <w:p w14:paraId="79676653" w14:textId="07E9DD33" w:rsidR="00317F11" w:rsidRPr="00444C47" w:rsidRDefault="00317F11" w:rsidP="00317F11">
      <w:pPr>
        <w:spacing w:line="360" w:lineRule="auto"/>
        <w:jc w:val="both"/>
        <w:rPr>
          <w:rFonts w:ascii="Arial" w:hAnsi="Arial" w:cs="Arial"/>
          <w:b/>
          <w:bCs/>
          <w:sz w:val="22"/>
          <w:szCs w:val="22"/>
        </w:rPr>
      </w:pPr>
      <w:r w:rsidRPr="00444C47">
        <w:rPr>
          <w:rFonts w:ascii="Arial" w:hAnsi="Arial" w:cs="Arial"/>
          <w:b/>
          <w:bCs/>
          <w:sz w:val="22"/>
          <w:szCs w:val="22"/>
        </w:rPr>
        <w:t>6.5 LOCAL EXAMPLES OF ENVIRONMENTAL CSR INITIATIVES BY SECL</w:t>
      </w:r>
    </w:p>
    <w:p w14:paraId="0ECD6C86" w14:textId="77777777" w:rsidR="00317F11" w:rsidRPr="00444C47" w:rsidRDefault="00317F11" w:rsidP="00317F11">
      <w:pPr>
        <w:spacing w:line="360" w:lineRule="auto"/>
        <w:jc w:val="both"/>
        <w:rPr>
          <w:rFonts w:ascii="Arial" w:hAnsi="Arial" w:cs="Arial"/>
        </w:rPr>
      </w:pPr>
      <w:r w:rsidRPr="00444C47">
        <w:rPr>
          <w:rFonts w:ascii="Arial" w:hAnsi="Arial" w:cs="Arial"/>
        </w:rPr>
        <w:t>Environmental CSR interventions undertaken by SECL are prominently visible in high-intensity mining zones such as Gevra and Kusmunda in Chhattisgarh. These location-specific initiatives provide a grounded understanding of how CSR is operationalized in ecologically sensitive coalfield regions.</w:t>
      </w:r>
    </w:p>
    <w:p w14:paraId="79C91995"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Gevra Mega Project (Korba District)</w:t>
      </w:r>
    </w:p>
    <w:p w14:paraId="32E75F38" w14:textId="77777777" w:rsidR="00317F11" w:rsidRPr="00444C47" w:rsidRDefault="00317F11" w:rsidP="00317F11">
      <w:pPr>
        <w:spacing w:line="360" w:lineRule="auto"/>
        <w:jc w:val="both"/>
        <w:rPr>
          <w:rFonts w:ascii="Arial" w:hAnsi="Arial" w:cs="Arial"/>
        </w:rPr>
      </w:pPr>
      <w:r w:rsidRPr="00444C47">
        <w:rPr>
          <w:rFonts w:ascii="Arial" w:hAnsi="Arial" w:cs="Arial"/>
        </w:rPr>
        <w:t>The Gevra open-cast mine, among the largest in India, has undergone capacity expansion, intensifying environmental pressures in the region (Ministry of Coal, 2024). In response, SECL has implemented afforestation and land rehabilitation measures across overburden dumps and reclaimed sites. Initiatives such as dense plantation models, including Miyawaki-based approaches, aim to accelerate vegetation recovery and improve ecological resilience (South Eastern Coalfields Limited, 2023).</w:t>
      </w:r>
    </w:p>
    <w:p w14:paraId="713CA502" w14:textId="77777777" w:rsidR="00317F11" w:rsidRPr="00444C47" w:rsidRDefault="00317F11" w:rsidP="00317F11">
      <w:pPr>
        <w:spacing w:line="360" w:lineRule="auto"/>
        <w:jc w:val="both"/>
        <w:rPr>
          <w:rFonts w:ascii="Arial" w:hAnsi="Arial" w:cs="Arial"/>
        </w:rPr>
      </w:pPr>
      <w:r w:rsidRPr="00444C47">
        <w:rPr>
          <w:rFonts w:ascii="Arial" w:hAnsi="Arial" w:cs="Arial"/>
        </w:rPr>
        <w:t>Biological reclamation and compensatory afforestation on non-forest land have contributed to partial ecosystem restoration, with early signs of vegetation regeneration and faunal return. However, these outcomes remain incremental, as challenges related to land degradation, ecological fragility, and displacement continue to persist, indicating limits in long-term sustainability.</w:t>
      </w:r>
    </w:p>
    <w:p w14:paraId="3E932A5F"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Kusmunda Open Cast Mine (Korba Coalfields)</w:t>
      </w:r>
    </w:p>
    <w:p w14:paraId="2ECD670A" w14:textId="77777777" w:rsidR="00317F11" w:rsidRPr="00444C47" w:rsidRDefault="00317F11" w:rsidP="00317F11">
      <w:pPr>
        <w:spacing w:line="360" w:lineRule="auto"/>
        <w:jc w:val="both"/>
        <w:rPr>
          <w:rFonts w:ascii="Arial" w:hAnsi="Arial" w:cs="Arial"/>
        </w:rPr>
      </w:pPr>
      <w:r w:rsidRPr="00444C47">
        <w:rPr>
          <w:rFonts w:ascii="Arial" w:hAnsi="Arial" w:cs="Arial"/>
        </w:rPr>
        <w:t>In the Kusmunda mining area, CSR interventions are similarly centered on afforestation, land stabilization, and environmental awareness. Plantation initiatives—often linked with production benchmarks—have been scaled up to enhance green cover and mitigate mining-induced degradation. The emphasis on native species selection, such as sal and neem, reflects an attempt to ensure ecological suitability and long-term survival (Ministry of Coal, 2024).</w:t>
      </w:r>
    </w:p>
    <w:p w14:paraId="18F6AD06" w14:textId="77777777" w:rsidR="00317F11" w:rsidRPr="00444C47" w:rsidRDefault="00317F11" w:rsidP="00317F11">
      <w:pPr>
        <w:spacing w:line="360" w:lineRule="auto"/>
        <w:jc w:val="both"/>
        <w:rPr>
          <w:rFonts w:ascii="Arial" w:hAnsi="Arial" w:cs="Arial"/>
        </w:rPr>
      </w:pPr>
      <w:r w:rsidRPr="00444C47">
        <w:rPr>
          <w:rFonts w:ascii="Arial" w:hAnsi="Arial" w:cs="Arial"/>
        </w:rPr>
        <w:t>Despite these efforts, the expansion of mining operations continues to generate environmental and socio-economic concerns, particularly in relation to land use transitions and community displacement. This reflects an ongoing tension between resource extraction and environmental stewardship.</w:t>
      </w:r>
    </w:p>
    <w:p w14:paraId="4A58701C"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Synthesis</w:t>
      </w:r>
    </w:p>
    <w:p w14:paraId="3DD1AD1A" w14:textId="77777777" w:rsidR="00317F11" w:rsidRPr="00444C47" w:rsidRDefault="00317F11" w:rsidP="00317F11">
      <w:pPr>
        <w:spacing w:line="360" w:lineRule="auto"/>
        <w:jc w:val="both"/>
        <w:rPr>
          <w:rFonts w:ascii="Arial" w:hAnsi="Arial" w:cs="Arial"/>
        </w:rPr>
      </w:pPr>
      <w:r w:rsidRPr="00444C47">
        <w:rPr>
          <w:rFonts w:ascii="Arial" w:hAnsi="Arial" w:cs="Arial"/>
        </w:rPr>
        <w:t>The cases of Gevra and Kusmunda indicate that SECL’s CSR strategy incorporates afforestation, reclamation, and ecological restoration as key components. While these measures demonstrate visible progress, their effectiveness is constrained by implementation gaps, survival rates of plantations, and limited participatory engagement. Strengthening monitoring systems, adopting site-specific ecological planning, and enhancing stakeholder involvement are essential to ensure durable sustainability outcomes (Singh &amp; Mishra, 2018; Kumar et al., 2020).</w:t>
      </w:r>
    </w:p>
    <w:p w14:paraId="79956187" w14:textId="77777777" w:rsidR="00317F11" w:rsidRPr="00444C47" w:rsidRDefault="00317F11" w:rsidP="00317F11">
      <w:pPr>
        <w:spacing w:line="360" w:lineRule="auto"/>
        <w:jc w:val="both"/>
        <w:rPr>
          <w:rFonts w:ascii="Times New Roman" w:hAnsi="Times New Roman"/>
          <w:b/>
          <w:bCs/>
          <w:sz w:val="24"/>
          <w:szCs w:val="24"/>
        </w:rPr>
      </w:pPr>
    </w:p>
    <w:p w14:paraId="2FEA8A80" w14:textId="26AF9BD9" w:rsidR="00317F11" w:rsidRPr="00444C47" w:rsidRDefault="00317F11" w:rsidP="00317F11">
      <w:pPr>
        <w:spacing w:line="360" w:lineRule="auto"/>
        <w:jc w:val="both"/>
        <w:rPr>
          <w:rFonts w:ascii="Arial" w:hAnsi="Arial" w:cs="Arial"/>
          <w:b/>
          <w:bCs/>
          <w:sz w:val="22"/>
          <w:szCs w:val="22"/>
        </w:rPr>
      </w:pPr>
      <w:r w:rsidRPr="00444C47">
        <w:rPr>
          <w:rFonts w:ascii="Arial" w:hAnsi="Arial" w:cs="Arial"/>
          <w:b/>
          <w:bCs/>
          <w:sz w:val="22"/>
          <w:szCs w:val="22"/>
        </w:rPr>
        <w:t>6.6 CRITICAL ANALYSIS OF LOCAL CSR INITIATIVES OF SOUTH EASTERN COALFIELDS LIMITED</w:t>
      </w:r>
    </w:p>
    <w:p w14:paraId="53D011FD" w14:textId="77777777" w:rsidR="00317F11" w:rsidRPr="00444C47" w:rsidRDefault="00317F11" w:rsidP="00317F11">
      <w:pPr>
        <w:spacing w:line="360" w:lineRule="auto"/>
        <w:jc w:val="both"/>
        <w:rPr>
          <w:rFonts w:ascii="Arial" w:hAnsi="Arial" w:cs="Arial"/>
        </w:rPr>
      </w:pPr>
      <w:r w:rsidRPr="00444C47">
        <w:rPr>
          <w:rFonts w:ascii="Arial" w:hAnsi="Arial" w:cs="Arial"/>
        </w:rPr>
        <w:t>The local CSR initiatives of SECL in mining regions such as Gevra and Kusmunda reflect a structured effort to mitigate environmental degradation through afforestation, land reclamation, and ecological restoration. These interventions have led to some visible improvements, particularly in enhancing green cover and initiating the recovery of degraded landscapes.</w:t>
      </w:r>
    </w:p>
    <w:p w14:paraId="704EE74E" w14:textId="77777777" w:rsidR="00317F11" w:rsidRPr="00444C47" w:rsidRDefault="00317F11" w:rsidP="00317F11">
      <w:pPr>
        <w:spacing w:line="360" w:lineRule="auto"/>
        <w:jc w:val="both"/>
        <w:rPr>
          <w:rFonts w:ascii="Arial" w:hAnsi="Arial" w:cs="Arial"/>
        </w:rPr>
      </w:pPr>
      <w:r w:rsidRPr="00444C47">
        <w:rPr>
          <w:rFonts w:ascii="Arial" w:hAnsi="Arial" w:cs="Arial"/>
        </w:rPr>
        <w:t>However, the overall effectiveness of these initiatives remains constrained by several operational challenges. Issues such as inconsistent implementation, low survival rates of plantations, and inadequate post-implementation monitoring limit their long-term ecological impact. This indicates that CSR efforts are still largely input-oriented, with insufficient focus on measurable environmental outcomes.</w:t>
      </w:r>
    </w:p>
    <w:p w14:paraId="1E0C97B8" w14:textId="77777777" w:rsidR="00317F11" w:rsidRPr="00444C47" w:rsidRDefault="00317F11" w:rsidP="00317F11">
      <w:pPr>
        <w:spacing w:line="360" w:lineRule="auto"/>
        <w:jc w:val="both"/>
        <w:rPr>
          <w:rFonts w:ascii="Arial" w:hAnsi="Arial" w:cs="Arial"/>
        </w:rPr>
      </w:pPr>
      <w:r w:rsidRPr="00444C47">
        <w:rPr>
          <w:rFonts w:ascii="Arial" w:hAnsi="Arial" w:cs="Arial"/>
        </w:rPr>
        <w:t>Furthermore, the limited involvement of local communities in planning and execution reduces the contextual relevance and sustainability of these initiatives. The predominance of a top-down approach, coupled with the absence of robust impact assessment frameworks, restricts transparency and accountability.</w:t>
      </w:r>
    </w:p>
    <w:p w14:paraId="64253566" w14:textId="77777777" w:rsidR="00317F11" w:rsidRPr="00444C47" w:rsidRDefault="00317F11" w:rsidP="00317F11">
      <w:pPr>
        <w:spacing w:line="360" w:lineRule="auto"/>
        <w:jc w:val="both"/>
        <w:rPr>
          <w:rFonts w:ascii="Arial" w:hAnsi="Arial" w:cs="Arial"/>
        </w:rPr>
      </w:pPr>
      <w:r w:rsidRPr="00444C47">
        <w:rPr>
          <w:rFonts w:ascii="Arial" w:hAnsi="Arial" w:cs="Arial"/>
        </w:rPr>
        <w:t>Overall, while SECL’s local CSR initiatives demonstrate positive intent and measurable progress, their impact remains moderate due to implementation gaps, limited stakeholder engagement, and weak outcome orientation. Strengthening monitoring mechanisms, adopting participatory approaches, and emphasizing outcome-based evaluation are essential to enhance the long-term effectiveness and sustainability of these efforts.</w:t>
      </w:r>
    </w:p>
    <w:p w14:paraId="1BE2671D" w14:textId="77777777" w:rsidR="00317F11" w:rsidRPr="00444C47" w:rsidRDefault="00317F11" w:rsidP="00317F11">
      <w:pPr>
        <w:spacing w:line="360" w:lineRule="auto"/>
        <w:jc w:val="both"/>
        <w:rPr>
          <w:rFonts w:ascii="Times New Roman" w:hAnsi="Times New Roman"/>
          <w:b/>
          <w:bCs/>
          <w:sz w:val="24"/>
          <w:szCs w:val="24"/>
        </w:rPr>
      </w:pPr>
    </w:p>
    <w:p w14:paraId="027E75CE" w14:textId="52FC3E3A" w:rsidR="00317F11" w:rsidRPr="00444C47" w:rsidRDefault="00317F11" w:rsidP="00317F11">
      <w:pPr>
        <w:spacing w:line="360" w:lineRule="auto"/>
        <w:jc w:val="both"/>
        <w:rPr>
          <w:rFonts w:ascii="Arial" w:hAnsi="Arial" w:cs="Arial"/>
          <w:b/>
          <w:bCs/>
          <w:sz w:val="22"/>
          <w:szCs w:val="22"/>
        </w:rPr>
      </w:pPr>
      <w:r w:rsidRPr="00444C47">
        <w:rPr>
          <w:rFonts w:ascii="Arial" w:hAnsi="Arial" w:cs="Arial"/>
          <w:b/>
          <w:bCs/>
          <w:sz w:val="22"/>
          <w:szCs w:val="22"/>
        </w:rPr>
        <w:t>6.7 RECENT CSR AND SUSTAINABILITY INITIATIVES BY SECL</w:t>
      </w:r>
    </w:p>
    <w:p w14:paraId="487A1AF4" w14:textId="77777777" w:rsidR="00317F11" w:rsidRPr="00444C47" w:rsidRDefault="00317F11" w:rsidP="00317F11">
      <w:pPr>
        <w:spacing w:line="360" w:lineRule="auto"/>
        <w:jc w:val="both"/>
        <w:rPr>
          <w:rFonts w:ascii="Arial" w:hAnsi="Arial" w:cs="Arial"/>
        </w:rPr>
      </w:pPr>
      <w:r w:rsidRPr="00444C47">
        <w:rPr>
          <w:rFonts w:ascii="Arial" w:hAnsi="Arial" w:cs="Arial"/>
        </w:rPr>
        <w:t>Recent CSR initiatives by SECL reflect a gradual shift toward structured and sustainability-oriented environmental management in line with the Companies Act 2013 India CSR provision and guidelines of the Ministry of Coal India. A key focus area is large-scale afforestation, with over three crore saplings planted and a planned plantation of 38 lakh saplings (2023–2028), supported by a four-year maintenance cycle to improve survival rates (SECL, 2023; Ministry of Coal, 2024).</w:t>
      </w:r>
    </w:p>
    <w:p w14:paraId="0F68E88C" w14:textId="77777777" w:rsidR="00317F11" w:rsidRPr="00444C47" w:rsidRDefault="00317F11" w:rsidP="00317F11">
      <w:pPr>
        <w:spacing w:line="360" w:lineRule="auto"/>
        <w:jc w:val="both"/>
        <w:rPr>
          <w:rFonts w:ascii="Arial" w:hAnsi="Arial" w:cs="Arial"/>
        </w:rPr>
      </w:pPr>
      <w:r w:rsidRPr="00444C47">
        <w:rPr>
          <w:rFonts w:ascii="Arial" w:hAnsi="Arial" w:cs="Arial"/>
        </w:rPr>
        <w:t>SECL has also strengthened land reclamation through biological restoration of mined-out areas, converting overburden dumps into vegetated ecosystems. In water management, treated mine water is increasingly reused for irrigation and community purposes, promoting resource efficiency. Additionally, pollution control measures such as dust suppression and green belt development aim to improve air quality in mining regions.</w:t>
      </w:r>
    </w:p>
    <w:p w14:paraId="46AE0E89" w14:textId="77777777" w:rsidR="00317F11" w:rsidRPr="00444C47" w:rsidRDefault="00317F11" w:rsidP="00317F11">
      <w:pPr>
        <w:spacing w:line="360" w:lineRule="auto"/>
        <w:jc w:val="both"/>
        <w:rPr>
          <w:rFonts w:ascii="Arial" w:hAnsi="Arial" w:cs="Arial"/>
        </w:rPr>
      </w:pPr>
      <w:r w:rsidRPr="00444C47">
        <w:rPr>
          <w:rFonts w:ascii="Arial" w:hAnsi="Arial" w:cs="Arial"/>
        </w:rPr>
        <w:t>Overall, SECL’s recent CSR initiatives demonstrate progress toward integrating environmental sustainability with community development. However, their long-term effectiveness depends on improved monitoring, transparency, and stakeholder engagement (SECL, 2023; Ministry of Coal, 2024).</w:t>
      </w:r>
    </w:p>
    <w:p w14:paraId="102E2767" w14:textId="77777777" w:rsidR="00317F11" w:rsidRPr="00444C47" w:rsidRDefault="00317F11" w:rsidP="00317F11">
      <w:pPr>
        <w:spacing w:line="360" w:lineRule="auto"/>
        <w:jc w:val="both"/>
        <w:rPr>
          <w:rFonts w:ascii="Times New Roman" w:hAnsi="Times New Roman"/>
          <w:b/>
          <w:bCs/>
          <w:sz w:val="24"/>
          <w:szCs w:val="24"/>
        </w:rPr>
      </w:pPr>
    </w:p>
    <w:p w14:paraId="6D637E9A" w14:textId="7049A58B" w:rsidR="00317F11" w:rsidRPr="00444C47" w:rsidRDefault="00317F11" w:rsidP="00317F11">
      <w:pPr>
        <w:spacing w:line="360" w:lineRule="auto"/>
        <w:jc w:val="both"/>
        <w:rPr>
          <w:rFonts w:ascii="Arial" w:hAnsi="Arial" w:cs="Arial"/>
          <w:b/>
          <w:bCs/>
          <w:sz w:val="22"/>
          <w:szCs w:val="22"/>
        </w:rPr>
      </w:pPr>
      <w:r w:rsidRPr="00444C47">
        <w:rPr>
          <w:rFonts w:ascii="Arial" w:hAnsi="Arial" w:cs="Arial"/>
          <w:b/>
          <w:bCs/>
          <w:sz w:val="22"/>
          <w:szCs w:val="22"/>
        </w:rPr>
        <w:t>7. RESULTS AND FINDINGS</w:t>
      </w:r>
    </w:p>
    <w:p w14:paraId="2BF91FBC" w14:textId="77777777" w:rsidR="00F32091" w:rsidRPr="00F32091" w:rsidRDefault="00F32091" w:rsidP="00F32091">
      <w:pPr>
        <w:spacing w:line="360" w:lineRule="auto"/>
        <w:jc w:val="both"/>
        <w:rPr>
          <w:rFonts w:ascii="Arial" w:hAnsi="Arial" w:cs="Arial"/>
          <w:lang w:val="en-IN"/>
        </w:rPr>
      </w:pPr>
      <w:r w:rsidRPr="00F32091">
        <w:rPr>
          <w:rFonts w:ascii="Arial" w:hAnsi="Arial" w:cs="Arial"/>
          <w:lang w:val="en-IN"/>
        </w:rPr>
        <w:t>The analysis demonstrates that SECL has implemented a wide spectrum of environmental CSR initiatives, including afforestation programs, land reclamation, utilization of mine water, and pollution mitigation measures, indicating a systematic approach toward addressing environmental concerns in mining regions.</w:t>
      </w:r>
    </w:p>
    <w:p w14:paraId="0F433402" w14:textId="77777777" w:rsidR="00F32091" w:rsidRPr="00F32091" w:rsidRDefault="00F32091" w:rsidP="00F32091">
      <w:pPr>
        <w:spacing w:line="360" w:lineRule="auto"/>
        <w:jc w:val="both"/>
        <w:rPr>
          <w:rFonts w:ascii="Arial" w:hAnsi="Arial" w:cs="Arial"/>
          <w:lang w:val="en-IN"/>
        </w:rPr>
      </w:pPr>
      <w:r w:rsidRPr="00F32091">
        <w:rPr>
          <w:rFonts w:ascii="Arial" w:hAnsi="Arial" w:cs="Arial"/>
          <w:lang w:val="en-IN"/>
        </w:rPr>
        <w:t>Afforestation initiatives have led to an increase in green cover and contributed to partial restoration of degraded ecosystems. However, their sustained effectiveness is hindered by inconsistent survival rates of plantations and limited follow-up monitoring. In contrast, land reclamation activities appear comparatively more effective, with several rehabilitated sites being successfully converted into ecologically functional areas or spaces beneficial for community use.</w:t>
      </w:r>
    </w:p>
    <w:p w14:paraId="202EF9DC" w14:textId="77777777" w:rsidR="00F32091" w:rsidRPr="00F32091" w:rsidRDefault="00F32091" w:rsidP="00F32091">
      <w:pPr>
        <w:spacing w:line="360" w:lineRule="auto"/>
        <w:jc w:val="both"/>
        <w:rPr>
          <w:rFonts w:ascii="Arial" w:hAnsi="Arial" w:cs="Arial"/>
          <w:lang w:val="en-IN"/>
        </w:rPr>
      </w:pPr>
      <w:r w:rsidRPr="00F32091">
        <w:rPr>
          <w:rFonts w:ascii="Arial" w:hAnsi="Arial" w:cs="Arial"/>
          <w:lang w:val="en-IN"/>
        </w:rPr>
        <w:t>Water management efforts, particularly the treatment and reuse of mine water, reflect a move toward improved resource efficiency and have enhanced water availability for nearby communities. Likewise, pollution control strategies have resulted in localized environmental improvements, although their success is largely dependent on consistent operational practices.</w:t>
      </w:r>
    </w:p>
    <w:p w14:paraId="45342B30" w14:textId="77777777" w:rsidR="00F32091" w:rsidRPr="00F32091" w:rsidRDefault="00F32091" w:rsidP="00F32091">
      <w:pPr>
        <w:spacing w:line="360" w:lineRule="auto"/>
        <w:jc w:val="both"/>
        <w:rPr>
          <w:rFonts w:ascii="Arial" w:hAnsi="Arial" w:cs="Arial"/>
          <w:lang w:val="en-IN"/>
        </w:rPr>
      </w:pPr>
      <w:r w:rsidRPr="00F32091">
        <w:rPr>
          <w:rFonts w:ascii="Arial" w:hAnsi="Arial" w:cs="Arial"/>
          <w:lang w:val="en-IN"/>
        </w:rPr>
        <w:t>Despite these positive developments, certain critical limitations persist. CSR initiatives are predominantly focused on inputs and activities rather than measurable environmental outcomes. Furthermore, gaps in monitoring mechanisms and insufficient involvement of local stakeholders reduce the overall impact and sustainability of these interventions. Therefore, while SECL’s environmental CSR efforts indicate meaningful progress, their overall effectiveness can be characterized as moderate due to existing implementation and evaluation constraints.</w:t>
      </w:r>
    </w:p>
    <w:p w14:paraId="164B2866" w14:textId="77777777" w:rsidR="00F72230" w:rsidRPr="00444C47" w:rsidRDefault="00F72230" w:rsidP="00317F11">
      <w:pPr>
        <w:spacing w:line="360" w:lineRule="auto"/>
        <w:jc w:val="both"/>
        <w:rPr>
          <w:rFonts w:ascii="Times New Roman" w:hAnsi="Times New Roman"/>
          <w:b/>
          <w:bCs/>
          <w:sz w:val="24"/>
          <w:szCs w:val="24"/>
        </w:rPr>
      </w:pPr>
    </w:p>
    <w:p w14:paraId="7DF419DB" w14:textId="4A0B280E" w:rsidR="00317F11" w:rsidRPr="00444C47" w:rsidRDefault="00F72230" w:rsidP="00317F11">
      <w:pPr>
        <w:spacing w:line="360" w:lineRule="auto"/>
        <w:jc w:val="both"/>
        <w:rPr>
          <w:rFonts w:ascii="Arial" w:hAnsi="Arial" w:cs="Arial"/>
          <w:b/>
          <w:bCs/>
          <w:sz w:val="22"/>
          <w:szCs w:val="22"/>
        </w:rPr>
      </w:pPr>
      <w:r w:rsidRPr="00444C47">
        <w:rPr>
          <w:rFonts w:ascii="Arial" w:hAnsi="Arial" w:cs="Arial"/>
          <w:b/>
          <w:bCs/>
          <w:sz w:val="22"/>
          <w:szCs w:val="22"/>
        </w:rPr>
        <w:t>8. DISCUSSION</w:t>
      </w:r>
    </w:p>
    <w:p w14:paraId="33589008" w14:textId="77777777" w:rsidR="00D51ED1" w:rsidRPr="00D51ED1" w:rsidRDefault="00D51ED1" w:rsidP="00D51ED1">
      <w:pPr>
        <w:spacing w:line="360" w:lineRule="auto"/>
        <w:jc w:val="both"/>
        <w:rPr>
          <w:rFonts w:ascii="Arial" w:hAnsi="Arial" w:cs="Arial"/>
          <w:lang w:val="en-IN"/>
        </w:rPr>
      </w:pPr>
      <w:r w:rsidRPr="00D51ED1">
        <w:rPr>
          <w:rFonts w:ascii="Arial" w:hAnsi="Arial" w:cs="Arial"/>
          <w:lang w:val="en-IN"/>
        </w:rPr>
        <w:t>The study finds that SECL’s environmental CSR initiatives reflect measurable progress but limited effectiveness. While interventions such as afforestation, land reclamation, and mine water utilization have contributed to partial ecological improvement, their long-term impact is constrained by weak monitoring, low plantation survival, and inconsistent implementation. This supports prior research indicating that CSR in mining often remains output-focused with limited sustainability outcomes (Kumar et al., 2020; Gupta &amp; Misra, 2024).</w:t>
      </w:r>
    </w:p>
    <w:p w14:paraId="679A5866" w14:textId="77777777" w:rsidR="00D51ED1" w:rsidRPr="00D51ED1" w:rsidRDefault="00D51ED1" w:rsidP="00D51ED1">
      <w:pPr>
        <w:spacing w:line="360" w:lineRule="auto"/>
        <w:jc w:val="both"/>
        <w:rPr>
          <w:rFonts w:ascii="Arial" w:hAnsi="Arial" w:cs="Arial"/>
          <w:lang w:val="en-IN"/>
        </w:rPr>
      </w:pPr>
      <w:r w:rsidRPr="00D51ED1">
        <w:rPr>
          <w:rFonts w:ascii="Arial" w:hAnsi="Arial" w:cs="Arial"/>
          <w:lang w:val="en-IN"/>
        </w:rPr>
        <w:t>The findings partially align with Stakeholder Theory, as CSR initiatives address regulatory and community expectations; however, limited stakeholder participation reduces their overall effectiveness. Similarly, from a Triple Bottom Line perspective, although environmental and social dimensions are acknowledged, the dominance of input-based reporting highlights weak outcome orientation. From the lens of Legitimacy Theory, CSR appears to function partly as a compliance and image-building mechanism rather than a fully embedded sustainability strategy.</w:t>
      </w:r>
    </w:p>
    <w:p w14:paraId="273E2490" w14:textId="77777777" w:rsidR="00D51ED1" w:rsidRPr="00D51ED1" w:rsidRDefault="00D51ED1" w:rsidP="00D51ED1">
      <w:pPr>
        <w:spacing w:line="360" w:lineRule="auto"/>
        <w:jc w:val="both"/>
        <w:rPr>
          <w:rFonts w:ascii="Arial" w:hAnsi="Arial" w:cs="Arial"/>
          <w:lang w:val="en-IN"/>
        </w:rPr>
      </w:pPr>
      <w:r w:rsidRPr="00D51ED1">
        <w:rPr>
          <w:rFonts w:ascii="Arial" w:hAnsi="Arial" w:cs="Arial"/>
          <w:lang w:val="en-IN"/>
        </w:rPr>
        <w:t>A key concern is the gap between CSR intent and actual outcomes, driven by inadequate monitoring systems and lack of integration with core business operations. Overall, SECL’s CSR practices can be characterized as progressive but constrained, emphasizing the need for outcome-based evaluation, stronger stakeholder engagement, and strategic integration to enhance long-term environmental sustainability.</w:t>
      </w:r>
    </w:p>
    <w:p w14:paraId="1A473FC6" w14:textId="77777777" w:rsidR="00317F11" w:rsidRPr="00444C47" w:rsidRDefault="00317F11" w:rsidP="00317F11">
      <w:pPr>
        <w:spacing w:line="360" w:lineRule="auto"/>
        <w:jc w:val="both"/>
        <w:rPr>
          <w:rFonts w:ascii="Times New Roman" w:hAnsi="Times New Roman"/>
          <w:b/>
          <w:bCs/>
          <w:sz w:val="24"/>
          <w:szCs w:val="24"/>
        </w:rPr>
      </w:pPr>
    </w:p>
    <w:p w14:paraId="3A665D61" w14:textId="0F3B44DD" w:rsidR="00317F11" w:rsidRPr="00444C47" w:rsidRDefault="00F72230" w:rsidP="00317F11">
      <w:pPr>
        <w:spacing w:line="360" w:lineRule="auto"/>
        <w:jc w:val="both"/>
        <w:rPr>
          <w:rFonts w:ascii="Arial" w:hAnsi="Arial" w:cs="Arial"/>
          <w:b/>
          <w:bCs/>
          <w:sz w:val="22"/>
          <w:szCs w:val="22"/>
        </w:rPr>
      </w:pPr>
      <w:r w:rsidRPr="00444C47">
        <w:rPr>
          <w:rFonts w:ascii="Arial" w:hAnsi="Arial" w:cs="Arial"/>
          <w:b/>
          <w:bCs/>
          <w:sz w:val="22"/>
          <w:szCs w:val="22"/>
        </w:rPr>
        <w:t>9. POLICY IMPLICATIONS</w:t>
      </w:r>
    </w:p>
    <w:p w14:paraId="041932E6" w14:textId="77777777" w:rsidR="00317F11" w:rsidRPr="00444C47" w:rsidRDefault="00317F11" w:rsidP="00317F11">
      <w:pPr>
        <w:spacing w:line="360" w:lineRule="auto"/>
        <w:jc w:val="both"/>
        <w:rPr>
          <w:rFonts w:ascii="Arial" w:hAnsi="Arial" w:cs="Arial"/>
        </w:rPr>
      </w:pPr>
      <w:r w:rsidRPr="00444C47">
        <w:rPr>
          <w:rFonts w:ascii="Arial" w:hAnsi="Arial" w:cs="Arial"/>
        </w:rPr>
        <w:t>The study underscores the need for a more outcome-oriented policy framework to strengthen environmental CSR effectiveness in the mining sector.</w:t>
      </w:r>
    </w:p>
    <w:p w14:paraId="55C2612B"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1. Government-Level Interventions</w:t>
      </w:r>
    </w:p>
    <w:p w14:paraId="1D1690A1" w14:textId="77777777" w:rsidR="00317F11" w:rsidRPr="00444C47" w:rsidRDefault="00317F11" w:rsidP="00317F11">
      <w:pPr>
        <w:spacing w:line="360" w:lineRule="auto"/>
        <w:jc w:val="both"/>
        <w:rPr>
          <w:rFonts w:ascii="Arial" w:hAnsi="Arial" w:cs="Arial"/>
        </w:rPr>
      </w:pPr>
      <w:r w:rsidRPr="00444C47">
        <w:rPr>
          <w:rFonts w:ascii="Arial" w:hAnsi="Arial" w:cs="Arial"/>
        </w:rPr>
        <w:t>Policymakers should promote impact-based CSR governance by introducing standardized environmental performance indicators and ensuring independent monitoring mechanisms to enhance accountability and transparency.</w:t>
      </w:r>
    </w:p>
    <w:p w14:paraId="05B73A72"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2. Mining Policy Improvements</w:t>
      </w:r>
    </w:p>
    <w:p w14:paraId="6149E59A" w14:textId="77777777" w:rsidR="00317F11" w:rsidRPr="00444C47" w:rsidRDefault="00317F11" w:rsidP="00317F11">
      <w:pPr>
        <w:spacing w:line="360" w:lineRule="auto"/>
        <w:jc w:val="both"/>
        <w:rPr>
          <w:rFonts w:ascii="Arial" w:hAnsi="Arial" w:cs="Arial"/>
        </w:rPr>
      </w:pPr>
      <w:r w:rsidRPr="00444C47">
        <w:rPr>
          <w:rFonts w:ascii="Arial" w:hAnsi="Arial" w:cs="Arial"/>
        </w:rPr>
        <w:t>Environmental sustainability must be embedded within core mining policies, particularly in mine closure, land reclamation, and water management. Region-specific ecological planning can further improve the effectiveness of restoration efforts.</w:t>
      </w:r>
    </w:p>
    <w:p w14:paraId="6AFA3C01"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3. CSR Regulation Strengthening</w:t>
      </w:r>
    </w:p>
    <w:p w14:paraId="1CDCE442" w14:textId="77777777" w:rsidR="00317F11" w:rsidRPr="00444C47" w:rsidRDefault="00317F11" w:rsidP="00317F11">
      <w:pPr>
        <w:spacing w:line="360" w:lineRule="auto"/>
        <w:jc w:val="both"/>
        <w:rPr>
          <w:rFonts w:ascii="Arial" w:hAnsi="Arial" w:cs="Arial"/>
        </w:rPr>
      </w:pPr>
      <w:r w:rsidRPr="00444C47">
        <w:rPr>
          <w:rFonts w:ascii="Arial" w:hAnsi="Arial" w:cs="Arial"/>
        </w:rPr>
        <w:t>CSR regulations should emphasize outcome-based reporting, stakeholder participation, and the adoption of monitoring technologies. Strengthening disclosure frameworks can improve the credibility and long-term impact of CSR initiatives.</w:t>
      </w:r>
    </w:p>
    <w:p w14:paraId="46A5481C" w14:textId="77777777" w:rsidR="00F72230" w:rsidRPr="00444C47" w:rsidRDefault="00F72230" w:rsidP="00317F11">
      <w:pPr>
        <w:spacing w:line="360" w:lineRule="auto"/>
        <w:jc w:val="both"/>
        <w:rPr>
          <w:rFonts w:ascii="Times New Roman" w:hAnsi="Times New Roman"/>
          <w:b/>
          <w:bCs/>
          <w:sz w:val="24"/>
          <w:szCs w:val="24"/>
        </w:rPr>
      </w:pPr>
    </w:p>
    <w:p w14:paraId="612D6F0C" w14:textId="6E370C94" w:rsidR="00317F11" w:rsidRPr="00444C47" w:rsidRDefault="00F72230" w:rsidP="00317F11">
      <w:pPr>
        <w:spacing w:line="360" w:lineRule="auto"/>
        <w:jc w:val="both"/>
        <w:rPr>
          <w:rFonts w:ascii="Arial" w:hAnsi="Arial" w:cs="Arial"/>
          <w:b/>
          <w:bCs/>
          <w:sz w:val="22"/>
          <w:szCs w:val="22"/>
        </w:rPr>
      </w:pPr>
      <w:r w:rsidRPr="00444C47">
        <w:rPr>
          <w:rFonts w:ascii="Arial" w:hAnsi="Arial" w:cs="Arial"/>
          <w:b/>
          <w:bCs/>
          <w:sz w:val="22"/>
          <w:szCs w:val="22"/>
        </w:rPr>
        <w:t>10. CONCLUSION</w:t>
      </w:r>
    </w:p>
    <w:p w14:paraId="01973CA8" w14:textId="5E475E98" w:rsidR="00FF24A4" w:rsidRPr="00FF24A4" w:rsidRDefault="00FF24A4" w:rsidP="00FF24A4">
      <w:pPr>
        <w:spacing w:line="360" w:lineRule="auto"/>
        <w:jc w:val="both"/>
        <w:rPr>
          <w:rFonts w:ascii="Arial" w:hAnsi="Arial" w:cs="Arial"/>
          <w:lang w:val="en-IN"/>
        </w:rPr>
      </w:pPr>
      <w:r w:rsidRPr="00FF24A4">
        <w:rPr>
          <w:rFonts w:ascii="Arial" w:hAnsi="Arial" w:cs="Arial"/>
          <w:lang w:val="en-IN"/>
        </w:rPr>
        <w:t>This study assessed the effectiveness of environmental CSR practices in the mining sector through a case analysis of SECL. The findings reveal that despite the implementation of diverse initiatives in afforestation, land reclamation, water management, and pollution control, the overall effectiveness of CSR remains moderate.</w:t>
      </w:r>
    </w:p>
    <w:p w14:paraId="21FEBAE5" w14:textId="5600688C" w:rsidR="00FF24A4" w:rsidRPr="00FF24A4" w:rsidRDefault="00FF24A4" w:rsidP="00FF24A4">
      <w:pPr>
        <w:spacing w:line="360" w:lineRule="auto"/>
        <w:jc w:val="both"/>
        <w:rPr>
          <w:rFonts w:ascii="Arial" w:hAnsi="Arial" w:cs="Arial"/>
          <w:lang w:val="en-IN"/>
        </w:rPr>
      </w:pPr>
      <w:r w:rsidRPr="00FF24A4">
        <w:rPr>
          <w:rFonts w:ascii="Arial" w:hAnsi="Arial" w:cs="Arial"/>
          <w:lang w:val="en-IN"/>
        </w:rPr>
        <w:t>While certain interventions</w:t>
      </w:r>
      <w:r w:rsidR="005345B0">
        <w:rPr>
          <w:rFonts w:ascii="Arial" w:hAnsi="Arial" w:cs="Arial"/>
          <w:lang w:val="en-IN"/>
        </w:rPr>
        <w:t xml:space="preserve"> </w:t>
      </w:r>
      <w:r w:rsidRPr="00FF24A4">
        <w:rPr>
          <w:rFonts w:ascii="Arial" w:hAnsi="Arial" w:cs="Arial"/>
          <w:lang w:val="en-IN"/>
        </w:rPr>
        <w:t>particularly land reclamation and mine water utilization</w:t>
      </w:r>
      <w:r w:rsidR="005345B0">
        <w:rPr>
          <w:rFonts w:ascii="Arial" w:hAnsi="Arial" w:cs="Arial"/>
          <w:lang w:val="en-IN"/>
        </w:rPr>
        <w:t xml:space="preserve"> </w:t>
      </w:r>
      <w:r w:rsidRPr="00FF24A4">
        <w:rPr>
          <w:rFonts w:ascii="Arial" w:hAnsi="Arial" w:cs="Arial"/>
          <w:lang w:val="en-IN"/>
        </w:rPr>
        <w:t>demonstrate relatively better outcomes, the long-term sustainability of CSR efforts is constrained by weak monitoring systems, low plantation survival rates, and limited stakeholder participation. Furthermore, CSR practices remain largely input-driven, with inadequate emphasis on measurable environmental outcomes.</w:t>
      </w:r>
    </w:p>
    <w:p w14:paraId="4454B012" w14:textId="77777777" w:rsidR="00FF24A4" w:rsidRPr="00FF24A4" w:rsidRDefault="00FF24A4" w:rsidP="00FF24A4">
      <w:pPr>
        <w:spacing w:line="360" w:lineRule="auto"/>
        <w:jc w:val="both"/>
        <w:rPr>
          <w:rFonts w:ascii="Arial" w:hAnsi="Arial" w:cs="Arial"/>
          <w:lang w:val="en-IN"/>
        </w:rPr>
      </w:pPr>
      <w:r w:rsidRPr="00FF24A4">
        <w:rPr>
          <w:rFonts w:ascii="Arial" w:hAnsi="Arial" w:cs="Arial"/>
          <w:lang w:val="en-IN"/>
        </w:rPr>
        <w:t>The study concludes that the effectiveness of CSR in the mining sector depends on a transition toward outcome-oriented evaluation, participatory implementation, and strategic integration with core operations, thereby strengthening its contribution to long-term environmental sustainability.</w:t>
      </w:r>
    </w:p>
    <w:p w14:paraId="1D7F3BA5" w14:textId="77777777" w:rsidR="00CB20AF" w:rsidRDefault="00CB20AF" w:rsidP="00317F11">
      <w:pPr>
        <w:spacing w:line="360" w:lineRule="auto"/>
        <w:jc w:val="both"/>
        <w:rPr>
          <w:rFonts w:ascii="Times New Roman" w:hAnsi="Times New Roman"/>
          <w:b/>
          <w:bCs/>
          <w:sz w:val="24"/>
          <w:szCs w:val="24"/>
        </w:rPr>
      </w:pPr>
    </w:p>
    <w:p w14:paraId="67B8CDFD" w14:textId="23841751" w:rsidR="00317F11" w:rsidRPr="00444C47" w:rsidRDefault="00F72230" w:rsidP="00317F11">
      <w:pPr>
        <w:spacing w:line="360" w:lineRule="auto"/>
        <w:jc w:val="both"/>
        <w:rPr>
          <w:rFonts w:ascii="Arial" w:hAnsi="Arial" w:cs="Arial"/>
          <w:b/>
          <w:bCs/>
          <w:sz w:val="22"/>
          <w:szCs w:val="22"/>
        </w:rPr>
      </w:pPr>
      <w:r w:rsidRPr="00444C47">
        <w:rPr>
          <w:rFonts w:ascii="Arial" w:hAnsi="Arial" w:cs="Arial"/>
          <w:b/>
          <w:bCs/>
          <w:sz w:val="22"/>
          <w:szCs w:val="22"/>
        </w:rPr>
        <w:t>11. LIMITATIONS AND FUTURE RESEARCH</w:t>
      </w:r>
    </w:p>
    <w:p w14:paraId="0DC0D6E4" w14:textId="7E96054F" w:rsidR="00F72230" w:rsidRDefault="00CB186C" w:rsidP="00CB186C">
      <w:pPr>
        <w:pStyle w:val="ReferHead"/>
        <w:spacing w:after="0" w:line="360" w:lineRule="auto"/>
        <w:jc w:val="both"/>
        <w:rPr>
          <w:rFonts w:ascii="Arial" w:hAnsi="Arial" w:cs="Arial"/>
          <w:b w:val="0"/>
          <w:caps w:val="0"/>
          <w:sz w:val="20"/>
        </w:rPr>
      </w:pPr>
      <w:r>
        <w:rPr>
          <w:rFonts w:ascii="Arial" w:hAnsi="Arial" w:cs="Arial"/>
          <w:b w:val="0"/>
          <w:caps w:val="0"/>
          <w:sz w:val="20"/>
        </w:rPr>
        <w:t>T</w:t>
      </w:r>
      <w:r w:rsidRPr="00CB186C">
        <w:rPr>
          <w:rFonts w:ascii="Arial" w:hAnsi="Arial" w:cs="Arial"/>
          <w:b w:val="0"/>
          <w:caps w:val="0"/>
          <w:sz w:val="20"/>
        </w:rPr>
        <w:t xml:space="preserve">his study has certain limitations that should be acknowledged. it is based solely on secondary data from company reports and published sources, which may not fully capture ground-level realities or stakeholder perspectives. the focus on a single case, </w:t>
      </w:r>
      <w:r>
        <w:rPr>
          <w:rFonts w:ascii="Arial" w:hAnsi="Arial" w:cs="Arial"/>
          <w:b w:val="0"/>
          <w:caps w:val="0"/>
          <w:sz w:val="20"/>
        </w:rPr>
        <w:t>SECL</w:t>
      </w:r>
      <w:r w:rsidRPr="00CB186C">
        <w:rPr>
          <w:rFonts w:ascii="Arial" w:hAnsi="Arial" w:cs="Arial"/>
          <w:b w:val="0"/>
          <w:caps w:val="0"/>
          <w:sz w:val="20"/>
        </w:rPr>
        <w:t xml:space="preserve">, limits the generalizability of the findings to other mining contexts. additionally, the qualitative approach does not provide statistical validation of outcomes, making the evaluation largely interpretative. the study also relies on reported </w:t>
      </w:r>
      <w:r>
        <w:rPr>
          <w:rFonts w:ascii="Arial" w:hAnsi="Arial" w:cs="Arial"/>
          <w:b w:val="0"/>
          <w:caps w:val="0"/>
          <w:sz w:val="20"/>
        </w:rPr>
        <w:t>CSR</w:t>
      </w:r>
      <w:r w:rsidRPr="00CB186C">
        <w:rPr>
          <w:rFonts w:ascii="Arial" w:hAnsi="Arial" w:cs="Arial"/>
          <w:b w:val="0"/>
          <w:caps w:val="0"/>
          <w:sz w:val="20"/>
        </w:rPr>
        <w:t xml:space="preserve"> activities, which may differ from actual on-ground impacts. future research can address these limitations by incorporating primary data, quantitative analysis, and comparative studies across multiple organizations.</w:t>
      </w:r>
    </w:p>
    <w:p w14:paraId="4E0BC682" w14:textId="77777777" w:rsidR="00CB186C" w:rsidRPr="00CB186C" w:rsidRDefault="00CB186C" w:rsidP="00F72230">
      <w:pPr>
        <w:pStyle w:val="ReferHead"/>
        <w:spacing w:after="0"/>
        <w:jc w:val="both"/>
        <w:rPr>
          <w:rFonts w:ascii="Arial" w:hAnsi="Arial" w:cs="Arial"/>
          <w:b w:val="0"/>
          <w:sz w:val="20"/>
        </w:rPr>
      </w:pPr>
    </w:p>
    <w:p w14:paraId="609F9006" w14:textId="77777777" w:rsidR="00F72230" w:rsidRPr="00444C47" w:rsidRDefault="00F72230" w:rsidP="00F72230">
      <w:pPr>
        <w:pStyle w:val="ReferHead"/>
        <w:spacing w:after="0"/>
        <w:jc w:val="both"/>
        <w:rPr>
          <w:rFonts w:ascii="Arial" w:hAnsi="Arial" w:cs="Arial"/>
          <w:bCs/>
        </w:rPr>
      </w:pPr>
      <w:r w:rsidRPr="00444C47">
        <w:rPr>
          <w:rFonts w:ascii="Arial" w:hAnsi="Arial" w:cs="Arial"/>
          <w:bCs/>
        </w:rPr>
        <w:t>Competing interests</w:t>
      </w:r>
    </w:p>
    <w:p w14:paraId="076A6D96" w14:textId="1EFDACC8" w:rsidR="00F72230" w:rsidRDefault="00F72230" w:rsidP="00F72230">
      <w:pPr>
        <w:pStyle w:val="ReferHead"/>
        <w:spacing w:after="0"/>
        <w:jc w:val="both"/>
        <w:rPr>
          <w:rFonts w:ascii="Arial" w:hAnsi="Arial" w:cs="Arial"/>
          <w:b w:val="0"/>
          <w:caps w:val="0"/>
          <w:sz w:val="20"/>
          <w:lang w:val="en-IN"/>
        </w:rPr>
      </w:pPr>
      <w:r w:rsidRPr="00444C47">
        <w:rPr>
          <w:rFonts w:ascii="Arial" w:hAnsi="Arial" w:cs="Arial"/>
          <w:b w:val="0"/>
          <w:caps w:val="0"/>
          <w:sz w:val="20"/>
          <w:lang w:val="en-IN"/>
        </w:rPr>
        <w:t>Authors have declared that no competing interests exist.</w:t>
      </w:r>
    </w:p>
    <w:p w14:paraId="4D97E39B" w14:textId="77777777" w:rsidR="00A842A3" w:rsidRDefault="00A842A3" w:rsidP="00F72230">
      <w:pPr>
        <w:pStyle w:val="ReferHead"/>
        <w:spacing w:after="0"/>
        <w:jc w:val="both"/>
        <w:rPr>
          <w:rFonts w:ascii="Arial" w:hAnsi="Arial" w:cs="Arial"/>
          <w:b w:val="0"/>
          <w:caps w:val="0"/>
          <w:sz w:val="20"/>
          <w:lang w:val="en-IN"/>
        </w:rPr>
      </w:pPr>
    </w:p>
    <w:p w14:paraId="0ED5295D" w14:textId="77777777" w:rsidR="00A842A3" w:rsidRPr="00A842A3" w:rsidRDefault="00A842A3" w:rsidP="00A842A3">
      <w:pPr>
        <w:pStyle w:val="ReferHead"/>
        <w:jc w:val="both"/>
        <w:rPr>
          <w:rFonts w:ascii="Arial" w:hAnsi="Arial" w:cs="Arial"/>
          <w:b w:val="0"/>
          <w:sz w:val="20"/>
        </w:rPr>
      </w:pPr>
      <w:r w:rsidRPr="00A842A3">
        <w:rPr>
          <w:rFonts w:ascii="Arial" w:hAnsi="Arial" w:cs="Arial"/>
          <w:b w:val="0"/>
          <w:sz w:val="20"/>
        </w:rPr>
        <w:t>COMPETING INTERESTS DISCLAIMER:</w:t>
      </w:r>
    </w:p>
    <w:p w14:paraId="22A080EC" w14:textId="77777777" w:rsidR="00A842A3" w:rsidRPr="00A842A3" w:rsidRDefault="00A842A3" w:rsidP="00A842A3">
      <w:pPr>
        <w:pStyle w:val="ReferHead"/>
        <w:jc w:val="both"/>
        <w:rPr>
          <w:rFonts w:ascii="Arial" w:hAnsi="Arial" w:cs="Arial"/>
          <w:b w:val="0"/>
          <w:sz w:val="20"/>
        </w:rPr>
      </w:pPr>
      <w:r w:rsidRPr="00A842A3">
        <w:rPr>
          <w:rFonts w:ascii="Arial" w:hAnsi="Arial" w:cs="Arial"/>
          <w:b w:val="0"/>
          <w:sz w:val="20"/>
        </w:rPr>
        <w:t>Authors have declared that they have no known competing financial interests OR non-financial interests OR personal relationships that could have appeared to influence the work reported in this paper.</w:t>
      </w:r>
    </w:p>
    <w:p w14:paraId="027E90B1" w14:textId="77777777" w:rsidR="00A842A3" w:rsidRPr="00A842A3" w:rsidRDefault="00A842A3" w:rsidP="00A842A3">
      <w:pPr>
        <w:pStyle w:val="ReferHead"/>
        <w:jc w:val="both"/>
        <w:rPr>
          <w:rFonts w:ascii="Arial" w:hAnsi="Arial" w:cs="Arial"/>
          <w:b w:val="0"/>
          <w:sz w:val="20"/>
        </w:rPr>
      </w:pPr>
    </w:p>
    <w:p w14:paraId="19BBFF93" w14:textId="636FDEA9" w:rsidR="00317F11" w:rsidRPr="00444C47" w:rsidRDefault="00F72230" w:rsidP="00317F11">
      <w:pPr>
        <w:spacing w:line="360" w:lineRule="auto"/>
        <w:jc w:val="both"/>
        <w:rPr>
          <w:rFonts w:ascii="Arial" w:hAnsi="Arial" w:cs="Arial"/>
          <w:b/>
          <w:bCs/>
          <w:sz w:val="22"/>
          <w:szCs w:val="22"/>
        </w:rPr>
      </w:pPr>
      <w:r w:rsidRPr="00444C47">
        <w:rPr>
          <w:rFonts w:ascii="Arial" w:hAnsi="Arial" w:cs="Arial"/>
          <w:b/>
          <w:bCs/>
          <w:sz w:val="22"/>
          <w:szCs w:val="22"/>
        </w:rPr>
        <w:t>12. REFERENCES</w:t>
      </w:r>
    </w:p>
    <w:p w14:paraId="15BEC9C8" w14:textId="77777777" w:rsidR="004D4277" w:rsidRDefault="004D4277" w:rsidP="0012501C">
      <w:pPr>
        <w:pStyle w:val="Body"/>
        <w:spacing w:after="0"/>
        <w:rPr>
          <w:rFonts w:ascii="Arial" w:hAnsi="Arial" w:cs="Arial"/>
        </w:rPr>
      </w:pPr>
    </w:p>
    <w:p w14:paraId="708613F9"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Carroll, A. B. (1991). The pyramid of corporate social responsibility: Toward the moral management of organizational stakeholders. </w:t>
      </w:r>
      <w:r w:rsidRPr="00BB7E35">
        <w:rPr>
          <w:rFonts w:ascii="Arial" w:hAnsi="Arial" w:cs="Arial"/>
          <w:i/>
          <w:iCs/>
          <w:lang w:val="en-IN"/>
        </w:rPr>
        <w:t>Business Horizons, 34</w:t>
      </w:r>
      <w:r w:rsidRPr="00BB7E35">
        <w:rPr>
          <w:rFonts w:ascii="Arial" w:hAnsi="Arial" w:cs="Arial"/>
          <w:lang w:val="en-IN"/>
        </w:rPr>
        <w:t xml:space="preserve">(4), 39–48. </w:t>
      </w:r>
      <w:hyperlink r:id="rId14" w:tgtFrame="_new" w:history="1">
        <w:r w:rsidRPr="00BB7E35">
          <w:rPr>
            <w:rStyle w:val="Hyperlink"/>
            <w:rFonts w:ascii="Arial" w:hAnsi="Arial" w:cs="Arial"/>
            <w:color w:val="auto"/>
            <w:u w:val="none"/>
            <w:lang w:val="en-IN"/>
          </w:rPr>
          <w:t>https://doi.org/10.1016/0007-6813(91)90005-G</w:t>
        </w:r>
      </w:hyperlink>
    </w:p>
    <w:p w14:paraId="62B92FDD"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Elkington, J. (1997). </w:t>
      </w:r>
      <w:r w:rsidRPr="00BB7E35">
        <w:rPr>
          <w:rFonts w:ascii="Arial" w:hAnsi="Arial" w:cs="Arial"/>
          <w:i/>
          <w:iCs/>
          <w:lang w:val="en-IN"/>
        </w:rPr>
        <w:t>Cannibals with forks: The triple bottom line of 21st century business</w:t>
      </w:r>
      <w:r w:rsidRPr="00BB7E35">
        <w:rPr>
          <w:rFonts w:ascii="Arial" w:hAnsi="Arial" w:cs="Arial"/>
          <w:lang w:val="en-IN"/>
        </w:rPr>
        <w:t>. Capstone Publishing.</w:t>
      </w:r>
    </w:p>
    <w:p w14:paraId="756E2D97"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Freeman, R. E. (1984). </w:t>
      </w:r>
      <w:r w:rsidRPr="00BB7E35">
        <w:rPr>
          <w:rFonts w:ascii="Arial" w:hAnsi="Arial" w:cs="Arial"/>
          <w:i/>
          <w:iCs/>
          <w:lang w:val="en-IN"/>
        </w:rPr>
        <w:t>Strategic management: A stakeholder approach</w:t>
      </w:r>
      <w:r w:rsidRPr="00BB7E35">
        <w:rPr>
          <w:rFonts w:ascii="Arial" w:hAnsi="Arial" w:cs="Arial"/>
          <w:lang w:val="en-IN"/>
        </w:rPr>
        <w:t>. Pitman Publishing.</w:t>
      </w:r>
    </w:p>
    <w:p w14:paraId="1ED7E0CF"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Government of India. (2013). </w:t>
      </w:r>
      <w:r w:rsidRPr="00BB7E35">
        <w:rPr>
          <w:rFonts w:ascii="Arial" w:hAnsi="Arial" w:cs="Arial"/>
          <w:i/>
          <w:iCs/>
          <w:lang w:val="en-IN"/>
        </w:rPr>
        <w:t>The Companies Act, 2013</w:t>
      </w:r>
      <w:r w:rsidRPr="00BB7E35">
        <w:rPr>
          <w:rFonts w:ascii="Arial" w:hAnsi="Arial" w:cs="Arial"/>
          <w:lang w:val="en-IN"/>
        </w:rPr>
        <w:t xml:space="preserve">. Ministry of Corporate Affairs. </w:t>
      </w:r>
      <w:hyperlink r:id="rId15" w:tgtFrame="_new" w:history="1">
        <w:r w:rsidRPr="00BB7E35">
          <w:rPr>
            <w:rStyle w:val="Hyperlink"/>
            <w:rFonts w:ascii="Arial" w:hAnsi="Arial" w:cs="Arial"/>
            <w:color w:val="auto"/>
            <w:u w:val="none"/>
            <w:lang w:val="en-IN"/>
          </w:rPr>
          <w:t>https://www.mca.gov.in</w:t>
        </w:r>
      </w:hyperlink>
    </w:p>
    <w:p w14:paraId="5AD82EDA" w14:textId="7ADCC7A4"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Gupta, R., &amp; Misra, S. (2024). Corporate social responsibility and environmental performance in mining sector: A sustainability perspective. </w:t>
      </w:r>
      <w:r w:rsidRPr="00BB7E35">
        <w:rPr>
          <w:rFonts w:ascii="Arial" w:hAnsi="Arial" w:cs="Arial"/>
          <w:i/>
          <w:iCs/>
          <w:lang w:val="en-IN"/>
        </w:rPr>
        <w:t>Journal of Sustainable Development Studies, 16</w:t>
      </w:r>
      <w:r w:rsidRPr="00BB7E35">
        <w:rPr>
          <w:rFonts w:ascii="Arial" w:hAnsi="Arial" w:cs="Arial"/>
          <w:lang w:val="en-IN"/>
        </w:rPr>
        <w:t>(1), 45–62.</w:t>
      </w:r>
    </w:p>
    <w:p w14:paraId="328A503D"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Hilson, G. (2020). Corporate social responsibility in the extractive industries: Experiences from developing countries. </w:t>
      </w:r>
      <w:r w:rsidRPr="00BB7E35">
        <w:rPr>
          <w:rFonts w:ascii="Arial" w:hAnsi="Arial" w:cs="Arial"/>
          <w:i/>
          <w:iCs/>
          <w:lang w:val="en-IN"/>
        </w:rPr>
        <w:t>Resources Policy, 66</w:t>
      </w:r>
      <w:r w:rsidRPr="00BB7E35">
        <w:rPr>
          <w:rFonts w:ascii="Arial" w:hAnsi="Arial" w:cs="Arial"/>
          <w:lang w:val="en-IN"/>
        </w:rPr>
        <w:t>, 101–110. https://doi.org/10.1016/j.resourpol.2020.101602</w:t>
      </w:r>
    </w:p>
    <w:p w14:paraId="7F351557" w14:textId="1E88A49D"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Jain, T., &amp; Winner, L. (2022). Integrating CSR into corporate strategy: A sustainability approach. </w:t>
      </w:r>
      <w:r w:rsidRPr="00BB7E35">
        <w:rPr>
          <w:rFonts w:ascii="Arial" w:hAnsi="Arial" w:cs="Arial"/>
          <w:i/>
          <w:iCs/>
          <w:lang w:val="en-IN"/>
        </w:rPr>
        <w:t>International Journal of Business Ethics, 18</w:t>
      </w:r>
      <w:r w:rsidRPr="00BB7E35">
        <w:rPr>
          <w:rFonts w:ascii="Arial" w:hAnsi="Arial" w:cs="Arial"/>
          <w:lang w:val="en-IN"/>
        </w:rPr>
        <w:t xml:space="preserve">(2), 134–149. </w:t>
      </w:r>
    </w:p>
    <w:p w14:paraId="32809B00"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Jenkins, H., &amp; Yakovleva, N. (2006). Corporate social responsibility in the mining industry: Exploring trends in social and environmental disclosure. </w:t>
      </w:r>
      <w:r w:rsidRPr="00BB7E35">
        <w:rPr>
          <w:rFonts w:ascii="Arial" w:hAnsi="Arial" w:cs="Arial"/>
          <w:i/>
          <w:iCs/>
          <w:lang w:val="en-IN"/>
        </w:rPr>
        <w:t>Journal of Cleaner Production, 14</w:t>
      </w:r>
      <w:r w:rsidRPr="00BB7E35">
        <w:rPr>
          <w:rFonts w:ascii="Arial" w:hAnsi="Arial" w:cs="Arial"/>
          <w:lang w:val="en-IN"/>
        </w:rPr>
        <w:t xml:space="preserve">(3–4), 271–284. </w:t>
      </w:r>
      <w:hyperlink r:id="rId16" w:tgtFrame="_new" w:history="1">
        <w:r w:rsidRPr="00BB7E35">
          <w:rPr>
            <w:rStyle w:val="Hyperlink"/>
            <w:rFonts w:ascii="Arial" w:hAnsi="Arial" w:cs="Arial"/>
            <w:color w:val="auto"/>
            <w:u w:val="none"/>
            <w:lang w:val="en-IN"/>
          </w:rPr>
          <w:t>https://doi.org/10.1016/j.jclepro.2004.10.004</w:t>
        </w:r>
      </w:hyperlink>
    </w:p>
    <w:p w14:paraId="0AC7142A"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Kemp, D., &amp; Owen, J. R. (2013). Community relations and mining: Core to business but not “core business.” </w:t>
      </w:r>
      <w:r w:rsidRPr="00BB7E35">
        <w:rPr>
          <w:rFonts w:ascii="Arial" w:hAnsi="Arial" w:cs="Arial"/>
          <w:i/>
          <w:iCs/>
          <w:lang w:val="en-IN"/>
        </w:rPr>
        <w:t>Resources Policy, 38</w:t>
      </w:r>
      <w:r w:rsidRPr="00BB7E35">
        <w:rPr>
          <w:rFonts w:ascii="Arial" w:hAnsi="Arial" w:cs="Arial"/>
          <w:lang w:val="en-IN"/>
        </w:rPr>
        <w:t xml:space="preserve">(4), 523–531. </w:t>
      </w:r>
      <w:hyperlink r:id="rId17" w:tgtFrame="_new" w:history="1">
        <w:r w:rsidRPr="00BB7E35">
          <w:rPr>
            <w:rStyle w:val="Hyperlink"/>
            <w:rFonts w:ascii="Arial" w:hAnsi="Arial" w:cs="Arial"/>
            <w:color w:val="auto"/>
            <w:u w:val="none"/>
            <w:lang w:val="en-IN"/>
          </w:rPr>
          <w:t>https://doi.org/10.1016/j.resourpol.2013.08.003</w:t>
        </w:r>
      </w:hyperlink>
    </w:p>
    <w:p w14:paraId="125D3579"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Khan, M., Rahman, A., &amp; Islam, S. (2023). ESG integration and corporate sustainability: Evidence from emerging economies. </w:t>
      </w:r>
      <w:r w:rsidRPr="00BB7E35">
        <w:rPr>
          <w:rFonts w:ascii="Arial" w:hAnsi="Arial" w:cs="Arial"/>
          <w:i/>
          <w:iCs/>
          <w:lang w:val="en-IN"/>
        </w:rPr>
        <w:t>Sustainability, 15</w:t>
      </w:r>
      <w:r w:rsidRPr="00BB7E35">
        <w:rPr>
          <w:rFonts w:ascii="Arial" w:hAnsi="Arial" w:cs="Arial"/>
          <w:lang w:val="en-IN"/>
        </w:rPr>
        <w:t>(4), 2987. https://doi.org/10.3390/su15042987</w:t>
      </w:r>
    </w:p>
    <w:p w14:paraId="1CD92EDD"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Kumar, A., Singh, R., &amp; Pandey, S. (2020). Corporate social responsibility and environmental sustainability in mining sector: Evidence from India. </w:t>
      </w:r>
      <w:r w:rsidRPr="00BB7E35">
        <w:rPr>
          <w:rFonts w:ascii="Arial" w:hAnsi="Arial" w:cs="Arial"/>
          <w:i/>
          <w:iCs/>
          <w:lang w:val="en-IN"/>
        </w:rPr>
        <w:t>Journal of Environmental Management, 276</w:t>
      </w:r>
      <w:r w:rsidRPr="00BB7E35">
        <w:rPr>
          <w:rFonts w:ascii="Arial" w:hAnsi="Arial" w:cs="Arial"/>
          <w:lang w:val="en-IN"/>
        </w:rPr>
        <w:t xml:space="preserve">, 111123. </w:t>
      </w:r>
      <w:hyperlink r:id="rId18" w:tgtFrame="_new" w:history="1">
        <w:r w:rsidRPr="00BB7E35">
          <w:rPr>
            <w:rStyle w:val="Hyperlink"/>
            <w:rFonts w:ascii="Arial" w:hAnsi="Arial" w:cs="Arial"/>
            <w:color w:val="auto"/>
            <w:u w:val="none"/>
            <w:lang w:val="en-IN"/>
          </w:rPr>
          <w:t>https://doi.org/10.1016/j.jenvman.2020.111123</w:t>
        </w:r>
      </w:hyperlink>
    </w:p>
    <w:p w14:paraId="52E787D6"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Ministry of Coal. (2024). </w:t>
      </w:r>
      <w:r w:rsidRPr="00BB7E35">
        <w:rPr>
          <w:rFonts w:ascii="Arial" w:hAnsi="Arial" w:cs="Arial"/>
          <w:i/>
          <w:iCs/>
          <w:lang w:val="en-IN"/>
        </w:rPr>
        <w:t>Annual report 2023–24</w:t>
      </w:r>
      <w:r w:rsidRPr="00BB7E35">
        <w:rPr>
          <w:rFonts w:ascii="Arial" w:hAnsi="Arial" w:cs="Arial"/>
          <w:lang w:val="en-IN"/>
        </w:rPr>
        <w:t xml:space="preserve">. Government of India. </w:t>
      </w:r>
      <w:hyperlink r:id="rId19" w:tgtFrame="_new" w:history="1">
        <w:r w:rsidRPr="00BB7E35">
          <w:rPr>
            <w:rStyle w:val="Hyperlink"/>
            <w:rFonts w:ascii="Arial" w:hAnsi="Arial" w:cs="Arial"/>
            <w:color w:val="auto"/>
            <w:u w:val="none"/>
            <w:lang w:val="en-IN"/>
          </w:rPr>
          <w:t>https://coal.nic.in</w:t>
        </w:r>
      </w:hyperlink>
    </w:p>
    <w:p w14:paraId="1752F563"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Ministry of Corporate Affairs. (2013). </w:t>
      </w:r>
      <w:r w:rsidRPr="00BB7E35">
        <w:rPr>
          <w:rFonts w:ascii="Arial" w:hAnsi="Arial" w:cs="Arial"/>
          <w:i/>
          <w:iCs/>
          <w:lang w:val="en-IN"/>
        </w:rPr>
        <w:t>National voluntary guidelines on social, environmental and economic responsibilities of business</w:t>
      </w:r>
      <w:r w:rsidRPr="00BB7E35">
        <w:rPr>
          <w:rFonts w:ascii="Arial" w:hAnsi="Arial" w:cs="Arial"/>
          <w:lang w:val="en-IN"/>
        </w:rPr>
        <w:t>. Government of India.</w:t>
      </w:r>
    </w:p>
    <w:p w14:paraId="649C85DE"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NITI Aayog. (2023). </w:t>
      </w:r>
      <w:r w:rsidRPr="00BB7E35">
        <w:rPr>
          <w:rFonts w:ascii="Arial" w:hAnsi="Arial" w:cs="Arial"/>
          <w:i/>
          <w:iCs/>
          <w:lang w:val="en-IN"/>
        </w:rPr>
        <w:t>Sustainable development goals: India progress report</w:t>
      </w:r>
      <w:r w:rsidRPr="00BB7E35">
        <w:rPr>
          <w:rFonts w:ascii="Arial" w:hAnsi="Arial" w:cs="Arial"/>
          <w:lang w:val="en-IN"/>
        </w:rPr>
        <w:t xml:space="preserve">. Government of India. </w:t>
      </w:r>
      <w:hyperlink r:id="rId20" w:tgtFrame="_new" w:history="1">
        <w:r w:rsidRPr="00BB7E35">
          <w:rPr>
            <w:rStyle w:val="Hyperlink"/>
            <w:rFonts w:ascii="Arial" w:hAnsi="Arial" w:cs="Arial"/>
            <w:color w:val="auto"/>
            <w:u w:val="none"/>
            <w:lang w:val="en-IN"/>
          </w:rPr>
          <w:t>https://www.niti.gov.in</w:t>
        </w:r>
      </w:hyperlink>
    </w:p>
    <w:p w14:paraId="63C88A9C"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Rahman, N., &amp; Post, C. (2021). Measuring CSR strategy: Linking CSR to firm performance. </w:t>
      </w:r>
      <w:r w:rsidRPr="00BB7E35">
        <w:rPr>
          <w:rFonts w:ascii="Arial" w:hAnsi="Arial" w:cs="Arial"/>
          <w:i/>
          <w:iCs/>
          <w:lang w:val="en-IN"/>
        </w:rPr>
        <w:t>Business &amp; Society, 60</w:t>
      </w:r>
      <w:r w:rsidRPr="00BB7E35">
        <w:rPr>
          <w:rFonts w:ascii="Arial" w:hAnsi="Arial" w:cs="Arial"/>
          <w:lang w:val="en-IN"/>
        </w:rPr>
        <w:t>(5), 1090–1120. https://doi.org/10.1177/0007650318785778</w:t>
      </w:r>
    </w:p>
    <w:p w14:paraId="1F7A7145"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SECL (South Eastern Coalfields Limited). (2023). </w:t>
      </w:r>
      <w:r w:rsidRPr="00BB7E35">
        <w:rPr>
          <w:rFonts w:ascii="Arial" w:hAnsi="Arial" w:cs="Arial"/>
          <w:i/>
          <w:iCs/>
          <w:lang w:val="en-IN"/>
        </w:rPr>
        <w:t>Annual report 2022–23</w:t>
      </w:r>
      <w:r w:rsidRPr="00BB7E35">
        <w:rPr>
          <w:rFonts w:ascii="Arial" w:hAnsi="Arial" w:cs="Arial"/>
          <w:lang w:val="en-IN"/>
        </w:rPr>
        <w:t xml:space="preserve">. </w:t>
      </w:r>
      <w:hyperlink r:id="rId21" w:tgtFrame="_new" w:history="1">
        <w:r w:rsidRPr="00BB7E35">
          <w:rPr>
            <w:rStyle w:val="Hyperlink"/>
            <w:rFonts w:ascii="Arial" w:hAnsi="Arial" w:cs="Arial"/>
            <w:color w:val="auto"/>
            <w:u w:val="none"/>
            <w:lang w:val="en-IN"/>
          </w:rPr>
          <w:t>https://www.secl-cil.in</w:t>
        </w:r>
      </w:hyperlink>
    </w:p>
    <w:p w14:paraId="37581B70"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SECL (South Eastern Coalfields Limited). (2023). </w:t>
      </w:r>
      <w:r w:rsidRPr="00BB7E35">
        <w:rPr>
          <w:rFonts w:ascii="Arial" w:hAnsi="Arial" w:cs="Arial"/>
          <w:i/>
          <w:iCs/>
          <w:lang w:val="en-IN"/>
        </w:rPr>
        <w:t>Corporate social responsibility report 2022–23</w:t>
      </w:r>
      <w:r w:rsidRPr="00BB7E35">
        <w:rPr>
          <w:rFonts w:ascii="Arial" w:hAnsi="Arial" w:cs="Arial"/>
          <w:lang w:val="en-IN"/>
        </w:rPr>
        <w:t xml:space="preserve">. </w:t>
      </w:r>
      <w:hyperlink r:id="rId22" w:tgtFrame="_new" w:history="1">
        <w:r w:rsidRPr="00BB7E35">
          <w:rPr>
            <w:rStyle w:val="Hyperlink"/>
            <w:rFonts w:ascii="Arial" w:hAnsi="Arial" w:cs="Arial"/>
            <w:color w:val="auto"/>
            <w:u w:val="none"/>
            <w:lang w:val="en-IN"/>
          </w:rPr>
          <w:t>https://www.secl-cil.in</w:t>
        </w:r>
      </w:hyperlink>
    </w:p>
    <w:p w14:paraId="4A217A71" w14:textId="04B2C689"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Sharma, S. (2019). Sustainable mining practices and environmental management. </w:t>
      </w:r>
      <w:r w:rsidRPr="00BB7E35">
        <w:rPr>
          <w:rFonts w:ascii="Arial" w:hAnsi="Arial" w:cs="Arial"/>
          <w:i/>
          <w:iCs/>
          <w:lang w:val="en-IN"/>
        </w:rPr>
        <w:t>Environmental Policy Review, 12</w:t>
      </w:r>
      <w:r w:rsidRPr="00BB7E35">
        <w:rPr>
          <w:rFonts w:ascii="Arial" w:hAnsi="Arial" w:cs="Arial"/>
          <w:lang w:val="en-IN"/>
        </w:rPr>
        <w:t xml:space="preserve">(3), 210–225. </w:t>
      </w:r>
    </w:p>
    <w:p w14:paraId="01632A54"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Singh, R. (2010). Environmental impacts of mining and mitigation measures. </w:t>
      </w:r>
      <w:r w:rsidRPr="00BB7E35">
        <w:rPr>
          <w:rFonts w:ascii="Arial" w:hAnsi="Arial" w:cs="Arial"/>
          <w:i/>
          <w:iCs/>
          <w:lang w:val="en-IN"/>
        </w:rPr>
        <w:t>Journal of Environmental Biology, 31</w:t>
      </w:r>
      <w:r w:rsidRPr="00BB7E35">
        <w:rPr>
          <w:rFonts w:ascii="Arial" w:hAnsi="Arial" w:cs="Arial"/>
          <w:lang w:val="en-IN"/>
        </w:rPr>
        <w:t>(6), 1029–1035.</w:t>
      </w:r>
    </w:p>
    <w:p w14:paraId="545B93DC"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Singh, R., &amp; Mishra, S. (2018). Environmental impacts of mining on ecological systems: A review. </w:t>
      </w:r>
      <w:r w:rsidRPr="00BB7E35">
        <w:rPr>
          <w:rFonts w:ascii="Arial" w:hAnsi="Arial" w:cs="Arial"/>
          <w:i/>
          <w:iCs/>
          <w:lang w:val="en-IN"/>
        </w:rPr>
        <w:t>International Journal of Environmental Studies, 75</w:t>
      </w:r>
      <w:r w:rsidRPr="00BB7E35">
        <w:rPr>
          <w:rFonts w:ascii="Arial" w:hAnsi="Arial" w:cs="Arial"/>
          <w:lang w:val="en-IN"/>
        </w:rPr>
        <w:t xml:space="preserve">(2), 1–15. </w:t>
      </w:r>
      <w:hyperlink r:id="rId23" w:tgtFrame="_new" w:history="1">
        <w:r w:rsidRPr="00BB7E35">
          <w:rPr>
            <w:rStyle w:val="Hyperlink"/>
            <w:rFonts w:ascii="Arial" w:hAnsi="Arial" w:cs="Arial"/>
            <w:color w:val="auto"/>
            <w:u w:val="none"/>
            <w:lang w:val="en-IN"/>
          </w:rPr>
          <w:t>https://doi.org/10.1080/00207233.2017.1403653</w:t>
        </w:r>
      </w:hyperlink>
    </w:p>
    <w:p w14:paraId="5844335E"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Suchman, M. C. (1995). Managing legitimacy: Strategic and institutional approaches. </w:t>
      </w:r>
      <w:r w:rsidRPr="00BB7E35">
        <w:rPr>
          <w:rFonts w:ascii="Arial" w:hAnsi="Arial" w:cs="Arial"/>
          <w:i/>
          <w:iCs/>
          <w:lang w:val="en-IN"/>
        </w:rPr>
        <w:t>Academy of Management Review, 20</w:t>
      </w:r>
      <w:r w:rsidRPr="00BB7E35">
        <w:rPr>
          <w:rFonts w:ascii="Arial" w:hAnsi="Arial" w:cs="Arial"/>
          <w:lang w:val="en-IN"/>
        </w:rPr>
        <w:t xml:space="preserve">(3), 571–610. </w:t>
      </w:r>
      <w:hyperlink r:id="rId24" w:tgtFrame="_new" w:history="1">
        <w:r w:rsidRPr="00BB7E35">
          <w:rPr>
            <w:rStyle w:val="Hyperlink"/>
            <w:rFonts w:ascii="Arial" w:hAnsi="Arial" w:cs="Arial"/>
            <w:color w:val="auto"/>
            <w:u w:val="none"/>
            <w:lang w:val="en-IN"/>
          </w:rPr>
          <w:t>https://doi.org/10.5465/amr.1995.9508080331</w:t>
        </w:r>
      </w:hyperlink>
    </w:p>
    <w:p w14:paraId="4B737749" w14:textId="77777777" w:rsidR="00BB7E35" w:rsidRPr="00BB7E35" w:rsidRDefault="00BB7E35" w:rsidP="00BB7E35">
      <w:pPr>
        <w:pStyle w:val="Body"/>
        <w:spacing w:after="0" w:line="360" w:lineRule="auto"/>
        <w:rPr>
          <w:rFonts w:ascii="Arial" w:hAnsi="Arial" w:cs="Arial"/>
          <w:lang w:val="en-IN"/>
        </w:rPr>
      </w:pPr>
      <w:r w:rsidRPr="00BB7E35">
        <w:rPr>
          <w:rFonts w:ascii="Arial" w:hAnsi="Arial" w:cs="Arial"/>
          <w:lang w:val="en-IN"/>
        </w:rPr>
        <w:t xml:space="preserve">World Bank. (2023). </w:t>
      </w:r>
      <w:r w:rsidRPr="00BB7E35">
        <w:rPr>
          <w:rFonts w:ascii="Arial" w:hAnsi="Arial" w:cs="Arial"/>
          <w:i/>
          <w:iCs/>
          <w:lang w:val="en-IN"/>
        </w:rPr>
        <w:t>Environmental, social, and governance (ESG) framework and corporate sustainability</w:t>
      </w:r>
      <w:r w:rsidRPr="00BB7E35">
        <w:rPr>
          <w:rFonts w:ascii="Arial" w:hAnsi="Arial" w:cs="Arial"/>
          <w:lang w:val="en-IN"/>
        </w:rPr>
        <w:t xml:space="preserve">. </w:t>
      </w:r>
      <w:hyperlink r:id="rId25" w:tgtFrame="_new" w:history="1">
        <w:r w:rsidRPr="00BB7E35">
          <w:rPr>
            <w:rStyle w:val="Hyperlink"/>
            <w:rFonts w:ascii="Arial" w:hAnsi="Arial" w:cs="Arial"/>
            <w:color w:val="auto"/>
            <w:u w:val="none"/>
            <w:lang w:val="en-IN"/>
          </w:rPr>
          <w:t>https://www.worldbank.org</w:t>
        </w:r>
      </w:hyperlink>
    </w:p>
    <w:p w14:paraId="6FE9CFEA" w14:textId="233504BC" w:rsidR="00BB7E35" w:rsidRPr="00BB7E35" w:rsidRDefault="00BB7E35" w:rsidP="00BB7E35">
      <w:pPr>
        <w:pStyle w:val="Body"/>
        <w:spacing w:after="0" w:line="360" w:lineRule="auto"/>
        <w:rPr>
          <w:rFonts w:ascii="Arial" w:hAnsi="Arial" w:cs="Arial"/>
        </w:rPr>
        <w:sectPr w:rsidR="00BB7E35" w:rsidRPr="00BB7E35" w:rsidSect="00EC095B">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77DA4328" w14:textId="77777777" w:rsidR="00B01FCD" w:rsidRPr="00BB7E35" w:rsidRDefault="00B01FCD" w:rsidP="00BB7E35">
      <w:pPr>
        <w:pStyle w:val="Appendix"/>
        <w:spacing w:after="0" w:line="360" w:lineRule="auto"/>
        <w:jc w:val="both"/>
        <w:rPr>
          <w:rFonts w:ascii="Arial" w:hAnsi="Arial" w:cs="Arial"/>
          <w:b w:val="0"/>
        </w:rPr>
      </w:pPr>
    </w:p>
    <w:sectPr w:rsidR="00B01FCD" w:rsidRPr="00BB7E35" w:rsidSect="00EC095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9B931" w14:textId="77777777" w:rsidR="001D0ED6" w:rsidRDefault="001D0ED6" w:rsidP="00C37E61">
      <w:r>
        <w:separator/>
      </w:r>
    </w:p>
  </w:endnote>
  <w:endnote w:type="continuationSeparator" w:id="0">
    <w:p w14:paraId="6D9986F6" w14:textId="77777777" w:rsidR="001D0ED6" w:rsidRDefault="001D0ED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altName w:val="Sylfaen"/>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4899" w14:textId="77777777" w:rsidR="00EC095B" w:rsidRDefault="00EC0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80DB" w14:textId="77777777" w:rsidR="00EC095B" w:rsidRDefault="00EC0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ED0E" w14:textId="19659838" w:rsidR="00754C9A" w:rsidRPr="00E52ABC" w:rsidRDefault="00754C9A" w:rsidP="00E52A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DC9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1F95" w14:textId="77777777" w:rsidR="001D0ED6" w:rsidRDefault="001D0ED6" w:rsidP="00C37E61">
      <w:r>
        <w:separator/>
      </w:r>
    </w:p>
  </w:footnote>
  <w:footnote w:type="continuationSeparator" w:id="0">
    <w:p w14:paraId="7AFEC3BF" w14:textId="77777777" w:rsidR="001D0ED6" w:rsidRDefault="001D0ED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F301" w14:textId="6284CB5F" w:rsidR="00EC095B" w:rsidRDefault="0069422B">
    <w:pPr>
      <w:pStyle w:val="Header"/>
    </w:pPr>
    <w:r>
      <w:rPr>
        <w:noProof/>
      </w:rPr>
    </w:r>
    <w:r w:rsidR="0069422B">
      <w:rPr>
        <w:noProof/>
      </w:rPr>
      <w:pict w14:anchorId="77B47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0001" o:spid="_x0000_s1026" type="#_x0000_t136" style="position:absolute;margin-left:0;margin-top:0;width:467.9pt;height:52.7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233A" w14:textId="6D9BC018" w:rsidR="00EC095B" w:rsidRDefault="0069422B">
    <w:pPr>
      <w:pStyle w:val="Header"/>
    </w:pPr>
    <w:r>
      <w:rPr>
        <w:noProof/>
      </w:rPr>
    </w:r>
    <w:r w:rsidR="0069422B">
      <w:rPr>
        <w:noProof/>
      </w:rPr>
      <w:pict w14:anchorId="4B99F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0002" o:spid="_x0000_s1027" type="#_x0000_t136" style="position:absolute;margin-left:0;margin-top:0;width:467.9pt;height:52.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20DA" w14:textId="0F4FCD0F" w:rsidR="00296529" w:rsidRPr="00296529" w:rsidRDefault="0069422B" w:rsidP="00296529">
    <w:pPr>
      <w:ind w:left="2160"/>
      <w:jc w:val="center"/>
      <w:rPr>
        <w:rFonts w:ascii="Times New Roman" w:eastAsia="Calibri" w:hAnsi="Times New Roman"/>
        <w:i/>
        <w:sz w:val="18"/>
        <w:szCs w:val="22"/>
      </w:rPr>
    </w:pPr>
    <w:r>
      <w:rPr>
        <w:noProof/>
      </w:rPr>
    </w:r>
    <w:r w:rsidR="0069422B">
      <w:rPr>
        <w:noProof/>
      </w:rPr>
      <w:pict w14:anchorId="26BF2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0000" o:spid="_x0000_s1025" type="#_x0000_t136" style="position:absolute;left:0;text-align:left;margin-left:0;margin-top:0;width:467.9pt;height:52.7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5342B7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74D0D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7BD88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2EEE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7583C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14D544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12D1" w14:textId="1B8EC1E2" w:rsidR="00EC095B" w:rsidRDefault="0069422B">
    <w:pPr>
      <w:pStyle w:val="Header"/>
    </w:pPr>
    <w:r>
      <w:rPr>
        <w:noProof/>
      </w:rPr>
    </w:r>
    <w:r w:rsidR="0069422B">
      <w:rPr>
        <w:noProof/>
      </w:rPr>
      <w:pict w14:anchorId="5A020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0004" o:spid="_x0000_s1029" type="#_x0000_t136" style="position:absolute;margin-left:0;margin-top:0;width:467.9pt;height:52.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684D" w14:textId="4183055F" w:rsidR="00EC095B" w:rsidRDefault="0069422B">
    <w:pPr>
      <w:pStyle w:val="Header"/>
    </w:pPr>
    <w:r>
      <w:rPr>
        <w:noProof/>
      </w:rPr>
    </w:r>
    <w:r w:rsidR="0069422B">
      <w:rPr>
        <w:noProof/>
      </w:rPr>
      <w:pict w14:anchorId="51A1A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0005" o:spid="_x0000_s1030" type="#_x0000_t136" style="position:absolute;margin-left:0;margin-top:0;width:467.9pt;height:52.7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BFCC" w14:textId="1E3D9C55" w:rsidR="00EC095B" w:rsidRDefault="0069422B">
    <w:pPr>
      <w:pStyle w:val="Header"/>
    </w:pPr>
    <w:r>
      <w:rPr>
        <w:noProof/>
      </w:rPr>
    </w:r>
    <w:r w:rsidR="0069422B">
      <w:rPr>
        <w:noProof/>
      </w:rPr>
      <w:pict w14:anchorId="5871B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0003" o:spid="_x0000_s1028" type="#_x0000_t136" style="position:absolute;margin-left:0;margin-top:0;width:467.9pt;height:52.7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47690C"/>
    <w:multiLevelType w:val="hybridMultilevel"/>
    <w:tmpl w:val="045EFE40"/>
    <w:lvl w:ilvl="0" w:tplc="D6D0A93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F5E6E18"/>
    <w:multiLevelType w:val="multilevel"/>
    <w:tmpl w:val="CB62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E753FC"/>
    <w:multiLevelType w:val="hybridMultilevel"/>
    <w:tmpl w:val="5DDEA5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053357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47040155">
    <w:abstractNumId w:val="18"/>
  </w:num>
  <w:num w:numId="3" w16cid:durableId="366611246">
    <w:abstractNumId w:val="26"/>
  </w:num>
  <w:num w:numId="4" w16cid:durableId="65938585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9522460">
    <w:abstractNumId w:val="7"/>
  </w:num>
  <w:num w:numId="6" w16cid:durableId="359207404">
    <w:abstractNumId w:val="6"/>
  </w:num>
  <w:num w:numId="7" w16cid:durableId="1529368934">
    <w:abstractNumId w:val="1"/>
  </w:num>
  <w:num w:numId="8" w16cid:durableId="768231472">
    <w:abstractNumId w:val="12"/>
  </w:num>
  <w:num w:numId="9" w16cid:durableId="71438343">
    <w:abstractNumId w:val="28"/>
  </w:num>
  <w:num w:numId="10" w16cid:durableId="296447792">
    <w:abstractNumId w:val="2"/>
  </w:num>
  <w:num w:numId="11" w16cid:durableId="372190620">
    <w:abstractNumId w:val="21"/>
  </w:num>
  <w:num w:numId="12" w16cid:durableId="998852758">
    <w:abstractNumId w:val="3"/>
  </w:num>
  <w:num w:numId="13" w16cid:durableId="1240866657">
    <w:abstractNumId w:val="20"/>
  </w:num>
  <w:num w:numId="14" w16cid:durableId="157697292">
    <w:abstractNumId w:val="8"/>
  </w:num>
  <w:num w:numId="15" w16cid:durableId="792750782">
    <w:abstractNumId w:val="24"/>
  </w:num>
  <w:num w:numId="16" w16cid:durableId="1239050624">
    <w:abstractNumId w:val="5"/>
  </w:num>
  <w:num w:numId="17" w16cid:durableId="1719435032">
    <w:abstractNumId w:val="25"/>
  </w:num>
  <w:num w:numId="18" w16cid:durableId="1629774739">
    <w:abstractNumId w:val="16"/>
  </w:num>
  <w:num w:numId="19" w16cid:durableId="2111119881">
    <w:abstractNumId w:val="31"/>
  </w:num>
  <w:num w:numId="20" w16cid:durableId="745306076">
    <w:abstractNumId w:val="11"/>
  </w:num>
  <w:num w:numId="21" w16cid:durableId="1987319301">
    <w:abstractNumId w:val="9"/>
  </w:num>
  <w:num w:numId="22" w16cid:durableId="772939615">
    <w:abstractNumId w:val="13"/>
  </w:num>
  <w:num w:numId="23" w16cid:durableId="1553420097">
    <w:abstractNumId w:val="22"/>
  </w:num>
  <w:num w:numId="24" w16cid:durableId="1587878161">
    <w:abstractNumId w:val="29"/>
  </w:num>
  <w:num w:numId="25" w16cid:durableId="2077967130">
    <w:abstractNumId w:val="4"/>
  </w:num>
  <w:num w:numId="26" w16cid:durableId="1003437601">
    <w:abstractNumId w:val="19"/>
  </w:num>
  <w:num w:numId="27" w16cid:durableId="1014378860">
    <w:abstractNumId w:val="23"/>
  </w:num>
  <w:num w:numId="28" w16cid:durableId="2026129930">
    <w:abstractNumId w:val="30"/>
  </w:num>
  <w:num w:numId="29" w16cid:durableId="1094058305">
    <w:abstractNumId w:val="27"/>
  </w:num>
  <w:num w:numId="30" w16cid:durableId="281959459">
    <w:abstractNumId w:val="10"/>
  </w:num>
  <w:num w:numId="31" w16cid:durableId="2033727762">
    <w:abstractNumId w:val="14"/>
  </w:num>
  <w:num w:numId="32" w16cid:durableId="1444807447">
    <w:abstractNumId w:val="17"/>
  </w:num>
  <w:num w:numId="33" w16cid:durableId="292179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A07"/>
    <w:rsid w:val="00030174"/>
    <w:rsid w:val="00033F08"/>
    <w:rsid w:val="00044F25"/>
    <w:rsid w:val="0004579C"/>
    <w:rsid w:val="00061B69"/>
    <w:rsid w:val="000A47FA"/>
    <w:rsid w:val="000A65D3"/>
    <w:rsid w:val="000B1E33"/>
    <w:rsid w:val="000D689F"/>
    <w:rsid w:val="000E7B7B"/>
    <w:rsid w:val="000E7D62"/>
    <w:rsid w:val="00103357"/>
    <w:rsid w:val="0010728E"/>
    <w:rsid w:val="00110A95"/>
    <w:rsid w:val="00123C9F"/>
    <w:rsid w:val="0012501C"/>
    <w:rsid w:val="00126190"/>
    <w:rsid w:val="00130F17"/>
    <w:rsid w:val="001320BF"/>
    <w:rsid w:val="00163BC4"/>
    <w:rsid w:val="00191062"/>
    <w:rsid w:val="00192B72"/>
    <w:rsid w:val="001A29D8"/>
    <w:rsid w:val="001A5CAA"/>
    <w:rsid w:val="001B0427"/>
    <w:rsid w:val="001D0ED6"/>
    <w:rsid w:val="001D3A51"/>
    <w:rsid w:val="001E10D2"/>
    <w:rsid w:val="001E25B4"/>
    <w:rsid w:val="001E44FE"/>
    <w:rsid w:val="00200595"/>
    <w:rsid w:val="00204835"/>
    <w:rsid w:val="00231920"/>
    <w:rsid w:val="0023195C"/>
    <w:rsid w:val="0024282C"/>
    <w:rsid w:val="002460DC"/>
    <w:rsid w:val="00250985"/>
    <w:rsid w:val="00252E72"/>
    <w:rsid w:val="002556F6"/>
    <w:rsid w:val="00283105"/>
    <w:rsid w:val="00284C4C"/>
    <w:rsid w:val="00287E68"/>
    <w:rsid w:val="00296529"/>
    <w:rsid w:val="002B27FB"/>
    <w:rsid w:val="002B685A"/>
    <w:rsid w:val="002C57D2"/>
    <w:rsid w:val="002D6AD6"/>
    <w:rsid w:val="002E0D56"/>
    <w:rsid w:val="00315186"/>
    <w:rsid w:val="00317E90"/>
    <w:rsid w:val="00317F11"/>
    <w:rsid w:val="0033343E"/>
    <w:rsid w:val="003512C2"/>
    <w:rsid w:val="00371FB6"/>
    <w:rsid w:val="003763C1"/>
    <w:rsid w:val="00376BBE"/>
    <w:rsid w:val="0039224F"/>
    <w:rsid w:val="003A43A4"/>
    <w:rsid w:val="003A7E18"/>
    <w:rsid w:val="003C4C86"/>
    <w:rsid w:val="003C6258"/>
    <w:rsid w:val="003E2904"/>
    <w:rsid w:val="003E42FA"/>
    <w:rsid w:val="00401927"/>
    <w:rsid w:val="0041027F"/>
    <w:rsid w:val="00412475"/>
    <w:rsid w:val="00423789"/>
    <w:rsid w:val="00440F43"/>
    <w:rsid w:val="00441B6F"/>
    <w:rsid w:val="00444C47"/>
    <w:rsid w:val="00446221"/>
    <w:rsid w:val="00450E62"/>
    <w:rsid w:val="004539DB"/>
    <w:rsid w:val="00465182"/>
    <w:rsid w:val="00471A80"/>
    <w:rsid w:val="004C0865"/>
    <w:rsid w:val="004D305E"/>
    <w:rsid w:val="004D4277"/>
    <w:rsid w:val="004E7AF6"/>
    <w:rsid w:val="00502516"/>
    <w:rsid w:val="00505F06"/>
    <w:rsid w:val="00506828"/>
    <w:rsid w:val="0053056E"/>
    <w:rsid w:val="005345B0"/>
    <w:rsid w:val="00554FDA"/>
    <w:rsid w:val="0058102A"/>
    <w:rsid w:val="00594D1C"/>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422B"/>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7281"/>
    <w:rsid w:val="00790ADA"/>
    <w:rsid w:val="007B38F6"/>
    <w:rsid w:val="007D2288"/>
    <w:rsid w:val="007E088F"/>
    <w:rsid w:val="007F7B32"/>
    <w:rsid w:val="00804BC2"/>
    <w:rsid w:val="0081431A"/>
    <w:rsid w:val="0083216F"/>
    <w:rsid w:val="008329FB"/>
    <w:rsid w:val="00860000"/>
    <w:rsid w:val="00863285"/>
    <w:rsid w:val="00863BD3"/>
    <w:rsid w:val="008641ED"/>
    <w:rsid w:val="00866D66"/>
    <w:rsid w:val="008671C6"/>
    <w:rsid w:val="00875803"/>
    <w:rsid w:val="008B2A0B"/>
    <w:rsid w:val="008B459E"/>
    <w:rsid w:val="008E13AE"/>
    <w:rsid w:val="008E1506"/>
    <w:rsid w:val="008E710C"/>
    <w:rsid w:val="008F69D6"/>
    <w:rsid w:val="00902823"/>
    <w:rsid w:val="00915CA6"/>
    <w:rsid w:val="00921F29"/>
    <w:rsid w:val="00927834"/>
    <w:rsid w:val="009500A6"/>
    <w:rsid w:val="00957C18"/>
    <w:rsid w:val="009659BA"/>
    <w:rsid w:val="0096738B"/>
    <w:rsid w:val="00983040"/>
    <w:rsid w:val="009B3FB9"/>
    <w:rsid w:val="009C2465"/>
    <w:rsid w:val="009D1D7B"/>
    <w:rsid w:val="009D35A0"/>
    <w:rsid w:val="009D7EB7"/>
    <w:rsid w:val="009E048A"/>
    <w:rsid w:val="009E08E9"/>
    <w:rsid w:val="009E3DB9"/>
    <w:rsid w:val="009E6E35"/>
    <w:rsid w:val="009F0EDA"/>
    <w:rsid w:val="00A03B96"/>
    <w:rsid w:val="00A05B19"/>
    <w:rsid w:val="00A10A11"/>
    <w:rsid w:val="00A1134E"/>
    <w:rsid w:val="00A24E7E"/>
    <w:rsid w:val="00A258C3"/>
    <w:rsid w:val="00A347C0"/>
    <w:rsid w:val="00A51431"/>
    <w:rsid w:val="00A53476"/>
    <w:rsid w:val="00A539AD"/>
    <w:rsid w:val="00A74EFF"/>
    <w:rsid w:val="00A828A5"/>
    <w:rsid w:val="00A842A3"/>
    <w:rsid w:val="00A94063"/>
    <w:rsid w:val="00AA6219"/>
    <w:rsid w:val="00AA74E0"/>
    <w:rsid w:val="00AB703F"/>
    <w:rsid w:val="00AC6BB8"/>
    <w:rsid w:val="00AE008F"/>
    <w:rsid w:val="00B01FCD"/>
    <w:rsid w:val="00B1776C"/>
    <w:rsid w:val="00B410EA"/>
    <w:rsid w:val="00B52583"/>
    <w:rsid w:val="00B52896"/>
    <w:rsid w:val="00B94444"/>
    <w:rsid w:val="00B95236"/>
    <w:rsid w:val="00B96BD9"/>
    <w:rsid w:val="00BA1B01"/>
    <w:rsid w:val="00BA2641"/>
    <w:rsid w:val="00BB37AA"/>
    <w:rsid w:val="00BB7E35"/>
    <w:rsid w:val="00BC53A0"/>
    <w:rsid w:val="00BE62AD"/>
    <w:rsid w:val="00BF121F"/>
    <w:rsid w:val="00BF1F80"/>
    <w:rsid w:val="00C166EF"/>
    <w:rsid w:val="00C17EB0"/>
    <w:rsid w:val="00C27F5F"/>
    <w:rsid w:val="00C30A0F"/>
    <w:rsid w:val="00C37E61"/>
    <w:rsid w:val="00C57F23"/>
    <w:rsid w:val="00C70F1B"/>
    <w:rsid w:val="00C71A47"/>
    <w:rsid w:val="00C7464C"/>
    <w:rsid w:val="00C85588"/>
    <w:rsid w:val="00C92948"/>
    <w:rsid w:val="00C9719B"/>
    <w:rsid w:val="00CB186C"/>
    <w:rsid w:val="00CB20AF"/>
    <w:rsid w:val="00CD6755"/>
    <w:rsid w:val="00CD6856"/>
    <w:rsid w:val="00CE0089"/>
    <w:rsid w:val="00CE793C"/>
    <w:rsid w:val="00CF0F19"/>
    <w:rsid w:val="00CF16E3"/>
    <w:rsid w:val="00CF193C"/>
    <w:rsid w:val="00D16CAF"/>
    <w:rsid w:val="00D171F5"/>
    <w:rsid w:val="00D173F1"/>
    <w:rsid w:val="00D46F6D"/>
    <w:rsid w:val="00D51ED1"/>
    <w:rsid w:val="00D526EA"/>
    <w:rsid w:val="00D74CB0"/>
    <w:rsid w:val="00D8295D"/>
    <w:rsid w:val="00D851C5"/>
    <w:rsid w:val="00D97A76"/>
    <w:rsid w:val="00DC0234"/>
    <w:rsid w:val="00DC2A65"/>
    <w:rsid w:val="00DE15F0"/>
    <w:rsid w:val="00DE5663"/>
    <w:rsid w:val="00DE78AA"/>
    <w:rsid w:val="00DF18E5"/>
    <w:rsid w:val="00E053D0"/>
    <w:rsid w:val="00E15994"/>
    <w:rsid w:val="00E3114E"/>
    <w:rsid w:val="00E31A70"/>
    <w:rsid w:val="00E35B02"/>
    <w:rsid w:val="00E52ABC"/>
    <w:rsid w:val="00E54D9B"/>
    <w:rsid w:val="00E66496"/>
    <w:rsid w:val="00E66B35"/>
    <w:rsid w:val="00E66E10"/>
    <w:rsid w:val="00E769F6"/>
    <w:rsid w:val="00E8407C"/>
    <w:rsid w:val="00E84F3C"/>
    <w:rsid w:val="00E93903"/>
    <w:rsid w:val="00EA012C"/>
    <w:rsid w:val="00EA1363"/>
    <w:rsid w:val="00EC095B"/>
    <w:rsid w:val="00EC6A55"/>
    <w:rsid w:val="00ED0288"/>
    <w:rsid w:val="00ED6FEB"/>
    <w:rsid w:val="00EE3BB9"/>
    <w:rsid w:val="00EE52CB"/>
    <w:rsid w:val="00EF581D"/>
    <w:rsid w:val="00EF7FD8"/>
    <w:rsid w:val="00F0134A"/>
    <w:rsid w:val="00F06F59"/>
    <w:rsid w:val="00F17988"/>
    <w:rsid w:val="00F21BFD"/>
    <w:rsid w:val="00F32091"/>
    <w:rsid w:val="00F33A16"/>
    <w:rsid w:val="00F469F0"/>
    <w:rsid w:val="00F53273"/>
    <w:rsid w:val="00F54354"/>
    <w:rsid w:val="00F72230"/>
    <w:rsid w:val="00F755E4"/>
    <w:rsid w:val="00F77D02"/>
    <w:rsid w:val="00F814A1"/>
    <w:rsid w:val="00FA3F7B"/>
    <w:rsid w:val="00FB3A86"/>
    <w:rsid w:val="00FD36C8"/>
    <w:rsid w:val="00FF2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2498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52E72"/>
    <w:pPr>
      <w:spacing w:after="160" w:line="259" w:lineRule="auto"/>
      <w:ind w:left="720"/>
      <w:contextualSpacing/>
    </w:pPr>
    <w:rPr>
      <w:rFonts w:asciiTheme="minorHAnsi" w:eastAsiaTheme="minorHAnsi" w:hAnsiTheme="minorHAnsi" w:cstheme="minorBidi"/>
      <w:kern w:val="2"/>
      <w:sz w:val="22"/>
      <w:szCs w:val="22"/>
      <w:lang w:val="en-IN"/>
    </w:rPr>
  </w:style>
  <w:style w:type="paragraph" w:styleId="NormalWeb">
    <w:name w:val="Normal (Web)"/>
    <w:basedOn w:val="Normal"/>
    <w:uiPriority w:val="99"/>
    <w:unhideWhenUsed/>
    <w:rsid w:val="00252E72"/>
    <w:pPr>
      <w:spacing w:before="100" w:beforeAutospacing="1" w:after="100" w:afterAutospacing="1"/>
    </w:pPr>
    <w:rPr>
      <w:rFonts w:ascii="Times New Roman" w:hAnsi="Times New Roman"/>
      <w:sz w:val="24"/>
      <w:szCs w:val="24"/>
      <w:lang w:val="en-IN" w:eastAsia="en-IN"/>
    </w:rPr>
  </w:style>
  <w:style w:type="character" w:customStyle="1" w:styleId="whitespace-normal">
    <w:name w:val="whitespace-normal"/>
    <w:basedOn w:val="DefaultParagraphFont"/>
    <w:rsid w:val="00252E72"/>
  </w:style>
  <w:style w:type="paragraph" w:styleId="FootnoteText">
    <w:name w:val="footnote text"/>
    <w:basedOn w:val="Normal"/>
    <w:link w:val="FootnoteTextChar"/>
    <w:semiHidden/>
    <w:unhideWhenUsed/>
    <w:rsid w:val="003E42FA"/>
  </w:style>
  <w:style w:type="character" w:customStyle="1" w:styleId="FootnoteTextChar">
    <w:name w:val="Footnote Text Char"/>
    <w:basedOn w:val="DefaultParagraphFont"/>
    <w:link w:val="FootnoteText"/>
    <w:semiHidden/>
    <w:rsid w:val="003E42FA"/>
    <w:rPr>
      <w:rFonts w:ascii="Helvetica" w:hAnsi="Helvetica"/>
    </w:rPr>
  </w:style>
  <w:style w:type="character" w:styleId="FootnoteReference">
    <w:name w:val="footnote reference"/>
    <w:basedOn w:val="DefaultParagraphFont"/>
    <w:semiHidden/>
    <w:unhideWhenUsed/>
    <w:rsid w:val="003E42FA"/>
    <w:rPr>
      <w:vertAlign w:val="superscript"/>
    </w:rPr>
  </w:style>
  <w:style w:type="table" w:customStyle="1" w:styleId="TableGrid1">
    <w:name w:val="Table Grid1"/>
    <w:basedOn w:val="TableNormal"/>
    <w:next w:val="TableGrid"/>
    <w:uiPriority w:val="39"/>
    <w:rsid w:val="00D97A76"/>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4371387">
      <w:bodyDiv w:val="1"/>
      <w:marLeft w:val="0"/>
      <w:marRight w:val="0"/>
      <w:marTop w:val="0"/>
      <w:marBottom w:val="0"/>
      <w:divBdr>
        <w:top w:val="none" w:sz="0" w:space="0" w:color="auto"/>
        <w:left w:val="none" w:sz="0" w:space="0" w:color="auto"/>
        <w:bottom w:val="none" w:sz="0" w:space="0" w:color="auto"/>
        <w:right w:val="none" w:sz="0" w:space="0" w:color="auto"/>
      </w:divBdr>
    </w:div>
    <w:div w:id="97302376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082097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500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hyperlink" Target="https://doi.org/10.1016/j.jenvman.2020.111123" TargetMode="External" /><Relationship Id="rId26" Type="http://schemas.openxmlformats.org/officeDocument/2006/relationships/header" Target="header4.xml" /><Relationship Id="rId3" Type="http://schemas.openxmlformats.org/officeDocument/2006/relationships/styles" Target="styles.xml" /><Relationship Id="rId21" Type="http://schemas.openxmlformats.org/officeDocument/2006/relationships/hyperlink" Target="https://www.secl-cil.in" TargetMode="Externa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hyperlink" Target="https://doi.org/10.1016/j.resourpol.2013.08.003" TargetMode="External" /><Relationship Id="rId25" Type="http://schemas.openxmlformats.org/officeDocument/2006/relationships/hyperlink" Target="https://www.worldbank.org" TargetMode="External" /><Relationship Id="rId2" Type="http://schemas.openxmlformats.org/officeDocument/2006/relationships/numbering" Target="numbering.xml" /><Relationship Id="rId16" Type="http://schemas.openxmlformats.org/officeDocument/2006/relationships/hyperlink" Target="https://doi.org/10.1016/j.jclepro.2004.10.004" TargetMode="External" /><Relationship Id="rId20" Type="http://schemas.openxmlformats.org/officeDocument/2006/relationships/hyperlink" Target="https://www.niti.gov.in" TargetMode="External" /><Relationship Id="rId29" Type="http://schemas.openxmlformats.org/officeDocument/2006/relationships/header" Target="header6.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hyperlink" Target="https://doi.org/10.5465/amr.1995.9508080331" TargetMode="External" /><Relationship Id="rId5" Type="http://schemas.openxmlformats.org/officeDocument/2006/relationships/webSettings" Target="webSettings.xml" /><Relationship Id="rId15" Type="http://schemas.openxmlformats.org/officeDocument/2006/relationships/hyperlink" Target="https://www.mca.gov.in" TargetMode="External" /><Relationship Id="rId23" Type="http://schemas.openxmlformats.org/officeDocument/2006/relationships/hyperlink" Target="https://doi.org/10.1080/00207233.2017.1403653" TargetMode="External" /><Relationship Id="rId28" Type="http://schemas.openxmlformats.org/officeDocument/2006/relationships/footer" Target="footer4.xml" /><Relationship Id="rId10" Type="http://schemas.openxmlformats.org/officeDocument/2006/relationships/footer" Target="footer1.xml" /><Relationship Id="rId19" Type="http://schemas.openxmlformats.org/officeDocument/2006/relationships/hyperlink" Target="https://coal.nic.in" TargetMode="External" /><Relationship Id="rId3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yperlink" Target="https://doi.org/10.1016/0007-6813(91)90005-G" TargetMode="External" /><Relationship Id="rId22" Type="http://schemas.openxmlformats.org/officeDocument/2006/relationships/hyperlink" Target="https://www.secl-cil.in" TargetMode="External" /><Relationship Id="rId27" Type="http://schemas.openxmlformats.org/officeDocument/2006/relationships/header" Target="header5.xml" /><Relationship Id="rId30"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Gov13</b:Tag>
    <b:SourceType>InternetSite</b:SourceType>
    <b:Guid>{95A5E314-1660-4D40-9AA2-2962AC8E25D0}</b:Guid>
    <b:Title>mca.gov.in</b:Title>
    <b:Year>2013</b:Year>
    <b:Author>
      <b:Author>
        <b:NameList>
          <b:Person>
            <b:Last>India</b:Last>
            <b:First>Government</b:First>
            <b:Middle>of</b:Middle>
          </b:Person>
        </b:NameList>
      </b:Author>
    </b:Author>
    <b:InternetSiteTitle>Ministry of Corporate affairs</b:InternetSiteTitle>
    <b:URL>https://www.mca.gov.in</b:URL>
    <b:RefOrder>1</b:RefOrder>
  </b:Source>
  <b:Source>
    <b:Tag>Joh13</b:Tag>
    <b:SourceType>JournalArticle</b:SourceType>
    <b:Guid>{2C1E7F53-653D-422B-9CA1-DBB84BFC7352}</b:Guid>
    <b:Author>
      <b:Author>
        <b:NameList>
          <b:Person>
            <b:Last>John R. Owen</b:Last>
            <b:First>Deanna</b:First>
            <b:Middle>Kemp</b:Middle>
          </b:Person>
        </b:NameList>
      </b:Author>
    </b:Author>
    <b:Title>Community relations and mining: Core to business but not “core business”</b:Title>
    <b:JournalName>Resource Policy 38(4)</b:JournalName>
    <b:Year>2013</b:Year>
    <b:Pages>523-531</b:Pages>
    <b:RefOrder>2</b:RefOrder>
  </b:Source>
  <b:Source>
    <b:Tag>Hel06</b:Tag>
    <b:SourceType>JournalArticle</b:SourceType>
    <b:Guid>{094DB1CF-906A-489D-9649-CA6B245B077F}</b:Guid>
    <b:Author>
      <b:Author>
        <b:NameList>
          <b:Person>
            <b:Last>Heledd Jenkins</b:Last>
            <b:First>Natalia</b:First>
            <b:Middle>Yakovleva</b:Middle>
          </b:Person>
        </b:NameList>
      </b:Author>
    </b:Author>
    <b:Title>Corporate Social Responsibility in the Mining Industry: Exploring Trends in Social and Environmental Disclosure</b:Title>
    <b:JournalName>Journal of Cleaner Production </b:JournalName>
    <b:Year>2006</b:Year>
    <b:Pages>271-284</b:Pages>
    <b:RefOrder>3</b:RefOrder>
  </b:Source>
  <b:Source>
    <b:Tag>RSi10</b:Tag>
    <b:SourceType>JournalArticle</b:SourceType>
    <b:Guid>{7DB5D845-87C5-4305-85EA-F1B572D4C142}</b:Guid>
    <b:Author>
      <b:Author>
        <b:NameList>
          <b:Person>
            <b:Last>Singh</b:Last>
            <b:First>R</b:First>
          </b:Person>
        </b:NameList>
      </b:Author>
    </b:Author>
    <b:Title>Environmental impacts of mining and mitigation measures</b:Title>
    <b:JournalName>Journal of Environmental Biology</b:JournalName>
    <b:Year>2010</b:Year>
    <b:Pages> 1029–1035</b:Pages>
    <b:RefOrder>4</b:RefOrder>
  </b:Source>
</b:Sources>
</file>

<file path=customXml/itemProps1.xml><?xml version="1.0" encoding="utf-8"?>
<ds:datastoreItem xmlns:ds="http://schemas.openxmlformats.org/officeDocument/2006/customXml" ds:itemID="{60A7BEC9-22B8-467F-9074-2960472C0CE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2007%20paper%20template.dot</Template>
  <TotalTime>0</TotalTime>
  <Pages>1</Pages>
  <Words>6294</Words>
  <Characters>44305</Characters>
  <Application>Microsoft Office Word</Application>
  <DocSecurity>0</DocSecurity>
  <Lines>369</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50499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hemkiransahu1617@gmail.com</cp:lastModifiedBy>
  <cp:revision>2</cp:revision>
  <cp:lastPrinted>1999-07-06T11:00:00Z</cp:lastPrinted>
  <dcterms:created xsi:type="dcterms:W3CDTF">2026-04-20T08:02:00Z</dcterms:created>
  <dcterms:modified xsi:type="dcterms:W3CDTF">2026-04-20T08:02:00Z</dcterms:modified>
</cp:coreProperties>
</file>