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F3F3A" w14:textId="77777777" w:rsidR="00754C9A" w:rsidRDefault="00754C9A" w:rsidP="00441B6F">
      <w:pPr>
        <w:pStyle w:val="Title"/>
        <w:spacing w:after="0"/>
        <w:jc w:val="both"/>
        <w:rPr>
          <w:rFonts w:ascii="Arial" w:hAnsi="Arial" w:cs="Arial"/>
        </w:rPr>
      </w:pPr>
    </w:p>
    <w:p w14:paraId="5B9942C0" w14:textId="0B754088" w:rsidR="00163BC4" w:rsidRPr="00163BC4" w:rsidRDefault="00353876" w:rsidP="00441B6F">
      <w:pPr>
        <w:pStyle w:val="Author"/>
        <w:spacing w:line="240" w:lineRule="auto"/>
        <w:rPr>
          <w:rFonts w:ascii="Arial" w:hAnsi="Arial" w:cs="Arial"/>
          <w:bCs/>
          <w:iCs/>
          <w:kern w:val="28"/>
          <w:sz w:val="36"/>
        </w:rPr>
      </w:pPr>
      <w:r w:rsidRPr="00353876">
        <w:rPr>
          <w:rFonts w:ascii="Arial" w:hAnsi="Arial" w:cs="Arial"/>
          <w:bCs/>
          <w:iCs/>
          <w:kern w:val="28"/>
          <w:sz w:val="36"/>
        </w:rPr>
        <w:t>Human Capital and SME Internationalization: The Mediating Role of Digital Capability in Teak Wood Craft SMEs</w:t>
      </w:r>
      <w:r w:rsidR="00231920">
        <w:rPr>
          <w:rFonts w:ascii="Arial" w:hAnsi="Arial" w:cs="Arial"/>
          <w:bCs/>
          <w:iCs/>
          <w:kern w:val="28"/>
          <w:sz w:val="36"/>
        </w:rPr>
        <w:t xml:space="preserve"> </w:t>
      </w:r>
    </w:p>
    <w:p w14:paraId="21A29FCF" w14:textId="77777777" w:rsidR="00A258C3" w:rsidRPr="00790ADA" w:rsidRDefault="00A258C3" w:rsidP="00441B6F">
      <w:pPr>
        <w:pStyle w:val="Author"/>
        <w:spacing w:line="240" w:lineRule="auto"/>
        <w:jc w:val="both"/>
        <w:rPr>
          <w:rFonts w:ascii="Arial" w:hAnsi="Arial" w:cs="Arial"/>
          <w:sz w:val="36"/>
        </w:rPr>
      </w:pPr>
    </w:p>
    <w:p w14:paraId="7F0D4E49" w14:textId="562D041B" w:rsidR="00725CA8" w:rsidRDefault="00725CA8" w:rsidP="00725CA8">
      <w:pPr>
        <w:pStyle w:val="Affiliation"/>
        <w:spacing w:after="0" w:line="240" w:lineRule="auto"/>
        <w:rPr>
          <w:rFonts w:ascii="Arial" w:hAnsi="Arial" w:cs="Arial"/>
          <w:i/>
        </w:rPr>
      </w:pPr>
    </w:p>
    <w:p w14:paraId="18035F6B" w14:textId="77777777" w:rsidR="00F01882" w:rsidRPr="00353876" w:rsidRDefault="00F01882" w:rsidP="00725CA8">
      <w:pPr>
        <w:pStyle w:val="Affiliation"/>
        <w:spacing w:after="0" w:line="240" w:lineRule="auto"/>
        <w:rPr>
          <w:rFonts w:ascii="Arial" w:hAnsi="Arial" w:cs="Arial"/>
          <w:i/>
        </w:rPr>
      </w:pPr>
    </w:p>
    <w:p w14:paraId="1A41706A" w14:textId="77777777" w:rsidR="002C57D2" w:rsidRPr="00FB3A86" w:rsidRDefault="002C57D2" w:rsidP="00441B6F">
      <w:pPr>
        <w:pStyle w:val="Affiliation"/>
        <w:spacing w:after="0" w:line="240" w:lineRule="auto"/>
        <w:jc w:val="both"/>
        <w:rPr>
          <w:rFonts w:ascii="Arial" w:hAnsi="Arial" w:cs="Arial"/>
        </w:rPr>
      </w:pPr>
    </w:p>
    <w:p w14:paraId="5B82459C" w14:textId="77777777" w:rsidR="00B01FCD" w:rsidRPr="00FB3A86" w:rsidRDefault="00000000" w:rsidP="00441B6F">
      <w:pPr>
        <w:pStyle w:val="Copyright"/>
        <w:spacing w:after="0" w:line="240" w:lineRule="auto"/>
        <w:jc w:val="both"/>
        <w:rPr>
          <w:rFonts w:ascii="Arial" w:hAnsi="Arial" w:cs="Arial"/>
        </w:rPr>
        <w:sectPr w:rsidR="00B01FCD" w:rsidRPr="00FB3A86" w:rsidSect="00AA720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352671F">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FB546DE" w14:textId="387BE96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86C7A4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3A8F0C8" w14:textId="77777777" w:rsidTr="001E44FE">
        <w:tc>
          <w:tcPr>
            <w:tcW w:w="9576" w:type="dxa"/>
            <w:shd w:val="clear" w:color="auto" w:fill="F2F2F2"/>
          </w:tcPr>
          <w:p w14:paraId="677EEBE9" w14:textId="77777777" w:rsidR="00073D8F" w:rsidRPr="00073D8F" w:rsidRDefault="00073D8F" w:rsidP="00073D8F">
            <w:pPr>
              <w:jc w:val="both"/>
              <w:rPr>
                <w:rFonts w:eastAsia="Calibri"/>
              </w:rPr>
            </w:pPr>
            <w:r w:rsidRPr="00073D8F">
              <w:rPr>
                <w:rFonts w:eastAsia="Calibri"/>
                <w:b/>
                <w:bCs/>
              </w:rPr>
              <w:t>Aims</w:t>
            </w:r>
            <w:r w:rsidRPr="00073D8F">
              <w:rPr>
                <w:rFonts w:eastAsia="Calibri"/>
              </w:rPr>
              <w:t xml:space="preserve">: Despite growing interest in SME internationalization, limited attention has been paid to the mediating mechanisms that convert human capital into global outcomes, particularly in traditional manufacturing sectors. This study examines human capital's role in the internationalization of MSMEs in the teak craft sector, investigating its direct impact on international outcomes and the mediating role of digital capability in transforming resources into global competitiveness. </w:t>
            </w:r>
          </w:p>
          <w:p w14:paraId="0B2D43B5" w14:textId="77777777" w:rsidR="00073D8F" w:rsidRPr="00073D8F" w:rsidRDefault="00073D8F" w:rsidP="00073D8F">
            <w:pPr>
              <w:jc w:val="both"/>
              <w:rPr>
                <w:rFonts w:eastAsia="Calibri"/>
              </w:rPr>
            </w:pPr>
            <w:r w:rsidRPr="00073D8F">
              <w:rPr>
                <w:rFonts w:eastAsia="Calibri"/>
                <w:b/>
                <w:bCs/>
              </w:rPr>
              <w:t>Study design:</w:t>
            </w:r>
            <w:r w:rsidRPr="00073D8F">
              <w:rPr>
                <w:rFonts w:eastAsia="Calibri"/>
              </w:rPr>
              <w:t xml:space="preserve"> This research employs a quantitative explanatory survey design to test the structural relationships among human capital, digital capability, and internationalization. </w:t>
            </w:r>
          </w:p>
          <w:p w14:paraId="628B261B" w14:textId="77777777" w:rsidR="00073D8F" w:rsidRPr="00073D8F" w:rsidRDefault="00073D8F" w:rsidP="00073D8F">
            <w:pPr>
              <w:jc w:val="both"/>
              <w:rPr>
                <w:rFonts w:eastAsia="Calibri"/>
              </w:rPr>
            </w:pPr>
            <w:r w:rsidRPr="00073D8F">
              <w:rPr>
                <w:rFonts w:eastAsia="Calibri"/>
              </w:rPr>
              <w:t xml:space="preserve">Place and Duration of Study: The study was conducted in Bojonegoro Regency, East Java, Indonesia, an area recognized for its local resource endowments and teak woodcraft production. Data collection was carried out over several months. </w:t>
            </w:r>
          </w:p>
          <w:p w14:paraId="0F41D239" w14:textId="77777777" w:rsidR="00073D8F" w:rsidRPr="00073D8F" w:rsidRDefault="00073D8F" w:rsidP="00073D8F">
            <w:pPr>
              <w:jc w:val="both"/>
              <w:rPr>
                <w:rFonts w:eastAsia="Calibri"/>
              </w:rPr>
            </w:pPr>
            <w:r w:rsidRPr="00073D8F">
              <w:rPr>
                <w:rFonts w:eastAsia="Calibri"/>
                <w:b/>
                <w:bCs/>
              </w:rPr>
              <w:t>Methodology:</w:t>
            </w:r>
            <w:r w:rsidRPr="00073D8F">
              <w:rPr>
                <w:rFonts w:eastAsia="Calibri"/>
              </w:rPr>
              <w:t xml:space="preserve"> Data were collected from 150 owners or managers of teak woodcraft MSMEs using a five-point Likert scale. The constructs were analyzed using Partial Least Squares Structural Equation Modeling (PLS-SEM) to evaluate measurement validity and reliability, and to test direct and mediating effects. </w:t>
            </w:r>
          </w:p>
          <w:p w14:paraId="6B2A8436" w14:textId="77777777" w:rsidR="00073D8F" w:rsidRPr="00073D8F" w:rsidRDefault="00073D8F" w:rsidP="00073D8F">
            <w:pPr>
              <w:jc w:val="both"/>
              <w:rPr>
                <w:rFonts w:eastAsia="Calibri"/>
              </w:rPr>
            </w:pPr>
            <w:r w:rsidRPr="00073D8F">
              <w:rPr>
                <w:rFonts w:eastAsia="Calibri"/>
                <w:b/>
                <w:bCs/>
              </w:rPr>
              <w:t>Results:</w:t>
            </w:r>
            <w:r w:rsidRPr="00073D8F">
              <w:rPr>
                <w:rFonts w:eastAsia="Calibri"/>
              </w:rPr>
              <w:t xml:space="preserve"> Human capital exerts a strong, positive, and significant effect on digital capability, which in turn significantly influences internationalization. While human capital also directly affects internationalization, its direct effect is smaller than the indirect pathway. Crucially, digital capability serves as a significant partial mediator in the relationship between human capital and internationalization. </w:t>
            </w:r>
          </w:p>
          <w:p w14:paraId="4BA0D219" w14:textId="124140A6" w:rsidR="00505F06" w:rsidRPr="00BA1B01" w:rsidRDefault="00073D8F" w:rsidP="00646089">
            <w:pPr>
              <w:jc w:val="both"/>
              <w:rPr>
                <w:rFonts w:eastAsia="Calibri"/>
              </w:rPr>
            </w:pPr>
            <w:r w:rsidRPr="00073D8F">
              <w:rPr>
                <w:rFonts w:eastAsia="Calibri"/>
                <w:b/>
                <w:bCs/>
              </w:rPr>
              <w:t>Conclusion:</w:t>
            </w:r>
            <w:r w:rsidRPr="00073D8F">
              <w:rPr>
                <w:rFonts w:eastAsia="Calibri"/>
              </w:rPr>
              <w:t xml:space="preserve"> Human capital alone is insufficient for optimal international success; firms must strategically develop digital capability. Theoretically, this study extends the Resource-Based View by positioning digital capability as a dynamic conversion mechanism that operationalizes human capital into international competitiveness. Practically, these findings guide policymakers and SME practitioners in designing targeted digital training programs. Socially, enhancing digital skills among artisans supports cultural heritage preservation while fostering sustainable economic empowerment.</w:t>
            </w:r>
          </w:p>
        </w:tc>
      </w:tr>
    </w:tbl>
    <w:p w14:paraId="332A117B" w14:textId="77777777" w:rsidR="00636EB2" w:rsidRDefault="00636EB2" w:rsidP="00441B6F">
      <w:pPr>
        <w:pStyle w:val="Body"/>
        <w:spacing w:after="0"/>
        <w:rPr>
          <w:rFonts w:ascii="Arial" w:hAnsi="Arial" w:cs="Arial"/>
          <w:i/>
        </w:rPr>
      </w:pPr>
    </w:p>
    <w:p w14:paraId="6FED7A04" w14:textId="794987D9" w:rsidR="00A24E7E" w:rsidRDefault="00A24E7E" w:rsidP="00441B6F">
      <w:pPr>
        <w:pStyle w:val="Body"/>
        <w:spacing w:after="0"/>
        <w:rPr>
          <w:rFonts w:ascii="Arial" w:hAnsi="Arial" w:cs="Arial"/>
          <w:i/>
        </w:rPr>
      </w:pPr>
      <w:r>
        <w:rPr>
          <w:rFonts w:ascii="Arial" w:hAnsi="Arial" w:cs="Arial"/>
          <w:i/>
        </w:rPr>
        <w:t xml:space="preserve">Keywords: </w:t>
      </w:r>
      <w:r w:rsidR="00646089" w:rsidRPr="00646089">
        <w:rPr>
          <w:rFonts w:ascii="Arial" w:hAnsi="Arial" w:cs="Arial"/>
          <w:i/>
        </w:rPr>
        <w:t>Bojonegoro</w:t>
      </w:r>
      <w:r w:rsidR="00646089">
        <w:rPr>
          <w:rFonts w:ascii="Arial" w:hAnsi="Arial" w:cs="Arial"/>
          <w:i/>
        </w:rPr>
        <w:t>;</w:t>
      </w:r>
      <w:r w:rsidR="00646089" w:rsidRPr="00646089">
        <w:rPr>
          <w:rFonts w:ascii="Arial" w:hAnsi="Arial" w:cs="Arial"/>
          <w:i/>
        </w:rPr>
        <w:t xml:space="preserve"> digital capability</w:t>
      </w:r>
      <w:r w:rsidR="00646089">
        <w:rPr>
          <w:rFonts w:ascii="Arial" w:hAnsi="Arial" w:cs="Arial"/>
          <w:i/>
        </w:rPr>
        <w:t>;</w:t>
      </w:r>
      <w:r w:rsidR="00646089" w:rsidRPr="00646089">
        <w:rPr>
          <w:rFonts w:ascii="Arial" w:hAnsi="Arial" w:cs="Arial"/>
          <w:i/>
        </w:rPr>
        <w:t xml:space="preserve"> human capital</w:t>
      </w:r>
      <w:r w:rsidR="00646089">
        <w:rPr>
          <w:rFonts w:ascii="Arial" w:hAnsi="Arial" w:cs="Arial"/>
          <w:i/>
        </w:rPr>
        <w:t>;</w:t>
      </w:r>
      <w:r w:rsidR="00646089" w:rsidRPr="00646089">
        <w:rPr>
          <w:rFonts w:ascii="Arial" w:hAnsi="Arial" w:cs="Arial"/>
          <w:i/>
        </w:rPr>
        <w:t xml:space="preserve"> internationalization</w:t>
      </w:r>
      <w:r w:rsidR="00646089">
        <w:rPr>
          <w:rFonts w:ascii="Arial" w:hAnsi="Arial" w:cs="Arial"/>
          <w:i/>
        </w:rPr>
        <w:t>;</w:t>
      </w:r>
      <w:r w:rsidR="00646089" w:rsidRPr="00646089">
        <w:rPr>
          <w:rFonts w:ascii="Arial" w:hAnsi="Arial" w:cs="Arial"/>
          <w:i/>
        </w:rPr>
        <w:t xml:space="preserve"> MSMEs</w:t>
      </w:r>
      <w:r w:rsidR="00646089">
        <w:rPr>
          <w:rFonts w:ascii="Arial" w:hAnsi="Arial" w:cs="Arial"/>
          <w:i/>
        </w:rPr>
        <w:t>;</w:t>
      </w:r>
      <w:r w:rsidR="00646089" w:rsidRPr="00646089">
        <w:rPr>
          <w:rFonts w:ascii="Arial" w:hAnsi="Arial" w:cs="Arial"/>
          <w:i/>
        </w:rPr>
        <w:t xml:space="preserve"> PLS-SEM</w:t>
      </w:r>
      <w:r w:rsidR="00646089">
        <w:rPr>
          <w:rFonts w:ascii="Arial" w:hAnsi="Arial" w:cs="Arial"/>
          <w:i/>
        </w:rPr>
        <w:t>;</w:t>
      </w:r>
      <w:r w:rsidR="00646089" w:rsidRPr="00646089">
        <w:rPr>
          <w:rFonts w:ascii="Arial" w:hAnsi="Arial" w:cs="Arial"/>
          <w:i/>
        </w:rPr>
        <w:t xml:space="preserve"> teak woodcraft.</w:t>
      </w:r>
    </w:p>
    <w:p w14:paraId="442478ED" w14:textId="77777777" w:rsidR="0024282C" w:rsidRDefault="0024282C" w:rsidP="00441B6F">
      <w:pPr>
        <w:pStyle w:val="Body"/>
        <w:spacing w:after="0"/>
        <w:rPr>
          <w:rFonts w:ascii="Arial" w:hAnsi="Arial" w:cs="Arial"/>
          <w:i/>
          <w:sz w:val="18"/>
        </w:rPr>
      </w:pPr>
    </w:p>
    <w:p w14:paraId="463FFA48" w14:textId="77777777" w:rsidR="00505F06" w:rsidRPr="00A24E7E" w:rsidRDefault="00505F06" w:rsidP="00441B6F">
      <w:pPr>
        <w:pStyle w:val="Body"/>
        <w:spacing w:after="0"/>
        <w:rPr>
          <w:rFonts w:ascii="Arial" w:hAnsi="Arial" w:cs="Arial"/>
          <w:i/>
        </w:rPr>
      </w:pPr>
    </w:p>
    <w:p w14:paraId="1F71825C" w14:textId="2681069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0A2D3F8" w14:textId="77777777" w:rsidR="00790ADA" w:rsidRPr="00FB3A86" w:rsidRDefault="00790ADA" w:rsidP="00441B6F">
      <w:pPr>
        <w:pStyle w:val="AbstHead"/>
        <w:spacing w:after="0"/>
        <w:jc w:val="both"/>
        <w:rPr>
          <w:rFonts w:ascii="Arial" w:hAnsi="Arial" w:cs="Arial"/>
        </w:rPr>
      </w:pPr>
    </w:p>
    <w:p w14:paraId="12A8090A" w14:textId="60CB5E2F" w:rsidR="00750CD4" w:rsidRPr="00750CD4" w:rsidRDefault="00750CD4" w:rsidP="00750CD4">
      <w:pPr>
        <w:jc w:val="both"/>
        <w:rPr>
          <w:rFonts w:ascii="Arial" w:hAnsi="Arial" w:cs="Arial"/>
        </w:rPr>
      </w:pPr>
      <w:r w:rsidRPr="00750CD4">
        <w:rPr>
          <w:rFonts w:ascii="Arial" w:hAnsi="Arial" w:cs="Arial"/>
        </w:rPr>
        <w:t xml:space="preserve">In today’s global economy, internationalization is a strategic necessity for firm survival and growth. However, many organizations struggle to sustain their global presence due to a combination of external barriers and internal constraints. Externally, institutional differences, socio-cultural gaps, and economic fluctuations create significant hurdles for cross-border </w:t>
      </w:r>
      <w:r w:rsidRPr="00750CD4">
        <w:rPr>
          <w:rFonts w:ascii="Arial" w:hAnsi="Arial" w:cs="Arial"/>
        </w:rPr>
        <w:lastRenderedPageBreak/>
        <w:t>expansion</w:t>
      </w:r>
      <w:r>
        <w:rPr>
          <w:rFonts w:ascii="Arial" w:hAnsi="Arial" w:cs="Arial"/>
        </w:rPr>
        <w:t xml:space="preserve"> </w:t>
      </w:r>
      <w:r>
        <w:rPr>
          <w:rFonts w:ascii="Arial" w:hAnsi="Arial" w:cs="Arial"/>
        </w:rPr>
        <w:fldChar w:fldCharType="begin"/>
      </w:r>
      <w:r>
        <w:rPr>
          <w:rFonts w:ascii="Arial" w:hAnsi="Arial" w:cs="Arial"/>
        </w:rPr>
        <w:instrText xml:space="preserve"> ADDIN ZOTERO_ITEM CSL_CITATION {"citationID":"lCjdLFk4","properties":{"formattedCitation":"(Alkhalailah et al., 2024)","plainCitation":"(Alkhalailah et al., 2024)","noteIndex":0},"citationItems":[{"id":7245,"uris":["http://zotero.org/users/local/OXu6bVda/items/3EZGBRFT"],"itemData":{"id":7245,"type":"article-journal","archive":"Scopus","container-title":"Journal of Project Management (Canada)","DOI":"10.5267/j.jpm.2024.8.001","issue":"4","page":"353-366","title":"Barriers to Internationalization: Evidence from Jordanian SMEs","volume":"9","author":[{"family":"Alkhalailah","given":"A.M."},{"family":"Galdeano-Gómez","given":"E."},{"family":"Sorroche-Del-rey","given":"Y."}],"issued":{"date-parts":[["2024"]]}}}],"schema":"https://github.com/citation-style-language/schema/raw/master/csl-citation.json"} </w:instrText>
      </w:r>
      <w:r>
        <w:rPr>
          <w:rFonts w:ascii="Arial" w:hAnsi="Arial" w:cs="Arial"/>
        </w:rPr>
        <w:fldChar w:fldCharType="separate"/>
      </w:r>
      <w:r w:rsidRPr="00750CD4">
        <w:rPr>
          <w:rFonts w:ascii="Arial" w:hAnsi="Arial" w:cs="Arial"/>
        </w:rPr>
        <w:t>(Alkhalailah et al., 2024)</w:t>
      </w:r>
      <w:r>
        <w:rPr>
          <w:rFonts w:ascii="Arial" w:hAnsi="Arial" w:cs="Arial"/>
        </w:rPr>
        <w:fldChar w:fldCharType="end"/>
      </w:r>
      <w:r w:rsidRPr="00750CD4">
        <w:rPr>
          <w:rFonts w:ascii="Arial" w:hAnsi="Arial" w:cs="Arial"/>
        </w:rPr>
        <w:t>. Internally, limited access to strategic resources, inadequate market knowledge, and shortages of internationally skilled personnel further hinder firms’ ability to capitalize on global opportunities</w:t>
      </w:r>
      <w:r>
        <w:rPr>
          <w:rFonts w:ascii="Arial" w:hAnsi="Arial" w:cs="Arial"/>
        </w:rPr>
        <w:t xml:space="preserve"> </w:t>
      </w:r>
      <w:r>
        <w:rPr>
          <w:rFonts w:ascii="Arial" w:hAnsi="Arial" w:cs="Arial"/>
        </w:rPr>
        <w:fldChar w:fldCharType="begin"/>
      </w:r>
      <w:r>
        <w:rPr>
          <w:rFonts w:ascii="Arial" w:hAnsi="Arial" w:cs="Arial"/>
        </w:rPr>
        <w:instrText xml:space="preserve"> ADDIN ZOTERO_ITEM CSL_CITATION {"citationID":"xTufSpa8","properties":{"formattedCitation":"(Rezaei et al., 2021)","plainCitation":"(Rezaei et al., 2021)","noteIndex":0},"citationItems":[{"id":7249,"uris":["http://zotero.org/users/local/OXu6bVda/items/DXHUKS7U"],"itemData":{"id":7249,"type":"chapter","archive":"Scopus","container-title":"Contributions to Management Science","DOI":"10.1007/978-3-030-68972-8_17","page":"337-357","title":"How do experts think? an investigation of the barriers to internationalisation of SMEs in Iran","URL":"https://www.scopus.com/inward/record.uri?eid=2-s2.0-85107038617&amp;doi=10.1007%2f978-3-030-68972-8_17&amp;partnerID=40&amp;md5=57487b8534bb33613e5f028a735439a4","author":[{"family":"Rezaei","given":"M."},{"family":"Ferraris","given":"A."},{"family":"Heydari","given":"E."},{"family":"Rezaei","given":"S."}],"issued":{"date-parts":[["2021"]]}}}],"schema":"https://github.com/citation-style-language/schema/raw/master/csl-citation.json"} </w:instrText>
      </w:r>
      <w:r>
        <w:rPr>
          <w:rFonts w:ascii="Arial" w:hAnsi="Arial" w:cs="Arial"/>
        </w:rPr>
        <w:fldChar w:fldCharType="separate"/>
      </w:r>
      <w:r w:rsidRPr="00750CD4">
        <w:rPr>
          <w:rFonts w:ascii="Arial" w:hAnsi="Arial" w:cs="Arial"/>
        </w:rPr>
        <w:t>(Rezaei et al., 2021)</w:t>
      </w:r>
      <w:r>
        <w:rPr>
          <w:rFonts w:ascii="Arial" w:hAnsi="Arial" w:cs="Arial"/>
        </w:rPr>
        <w:fldChar w:fldCharType="end"/>
      </w:r>
      <w:r w:rsidRPr="00750CD4">
        <w:rPr>
          <w:rFonts w:ascii="Arial" w:hAnsi="Arial" w:cs="Arial"/>
        </w:rPr>
        <w:t>. These challenges underscore that successful internationalization depends not merely on external market conditions, but fundamentally on how firms deploy and adapt their internal resources amid uncertainty.</w:t>
      </w:r>
    </w:p>
    <w:p w14:paraId="7A47EED6" w14:textId="39828F97" w:rsidR="00750CD4" w:rsidRPr="00750CD4" w:rsidRDefault="00750CD4" w:rsidP="00750CD4">
      <w:pPr>
        <w:jc w:val="both"/>
        <w:rPr>
          <w:rFonts w:ascii="Arial" w:hAnsi="Arial" w:cs="Arial"/>
        </w:rPr>
      </w:pPr>
      <w:r w:rsidRPr="00750CD4">
        <w:rPr>
          <w:rFonts w:ascii="Arial" w:hAnsi="Arial" w:cs="Arial"/>
        </w:rPr>
        <w:t>Within this context, human capital is widely recognized as a critical driver of global expansion. Prior research indicates that industry-specific knowledge, managerial experience, and workforce skills enhance firms’ readiness to enter foreign markets and improve export performance</w:t>
      </w:r>
      <w:r>
        <w:rPr>
          <w:rFonts w:ascii="Arial" w:hAnsi="Arial" w:cs="Arial"/>
        </w:rPr>
        <w:t xml:space="preserve"> </w:t>
      </w:r>
      <w:r>
        <w:rPr>
          <w:rFonts w:ascii="Arial" w:hAnsi="Arial" w:cs="Arial"/>
        </w:rPr>
        <w:fldChar w:fldCharType="begin"/>
      </w:r>
      <w:r>
        <w:rPr>
          <w:rFonts w:ascii="Arial" w:hAnsi="Arial" w:cs="Arial"/>
        </w:rPr>
        <w:instrText xml:space="preserve"> ADDIN ZOTERO_ITEM CSL_CITATION {"citationID":"w6NoEAtZ","properties":{"formattedCitation":"(Sualeh Khattak et al., 2026)","plainCitation":"(Sualeh Khattak et al., 2026)","noteIndex":0},"citationItems":[{"id":7295,"uris":["http://zotero.org/users/local/OXu6bVda/items/TBNJTXLK"],"itemData":{"id":7295,"type":"article-journal","archive":"Scopus","container-title":"Journal of Intellectual Capital","DOI":"10.1108/JIC-04-2025-0147","page":"1-26","title":"Linking intellectual capital and firms' internationalization through a meta-analysis","author":[{"family":"Sualeh Khattak","given":"M."},{"family":"Zafar","given":"M.B."},{"family":"Anwar","given":"M."},{"family":"Aziz","given":"Y."}],"issued":{"date-parts":[["2026"]]}}}],"schema":"https://github.com/citation-style-language/schema/raw/master/csl-citation.json"} </w:instrText>
      </w:r>
      <w:r>
        <w:rPr>
          <w:rFonts w:ascii="Arial" w:hAnsi="Arial" w:cs="Arial"/>
        </w:rPr>
        <w:fldChar w:fldCharType="separate"/>
      </w:r>
      <w:r w:rsidRPr="00750CD4">
        <w:rPr>
          <w:rFonts w:ascii="Arial" w:hAnsi="Arial" w:cs="Arial"/>
        </w:rPr>
        <w:t>(Sualeh Khattak et al., 2026)</w:t>
      </w:r>
      <w:r>
        <w:rPr>
          <w:rFonts w:ascii="Arial" w:hAnsi="Arial" w:cs="Arial"/>
        </w:rPr>
        <w:fldChar w:fldCharType="end"/>
      </w:r>
      <w:r w:rsidRPr="00750CD4">
        <w:rPr>
          <w:rFonts w:ascii="Arial" w:hAnsi="Arial" w:cs="Arial"/>
        </w:rPr>
        <w:t>. However, empirical findings remain inconsistent. Some studies suggest that human capital does not always translate into significant internationalization outcomes</w:t>
      </w:r>
      <w:r>
        <w:rPr>
          <w:rFonts w:ascii="Arial" w:hAnsi="Arial" w:cs="Arial"/>
        </w:rPr>
        <w:t xml:space="preserve"> </w:t>
      </w:r>
      <w:r>
        <w:rPr>
          <w:rFonts w:ascii="Arial" w:hAnsi="Arial" w:cs="Arial"/>
        </w:rPr>
        <w:fldChar w:fldCharType="begin"/>
      </w:r>
      <w:r>
        <w:rPr>
          <w:rFonts w:ascii="Arial" w:hAnsi="Arial" w:cs="Arial"/>
        </w:rPr>
        <w:instrText xml:space="preserve"> ADDIN ZOTERO_ITEM CSL_CITATION {"citationID":"rDIJcuUa","properties":{"formattedCitation":"(Pinkwart &amp; Proksch, 2014)","plainCitation":"(Pinkwart &amp; Proksch, 2014)","noteIndex":0},"citationItems":[{"id":7297,"uris":["http://zotero.org/users/local/OXu6bVda/items/JAXB2Y97"],"itemData":{"id":7297,"type":"article-journal","archive":"Scopus","container-title":"Thunderbird International Business Review","DOI":"10.1002/tie.21595","issue":"1","page":"43-53","title":"The internationalization behavior of German high-tech start-ups: An empirical analysis of key resources","volume":"56","author":[{"family":"Pinkwart","given":"A."},{"family":"Proksch","given":"D."}],"issued":{"date-parts":[["2014"]]}}}],"schema":"https://github.com/citation-style-language/schema/raw/master/csl-citation.json"} </w:instrText>
      </w:r>
      <w:r>
        <w:rPr>
          <w:rFonts w:ascii="Arial" w:hAnsi="Arial" w:cs="Arial"/>
        </w:rPr>
        <w:fldChar w:fldCharType="separate"/>
      </w:r>
      <w:r w:rsidRPr="00750CD4">
        <w:rPr>
          <w:rFonts w:ascii="Arial" w:hAnsi="Arial" w:cs="Arial"/>
        </w:rPr>
        <w:t>(Pinkwart &amp; Proksch, 2014)</w:t>
      </w:r>
      <w:r>
        <w:rPr>
          <w:rFonts w:ascii="Arial" w:hAnsi="Arial" w:cs="Arial"/>
        </w:rPr>
        <w:fldChar w:fldCharType="end"/>
      </w:r>
      <w:r w:rsidRPr="00750CD4">
        <w:rPr>
          <w:rFonts w:ascii="Arial" w:hAnsi="Arial" w:cs="Arial"/>
        </w:rPr>
        <w:t>, and in certain cases, formal education may even lead to suboptimal strategic decisions when misaligned with market demands</w:t>
      </w:r>
      <w:r>
        <w:rPr>
          <w:rFonts w:ascii="Arial" w:hAnsi="Arial" w:cs="Arial"/>
        </w:rPr>
        <w:t xml:space="preserve"> </w:t>
      </w:r>
      <w:r>
        <w:rPr>
          <w:rFonts w:ascii="Arial" w:hAnsi="Arial" w:cs="Arial"/>
        </w:rPr>
        <w:fldChar w:fldCharType="begin"/>
      </w:r>
      <w:r>
        <w:rPr>
          <w:rFonts w:ascii="Arial" w:hAnsi="Arial" w:cs="Arial"/>
        </w:rPr>
        <w:instrText xml:space="preserve"> ADDIN ZOTERO_ITEM CSL_CITATION {"citationID":"HHZSqOIf","properties":{"formattedCitation":"(Gashi, 2014)","plainCitation":"(Gashi, 2014)","noteIndex":0},"citationItems":[{"id":7289,"uris":["http://zotero.org/users/local/OXu6bVda/items/5MLMCLZR"],"itemData":{"id":7289,"type":"article-journal","archive":"Scopus","container-title":"Croatian Economic Survey","issue":"2","page":"91-120","title":"Human capital and export decisions: The case of small and medium enterprises in kosovo","volume":"16","author":[{"family":"Gashi","given":"P."}],"issued":{"date-parts":[["2014"]]}}}],"schema":"https://github.com/citation-style-language/schema/raw/master/csl-citation.json"} </w:instrText>
      </w:r>
      <w:r>
        <w:rPr>
          <w:rFonts w:ascii="Arial" w:hAnsi="Arial" w:cs="Arial"/>
        </w:rPr>
        <w:fldChar w:fldCharType="separate"/>
      </w:r>
      <w:r w:rsidRPr="00750CD4">
        <w:rPr>
          <w:rFonts w:ascii="Arial" w:hAnsi="Arial" w:cs="Arial"/>
        </w:rPr>
        <w:t>(Gashi, 2014)</w:t>
      </w:r>
      <w:r>
        <w:rPr>
          <w:rFonts w:ascii="Arial" w:hAnsi="Arial" w:cs="Arial"/>
        </w:rPr>
        <w:fldChar w:fldCharType="end"/>
      </w:r>
      <w:r w:rsidRPr="00750CD4">
        <w:rPr>
          <w:rFonts w:ascii="Arial" w:hAnsi="Arial" w:cs="Arial"/>
        </w:rPr>
        <w:t>. These inconsistencies highlight a critical theoretical gap: while human capital is necessary, it alone is insufficient for successful global expansion without an effective conversion mechanism.</w:t>
      </w:r>
    </w:p>
    <w:p w14:paraId="58017AC9" w14:textId="74E9121A" w:rsidR="00750CD4" w:rsidRPr="00750CD4" w:rsidRDefault="00750CD4" w:rsidP="00750CD4">
      <w:pPr>
        <w:jc w:val="both"/>
        <w:rPr>
          <w:rFonts w:ascii="Arial" w:hAnsi="Arial" w:cs="Arial"/>
        </w:rPr>
      </w:pPr>
      <w:r w:rsidRPr="00750CD4">
        <w:rPr>
          <w:rFonts w:ascii="Arial" w:hAnsi="Arial" w:cs="Arial"/>
        </w:rPr>
        <w:t>This limitation points to a more profound concern. Current discourse often assumes that human capital inherently generates value, yet pays insufficient attention to the processes that transform this potential into concrete strategic capabilities. Without a dynamic mechanism to operationalize internal resources, human capital risks remaining underutilized and unable to yield tangible competitive advantages</w:t>
      </w:r>
      <w:r>
        <w:rPr>
          <w:rFonts w:ascii="Arial" w:hAnsi="Arial" w:cs="Arial"/>
        </w:rPr>
        <w:t xml:space="preserve"> </w:t>
      </w:r>
      <w:r>
        <w:rPr>
          <w:rFonts w:ascii="Arial" w:hAnsi="Arial" w:cs="Arial"/>
        </w:rPr>
        <w:fldChar w:fldCharType="begin"/>
      </w:r>
      <w:r>
        <w:rPr>
          <w:rFonts w:ascii="Arial" w:hAnsi="Arial" w:cs="Arial"/>
        </w:rPr>
        <w:instrText xml:space="preserve"> ADDIN ZOTERO_ITEM CSL_CITATION {"citationID":"YRgFeOy1","properties":{"formattedCitation":"(Mel\\uc0\\u233{}n &amp; Nordman, 2007)","plainCitation":"(Melén &amp; Nordman, 2007)","noteIndex":0},"citationItems":[{"id":7293,"uris":["http://zotero.org/users/local/OXu6bVda/items/YVPAYSD2"],"itemData":{"id":7293,"type":"article-journal","archive":"Scopus","container-title":"International Journal of Globalisation and Small Business","DOI":"10.1504/IJGSB.2007.015482","issue":"2","page":"205-219","title":"The value of human capital for the networks of born globals","volume":"2","author":[{"family":"Melén","given":"S."},{"family":"Nordman","given":"E.R."}],"issued":{"date-parts":[["2007"]]}}}],"schema":"https://github.com/citation-style-language/schema/raw/master/csl-citation.json"} </w:instrText>
      </w:r>
      <w:r>
        <w:rPr>
          <w:rFonts w:ascii="Arial" w:hAnsi="Arial" w:cs="Arial"/>
        </w:rPr>
        <w:fldChar w:fldCharType="separate"/>
      </w:r>
      <w:r w:rsidRPr="00750CD4">
        <w:rPr>
          <w:rFonts w:ascii="Arial" w:hAnsi="Arial" w:cs="Arial"/>
        </w:rPr>
        <w:t>(Melén &amp; Nordman, 2007)</w:t>
      </w:r>
      <w:r>
        <w:rPr>
          <w:rFonts w:ascii="Arial" w:hAnsi="Arial" w:cs="Arial"/>
        </w:rPr>
        <w:fldChar w:fldCharType="end"/>
      </w:r>
      <w:r w:rsidRPr="00750CD4">
        <w:rPr>
          <w:rFonts w:ascii="Arial" w:hAnsi="Arial" w:cs="Arial"/>
        </w:rPr>
        <w:t>. In the era of digital transformation, digital capability emerges as a vital mechanism that bridges this gap. Digital capability reflects a firm’s capacity to integrate, deploy, and leverage digital technologies to support strategic objectives. Its development is fundamentally rooted in the quality of human capital, particularly technical expertise, managerial agility, and adaptability to technological change</w:t>
      </w:r>
      <w:r w:rsidR="00511115">
        <w:rPr>
          <w:rFonts w:ascii="Arial" w:hAnsi="Arial" w:cs="Arial"/>
        </w:rPr>
        <w:t xml:space="preserve"> </w:t>
      </w:r>
      <w:r w:rsidR="00511115">
        <w:rPr>
          <w:rFonts w:ascii="Arial" w:hAnsi="Arial" w:cs="Arial"/>
        </w:rPr>
        <w:fldChar w:fldCharType="begin"/>
      </w:r>
      <w:r w:rsidR="00511115">
        <w:rPr>
          <w:rFonts w:ascii="Arial" w:hAnsi="Arial" w:cs="Arial"/>
        </w:rPr>
        <w:instrText xml:space="preserve"> ADDIN ZOTERO_ITEM CSL_CITATION {"citationID":"lOnLbEGh","properties":{"formattedCitation":"(Korshunova, 2020)","plainCitation":"(Korshunova, 2020)","noteIndex":0},"citationItems":[{"id":7311,"uris":["http://zotero.org/users/local/OXu6bVda/items/HF2Z8LU4"],"itemData":{"id":7311,"type":"chapter","archive":"Scopus","container-title":"Lecture Notes in Networks and Systems","DOI":"10.1007/978-3-030-40749-0_22","page":"185-192","title":"The Role and Specificity of Human Capital in the Formation of a Digital Economy","URL":"https://www.scopus.com/inward/record.uri?eid=2-s2.0-85080886600&amp;doi=10.1007%2f978-3-030-40749-0_22&amp;partnerID=40&amp;md5=3710e817b72297ad908fb03ca9c2b9f1","volume":"115","author":[{"family":"Korshunova","given":"S.A."}],"issued":{"date-parts":[["2020"]]}}}],"schema":"https://github.com/citation-style-language/schema/raw/master/csl-citation.json"} </w:instrText>
      </w:r>
      <w:r w:rsidR="00511115">
        <w:rPr>
          <w:rFonts w:ascii="Arial" w:hAnsi="Arial" w:cs="Arial"/>
        </w:rPr>
        <w:fldChar w:fldCharType="separate"/>
      </w:r>
      <w:r w:rsidR="00511115" w:rsidRPr="00511115">
        <w:rPr>
          <w:rFonts w:ascii="Arial" w:hAnsi="Arial" w:cs="Arial"/>
        </w:rPr>
        <w:t>(Korshunova, 2020)</w:t>
      </w:r>
      <w:r w:rsidR="00511115">
        <w:rPr>
          <w:rFonts w:ascii="Arial" w:hAnsi="Arial" w:cs="Arial"/>
        </w:rPr>
        <w:fldChar w:fldCharType="end"/>
      </w:r>
      <w:r w:rsidRPr="00750CD4">
        <w:rPr>
          <w:rFonts w:ascii="Arial" w:hAnsi="Arial" w:cs="Arial"/>
        </w:rPr>
        <w:t>. Firms equipped with strong human capital are better positioned to build digital infrastructures and business models that enhance flexibility and responsiveness in dynamic environments.</w:t>
      </w:r>
    </w:p>
    <w:p w14:paraId="10141443" w14:textId="2C687844" w:rsidR="00750CD4" w:rsidRPr="00750CD4" w:rsidRDefault="00750CD4" w:rsidP="00750CD4">
      <w:pPr>
        <w:jc w:val="both"/>
        <w:rPr>
          <w:rFonts w:ascii="Arial" w:hAnsi="Arial" w:cs="Arial"/>
        </w:rPr>
      </w:pPr>
      <w:r w:rsidRPr="00750CD4">
        <w:rPr>
          <w:rFonts w:ascii="Arial" w:hAnsi="Arial" w:cs="Arial"/>
        </w:rPr>
        <w:t>Moreover, digital capability plays a pivotal role in overcoming traditional internationalization barriers. By leveraging digital platforms and data-driven processes, firms can reduce transaction costs, streamline cross-border coordination, and access global markets more efficiently</w:t>
      </w:r>
      <w:r w:rsidR="00511115">
        <w:rPr>
          <w:rFonts w:ascii="Arial" w:hAnsi="Arial" w:cs="Arial"/>
        </w:rPr>
        <w:t xml:space="preserve"> </w:t>
      </w:r>
      <w:r w:rsidR="00511115">
        <w:rPr>
          <w:rFonts w:ascii="Arial" w:hAnsi="Arial" w:cs="Arial"/>
        </w:rPr>
        <w:fldChar w:fldCharType="begin"/>
      </w:r>
      <w:r w:rsidR="00511115">
        <w:rPr>
          <w:rFonts w:ascii="Arial" w:hAnsi="Arial" w:cs="Arial"/>
        </w:rPr>
        <w:instrText xml:space="preserve"> ADDIN ZOTERO_ITEM CSL_CITATION {"citationID":"M7S4Xbug","properties":{"formattedCitation":"(Du &amp; Huang, 2025)","plainCitation":"(Du &amp; Huang, 2025)","noteIndex":0},"citationItems":[{"id":7307,"uris":["http://zotero.org/users/local/OXu6bVda/items/FP8WBQNI"],"itemData":{"id":7307,"type":"article-journal","archive":"Scopus","container-title":"Asia Pacific Business Review","DOI":"10.1080/13602381.2024.2448472","title":"The influence of digital capabilities on the export performance of SMEs: evidence from China","URL":"https://www.scopus.com/inward/record.uri?eid=2-s2.0-85214661640&amp;doi=10.1080%2f13602381.2024.2448472&amp;partnerID=40&amp;md5=f0ab8ba66e4ad0ee42ef2c227d1d38a6","author":[{"family":"Du","given":"X."},{"family":"Huang","given":"J."}],"issued":{"date-parts":[["2025"]]}}}],"schema":"https://github.com/citation-style-language/schema/raw/master/csl-citation.json"} </w:instrText>
      </w:r>
      <w:r w:rsidR="00511115">
        <w:rPr>
          <w:rFonts w:ascii="Arial" w:hAnsi="Arial" w:cs="Arial"/>
        </w:rPr>
        <w:fldChar w:fldCharType="separate"/>
      </w:r>
      <w:r w:rsidR="00511115" w:rsidRPr="00511115">
        <w:rPr>
          <w:rFonts w:ascii="Arial" w:hAnsi="Arial" w:cs="Arial"/>
        </w:rPr>
        <w:t>(Du &amp; Huang, 2025)</w:t>
      </w:r>
      <w:r w:rsidR="00511115">
        <w:rPr>
          <w:rFonts w:ascii="Arial" w:hAnsi="Arial" w:cs="Arial"/>
        </w:rPr>
        <w:fldChar w:fldCharType="end"/>
      </w:r>
      <w:r w:rsidRPr="00750CD4">
        <w:rPr>
          <w:rFonts w:ascii="Arial" w:hAnsi="Arial" w:cs="Arial"/>
        </w:rPr>
        <w:t>. For MSMEs in particular, digital tools help bypass conventional constraints such as limited physical presence and resource scarcity, thereby expanding strategic reach and improving export performance</w:t>
      </w:r>
      <w:r w:rsidR="00511115">
        <w:rPr>
          <w:rFonts w:ascii="Arial" w:hAnsi="Arial" w:cs="Arial"/>
        </w:rPr>
        <w:t xml:space="preserve"> </w:t>
      </w:r>
      <w:r w:rsidR="00511115">
        <w:rPr>
          <w:rFonts w:ascii="Arial" w:hAnsi="Arial" w:cs="Arial"/>
        </w:rPr>
        <w:fldChar w:fldCharType="begin"/>
      </w:r>
      <w:r w:rsidR="00511115">
        <w:rPr>
          <w:rFonts w:ascii="Arial" w:hAnsi="Arial" w:cs="Arial"/>
        </w:rPr>
        <w:instrText xml:space="preserve"> ADDIN ZOTERO_ITEM CSL_CITATION {"citationID":"CTeRvTow","properties":{"formattedCitation":"(Tr\\uc0\\u261{}pczy\\uc0\\u324{}ski &amp; Kawa, 2023)","plainCitation":"(Trąpczyński &amp; Kawa, 2023)","noteIndex":0},"citationItems":[{"id":7309,"uris":["http://zotero.org/users/local/OXu6bVda/items/M9N2VVK3"],"itemData":{"id":7309,"type":"article-journal","archive":"Scopus","container-title":"Journal of Organizational Change Management","DOI":"10.1108/JOCM-11-2022-0322","issue":"5","page":"681-702","title":"Firm capabilities, use of Internet technologies and export performance: an empirical study of Polish exporters","volume":"36","author":[{"family":"Trąpczyński","given":"P."},{"family":"Kawa","given":"A."}],"issued":{"date-parts":[["2023"]]}}}],"schema":"https://github.com/citation-style-language/schema/raw/master/csl-citation.json"} </w:instrText>
      </w:r>
      <w:r w:rsidR="00511115">
        <w:rPr>
          <w:rFonts w:ascii="Arial" w:hAnsi="Arial" w:cs="Arial"/>
        </w:rPr>
        <w:fldChar w:fldCharType="separate"/>
      </w:r>
      <w:r w:rsidR="00511115" w:rsidRPr="00511115">
        <w:rPr>
          <w:rFonts w:ascii="Arial" w:hAnsi="Arial" w:cs="Arial"/>
        </w:rPr>
        <w:t>(Trąpczyński &amp; Kawa, 2023)</w:t>
      </w:r>
      <w:r w:rsidR="00511115">
        <w:rPr>
          <w:rFonts w:ascii="Arial" w:hAnsi="Arial" w:cs="Arial"/>
        </w:rPr>
        <w:fldChar w:fldCharType="end"/>
      </w:r>
      <w:r w:rsidRPr="00750CD4">
        <w:rPr>
          <w:rFonts w:ascii="Arial" w:hAnsi="Arial" w:cs="Arial"/>
        </w:rPr>
        <w:t>. Despite its strategic importance, prior research has largely examined human capital and digital capability in isolation. Studies on internationalization often focus on the direct effects of digitalization while overlooking its role as a mediating mechanism that translates human capital into global outcomes</w:t>
      </w:r>
      <w:r w:rsidR="00511115">
        <w:rPr>
          <w:rFonts w:ascii="Arial" w:hAnsi="Arial" w:cs="Arial"/>
        </w:rPr>
        <w:t xml:space="preserve"> </w:t>
      </w:r>
      <w:r w:rsidR="00511115">
        <w:rPr>
          <w:rFonts w:ascii="Arial" w:hAnsi="Arial" w:cs="Arial"/>
        </w:rPr>
        <w:fldChar w:fldCharType="begin"/>
      </w:r>
      <w:r w:rsidR="00511115">
        <w:rPr>
          <w:rFonts w:ascii="Arial" w:hAnsi="Arial" w:cs="Arial"/>
        </w:rPr>
        <w:instrText xml:space="preserve"> ADDIN ZOTERO_ITEM CSL_CITATION {"citationID":"DCNwjJko","properties":{"formattedCitation":"(Anwar et al., 2024)","plainCitation":"(Anwar et al., 2024)","noteIndex":0},"citationItems":[{"id":7329,"uris":["http://zotero.org/users/local/OXu6bVda/items/55ITJ5FW"],"itemData":{"id":7329,"type":"article-journal","archive":"Scopus","container-title":"IEEE Transactions on Engineering Management","DOI":"10.1109/TEM.2022.3229049","page":"4131-4143","title":"Digital Capabilities, Their Role in Business Model Innovativeness, and the Internationalization of SMEs","volume":"71","author":[{"family":"Anwar","given":"M."},{"family":"Scheffler","given":"M.A."},{"family":"Clauss","given":"T."}],"issued":{"date-parts":[["2024"]]}}}],"schema":"https://github.com/citation-style-language/schema/raw/master/csl-citation.json"} </w:instrText>
      </w:r>
      <w:r w:rsidR="00511115">
        <w:rPr>
          <w:rFonts w:ascii="Arial" w:hAnsi="Arial" w:cs="Arial"/>
        </w:rPr>
        <w:fldChar w:fldCharType="separate"/>
      </w:r>
      <w:r w:rsidR="00511115" w:rsidRPr="00511115">
        <w:rPr>
          <w:rFonts w:ascii="Arial" w:hAnsi="Arial" w:cs="Arial"/>
        </w:rPr>
        <w:t>(Anwar et al., 2024)</w:t>
      </w:r>
      <w:r w:rsidR="00511115">
        <w:rPr>
          <w:rFonts w:ascii="Arial" w:hAnsi="Arial" w:cs="Arial"/>
        </w:rPr>
        <w:fldChar w:fldCharType="end"/>
      </w:r>
      <w:r w:rsidRPr="00750CD4">
        <w:rPr>
          <w:rFonts w:ascii="Arial" w:hAnsi="Arial" w:cs="Arial"/>
        </w:rPr>
        <w:t>. This fragmented perspective limits our understanding of how resource-constrained firms effectively mobilize internal assets to achieve international competitiveness.</w:t>
      </w:r>
    </w:p>
    <w:p w14:paraId="32159450" w14:textId="3EDA9641" w:rsidR="00750CD4" w:rsidRPr="00750CD4" w:rsidRDefault="00750CD4" w:rsidP="00750CD4">
      <w:pPr>
        <w:jc w:val="both"/>
        <w:rPr>
          <w:rFonts w:ascii="Arial" w:hAnsi="Arial" w:cs="Arial"/>
        </w:rPr>
      </w:pPr>
      <w:r w:rsidRPr="00750CD4">
        <w:rPr>
          <w:rFonts w:ascii="Arial" w:hAnsi="Arial" w:cs="Arial"/>
        </w:rPr>
        <w:t>Addressing this gap, this study proposes that digital capability functions as a critical mediating mechanism that converts human capital into internationalization outcomes. Drawing on the Resource-Based View and Dynamic Capability Theory, we argue that competitive advantage stems not from resource ownership alone, but from a firm’s ability to reconfigure and operationalize those resources in response to evolving market demands. In this context, digital capability serves as a strategic enabler that transforms human capital into market-oriented actions, helping firms navigate geographic and institutional barriers.</w:t>
      </w:r>
    </w:p>
    <w:p w14:paraId="332C802F" w14:textId="646296E5" w:rsidR="00750CD4" w:rsidRDefault="00750CD4" w:rsidP="00750CD4">
      <w:pPr>
        <w:jc w:val="both"/>
        <w:rPr>
          <w:rFonts w:ascii="Arial" w:hAnsi="Arial" w:cs="Arial"/>
        </w:rPr>
      </w:pPr>
      <w:r w:rsidRPr="00750CD4">
        <w:rPr>
          <w:rFonts w:ascii="Arial" w:hAnsi="Arial" w:cs="Arial"/>
        </w:rPr>
        <w:t>This research focuses on MSMEs in developing economies, where resource limitations and institutional constraints are particularly pronounced. Specifically, it examines teak woodcraft MSMEs in Bojonegoro, Indonesia—a sector characterized by rich local resource endowments and artisanal skills that reflect accumulated tacit knowledge</w:t>
      </w:r>
      <w:r w:rsidR="00511115">
        <w:rPr>
          <w:rFonts w:ascii="Arial" w:hAnsi="Arial" w:cs="Arial"/>
        </w:rPr>
        <w:t xml:space="preserve"> </w:t>
      </w:r>
      <w:r w:rsidR="00511115">
        <w:rPr>
          <w:rFonts w:ascii="Arial" w:hAnsi="Arial" w:cs="Arial"/>
        </w:rPr>
        <w:fldChar w:fldCharType="begin"/>
      </w:r>
      <w:r w:rsidR="00511115">
        <w:rPr>
          <w:rFonts w:ascii="Arial" w:hAnsi="Arial" w:cs="Arial"/>
        </w:rPr>
        <w:instrText xml:space="preserve"> ADDIN ZOTERO_ITEM CSL_CITATION {"citationID":"tRKyZjM9","properties":{"formattedCitation":"(Devi et al., 2012; Rizanti et al., 2018)","plainCitation":"(Devi et al., 2012; Rizanti et al., 2018)","noteIndex":0},"citationItems":[{"id":7421,"uris":["http://zotero.org/users/local/OXu6bVda/items/CNJRBU26"],"itemData":{"id":7421,"type":"paper-conference","archive":"Scopus","event-title":"Lecture Notes in Engineering and Computer Science","page":"1407-1411","title":"A relationship model between manufacturer and buyer for order fulfillment in export oriented furniture industry with sustainability considerations","URL":"https://www.scopus.com/inward/record.uri?eid=2-s2.0-84867463108&amp;partnerID=40&amp;md5=ec210a21d72292d5aa595e183f08cd67","volume":"2196","author":[{"family":"Devi","given":"R.A."},{"family":"Hisjam","given":"M."},{"family":"Sutopo","given":"W."},{"family":"Widodo","given":"K.H."}],"issued":{"date-parts":[["2012"]]}}},{"id":7415,"uris":["http://zotero.org/users/local/OXu6bVda/items/KDPFV8A5"],"itemData":{"id":7415,"type":"article-journal","archive":"Scopus","container-title":"Annals of Forest Science","DOI":"10.1007/s13595-018-0716-8","issue":"2","title":"Comparison of teak wood properties according to forest management: short versus long rotation","URL":"https://www.scopus.com/inward/record.uri?eid=2-s2.0-85044145556&amp;doi=10.1007%2fs13595-018-0716-8&amp;partnerID=40&amp;md5=a502df14fa6d3f3db00785e0063c58a8","volume":"75","author":[{"family":"Rizanti","given":"D.E."},{"family":"Darmawan","given":"W."},{"family":"George","given":"B."},{"family":"Merlin","given":"A."},{"family":"Dumarcay","given":"S."},{"family":"Chapuis","given":"H."},{"family":"Gérardin","given":"C."},{"family":"Gelhaye","given":"E."},{"family":"Raharivelomanana","given":"P."},{"family":"Kartika Sari","given":"R."},{"family":"Syafii","given":"W."},{"family":"Mohamed","given":"R."},{"family":"Gerardin","given":"P."}],"issued":{"date-parts":[["2018"]]}}}],"schema":"https://github.com/citation-style-language/schema/raw/master/csl-citation.json"} </w:instrText>
      </w:r>
      <w:r w:rsidR="00511115">
        <w:rPr>
          <w:rFonts w:ascii="Arial" w:hAnsi="Arial" w:cs="Arial"/>
        </w:rPr>
        <w:fldChar w:fldCharType="separate"/>
      </w:r>
      <w:r w:rsidR="00511115" w:rsidRPr="00511115">
        <w:rPr>
          <w:rFonts w:ascii="Arial" w:hAnsi="Arial" w:cs="Arial"/>
        </w:rPr>
        <w:t>(Devi et al., 2012; Rizanti et al., 2018)</w:t>
      </w:r>
      <w:r w:rsidR="00511115">
        <w:rPr>
          <w:rFonts w:ascii="Arial" w:hAnsi="Arial" w:cs="Arial"/>
        </w:rPr>
        <w:fldChar w:fldCharType="end"/>
      </w:r>
      <w:r w:rsidRPr="00750CD4">
        <w:rPr>
          <w:rFonts w:ascii="Arial" w:hAnsi="Arial" w:cs="Arial"/>
        </w:rPr>
        <w:t xml:space="preserve">. From a Resource-Based View perspective, teak wood and local craftsmanship represent valuable, rare, and difficult-to-imitate resources that can serve as a </w:t>
      </w:r>
      <w:r w:rsidRPr="00750CD4">
        <w:rPr>
          <w:rFonts w:ascii="Arial" w:hAnsi="Arial" w:cs="Arial"/>
        </w:rPr>
        <w:lastRenderedPageBreak/>
        <w:t>foundation for sustained competitive advantage</w:t>
      </w:r>
      <w:r w:rsidR="00511115">
        <w:rPr>
          <w:rFonts w:ascii="Arial" w:hAnsi="Arial" w:cs="Arial"/>
        </w:rPr>
        <w:t xml:space="preserve"> </w:t>
      </w:r>
      <w:r w:rsidR="00511115">
        <w:rPr>
          <w:rFonts w:ascii="Arial" w:hAnsi="Arial" w:cs="Arial"/>
        </w:rPr>
        <w:fldChar w:fldCharType="begin"/>
      </w:r>
      <w:r w:rsidR="00511115">
        <w:rPr>
          <w:rFonts w:ascii="Arial" w:hAnsi="Arial" w:cs="Arial"/>
        </w:rPr>
        <w:instrText xml:space="preserve"> ADDIN ZOTERO_ITEM CSL_CITATION {"citationID":"KrOjUeU5","properties":{"formattedCitation":"(Ciszewska-Mlinari\\uc0\\u269{} &amp; Wasowska, 2015; Lubis et al., 2026)","plainCitation":"(Ciszewska-Mlinarič &amp; Wasowska, 2015; Lubis et al., 2026)","noteIndex":0},"citationItems":[{"id":7451,"uris":["http://zotero.org/users/local/OXu6bVda/items/85CGRKKM"],"itemData":{"id":7451,"type":"chapter","archive":"Scopus","container-title":"Wiley Encyclopedia of Management","DOI":"10.1002/9781118785317.weom060174","page":"1-7","title":"Resource-Based View (RBV)","URL":"https://www.scopus.com/inward/record.uri?eid=2-s2.0-105025340038&amp;doi=10.1002%2f9781118785317.weom060174&amp;partnerID=40&amp;md5=a5215f59571b653c3bd6524cd5be8706","author":[{"family":"Ciszewska-Mlinarič","given":"M."},{"family":"Wasowska","given":"A."}],"issued":{"date-parts":[["2015"]]}}},{"id":7443,"uris":["http://zotero.org/users/local/OXu6bVda/items/2MSXASKG"],"itemData":{"id":7443,"type":"chapter","archive":"Scopus","container-title":"Studies in Systems, Decision and Control","DOI":"10.1007/978-3-031-85398-2_36","page":"407-414","title":"Resources Based View (RBV) for Marketing Capabilities: Literature Review: Implications for SMEs","URL":"https://www.scopus.com/inward/record.uri?eid=2-s2.0-105027289431&amp;doi=10.1007%2f978-3-031-85398-2_36&amp;partnerID=40&amp;md5=fae64294f12c8b99cb67473edefac62b","volume":"238","author":[{"family":"Lubis","given":"N.W."},{"family":"Rini","given":"E.S."},{"family":"Lumbanraja","given":"P."},{"family":"Sembiring","given":"B.K.F."}],"issued":{"date-parts":[["2026"]]}}}],"schema":"https://github.com/citation-style-language/schema/raw/master/csl-citation.json"} </w:instrText>
      </w:r>
      <w:r w:rsidR="00511115">
        <w:rPr>
          <w:rFonts w:ascii="Arial" w:hAnsi="Arial" w:cs="Arial"/>
        </w:rPr>
        <w:fldChar w:fldCharType="separate"/>
      </w:r>
      <w:r w:rsidR="00511115" w:rsidRPr="00511115">
        <w:rPr>
          <w:rFonts w:ascii="Arial" w:hAnsi="Arial" w:cs="Arial"/>
        </w:rPr>
        <w:t>(Ciszewska-Mlinarič &amp; Wasowska, 2015; Lubis et al., 2026)</w:t>
      </w:r>
      <w:r w:rsidR="00511115">
        <w:rPr>
          <w:rFonts w:ascii="Arial" w:hAnsi="Arial" w:cs="Arial"/>
        </w:rPr>
        <w:fldChar w:fldCharType="end"/>
      </w:r>
      <w:r w:rsidRPr="00750CD4">
        <w:rPr>
          <w:rFonts w:ascii="Arial" w:hAnsi="Arial" w:cs="Arial"/>
        </w:rPr>
        <w:t>. However, these advantages remain underexploited due to limited capacity in transforming traditional resources into market-oriented international strategies</w:t>
      </w:r>
      <w:r w:rsidR="00511115">
        <w:rPr>
          <w:rFonts w:ascii="Arial" w:hAnsi="Arial" w:cs="Arial"/>
        </w:rPr>
        <w:t xml:space="preserve"> </w:t>
      </w:r>
      <w:r w:rsidR="00511115">
        <w:rPr>
          <w:rFonts w:ascii="Arial" w:hAnsi="Arial" w:cs="Arial"/>
        </w:rPr>
        <w:fldChar w:fldCharType="begin"/>
      </w:r>
      <w:r w:rsidR="00511115">
        <w:rPr>
          <w:rFonts w:ascii="Arial" w:hAnsi="Arial" w:cs="Arial"/>
        </w:rPr>
        <w:instrText xml:space="preserve"> ADDIN ZOTERO_ITEM CSL_CITATION {"citationID":"qBjHvi15","properties":{"formattedCitation":"(Inan, 2024; Mady et al., 2023; Quaye &amp; Mensah, 2019)","plainCitation":"(Inan, 2024; Mady et al., 2023; Quaye &amp; Mensah, 2019)","noteIndex":0},"citationItems":[{"id":7465,"uris":["http://zotero.org/users/local/OXu6bVda/items/7LVGMM3N"],"itemData":{"id":7465,"type":"paper-conference","archive":"Scopus","DOI":"10.1007/978-3-031-71633-1_10","event-title":"IFIP Advances in Information and Communication Technology","page":"135-147","title":"Building Digital Capabilities in Manufacturing SMEs","URL":"https://www.scopus.com/inward/record.uri?eid=2-s2.0-85204531645&amp;doi=10.1007%2f978-3-031-71633-1_10&amp;partnerID=40&amp;md5=a4c9161025236c0ac7bdf91edfc13d8e","volume":"731 IFIP","author":[{"family":"Inan","given":"G.G."}],"issued":{"date-parts":[["2024"]]}}},{"id":7487,"uris":["http://zotero.org/users/local/OXu6bVda/items/R7X8MRF8"],"itemData":{"id":7487,"type":"article-journal","archive":"Scopus","container-title":"Journal of Cleaner Production","DOI":"10.1016/j.jclepro.2023.137928","title":"Linking internal environmental capabilities to sustainable competitive advantage in manufacturing SMEs: The mediating role of eco-innovation","URL":"https://www.scopus.com/inward/record.uri?eid=2-s2.0-85164258289&amp;doi=10.1016%2fj.jclepro.2023.137928&amp;partnerID=40&amp;md5=f1062a8b85cb7a0f45c41bcfc30ddb9f","volume":"417","author":[{"family":"Mady","given":"K."},{"family":"Battour","given":"M."},{"family":"Aboelmaged","given":"M."},{"family":"Abdelkareem","given":"R.S."}],"issued":{"date-parts":[["2023"]]}}},{"id":7477,"uris":["http://zotero.org/users/local/OXu6bVda/items/8TUDTESJ"],"itemData":{"id":7477,"type":"article-journal","archive":"Scopus","container-title":"Management Decision","DOI":"10.1108/MD-08-2017-0784","issue":"7","page":"1535-1553","title":"Marketing innovation and sustainable competitive advantage of manufacturing SMEs in Ghana","volume":"57","author":[{"family":"Quaye","given":"D."},{"family":"Mensah","given":"I."}],"issued":{"date-parts":[["2019"]]}}}],"schema":"https://github.com/citation-style-language/schema/raw/master/csl-citation.json"} </w:instrText>
      </w:r>
      <w:r w:rsidR="00511115">
        <w:rPr>
          <w:rFonts w:ascii="Arial" w:hAnsi="Arial" w:cs="Arial"/>
        </w:rPr>
        <w:fldChar w:fldCharType="separate"/>
      </w:r>
      <w:r w:rsidR="00511115" w:rsidRPr="00511115">
        <w:rPr>
          <w:rFonts w:ascii="Arial" w:hAnsi="Arial" w:cs="Arial"/>
        </w:rPr>
        <w:t>(Inan, 2024; Mady et al., 2023; Quaye &amp; Mensah, 2019)</w:t>
      </w:r>
      <w:r w:rsidR="00511115">
        <w:rPr>
          <w:rFonts w:ascii="Arial" w:hAnsi="Arial" w:cs="Arial"/>
        </w:rPr>
        <w:fldChar w:fldCharType="end"/>
      </w:r>
      <w:r w:rsidRPr="00750CD4">
        <w:rPr>
          <w:rFonts w:ascii="Arial" w:hAnsi="Arial" w:cs="Arial"/>
        </w:rPr>
        <w:t>. From a Dynamic Capability standpoint, these firms face challenges not in possessing resources, but in sensing global opportunities, seizing them through strategic responses, and reconfiguring existing capabilities to align with digital and international market demands. Despite the high economic and cultural value of teak-based products</w:t>
      </w:r>
      <w:r w:rsidR="00511115">
        <w:rPr>
          <w:rFonts w:ascii="Arial" w:hAnsi="Arial" w:cs="Arial"/>
        </w:rPr>
        <w:t xml:space="preserve"> </w:t>
      </w:r>
      <w:r w:rsidR="00511115">
        <w:rPr>
          <w:rFonts w:ascii="Arial" w:hAnsi="Arial" w:cs="Arial"/>
        </w:rPr>
        <w:fldChar w:fldCharType="begin"/>
      </w:r>
      <w:r w:rsidR="00511115">
        <w:rPr>
          <w:rFonts w:ascii="Arial" w:hAnsi="Arial" w:cs="Arial"/>
        </w:rPr>
        <w:instrText xml:space="preserve"> ADDIN ZOTERO_ITEM CSL_CITATION {"citationID":"x3xVdKk3","properties":{"formattedCitation":"(Pumomo et al., 2011)","plainCitation":"(Pumomo et al., 2011)","noteIndex":0},"citationItems":[{"id":7489,"uris":["http://zotero.org/users/local/OXu6bVda/items/8MQ5W6Q6"],"itemData":{"id":7489,"type":"paper-conference","archive":"Scopus","event-title":"MODSIM 2011 - 19th International Congress on Modelling and Simulation - Sustaining Our Future: Understanding and Living with Uncertainty","page":"338-344","title":"A system dynamics approach to balancing wood supply and demand for sustaining the future industry","URL":"https://www.scopus.com/inward/record.uri?eid=2-s2.0-84858819643&amp;partnerID=40&amp;md5=a2baf8e8c82431d212ba3a2fbc99a184","author":[{"family":"Pumomo","given":"H."},{"family":"Abdullah","given":"L."},{"family":"Irawati","given":"R.H."}],"issued":{"date-parts":[["2011"]]}}}],"schema":"https://github.com/citation-style-language/schema/raw/master/csl-citation.json"} </w:instrText>
      </w:r>
      <w:r w:rsidR="00511115">
        <w:rPr>
          <w:rFonts w:ascii="Arial" w:hAnsi="Arial" w:cs="Arial"/>
        </w:rPr>
        <w:fldChar w:fldCharType="separate"/>
      </w:r>
      <w:r w:rsidR="00511115" w:rsidRPr="00511115">
        <w:rPr>
          <w:rFonts w:ascii="Arial" w:hAnsi="Arial" w:cs="Arial"/>
        </w:rPr>
        <w:t>(Pumomo et al., 2011)</w:t>
      </w:r>
      <w:r w:rsidR="00511115">
        <w:rPr>
          <w:rFonts w:ascii="Arial" w:hAnsi="Arial" w:cs="Arial"/>
        </w:rPr>
        <w:fldChar w:fldCharType="end"/>
      </w:r>
      <w:r w:rsidRPr="00750CD4">
        <w:rPr>
          <w:rFonts w:ascii="Arial" w:hAnsi="Arial" w:cs="Arial"/>
        </w:rPr>
        <w:t>, their potential for global expansion remains constrained. Based on the identified research gap and theoretical foundation, this study aims to achieve the following objectives: (1) to examine the direct effect of human capital on the digital capability of teak woodcraft MSMEs; (2) to investigate the direct influence of human capital and digital capability on SME internationalization; and (3) to analyze the mediating role of digital capability in the relationship between human capital and internationalization. By addressing these objectives, the study seeks to provide empirical evidence on how internal resources are transformed into global competitiveness through digital mechanisms.</w:t>
      </w:r>
    </w:p>
    <w:p w14:paraId="5F7A0CC4" w14:textId="3543C1AF" w:rsidR="00B01FCD" w:rsidRDefault="00B01FCD" w:rsidP="006B5CC8">
      <w:pPr>
        <w:pStyle w:val="Body"/>
        <w:spacing w:after="0"/>
        <w:rPr>
          <w:rFonts w:ascii="Arial" w:hAnsi="Arial" w:cs="Arial"/>
        </w:rPr>
      </w:pPr>
    </w:p>
    <w:p w14:paraId="424DDB58" w14:textId="4BB8313D" w:rsidR="006B5CC8" w:rsidRDefault="006B5CC8" w:rsidP="006B5CC8">
      <w:pPr>
        <w:pStyle w:val="Body"/>
        <w:spacing w:after="0"/>
        <w:rPr>
          <w:rFonts w:ascii="Arial" w:hAnsi="Arial" w:cs="Arial"/>
          <w:b/>
          <w:bCs/>
          <w:sz w:val="22"/>
          <w:szCs w:val="22"/>
        </w:rPr>
      </w:pPr>
      <w:r w:rsidRPr="006B5CC8">
        <w:rPr>
          <w:rFonts w:ascii="Arial" w:hAnsi="Arial" w:cs="Arial"/>
          <w:b/>
          <w:bCs/>
          <w:sz w:val="22"/>
          <w:szCs w:val="22"/>
        </w:rPr>
        <w:t>2. LITERATURE REVIEW</w:t>
      </w:r>
    </w:p>
    <w:p w14:paraId="5199DA48" w14:textId="77777777" w:rsidR="006B5CC8" w:rsidRDefault="006B5CC8" w:rsidP="006B5CC8">
      <w:pPr>
        <w:pStyle w:val="Body"/>
        <w:spacing w:after="0"/>
        <w:rPr>
          <w:rFonts w:ascii="Arial" w:hAnsi="Arial" w:cs="Arial"/>
          <w:sz w:val="22"/>
          <w:szCs w:val="22"/>
        </w:rPr>
      </w:pPr>
    </w:p>
    <w:p w14:paraId="379FD30A" w14:textId="1468DD4D" w:rsidR="006B5CC8" w:rsidRPr="006B5CC8" w:rsidRDefault="00DA3E4E" w:rsidP="006B5CC8">
      <w:pPr>
        <w:jc w:val="both"/>
        <w:rPr>
          <w:rFonts w:ascii="Arial" w:hAnsi="Arial" w:cs="Arial"/>
          <w:b/>
          <w:bCs/>
        </w:rPr>
      </w:pPr>
      <w:r>
        <w:rPr>
          <w:rFonts w:ascii="Arial" w:hAnsi="Arial" w:cs="Arial"/>
          <w:b/>
          <w:bCs/>
        </w:rPr>
        <w:t xml:space="preserve">2.1 </w:t>
      </w:r>
      <w:r w:rsidR="006B5CC8" w:rsidRPr="006B5CC8">
        <w:rPr>
          <w:rFonts w:ascii="Arial" w:hAnsi="Arial" w:cs="Arial"/>
          <w:b/>
          <w:bCs/>
        </w:rPr>
        <w:t>Human Capital Theory</w:t>
      </w:r>
    </w:p>
    <w:p w14:paraId="096FE580" w14:textId="77777777" w:rsidR="006B5CC8" w:rsidRDefault="006B5CC8" w:rsidP="006B5CC8">
      <w:pPr>
        <w:jc w:val="both"/>
        <w:rPr>
          <w:rFonts w:ascii="Arial" w:hAnsi="Arial" w:cs="Arial"/>
        </w:rPr>
      </w:pPr>
      <w:r w:rsidRPr="006B5CC8">
        <w:rPr>
          <w:rFonts w:ascii="Arial" w:hAnsi="Arial" w:cs="Arial"/>
        </w:rPr>
        <w:t xml:space="preserve">Becker’s Human Capital Theory suggests that employee knowledge, specialized skills, and managerial abilities are essential resources that influence organizational performance and strategic preparedness, especially in resource-limited SMEs. Recent research shows that human capital boosts productivity and engagement through focused training and skill development, with evidence indicating that training programs and e-learning significantly improve organizational results </w:t>
      </w:r>
      <w:r w:rsidRPr="006B5CC8">
        <w:rPr>
          <w:rFonts w:ascii="Arial" w:hAnsi="Arial" w:cs="Arial"/>
        </w:rPr>
        <w:fldChar w:fldCharType="begin"/>
      </w:r>
      <w:r w:rsidRPr="006B5CC8">
        <w:rPr>
          <w:rFonts w:ascii="Arial" w:hAnsi="Arial" w:cs="Arial"/>
        </w:rPr>
        <w:instrText xml:space="preserve"> ADDIN ZOTERO_ITEM CSL_CITATION {"citationID":"4sYRnE0v","properties":{"formattedCitation":"(Arokiasamy et al., 2025)","plainCitation":"(Arokiasamy et al., 2025)","noteIndex":0},"citationItems":[{"id":7367,"uris":["http://zotero.org/users/local/OXu6bVda/items/PH3GRBZQ"],"itemData":{"id":7367,"type":"article-journal","archive":"Scopus","container-title":"Asian Development Policy Review","DOI":"10.55493/5008.v13i3.5603","issue":"3","page":"310-324","title":"Optimizing employee productivity: The mediating role of employee engagement in training programs for Malaysian SMEs","volume":"13","author":[{"family":"Arokiasamy","given":"A.R.A."},{"family":"Wider","given":"W."},{"family":"Tanucan","given":"J.C.M."},{"family":"Hossain","given":"S.F.A."},{"family":"Thet","given":"K.Z.Z."}],"issued":{"date-parts":[["2025"]]}}}],"schema":"https://github.com/citation-style-language/schema/raw/master/csl-citation.json"} </w:instrText>
      </w:r>
      <w:r w:rsidRPr="006B5CC8">
        <w:rPr>
          <w:rFonts w:ascii="Arial" w:hAnsi="Arial" w:cs="Arial"/>
        </w:rPr>
        <w:fldChar w:fldCharType="separate"/>
      </w:r>
      <w:r w:rsidRPr="006B5CC8">
        <w:rPr>
          <w:rFonts w:ascii="Arial" w:hAnsi="Arial" w:cs="Arial"/>
        </w:rPr>
        <w:t>(Arokiasamy et al., 2025)</w:t>
      </w:r>
      <w:r w:rsidRPr="006B5CC8">
        <w:rPr>
          <w:rFonts w:ascii="Arial" w:hAnsi="Arial" w:cs="Arial"/>
        </w:rPr>
        <w:fldChar w:fldCharType="end"/>
      </w:r>
      <w:r w:rsidRPr="006B5CC8">
        <w:rPr>
          <w:rFonts w:ascii="Arial" w:hAnsi="Arial" w:cs="Arial"/>
        </w:rPr>
        <w:t xml:space="preserve">. In addition to core skills, human capital enhances absorptive capacity, enabling SMEs to acquire, interpret, and utilize external knowledge for innovation and gaining a competitive edge </w:t>
      </w:r>
      <w:r w:rsidRPr="006B5CC8">
        <w:rPr>
          <w:rFonts w:ascii="Arial" w:hAnsi="Arial" w:cs="Arial"/>
        </w:rPr>
        <w:fldChar w:fldCharType="begin"/>
      </w:r>
      <w:r w:rsidRPr="006B5CC8">
        <w:rPr>
          <w:rFonts w:ascii="Arial" w:hAnsi="Arial" w:cs="Arial"/>
        </w:rPr>
        <w:instrText xml:space="preserve"> ADDIN ZOTERO_ITEM CSL_CITATION {"citationID":"bbH3q3Vt","properties":{"formattedCitation":"(Khalil, 2024)","plainCitation":"(Khalil, 2024)","noteIndex":0},"citationItems":[{"id":7373,"uris":["http://zotero.org/users/local/OXu6bVda/items/5C8Z3ZIJ"],"itemData":{"id":7373,"type":"paper-conference","archive":"Scopus","DOI":"10.1007/978-3-031-55911-2_45","event-title":"Lecture Notes in Networks and Systems","page":"458-472","title":"Examining the Contribution of Entrepreneurial Education Programs and Entrepreneurial Human Capital on Small and Medium Enterprises Perceived Business Performance in the United Arab Emirates, UAE: The Mediating Role of Absorptive Capacity","URL":"https://www.scopus.com/inward/record.uri?eid=2-s2.0-85189504081&amp;doi=10.1007%2f978-3-031-55911-2_45&amp;partnerID=40&amp;md5=44663766ee62fb83481bf1f4868fab9a","volume":"923 LNNS","author":[{"family":"Khalil","given":"H."}],"issued":{"date-parts":[["2024"]]}}}],"schema":"https://github.com/citation-style-language/schema/raw/master/csl-citation.json"} </w:instrText>
      </w:r>
      <w:r w:rsidRPr="006B5CC8">
        <w:rPr>
          <w:rFonts w:ascii="Arial" w:hAnsi="Arial" w:cs="Arial"/>
        </w:rPr>
        <w:fldChar w:fldCharType="separate"/>
      </w:r>
      <w:r w:rsidRPr="006B5CC8">
        <w:rPr>
          <w:rFonts w:ascii="Arial" w:hAnsi="Arial" w:cs="Arial"/>
        </w:rPr>
        <w:t>(Khalil, 2024)</w:t>
      </w:r>
      <w:r w:rsidRPr="006B5CC8">
        <w:rPr>
          <w:rFonts w:ascii="Arial" w:hAnsi="Arial" w:cs="Arial"/>
        </w:rPr>
        <w:fldChar w:fldCharType="end"/>
      </w:r>
      <w:r w:rsidRPr="006B5CC8">
        <w:rPr>
          <w:rFonts w:ascii="Arial" w:hAnsi="Arial" w:cs="Arial"/>
        </w:rPr>
        <w:t xml:space="preserve">, while technical expertise is associated with increased labor productivity and overall firm performance </w:t>
      </w:r>
      <w:r w:rsidRPr="006B5CC8">
        <w:rPr>
          <w:rFonts w:ascii="Arial" w:hAnsi="Arial" w:cs="Arial"/>
        </w:rPr>
        <w:fldChar w:fldCharType="begin"/>
      </w:r>
      <w:r w:rsidRPr="006B5CC8">
        <w:rPr>
          <w:rFonts w:ascii="Arial" w:hAnsi="Arial" w:cs="Arial"/>
        </w:rPr>
        <w:instrText xml:space="preserve"> ADDIN ZOTERO_ITEM CSL_CITATION {"citationID":"xYKdNpLz","properties":{"formattedCitation":"(Ismail, 2018)","plainCitation":"(Ismail, 2018)","noteIndex":0},"citationItems":[{"id":7359,"uris":["http://zotero.org/users/local/OXu6bVda/items/U2KIK7YJ"],"itemData":{"id":7359,"type":"article-journal","archive":"Scopus","container-title":"International Journal of Productivity and Quality Management","DOI":"10.1504/IJPQM.2018.094769","issue":"2","page":"245-261","title":"The impact of human capital and innovation on labour productivity of Malaysian small and medium enterprises","volume":"25","author":[{"family":"Ismail","given":"R."}],"issued":{"date-parts":[["2018"]]}}}],"schema":"https://github.com/citation-style-language/schema/raw/master/csl-citation.json"} </w:instrText>
      </w:r>
      <w:r w:rsidRPr="006B5CC8">
        <w:rPr>
          <w:rFonts w:ascii="Arial" w:hAnsi="Arial" w:cs="Arial"/>
        </w:rPr>
        <w:fldChar w:fldCharType="separate"/>
      </w:r>
      <w:r w:rsidRPr="006B5CC8">
        <w:rPr>
          <w:rFonts w:ascii="Arial" w:hAnsi="Arial" w:cs="Arial"/>
        </w:rPr>
        <w:t>(Ismail, 2018)</w:t>
      </w:r>
      <w:r w:rsidRPr="006B5CC8">
        <w:rPr>
          <w:rFonts w:ascii="Arial" w:hAnsi="Arial" w:cs="Arial"/>
        </w:rPr>
        <w:fldChar w:fldCharType="end"/>
      </w:r>
      <w:r w:rsidRPr="006B5CC8">
        <w:rPr>
          <w:rFonts w:ascii="Arial" w:hAnsi="Arial" w:cs="Arial"/>
        </w:rPr>
        <w:t xml:space="preserve">. At the managerial level, adaptive managerial abilities and entrepreneurial leadership are vital for converting human capital into strategic initiatives, helping firms stay agile and responsive in unpredictable environments </w:t>
      </w:r>
      <w:r w:rsidRPr="006B5CC8">
        <w:rPr>
          <w:rFonts w:ascii="Arial" w:hAnsi="Arial" w:cs="Arial"/>
        </w:rPr>
        <w:fldChar w:fldCharType="begin"/>
      </w:r>
      <w:r w:rsidRPr="006B5CC8">
        <w:rPr>
          <w:rFonts w:ascii="Arial" w:hAnsi="Arial" w:cs="Arial"/>
        </w:rPr>
        <w:instrText xml:space="preserve"> ADDIN ZOTERO_ITEM CSL_CITATION {"citationID":"ywQsnXCZ","properties":{"formattedCitation":"(Althawadi, 2025; Kusumawijaya et al., 2026)","plainCitation":"(Althawadi, 2025; Kusumawijaya et al., 2026)","noteIndex":0},"citationItems":[{"id":7361,"uris":["http://zotero.org/users/local/OXu6bVda/items/NX8UK8AB"],"itemData":{"id":7361,"type":"chapter","archive":"Scopus","container-title":"Studies in Big Data","DOI":"10.1007/978-3-031-83911-5_26","page":"289-301","title":"A Strategic Framework for Enhancing SME Competitiveness and Growth","URL":"https://www.scopus.com/inward/record.uri?eid=2-s2.0-105003756474&amp;doi=10.1007%2f978-3-031-83911-5_26&amp;partnerID=40&amp;md5=9a4dccc0f0f3d2c576f2c675cd562591","volume":"171","author":[{"family":"Althawadi","given":"A."}],"issued":{"date-parts":[["2025"]]}}},{"id":7351,"uris":["http://zotero.org/users/local/OXu6bVda/items/Z64GJMSJ"],"itemData":{"id":7351,"type":"article-journal","archive":"Scopus","container-title":"Business, Management and Economics Engineering","DOI":"10.3846/bmee.2026.24215","issue":"1","page":"124-142","title":"BUILDING HUMAN CAPITAL AND DYNAMIC MANAGERIAL CAPABILITY TO ELEVATE ORGANIZATIONAL AGILITY AND PERFORMANCE: A STRATEGIC FOR SME RESILIENCE","volume":"24","author":[{"family":"Kusumawijaya","given":"I.K."},{"family":"Astuti","given":"P.D."},{"family":"Wartana","given":"I.M.H."},{"family":"Adi","given":"I.K.Y."}],"issued":{"date-parts":[["2026"]]}}}],"schema":"https://github.com/citation-style-language/schema/raw/master/csl-citation.json"} </w:instrText>
      </w:r>
      <w:r w:rsidRPr="006B5CC8">
        <w:rPr>
          <w:rFonts w:ascii="Arial" w:hAnsi="Arial" w:cs="Arial"/>
        </w:rPr>
        <w:fldChar w:fldCharType="separate"/>
      </w:r>
      <w:r w:rsidRPr="006B5CC8">
        <w:rPr>
          <w:rFonts w:ascii="Arial" w:hAnsi="Arial" w:cs="Arial"/>
        </w:rPr>
        <w:t>(Althawadi, 2025; Kusumawijaya et al., 2026)</w:t>
      </w:r>
      <w:r w:rsidRPr="006B5CC8">
        <w:rPr>
          <w:rFonts w:ascii="Arial" w:hAnsi="Arial" w:cs="Arial"/>
        </w:rPr>
        <w:fldChar w:fldCharType="end"/>
      </w:r>
      <w:r w:rsidRPr="006B5CC8">
        <w:rPr>
          <w:rFonts w:ascii="Arial" w:hAnsi="Arial" w:cs="Arial"/>
        </w:rPr>
        <w:t xml:space="preserve">. Moreover, the impact of human capital is strengthened when combined with organizational resources like digital technologies and social capital, where digital tools and HR systems support real-time decision-making and operational efficiency </w:t>
      </w:r>
      <w:r w:rsidRPr="006B5CC8">
        <w:rPr>
          <w:rFonts w:ascii="Arial" w:hAnsi="Arial" w:cs="Arial"/>
        </w:rPr>
        <w:fldChar w:fldCharType="begin"/>
      </w:r>
      <w:r w:rsidRPr="006B5CC8">
        <w:rPr>
          <w:rFonts w:ascii="Arial" w:hAnsi="Arial" w:cs="Arial"/>
        </w:rPr>
        <w:instrText xml:space="preserve"> ADDIN ZOTERO_ITEM CSL_CITATION {"citationID":"s8F1Xd9A","properties":{"formattedCitation":"(Borazon et al., 2024; Thu &amp; Tam, 2026)","plainCitation":"(Borazon et al., 2024; Thu &amp; Tam, 2026)","noteIndex":0},"citationItems":[{"id":6885,"uris":["http://zotero.org/users/local/OXu6bVda/items/5KEBL4CA"],"itemData":{"id":6885,"type":"article-journal","archive":"Scopus","container-title":"Asia Pacific Business Review","DOI":"10.1080/13602381.2022.2154602","issue":"5","page":"894-923","title":"Human capital, growth, and competitiveness of Philippine MSMEs: the mediating role of social capital","volume":"30","author":[{"family":"Borazon","given":"E."},{"family":"Liu","given":"J.-M."},{"family":"Okumus","given":"F."}],"issued":{"date-parts":[["2024"]]}}},{"id":7371,"uris":["http://zotero.org/users/local/OXu6bVda/items/7WTLK2F6"],"itemData":{"id":7371,"type":"article-journal","archive":"Scopus","container-title":"Journal of Applied Data Sciences","DOI":"10.47738/jads.v7i1.1135","issue":"1","page":"326-343","title":"Applying Structural Equation Model to Explore the Impact of Performance Management on Business Performance at Small and Medium Enterprises","volume":"7","author":[{"family":"Thu","given":"T.N.T."},{"family":"Tam","given":"P.T."}],"issued":{"date-parts":[["2026"]]}}}],"schema":"https://github.com/citation-style-language/schema/raw/master/csl-citation.json"} </w:instrText>
      </w:r>
      <w:r w:rsidRPr="006B5CC8">
        <w:rPr>
          <w:rFonts w:ascii="Arial" w:hAnsi="Arial" w:cs="Arial"/>
        </w:rPr>
        <w:fldChar w:fldCharType="separate"/>
      </w:r>
      <w:r w:rsidRPr="006B5CC8">
        <w:rPr>
          <w:rFonts w:ascii="Arial" w:hAnsi="Arial" w:cs="Arial"/>
        </w:rPr>
        <w:t>(Borazon et al., 2024; Thu &amp; Tam, 2026)</w:t>
      </w:r>
      <w:r w:rsidRPr="006B5CC8">
        <w:rPr>
          <w:rFonts w:ascii="Arial" w:hAnsi="Arial" w:cs="Arial"/>
        </w:rPr>
        <w:fldChar w:fldCharType="end"/>
      </w:r>
      <w:r w:rsidRPr="006B5CC8">
        <w:rPr>
          <w:rFonts w:ascii="Arial" w:hAnsi="Arial" w:cs="Arial"/>
        </w:rPr>
        <w:t xml:space="preserve">. Overall, these findings highlight that human capital is more than just an individual trait; it is a strategic asset that, when integrated with technological resources and organizational processes, greatly enhances SME competitiveness and flexibility in fast-changing markets </w:t>
      </w:r>
      <w:r w:rsidRPr="006B5CC8">
        <w:rPr>
          <w:rFonts w:ascii="Arial" w:hAnsi="Arial" w:cs="Arial"/>
        </w:rPr>
        <w:fldChar w:fldCharType="begin"/>
      </w:r>
      <w:r w:rsidRPr="006B5CC8">
        <w:rPr>
          <w:rFonts w:ascii="Arial" w:hAnsi="Arial" w:cs="Arial"/>
        </w:rPr>
        <w:instrText xml:space="preserve"> ADDIN ZOTERO_ITEM CSL_CITATION {"citationID":"bPjRxeWc","properties":{"formattedCitation":"(Trequattrini et al., 2025)","plainCitation":"(Trequattrini et al., 2025)","noteIndex":0},"citationItems":[{"id":7353,"uris":["http://zotero.org/users/local/OXu6bVda/items/WJUUEYMC"],"itemData":{"id":7353,"type":"article-journal","archive":"Scopus","container-title":"Journal of Global Responsibility","DOI":"10.1108/JGR-04-2025-0120","title":"Measuring digital-sustainability readiness in industrial SMEs: a composite index and empirical evidence","URL":"https://www.scopus.com/inward/record.uri?eid=2-s2.0-105018715135&amp;doi=10.1108%2fJGR-04-2025-0120&amp;partnerID=40&amp;md5=23ad0e8927906e6ce459717aaf3de390","author":[{"family":"Trequattrini","given":"R."},{"family":"Cuozzo","given":"B."},{"family":"Manzari","given":"A."},{"family":"Schimperna","given":"M."}],"issued":{"date-parts":[["2025"]]}}}],"schema":"https://github.com/citation-style-language/schema/raw/master/csl-citation.json"} </w:instrText>
      </w:r>
      <w:r w:rsidRPr="006B5CC8">
        <w:rPr>
          <w:rFonts w:ascii="Arial" w:hAnsi="Arial" w:cs="Arial"/>
        </w:rPr>
        <w:fldChar w:fldCharType="separate"/>
      </w:r>
      <w:r w:rsidRPr="006B5CC8">
        <w:rPr>
          <w:rFonts w:ascii="Arial" w:hAnsi="Arial" w:cs="Arial"/>
        </w:rPr>
        <w:t>(Trequattrini et al., 2025)</w:t>
      </w:r>
      <w:r w:rsidRPr="006B5CC8">
        <w:rPr>
          <w:rFonts w:ascii="Arial" w:hAnsi="Arial" w:cs="Arial"/>
        </w:rPr>
        <w:fldChar w:fldCharType="end"/>
      </w:r>
      <w:r w:rsidRPr="006B5CC8">
        <w:rPr>
          <w:rFonts w:ascii="Arial" w:hAnsi="Arial" w:cs="Arial"/>
        </w:rPr>
        <w:t>.</w:t>
      </w:r>
    </w:p>
    <w:p w14:paraId="3F72C2FE" w14:textId="77777777" w:rsidR="006B5CC8" w:rsidRPr="006B5CC8" w:rsidRDefault="006B5CC8" w:rsidP="006B5CC8">
      <w:pPr>
        <w:jc w:val="both"/>
        <w:rPr>
          <w:rFonts w:ascii="Arial" w:hAnsi="Arial" w:cs="Arial"/>
        </w:rPr>
      </w:pPr>
    </w:p>
    <w:p w14:paraId="24C42230" w14:textId="6755704B" w:rsidR="006B5CC8" w:rsidRPr="006B5CC8" w:rsidRDefault="00DA3E4E" w:rsidP="006B5CC8">
      <w:pPr>
        <w:jc w:val="both"/>
        <w:rPr>
          <w:rFonts w:ascii="Arial" w:hAnsi="Arial" w:cs="Arial"/>
          <w:b/>
          <w:bCs/>
        </w:rPr>
      </w:pPr>
      <w:r>
        <w:rPr>
          <w:rFonts w:ascii="Arial" w:hAnsi="Arial" w:cs="Arial"/>
          <w:b/>
          <w:bCs/>
        </w:rPr>
        <w:t xml:space="preserve">2.2 </w:t>
      </w:r>
      <w:r w:rsidR="006B5CC8" w:rsidRPr="006B5CC8">
        <w:rPr>
          <w:rFonts w:ascii="Arial" w:hAnsi="Arial" w:cs="Arial"/>
          <w:b/>
          <w:bCs/>
        </w:rPr>
        <w:t>Dynamic Capability Theory</w:t>
      </w:r>
    </w:p>
    <w:p w14:paraId="1360583E" w14:textId="77777777" w:rsidR="006B5CC8" w:rsidRDefault="006B5CC8" w:rsidP="006B5CC8">
      <w:pPr>
        <w:jc w:val="both"/>
        <w:rPr>
          <w:rFonts w:ascii="Arial" w:hAnsi="Arial" w:cs="Arial"/>
        </w:rPr>
      </w:pPr>
      <w:r w:rsidRPr="006B5CC8">
        <w:rPr>
          <w:rFonts w:ascii="Arial" w:hAnsi="Arial" w:cs="Arial"/>
        </w:rPr>
        <w:t xml:space="preserve">Within the framework of Dynamic Capability Theory, digital capability is increasingly conceptualized as a firm’s ability to sense, seize, and transform in response to technological change and environmental uncertainty, thereby enabling sustained competitiveness. Recent studies define digital capability as the capacity to leverage digital technologies to identify emerging opportunities and threats (sensing), exploit these opportunities through innovative strategies and business model reconfiguration (seizing), and continuously adapt organizational processes and resources (transforming) </w:t>
      </w:r>
      <w:r w:rsidRPr="006B5CC8">
        <w:rPr>
          <w:rFonts w:ascii="Arial" w:hAnsi="Arial" w:cs="Arial"/>
        </w:rPr>
        <w:fldChar w:fldCharType="begin"/>
      </w:r>
      <w:r w:rsidRPr="006B5CC8">
        <w:rPr>
          <w:rFonts w:ascii="Arial" w:hAnsi="Arial" w:cs="Arial"/>
        </w:rPr>
        <w:instrText xml:space="preserve"> ADDIN ZOTERO_ITEM CSL_CITATION {"citationID":"nvLiM1sB","properties":{"formattedCitation":"(Goraya et al., 2025; Saka et al., 2025)","plainCitation":"(Goraya et al., 2025; Saka et al., 2025)","noteIndex":0},"citationItems":[{"id":7387,"uris":["http://zotero.org/users/local/OXu6bVda/items/VB2R9PFW"],"itemData":{"id":7387,"type":"article-journal","archive":"Scopus","container-title":"Industrial Management and Data Systems","DOI":"10.1108/IMDS-10-2024-1039","title":"Leveraging digital transformation strategy and data-driven decision-making to improve organisational performance in a hostile environment","URL":"https://www.scopus.com/inward/record.uri?eid=2-s2.0-105014804034&amp;doi=10.1108%2fIMDS-10-2024-1039&amp;partnerID=40&amp;md5=882b8c86c831b480c0a13bdd143caf7f","author":[{"family":"Goraya","given":"M.A.S."},{"family":"Kemal","given":"A.A."},{"family":"Xu","given":"M."},{"family":"Shareef","given":"M.A."},{"family":"Akram","given":"M.S."}],"issued":{"date-parts":[["2025"]]}}},{"id":7377,"uris":["http://zotero.org/users/local/OXu6bVda/items/F39YFNUF"],"itemData":{"id":7377,"type":"article-journal","archive":"Scopus","container-title":"Review of Managerial Science","DOI":"10.1007/s11846-024-00822-5","issue":"8","page":"2569-2607","title":"Crisis response strategies: a digital reluctance perspective","volume":"19","author":[{"family":"Saka","given":"T.N."},{"family":"Hormiga","given":"E."},{"family":"Valls-Pasola","given":"J."}],"issued":{"date-parts":[["2025"]]}}}],"schema":"https://github.com/citation-style-language/schema/raw/master/csl-citation.json"} </w:instrText>
      </w:r>
      <w:r w:rsidRPr="006B5CC8">
        <w:rPr>
          <w:rFonts w:ascii="Arial" w:hAnsi="Arial" w:cs="Arial"/>
        </w:rPr>
        <w:fldChar w:fldCharType="separate"/>
      </w:r>
      <w:r w:rsidRPr="006B5CC8">
        <w:rPr>
          <w:rFonts w:ascii="Arial" w:hAnsi="Arial" w:cs="Arial"/>
        </w:rPr>
        <w:t>(Goraya et al., 2025; Saka et al., 2025)</w:t>
      </w:r>
      <w:r w:rsidRPr="006B5CC8">
        <w:rPr>
          <w:rFonts w:ascii="Arial" w:hAnsi="Arial" w:cs="Arial"/>
        </w:rPr>
        <w:fldChar w:fldCharType="end"/>
      </w:r>
      <w:r w:rsidRPr="006B5CC8">
        <w:rPr>
          <w:rFonts w:ascii="Arial" w:hAnsi="Arial" w:cs="Arial"/>
        </w:rPr>
        <w:t xml:space="preserve">. As a core dynamic capability, it plays a critical role in enhancing organizational agility, innovation, and resilience, particularly in contexts characterized by rapid digital transformation and market turbulence </w:t>
      </w:r>
      <w:r w:rsidRPr="006B5CC8">
        <w:rPr>
          <w:rFonts w:ascii="Arial" w:hAnsi="Arial" w:cs="Arial"/>
        </w:rPr>
        <w:fldChar w:fldCharType="begin"/>
      </w:r>
      <w:r w:rsidRPr="006B5CC8">
        <w:rPr>
          <w:rFonts w:ascii="Arial" w:hAnsi="Arial" w:cs="Arial"/>
        </w:rPr>
        <w:instrText xml:space="preserve"> ADDIN ZOTERO_ITEM CSL_CITATION {"citationID":"2EdHQf61","properties":{"formattedCitation":"(Luo &amp; Chaiprasit, 2024)","plainCitation":"(Luo &amp; Chaiprasit, 2024)","noteIndex":0},"citationItems":[{"id":7389,"uris":["http://zotero.org/users/local/OXu6bVda/items/DY82UZZD"],"itemData":{"id":7389,"type":"article-journal","archive":"Scopus","container-title":"Journal of Modern Project Management","DOI":"10.19255/JMPM3407","issue":"1","page":"83-93","title":"DIGITAL TRANSFORMATION, ENTERPRISE DYNAMIC CAPABILITIES, AND “BUSINESS MODEL INNOVATION","volume":"12","author":[{"family":"Luo","given":"X."},{"family":"Chaiprasit","given":"K."}],"issued":{"date-parts":[["2024"]]}}}],"schema":"https://github.com/citation-style-language/schema/raw/master/csl-citation.json"} </w:instrText>
      </w:r>
      <w:r w:rsidRPr="006B5CC8">
        <w:rPr>
          <w:rFonts w:ascii="Arial" w:hAnsi="Arial" w:cs="Arial"/>
        </w:rPr>
        <w:fldChar w:fldCharType="separate"/>
      </w:r>
      <w:r w:rsidRPr="006B5CC8">
        <w:rPr>
          <w:rFonts w:ascii="Arial" w:hAnsi="Arial" w:cs="Arial"/>
        </w:rPr>
        <w:t>(Luo &amp; Chaiprasit, 2024)</w:t>
      </w:r>
      <w:r w:rsidRPr="006B5CC8">
        <w:rPr>
          <w:rFonts w:ascii="Arial" w:hAnsi="Arial" w:cs="Arial"/>
        </w:rPr>
        <w:fldChar w:fldCharType="end"/>
      </w:r>
      <w:r w:rsidRPr="006B5CC8">
        <w:rPr>
          <w:rFonts w:ascii="Arial" w:hAnsi="Arial" w:cs="Arial"/>
        </w:rPr>
        <w:t xml:space="preserve">. Empirically, digital capability is commonly operationalized through dimensions such as digital sensing capabilities, digital operational capabilities, and digital resource collaboration, which collectively reflect a firm’s </w:t>
      </w:r>
      <w:r w:rsidRPr="006B5CC8">
        <w:rPr>
          <w:rFonts w:ascii="Arial" w:hAnsi="Arial" w:cs="Arial"/>
        </w:rPr>
        <w:lastRenderedPageBreak/>
        <w:t xml:space="preserve">ability to integrate internal and external digital resources to support value creation and strategic adaptation </w:t>
      </w:r>
      <w:r w:rsidRPr="006B5CC8">
        <w:rPr>
          <w:rFonts w:ascii="Arial" w:hAnsi="Arial" w:cs="Arial"/>
        </w:rPr>
        <w:fldChar w:fldCharType="begin"/>
      </w:r>
      <w:r w:rsidRPr="006B5CC8">
        <w:rPr>
          <w:rFonts w:ascii="Arial" w:hAnsi="Arial" w:cs="Arial"/>
        </w:rPr>
        <w:instrText xml:space="preserve"> ADDIN ZOTERO_ITEM CSL_CITATION {"citationID":"L3oOtsiD","properties":{"formattedCitation":"(Tian et al., 2025)","plainCitation":"(Tian et al., 2025)","noteIndex":0},"citationItems":[{"id":5889,"uris":["http://zotero.org/users/local/OXu6bVda/items/KF2BPVQH"],"itemData":{"id":5889,"type":"article-journal","archive":"Scopus","container-title":"Systems","DOI":"10.3390/systems13030212","issue":"3","title":"Digital Capabilities, Integration into Global Innovation Networks, and Enterprise Innovation Performance","URL":"https://www.scopus.com/inward/record.uri?eid=2-s2.0-105001123300&amp;doi=10.3390%2fsystems13030212&amp;partnerID=40&amp;md5=58b40a7194f3c78129b8eaf64613d844","volume":"13","author":[{"family":"Tian","given":"S."},{"family":"Lai","given":"X."},{"family":"Dong","given":"L."},{"family":"Xu","given":"X."}],"issued":{"date-parts":[["2025"]]}}}],"schema":"https://github.com/citation-style-language/schema/raw/master/csl-citation.json"} </w:instrText>
      </w:r>
      <w:r w:rsidRPr="006B5CC8">
        <w:rPr>
          <w:rFonts w:ascii="Arial" w:hAnsi="Arial" w:cs="Arial"/>
        </w:rPr>
        <w:fldChar w:fldCharType="separate"/>
      </w:r>
      <w:r w:rsidRPr="006B5CC8">
        <w:rPr>
          <w:rFonts w:ascii="Arial" w:hAnsi="Arial" w:cs="Arial"/>
        </w:rPr>
        <w:t>(Tian et al., 2025)</w:t>
      </w:r>
      <w:r w:rsidRPr="006B5CC8">
        <w:rPr>
          <w:rFonts w:ascii="Arial" w:hAnsi="Arial" w:cs="Arial"/>
        </w:rPr>
        <w:fldChar w:fldCharType="end"/>
      </w:r>
      <w:r w:rsidRPr="006B5CC8">
        <w:rPr>
          <w:rFonts w:ascii="Arial" w:hAnsi="Arial" w:cs="Arial"/>
        </w:rPr>
        <w:t xml:space="preserve">. Prior research further demonstrates that digital capability not only directly improves firm performance but also acts as a mediating mechanism linking digital transformation initiatives to outcomes such as business model innovation, resilience, and competitive advantage </w:t>
      </w:r>
      <w:r w:rsidRPr="006B5CC8">
        <w:rPr>
          <w:rFonts w:ascii="Arial" w:hAnsi="Arial" w:cs="Arial"/>
        </w:rPr>
        <w:fldChar w:fldCharType="begin"/>
      </w:r>
      <w:r w:rsidRPr="006B5CC8">
        <w:rPr>
          <w:rFonts w:ascii="Arial" w:hAnsi="Arial" w:cs="Arial"/>
        </w:rPr>
        <w:instrText xml:space="preserve"> ADDIN ZOTERO_ITEM CSL_CITATION {"citationID":"WRzIklu0","properties":{"formattedCitation":"(Durman et al., 2025)","plainCitation":"(Durman et al., 2025)","noteIndex":0},"citationItems":[{"id":7385,"uris":["http://zotero.org/users/local/OXu6bVda/items/XCXP6LR2"],"itemData":{"id":7385,"type":"article-journal","archive":"Scopus","container-title":"Management Decision","DOI":"10.1108/MD-04-2025-0951","page":"1-36","title":"Dynamic capabilities in action: digital capability, business model innovation and absorptive capacity","author":[{"family":"Durman","given":"S."},{"family":"Iyiola","given":"K."},{"family":"Alzubi","given":"A.B."},{"family":"Aljuhmani","given":"H.Y."}],"issued":{"date-parts":[["2025"]]}}}],"schema":"https://github.com/citation-style-language/schema/raw/master/csl-citation.json"} </w:instrText>
      </w:r>
      <w:r w:rsidRPr="006B5CC8">
        <w:rPr>
          <w:rFonts w:ascii="Arial" w:hAnsi="Arial" w:cs="Arial"/>
        </w:rPr>
        <w:fldChar w:fldCharType="separate"/>
      </w:r>
      <w:r w:rsidRPr="006B5CC8">
        <w:rPr>
          <w:rFonts w:ascii="Arial" w:hAnsi="Arial" w:cs="Arial"/>
        </w:rPr>
        <w:t>(Durman et al., 2025)</w:t>
      </w:r>
      <w:r w:rsidRPr="006B5CC8">
        <w:rPr>
          <w:rFonts w:ascii="Arial" w:hAnsi="Arial" w:cs="Arial"/>
        </w:rPr>
        <w:fldChar w:fldCharType="end"/>
      </w:r>
      <w:r w:rsidRPr="006B5CC8">
        <w:rPr>
          <w:rFonts w:ascii="Arial" w:hAnsi="Arial" w:cs="Arial"/>
        </w:rPr>
        <w:t xml:space="preserve">. Overall, these findings highlight that digital capability is not merely a technological asset but a strategic dynamic capability that enables firms, particularly SMEs, to navigate uncertainty, reconfigure resources, and sustain performance in increasingly digitalized markets </w:t>
      </w:r>
      <w:r w:rsidRPr="006B5CC8">
        <w:rPr>
          <w:rFonts w:ascii="Arial" w:hAnsi="Arial" w:cs="Arial"/>
        </w:rPr>
        <w:fldChar w:fldCharType="begin"/>
      </w:r>
      <w:r w:rsidRPr="006B5CC8">
        <w:rPr>
          <w:rFonts w:ascii="Arial" w:hAnsi="Arial" w:cs="Arial"/>
        </w:rPr>
        <w:instrText xml:space="preserve"> ADDIN ZOTERO_ITEM CSL_CITATION {"citationID":"heS9Hrln","properties":{"formattedCitation":"(L. Liu et al., 2022)","plainCitation":"(L. Liu et al., 2022)","noteIndex":0},"citationItems":[{"id":7381,"uris":["http://zotero.org/users/local/OXu6bVda/items/L4GVMLEU"],"itemData":{"id":7381,"type":"article-journal","archive":"Scopus","container-title":"Frontiers in Psychology","DOI":"10.3389/fpsyg.2022.987268","title":"Enterprise digital transformation and customer concentration: An examination based on dynamic capability theory","URL":"https://www.scopus.com/inward/record.uri?eid=2-s2.0-85139127951&amp;doi=10.3389%2ffpsyg.2022.987268&amp;partnerID=40&amp;md5=a36174ca6fa4208edf7ce3d2d6b4340b","volume":"13","author":[{"family":"Liu","given":"L."},{"family":"An","given":"S."},{"family":"Liu","given":"X."}],"issued":{"date-parts":[["2022"]]}}}],"schema":"https://github.com/citation-style-language/schema/raw/master/csl-citation.json"} </w:instrText>
      </w:r>
      <w:r w:rsidRPr="006B5CC8">
        <w:rPr>
          <w:rFonts w:ascii="Arial" w:hAnsi="Arial" w:cs="Arial"/>
        </w:rPr>
        <w:fldChar w:fldCharType="separate"/>
      </w:r>
      <w:r w:rsidRPr="006B5CC8">
        <w:rPr>
          <w:rFonts w:ascii="Arial" w:hAnsi="Arial" w:cs="Arial"/>
        </w:rPr>
        <w:t>(L. Liu et al., 2022)</w:t>
      </w:r>
      <w:r w:rsidRPr="006B5CC8">
        <w:rPr>
          <w:rFonts w:ascii="Arial" w:hAnsi="Arial" w:cs="Arial"/>
        </w:rPr>
        <w:fldChar w:fldCharType="end"/>
      </w:r>
      <w:r w:rsidRPr="006B5CC8">
        <w:rPr>
          <w:rFonts w:ascii="Arial" w:hAnsi="Arial" w:cs="Arial"/>
        </w:rPr>
        <w:t>.</w:t>
      </w:r>
    </w:p>
    <w:p w14:paraId="5015D146" w14:textId="77777777" w:rsidR="006B5CC8" w:rsidRPr="006B5CC8" w:rsidRDefault="006B5CC8" w:rsidP="006B5CC8">
      <w:pPr>
        <w:jc w:val="both"/>
        <w:rPr>
          <w:rFonts w:ascii="Arial" w:hAnsi="Arial" w:cs="Arial"/>
        </w:rPr>
      </w:pPr>
    </w:p>
    <w:p w14:paraId="7225FCF7" w14:textId="451D22AD" w:rsidR="006B5CC8" w:rsidRPr="006B5CC8" w:rsidRDefault="00DA3E4E" w:rsidP="006B5CC8">
      <w:pPr>
        <w:jc w:val="both"/>
        <w:rPr>
          <w:rFonts w:ascii="Arial" w:hAnsi="Arial" w:cs="Arial"/>
          <w:b/>
          <w:bCs/>
        </w:rPr>
      </w:pPr>
      <w:r>
        <w:rPr>
          <w:rFonts w:ascii="Arial" w:hAnsi="Arial" w:cs="Arial"/>
          <w:b/>
          <w:bCs/>
        </w:rPr>
        <w:t xml:space="preserve">2.3 </w:t>
      </w:r>
      <w:r w:rsidR="006B5CC8" w:rsidRPr="006B5CC8">
        <w:rPr>
          <w:rFonts w:ascii="Arial" w:hAnsi="Arial" w:cs="Arial"/>
          <w:b/>
          <w:bCs/>
        </w:rPr>
        <w:t>SME Internationalization Theory</w:t>
      </w:r>
    </w:p>
    <w:p w14:paraId="366683A5" w14:textId="77777777" w:rsidR="006B5CC8" w:rsidRDefault="006B5CC8" w:rsidP="006B5CC8">
      <w:pPr>
        <w:jc w:val="both"/>
        <w:rPr>
          <w:rFonts w:ascii="Arial" w:hAnsi="Arial" w:cs="Arial"/>
        </w:rPr>
      </w:pPr>
      <w:r w:rsidRPr="006B5CC8">
        <w:rPr>
          <w:rFonts w:ascii="Arial" w:hAnsi="Arial" w:cs="Arial"/>
        </w:rPr>
        <w:t xml:space="preserve">SME internationalization has been widely explained through two dominant theoretical lenses, namely the Uppsala Model and International Entrepreneurship (IE) theory, which offer complementary perspectives in understanding firms’ expansion into global markets. The Uppsala Model conceptualizes internationalization as a gradual and sequential process driven by experiential learning, where firms incrementally increase their commitment to foreign markets as knowledge accumulates and uncertainty is reduced </w:t>
      </w:r>
      <w:r w:rsidRPr="006B5CC8">
        <w:rPr>
          <w:rFonts w:ascii="Arial" w:hAnsi="Arial" w:cs="Arial"/>
        </w:rPr>
        <w:fldChar w:fldCharType="begin"/>
      </w:r>
      <w:r w:rsidRPr="006B5CC8">
        <w:rPr>
          <w:rFonts w:ascii="Arial" w:hAnsi="Arial" w:cs="Arial"/>
        </w:rPr>
        <w:instrText xml:space="preserve"> ADDIN ZOTERO_ITEM CSL_CITATION {"citationID":"XhAcQvBE","properties":{"formattedCitation":"(Hult et al., 2020)","plainCitation":"(Hult et al., 2020)","noteIndex":0},"citationItems":[{"id":7399,"uris":["http://zotero.org/users/local/OXu6bVda/items/7DKVXIBF"],"itemData":{"id":7399,"type":"article-journal","archive":"Scopus","container-title":"Journal of International Business Studies","DOI":"10.1057/s41267-019-00293-x","issue":"1","page":"38-49","title":"The theoretical evolution and use of the Uppsala Model of internationalization in the international business ecosystem","volume":"51","author":[{"family":"Hult","given":"G.T.M."},{"family":"Gonzalez-Perez","given":"M.A."},{"family":"Lagerström","given":"K."}],"issued":{"date-parts":[["2020"]]}}}],"schema":"https://github.com/citation-style-language/schema/raw/master/csl-citation.json"} </w:instrText>
      </w:r>
      <w:r w:rsidRPr="006B5CC8">
        <w:rPr>
          <w:rFonts w:ascii="Arial" w:hAnsi="Arial" w:cs="Arial"/>
        </w:rPr>
        <w:fldChar w:fldCharType="separate"/>
      </w:r>
      <w:r w:rsidRPr="006B5CC8">
        <w:rPr>
          <w:rFonts w:ascii="Arial" w:hAnsi="Arial" w:cs="Arial"/>
        </w:rPr>
        <w:t>(Hult et al., 2020)</w:t>
      </w:r>
      <w:r w:rsidRPr="006B5CC8">
        <w:rPr>
          <w:rFonts w:ascii="Arial" w:hAnsi="Arial" w:cs="Arial"/>
        </w:rPr>
        <w:fldChar w:fldCharType="end"/>
      </w:r>
      <w:r w:rsidRPr="006B5CC8">
        <w:rPr>
          <w:rFonts w:ascii="Arial" w:hAnsi="Arial" w:cs="Arial"/>
        </w:rPr>
        <w:t xml:space="preserve">. Recent adaptations extend this model by incorporating network relationships, recognizing that business networks facilitate opportunity identification and reduce entry barriers in increasingly complex environments </w:t>
      </w:r>
      <w:r w:rsidRPr="006B5CC8">
        <w:rPr>
          <w:rFonts w:ascii="Arial" w:hAnsi="Arial" w:cs="Arial"/>
        </w:rPr>
        <w:fldChar w:fldCharType="begin"/>
      </w:r>
      <w:r w:rsidRPr="006B5CC8">
        <w:rPr>
          <w:rFonts w:ascii="Arial" w:hAnsi="Arial" w:cs="Arial"/>
        </w:rPr>
        <w:instrText xml:space="preserve"> ADDIN ZOTERO_ITEM CSL_CITATION {"citationID":"dyNu4UXA","properties":{"formattedCitation":"(Forsgren, 2016)","plainCitation":"(Forsgren, 2016)","noteIndex":0},"citationItems":[{"id":7405,"uris":["http://zotero.org/users/local/OXu6bVda/items/RZ4MGICN"],"itemData":{"id":7405,"type":"article-journal","archive":"Scopus","container-title":"Journal of International Business Studies","DOI":"10.1057/s41267-016-0014-3","issue":"9","page":"1135-1144","title":"A note on the revisited Uppsala internationalization process model - The implications of business networks and entrepreneurship","volume":"47","author":[{"family":"Forsgren","given":"M."}],"issued":{"date-parts":[["2016"]]}}}],"schema":"https://github.com/citation-style-language/schema/raw/master/csl-citation.json"} </w:instrText>
      </w:r>
      <w:r w:rsidRPr="006B5CC8">
        <w:rPr>
          <w:rFonts w:ascii="Arial" w:hAnsi="Arial" w:cs="Arial"/>
        </w:rPr>
        <w:fldChar w:fldCharType="separate"/>
      </w:r>
      <w:r w:rsidRPr="006B5CC8">
        <w:rPr>
          <w:rFonts w:ascii="Arial" w:hAnsi="Arial" w:cs="Arial"/>
        </w:rPr>
        <w:t>(Forsgren, 2016)</w:t>
      </w:r>
      <w:r w:rsidRPr="006B5CC8">
        <w:rPr>
          <w:rFonts w:ascii="Arial" w:hAnsi="Arial" w:cs="Arial"/>
        </w:rPr>
        <w:fldChar w:fldCharType="end"/>
      </w:r>
      <w:r w:rsidRPr="006B5CC8">
        <w:rPr>
          <w:rFonts w:ascii="Arial" w:hAnsi="Arial" w:cs="Arial"/>
        </w:rPr>
        <w:t xml:space="preserve">. However, the model is often criticized for its limited ability to explain rapid internationalization, particularly in the case of born-global firms and the growing role of digital technologies in accelerating market entry </w:t>
      </w:r>
      <w:r w:rsidRPr="006B5CC8">
        <w:rPr>
          <w:rFonts w:ascii="Arial" w:hAnsi="Arial" w:cs="Arial"/>
        </w:rPr>
        <w:fldChar w:fldCharType="begin"/>
      </w:r>
      <w:r w:rsidRPr="006B5CC8">
        <w:rPr>
          <w:rFonts w:ascii="Arial" w:hAnsi="Arial" w:cs="Arial"/>
        </w:rPr>
        <w:instrText xml:space="preserve"> ADDIN ZOTERO_ITEM CSL_CITATION {"citationID":"t9Dr83Bp","properties":{"formattedCitation":"(Kub\\uc0\\u237{}\\uc0\\u269{}kov\\uc0\\u225{}, 2014)","plainCitation":"(Kubíčková, 2014)","noteIndex":0},"citationItems":[{"id":7403,"uris":["http://zotero.org/users/local/OXu6bVda/items/2LWZ2EUA"],"itemData":{"id":7403,"type":"article-journal","archive":"Scopus","container-title":"Acta Universitatis Agriculturae et Silviculturae Mendelianae Brunensis","DOI":"10.11118/actaun201462040667","issue":"4","page":"667-676","title":"Limits of I-models principles application on Czech SMEs' internationalization process","volume":"62","author":[{"family":"Kubíčková","given":"L."}],"issued":{"date-parts":[["2014"]]}}}],"schema":"https://github.com/citation-style-language/schema/raw/master/csl-citation.json"} </w:instrText>
      </w:r>
      <w:r w:rsidRPr="006B5CC8">
        <w:rPr>
          <w:rFonts w:ascii="Arial" w:hAnsi="Arial" w:cs="Arial"/>
        </w:rPr>
        <w:fldChar w:fldCharType="separate"/>
      </w:r>
      <w:r w:rsidRPr="006B5CC8">
        <w:rPr>
          <w:rFonts w:ascii="Arial" w:hAnsi="Arial" w:cs="Arial"/>
        </w:rPr>
        <w:t>(Kubíčková, 2014)</w:t>
      </w:r>
      <w:r w:rsidRPr="006B5CC8">
        <w:rPr>
          <w:rFonts w:ascii="Arial" w:hAnsi="Arial" w:cs="Arial"/>
        </w:rPr>
        <w:fldChar w:fldCharType="end"/>
      </w:r>
      <w:r w:rsidRPr="006B5CC8">
        <w:rPr>
          <w:rFonts w:ascii="Arial" w:hAnsi="Arial" w:cs="Arial"/>
        </w:rPr>
        <w:t xml:space="preserve">. In contrast, International Entrepreneurship theory emphasizes proactive, opportunity-driven behavior, where entrepreneurs leverage cognitive capabilities, networks, and digital platforms to identify and exploit international opportunities quickly, often bypassing traditional stages of expansion </w:t>
      </w:r>
      <w:r w:rsidRPr="006B5CC8">
        <w:rPr>
          <w:rFonts w:ascii="Arial" w:hAnsi="Arial" w:cs="Arial"/>
        </w:rPr>
        <w:fldChar w:fldCharType="begin"/>
      </w:r>
      <w:r w:rsidRPr="006B5CC8">
        <w:rPr>
          <w:rFonts w:ascii="Arial" w:hAnsi="Arial" w:cs="Arial"/>
        </w:rPr>
        <w:instrText xml:space="preserve"> ADDIN ZOTERO_ITEM CSL_CITATION {"citationID":"3l10yVd2","properties":{"formattedCitation":"(Sakhdari &amp; Saniei, 2018)","plainCitation":"(Sakhdari &amp; Saniei, 2018)","noteIndex":0},"citationItems":[{"id":7395,"uris":["http://zotero.org/users/local/OXu6bVda/items/9ZDLLDVT"],"itemData":{"id":7395,"type":"chapter","archive":"Scopus","container-title":"Contributions to Management Science","DOI":"10.1007/978-3-319-75913-5_21","page":"567-590","title":"Effectuation, causation and the revised uppsala model: A behavioral analysis of Iranian SMEs’ internationalization","URL":"https://www.scopus.com/inward/record.uri?eid=2-s2.0-85064934858&amp;doi=10.1007%2f978-3-319-75913-5_21&amp;partnerID=40&amp;md5=f64d3e8afc3bb41d7aaed8a26f062d7d","author":[{"family":"Sakhdari","given":"K."},{"family":"Saniei","given":"S."}],"issued":{"date-parts":[["2018"]]}}}],"schema":"https://github.com/citation-style-language/schema/raw/master/csl-citation.json"} </w:instrText>
      </w:r>
      <w:r w:rsidRPr="006B5CC8">
        <w:rPr>
          <w:rFonts w:ascii="Arial" w:hAnsi="Arial" w:cs="Arial"/>
        </w:rPr>
        <w:fldChar w:fldCharType="separate"/>
      </w:r>
      <w:r w:rsidRPr="006B5CC8">
        <w:rPr>
          <w:rFonts w:ascii="Arial" w:hAnsi="Arial" w:cs="Arial"/>
        </w:rPr>
        <w:t>(Sakhdari &amp; Saniei, 2018)</w:t>
      </w:r>
      <w:r w:rsidRPr="006B5CC8">
        <w:rPr>
          <w:rFonts w:ascii="Arial" w:hAnsi="Arial" w:cs="Arial"/>
        </w:rPr>
        <w:fldChar w:fldCharType="end"/>
      </w:r>
      <w:r w:rsidRPr="006B5CC8">
        <w:rPr>
          <w:rFonts w:ascii="Arial" w:hAnsi="Arial" w:cs="Arial"/>
        </w:rPr>
        <w:t xml:space="preserve">. This perspective is particularly relevant in the digital era, where technological advancements significantly lower barriers to entry and enable real-time global market engagement </w:t>
      </w:r>
      <w:r w:rsidRPr="006B5CC8">
        <w:rPr>
          <w:rFonts w:ascii="Arial" w:hAnsi="Arial" w:cs="Arial"/>
        </w:rPr>
        <w:fldChar w:fldCharType="begin"/>
      </w:r>
      <w:r w:rsidRPr="006B5CC8">
        <w:rPr>
          <w:rFonts w:ascii="Arial" w:hAnsi="Arial" w:cs="Arial"/>
        </w:rPr>
        <w:instrText xml:space="preserve"> ADDIN ZOTERO_ITEM CSL_CITATION {"citationID":"SyRFrIpG","properties":{"formattedCitation":"(Hoxholli &amp; Kercini, 2018)","plainCitation":"(Hoxholli &amp; Kercini, 2018)","noteIndex":0},"citationItems":[{"id":7401,"uris":["http://zotero.org/users/local/OXu6bVda/items/5H2P8XY2"],"itemData":{"id":7401,"type":"paper-conference","archive":"Scopus","DOI":"10.1007/978-3-319-70377-0_12","event-title":"Springer Proceedings in Business and Economics","page":"169-178","title":"The Internationalization Process of Small and Medium Enterprises: Case of Albania","URL":"https://www.scopus.com/inward/record.uri?eid=2-s2.0-85125649819&amp;doi=10.1007%2f978-3-319-70377-0_12&amp;partnerID=40&amp;md5=ea5f8a1370bf257fe26239037d76c244","author":[{"family":"Hoxholli","given":"E."},{"family":"Kercini","given":"D."}],"issued":{"date-parts":[["2018"]]}}}],"schema":"https://github.com/citation-style-language/schema/raw/master/csl-citation.json"} </w:instrText>
      </w:r>
      <w:r w:rsidRPr="006B5CC8">
        <w:rPr>
          <w:rFonts w:ascii="Arial" w:hAnsi="Arial" w:cs="Arial"/>
        </w:rPr>
        <w:fldChar w:fldCharType="separate"/>
      </w:r>
      <w:r w:rsidRPr="006B5CC8">
        <w:rPr>
          <w:rFonts w:ascii="Arial" w:hAnsi="Arial" w:cs="Arial"/>
        </w:rPr>
        <w:t>(Hoxholli &amp; Kercini, 2018)</w:t>
      </w:r>
      <w:r w:rsidRPr="006B5CC8">
        <w:rPr>
          <w:rFonts w:ascii="Arial" w:hAnsi="Arial" w:cs="Arial"/>
        </w:rPr>
        <w:fldChar w:fldCharType="end"/>
      </w:r>
      <w:r w:rsidRPr="006B5CC8">
        <w:rPr>
          <w:rFonts w:ascii="Arial" w:hAnsi="Arial" w:cs="Arial"/>
        </w:rPr>
        <w:t xml:space="preserve">. Nevertheless, IE theory may underemphasize the importance of gradual learning and long-term capability development necessary for sustaining international operations </w:t>
      </w:r>
      <w:r w:rsidRPr="006B5CC8">
        <w:rPr>
          <w:rFonts w:ascii="Arial" w:hAnsi="Arial" w:cs="Arial"/>
        </w:rPr>
        <w:fldChar w:fldCharType="begin"/>
      </w:r>
      <w:r w:rsidRPr="006B5CC8">
        <w:rPr>
          <w:rFonts w:ascii="Arial" w:hAnsi="Arial" w:cs="Arial"/>
        </w:rPr>
        <w:instrText xml:space="preserve"> ADDIN ZOTERO_ITEM CSL_CITATION {"citationID":"az5Lwgsr","properties":{"formattedCitation":"(Alinasab &amp; Hunt, 2025)","plainCitation":"(Alinasab &amp; Hunt, 2025)","noteIndex":0},"citationItems":[{"id":7393,"uris":["http://zotero.org/users/local/OXu6bVda/items/DTKNK4G5"],"itemData":{"id":7393,"type":"article-journal","archive":"Scopus","container-title":"Management International Review","DOI":"10.1007/s11575-025-00584-6","issue":"5","page":"821-849","title":"Real Options Reasoning and the Internationalization of Small Firms: A Review and Agenda for Future Research","volume":"65","author":[{"family":"Alinasab","given":"J."},{"family":"Hunt","given":"R.A."}],"issued":{"date-parts":[["2025"]]}}}],"schema":"https://github.com/citation-style-language/schema/raw/master/csl-citation.json"} </w:instrText>
      </w:r>
      <w:r w:rsidRPr="006B5CC8">
        <w:rPr>
          <w:rFonts w:ascii="Arial" w:hAnsi="Arial" w:cs="Arial"/>
        </w:rPr>
        <w:fldChar w:fldCharType="separate"/>
      </w:r>
      <w:r w:rsidRPr="006B5CC8">
        <w:rPr>
          <w:rFonts w:ascii="Arial" w:hAnsi="Arial" w:cs="Arial"/>
        </w:rPr>
        <w:t>(Alinasab &amp; Hunt, 2025)</w:t>
      </w:r>
      <w:r w:rsidRPr="006B5CC8">
        <w:rPr>
          <w:rFonts w:ascii="Arial" w:hAnsi="Arial" w:cs="Arial"/>
        </w:rPr>
        <w:fldChar w:fldCharType="end"/>
      </w:r>
      <w:r w:rsidRPr="006B5CC8">
        <w:rPr>
          <w:rFonts w:ascii="Arial" w:hAnsi="Arial" w:cs="Arial"/>
        </w:rPr>
        <w:t xml:space="preserve">. Therefore, integrating insights from both frameworks provides a more comprehensive understanding of SME internationalization, combining the structured, learning-based approach of the Uppsala Model with the agility and opportunity orientation emphasized in International Entrepreneurship theory </w:t>
      </w:r>
      <w:r w:rsidRPr="006B5CC8">
        <w:rPr>
          <w:rFonts w:ascii="Arial" w:hAnsi="Arial" w:cs="Arial"/>
        </w:rPr>
        <w:fldChar w:fldCharType="begin"/>
      </w:r>
      <w:r w:rsidRPr="006B5CC8">
        <w:rPr>
          <w:rFonts w:ascii="Arial" w:hAnsi="Arial" w:cs="Arial"/>
        </w:rPr>
        <w:instrText xml:space="preserve"> ADDIN ZOTERO_ITEM CSL_CITATION {"citationID":"s7u8p3jo","properties":{"formattedCitation":"(Sakhdari &amp; Saniei, 2018)","plainCitation":"(Sakhdari &amp; Saniei, 2018)","noteIndex":0},"citationItems":[{"id":7395,"uris":["http://zotero.org/users/local/OXu6bVda/items/9ZDLLDVT"],"itemData":{"id":7395,"type":"chapter","archive":"Scopus","container-title":"Contributions to Management Science","DOI":"10.1007/978-3-319-75913-5_21","page":"567-590","title":"Effectuation, causation and the revised uppsala model: A behavioral analysis of Iranian SMEs’ internationalization","URL":"https://www.scopus.com/inward/record.uri?eid=2-s2.0-85064934858&amp;doi=10.1007%2f978-3-319-75913-5_21&amp;partnerID=40&amp;md5=f64d3e8afc3bb41d7aaed8a26f062d7d","author":[{"family":"Sakhdari","given":"K."},{"family":"Saniei","given":"S."}],"issued":{"date-parts":[["2018"]]}}}],"schema":"https://github.com/citation-style-language/schema/raw/master/csl-citation.json"} </w:instrText>
      </w:r>
      <w:r w:rsidRPr="006B5CC8">
        <w:rPr>
          <w:rFonts w:ascii="Arial" w:hAnsi="Arial" w:cs="Arial"/>
        </w:rPr>
        <w:fldChar w:fldCharType="separate"/>
      </w:r>
      <w:r w:rsidRPr="006B5CC8">
        <w:rPr>
          <w:rFonts w:ascii="Arial" w:hAnsi="Arial" w:cs="Arial"/>
        </w:rPr>
        <w:t>(Sakhdari &amp; Saniei, 2018)</w:t>
      </w:r>
      <w:r w:rsidRPr="006B5CC8">
        <w:rPr>
          <w:rFonts w:ascii="Arial" w:hAnsi="Arial" w:cs="Arial"/>
        </w:rPr>
        <w:fldChar w:fldCharType="end"/>
      </w:r>
      <w:r w:rsidRPr="006B5CC8">
        <w:rPr>
          <w:rFonts w:ascii="Arial" w:hAnsi="Arial" w:cs="Arial"/>
        </w:rPr>
        <w:t>.</w:t>
      </w:r>
    </w:p>
    <w:p w14:paraId="40916A6E" w14:textId="77777777" w:rsidR="006B5CC8" w:rsidRPr="006B5CC8" w:rsidRDefault="006B5CC8" w:rsidP="006B5CC8">
      <w:pPr>
        <w:jc w:val="both"/>
        <w:rPr>
          <w:rFonts w:ascii="Arial" w:hAnsi="Arial" w:cs="Arial"/>
        </w:rPr>
      </w:pPr>
    </w:p>
    <w:p w14:paraId="15D52AC9" w14:textId="35342889" w:rsidR="006B5CC8" w:rsidRPr="006B5CC8" w:rsidRDefault="00DA3E4E" w:rsidP="006B5CC8">
      <w:pPr>
        <w:jc w:val="both"/>
        <w:rPr>
          <w:rFonts w:ascii="Arial" w:hAnsi="Arial" w:cs="Arial"/>
          <w:b/>
          <w:bCs/>
        </w:rPr>
      </w:pPr>
      <w:r>
        <w:rPr>
          <w:rFonts w:ascii="Arial" w:hAnsi="Arial" w:cs="Arial"/>
          <w:b/>
          <w:bCs/>
        </w:rPr>
        <w:t xml:space="preserve">2.4 </w:t>
      </w:r>
      <w:r w:rsidR="006B5CC8" w:rsidRPr="006B5CC8">
        <w:rPr>
          <w:rFonts w:ascii="Arial" w:hAnsi="Arial" w:cs="Arial"/>
          <w:b/>
          <w:bCs/>
        </w:rPr>
        <w:t>Effect of Human Capital on Digital Capability</w:t>
      </w:r>
    </w:p>
    <w:p w14:paraId="2DD70C54" w14:textId="77777777" w:rsidR="006B5CC8" w:rsidRPr="006B5CC8" w:rsidRDefault="006B5CC8" w:rsidP="006B5CC8">
      <w:pPr>
        <w:jc w:val="both"/>
        <w:rPr>
          <w:rFonts w:ascii="Arial" w:hAnsi="Arial" w:cs="Arial"/>
        </w:rPr>
      </w:pPr>
      <w:r w:rsidRPr="006B5CC8">
        <w:rPr>
          <w:rFonts w:ascii="Arial" w:hAnsi="Arial" w:cs="Arial"/>
        </w:rPr>
        <w:t xml:space="preserve">Human capital is a fundamental determinant in the development of digital capabilities within Micro, Small, and Medium Enterprises (MSMEs), where education, professional skills, and learning agility form the foundation for adopting and utilizing digital technologies </w:t>
      </w:r>
      <w:r w:rsidRPr="006B5CC8">
        <w:rPr>
          <w:rFonts w:ascii="Arial" w:hAnsi="Arial" w:cs="Arial"/>
        </w:rPr>
        <w:fldChar w:fldCharType="begin"/>
      </w:r>
      <w:r w:rsidRPr="006B5CC8">
        <w:rPr>
          <w:rFonts w:ascii="Arial" w:hAnsi="Arial" w:cs="Arial"/>
        </w:rPr>
        <w:instrText xml:space="preserve"> ADDIN ZOTERO_ITEM CSL_CITATION {"citationID":"7eWFwUQc","properties":{"formattedCitation":"(Daat et al., 2021; Faisol et al., 2021)","plainCitation":"(Daat et al., 2021; Faisol et al., 2021)","noteIndex":0},"citationItems":[{"id":7511,"uris":["http://zotero.org/users/local/OXu6bVda/items/R7KHATUA"],"itemData":{"id":7511,"type":"article-journal","container-title":"Universal Journal of Accounting and Finance","DOI":"10.13189/ujaf.2021.090610","issue":"6","journalAbbreviation":"Universal Journal of Accounting and Finance","page":"1312-1321","title":"The Role of Intellectual Capital on Financial Performance of SMEs","volume":"9","author":[{"family":"Daat","given":"Sylvia C."},{"family":"Sanggenafa","given":"Mariolin"},{"family":"Larasati","given":"Rudiawie"}],"issued":{"date-parts":[["2021"]]}}},{"id":7513,"uris":["http://zotero.org/users/local/OXu6bVda/items/ZWV88AZ3"],"itemData":{"id":7513,"type":"article-journal","container-title":"Etikonomi","DOI":"10.15408/etk.v20i2.20172","issue":"2","journalAbbreviation":"Etikonomi","page":"413-428","title":"The Role of Technology Usage in Mediating Intellectual Capital on SMEs Performance During the Covid-19 Era","volume":"20","author":[{"family":"Faisol","given":"Faisol"},{"family":"Astuti","given":"Puji"},{"family":"Winarko","given":"Sigit P."}],"issued":{"date-parts":[["2021"]]}}}],"schema":"https://github.com/citation-style-language/schema/raw/master/csl-citation.json"} </w:instrText>
      </w:r>
      <w:r w:rsidRPr="006B5CC8">
        <w:rPr>
          <w:rFonts w:ascii="Arial" w:hAnsi="Arial" w:cs="Arial"/>
        </w:rPr>
        <w:fldChar w:fldCharType="separate"/>
      </w:r>
      <w:r w:rsidRPr="006B5CC8">
        <w:rPr>
          <w:rFonts w:ascii="Arial" w:hAnsi="Arial" w:cs="Arial"/>
        </w:rPr>
        <w:t>(Daat et al., 2021; Faisol et al., 2021)</w:t>
      </w:r>
      <w:r w:rsidRPr="006B5CC8">
        <w:rPr>
          <w:rFonts w:ascii="Arial" w:hAnsi="Arial" w:cs="Arial"/>
        </w:rPr>
        <w:fldChar w:fldCharType="end"/>
      </w:r>
      <w:r w:rsidRPr="006B5CC8">
        <w:rPr>
          <w:rFonts w:ascii="Arial" w:hAnsi="Arial" w:cs="Arial"/>
        </w:rPr>
        <w:t xml:space="preserve">. This human capacity enables organizations to identify and transform digital opportunities through comprehensive knowledge management and organizational learning mechanisms  </w:t>
      </w:r>
      <w:r w:rsidRPr="006B5CC8">
        <w:rPr>
          <w:rFonts w:ascii="Arial" w:hAnsi="Arial" w:cs="Arial"/>
        </w:rPr>
        <w:fldChar w:fldCharType="begin"/>
      </w:r>
      <w:r w:rsidRPr="006B5CC8">
        <w:rPr>
          <w:rFonts w:ascii="Arial" w:hAnsi="Arial" w:cs="Arial"/>
        </w:rPr>
        <w:instrText xml:space="preserve"> ADDIN ZOTERO_ITEM CSL_CITATION {"citationID":"CN6xK6Sg","properties":{"formattedCitation":"(Kumar et al., 2023; J. Wu et al., 2024)","plainCitation":"(Kumar et al., 2023; J. Wu et al., 2024)","noteIndex":0},"citationItems":[{"id":7516,"uris":["http://zotero.org/users/local/OXu6bVda/items/C77WVJA7"],"itemData":{"id":7516,"type":"article-journal","container-title":"Journal of Enterprise Information Management","DOI":"10.1108/jeim-01-2023-0002","issue":"5","journalAbbreviation":"Journal of Enterprise Information Management","page":"1677-1708","title":"Modelling and Analysing The enablers of Digital Resilience For small and Medium Enterprises","volume":"37","author":[{"family":"Kumar","given":"Vikas"},{"family":"Sindhwani","given":"Rahul"},{"family":"Behl","given":"Abhishek"},{"family":"Kaur","given":"Amanpreet"},{"family":"Pereira","given":"Vijay"}],"issued":{"date-parts":[["2023"]]}}},{"id":7515,"uris":["http://zotero.org/users/local/OXu6bVda/items/RMCFUVUV"],"itemData":{"id":7515,"type":"article-journal","container-title":"Heliyon","DOI":"10.1016/j.heliyon.2024.e26986","issue":"5","journalAbbreviation":"Heliyon","page":"e26986","title":"Uncovering the Dynamics of Enterprises Digital Transformation Research: A Comparative Review on Literature Before and After the COVID-19 Pandemic","volume":"10","author":[{"family":"Wu","given":"Jinnan"},{"family":"Qu","given":"Xinyi"},{"family":"Sheng","given":"Linghui"},{"family":"Chu","given":"Wentao"}],"issued":{"date-parts":[["2024"]]}}}],"schema":"https://github.com/citation-style-language/schema/raw/master/csl-citation.json"} </w:instrText>
      </w:r>
      <w:r w:rsidRPr="006B5CC8">
        <w:rPr>
          <w:rFonts w:ascii="Arial" w:hAnsi="Arial" w:cs="Arial"/>
        </w:rPr>
        <w:fldChar w:fldCharType="separate"/>
      </w:r>
      <w:r w:rsidRPr="006B5CC8">
        <w:rPr>
          <w:rFonts w:ascii="Arial" w:hAnsi="Arial" w:cs="Arial"/>
        </w:rPr>
        <w:t>(Kumar et al., 2023; J. Wu et al., 2024)</w:t>
      </w:r>
      <w:r w:rsidRPr="006B5CC8">
        <w:rPr>
          <w:rFonts w:ascii="Arial" w:hAnsi="Arial" w:cs="Arial"/>
        </w:rPr>
        <w:fldChar w:fldCharType="end"/>
      </w:r>
      <w:r w:rsidRPr="006B5CC8">
        <w:rPr>
          <w:rFonts w:ascii="Arial" w:hAnsi="Arial" w:cs="Arial"/>
        </w:rPr>
        <w:t xml:space="preserve">. Furthermore, proficient human resources facilitate participation in knowledge-sharing networks and external collaborations, which are vital for MSMEs to overcome financial constraints and enhance digital resilience </w:t>
      </w:r>
      <w:r w:rsidRPr="006B5CC8">
        <w:rPr>
          <w:rFonts w:ascii="Arial" w:hAnsi="Arial" w:cs="Arial"/>
        </w:rPr>
        <w:fldChar w:fldCharType="begin"/>
      </w:r>
      <w:r w:rsidRPr="006B5CC8">
        <w:rPr>
          <w:rFonts w:ascii="Arial" w:hAnsi="Arial" w:cs="Arial"/>
        </w:rPr>
        <w:instrText xml:space="preserve"> ADDIN ZOTERO_ITEM CSL_CITATION {"citationID":"V0afUMw9","properties":{"formattedCitation":"(Dvorsk\\uc0\\u253{} et al., 2020)","plainCitation":"(Dvorský et al., 2020)","noteIndex":0},"citationItems":[{"id":7518,"uris":["http://zotero.org/users/local/OXu6bVda/items/ZIDETX86"],"itemData":{"id":7518,"type":"article-journal","container-title":"Journal of Business Economics and Management","DOI":"10.3846/jbem.2020.13440","issue":"5","journalAbbreviation":"Journal of Business Economics and Management","page":"1451-1465","title":"The Influence of Some Factors of Competitiveness on Business Risks","volume":"21","author":[{"family":"Dvorský","given":"Ján"},{"family":"Klieštik","given":"Tomáš"},{"family":"Čepel","given":"Martin"},{"family":"Strnad","given":"Zdeněk"}],"issued":{"date-parts":[["2020"]]}}}],"schema":"https://github.com/citation-style-language/schema/raw/master/csl-citation.json"} </w:instrText>
      </w:r>
      <w:r w:rsidRPr="006B5CC8">
        <w:rPr>
          <w:rFonts w:ascii="Arial" w:hAnsi="Arial" w:cs="Arial"/>
        </w:rPr>
        <w:fldChar w:fldCharType="separate"/>
      </w:r>
      <w:r w:rsidRPr="006B5CC8">
        <w:rPr>
          <w:rFonts w:ascii="Arial" w:hAnsi="Arial" w:cs="Arial"/>
        </w:rPr>
        <w:t>(Dvorský et al., 2020)</w:t>
      </w:r>
      <w:r w:rsidRPr="006B5CC8">
        <w:rPr>
          <w:rFonts w:ascii="Arial" w:hAnsi="Arial" w:cs="Arial"/>
        </w:rPr>
        <w:fldChar w:fldCharType="end"/>
      </w:r>
      <w:r w:rsidRPr="006B5CC8">
        <w:rPr>
          <w:rFonts w:ascii="Arial" w:hAnsi="Arial" w:cs="Arial"/>
        </w:rPr>
        <w:t xml:space="preserve">. Therefore, investments in employee competency development and upskilling strategies directly enhance an organization's capacity to navigate technological transformation </w:t>
      </w:r>
      <w:r w:rsidRPr="006B5CC8">
        <w:rPr>
          <w:rFonts w:ascii="Arial" w:hAnsi="Arial" w:cs="Arial"/>
        </w:rPr>
        <w:fldChar w:fldCharType="begin"/>
      </w:r>
      <w:r w:rsidRPr="006B5CC8">
        <w:rPr>
          <w:rFonts w:ascii="Arial" w:hAnsi="Arial" w:cs="Arial"/>
        </w:rPr>
        <w:instrText xml:space="preserve"> ADDIN ZOTERO_ITEM CSL_CITATION {"citationID":"ujhtmcqZ","properties":{"formattedCitation":"(Faria et al., 2023; Jiang &amp; Shi, 2023)","plainCitation":"(Faria et al., 2023; Jiang &amp; Shi, 2023)","noteIndex":0},"citationItems":[{"id":7519,"uris":["http://zotero.org/users/local/OXu6bVda/items/G539WTK8"],"itemData":{"id":7519,"type":"article-journal","container-title":"Perspectivas Em Ciência Da Informação","DOI":"10.1590/1981-5344/42023","journalAbbreviation":"Perspectivas Em Ciência Da Informação","title":"The Relevance of Intellectual Capital in Small and Medium-Sized Enterprises","volume":"28","author":[{"family":"Faria","given":"Vinícius F.","dropping-particle":"d."},{"family":"Corrêa","given":"Fábio"},{"family":"Ziviani","given":"Fabrício"}],"issued":{"date-parts":[["2023"]]}}},{"id":7520,"uris":["http://zotero.org/users/local/OXu6bVda/items/SLTPSEEV"],"itemData":{"id":7520,"type":"article-journal","container-title":"Kybernetes","DOI":"10.1108/k-04-2023-0677","issue":"11","journalAbbreviation":"Kybernetes","page":"4654-4677","title":"Can Firm R&amp;D Benefit From Digital Technologies? Evidence From Chinese High-Speed Rail Industry","volume":"53","author":[{"family":"Jiang","given":"Zihao"},{"family":"Shi","given":"Jiarong"}],"issued":{"date-parts":[["2023"]]}}}],"schema":"https://github.com/citation-style-language/schema/raw/master/csl-citation.json"} </w:instrText>
      </w:r>
      <w:r w:rsidRPr="006B5CC8">
        <w:rPr>
          <w:rFonts w:ascii="Arial" w:hAnsi="Arial" w:cs="Arial"/>
        </w:rPr>
        <w:fldChar w:fldCharType="separate"/>
      </w:r>
      <w:r w:rsidRPr="006B5CC8">
        <w:rPr>
          <w:rFonts w:ascii="Arial" w:hAnsi="Arial" w:cs="Arial"/>
        </w:rPr>
        <w:t>(Faria et al., 2023; Jiang &amp; Shi, 2023)</w:t>
      </w:r>
      <w:r w:rsidRPr="006B5CC8">
        <w:rPr>
          <w:rFonts w:ascii="Arial" w:hAnsi="Arial" w:cs="Arial"/>
        </w:rPr>
        <w:fldChar w:fldCharType="end"/>
      </w:r>
      <w:r w:rsidRPr="006B5CC8">
        <w:rPr>
          <w:rFonts w:ascii="Arial" w:hAnsi="Arial" w:cs="Arial"/>
        </w:rPr>
        <w:t>.</w:t>
      </w:r>
    </w:p>
    <w:p w14:paraId="4EDBA05C" w14:textId="77777777" w:rsidR="006B5CC8" w:rsidRPr="006B5CC8" w:rsidRDefault="006B5CC8" w:rsidP="006B5CC8">
      <w:pPr>
        <w:jc w:val="both"/>
        <w:rPr>
          <w:rFonts w:ascii="Arial" w:hAnsi="Arial" w:cs="Arial"/>
        </w:rPr>
      </w:pPr>
    </w:p>
    <w:p w14:paraId="6F9B5181" w14:textId="5EB84F34" w:rsidR="006B5CC8" w:rsidRPr="006B5CC8" w:rsidRDefault="00DA3E4E" w:rsidP="006B5CC8">
      <w:pPr>
        <w:jc w:val="both"/>
        <w:rPr>
          <w:rFonts w:ascii="Arial" w:hAnsi="Arial" w:cs="Arial"/>
          <w:b/>
          <w:bCs/>
        </w:rPr>
      </w:pPr>
      <w:r>
        <w:rPr>
          <w:rFonts w:ascii="Arial" w:hAnsi="Arial" w:cs="Arial"/>
          <w:b/>
          <w:bCs/>
        </w:rPr>
        <w:t xml:space="preserve">2.5 </w:t>
      </w:r>
      <w:r w:rsidR="006B5CC8" w:rsidRPr="006B5CC8">
        <w:rPr>
          <w:rFonts w:ascii="Arial" w:hAnsi="Arial" w:cs="Arial"/>
          <w:b/>
          <w:bCs/>
        </w:rPr>
        <w:t>Digital Capability’s Influence on Internationalization</w:t>
      </w:r>
    </w:p>
    <w:p w14:paraId="3492B3FB" w14:textId="77777777" w:rsidR="006B5CC8" w:rsidRPr="006B5CC8" w:rsidRDefault="006B5CC8" w:rsidP="006B5CC8">
      <w:pPr>
        <w:jc w:val="both"/>
        <w:rPr>
          <w:rFonts w:ascii="Arial" w:hAnsi="Arial" w:cs="Arial"/>
        </w:rPr>
      </w:pPr>
      <w:r w:rsidRPr="006B5CC8">
        <w:rPr>
          <w:rFonts w:ascii="Arial" w:hAnsi="Arial" w:cs="Arial"/>
        </w:rPr>
        <w:t xml:space="preserve">Digital capability functions as an essential enabler that supports a company's internationalization process through enhanced business model innovation, digital preparedness, and dynamic capabilities </w:t>
      </w:r>
      <w:r w:rsidRPr="006B5CC8">
        <w:rPr>
          <w:rFonts w:ascii="Arial" w:hAnsi="Arial" w:cs="Arial"/>
        </w:rPr>
        <w:fldChar w:fldCharType="begin"/>
      </w:r>
      <w:r w:rsidRPr="006B5CC8">
        <w:rPr>
          <w:rFonts w:ascii="Arial" w:hAnsi="Arial" w:cs="Arial"/>
        </w:rPr>
        <w:instrText xml:space="preserve"> ADDIN ZOTERO_ITEM CSL_CITATION {"citationID":"eCk5BIQW","properties":{"formattedCitation":"(Anwar et al., 2024; Nurfaizal et al., 2025)","plainCitation":"(Anwar et al., 2024; Nurfaizal et al., 2025)","noteIndex":0},"citationItems":[{"id":7329,"uris":["http://zotero.org/users/local/OXu6bVda/items/55ITJ5FW"],"itemData":{"id":7329,"type":"article-journal","archive":"Scopus","container-title":"IEEE Transactions on Engineering Management","DOI":"10.1109/TEM.2022.3229049","page":"4131-4143","title":"Digital Capabilities, Their Role in Business Model Innovativeness, and the Internationalization of SMEs","volume":"71","author":[{"family":"Anwar","given":"M."},{"family":"Scheffler","given":"M.A."},{"family":"Clauss","given":"T."}],"issued":{"date-parts":[["2024"]]}}},{"id":7529,"uris":["http://zotero.org/users/local/OXu6bVda/items/M27P69GZ"],"itemData":{"id":7529,"type":"article-journal","archive":"Scopus","container-title":"Journal of Applied Data Sciences","DOI":"10.47738/jads.v6i4.893","issue":"4","page":"2391-2406","title":"Digital Platform Utilization and ICT Literacy on Global Market Access among MSMEs: The Mediating Role of Digital Business Readiness and the Moderating Effect of Government Support","volume":"6","author":[{"family":"Nurfaizal","given":"Y."},{"family":"Kurniawan","given":"A.A."},{"family":"Hermawan","given":"H."},{"family":"Saputra","given":"D.I.S."},{"family":"Amalina","given":"S.N."},{"family":"Hafshah","given":"L.N."}],"issued":{"date-parts":[["2025"]]}}}],"schema":"https://github.com/citation-style-language/schema/raw/master/csl-citation.json"} </w:instrText>
      </w:r>
      <w:r w:rsidRPr="006B5CC8">
        <w:rPr>
          <w:rFonts w:ascii="Arial" w:hAnsi="Arial" w:cs="Arial"/>
        </w:rPr>
        <w:fldChar w:fldCharType="separate"/>
      </w:r>
      <w:r w:rsidRPr="006B5CC8">
        <w:rPr>
          <w:rFonts w:ascii="Arial" w:hAnsi="Arial" w:cs="Arial"/>
        </w:rPr>
        <w:t>(Anwar et al., 2024; Nurfaizal et al., 2025)</w:t>
      </w:r>
      <w:r w:rsidRPr="006B5CC8">
        <w:rPr>
          <w:rFonts w:ascii="Arial" w:hAnsi="Arial" w:cs="Arial"/>
        </w:rPr>
        <w:fldChar w:fldCharType="end"/>
      </w:r>
      <w:r w:rsidRPr="006B5CC8">
        <w:rPr>
          <w:rFonts w:ascii="Arial" w:hAnsi="Arial" w:cs="Arial"/>
        </w:rPr>
        <w:t xml:space="preserve">. The deployment of digital platforms, ICT literacy, and virtual networks directly augment access to global markets for small and medium-sized enterprises (SMEs) and expedite international </w:t>
      </w:r>
      <w:r w:rsidRPr="006B5CC8">
        <w:rPr>
          <w:rFonts w:ascii="Arial" w:hAnsi="Arial" w:cs="Arial"/>
        </w:rPr>
        <w:lastRenderedPageBreak/>
        <w:t xml:space="preserve">expansion by mitigating geographic barriers </w:t>
      </w:r>
      <w:r w:rsidRPr="006B5CC8">
        <w:rPr>
          <w:rFonts w:ascii="Arial" w:hAnsi="Arial" w:cs="Arial"/>
        </w:rPr>
        <w:fldChar w:fldCharType="begin"/>
      </w:r>
      <w:r w:rsidRPr="006B5CC8">
        <w:rPr>
          <w:rFonts w:ascii="Arial" w:hAnsi="Arial" w:cs="Arial"/>
        </w:rPr>
        <w:instrText xml:space="preserve"> ADDIN ZOTERO_ITEM CSL_CITATION {"citationID":"XN3Hs0Xv","properties":{"formattedCitation":"(Fu &amp; Abdul Rahim, 2025; Grginovi\\uc0\\u263{}, 2025)","plainCitation":"(Fu &amp; Abdul Rahim, 2025; Grginović, 2025)","noteIndex":0},"citationItems":[{"id":7535,"uris":["http://zotero.org/users/local/OXu6bVda/items/6CG9NVKE"],"itemData":{"id":7535,"type":"article-journal","archive":"Scopus","container-title":"International Studies of Management and Organization","DOI":"10.1080/00208825.2025.2515685","title":"Conceptual framework on Internet Born Global’s internationalization","URL":"https://www.scopus.com/inward/record.uri?eid=2-s2.0-105008763581&amp;doi=10.1080%2f00208825.2025.2515685&amp;partnerID=40&amp;md5=7979fd218a80dd0c8a08fe89dd4c1c24","author":[{"family":"Fu","given":"W."},{"family":"Abdul Rahim","given":"Z."}],"issued":{"date-parts":[["2025"]]}}},{"id":7531,"uris":["http://zotero.org/users/local/OXu6bVda/items/85YVSHJJ"],"itemData":{"id":7531,"type":"chapter","archive":"Scopus","container-title":"Digital Internationalisation of Firms: Strategies, Challenges and Legal Aspects","DOI":"10.4324/9781003617396-12","page":"201-220","title":"Firm and managerial capabilities as antecedents of digital internationalisation at small-and medium-sized enterprises","URL":"https://www.scopus.com/inward/record.uri?eid=2-s2.0-105013692017&amp;doi=10.4324%2f9781003617396-12&amp;partnerID=40&amp;md5=e087818eb7b723636e30ea4ed68abe05","author":[{"family":"Grginović","given":"M.G."}],"issued":{"date-parts":[["2025"]]}}}],"schema":"https://github.com/citation-style-language/schema/raw/master/csl-citation.json"} </w:instrText>
      </w:r>
      <w:r w:rsidRPr="006B5CC8">
        <w:rPr>
          <w:rFonts w:ascii="Arial" w:hAnsi="Arial" w:cs="Arial"/>
        </w:rPr>
        <w:fldChar w:fldCharType="separate"/>
      </w:r>
      <w:r w:rsidRPr="006B5CC8">
        <w:rPr>
          <w:rFonts w:ascii="Arial" w:hAnsi="Arial" w:cs="Arial"/>
        </w:rPr>
        <w:t>(Fu &amp; Abdul Rahim, 2025; Grginović, 2025)</w:t>
      </w:r>
      <w:r w:rsidRPr="006B5CC8">
        <w:rPr>
          <w:rFonts w:ascii="Arial" w:hAnsi="Arial" w:cs="Arial"/>
        </w:rPr>
        <w:fldChar w:fldCharType="end"/>
      </w:r>
      <w:r w:rsidRPr="006B5CC8">
        <w:rPr>
          <w:rFonts w:ascii="Arial" w:hAnsi="Arial" w:cs="Arial"/>
        </w:rPr>
        <w:t xml:space="preserve">. Although digital transformation may initially increase transaction complexity, it has been demonstrated that, in the long term, this capability broadens the depth and scope of international markets, particularly for firms that integrate digital strategies with organizational processes </w:t>
      </w:r>
      <w:r w:rsidRPr="006B5CC8">
        <w:rPr>
          <w:rFonts w:ascii="Arial" w:hAnsi="Arial" w:cs="Arial"/>
        </w:rPr>
        <w:fldChar w:fldCharType="begin"/>
      </w:r>
      <w:r w:rsidRPr="006B5CC8">
        <w:rPr>
          <w:rFonts w:ascii="Arial" w:hAnsi="Arial" w:cs="Arial"/>
        </w:rPr>
        <w:instrText xml:space="preserve"> ADDIN ZOTERO_ITEM CSL_CITATION {"citationID":"qpe5sKEI","properties":{"formattedCitation":"(Huang et al., 2026; Kim, 2024)","plainCitation":"(Huang et al., 2026; Kim, 2024)","noteIndex":0},"citationItems":[{"id":7539,"uris":["http://zotero.org/users/local/OXu6bVda/items/GTAB36LB"],"itemData":{"id":7539,"type":"article-journal","archive":"Scopus","container-title":"Journal of the Knowledge Economy","DOI":"10.1007/s13132-025-02689-7","issue":"1","page":"642-669","title":"The Antecedents and Outcomes of Dynamic Capabilities in Digital Transformation: A Study of Chinese Manufacturing Companies","volume":"17","author":[{"family":"Huang","given":"J."},{"family":"Raja Yusof","given":"R.N."},{"family":"Rahman","given":"A.A."},{"family":"Rahman","given":"R.A."}],"issued":{"date-parts":[["2026"]]}}},{"id":7537,"uris":["http://zotero.org/users/local/OXu6bVda/items/86X4IHGW"],"itemData":{"id":7537,"type":"article-journal","archive":"Scopus","container-title":"Global Business and Finance Review","DOI":"10.17549/gbfr.2024.29.8.31","issue":"8","page":"31-45","title":"Digital Transformation and Inter-Regional Dynamics: Accelerating Chinese Multinationals' Internationalization in the De-globalization Era","volume":"29","author":[{"family":"Kim","given":"N."}],"issued":{"date-parts":[["2024"]]}}}],"schema":"https://github.com/citation-style-language/schema/raw/master/csl-citation.json"} </w:instrText>
      </w:r>
      <w:r w:rsidRPr="006B5CC8">
        <w:rPr>
          <w:rFonts w:ascii="Arial" w:hAnsi="Arial" w:cs="Arial"/>
        </w:rPr>
        <w:fldChar w:fldCharType="separate"/>
      </w:r>
      <w:r w:rsidRPr="006B5CC8">
        <w:rPr>
          <w:rFonts w:ascii="Arial" w:hAnsi="Arial" w:cs="Arial"/>
        </w:rPr>
        <w:t>(Huang et al., 2026; Kim, 2024)</w:t>
      </w:r>
      <w:r w:rsidRPr="006B5CC8">
        <w:rPr>
          <w:rFonts w:ascii="Arial" w:hAnsi="Arial" w:cs="Arial"/>
        </w:rPr>
        <w:fldChar w:fldCharType="end"/>
      </w:r>
      <w:r w:rsidRPr="006B5CC8">
        <w:rPr>
          <w:rFonts w:ascii="Arial" w:hAnsi="Arial" w:cs="Arial"/>
        </w:rPr>
        <w:t xml:space="preserve">. Moreover, advantages derived from digital ownership, such as infrastructure and technology, are vital for "Internet Born Globals" to identify international opportunities and adopt innovative market entry strategies from the outset </w:t>
      </w:r>
      <w:r w:rsidRPr="006B5CC8">
        <w:rPr>
          <w:rFonts w:ascii="Arial" w:hAnsi="Arial" w:cs="Arial"/>
        </w:rPr>
        <w:fldChar w:fldCharType="begin"/>
      </w:r>
      <w:r w:rsidRPr="006B5CC8">
        <w:rPr>
          <w:rFonts w:ascii="Arial" w:hAnsi="Arial" w:cs="Arial"/>
        </w:rPr>
        <w:instrText xml:space="preserve"> ADDIN ZOTERO_ITEM CSL_CITATION {"citationID":"E5oHfs3u","properties":{"formattedCitation":"(Cahen et al., 2025; Zheng &amp; Sun, 2022)","plainCitation":"(Cahen et al., 2025; Zheng &amp; Sun, 2022)","noteIndex":0},"citationItems":[{"id":7547,"uris":["http://zotero.org/users/local/OXu6bVda/items/9VT8KADR"],"itemData":{"id":7547,"type":"article-journal","archive":"Scopus","container-title":"International Business Review","DOI":"10.1016/j.ibusrev.2025.102414","issue":"4","title":"Unpacking global digital competence in the contemporary international venture","URL":"https://www.scopus.com/inward/record.uri?eid=2-s2.0-85217965458&amp;doi=10.1016%2fj.ibusrev.2025.102414&amp;partnerID=40&amp;md5=a9d2f5aff012e3c119fe2eaa23243213","volume":"34","author":[{"family":"Cahen","given":"F."},{"family":"Borini","given":"F."},{"family":"Dhanaraj","given":"C."},{"family":"Morais","given":"R."}],"issued":{"date-parts":[["2025"]]}}},{"id":7533,"uris":["http://zotero.org/users/local/OXu6bVda/items/6YMDCF6K"],"itemData":{"id":7533,"type":"article-journal","archive":"Scopus","container-title":"Transformations in Business and Economics","issue":"2","page":"772-791","title":"DIGITALIZATION AND INTERNATIONALIZATION: A STUDY OF THE MANUFACTURING INDUSTRY IN CHINA","title-short":"SKAITMENINIMAS IR INTERNACIONALIZACIJA: APDIRBIMO PRAMONĖS KINIJOJE TYRIMAS","volume":"21","author":[{"family":"Zheng","given":"X."},{"family":"Sun","given":"A."}],"issued":{"date-parts":[["2022"]]}}}],"schema":"https://github.com/citation-style-language/schema/raw/master/csl-citation.json"} </w:instrText>
      </w:r>
      <w:r w:rsidRPr="006B5CC8">
        <w:rPr>
          <w:rFonts w:ascii="Arial" w:hAnsi="Arial" w:cs="Arial"/>
        </w:rPr>
        <w:fldChar w:fldCharType="separate"/>
      </w:r>
      <w:r w:rsidRPr="006B5CC8">
        <w:rPr>
          <w:rFonts w:ascii="Arial" w:hAnsi="Arial" w:cs="Arial"/>
        </w:rPr>
        <w:t>(Cahen et al., 2025; Zheng &amp; Sun, 2022)</w:t>
      </w:r>
      <w:r w:rsidRPr="006B5CC8">
        <w:rPr>
          <w:rFonts w:ascii="Arial" w:hAnsi="Arial" w:cs="Arial"/>
        </w:rPr>
        <w:fldChar w:fldCharType="end"/>
      </w:r>
      <w:r w:rsidRPr="006B5CC8">
        <w:rPr>
          <w:rFonts w:ascii="Arial" w:hAnsi="Arial" w:cs="Arial"/>
        </w:rPr>
        <w:t>.</w:t>
      </w:r>
    </w:p>
    <w:p w14:paraId="7B0F703C" w14:textId="0812F9A1" w:rsidR="006B5CC8" w:rsidRDefault="006B5CC8" w:rsidP="006B5CC8">
      <w:pPr>
        <w:jc w:val="both"/>
        <w:rPr>
          <w:rFonts w:ascii="Arial" w:hAnsi="Arial" w:cs="Arial"/>
        </w:rPr>
      </w:pPr>
    </w:p>
    <w:p w14:paraId="4BC2668D" w14:textId="77777777" w:rsidR="006B5CC8" w:rsidRPr="006B5CC8" w:rsidRDefault="006B5CC8" w:rsidP="006B5CC8">
      <w:pPr>
        <w:jc w:val="both"/>
        <w:rPr>
          <w:rFonts w:ascii="Arial" w:hAnsi="Arial" w:cs="Arial"/>
        </w:rPr>
      </w:pPr>
    </w:p>
    <w:p w14:paraId="1A5195A6" w14:textId="5E1E72FA" w:rsidR="006B5CC8" w:rsidRPr="006B5CC8" w:rsidRDefault="00DA3E4E" w:rsidP="006B5CC8">
      <w:pPr>
        <w:jc w:val="both"/>
        <w:rPr>
          <w:rFonts w:ascii="Arial" w:hAnsi="Arial" w:cs="Arial"/>
          <w:b/>
          <w:bCs/>
        </w:rPr>
      </w:pPr>
      <w:r>
        <w:rPr>
          <w:rFonts w:ascii="Arial" w:hAnsi="Arial" w:cs="Arial"/>
          <w:b/>
          <w:bCs/>
        </w:rPr>
        <w:t xml:space="preserve">2.6 </w:t>
      </w:r>
      <w:r w:rsidR="006B5CC8" w:rsidRPr="006B5CC8">
        <w:rPr>
          <w:rFonts w:ascii="Arial" w:hAnsi="Arial" w:cs="Arial"/>
          <w:b/>
          <w:bCs/>
        </w:rPr>
        <w:t>Human Capital and Internationalization Performance</w:t>
      </w:r>
    </w:p>
    <w:p w14:paraId="46E6D1DA" w14:textId="77777777" w:rsidR="006B5CC8" w:rsidRPr="006B5CC8" w:rsidRDefault="006B5CC8" w:rsidP="006B5CC8">
      <w:pPr>
        <w:jc w:val="both"/>
        <w:rPr>
          <w:rFonts w:ascii="Arial" w:hAnsi="Arial" w:cs="Arial"/>
        </w:rPr>
      </w:pPr>
      <w:r w:rsidRPr="006B5CC8">
        <w:rPr>
          <w:rFonts w:ascii="Arial" w:hAnsi="Arial" w:cs="Arial"/>
        </w:rPr>
        <w:t xml:space="preserve">Human capital is a crucial resource that directly impacts a company's success in international markets by offering essential skills, market insights, and strategic capabilities needed to manage foreign market complexities </w:t>
      </w:r>
      <w:r w:rsidRPr="006B5CC8">
        <w:rPr>
          <w:rFonts w:ascii="Arial" w:hAnsi="Arial" w:cs="Arial"/>
        </w:rPr>
        <w:fldChar w:fldCharType="begin"/>
      </w:r>
      <w:r w:rsidRPr="006B5CC8">
        <w:rPr>
          <w:rFonts w:ascii="Arial" w:hAnsi="Arial" w:cs="Arial"/>
        </w:rPr>
        <w:instrText xml:space="preserve"> ADDIN ZOTERO_ITEM CSL_CITATION {"citationID":"pj78UdQN","properties":{"formattedCitation":"(Kidwell et al., 2020)","plainCitation":"(Kidwell et al., 2020)","noteIndex":0},"citationItems":[{"id":7271,"uris":["http://zotero.org/users/local/OXu6bVda/items/23PZYLIX"],"itemData":{"id":7271,"type":"article-journal","archive":"Scopus","container-title":"Thunderbird International Business Review","DOI":"10.1002/tie.22107","issue":"4","page":"353-369","title":"Human capital in the internationalization of family firms","volume":"62","author":[{"family":"Kidwell","given":"R.E."},{"family":"Fuentes-Lombardo","given":"G."},{"family":"Sanchez-Famoso","given":"V."},{"family":"Cano-Rubio","given":"M."},{"family":"Kloepfer","given":"K.E."}],"issued":{"date-parts":[["2020"]]}}}],"schema":"https://github.com/citation-style-language/schema/raw/master/csl-citation.json"} </w:instrText>
      </w:r>
      <w:r w:rsidRPr="006B5CC8">
        <w:rPr>
          <w:rFonts w:ascii="Arial" w:hAnsi="Arial" w:cs="Arial"/>
        </w:rPr>
        <w:fldChar w:fldCharType="separate"/>
      </w:r>
      <w:r w:rsidRPr="006B5CC8">
        <w:rPr>
          <w:rFonts w:ascii="Arial" w:hAnsi="Arial" w:cs="Arial"/>
        </w:rPr>
        <w:t>(Kidwell et al., 2020)</w:t>
      </w:r>
      <w:r w:rsidRPr="006B5CC8">
        <w:rPr>
          <w:rFonts w:ascii="Arial" w:hAnsi="Arial" w:cs="Arial"/>
        </w:rPr>
        <w:fldChar w:fldCharType="end"/>
      </w:r>
      <w:r w:rsidRPr="006B5CC8">
        <w:rPr>
          <w:rFonts w:ascii="Arial" w:hAnsi="Arial" w:cs="Arial"/>
        </w:rPr>
        <w:t xml:space="preserve">. In particular, the skills of the top management team (TMT) and the board of directors—such as their educational background, international experience, and technical knowledge—are vital for formulating informed global expansion strategies and boosting innovation efficiency abroad </w:t>
      </w:r>
      <w:r w:rsidRPr="006B5CC8">
        <w:rPr>
          <w:rFonts w:ascii="Arial" w:hAnsi="Arial" w:cs="Arial"/>
        </w:rPr>
        <w:fldChar w:fldCharType="begin"/>
      </w:r>
      <w:r w:rsidRPr="006B5CC8">
        <w:rPr>
          <w:rFonts w:ascii="Arial" w:hAnsi="Arial" w:cs="Arial"/>
        </w:rPr>
        <w:instrText xml:space="preserve"> ADDIN ZOTERO_ITEM CSL_CITATION {"citationID":"Xg3IzbmH","properties":{"formattedCitation":"(Barriga &amp; Escandon-Barbosa, 2024; Zhong et al., 2021)","plainCitation":"(Barriga &amp; Escandon-Barbosa, 2024; Zhong et al., 2021)","noteIndex":0},"citationItems":[{"id":7557,"uris":["http://zotero.org/users/local/OXu6bVda/items/Y4D2NQDQ"],"itemData":{"id":7557,"type":"article-journal","archive":"Scopus","container-title":"Corporate Social Responsibility and Environmental Management","DOI":"10.1002/csr.2742","issue":"4","page":"3368-3378","title":"Synergizing board dynamics, sustainability, and strategy for international success","volume":"31","author":[{"family":"Barriga","given":"R.H."},{"family":"Escandon-Barbosa","given":"D."}],"issued":{"date-parts":[["2024"]]}}},{"id":7569,"uris":["http://zotero.org/users/local/OXu6bVda/items/Y9TWRI8Y"],"itemData":{"id":7569,"type":"article-journal","archive":"Scopus","container-title":"Baltic Journal of Management","DOI":"10.1108/BJM-03-2020-0098","issue":"2","page":"190-207","title":"Can R&amp;D internationalization improve EMNES' innovation efficiency? The moderating effects of TMT human capital","volume":"16","author":[{"family":"Zhong","given":"X."},{"family":"Song","given":"T."},{"family":"Chen","given":"W."}],"issued":{"date-parts":[["2021"]]}}}],"schema":"https://github.com/citation-style-language/schema/raw/master/csl-citation.json"} </w:instrText>
      </w:r>
      <w:r w:rsidRPr="006B5CC8">
        <w:rPr>
          <w:rFonts w:ascii="Arial" w:hAnsi="Arial" w:cs="Arial"/>
        </w:rPr>
        <w:fldChar w:fldCharType="separate"/>
      </w:r>
      <w:r w:rsidRPr="006B5CC8">
        <w:rPr>
          <w:rFonts w:ascii="Arial" w:hAnsi="Arial" w:cs="Arial"/>
        </w:rPr>
        <w:t>(Barriga &amp; Escandon-Barbosa, 2024; Zhong et al., 2021)</w:t>
      </w:r>
      <w:r w:rsidRPr="006B5CC8">
        <w:rPr>
          <w:rFonts w:ascii="Arial" w:hAnsi="Arial" w:cs="Arial"/>
        </w:rPr>
        <w:fldChar w:fldCharType="end"/>
      </w:r>
      <w:r w:rsidRPr="006B5CC8">
        <w:rPr>
          <w:rFonts w:ascii="Arial" w:hAnsi="Arial" w:cs="Arial"/>
        </w:rPr>
        <w:t xml:space="preserve">. This strategic human capital provides a sustainable competitive edge when aligned with corporate goals </w:t>
      </w:r>
      <w:r w:rsidRPr="006B5CC8">
        <w:rPr>
          <w:rFonts w:ascii="Arial" w:hAnsi="Arial" w:cs="Arial"/>
        </w:rPr>
        <w:fldChar w:fldCharType="begin"/>
      </w:r>
      <w:r w:rsidRPr="006B5CC8">
        <w:rPr>
          <w:rFonts w:ascii="Arial" w:hAnsi="Arial" w:cs="Arial"/>
        </w:rPr>
        <w:instrText xml:space="preserve"> ADDIN ZOTERO_ITEM CSL_CITATION {"citationID":"2aKMN1be","properties":{"formattedCitation":"(Yan-Li et al., 2011)","plainCitation":"(Yan-Li et al., 2011)","noteIndex":0},"citationItems":[{"id":7553,"uris":["http://zotero.org/users/local/OXu6bVda/items/FZYRGWHS"],"itemData":{"id":7553,"type":"paper-conference","archive":"Scopus","DOI":"10.1109/ICMSE.2011.6070012","event-title":"International Conference on Management Science and Engineering - Annual Conference Proceedings","page":"524-531","title":"Competitive strategy, strategic human capital and sustained competitive advantage","URL":"https://www.scopus.com/inward/record.uri?eid=2-s2.0-83455220602&amp;doi=10.1109%2fICMSE.2011.6070012&amp;partnerID=40&amp;md5=94a2d5c4a00a0687f0abca8b6b4bffb5","author":[{"family":"Yan-Li","given":"Z."},{"family":"Su-Ying","given":"G."},{"family":"Jin","given":"Z."}],"issued":{"date-parts":[["2011"]]}}}],"schema":"https://github.com/citation-style-language/schema/raw/master/csl-citation.json"} </w:instrText>
      </w:r>
      <w:r w:rsidRPr="006B5CC8">
        <w:rPr>
          <w:rFonts w:ascii="Arial" w:hAnsi="Arial" w:cs="Arial"/>
        </w:rPr>
        <w:fldChar w:fldCharType="separate"/>
      </w:r>
      <w:r w:rsidRPr="006B5CC8">
        <w:rPr>
          <w:rFonts w:ascii="Arial" w:hAnsi="Arial" w:cs="Arial"/>
        </w:rPr>
        <w:t>(Yan-Li et al., 2011)</w:t>
      </w:r>
      <w:r w:rsidRPr="006B5CC8">
        <w:rPr>
          <w:rFonts w:ascii="Arial" w:hAnsi="Arial" w:cs="Arial"/>
        </w:rPr>
        <w:fldChar w:fldCharType="end"/>
      </w:r>
      <w:r w:rsidRPr="006B5CC8">
        <w:rPr>
          <w:rFonts w:ascii="Arial" w:hAnsi="Arial" w:cs="Arial"/>
        </w:rPr>
        <w:t xml:space="preserve">, and also supports intellectual capital by turning global knowledge into better performance </w:t>
      </w:r>
      <w:r w:rsidRPr="006B5CC8">
        <w:rPr>
          <w:rFonts w:ascii="Arial" w:hAnsi="Arial" w:cs="Arial"/>
        </w:rPr>
        <w:fldChar w:fldCharType="begin"/>
      </w:r>
      <w:r w:rsidRPr="006B5CC8">
        <w:rPr>
          <w:rFonts w:ascii="Arial" w:hAnsi="Arial" w:cs="Arial"/>
        </w:rPr>
        <w:instrText xml:space="preserve"> ADDIN ZOTERO_ITEM CSL_CITATION {"citationID":"vdY8TLmG","properties":{"formattedCitation":"(Andreu et al., 2024, 2025)","plainCitation":"(Andreu et al., 2024, 2025)","noteIndex":0},"citationItems":[{"id":7563,"uris":["http://zotero.org/users/local/OXu6bVda/items/GX3D2SKG"],"itemData":{"id":7563,"type":"article-journal","archive":"Scopus","container-title":"Transformations in Business and Economics","issue":"2","page":"583-605","title":"THE MODERATING EFFECT OF WOMEN MANAGERS IN THE INTERNATIONALISATION AND INTELLECTUAL CAPITAL-PERFORMANCE RELATIONSHIP","title-short":"MODERUOJAMASIS VADOVIŲ MOTERŲ POVEIKIS TARPTAUTINIMUI, INTELEKTINIO KAPITALO IR VEIKLOS SANTYKIUI","volume":"23","author":[{"family":"Andreu","given":"R."},{"family":"Rienda","given":"L."},{"family":"Ruiz-Fernandez","given":"L."}],"issued":{"date-parts":[["2024"]]}}},{"id":7561,"uris":["http://zotero.org/users/local/OXu6bVda/items/4PLVAJRV"],"itemData":{"id":7561,"type":"article-journal","archive":"Scopus","container-title":"Journal of Business Research","DOI":"10.1016/j.jbusres.2025.115378","title":"The role of intellectual capital and women managers in the internationalization-performance relationship: An analysis of Spanish hotel firms","URL":"https://www.scopus.com/inward/record.uri?eid=2-s2.0-105002155150&amp;doi=10.1016%2fj.jbusres.2025.115378&amp;partnerID=40&amp;md5=8baa24e26b1fd77dfbc794db043ea31e","volume":"194","author":[{"family":"Andreu","given":"R."},{"family":"Rienda","given":"L."},{"family":"Ruiz-Fernández","given":"L."}],"issued":{"date-parts":[["2025"]]}}}],"schema":"https://github.com/citation-style-language/schema/raw/master/csl-citation.json"} </w:instrText>
      </w:r>
      <w:r w:rsidRPr="006B5CC8">
        <w:rPr>
          <w:rFonts w:ascii="Arial" w:hAnsi="Arial" w:cs="Arial"/>
        </w:rPr>
        <w:fldChar w:fldCharType="separate"/>
      </w:r>
      <w:r w:rsidRPr="006B5CC8">
        <w:rPr>
          <w:rFonts w:ascii="Arial" w:hAnsi="Arial" w:cs="Arial"/>
        </w:rPr>
        <w:t>(Andreu et al., 2024, 2025)</w:t>
      </w:r>
      <w:r w:rsidRPr="006B5CC8">
        <w:rPr>
          <w:rFonts w:ascii="Arial" w:hAnsi="Arial" w:cs="Arial"/>
        </w:rPr>
        <w:fldChar w:fldCharType="end"/>
      </w:r>
      <w:r w:rsidRPr="006B5CC8">
        <w:rPr>
          <w:rFonts w:ascii="Arial" w:hAnsi="Arial" w:cs="Arial"/>
        </w:rPr>
        <w:t xml:space="preserve">. While its operational effectiveness can be influenced by institutional factors, industry growth, and certain optimal boundaries within the technology sector </w:t>
      </w:r>
      <w:r w:rsidRPr="006B5CC8">
        <w:rPr>
          <w:rFonts w:ascii="Arial" w:hAnsi="Arial" w:cs="Arial"/>
        </w:rPr>
        <w:fldChar w:fldCharType="begin"/>
      </w:r>
      <w:r w:rsidRPr="006B5CC8">
        <w:rPr>
          <w:rFonts w:ascii="Arial" w:hAnsi="Arial" w:cs="Arial"/>
        </w:rPr>
        <w:instrText xml:space="preserve"> ADDIN ZOTERO_ITEM CSL_CITATION {"citationID":"mg8Z6GKb","properties":{"formattedCitation":"(Y. Liu et al., 2022; Ndofirepi, 2024)","plainCitation":"(Y. Liu et al., 2022; Ndofirepi, 2024)","noteIndex":0},"citationItems":[{"id":7573,"uris":["http://zotero.org/users/local/OXu6bVda/items/82BPQHSL"],"itemData":{"id":7573,"type":"article-journal","archive":"Scopus","container-title":"Dongbei Daxue Xuebao/Journal of Northeastern University","DOI":"10.12068/j.issn.1005-3026.2022.03.018","issue":"3","page":"440-447","title":"Impact of Enterprises'Human Capital Structure on International M&amp; A Performance: Based on Moderating Effect of Entrepreneurs' Educational Background","title-short":"</w:instrText>
      </w:r>
      <w:r w:rsidRPr="006B5CC8">
        <w:rPr>
          <w:rFonts w:ascii="Arial" w:eastAsia="MS Gothic" w:hAnsi="Arial" w:cs="Arial"/>
        </w:rPr>
        <w:instrText>企</w:instrText>
      </w:r>
      <w:r w:rsidRPr="006B5CC8">
        <w:rPr>
          <w:rFonts w:ascii="Arial" w:eastAsia="Microsoft JhengHei" w:hAnsi="Arial" w:cs="Arial"/>
        </w:rPr>
        <w:instrText>业人力资本结构对国际并购绩效的影响</w:instrText>
      </w:r>
      <w:r w:rsidRPr="006B5CC8">
        <w:rPr>
          <w:rFonts w:ascii="Arial" w:hAnsi="Arial" w:cs="Arial"/>
        </w:rPr>
        <w:instrText>-</w:instrText>
      </w:r>
      <w:r w:rsidRPr="006B5CC8">
        <w:rPr>
          <w:rFonts w:ascii="Arial" w:eastAsia="MS Gothic" w:hAnsi="Arial" w:cs="Arial"/>
        </w:rPr>
        <w:instrText>基于企</w:instrText>
      </w:r>
      <w:r w:rsidRPr="006B5CC8">
        <w:rPr>
          <w:rFonts w:ascii="Arial" w:eastAsia="Microsoft JhengHei" w:hAnsi="Arial" w:cs="Arial"/>
        </w:rPr>
        <w:instrText>业家教育背景的调节作用</w:instrText>
      </w:r>
      <w:r w:rsidRPr="006B5CC8">
        <w:rPr>
          <w:rFonts w:ascii="Arial" w:hAnsi="Arial" w:cs="Arial"/>
        </w:rPr>
        <w:instrText xml:space="preserve">","volume":"43","author":[{"family":"Liu","given":"Y."},{"family":"Wei","given":"X.-L."},{"family":"Qiao","given":"L."}],"issued":{"date-parts":[["2022"]]}}},{"id":7259,"uris":["http://zotero.org/users/local/OXu6bVda/items/U8E474RV"],"itemData":{"id":7259,"type":"article-journal","archive":"Scopus","container-title":"Global Business and Organizational Excellence","DOI":"10.1002/joe.22251","issue":"5","page":"67-80","title":"Examining the influence of entrepreneurial skills, human capital, and home country institutions on firm internationalization","volume":"43","author":[{"family":"Ndofirepi","given":"T.M."}],"issued":{"date-parts":[["2024"]]}}}],"schema":"https://github.com/citation-style-language/schema/raw/master/csl-citation.json"} </w:instrText>
      </w:r>
      <w:r w:rsidRPr="006B5CC8">
        <w:rPr>
          <w:rFonts w:ascii="Arial" w:hAnsi="Arial" w:cs="Arial"/>
        </w:rPr>
        <w:fldChar w:fldCharType="separate"/>
      </w:r>
      <w:r w:rsidRPr="006B5CC8">
        <w:rPr>
          <w:rFonts w:ascii="Arial" w:hAnsi="Arial" w:cs="Arial"/>
        </w:rPr>
        <w:t>(Y. Liu et al., 2022; Ndofirepi, 2024)</w:t>
      </w:r>
      <w:r w:rsidRPr="006B5CC8">
        <w:rPr>
          <w:rFonts w:ascii="Arial" w:hAnsi="Arial" w:cs="Arial"/>
        </w:rPr>
        <w:fldChar w:fldCharType="end"/>
      </w:r>
      <w:r w:rsidRPr="006B5CC8">
        <w:rPr>
          <w:rFonts w:ascii="Arial" w:hAnsi="Arial" w:cs="Arial"/>
        </w:rPr>
        <w:t>, there is widespread academic agreement that the quality of human capital is a key predictor of successful entry into global markets.</w:t>
      </w:r>
    </w:p>
    <w:p w14:paraId="5EA5ED57" w14:textId="77777777" w:rsidR="006B5CC8" w:rsidRPr="006B5CC8" w:rsidRDefault="006B5CC8" w:rsidP="006B5CC8">
      <w:pPr>
        <w:jc w:val="both"/>
        <w:rPr>
          <w:rFonts w:ascii="Arial" w:hAnsi="Arial" w:cs="Arial"/>
        </w:rPr>
      </w:pPr>
    </w:p>
    <w:p w14:paraId="4060A37C" w14:textId="42930F2A" w:rsidR="006B5CC8" w:rsidRPr="006B5CC8" w:rsidRDefault="00DA3E4E" w:rsidP="006B5CC8">
      <w:pPr>
        <w:jc w:val="both"/>
        <w:rPr>
          <w:rFonts w:ascii="Arial" w:hAnsi="Arial" w:cs="Arial"/>
          <w:b/>
          <w:bCs/>
        </w:rPr>
      </w:pPr>
      <w:r>
        <w:rPr>
          <w:rFonts w:ascii="Arial" w:hAnsi="Arial" w:cs="Arial"/>
          <w:b/>
          <w:bCs/>
        </w:rPr>
        <w:t xml:space="preserve">2.7 </w:t>
      </w:r>
      <w:r w:rsidR="006B5CC8" w:rsidRPr="006B5CC8">
        <w:rPr>
          <w:rFonts w:ascii="Arial" w:hAnsi="Arial" w:cs="Arial"/>
          <w:b/>
          <w:bCs/>
        </w:rPr>
        <w:t>Mediating Role of Digital Capability</w:t>
      </w:r>
    </w:p>
    <w:p w14:paraId="566C922E" w14:textId="77777777" w:rsidR="006B5CC8" w:rsidRDefault="006B5CC8" w:rsidP="006B5CC8">
      <w:pPr>
        <w:jc w:val="both"/>
        <w:rPr>
          <w:rFonts w:ascii="Arial" w:hAnsi="Arial" w:cs="Arial"/>
        </w:rPr>
      </w:pPr>
      <w:r w:rsidRPr="006B5CC8">
        <w:rPr>
          <w:rFonts w:ascii="Arial" w:hAnsi="Arial" w:cs="Arial"/>
        </w:rPr>
        <w:t xml:space="preserve">The literature comprehensively positions Digital Capability as a critical mediator that bridges internal resources and organizational strategies to improve performance, innovation, and competitive advantage. This digital capability has been proven to facilitate the transformation of technology investments into tangible outcomes by increasing organizational agility and optimizing knowledge processing processes </w:t>
      </w:r>
      <w:r w:rsidRPr="006B5CC8">
        <w:rPr>
          <w:rFonts w:ascii="Arial" w:hAnsi="Arial" w:cs="Arial"/>
        </w:rPr>
        <w:fldChar w:fldCharType="begin"/>
      </w:r>
      <w:r w:rsidRPr="006B5CC8">
        <w:rPr>
          <w:rFonts w:ascii="Arial" w:hAnsi="Arial" w:cs="Arial"/>
        </w:rPr>
        <w:instrText xml:space="preserve"> ADDIN ZOTERO_ITEM CSL_CITATION {"citationID":"T6DvmWUE","properties":{"formattedCitation":"(Bellaaj, 2025; Jing et al., 2023; W. Wu et al., 2024)","plainCitation":"(Bellaaj, 2025; Jing et al., 2023; W. Wu et al., 2024)","noteIndex":0},"citationItems":[{"id":7585,"uris":["http://zotero.org/users/local/OXu6bVda/items/EQ67CY2E"],"itemData":{"id":7585,"type":"article-journal","archive":"Scopus","container-title":"Journal of Business Strategy","DOI":"10.1108/JBS-09-2024-0180","page":"1-18","title":"How does digital business capability influence social media capabilities and social media performance?","author":[{"family":"Bellaaj","given":"M."}],"issued":{"date-parts":[["2025"]]}}},{"id":5891,"uris":["http://zotero.org/users/local/OXu6bVda/items/INYPDY8B"],"itemData":{"id":5891,"type":"article-journal","archive":"Scopus","container-title":"Administrative Sciences","DOI":"10.3390/admsci13120250","issue":"12","title":"A Study of the Impact of Digital Competence and Organizational Agility on Green Innovation Performance of Manufacturing Firms—The Moderating Effect Based on Knowledge Inertia","URL":"https://www.scopus.com/inward/record.uri?eid=2-s2.0-85180513884&amp;doi=10.3390%2fadmsci13120250&amp;partnerID=40&amp;md5=f86e7033c1b3e92ec58794c33845ede4","volume":"13","author":[{"family":"Jing","given":"Z."},{"family":"Zheng","given":"Y."},{"family":"Guo","given":"H."}],"issued":{"date-parts":[["2023"]]}}},{"id":7581,"uris":["http://zotero.org/users/local/OXu6bVda/items/VYCXNRZX"],"itemData":{"id":7581,"type":"article-journal","archive":"Scopus","container-title":"Frontiers in Psychology","DOI":"10.3389/fpsyg.2024.1344330","title":"Mediation effect of knowledge management on the impact of IT capability on firm performance: exploring the moderating role of organization culture management","URL":"https://www.scopus.com/inward/record.uri?eid=2-s2.0-85205348428&amp;doi=10.3389%2ffpsyg.2024.1344330&amp;partnerID=40&amp;md5=35075fd3772942659991099460f84be7","volume":"15","author":[{"family":"Wu","given":"W."},{"family":"Li","given":"X."},{"family":"Surangkana","given":"B."}],"issued":{"date-parts":[["2024"]]}}}],"schema":"https://github.com/citation-style-language/schema/raw/master/csl-citation.json"} </w:instrText>
      </w:r>
      <w:r w:rsidRPr="006B5CC8">
        <w:rPr>
          <w:rFonts w:ascii="Arial" w:hAnsi="Arial" w:cs="Arial"/>
        </w:rPr>
        <w:fldChar w:fldCharType="separate"/>
      </w:r>
      <w:r w:rsidRPr="006B5CC8">
        <w:rPr>
          <w:rFonts w:ascii="Arial" w:hAnsi="Arial" w:cs="Arial"/>
        </w:rPr>
        <w:t>(Bellaaj, 2025; Jing et al., 2023; W. Wu et al., 2024)</w:t>
      </w:r>
      <w:r w:rsidRPr="006B5CC8">
        <w:rPr>
          <w:rFonts w:ascii="Arial" w:hAnsi="Arial" w:cs="Arial"/>
        </w:rPr>
        <w:fldChar w:fldCharType="end"/>
      </w:r>
      <w:r w:rsidRPr="006B5CC8">
        <w:rPr>
          <w:rFonts w:ascii="Arial" w:hAnsi="Arial" w:cs="Arial"/>
        </w:rPr>
        <w:t xml:space="preserve">. Furthermore, Digital Capability functions as a catalyst that converts digital transformation and a company's absorptive capacity into superior innovation performance, thereby enabling more effective integration of external knowledge </w:t>
      </w:r>
      <w:r w:rsidRPr="006B5CC8">
        <w:rPr>
          <w:rFonts w:ascii="Arial" w:hAnsi="Arial" w:cs="Arial"/>
        </w:rPr>
        <w:fldChar w:fldCharType="begin"/>
      </w:r>
      <w:r w:rsidRPr="006B5CC8">
        <w:rPr>
          <w:rFonts w:ascii="Arial" w:hAnsi="Arial" w:cs="Arial"/>
        </w:rPr>
        <w:instrText xml:space="preserve"> ADDIN ZOTERO_ITEM CSL_CITATION {"citationID":"rp90t6bV","properties":{"formattedCitation":"(Van Hoang et al., 2025; Wang et al., 2022)","plainCitation":"(Van Hoang et al., 2025; Wang et al., 2022)","noteIndex":0},"citationItems":[{"id":7583,"uris":["http://zotero.org/users/local/OXu6bVda/items/2M68ZIGC"],"itemData":{"id":7583,"type":"article-journal","archive":"Scopus","container-title":"SAGE Open","DOI":"10.1177/21582440251329967","issue":"2","title":"Digital Capabilities and Sustainable Competitive Advantages: The Case of Emerging Market Manufacturing SMEs","URL":"https://www.scopus.com/inward/record.uri?eid=2-s2.0-105002602047&amp;doi=10.1177%2f21582440251329967&amp;partnerID=40&amp;md5=3b55a41b5d9b4d99b08abff872dea431","volume":"15","author":[{"family":"Van Hoang","given":"D."},{"family":"Thi Hien","given":"N."},{"family":"Van Thang","given":"H."},{"family":"Nguyen Truc Phuong","given":"P."},{"family":"Thi-Thuy Duong","given":"T."}],"issued":{"date-parts":[["2025"]]}}},{"id":7593,"uris":["http://zotero.org/users/local/OXu6bVda/items/8L2SHQH8"],"itemData":{"id":7593,"type":"article-journal","archive":"Scopus","container-title":"Sustainability (Switzerland)","DOI":"10.3390/su14106214","issue":"10","title":"The Impact of Digital Capability on Manufacturing Company Performance","URL":"https://www.scopus.com/inward/record.uri?eid=2-s2.0-85130875180&amp;doi=10.3390%2fsu14106214&amp;partnerID=40&amp;md5=fb7d92a0bb168b973355095a805f6dad","volume":"14","author":[{"family":"Wang","given":"X."},{"family":"Gu","given":"Y."},{"family":"Ahmad","given":"M."},{"family":"Xue","given":"C."}],"issued":{"date-parts":[["2022"]]}}}],"schema":"https://github.com/citation-style-language/schema/raw/master/csl-citation.json"} </w:instrText>
      </w:r>
      <w:r w:rsidRPr="006B5CC8">
        <w:rPr>
          <w:rFonts w:ascii="Arial" w:hAnsi="Arial" w:cs="Arial"/>
        </w:rPr>
        <w:fldChar w:fldCharType="separate"/>
      </w:r>
      <w:r w:rsidRPr="006B5CC8">
        <w:rPr>
          <w:rFonts w:ascii="Arial" w:hAnsi="Arial" w:cs="Arial"/>
        </w:rPr>
        <w:t>(Van Hoang et al., 2025; Wang et al., 2022)</w:t>
      </w:r>
      <w:r w:rsidRPr="006B5CC8">
        <w:rPr>
          <w:rFonts w:ascii="Arial" w:hAnsi="Arial" w:cs="Arial"/>
        </w:rPr>
        <w:fldChar w:fldCharType="end"/>
      </w:r>
      <w:r w:rsidRPr="006B5CC8">
        <w:rPr>
          <w:rFonts w:ascii="Arial" w:hAnsi="Arial" w:cs="Arial"/>
        </w:rPr>
        <w:t xml:space="preserve">. In the context of SMEs and e-commerce-based businesses, this capability crucially mediates the influence of leadership and external factors on business performance, while aligning organizational initiatives with market competitiveness </w:t>
      </w:r>
      <w:r w:rsidRPr="006B5CC8">
        <w:rPr>
          <w:rFonts w:ascii="Arial" w:hAnsi="Arial" w:cs="Arial"/>
        </w:rPr>
        <w:fldChar w:fldCharType="begin"/>
      </w:r>
      <w:r w:rsidRPr="006B5CC8">
        <w:rPr>
          <w:rFonts w:ascii="Arial" w:hAnsi="Arial" w:cs="Arial"/>
        </w:rPr>
        <w:instrText xml:space="preserve"> ADDIN ZOTERO_ITEM CSL_CITATION {"citationID":"LFh1Ftmc","properties":{"formattedCitation":"(Faradiba et al., 2025; Mendo et al., 2025; Rehman, 2025)","plainCitation":"(Faradiba et al., 2025; Mendo et al., 2025; Rehman, 2025)","noteIndex":0},"citationItems":[{"id":7587,"uris":["http://zotero.org/users/local/OXu6bVda/items/NNAMGYWI"],"itemData":{"id":7587,"type":"article-journal","archive":"Scopus","container-title":"Journal of Distribution Science","DOI":"10.15722/jds.23.11.202511.51","issue":"11","page":"51-60","title":"Digital Capability and Distribution Readiness: Why Some E-Commerce MSMEs Excel While Others Fall Behind","volume":"23","author":[{"family":"Faradiba","given":"B."},{"family":"Amar","given":"M.Y."},{"family":"Sudirman","given":"I."}],"issued":{"date-parts":[["2025"]]}}},{"id":7591,"uris":["http://zotero.org/users/local/OXu6bVda/items/7DNQMFBU"],"itemData":{"id":7591,"type":"article-journal","archive":"Scopus","container-title":"International Journal of Accounting and Economics Studies","DOI":"10.14419/h7hhys36","issue":"5","page":"918-931","title":"Digital Leadership and Business Performance in SMES: A Moderated Mediation Model Through Digital Capability and Top Management Support","volume":"12","author":[{"family":"Mendo","given":"A.Y."},{"family":"Biki","given":"S.B."},{"family":"Mu'min","given":"H."},{"family":"Asnawi","given":"M.A."},{"family":"Pilomonu","given":"M.R.S."}],"issued":{"date-parts":[["2025"]]}}},{"id":7577,"uris":["http://zotero.org/users/local/OXu6bVda/items/YNDM9RP3"],"itemData":{"id":7577,"type":"article-journal","archive":"Scopus","container-title":"European Business Review","DOI":"10.1108/EBR-02-2024-0088","issue":"1","page":"116-139","title":"Digital capabilities and market competitiveness: the two-fold mediation of internal and external drivers","volume":"37","author":[{"family":"Rehman","given":"F.U."}],"issued":{"date-parts":[["2025"]]}}}],"schema":"https://github.com/citation-style-language/schema/raw/master/csl-citation.json"} </w:instrText>
      </w:r>
      <w:r w:rsidRPr="006B5CC8">
        <w:rPr>
          <w:rFonts w:ascii="Arial" w:hAnsi="Arial" w:cs="Arial"/>
        </w:rPr>
        <w:fldChar w:fldCharType="separate"/>
      </w:r>
      <w:r w:rsidRPr="006B5CC8">
        <w:rPr>
          <w:rFonts w:ascii="Arial" w:hAnsi="Arial" w:cs="Arial"/>
        </w:rPr>
        <w:t>(Faradiba et al., 2025; Mendo et al., 2025; Rehman, 2025)</w:t>
      </w:r>
      <w:r w:rsidRPr="006B5CC8">
        <w:rPr>
          <w:rFonts w:ascii="Arial" w:hAnsi="Arial" w:cs="Arial"/>
        </w:rPr>
        <w:fldChar w:fldCharType="end"/>
      </w:r>
      <w:r w:rsidRPr="006B5CC8">
        <w:rPr>
          <w:rFonts w:ascii="Arial" w:hAnsi="Arial" w:cs="Arial"/>
        </w:rPr>
        <w:t>. Given its vital role in translating strategic resources—such as the competencies of Human Capital—into accelerated performance outcomes and competitiveness in the broader market, the fourth hypothesis is as follows.</w:t>
      </w:r>
    </w:p>
    <w:p w14:paraId="0B7618FC" w14:textId="77777777" w:rsidR="00887EE5" w:rsidRDefault="00887EE5" w:rsidP="00887EE5">
      <w:pPr>
        <w:jc w:val="both"/>
        <w:rPr>
          <w:rFonts w:ascii="Arial" w:hAnsi="Arial" w:cs="Arial"/>
          <w:b/>
          <w:bCs/>
        </w:rPr>
      </w:pPr>
    </w:p>
    <w:p w14:paraId="247D11F1" w14:textId="77777777" w:rsidR="00887EE5" w:rsidRPr="00887EE5" w:rsidRDefault="00887EE5" w:rsidP="00887EE5">
      <w:pPr>
        <w:jc w:val="both"/>
        <w:rPr>
          <w:rFonts w:ascii="Arial" w:hAnsi="Arial" w:cs="Arial"/>
          <w:b/>
          <w:bCs/>
        </w:rPr>
      </w:pPr>
      <w:r w:rsidRPr="00887EE5">
        <w:rPr>
          <w:rFonts w:ascii="Arial" w:hAnsi="Arial" w:cs="Arial"/>
          <w:b/>
          <w:bCs/>
        </w:rPr>
        <w:t>2.7 Hypothesis Development</w:t>
      </w:r>
    </w:p>
    <w:p w14:paraId="682CE614" w14:textId="288DBD3E" w:rsidR="00887EE5" w:rsidRPr="00887EE5" w:rsidRDefault="00887EE5" w:rsidP="00887EE5">
      <w:pPr>
        <w:jc w:val="both"/>
        <w:rPr>
          <w:rFonts w:ascii="Arial" w:hAnsi="Arial" w:cs="Arial"/>
        </w:rPr>
      </w:pPr>
      <w:r w:rsidRPr="00887EE5">
        <w:rPr>
          <w:rFonts w:ascii="Arial" w:hAnsi="Arial" w:cs="Arial"/>
        </w:rPr>
        <w:t>Drawing on the Resource-Based View and Dynamic Capability Theory, this study posits that competitive advantage in international markets stems not merely from resource ownership, but from a firm’s capacity to reconfigure and operationalize those resources through digital mechanisms. The following hypotheses are formally developed based on the theoretical and empirical synthesis presented in the preceding sections.</w:t>
      </w:r>
    </w:p>
    <w:p w14:paraId="1D838BF9" w14:textId="77777777" w:rsidR="00887EE5" w:rsidRPr="00887EE5" w:rsidRDefault="00887EE5" w:rsidP="00887EE5">
      <w:pPr>
        <w:jc w:val="both"/>
        <w:rPr>
          <w:rFonts w:ascii="Arial" w:hAnsi="Arial" w:cs="Arial"/>
        </w:rPr>
      </w:pPr>
      <w:r w:rsidRPr="00887EE5">
        <w:rPr>
          <w:rFonts w:ascii="Arial" w:hAnsi="Arial" w:cs="Arial"/>
        </w:rPr>
        <w:t>First, human capital, which encompasses managerial expertise, technical skills, and learning agility, serves as the foundational input for building organizational digital competencies. Firms with higher-quality human resources are better equipped to adopt, integrate, and leverage digital technologies, thereby enhancing their digital capability. This leads to the first hypothesis:</w:t>
      </w:r>
    </w:p>
    <w:p w14:paraId="6897F247" w14:textId="60A1B529" w:rsidR="00887EE5" w:rsidRPr="00887EE5" w:rsidRDefault="00887EE5" w:rsidP="00887EE5">
      <w:pPr>
        <w:jc w:val="both"/>
        <w:rPr>
          <w:rFonts w:ascii="Arial" w:hAnsi="Arial" w:cs="Arial"/>
        </w:rPr>
      </w:pPr>
      <w:r w:rsidRPr="00887EE5">
        <w:rPr>
          <w:rFonts w:ascii="Arial" w:hAnsi="Arial" w:cs="Arial"/>
        </w:rPr>
        <w:t>H1: Human Capital has a positive impact on Digital Capability.</w:t>
      </w:r>
    </w:p>
    <w:p w14:paraId="28367AE4" w14:textId="77777777" w:rsidR="00887EE5" w:rsidRPr="00887EE5" w:rsidRDefault="00887EE5" w:rsidP="00887EE5">
      <w:pPr>
        <w:jc w:val="both"/>
        <w:rPr>
          <w:rFonts w:ascii="Arial" w:hAnsi="Arial" w:cs="Arial"/>
        </w:rPr>
      </w:pPr>
      <w:r w:rsidRPr="00887EE5">
        <w:rPr>
          <w:rFonts w:ascii="Arial" w:hAnsi="Arial" w:cs="Arial"/>
        </w:rPr>
        <w:lastRenderedPageBreak/>
        <w:t>Second, digital capability enables firms to overcome traditional barriers to internationalization by reducing transaction costs, expanding market reach, and facilitating cross-border coordination. Through digital platforms and data-driven decision-making, MSMEs can identify global opportunities and respond rapidly to international market demands. Thus:</w:t>
      </w:r>
    </w:p>
    <w:p w14:paraId="439CD2F8" w14:textId="36AFC43B" w:rsidR="00887EE5" w:rsidRPr="00887EE5" w:rsidRDefault="00887EE5" w:rsidP="00887EE5">
      <w:pPr>
        <w:jc w:val="both"/>
        <w:rPr>
          <w:rFonts w:ascii="Arial" w:hAnsi="Arial" w:cs="Arial"/>
        </w:rPr>
      </w:pPr>
      <w:r w:rsidRPr="00887EE5">
        <w:rPr>
          <w:rFonts w:ascii="Arial" w:hAnsi="Arial" w:cs="Arial"/>
        </w:rPr>
        <w:t>H2: Digital Capability has a positive and significant effect on Internationalization.</w:t>
      </w:r>
    </w:p>
    <w:p w14:paraId="725655DF" w14:textId="77777777" w:rsidR="00887EE5" w:rsidRPr="00887EE5" w:rsidRDefault="00887EE5" w:rsidP="00887EE5">
      <w:pPr>
        <w:jc w:val="both"/>
        <w:rPr>
          <w:rFonts w:ascii="Arial" w:hAnsi="Arial" w:cs="Arial"/>
        </w:rPr>
      </w:pPr>
      <w:r w:rsidRPr="00887EE5">
        <w:rPr>
          <w:rFonts w:ascii="Arial" w:hAnsi="Arial" w:cs="Arial"/>
        </w:rPr>
        <w:t>Third, human capital directly contributes to internationalization by providing the strategic knowledge, cross-cultural understanding, and managerial competencies required to navigate foreign markets. Experienced and skilled leadership enhances a firm’s readiness to engage in export activities and global partnerships. Therefore:</w:t>
      </w:r>
    </w:p>
    <w:p w14:paraId="4C9A08F0" w14:textId="1007D936" w:rsidR="00887EE5" w:rsidRPr="00887EE5" w:rsidRDefault="00887EE5" w:rsidP="00887EE5">
      <w:pPr>
        <w:jc w:val="both"/>
        <w:rPr>
          <w:rFonts w:ascii="Arial" w:hAnsi="Arial" w:cs="Arial"/>
        </w:rPr>
      </w:pPr>
      <w:r w:rsidRPr="00887EE5">
        <w:rPr>
          <w:rFonts w:ascii="Arial" w:hAnsi="Arial" w:cs="Arial"/>
        </w:rPr>
        <w:t>H3: Human Capital has a positive and significant effect on Internationalization.</w:t>
      </w:r>
    </w:p>
    <w:p w14:paraId="4C55AED6" w14:textId="77777777" w:rsidR="00887EE5" w:rsidRPr="00887EE5" w:rsidRDefault="00887EE5" w:rsidP="00887EE5">
      <w:pPr>
        <w:jc w:val="both"/>
        <w:rPr>
          <w:rFonts w:ascii="Arial" w:hAnsi="Arial" w:cs="Arial"/>
        </w:rPr>
      </w:pPr>
      <w:r w:rsidRPr="00887EE5">
        <w:rPr>
          <w:rFonts w:ascii="Arial" w:hAnsi="Arial" w:cs="Arial"/>
        </w:rPr>
        <w:t>Finally, while human capital provides the necessary knowledge and skills, its impact on international outcomes is significantly amplified when translated into actionable digital strategies. Digital capability functions as the critical conversion mechanism that operationalizes human capital into market-oriented capabilities, bridging internal resources and external competitive performance. Accordingly:</w:t>
      </w:r>
    </w:p>
    <w:p w14:paraId="533DA670" w14:textId="7F26F552" w:rsidR="00887EE5" w:rsidRPr="00887EE5" w:rsidRDefault="00887EE5" w:rsidP="00887EE5">
      <w:pPr>
        <w:jc w:val="both"/>
        <w:rPr>
          <w:rFonts w:ascii="Arial" w:hAnsi="Arial" w:cs="Arial"/>
        </w:rPr>
      </w:pPr>
      <w:r w:rsidRPr="00887EE5">
        <w:rPr>
          <w:rFonts w:ascii="Arial" w:hAnsi="Arial" w:cs="Arial"/>
        </w:rPr>
        <w:t>H4: Digital Capability mediates the relationship between Human Capital and Internationalization.</w:t>
      </w:r>
    </w:p>
    <w:p w14:paraId="684895A4" w14:textId="77777777" w:rsidR="00790ADA" w:rsidRDefault="00790ADA" w:rsidP="00441B6F">
      <w:pPr>
        <w:pStyle w:val="Body"/>
        <w:spacing w:after="0"/>
        <w:rPr>
          <w:rFonts w:ascii="Arial" w:hAnsi="Arial" w:cs="Arial"/>
        </w:rPr>
      </w:pPr>
    </w:p>
    <w:p w14:paraId="2EE0B24C" w14:textId="77777777" w:rsidR="001D4C3E" w:rsidRPr="001D4C3E" w:rsidRDefault="001D4C3E" w:rsidP="001D4C3E">
      <w:pPr>
        <w:pStyle w:val="Body"/>
        <w:rPr>
          <w:rFonts w:ascii="Arial" w:hAnsi="Arial" w:cs="Arial"/>
          <w:b/>
          <w:bCs/>
        </w:rPr>
      </w:pPr>
      <w:r w:rsidRPr="001D4C3E">
        <w:rPr>
          <w:rFonts w:ascii="Arial" w:hAnsi="Arial" w:cs="Arial"/>
          <w:b/>
          <w:bCs/>
        </w:rPr>
        <w:t>ETHICAL CONSIDERATIONS</w:t>
      </w:r>
    </w:p>
    <w:p w14:paraId="5315D7B8" w14:textId="7D24CF05" w:rsidR="001D4C3E" w:rsidRDefault="001D4C3E" w:rsidP="001D4C3E">
      <w:pPr>
        <w:pStyle w:val="Body"/>
        <w:spacing w:after="0"/>
        <w:rPr>
          <w:rFonts w:ascii="Arial" w:hAnsi="Arial" w:cs="Arial"/>
        </w:rPr>
      </w:pPr>
      <w:r w:rsidRPr="001D4C3E">
        <w:rPr>
          <w:rFonts w:ascii="Arial" w:hAnsi="Arial" w:cs="Arial"/>
        </w:rPr>
        <w:t>This study was conducted in strict accordance with established ethical guidelines for social science research involving human participants.  Prior to data collection, all participants were provided with a comprehensive information sheet detailing the study's objectives, procedures, and their rights. Written informed consent was obtained from each respondent, emphasizing that participation was entirely voluntary and that they could withdraw at any time without consequence. To ensure confidentiality and data privacy, all personal identifiers were removed during data entry and analysis. The anonymized dataset was stored securely and used exclusively for academic research purposes.</w:t>
      </w:r>
    </w:p>
    <w:p w14:paraId="56D054CF" w14:textId="77777777" w:rsidR="001D4C3E" w:rsidRPr="00FB3A86" w:rsidRDefault="001D4C3E" w:rsidP="001D4C3E">
      <w:pPr>
        <w:pStyle w:val="Body"/>
        <w:spacing w:after="0"/>
        <w:rPr>
          <w:rFonts w:ascii="Arial" w:hAnsi="Arial" w:cs="Arial"/>
        </w:rPr>
      </w:pPr>
    </w:p>
    <w:p w14:paraId="43A197A2" w14:textId="37D96569" w:rsidR="007F7B32" w:rsidRDefault="006B5CC8" w:rsidP="00441B6F">
      <w:pPr>
        <w:pStyle w:val="AbstHead"/>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METHODS</w:t>
      </w:r>
    </w:p>
    <w:p w14:paraId="294300A3" w14:textId="77777777" w:rsidR="00790ADA" w:rsidRPr="00FB3A86" w:rsidRDefault="00790ADA" w:rsidP="00441B6F">
      <w:pPr>
        <w:pStyle w:val="AbstHead"/>
        <w:spacing w:after="0"/>
        <w:jc w:val="both"/>
        <w:rPr>
          <w:rFonts w:ascii="Arial" w:hAnsi="Arial" w:cs="Arial"/>
        </w:rPr>
      </w:pPr>
    </w:p>
    <w:p w14:paraId="7541588A" w14:textId="4168EAD9" w:rsidR="006B5CC8" w:rsidRPr="006B5CC8" w:rsidRDefault="00887EE5" w:rsidP="006B5CC8">
      <w:pPr>
        <w:jc w:val="both"/>
        <w:rPr>
          <w:rFonts w:ascii="Arial" w:hAnsi="Arial" w:cs="Arial"/>
        </w:rPr>
      </w:pPr>
      <w:r w:rsidRPr="00887EE5">
        <w:rPr>
          <w:rFonts w:ascii="Arial" w:hAnsi="Arial" w:cs="Arial"/>
        </w:rPr>
        <w:t>This study employed a quantitative explanatory survey design. A non-probability sampling technique, specifically purposive sampling, was employed to select respondents who met the following criteria: (1) being owners or managers of teak woodcraft MSMEs located in Bojonegoro Regency, East Java, Indonesia; (2) having operational experience of at least two years; and (3) possessing export experience or demonstrable potential for international market engagement. Through this approach, a final sample of 150 respondents was obtained to examine the structural relationships among Human Capital, Digital Capability, and Internationalization.</w:t>
      </w:r>
      <w:r w:rsidR="006B5CC8" w:rsidRPr="006B5CC8">
        <w:rPr>
          <w:rFonts w:ascii="Arial" w:hAnsi="Arial" w:cs="Arial"/>
        </w:rPr>
        <w:t xml:space="preserve"> These three constructs were measured using a five-point Likert scale based on several representative indicators adapted from prior studies. Specifically, Human Capital was measured through business experience and problem-solving abilities </w:t>
      </w:r>
      <w:r w:rsidR="006B5CC8" w:rsidRPr="006B5CC8">
        <w:rPr>
          <w:rFonts w:ascii="Arial" w:hAnsi="Arial" w:cs="Arial"/>
        </w:rPr>
        <w:fldChar w:fldCharType="begin"/>
      </w:r>
      <w:r w:rsidR="006B5CC8" w:rsidRPr="006B5CC8">
        <w:rPr>
          <w:rFonts w:ascii="Arial" w:hAnsi="Arial" w:cs="Arial"/>
        </w:rPr>
        <w:instrText xml:space="preserve"> ADDIN ZOTERO_ITEM CSL_CITATION {"citationID":"2pJOopgA","properties":{"formattedCitation":"(Tong et al., 2019)","plainCitation":"(Tong et al., 2019)","noteIndex":0},"citationItems":[{"id":6821,"uris":["http://zotero.org/users/local/OXu6bVda/items/72YM3I3H"],"itemData":{"id":6821,"type":"article-journal","archive":"Scopus","container-title":"Applied Economics","DOI":"10.1080/00036846.2019.1619022","issue":"53","page":"5741-5752","title":"Human capital and leadership: the impact of cognitive and noncognitive abilities","volume":"51","author":[{"family":"Tong","given":"T."},{"family":"Li","given":"H."},{"family":"Greiff","given":"S."}],"issued":{"date-parts":[["2019"]]}}}],"schema":"https://github.com/citation-style-language/schema/raw/master/csl-citation.json"} </w:instrText>
      </w:r>
      <w:r w:rsidR="006B5CC8" w:rsidRPr="006B5CC8">
        <w:rPr>
          <w:rFonts w:ascii="Arial" w:hAnsi="Arial" w:cs="Arial"/>
        </w:rPr>
        <w:fldChar w:fldCharType="separate"/>
      </w:r>
      <w:r w:rsidR="006B5CC8" w:rsidRPr="006B5CC8">
        <w:rPr>
          <w:rFonts w:ascii="Arial" w:hAnsi="Arial" w:cs="Arial"/>
        </w:rPr>
        <w:t>(Tong et al., 2019)</w:t>
      </w:r>
      <w:r w:rsidR="006B5CC8" w:rsidRPr="006B5CC8">
        <w:rPr>
          <w:rFonts w:ascii="Arial" w:hAnsi="Arial" w:cs="Arial"/>
        </w:rPr>
        <w:fldChar w:fldCharType="end"/>
      </w:r>
      <w:r w:rsidR="006B5CC8" w:rsidRPr="006B5CC8">
        <w:rPr>
          <w:rFonts w:ascii="Arial" w:hAnsi="Arial" w:cs="Arial"/>
        </w:rPr>
        <w:t xml:space="preserve">, Digital Capability was assessed based on the adoption of digital technologies and analytics (Tong et al., 2019), and Internationalization was reflected in export performance and the speed of response to global market opportunities </w:t>
      </w:r>
      <w:r w:rsidR="006B5CC8" w:rsidRPr="006B5CC8">
        <w:rPr>
          <w:rFonts w:ascii="Arial" w:hAnsi="Arial" w:cs="Arial"/>
        </w:rPr>
        <w:fldChar w:fldCharType="begin"/>
      </w:r>
      <w:r w:rsidR="006B5CC8" w:rsidRPr="006B5CC8">
        <w:rPr>
          <w:rFonts w:ascii="Arial" w:hAnsi="Arial" w:cs="Arial"/>
        </w:rPr>
        <w:instrText xml:space="preserve"> ADDIN ZOTERO_ITEM CSL_CITATION {"citationID":"YdU1D1dJ","properties":{"formattedCitation":"(Luu et al., 2026)","plainCitation":"(Luu et al., 2026)","noteIndex":0},"citationItems":[{"id":6824,"uris":["http://zotero.org/users/local/OXu6bVda/items/L4DKCBD4"],"itemData":{"id":6824,"type":"article-journal","container-title":"Journal of Business Strategy","ISSN":"0275-6668","issue":"1","journalAbbreviation":"Journal of Business Strategy","page":"143-172","publisher":"Emerald Publishing Limited","title":"From internationalization to performance: digitalization and business model innovation as absorptive pathways for SMEs","volume":"47","author":[{"family":"Luu","given":"Tien Dung"},{"family":"Huynh","given":"Thuy Tien"},{"family":"Ha","given":"Van Hieu"}],"issued":{"date-parts":[["2026"]]}}}],"schema":"https://github.com/citation-style-language/schema/raw/master/csl-citation.json"} </w:instrText>
      </w:r>
      <w:r w:rsidR="006B5CC8" w:rsidRPr="006B5CC8">
        <w:rPr>
          <w:rFonts w:ascii="Arial" w:hAnsi="Arial" w:cs="Arial"/>
        </w:rPr>
        <w:fldChar w:fldCharType="separate"/>
      </w:r>
      <w:r w:rsidR="006B5CC8" w:rsidRPr="006B5CC8">
        <w:rPr>
          <w:rFonts w:ascii="Arial" w:hAnsi="Arial" w:cs="Arial"/>
        </w:rPr>
        <w:t>(Luu et al., 2026)</w:t>
      </w:r>
      <w:r w:rsidR="006B5CC8" w:rsidRPr="006B5CC8">
        <w:rPr>
          <w:rFonts w:ascii="Arial" w:hAnsi="Arial" w:cs="Arial"/>
        </w:rPr>
        <w:fldChar w:fldCharType="end"/>
      </w:r>
      <w:r w:rsidR="006B5CC8" w:rsidRPr="006B5CC8">
        <w:rPr>
          <w:rFonts w:ascii="Arial" w:hAnsi="Arial" w:cs="Arial"/>
        </w:rPr>
        <w:t>.</w:t>
      </w:r>
    </w:p>
    <w:p w14:paraId="66EE8E35" w14:textId="77777777" w:rsidR="006B5CC8" w:rsidRPr="006B5CC8" w:rsidRDefault="006B5CC8" w:rsidP="006B5CC8">
      <w:pPr>
        <w:jc w:val="both"/>
        <w:rPr>
          <w:rFonts w:ascii="Arial" w:hAnsi="Arial" w:cs="Arial"/>
        </w:rPr>
      </w:pPr>
      <w:r w:rsidRPr="006B5CC8">
        <w:rPr>
          <w:rFonts w:ascii="Arial" w:hAnsi="Arial" w:cs="Arial"/>
        </w:rPr>
        <w:t xml:space="preserve">Data analysis was conducted using Partial Least Squares Structural Equation Modeling (PLS-SEM), following the guidelines proposed by </w:t>
      </w:r>
      <w:r w:rsidRPr="006B5CC8">
        <w:rPr>
          <w:rFonts w:ascii="Arial" w:hAnsi="Arial" w:cs="Arial"/>
        </w:rPr>
        <w:fldChar w:fldCharType="begin"/>
      </w:r>
      <w:r w:rsidRPr="006B5CC8">
        <w:rPr>
          <w:rFonts w:ascii="Arial" w:hAnsi="Arial" w:cs="Arial"/>
        </w:rPr>
        <w:instrText xml:space="preserve"> ADDIN ZOTERO_ITEM CSL_CITATION {"citationID":"tdIlNBZs","properties":{"formattedCitation":"(Hair et al., 2021)","plainCitation":"(Hair et al., 2021)","noteIndex":0},"citationItems":[{"id":7595,"uris":["http://zotero.org/users/local/OXu6bVda/items/7EVT9XZC"],"itemData":{"id":7595,"type":"book","ISBN":"3-030-80518-2","publisher":"Springer","title":"Partial least squares structural equation modeling (PLS-SEM) using R: A workbook","author":[{"family":"Hair","given":"Joseph F"},{"family":"Hult","given":"G Tomas M"},{"family":"Ringle","given":"Christian M"},{"family":"Sarstedt","given":"Marko"},{"family":"Danks","given":"Nicholas Patrick"},{"family":"Ray","given":"Soumya"}],"issued":{"date-parts":[["2021"]]}}}],"schema":"https://github.com/citation-style-language/schema/raw/master/csl-citation.json"} </w:instrText>
      </w:r>
      <w:r w:rsidRPr="006B5CC8">
        <w:rPr>
          <w:rFonts w:ascii="Arial" w:hAnsi="Arial" w:cs="Arial"/>
        </w:rPr>
        <w:fldChar w:fldCharType="separate"/>
      </w:r>
      <w:r w:rsidRPr="006B5CC8">
        <w:rPr>
          <w:rFonts w:ascii="Arial" w:hAnsi="Arial" w:cs="Arial"/>
        </w:rPr>
        <w:t>(Hair et al., 2021)</w:t>
      </w:r>
      <w:r w:rsidRPr="006B5CC8">
        <w:rPr>
          <w:rFonts w:ascii="Arial" w:hAnsi="Arial" w:cs="Arial"/>
        </w:rPr>
        <w:fldChar w:fldCharType="end"/>
      </w:r>
      <w:r w:rsidRPr="006B5CC8">
        <w:rPr>
          <w:rFonts w:ascii="Arial" w:hAnsi="Arial" w:cs="Arial"/>
        </w:rPr>
        <w:t>. The evaluation of the measurement model (outer model) indicated that the instrument demonstrated satisfactory quality, as evidenced by the fulfillment of convergent validity criteria (outer loadings &gt; 0.708 and AVE &gt; 0.50), construct reliability (Cronbach’s Alpha and Composite Reliability &gt; 0.70), discriminant validity (Fornell–Larcker criterion), and the absence of multicollinearity (VIF &lt; 5).</w:t>
      </w:r>
    </w:p>
    <w:p w14:paraId="58C06A73" w14:textId="68D26CA1" w:rsidR="00E66E10" w:rsidRPr="006B5CC8" w:rsidRDefault="006B5CC8" w:rsidP="006B5CC8">
      <w:pPr>
        <w:pStyle w:val="Body"/>
        <w:spacing w:after="0"/>
        <w:rPr>
          <w:rFonts w:ascii="Arial" w:hAnsi="Arial" w:cs="Arial"/>
        </w:rPr>
      </w:pPr>
      <w:r w:rsidRPr="006B5CC8">
        <w:rPr>
          <w:rFonts w:ascii="Arial" w:hAnsi="Arial" w:cs="Arial"/>
        </w:rPr>
        <w:lastRenderedPageBreak/>
        <w:t xml:space="preserve">Subsequently, the structural model (inner model) was assessed by examining its explanatory power (R²) and predictive relevance (Q² &gt; 0). Hypotheses (H1–H4) were then tested using a bootstrapping procedure with 5,000 subsamples, where relationships were considered statistically significant if the T-statistics exceeded 1.96 and the p-values were below 0.05 </w:t>
      </w:r>
      <w:r w:rsidRPr="006B5CC8">
        <w:rPr>
          <w:rFonts w:ascii="Arial" w:hAnsi="Arial" w:cs="Arial"/>
        </w:rPr>
        <w:fldChar w:fldCharType="begin"/>
      </w:r>
      <w:r w:rsidRPr="006B5CC8">
        <w:rPr>
          <w:rFonts w:ascii="Arial" w:hAnsi="Arial" w:cs="Arial"/>
        </w:rPr>
        <w:instrText xml:space="preserve"> ADDIN ZOTERO_ITEM CSL_CITATION {"citationID":"PkYoDdp8","properties":{"formattedCitation":"(Hair et al., 2021)","plainCitation":"(Hair et al., 2021)","noteIndex":0},"citationItems":[{"id":7595,"uris":["http://zotero.org/users/local/OXu6bVda/items/7EVT9XZC"],"itemData":{"id":7595,"type":"book","ISBN":"3-030-80518-2","publisher":"Springer","title":"Partial least squares structural equation modeling (PLS-SEM) using R: A workbook","author":[{"family":"Hair","given":"Joseph F"},{"family":"Hult","given":"G Tomas M"},{"family":"Ringle","given":"Christian M"},{"family":"Sarstedt","given":"Marko"},{"family":"Danks","given":"Nicholas Patrick"},{"family":"Ray","given":"Soumya"}],"issued":{"date-parts":[["2021"]]}}}],"schema":"https://github.com/citation-style-language/schema/raw/master/csl-citation.json"} </w:instrText>
      </w:r>
      <w:r w:rsidRPr="006B5CC8">
        <w:rPr>
          <w:rFonts w:ascii="Arial" w:hAnsi="Arial" w:cs="Arial"/>
        </w:rPr>
        <w:fldChar w:fldCharType="separate"/>
      </w:r>
      <w:r w:rsidRPr="006B5CC8">
        <w:rPr>
          <w:rFonts w:ascii="Arial" w:hAnsi="Arial" w:cs="Arial"/>
        </w:rPr>
        <w:t>(Hair et al., 2021)</w:t>
      </w:r>
      <w:r w:rsidRPr="006B5CC8">
        <w:rPr>
          <w:rFonts w:ascii="Arial" w:hAnsi="Arial" w:cs="Arial"/>
        </w:rPr>
        <w:fldChar w:fldCharType="end"/>
      </w:r>
      <w:r w:rsidRPr="006B5CC8">
        <w:rPr>
          <w:rFonts w:ascii="Arial" w:hAnsi="Arial" w:cs="Arial"/>
        </w:rPr>
        <w:t>.</w:t>
      </w:r>
    </w:p>
    <w:p w14:paraId="1887AE56" w14:textId="77777777" w:rsidR="00790ADA" w:rsidRPr="00FB3A86" w:rsidRDefault="00790ADA" w:rsidP="00441B6F">
      <w:pPr>
        <w:pStyle w:val="Body"/>
        <w:spacing w:after="0"/>
        <w:rPr>
          <w:rFonts w:ascii="Arial" w:hAnsi="Arial" w:cs="Arial"/>
        </w:rPr>
      </w:pPr>
    </w:p>
    <w:p w14:paraId="2837E585" w14:textId="6C52AC2A" w:rsidR="00902823" w:rsidRDefault="00DA3E4E"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results and discussion</w:t>
      </w:r>
    </w:p>
    <w:p w14:paraId="036CF5B6" w14:textId="77777777" w:rsidR="00790ADA" w:rsidRDefault="00790ADA" w:rsidP="00441B6F">
      <w:pPr>
        <w:pStyle w:val="Head1"/>
        <w:spacing w:after="0"/>
        <w:jc w:val="both"/>
        <w:rPr>
          <w:rFonts w:ascii="Arial" w:hAnsi="Arial" w:cs="Arial"/>
        </w:rPr>
      </w:pPr>
    </w:p>
    <w:p w14:paraId="22A52EA9" w14:textId="2113B754" w:rsidR="00DA3E4E" w:rsidRPr="00DA3E4E" w:rsidRDefault="00DA3E4E" w:rsidP="00DA3E4E">
      <w:pPr>
        <w:jc w:val="both"/>
        <w:rPr>
          <w:rFonts w:ascii="Arial" w:hAnsi="Arial" w:cs="Arial"/>
          <w:b/>
          <w:bCs/>
        </w:rPr>
      </w:pPr>
      <w:r>
        <w:rPr>
          <w:rFonts w:ascii="Arial" w:hAnsi="Arial" w:cs="Arial"/>
          <w:b/>
          <w:bCs/>
        </w:rPr>
        <w:t xml:space="preserve">4.1 </w:t>
      </w:r>
      <w:r w:rsidRPr="00DA3E4E">
        <w:rPr>
          <w:rFonts w:ascii="Arial" w:hAnsi="Arial" w:cs="Arial"/>
          <w:b/>
          <w:bCs/>
        </w:rPr>
        <w:t xml:space="preserve">Convergent Validity and </w:t>
      </w:r>
      <w:r>
        <w:rPr>
          <w:rFonts w:ascii="Arial" w:hAnsi="Arial" w:cs="Arial"/>
          <w:b/>
          <w:bCs/>
        </w:rPr>
        <w:t>Reliability</w:t>
      </w:r>
      <w:r w:rsidRPr="00DA3E4E">
        <w:rPr>
          <w:rFonts w:ascii="Arial" w:hAnsi="Arial" w:cs="Arial"/>
          <w:b/>
          <w:bCs/>
        </w:rPr>
        <w:t xml:space="preserve"> Test</w:t>
      </w:r>
    </w:p>
    <w:p w14:paraId="6865FF37" w14:textId="1B391F24" w:rsidR="00231920" w:rsidRPr="00DA3E4E" w:rsidRDefault="00DA3E4E" w:rsidP="00DA3E4E">
      <w:pPr>
        <w:pStyle w:val="Head1"/>
        <w:spacing w:after="0"/>
        <w:jc w:val="both"/>
        <w:rPr>
          <w:rFonts w:ascii="Arial" w:hAnsi="Arial" w:cs="Arial"/>
          <w:b w:val="0"/>
          <w:bCs/>
          <w:sz w:val="20"/>
        </w:rPr>
      </w:pPr>
      <w:r w:rsidRPr="00DA3E4E">
        <w:rPr>
          <w:rFonts w:ascii="Arial" w:hAnsi="Arial" w:cs="Arial"/>
          <w:b w:val="0"/>
          <w:bCs/>
          <w:caps w:val="0"/>
          <w:sz w:val="20"/>
        </w:rPr>
        <w:t>The assessment of the measurement model was conducted to ensure the reliability and convergent validity of the constructs prior to testing the structural relationships. This evaluation employed several established criteria, including indicator loadings, internal consistency reliability (cronbach’s alpha, rho_a, and composite reliability), and convergent validity as measured by the average variance extracted (ave). Following commonly accepted thresholds, indicator loadings should exceed 0.70, while cronbach’s alpha and composite reliability should be above 0.70, and ave should be greater than 0.50. Meeting these criteria indicates that the indicators adequately represent their respective latent constructs and that the measurement model is suitable for further analysis.</w:t>
      </w:r>
    </w:p>
    <w:p w14:paraId="2BFCDA97" w14:textId="77777777" w:rsidR="00790ADA" w:rsidRDefault="00790ADA" w:rsidP="00441B6F">
      <w:pPr>
        <w:pStyle w:val="Body"/>
        <w:spacing w:after="0"/>
        <w:rPr>
          <w:rFonts w:ascii="Arial" w:hAnsi="Arial" w:cs="Arial"/>
        </w:rPr>
      </w:pPr>
    </w:p>
    <w:p w14:paraId="167DA767" w14:textId="5297DDA7" w:rsidR="00863BD3" w:rsidRPr="00A121D4" w:rsidRDefault="009500A6" w:rsidP="00A121D4">
      <w:pPr>
        <w:tabs>
          <w:tab w:val="left" w:pos="1080"/>
        </w:tabs>
        <w:jc w:val="center"/>
        <w:rPr>
          <w:rFonts w:ascii="Arial" w:hAnsi="Arial" w:cs="Arial"/>
          <w:b/>
        </w:rPr>
      </w:pPr>
      <w:r w:rsidRPr="00DA3E4E">
        <w:rPr>
          <w:rFonts w:ascii="Arial" w:hAnsi="Arial" w:cs="Arial"/>
          <w:b/>
        </w:rPr>
        <w:t>Table 1.</w:t>
      </w:r>
      <w:r w:rsidR="00863BD3" w:rsidRPr="00DA3E4E">
        <w:rPr>
          <w:rFonts w:ascii="Arial" w:hAnsi="Arial" w:cs="Arial"/>
          <w:b/>
        </w:rPr>
        <w:tab/>
      </w:r>
      <w:r w:rsidR="00DA3E4E" w:rsidRPr="00DA3E4E">
        <w:rPr>
          <w:rFonts w:ascii="Arial" w:hAnsi="Arial" w:cs="Arial"/>
          <w:b/>
          <w:bCs/>
        </w:rPr>
        <w:t>Measurement Model Results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707"/>
        <w:gridCol w:w="1054"/>
        <w:gridCol w:w="1325"/>
        <w:gridCol w:w="737"/>
        <w:gridCol w:w="1354"/>
        <w:gridCol w:w="1519"/>
      </w:tblGrid>
      <w:tr w:rsidR="00DA3E4E" w:rsidRPr="006F068F" w14:paraId="12965C89" w14:textId="77777777" w:rsidTr="00EF51B5">
        <w:trPr>
          <w:jc w:val="center"/>
        </w:trPr>
        <w:tc>
          <w:tcPr>
            <w:tcW w:w="0" w:type="auto"/>
            <w:tcBorders>
              <w:top w:val="single" w:sz="4" w:space="0" w:color="auto"/>
              <w:bottom w:val="single" w:sz="4" w:space="0" w:color="auto"/>
            </w:tcBorders>
            <w:vAlign w:val="center"/>
          </w:tcPr>
          <w:p w14:paraId="68158EA1" w14:textId="77777777" w:rsidR="00DA3E4E" w:rsidRPr="006F068F" w:rsidRDefault="00DA3E4E" w:rsidP="00EF51B5">
            <w:pPr>
              <w:jc w:val="center"/>
              <w:rPr>
                <w:rFonts w:ascii="Arial" w:hAnsi="Arial" w:cs="Arial"/>
                <w:b/>
                <w:bCs/>
                <w:sz w:val="18"/>
                <w:szCs w:val="18"/>
              </w:rPr>
            </w:pPr>
            <w:r w:rsidRPr="006F068F">
              <w:rPr>
                <w:rFonts w:ascii="Arial" w:hAnsi="Arial" w:cs="Arial"/>
                <w:b/>
                <w:bCs/>
                <w:sz w:val="18"/>
                <w:szCs w:val="18"/>
              </w:rPr>
              <w:t>Variable</w:t>
            </w:r>
          </w:p>
        </w:tc>
        <w:tc>
          <w:tcPr>
            <w:tcW w:w="0" w:type="auto"/>
            <w:tcBorders>
              <w:top w:val="single" w:sz="4" w:space="0" w:color="auto"/>
              <w:bottom w:val="single" w:sz="4" w:space="0" w:color="auto"/>
            </w:tcBorders>
            <w:vAlign w:val="center"/>
          </w:tcPr>
          <w:p w14:paraId="1E0DAD7A" w14:textId="77777777" w:rsidR="00DA3E4E" w:rsidRPr="006F068F" w:rsidRDefault="00DA3E4E" w:rsidP="00EF51B5">
            <w:pPr>
              <w:jc w:val="center"/>
              <w:rPr>
                <w:rFonts w:ascii="Arial" w:hAnsi="Arial" w:cs="Arial"/>
                <w:b/>
                <w:bCs/>
                <w:sz w:val="18"/>
                <w:szCs w:val="18"/>
              </w:rPr>
            </w:pPr>
            <w:r w:rsidRPr="006F068F">
              <w:rPr>
                <w:rFonts w:ascii="Arial" w:hAnsi="Arial" w:cs="Arial"/>
                <w:b/>
                <w:bCs/>
                <w:sz w:val="18"/>
                <w:szCs w:val="18"/>
              </w:rPr>
              <w:t>Items</w:t>
            </w:r>
          </w:p>
        </w:tc>
        <w:tc>
          <w:tcPr>
            <w:tcW w:w="0" w:type="auto"/>
            <w:tcBorders>
              <w:top w:val="single" w:sz="4" w:space="0" w:color="auto"/>
              <w:bottom w:val="single" w:sz="4" w:space="0" w:color="auto"/>
            </w:tcBorders>
            <w:vAlign w:val="center"/>
          </w:tcPr>
          <w:p w14:paraId="0DC4E5E2" w14:textId="77777777" w:rsidR="00DA3E4E" w:rsidRPr="006F068F" w:rsidRDefault="00DA3E4E" w:rsidP="00EF51B5">
            <w:pPr>
              <w:jc w:val="center"/>
              <w:rPr>
                <w:rFonts w:ascii="Arial" w:hAnsi="Arial" w:cs="Arial"/>
                <w:b/>
                <w:bCs/>
                <w:sz w:val="18"/>
                <w:szCs w:val="18"/>
              </w:rPr>
            </w:pPr>
            <w:r w:rsidRPr="006F068F">
              <w:rPr>
                <w:rFonts w:ascii="Arial" w:hAnsi="Arial" w:cs="Arial"/>
                <w:b/>
                <w:bCs/>
                <w:sz w:val="18"/>
                <w:szCs w:val="18"/>
              </w:rPr>
              <w:t>Loading Factor</w:t>
            </w:r>
          </w:p>
        </w:tc>
        <w:tc>
          <w:tcPr>
            <w:tcW w:w="0" w:type="auto"/>
            <w:tcBorders>
              <w:top w:val="single" w:sz="4" w:space="0" w:color="auto"/>
              <w:bottom w:val="single" w:sz="4" w:space="0" w:color="auto"/>
            </w:tcBorders>
            <w:vAlign w:val="center"/>
          </w:tcPr>
          <w:p w14:paraId="55B3CA4B" w14:textId="77777777" w:rsidR="00DA3E4E" w:rsidRPr="006F068F" w:rsidRDefault="00DA3E4E" w:rsidP="00EF51B5">
            <w:pPr>
              <w:jc w:val="center"/>
              <w:rPr>
                <w:rFonts w:ascii="Arial" w:hAnsi="Arial" w:cs="Arial"/>
                <w:b/>
                <w:bCs/>
                <w:sz w:val="18"/>
                <w:szCs w:val="18"/>
              </w:rPr>
            </w:pPr>
            <w:r w:rsidRPr="006F068F">
              <w:rPr>
                <w:rFonts w:ascii="Arial" w:hAnsi="Arial" w:cs="Arial"/>
                <w:b/>
                <w:bCs/>
                <w:sz w:val="18"/>
                <w:szCs w:val="18"/>
              </w:rPr>
              <w:t>Cronbach's Alpha</w:t>
            </w:r>
          </w:p>
        </w:tc>
        <w:tc>
          <w:tcPr>
            <w:tcW w:w="0" w:type="auto"/>
            <w:tcBorders>
              <w:top w:val="single" w:sz="4" w:space="0" w:color="auto"/>
              <w:bottom w:val="single" w:sz="4" w:space="0" w:color="auto"/>
            </w:tcBorders>
            <w:vAlign w:val="center"/>
          </w:tcPr>
          <w:p w14:paraId="6D648C1D" w14:textId="77777777" w:rsidR="00DA3E4E" w:rsidRPr="006F068F" w:rsidRDefault="00DA3E4E" w:rsidP="00EF51B5">
            <w:pPr>
              <w:jc w:val="center"/>
              <w:rPr>
                <w:rFonts w:ascii="Arial" w:hAnsi="Arial" w:cs="Arial"/>
                <w:b/>
                <w:bCs/>
                <w:sz w:val="18"/>
                <w:szCs w:val="18"/>
              </w:rPr>
            </w:pPr>
            <w:r w:rsidRPr="006F068F">
              <w:rPr>
                <w:rFonts w:ascii="Arial" w:hAnsi="Arial" w:cs="Arial"/>
                <w:b/>
                <w:bCs/>
                <w:sz w:val="18"/>
                <w:szCs w:val="18"/>
              </w:rPr>
              <w:t>rho_A</w:t>
            </w:r>
          </w:p>
        </w:tc>
        <w:tc>
          <w:tcPr>
            <w:tcW w:w="0" w:type="auto"/>
            <w:tcBorders>
              <w:top w:val="single" w:sz="4" w:space="0" w:color="auto"/>
              <w:bottom w:val="single" w:sz="4" w:space="0" w:color="auto"/>
            </w:tcBorders>
            <w:vAlign w:val="center"/>
          </w:tcPr>
          <w:p w14:paraId="456031D1" w14:textId="77777777" w:rsidR="00DA3E4E" w:rsidRPr="006F068F" w:rsidRDefault="00DA3E4E" w:rsidP="00EF51B5">
            <w:pPr>
              <w:jc w:val="center"/>
              <w:rPr>
                <w:rFonts w:ascii="Arial" w:hAnsi="Arial" w:cs="Arial"/>
                <w:b/>
                <w:bCs/>
                <w:sz w:val="18"/>
                <w:szCs w:val="18"/>
              </w:rPr>
            </w:pPr>
            <w:r w:rsidRPr="006F068F">
              <w:rPr>
                <w:rFonts w:ascii="Arial" w:hAnsi="Arial" w:cs="Arial"/>
                <w:b/>
                <w:bCs/>
                <w:sz w:val="18"/>
                <w:szCs w:val="18"/>
              </w:rPr>
              <w:t>Composite Reliability</w:t>
            </w:r>
          </w:p>
        </w:tc>
        <w:tc>
          <w:tcPr>
            <w:tcW w:w="0" w:type="auto"/>
            <w:tcBorders>
              <w:top w:val="single" w:sz="4" w:space="0" w:color="auto"/>
              <w:bottom w:val="single" w:sz="4" w:space="0" w:color="auto"/>
            </w:tcBorders>
            <w:vAlign w:val="center"/>
          </w:tcPr>
          <w:p w14:paraId="1663ED61" w14:textId="77777777" w:rsidR="00DA3E4E" w:rsidRPr="006F068F" w:rsidRDefault="00DA3E4E" w:rsidP="00EF51B5">
            <w:pPr>
              <w:jc w:val="center"/>
              <w:rPr>
                <w:rFonts w:ascii="Arial" w:hAnsi="Arial" w:cs="Arial"/>
                <w:b/>
                <w:bCs/>
                <w:sz w:val="18"/>
                <w:szCs w:val="18"/>
              </w:rPr>
            </w:pPr>
            <w:r w:rsidRPr="006F068F">
              <w:rPr>
                <w:rFonts w:ascii="Arial" w:hAnsi="Arial" w:cs="Arial"/>
                <w:b/>
                <w:bCs/>
                <w:sz w:val="18"/>
                <w:szCs w:val="18"/>
              </w:rPr>
              <w:t>Average Variance Extracted (AVE)</w:t>
            </w:r>
          </w:p>
        </w:tc>
      </w:tr>
      <w:tr w:rsidR="00DA3E4E" w:rsidRPr="006F068F" w14:paraId="118C22DF" w14:textId="77777777" w:rsidTr="00EF51B5">
        <w:trPr>
          <w:jc w:val="center"/>
        </w:trPr>
        <w:tc>
          <w:tcPr>
            <w:tcW w:w="0" w:type="auto"/>
            <w:tcBorders>
              <w:top w:val="single" w:sz="4" w:space="0" w:color="auto"/>
              <w:bottom w:val="single" w:sz="4" w:space="0" w:color="auto"/>
            </w:tcBorders>
            <w:vAlign w:val="center"/>
          </w:tcPr>
          <w:p w14:paraId="2D68B363" w14:textId="77777777" w:rsidR="00DA3E4E" w:rsidRPr="006F068F" w:rsidRDefault="00DA3E4E" w:rsidP="00EF51B5">
            <w:pPr>
              <w:rPr>
                <w:rFonts w:ascii="Arial" w:hAnsi="Arial" w:cs="Arial"/>
                <w:sz w:val="18"/>
                <w:szCs w:val="18"/>
              </w:rPr>
            </w:pPr>
            <w:r w:rsidRPr="006F068F">
              <w:rPr>
                <w:rFonts w:ascii="Arial" w:hAnsi="Arial" w:cs="Arial"/>
                <w:sz w:val="18"/>
                <w:szCs w:val="18"/>
              </w:rPr>
              <w:t>Human Capital</w:t>
            </w:r>
          </w:p>
        </w:tc>
        <w:tc>
          <w:tcPr>
            <w:tcW w:w="0" w:type="auto"/>
            <w:tcBorders>
              <w:top w:val="single" w:sz="4" w:space="0" w:color="auto"/>
              <w:bottom w:val="single" w:sz="4" w:space="0" w:color="auto"/>
            </w:tcBorders>
            <w:vAlign w:val="center"/>
          </w:tcPr>
          <w:p w14:paraId="24B6989C"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HC1</w:t>
            </w:r>
          </w:p>
          <w:p w14:paraId="0C0962A1"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HC2</w:t>
            </w:r>
          </w:p>
          <w:p w14:paraId="5F1978AD"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HC3</w:t>
            </w:r>
          </w:p>
          <w:p w14:paraId="6F377BE8"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HC4</w:t>
            </w:r>
          </w:p>
          <w:p w14:paraId="3E99652C"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HC5</w:t>
            </w:r>
          </w:p>
          <w:p w14:paraId="1DCB266C"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HC6</w:t>
            </w:r>
          </w:p>
          <w:p w14:paraId="158DC41F"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HC7</w:t>
            </w:r>
          </w:p>
          <w:p w14:paraId="7AA9864A"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HC8</w:t>
            </w:r>
          </w:p>
          <w:p w14:paraId="5491CB74"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HC9</w:t>
            </w:r>
          </w:p>
          <w:p w14:paraId="783703AB"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HC10</w:t>
            </w:r>
          </w:p>
        </w:tc>
        <w:tc>
          <w:tcPr>
            <w:tcW w:w="0" w:type="auto"/>
            <w:tcBorders>
              <w:top w:val="single" w:sz="4" w:space="0" w:color="auto"/>
              <w:bottom w:val="single" w:sz="4" w:space="0" w:color="auto"/>
            </w:tcBorders>
            <w:vAlign w:val="center"/>
          </w:tcPr>
          <w:p w14:paraId="7194B1DA" w14:textId="07B22F26"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792</w:t>
            </w:r>
          </w:p>
          <w:p w14:paraId="7077E66A" w14:textId="557DA6E5"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745</w:t>
            </w:r>
          </w:p>
          <w:p w14:paraId="42CF51D7" w14:textId="3A322949"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784</w:t>
            </w:r>
          </w:p>
          <w:p w14:paraId="26837D26" w14:textId="483D524E"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779</w:t>
            </w:r>
          </w:p>
          <w:p w14:paraId="1D64DEB1" w14:textId="438ACF9F"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866</w:t>
            </w:r>
          </w:p>
          <w:p w14:paraId="41BFF582" w14:textId="5EE2AF5F"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807</w:t>
            </w:r>
          </w:p>
          <w:p w14:paraId="7C3A4175" w14:textId="6854D17B"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786</w:t>
            </w:r>
          </w:p>
          <w:p w14:paraId="61EE1F69" w14:textId="16ECEF7C"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790</w:t>
            </w:r>
          </w:p>
          <w:p w14:paraId="0737ED5E" w14:textId="5B014ED0"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838</w:t>
            </w:r>
          </w:p>
          <w:p w14:paraId="0799EA0C" w14:textId="1F51D1A5"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782</w:t>
            </w:r>
          </w:p>
        </w:tc>
        <w:tc>
          <w:tcPr>
            <w:tcW w:w="0" w:type="auto"/>
            <w:tcBorders>
              <w:top w:val="single" w:sz="4" w:space="0" w:color="auto"/>
              <w:bottom w:val="single" w:sz="4" w:space="0" w:color="auto"/>
            </w:tcBorders>
            <w:vAlign w:val="center"/>
          </w:tcPr>
          <w:p w14:paraId="36B478FF" w14:textId="7505BA2D"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936</w:t>
            </w:r>
          </w:p>
        </w:tc>
        <w:tc>
          <w:tcPr>
            <w:tcW w:w="0" w:type="auto"/>
            <w:tcBorders>
              <w:top w:val="single" w:sz="4" w:space="0" w:color="auto"/>
              <w:bottom w:val="single" w:sz="4" w:space="0" w:color="auto"/>
            </w:tcBorders>
            <w:vAlign w:val="center"/>
          </w:tcPr>
          <w:p w14:paraId="44928FAD" w14:textId="3FCC148F"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938</w:t>
            </w:r>
          </w:p>
        </w:tc>
        <w:tc>
          <w:tcPr>
            <w:tcW w:w="0" w:type="auto"/>
            <w:tcBorders>
              <w:top w:val="single" w:sz="4" w:space="0" w:color="auto"/>
              <w:bottom w:val="single" w:sz="4" w:space="0" w:color="auto"/>
            </w:tcBorders>
            <w:vAlign w:val="center"/>
          </w:tcPr>
          <w:p w14:paraId="459EACCD" w14:textId="39E6A48A"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946</w:t>
            </w:r>
          </w:p>
        </w:tc>
        <w:tc>
          <w:tcPr>
            <w:tcW w:w="0" w:type="auto"/>
            <w:tcBorders>
              <w:top w:val="single" w:sz="4" w:space="0" w:color="auto"/>
              <w:bottom w:val="single" w:sz="4" w:space="0" w:color="auto"/>
            </w:tcBorders>
            <w:vAlign w:val="center"/>
          </w:tcPr>
          <w:p w14:paraId="7357FCDA" w14:textId="09B1AFD7"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636</w:t>
            </w:r>
          </w:p>
        </w:tc>
      </w:tr>
      <w:tr w:rsidR="00DA3E4E" w:rsidRPr="006F068F" w14:paraId="1F4BF438" w14:textId="77777777" w:rsidTr="00EF51B5">
        <w:trPr>
          <w:jc w:val="center"/>
        </w:trPr>
        <w:tc>
          <w:tcPr>
            <w:tcW w:w="0" w:type="auto"/>
            <w:tcBorders>
              <w:top w:val="single" w:sz="4" w:space="0" w:color="auto"/>
              <w:bottom w:val="single" w:sz="4" w:space="0" w:color="auto"/>
            </w:tcBorders>
            <w:vAlign w:val="center"/>
          </w:tcPr>
          <w:p w14:paraId="4822793D" w14:textId="77777777" w:rsidR="00DA3E4E" w:rsidRPr="006F068F" w:rsidRDefault="00DA3E4E" w:rsidP="00EF51B5">
            <w:pPr>
              <w:rPr>
                <w:rFonts w:ascii="Arial" w:hAnsi="Arial" w:cs="Arial"/>
                <w:sz w:val="18"/>
                <w:szCs w:val="18"/>
              </w:rPr>
            </w:pPr>
            <w:r w:rsidRPr="006F068F">
              <w:rPr>
                <w:rFonts w:ascii="Arial" w:hAnsi="Arial" w:cs="Arial"/>
                <w:sz w:val="18"/>
                <w:szCs w:val="18"/>
              </w:rPr>
              <w:t>Digital Capability</w:t>
            </w:r>
          </w:p>
        </w:tc>
        <w:tc>
          <w:tcPr>
            <w:tcW w:w="0" w:type="auto"/>
            <w:tcBorders>
              <w:top w:val="single" w:sz="4" w:space="0" w:color="auto"/>
              <w:bottom w:val="single" w:sz="4" w:space="0" w:color="auto"/>
            </w:tcBorders>
            <w:vAlign w:val="center"/>
          </w:tcPr>
          <w:p w14:paraId="6D91E3C9"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DC1</w:t>
            </w:r>
          </w:p>
          <w:p w14:paraId="10DC92EE"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DC2</w:t>
            </w:r>
          </w:p>
          <w:p w14:paraId="78FD6024"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DC3</w:t>
            </w:r>
          </w:p>
          <w:p w14:paraId="2B5E4150"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DC4</w:t>
            </w:r>
          </w:p>
          <w:p w14:paraId="59FC53D5"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DC5</w:t>
            </w:r>
          </w:p>
          <w:p w14:paraId="4028EDF1"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DC6</w:t>
            </w:r>
          </w:p>
          <w:p w14:paraId="7D3D0F0A"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DC7</w:t>
            </w:r>
          </w:p>
          <w:p w14:paraId="2A76E054"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DC8</w:t>
            </w:r>
          </w:p>
          <w:p w14:paraId="2D88CD5C"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DC9</w:t>
            </w:r>
          </w:p>
          <w:p w14:paraId="743B09E7"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DC10</w:t>
            </w:r>
          </w:p>
          <w:p w14:paraId="17F7C7B3"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DC11</w:t>
            </w:r>
          </w:p>
          <w:p w14:paraId="17B4DD58"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DC12</w:t>
            </w:r>
          </w:p>
          <w:p w14:paraId="109C3F1B"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DC13</w:t>
            </w:r>
          </w:p>
          <w:p w14:paraId="552DA2E2"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DC14</w:t>
            </w:r>
          </w:p>
          <w:p w14:paraId="52CE9B28"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DC15</w:t>
            </w:r>
          </w:p>
        </w:tc>
        <w:tc>
          <w:tcPr>
            <w:tcW w:w="0" w:type="auto"/>
            <w:tcBorders>
              <w:top w:val="single" w:sz="4" w:space="0" w:color="auto"/>
              <w:bottom w:val="single" w:sz="4" w:space="0" w:color="auto"/>
            </w:tcBorders>
            <w:vAlign w:val="center"/>
          </w:tcPr>
          <w:p w14:paraId="5B232C50" w14:textId="13B643B0"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841</w:t>
            </w:r>
          </w:p>
          <w:p w14:paraId="6F67F0A5" w14:textId="6D033B63"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835</w:t>
            </w:r>
          </w:p>
          <w:p w14:paraId="0187E640" w14:textId="415A1104"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828</w:t>
            </w:r>
          </w:p>
          <w:p w14:paraId="5598E5EA" w14:textId="7693BC57"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810</w:t>
            </w:r>
          </w:p>
          <w:p w14:paraId="65B9127B" w14:textId="2532FFC9"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820</w:t>
            </w:r>
          </w:p>
          <w:p w14:paraId="0806E123" w14:textId="150AF598"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831</w:t>
            </w:r>
          </w:p>
          <w:p w14:paraId="0AF7B723" w14:textId="2052A5D4"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828</w:t>
            </w:r>
          </w:p>
          <w:p w14:paraId="5C396EC3" w14:textId="39B8CBB6"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806</w:t>
            </w:r>
          </w:p>
          <w:p w14:paraId="225B1FC2" w14:textId="1335B811"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802</w:t>
            </w:r>
          </w:p>
          <w:p w14:paraId="1CDE250E" w14:textId="2CD5EA87"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820</w:t>
            </w:r>
          </w:p>
          <w:p w14:paraId="114039D2" w14:textId="530E2C7E"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799</w:t>
            </w:r>
          </w:p>
          <w:p w14:paraId="67F6D573" w14:textId="5F50FC0F"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805</w:t>
            </w:r>
          </w:p>
          <w:p w14:paraId="03678468" w14:textId="69A35773"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836</w:t>
            </w:r>
          </w:p>
          <w:p w14:paraId="354F4546" w14:textId="1CDC24F7"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766</w:t>
            </w:r>
          </w:p>
          <w:p w14:paraId="3D2170D0" w14:textId="1ACD9366"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819</w:t>
            </w:r>
          </w:p>
        </w:tc>
        <w:tc>
          <w:tcPr>
            <w:tcW w:w="0" w:type="auto"/>
            <w:tcBorders>
              <w:top w:val="single" w:sz="4" w:space="0" w:color="auto"/>
              <w:bottom w:val="single" w:sz="4" w:space="0" w:color="auto"/>
            </w:tcBorders>
            <w:vAlign w:val="center"/>
          </w:tcPr>
          <w:p w14:paraId="46F1A1FF" w14:textId="541AEF01"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964</w:t>
            </w:r>
          </w:p>
        </w:tc>
        <w:tc>
          <w:tcPr>
            <w:tcW w:w="0" w:type="auto"/>
            <w:tcBorders>
              <w:top w:val="single" w:sz="4" w:space="0" w:color="auto"/>
              <w:bottom w:val="single" w:sz="4" w:space="0" w:color="auto"/>
            </w:tcBorders>
            <w:vAlign w:val="center"/>
          </w:tcPr>
          <w:p w14:paraId="3EE08396" w14:textId="5CF786EB"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965</w:t>
            </w:r>
          </w:p>
        </w:tc>
        <w:tc>
          <w:tcPr>
            <w:tcW w:w="0" w:type="auto"/>
            <w:tcBorders>
              <w:top w:val="single" w:sz="4" w:space="0" w:color="auto"/>
              <w:bottom w:val="single" w:sz="4" w:space="0" w:color="auto"/>
            </w:tcBorders>
            <w:vAlign w:val="center"/>
          </w:tcPr>
          <w:p w14:paraId="4624E410" w14:textId="54445F16"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968</w:t>
            </w:r>
          </w:p>
        </w:tc>
        <w:tc>
          <w:tcPr>
            <w:tcW w:w="0" w:type="auto"/>
            <w:tcBorders>
              <w:top w:val="single" w:sz="4" w:space="0" w:color="auto"/>
              <w:bottom w:val="single" w:sz="4" w:space="0" w:color="auto"/>
            </w:tcBorders>
            <w:vAlign w:val="center"/>
          </w:tcPr>
          <w:p w14:paraId="104E1A19" w14:textId="008D717F"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667</w:t>
            </w:r>
          </w:p>
        </w:tc>
      </w:tr>
      <w:tr w:rsidR="00DA3E4E" w:rsidRPr="006F068F" w14:paraId="2AC92B68" w14:textId="77777777" w:rsidTr="00EF51B5">
        <w:trPr>
          <w:jc w:val="center"/>
        </w:trPr>
        <w:tc>
          <w:tcPr>
            <w:tcW w:w="0" w:type="auto"/>
            <w:tcBorders>
              <w:top w:val="single" w:sz="4" w:space="0" w:color="auto"/>
              <w:bottom w:val="single" w:sz="4" w:space="0" w:color="auto"/>
            </w:tcBorders>
            <w:vAlign w:val="center"/>
          </w:tcPr>
          <w:p w14:paraId="3FE4D898" w14:textId="77777777" w:rsidR="00DA3E4E" w:rsidRPr="006F068F" w:rsidRDefault="00DA3E4E" w:rsidP="00EF51B5">
            <w:pPr>
              <w:rPr>
                <w:rFonts w:ascii="Arial" w:hAnsi="Arial" w:cs="Arial"/>
                <w:sz w:val="18"/>
                <w:szCs w:val="18"/>
              </w:rPr>
            </w:pPr>
            <w:r w:rsidRPr="006F068F">
              <w:rPr>
                <w:rFonts w:ascii="Arial" w:hAnsi="Arial" w:cs="Arial"/>
                <w:sz w:val="18"/>
                <w:szCs w:val="18"/>
              </w:rPr>
              <w:t>Internationalization</w:t>
            </w:r>
          </w:p>
        </w:tc>
        <w:tc>
          <w:tcPr>
            <w:tcW w:w="0" w:type="auto"/>
            <w:tcBorders>
              <w:top w:val="single" w:sz="4" w:space="0" w:color="auto"/>
              <w:bottom w:val="single" w:sz="4" w:space="0" w:color="auto"/>
            </w:tcBorders>
            <w:vAlign w:val="center"/>
          </w:tcPr>
          <w:p w14:paraId="4956074D"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INT1</w:t>
            </w:r>
          </w:p>
          <w:p w14:paraId="0462E4C6"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INT2</w:t>
            </w:r>
          </w:p>
          <w:p w14:paraId="60EF4490"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INT3</w:t>
            </w:r>
          </w:p>
          <w:p w14:paraId="562630D6"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INT4</w:t>
            </w:r>
          </w:p>
          <w:p w14:paraId="122C6A7F"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INT5</w:t>
            </w:r>
          </w:p>
          <w:p w14:paraId="4CFE3B10"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INT6</w:t>
            </w:r>
          </w:p>
          <w:p w14:paraId="502CC61A"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INT7</w:t>
            </w:r>
          </w:p>
          <w:p w14:paraId="60B8C5DC"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INT8</w:t>
            </w:r>
          </w:p>
          <w:p w14:paraId="2B8B70C6"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lastRenderedPageBreak/>
              <w:t>INT9</w:t>
            </w:r>
          </w:p>
          <w:p w14:paraId="1F722C54"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INT10</w:t>
            </w:r>
          </w:p>
        </w:tc>
        <w:tc>
          <w:tcPr>
            <w:tcW w:w="0" w:type="auto"/>
            <w:tcBorders>
              <w:top w:val="single" w:sz="4" w:space="0" w:color="auto"/>
              <w:bottom w:val="single" w:sz="4" w:space="0" w:color="auto"/>
            </w:tcBorders>
            <w:vAlign w:val="center"/>
          </w:tcPr>
          <w:p w14:paraId="7A1B6888" w14:textId="4A61E54F" w:rsidR="00DA3E4E" w:rsidRPr="006F068F" w:rsidRDefault="00DA3E4E" w:rsidP="00EF51B5">
            <w:pPr>
              <w:jc w:val="center"/>
              <w:rPr>
                <w:rFonts w:ascii="Arial" w:hAnsi="Arial" w:cs="Arial"/>
                <w:sz w:val="18"/>
                <w:szCs w:val="18"/>
              </w:rPr>
            </w:pPr>
            <w:r w:rsidRPr="006F068F">
              <w:rPr>
                <w:rFonts w:ascii="Arial" w:hAnsi="Arial" w:cs="Arial"/>
                <w:sz w:val="18"/>
                <w:szCs w:val="18"/>
              </w:rPr>
              <w:lastRenderedPageBreak/>
              <w:t>0</w:t>
            </w:r>
            <w:r w:rsidR="00066FEE">
              <w:rPr>
                <w:rFonts w:ascii="Arial" w:hAnsi="Arial" w:cs="Arial"/>
                <w:sz w:val="18"/>
                <w:szCs w:val="18"/>
              </w:rPr>
              <w:t>.</w:t>
            </w:r>
            <w:r w:rsidRPr="006F068F">
              <w:rPr>
                <w:rFonts w:ascii="Arial" w:hAnsi="Arial" w:cs="Arial"/>
                <w:sz w:val="18"/>
                <w:szCs w:val="18"/>
              </w:rPr>
              <w:t>795</w:t>
            </w:r>
          </w:p>
          <w:p w14:paraId="08861754" w14:textId="285A77F3"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803</w:t>
            </w:r>
          </w:p>
          <w:p w14:paraId="1B39B6FA" w14:textId="3CA0BA87"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855</w:t>
            </w:r>
          </w:p>
          <w:p w14:paraId="102D56E9" w14:textId="662B1ABE"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817</w:t>
            </w:r>
          </w:p>
          <w:p w14:paraId="366BE410" w14:textId="0BB6A057"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738</w:t>
            </w:r>
          </w:p>
          <w:p w14:paraId="64191539" w14:textId="2BDE8198"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823</w:t>
            </w:r>
          </w:p>
          <w:p w14:paraId="31501CA0" w14:textId="3732D2FC"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814</w:t>
            </w:r>
          </w:p>
          <w:p w14:paraId="6966F5B2" w14:textId="07287063"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739</w:t>
            </w:r>
          </w:p>
          <w:p w14:paraId="2DECAA1F" w14:textId="122409E7" w:rsidR="00DA3E4E" w:rsidRPr="006F068F" w:rsidRDefault="00DA3E4E" w:rsidP="00EF51B5">
            <w:pPr>
              <w:jc w:val="center"/>
              <w:rPr>
                <w:rFonts w:ascii="Arial" w:hAnsi="Arial" w:cs="Arial"/>
                <w:sz w:val="18"/>
                <w:szCs w:val="18"/>
              </w:rPr>
            </w:pPr>
            <w:r w:rsidRPr="006F068F">
              <w:rPr>
                <w:rFonts w:ascii="Arial" w:hAnsi="Arial" w:cs="Arial"/>
                <w:sz w:val="18"/>
                <w:szCs w:val="18"/>
              </w:rPr>
              <w:lastRenderedPageBreak/>
              <w:t>0</w:t>
            </w:r>
            <w:r w:rsidR="00066FEE">
              <w:rPr>
                <w:rFonts w:ascii="Arial" w:hAnsi="Arial" w:cs="Arial"/>
                <w:sz w:val="18"/>
                <w:szCs w:val="18"/>
              </w:rPr>
              <w:t>.</w:t>
            </w:r>
            <w:r w:rsidRPr="006F068F">
              <w:rPr>
                <w:rFonts w:ascii="Arial" w:hAnsi="Arial" w:cs="Arial"/>
                <w:sz w:val="18"/>
                <w:szCs w:val="18"/>
              </w:rPr>
              <w:t>828</w:t>
            </w:r>
          </w:p>
          <w:p w14:paraId="6B4735C9" w14:textId="041F0955"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7727E0">
              <w:rPr>
                <w:rFonts w:ascii="Arial" w:hAnsi="Arial" w:cs="Arial"/>
                <w:sz w:val="18"/>
                <w:szCs w:val="18"/>
              </w:rPr>
              <w:t>.</w:t>
            </w:r>
            <w:r w:rsidRPr="006F068F">
              <w:rPr>
                <w:rFonts w:ascii="Arial" w:hAnsi="Arial" w:cs="Arial"/>
                <w:sz w:val="18"/>
                <w:szCs w:val="18"/>
              </w:rPr>
              <w:t>790</w:t>
            </w:r>
          </w:p>
        </w:tc>
        <w:tc>
          <w:tcPr>
            <w:tcW w:w="0" w:type="auto"/>
            <w:tcBorders>
              <w:top w:val="single" w:sz="4" w:space="0" w:color="auto"/>
              <w:bottom w:val="single" w:sz="4" w:space="0" w:color="auto"/>
            </w:tcBorders>
            <w:vAlign w:val="center"/>
          </w:tcPr>
          <w:p w14:paraId="25E747A6" w14:textId="1984D881" w:rsidR="00DA3E4E" w:rsidRPr="006F068F" w:rsidRDefault="00DA3E4E" w:rsidP="00EF51B5">
            <w:pPr>
              <w:jc w:val="center"/>
              <w:rPr>
                <w:rFonts w:ascii="Arial" w:hAnsi="Arial" w:cs="Arial"/>
                <w:sz w:val="18"/>
                <w:szCs w:val="18"/>
              </w:rPr>
            </w:pPr>
            <w:r w:rsidRPr="006F068F">
              <w:rPr>
                <w:rFonts w:ascii="Arial" w:hAnsi="Arial" w:cs="Arial"/>
                <w:sz w:val="18"/>
                <w:szCs w:val="18"/>
              </w:rPr>
              <w:lastRenderedPageBreak/>
              <w:t>0</w:t>
            </w:r>
            <w:r w:rsidR="007727E0">
              <w:rPr>
                <w:rFonts w:ascii="Arial" w:hAnsi="Arial" w:cs="Arial"/>
                <w:sz w:val="18"/>
                <w:szCs w:val="18"/>
              </w:rPr>
              <w:t>.</w:t>
            </w:r>
            <w:r w:rsidRPr="006F068F">
              <w:rPr>
                <w:rFonts w:ascii="Arial" w:hAnsi="Arial" w:cs="Arial"/>
                <w:sz w:val="18"/>
                <w:szCs w:val="18"/>
              </w:rPr>
              <w:t>938</w:t>
            </w:r>
          </w:p>
        </w:tc>
        <w:tc>
          <w:tcPr>
            <w:tcW w:w="0" w:type="auto"/>
            <w:tcBorders>
              <w:top w:val="single" w:sz="4" w:space="0" w:color="auto"/>
              <w:bottom w:val="single" w:sz="4" w:space="0" w:color="auto"/>
            </w:tcBorders>
            <w:vAlign w:val="center"/>
          </w:tcPr>
          <w:p w14:paraId="34B466E0" w14:textId="7FC8AC33"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7727E0">
              <w:rPr>
                <w:rFonts w:ascii="Arial" w:hAnsi="Arial" w:cs="Arial"/>
                <w:sz w:val="18"/>
                <w:szCs w:val="18"/>
              </w:rPr>
              <w:t>.</w:t>
            </w:r>
            <w:r w:rsidRPr="006F068F">
              <w:rPr>
                <w:rFonts w:ascii="Arial" w:hAnsi="Arial" w:cs="Arial"/>
                <w:sz w:val="18"/>
                <w:szCs w:val="18"/>
              </w:rPr>
              <w:t>940</w:t>
            </w:r>
          </w:p>
        </w:tc>
        <w:tc>
          <w:tcPr>
            <w:tcW w:w="0" w:type="auto"/>
            <w:tcBorders>
              <w:top w:val="single" w:sz="4" w:space="0" w:color="auto"/>
              <w:bottom w:val="single" w:sz="4" w:space="0" w:color="auto"/>
            </w:tcBorders>
            <w:vAlign w:val="center"/>
          </w:tcPr>
          <w:p w14:paraId="07DB625D" w14:textId="50E4BF2E"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7727E0">
              <w:rPr>
                <w:rFonts w:ascii="Arial" w:hAnsi="Arial" w:cs="Arial"/>
                <w:sz w:val="18"/>
                <w:szCs w:val="18"/>
              </w:rPr>
              <w:t>.</w:t>
            </w:r>
            <w:r w:rsidRPr="006F068F">
              <w:rPr>
                <w:rFonts w:ascii="Arial" w:hAnsi="Arial" w:cs="Arial"/>
                <w:sz w:val="18"/>
                <w:szCs w:val="18"/>
              </w:rPr>
              <w:t>947</w:t>
            </w:r>
          </w:p>
        </w:tc>
        <w:tc>
          <w:tcPr>
            <w:tcW w:w="0" w:type="auto"/>
            <w:tcBorders>
              <w:top w:val="single" w:sz="4" w:space="0" w:color="auto"/>
              <w:bottom w:val="single" w:sz="4" w:space="0" w:color="auto"/>
            </w:tcBorders>
            <w:vAlign w:val="center"/>
          </w:tcPr>
          <w:p w14:paraId="06594C1A" w14:textId="476C3562"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7727E0">
              <w:rPr>
                <w:rFonts w:ascii="Arial" w:hAnsi="Arial" w:cs="Arial"/>
                <w:sz w:val="18"/>
                <w:szCs w:val="18"/>
              </w:rPr>
              <w:t>.</w:t>
            </w:r>
            <w:r w:rsidRPr="006F068F">
              <w:rPr>
                <w:rFonts w:ascii="Arial" w:hAnsi="Arial" w:cs="Arial"/>
                <w:sz w:val="18"/>
                <w:szCs w:val="18"/>
              </w:rPr>
              <w:t>641</w:t>
            </w:r>
          </w:p>
        </w:tc>
      </w:tr>
    </w:tbl>
    <w:p w14:paraId="69365AF7" w14:textId="77777777" w:rsidR="00863BD3" w:rsidRDefault="00863BD3" w:rsidP="00DA3E4E">
      <w:pPr>
        <w:pStyle w:val="BodyText3"/>
        <w:tabs>
          <w:tab w:val="left" w:pos="1080"/>
        </w:tabs>
        <w:spacing w:after="0"/>
        <w:jc w:val="both"/>
        <w:rPr>
          <w:rFonts w:ascii="Arial" w:hAnsi="Arial"/>
          <w:b/>
          <w:sz w:val="20"/>
          <w:szCs w:val="20"/>
        </w:rPr>
      </w:pPr>
    </w:p>
    <w:p w14:paraId="4B17818E" w14:textId="4D0E5CFA" w:rsidR="00376BBE" w:rsidRDefault="00DA3E4E" w:rsidP="00441B6F">
      <w:pPr>
        <w:pStyle w:val="Body"/>
        <w:spacing w:after="0"/>
        <w:rPr>
          <w:rFonts w:ascii="Arial" w:hAnsi="Arial" w:cs="Arial"/>
        </w:rPr>
      </w:pPr>
      <w:r w:rsidRPr="00DA3E4E">
        <w:rPr>
          <w:rFonts w:ascii="Arial" w:hAnsi="Arial" w:cs="Arial"/>
        </w:rPr>
        <w:t>As reported in Table 1, all constructs demonstrate satisfactory levels of reliability and convergent validity. For Human Capital, the outer loadings range from 0.745 to 0.866, indicating strong indicator reliability. The construct also exhibits high internal consistency, with Cronbach’s Alpha of 0.936, rho_A of 0.938, and Composite Reliability of 0.946. The AVE value of 0.636 further confirms adequate convergent validity. Similarly, Digital Capability shows consistently high indicator loadings, ranging from 0.766 to 0.841, alongside excellent reliability indices (Cronbach’s Alpha = 0.964, rho_A = 0.965, Composite Reliability = 0.968) and an AVE of 0.667, indicating a substantial proportion of variance explained by the construct. The Internationalization construct also meets all recommended thresholds, with loadings between 0.738 and 0.855, Cronbach’s Alpha of 0.938, rho_A of 0.940, Composite Reliability of 0.947, and an AVE of 0.641. Collectively, these results confirm that all constructs achieve adequate internal consistency and convergent validity, supporting the robustness of the measurement model and justifying its use for subsequent structural model evaluation.</w:t>
      </w:r>
    </w:p>
    <w:p w14:paraId="097D9E55" w14:textId="77777777" w:rsidR="00DA3E4E" w:rsidRDefault="00DA3E4E" w:rsidP="00441B6F">
      <w:pPr>
        <w:pStyle w:val="Body"/>
        <w:spacing w:after="0"/>
        <w:rPr>
          <w:rFonts w:ascii="Arial" w:hAnsi="Arial" w:cs="Arial"/>
        </w:rPr>
      </w:pPr>
    </w:p>
    <w:p w14:paraId="77233B98" w14:textId="77777777" w:rsidR="00DA3E4E" w:rsidRPr="00DA3E4E" w:rsidRDefault="00DA3E4E" w:rsidP="00DA3E4E">
      <w:pPr>
        <w:spacing w:line="278" w:lineRule="auto"/>
        <w:rPr>
          <w:rFonts w:ascii="Arial" w:hAnsi="Arial" w:cs="Arial"/>
          <w:b/>
          <w:bCs/>
        </w:rPr>
      </w:pPr>
      <w:r w:rsidRPr="00DA3E4E">
        <w:rPr>
          <w:rFonts w:ascii="Arial" w:hAnsi="Arial" w:cs="Arial"/>
          <w:b/>
          <w:bCs/>
        </w:rPr>
        <w:t>Discriminant Validity</w:t>
      </w:r>
    </w:p>
    <w:p w14:paraId="33D0A766" w14:textId="1DB237C6" w:rsidR="00DA3E4E" w:rsidRDefault="00DA3E4E" w:rsidP="00DA3E4E">
      <w:pPr>
        <w:pStyle w:val="Body"/>
        <w:spacing w:after="0"/>
        <w:rPr>
          <w:rFonts w:ascii="Arial" w:hAnsi="Arial" w:cs="Arial"/>
        </w:rPr>
      </w:pPr>
      <w:r w:rsidRPr="00DA3E4E">
        <w:rPr>
          <w:rFonts w:ascii="Arial" w:hAnsi="Arial" w:cs="Arial"/>
        </w:rPr>
        <w:t>The discriminant validity of the constructs was assessed using the Fornell–Larcker criterion. As shown in Table 2, the square root mean of the Average Variance Extracted (AVE) for each construct was higher than its correlation with other constructs. Specifically, Digital Capability had a square root mean of AVE of 0.817, which exceeded its correlation with Human Capital (0.685) and Internationalization (0.670). Similarly, Human Capital showed a square root mean of AVE of 0.798, which was greater than its correlation with Internationalization (0.605). The Internationalization construct also met this criterion, with a square root mean of AVE of 0.801, exceeding its correlation with other constructs.</w:t>
      </w:r>
    </w:p>
    <w:p w14:paraId="6B8063F4" w14:textId="77777777" w:rsidR="00DA3E4E" w:rsidRDefault="00DA3E4E" w:rsidP="00DA3E4E">
      <w:pPr>
        <w:pStyle w:val="Body"/>
        <w:spacing w:after="0"/>
        <w:rPr>
          <w:rFonts w:ascii="Arial" w:hAnsi="Arial" w:cs="Arial"/>
        </w:rPr>
      </w:pPr>
    </w:p>
    <w:p w14:paraId="6131DC72" w14:textId="77777777" w:rsidR="00DA3E4E" w:rsidRPr="00DA3E4E" w:rsidRDefault="00DA3E4E" w:rsidP="00DA3E4E">
      <w:pPr>
        <w:spacing w:line="278" w:lineRule="auto"/>
        <w:jc w:val="center"/>
        <w:rPr>
          <w:rFonts w:ascii="Arial" w:hAnsi="Arial" w:cs="Arial"/>
          <w:b/>
          <w:bCs/>
        </w:rPr>
      </w:pPr>
      <w:r w:rsidRPr="00DA3E4E">
        <w:rPr>
          <w:rFonts w:ascii="Arial" w:hAnsi="Arial" w:cs="Arial"/>
          <w:b/>
          <w:bCs/>
        </w:rPr>
        <w:t>Table 2. Discriminant Validity (Fornell–Larcker Criterion)</w:t>
      </w:r>
    </w:p>
    <w:tbl>
      <w:tblPr>
        <w:tblW w:w="0" w:type="auto"/>
        <w:jc w:val="center"/>
        <w:tblBorders>
          <w:top w:val="single" w:sz="4" w:space="0" w:color="auto"/>
          <w:bottom w:val="single" w:sz="4" w:space="0" w:color="auto"/>
        </w:tblBorders>
        <w:tblLook w:val="04A0" w:firstRow="1" w:lastRow="0" w:firstColumn="1" w:lastColumn="0" w:noHBand="0" w:noVBand="1"/>
      </w:tblPr>
      <w:tblGrid>
        <w:gridCol w:w="1967"/>
        <w:gridCol w:w="1677"/>
        <w:gridCol w:w="1577"/>
        <w:gridCol w:w="1967"/>
      </w:tblGrid>
      <w:tr w:rsidR="00DA3E4E" w:rsidRPr="00A121D4" w14:paraId="49F80419" w14:textId="77777777" w:rsidTr="00EF51B5">
        <w:trPr>
          <w:trHeight w:val="288"/>
          <w:jc w:val="center"/>
        </w:trPr>
        <w:tc>
          <w:tcPr>
            <w:tcW w:w="0" w:type="auto"/>
            <w:tcBorders>
              <w:top w:val="single" w:sz="4" w:space="0" w:color="auto"/>
              <w:bottom w:val="single" w:sz="4" w:space="0" w:color="auto"/>
            </w:tcBorders>
            <w:noWrap/>
            <w:vAlign w:val="center"/>
            <w:hideMark/>
          </w:tcPr>
          <w:p w14:paraId="50E2DD5A" w14:textId="77777777" w:rsidR="00DA3E4E" w:rsidRPr="00A121D4" w:rsidRDefault="00DA3E4E" w:rsidP="00EF51B5">
            <w:pPr>
              <w:rPr>
                <w:rFonts w:ascii="Arial" w:hAnsi="Arial" w:cs="Arial"/>
                <w:b/>
                <w:bCs/>
                <w:color w:val="000000"/>
                <w:sz w:val="18"/>
                <w:szCs w:val="18"/>
                <w:lang w:eastAsia="en-ID"/>
              </w:rPr>
            </w:pPr>
            <w:r w:rsidRPr="00A121D4">
              <w:rPr>
                <w:rFonts w:ascii="Arial" w:hAnsi="Arial" w:cs="Arial"/>
                <w:b/>
                <w:bCs/>
                <w:color w:val="000000"/>
                <w:sz w:val="18"/>
                <w:szCs w:val="18"/>
                <w:lang w:eastAsia="en-ID"/>
              </w:rPr>
              <w:t> </w:t>
            </w:r>
          </w:p>
        </w:tc>
        <w:tc>
          <w:tcPr>
            <w:tcW w:w="0" w:type="auto"/>
            <w:tcBorders>
              <w:top w:val="single" w:sz="4" w:space="0" w:color="auto"/>
              <w:bottom w:val="single" w:sz="4" w:space="0" w:color="auto"/>
            </w:tcBorders>
            <w:noWrap/>
            <w:vAlign w:val="center"/>
            <w:hideMark/>
          </w:tcPr>
          <w:p w14:paraId="2A529AAA" w14:textId="77777777" w:rsidR="00DA3E4E" w:rsidRPr="00A121D4" w:rsidRDefault="00DA3E4E" w:rsidP="00EF51B5">
            <w:pPr>
              <w:jc w:val="center"/>
              <w:rPr>
                <w:rFonts w:ascii="Arial" w:hAnsi="Arial" w:cs="Arial"/>
                <w:b/>
                <w:bCs/>
                <w:color w:val="000000"/>
                <w:sz w:val="18"/>
                <w:szCs w:val="18"/>
                <w:lang w:eastAsia="en-ID"/>
              </w:rPr>
            </w:pPr>
            <w:r w:rsidRPr="00A121D4">
              <w:rPr>
                <w:rFonts w:ascii="Arial" w:hAnsi="Arial" w:cs="Arial"/>
                <w:b/>
                <w:bCs/>
                <w:color w:val="000000"/>
                <w:sz w:val="18"/>
                <w:szCs w:val="18"/>
                <w:lang w:eastAsia="en-ID"/>
              </w:rPr>
              <w:t>Digital Capability</w:t>
            </w:r>
          </w:p>
        </w:tc>
        <w:tc>
          <w:tcPr>
            <w:tcW w:w="0" w:type="auto"/>
            <w:tcBorders>
              <w:top w:val="single" w:sz="4" w:space="0" w:color="auto"/>
              <w:bottom w:val="single" w:sz="4" w:space="0" w:color="auto"/>
            </w:tcBorders>
            <w:noWrap/>
            <w:vAlign w:val="center"/>
            <w:hideMark/>
          </w:tcPr>
          <w:p w14:paraId="3E0444D9" w14:textId="77777777" w:rsidR="00DA3E4E" w:rsidRPr="00A121D4" w:rsidRDefault="00DA3E4E" w:rsidP="00EF51B5">
            <w:pPr>
              <w:jc w:val="center"/>
              <w:rPr>
                <w:rFonts w:ascii="Arial" w:hAnsi="Arial" w:cs="Arial"/>
                <w:b/>
                <w:bCs/>
                <w:color w:val="000000"/>
                <w:sz w:val="18"/>
                <w:szCs w:val="18"/>
                <w:lang w:eastAsia="en-ID"/>
              </w:rPr>
            </w:pPr>
            <w:r w:rsidRPr="00A121D4">
              <w:rPr>
                <w:rFonts w:ascii="Arial" w:hAnsi="Arial" w:cs="Arial"/>
                <w:b/>
                <w:bCs/>
                <w:color w:val="000000"/>
                <w:sz w:val="18"/>
                <w:szCs w:val="18"/>
                <w:lang w:eastAsia="en-ID"/>
              </w:rPr>
              <w:t>Human Capital_</w:t>
            </w:r>
          </w:p>
        </w:tc>
        <w:tc>
          <w:tcPr>
            <w:tcW w:w="0" w:type="auto"/>
            <w:tcBorders>
              <w:top w:val="single" w:sz="4" w:space="0" w:color="auto"/>
              <w:bottom w:val="single" w:sz="4" w:space="0" w:color="auto"/>
            </w:tcBorders>
            <w:noWrap/>
            <w:vAlign w:val="center"/>
            <w:hideMark/>
          </w:tcPr>
          <w:p w14:paraId="44D2118C" w14:textId="77777777" w:rsidR="00DA3E4E" w:rsidRPr="00A121D4" w:rsidRDefault="00DA3E4E" w:rsidP="00EF51B5">
            <w:pPr>
              <w:jc w:val="center"/>
              <w:rPr>
                <w:rFonts w:ascii="Arial" w:hAnsi="Arial" w:cs="Arial"/>
                <w:b/>
                <w:bCs/>
                <w:color w:val="000000"/>
                <w:sz w:val="18"/>
                <w:szCs w:val="18"/>
                <w:lang w:eastAsia="en-ID"/>
              </w:rPr>
            </w:pPr>
            <w:r w:rsidRPr="00A121D4">
              <w:rPr>
                <w:rFonts w:ascii="Arial" w:hAnsi="Arial" w:cs="Arial"/>
                <w:b/>
                <w:bCs/>
                <w:color w:val="000000"/>
                <w:sz w:val="18"/>
                <w:szCs w:val="18"/>
                <w:lang w:eastAsia="en-ID"/>
              </w:rPr>
              <w:t>Internationalization_</w:t>
            </w:r>
          </w:p>
        </w:tc>
      </w:tr>
      <w:tr w:rsidR="00DA3E4E" w:rsidRPr="00A121D4" w14:paraId="20A758BA" w14:textId="77777777" w:rsidTr="00EF51B5">
        <w:trPr>
          <w:trHeight w:val="288"/>
          <w:jc w:val="center"/>
        </w:trPr>
        <w:tc>
          <w:tcPr>
            <w:tcW w:w="0" w:type="auto"/>
            <w:tcBorders>
              <w:top w:val="single" w:sz="4" w:space="0" w:color="auto"/>
            </w:tcBorders>
            <w:noWrap/>
            <w:vAlign w:val="center"/>
            <w:hideMark/>
          </w:tcPr>
          <w:p w14:paraId="4AC1FD8F" w14:textId="77777777" w:rsidR="00DA3E4E" w:rsidRPr="00A121D4" w:rsidRDefault="00DA3E4E" w:rsidP="00EF51B5">
            <w:pPr>
              <w:rPr>
                <w:rFonts w:ascii="Arial" w:hAnsi="Arial" w:cs="Arial"/>
                <w:b/>
                <w:bCs/>
                <w:color w:val="000000"/>
                <w:sz w:val="18"/>
                <w:szCs w:val="18"/>
                <w:lang w:eastAsia="en-ID"/>
              </w:rPr>
            </w:pPr>
            <w:r w:rsidRPr="00A121D4">
              <w:rPr>
                <w:rFonts w:ascii="Arial" w:hAnsi="Arial" w:cs="Arial"/>
                <w:b/>
                <w:bCs/>
                <w:color w:val="000000"/>
                <w:sz w:val="18"/>
                <w:szCs w:val="18"/>
                <w:lang w:eastAsia="en-ID"/>
              </w:rPr>
              <w:t>Digital Capability</w:t>
            </w:r>
          </w:p>
        </w:tc>
        <w:tc>
          <w:tcPr>
            <w:tcW w:w="0" w:type="auto"/>
            <w:tcBorders>
              <w:top w:val="single" w:sz="4" w:space="0" w:color="auto"/>
            </w:tcBorders>
            <w:noWrap/>
            <w:vAlign w:val="center"/>
            <w:hideMark/>
          </w:tcPr>
          <w:p w14:paraId="0F2945EC" w14:textId="12EA4DD8" w:rsidR="00DA3E4E" w:rsidRPr="00A121D4" w:rsidRDefault="00DA3E4E" w:rsidP="00EF51B5">
            <w:pPr>
              <w:jc w:val="center"/>
              <w:rPr>
                <w:rFonts w:ascii="Arial" w:hAnsi="Arial" w:cs="Arial"/>
                <w:color w:val="000000"/>
                <w:sz w:val="18"/>
                <w:szCs w:val="18"/>
                <w:lang w:eastAsia="en-ID"/>
              </w:rPr>
            </w:pPr>
            <w:r w:rsidRPr="00A121D4">
              <w:rPr>
                <w:rFonts w:ascii="Arial" w:hAnsi="Arial" w:cs="Arial"/>
                <w:color w:val="000000"/>
                <w:sz w:val="18"/>
                <w:szCs w:val="18"/>
                <w:lang w:eastAsia="en-ID"/>
              </w:rPr>
              <w:t>0</w:t>
            </w:r>
            <w:r w:rsidR="00066FEE">
              <w:rPr>
                <w:rFonts w:ascii="Arial" w:hAnsi="Arial" w:cs="Arial"/>
                <w:color w:val="000000"/>
                <w:sz w:val="18"/>
                <w:szCs w:val="18"/>
                <w:lang w:eastAsia="en-ID"/>
              </w:rPr>
              <w:t>.</w:t>
            </w:r>
            <w:r w:rsidRPr="00A121D4">
              <w:rPr>
                <w:rFonts w:ascii="Arial" w:hAnsi="Arial" w:cs="Arial"/>
                <w:color w:val="000000"/>
                <w:sz w:val="18"/>
                <w:szCs w:val="18"/>
                <w:lang w:eastAsia="en-ID"/>
              </w:rPr>
              <w:t>817</w:t>
            </w:r>
          </w:p>
        </w:tc>
        <w:tc>
          <w:tcPr>
            <w:tcW w:w="0" w:type="auto"/>
            <w:tcBorders>
              <w:top w:val="single" w:sz="4" w:space="0" w:color="auto"/>
            </w:tcBorders>
            <w:noWrap/>
            <w:vAlign w:val="center"/>
            <w:hideMark/>
          </w:tcPr>
          <w:p w14:paraId="3D6C2296" w14:textId="77777777" w:rsidR="00DA3E4E" w:rsidRPr="00A121D4" w:rsidRDefault="00DA3E4E" w:rsidP="00EF51B5">
            <w:pPr>
              <w:jc w:val="center"/>
              <w:rPr>
                <w:rFonts w:ascii="Arial" w:hAnsi="Arial" w:cs="Arial"/>
                <w:color w:val="000000"/>
                <w:sz w:val="18"/>
                <w:szCs w:val="18"/>
                <w:lang w:eastAsia="en-ID"/>
              </w:rPr>
            </w:pPr>
          </w:p>
        </w:tc>
        <w:tc>
          <w:tcPr>
            <w:tcW w:w="0" w:type="auto"/>
            <w:tcBorders>
              <w:top w:val="single" w:sz="4" w:space="0" w:color="auto"/>
            </w:tcBorders>
            <w:noWrap/>
            <w:vAlign w:val="center"/>
            <w:hideMark/>
          </w:tcPr>
          <w:p w14:paraId="7877A2A4" w14:textId="77777777" w:rsidR="00DA3E4E" w:rsidRPr="00A121D4" w:rsidRDefault="00DA3E4E" w:rsidP="00EF51B5">
            <w:pPr>
              <w:jc w:val="center"/>
              <w:rPr>
                <w:rFonts w:ascii="Arial" w:hAnsi="Arial" w:cs="Arial"/>
                <w:color w:val="000000"/>
                <w:sz w:val="18"/>
                <w:szCs w:val="18"/>
                <w:lang w:eastAsia="en-ID"/>
              </w:rPr>
            </w:pPr>
          </w:p>
        </w:tc>
      </w:tr>
      <w:tr w:rsidR="00DA3E4E" w:rsidRPr="00A121D4" w14:paraId="07EDB531" w14:textId="77777777" w:rsidTr="00EF51B5">
        <w:trPr>
          <w:trHeight w:val="288"/>
          <w:jc w:val="center"/>
        </w:trPr>
        <w:tc>
          <w:tcPr>
            <w:tcW w:w="0" w:type="auto"/>
            <w:noWrap/>
            <w:vAlign w:val="center"/>
            <w:hideMark/>
          </w:tcPr>
          <w:p w14:paraId="4F03A7D1" w14:textId="77777777" w:rsidR="00DA3E4E" w:rsidRPr="00A121D4" w:rsidRDefault="00DA3E4E" w:rsidP="00EF51B5">
            <w:pPr>
              <w:rPr>
                <w:rFonts w:ascii="Arial" w:hAnsi="Arial" w:cs="Arial"/>
                <w:b/>
                <w:bCs/>
                <w:color w:val="000000"/>
                <w:sz w:val="18"/>
                <w:szCs w:val="18"/>
                <w:lang w:eastAsia="en-ID"/>
              </w:rPr>
            </w:pPr>
            <w:r w:rsidRPr="00A121D4">
              <w:rPr>
                <w:rFonts w:ascii="Arial" w:hAnsi="Arial" w:cs="Arial"/>
                <w:b/>
                <w:bCs/>
                <w:color w:val="000000"/>
                <w:sz w:val="18"/>
                <w:szCs w:val="18"/>
                <w:lang w:eastAsia="en-ID"/>
              </w:rPr>
              <w:t>Human Capital_</w:t>
            </w:r>
          </w:p>
        </w:tc>
        <w:tc>
          <w:tcPr>
            <w:tcW w:w="0" w:type="auto"/>
            <w:noWrap/>
            <w:vAlign w:val="center"/>
            <w:hideMark/>
          </w:tcPr>
          <w:p w14:paraId="5A49EB5E" w14:textId="736CD181" w:rsidR="00DA3E4E" w:rsidRPr="00A121D4" w:rsidRDefault="00DA3E4E" w:rsidP="00EF51B5">
            <w:pPr>
              <w:jc w:val="center"/>
              <w:rPr>
                <w:rFonts w:ascii="Arial" w:hAnsi="Arial" w:cs="Arial"/>
                <w:color w:val="000000"/>
                <w:sz w:val="18"/>
                <w:szCs w:val="18"/>
                <w:lang w:eastAsia="en-ID"/>
              </w:rPr>
            </w:pPr>
            <w:r w:rsidRPr="00A121D4">
              <w:rPr>
                <w:rFonts w:ascii="Arial" w:hAnsi="Arial" w:cs="Arial"/>
                <w:color w:val="000000"/>
                <w:sz w:val="18"/>
                <w:szCs w:val="18"/>
                <w:lang w:eastAsia="en-ID"/>
              </w:rPr>
              <w:t>0</w:t>
            </w:r>
            <w:r w:rsidR="00066FEE">
              <w:rPr>
                <w:rFonts w:ascii="Arial" w:hAnsi="Arial" w:cs="Arial"/>
                <w:color w:val="000000"/>
                <w:sz w:val="18"/>
                <w:szCs w:val="18"/>
                <w:lang w:eastAsia="en-ID"/>
              </w:rPr>
              <w:t>.</w:t>
            </w:r>
            <w:r w:rsidRPr="00A121D4">
              <w:rPr>
                <w:rFonts w:ascii="Arial" w:hAnsi="Arial" w:cs="Arial"/>
                <w:color w:val="000000"/>
                <w:sz w:val="18"/>
                <w:szCs w:val="18"/>
                <w:lang w:eastAsia="en-ID"/>
              </w:rPr>
              <w:t>685</w:t>
            </w:r>
          </w:p>
        </w:tc>
        <w:tc>
          <w:tcPr>
            <w:tcW w:w="0" w:type="auto"/>
            <w:noWrap/>
            <w:vAlign w:val="center"/>
            <w:hideMark/>
          </w:tcPr>
          <w:p w14:paraId="60D76B4F" w14:textId="5B626083" w:rsidR="00DA3E4E" w:rsidRPr="00A121D4" w:rsidRDefault="00DA3E4E" w:rsidP="00EF51B5">
            <w:pPr>
              <w:jc w:val="center"/>
              <w:rPr>
                <w:rFonts w:ascii="Arial" w:hAnsi="Arial" w:cs="Arial"/>
                <w:color w:val="000000"/>
                <w:sz w:val="18"/>
                <w:szCs w:val="18"/>
                <w:lang w:eastAsia="en-ID"/>
              </w:rPr>
            </w:pPr>
            <w:r w:rsidRPr="00A121D4">
              <w:rPr>
                <w:rFonts w:ascii="Arial" w:hAnsi="Arial" w:cs="Arial"/>
                <w:color w:val="000000"/>
                <w:sz w:val="18"/>
                <w:szCs w:val="18"/>
                <w:lang w:eastAsia="en-ID"/>
              </w:rPr>
              <w:t>0</w:t>
            </w:r>
            <w:r w:rsidR="00066FEE">
              <w:rPr>
                <w:rFonts w:ascii="Arial" w:hAnsi="Arial" w:cs="Arial"/>
                <w:color w:val="000000"/>
                <w:sz w:val="18"/>
                <w:szCs w:val="18"/>
                <w:lang w:eastAsia="en-ID"/>
              </w:rPr>
              <w:t>.</w:t>
            </w:r>
            <w:r w:rsidRPr="00A121D4">
              <w:rPr>
                <w:rFonts w:ascii="Arial" w:hAnsi="Arial" w:cs="Arial"/>
                <w:color w:val="000000"/>
                <w:sz w:val="18"/>
                <w:szCs w:val="18"/>
                <w:lang w:eastAsia="en-ID"/>
              </w:rPr>
              <w:t>798</w:t>
            </w:r>
          </w:p>
        </w:tc>
        <w:tc>
          <w:tcPr>
            <w:tcW w:w="0" w:type="auto"/>
            <w:noWrap/>
            <w:vAlign w:val="center"/>
            <w:hideMark/>
          </w:tcPr>
          <w:p w14:paraId="433CA0B2" w14:textId="77777777" w:rsidR="00DA3E4E" w:rsidRPr="00A121D4" w:rsidRDefault="00DA3E4E" w:rsidP="00EF51B5">
            <w:pPr>
              <w:jc w:val="center"/>
              <w:rPr>
                <w:rFonts w:ascii="Arial" w:hAnsi="Arial" w:cs="Arial"/>
                <w:color w:val="000000"/>
                <w:sz w:val="18"/>
                <w:szCs w:val="18"/>
                <w:lang w:eastAsia="en-ID"/>
              </w:rPr>
            </w:pPr>
          </w:p>
        </w:tc>
      </w:tr>
      <w:tr w:rsidR="00DA3E4E" w:rsidRPr="00A121D4" w14:paraId="159F102C" w14:textId="77777777" w:rsidTr="00EF51B5">
        <w:trPr>
          <w:trHeight w:val="288"/>
          <w:jc w:val="center"/>
        </w:trPr>
        <w:tc>
          <w:tcPr>
            <w:tcW w:w="0" w:type="auto"/>
            <w:noWrap/>
            <w:vAlign w:val="center"/>
            <w:hideMark/>
          </w:tcPr>
          <w:p w14:paraId="454CDB30" w14:textId="77777777" w:rsidR="00DA3E4E" w:rsidRPr="00A121D4" w:rsidRDefault="00DA3E4E" w:rsidP="00EF51B5">
            <w:pPr>
              <w:rPr>
                <w:rFonts w:ascii="Arial" w:hAnsi="Arial" w:cs="Arial"/>
                <w:b/>
                <w:bCs/>
                <w:color w:val="000000"/>
                <w:sz w:val="18"/>
                <w:szCs w:val="18"/>
                <w:lang w:eastAsia="en-ID"/>
              </w:rPr>
            </w:pPr>
            <w:r w:rsidRPr="00A121D4">
              <w:rPr>
                <w:rFonts w:ascii="Arial" w:hAnsi="Arial" w:cs="Arial"/>
                <w:b/>
                <w:bCs/>
                <w:color w:val="000000"/>
                <w:sz w:val="18"/>
                <w:szCs w:val="18"/>
                <w:lang w:eastAsia="en-ID"/>
              </w:rPr>
              <w:t>Internationalization_</w:t>
            </w:r>
          </w:p>
        </w:tc>
        <w:tc>
          <w:tcPr>
            <w:tcW w:w="0" w:type="auto"/>
            <w:noWrap/>
            <w:vAlign w:val="center"/>
            <w:hideMark/>
          </w:tcPr>
          <w:p w14:paraId="308197BB" w14:textId="27D03BDC" w:rsidR="00DA3E4E" w:rsidRPr="00A121D4" w:rsidRDefault="00DA3E4E" w:rsidP="00EF51B5">
            <w:pPr>
              <w:jc w:val="center"/>
              <w:rPr>
                <w:rFonts w:ascii="Arial" w:hAnsi="Arial" w:cs="Arial"/>
                <w:color w:val="000000"/>
                <w:sz w:val="18"/>
                <w:szCs w:val="18"/>
                <w:lang w:eastAsia="en-ID"/>
              </w:rPr>
            </w:pPr>
            <w:r w:rsidRPr="00A121D4">
              <w:rPr>
                <w:rFonts w:ascii="Arial" w:hAnsi="Arial" w:cs="Arial"/>
                <w:color w:val="000000"/>
                <w:sz w:val="18"/>
                <w:szCs w:val="18"/>
                <w:lang w:eastAsia="en-ID"/>
              </w:rPr>
              <w:t>0</w:t>
            </w:r>
            <w:r w:rsidR="00066FEE">
              <w:rPr>
                <w:rFonts w:ascii="Arial" w:hAnsi="Arial" w:cs="Arial"/>
                <w:color w:val="000000"/>
                <w:sz w:val="18"/>
                <w:szCs w:val="18"/>
                <w:lang w:eastAsia="en-ID"/>
              </w:rPr>
              <w:t>.</w:t>
            </w:r>
            <w:r w:rsidRPr="00A121D4">
              <w:rPr>
                <w:rFonts w:ascii="Arial" w:hAnsi="Arial" w:cs="Arial"/>
                <w:color w:val="000000"/>
                <w:sz w:val="18"/>
                <w:szCs w:val="18"/>
                <w:lang w:eastAsia="en-ID"/>
              </w:rPr>
              <w:t>670</w:t>
            </w:r>
          </w:p>
        </w:tc>
        <w:tc>
          <w:tcPr>
            <w:tcW w:w="0" w:type="auto"/>
            <w:noWrap/>
            <w:vAlign w:val="center"/>
            <w:hideMark/>
          </w:tcPr>
          <w:p w14:paraId="76A6ABDC" w14:textId="46F717A5" w:rsidR="00DA3E4E" w:rsidRPr="00A121D4" w:rsidRDefault="00DA3E4E" w:rsidP="00EF51B5">
            <w:pPr>
              <w:jc w:val="center"/>
              <w:rPr>
                <w:rFonts w:ascii="Arial" w:hAnsi="Arial" w:cs="Arial"/>
                <w:color w:val="000000"/>
                <w:sz w:val="18"/>
                <w:szCs w:val="18"/>
                <w:lang w:eastAsia="en-ID"/>
              </w:rPr>
            </w:pPr>
            <w:r w:rsidRPr="00A121D4">
              <w:rPr>
                <w:rFonts w:ascii="Arial" w:hAnsi="Arial" w:cs="Arial"/>
                <w:color w:val="000000"/>
                <w:sz w:val="18"/>
                <w:szCs w:val="18"/>
                <w:lang w:eastAsia="en-ID"/>
              </w:rPr>
              <w:t>0</w:t>
            </w:r>
            <w:r w:rsidR="00066FEE">
              <w:rPr>
                <w:rFonts w:ascii="Arial" w:hAnsi="Arial" w:cs="Arial"/>
                <w:color w:val="000000"/>
                <w:sz w:val="18"/>
                <w:szCs w:val="18"/>
                <w:lang w:eastAsia="en-ID"/>
              </w:rPr>
              <w:t>.</w:t>
            </w:r>
            <w:r w:rsidRPr="00A121D4">
              <w:rPr>
                <w:rFonts w:ascii="Arial" w:hAnsi="Arial" w:cs="Arial"/>
                <w:color w:val="000000"/>
                <w:sz w:val="18"/>
                <w:szCs w:val="18"/>
                <w:lang w:eastAsia="en-ID"/>
              </w:rPr>
              <w:t>605</w:t>
            </w:r>
          </w:p>
        </w:tc>
        <w:tc>
          <w:tcPr>
            <w:tcW w:w="0" w:type="auto"/>
            <w:noWrap/>
            <w:vAlign w:val="center"/>
            <w:hideMark/>
          </w:tcPr>
          <w:p w14:paraId="731C0956" w14:textId="4C853763" w:rsidR="00DA3E4E" w:rsidRPr="00A121D4" w:rsidRDefault="00DA3E4E" w:rsidP="00EF51B5">
            <w:pPr>
              <w:jc w:val="center"/>
              <w:rPr>
                <w:rFonts w:ascii="Arial" w:hAnsi="Arial" w:cs="Arial"/>
                <w:color w:val="000000"/>
                <w:sz w:val="18"/>
                <w:szCs w:val="18"/>
                <w:lang w:eastAsia="en-ID"/>
              </w:rPr>
            </w:pPr>
            <w:r w:rsidRPr="00A121D4">
              <w:rPr>
                <w:rFonts w:ascii="Arial" w:hAnsi="Arial" w:cs="Arial"/>
                <w:color w:val="000000"/>
                <w:sz w:val="18"/>
                <w:szCs w:val="18"/>
                <w:lang w:eastAsia="en-ID"/>
              </w:rPr>
              <w:t>0</w:t>
            </w:r>
            <w:r w:rsidR="00066FEE">
              <w:rPr>
                <w:rFonts w:ascii="Arial" w:hAnsi="Arial" w:cs="Arial"/>
                <w:color w:val="000000"/>
                <w:sz w:val="18"/>
                <w:szCs w:val="18"/>
                <w:lang w:eastAsia="en-ID"/>
              </w:rPr>
              <w:t>.</w:t>
            </w:r>
            <w:r w:rsidRPr="00A121D4">
              <w:rPr>
                <w:rFonts w:ascii="Arial" w:hAnsi="Arial" w:cs="Arial"/>
                <w:color w:val="000000"/>
                <w:sz w:val="18"/>
                <w:szCs w:val="18"/>
                <w:lang w:eastAsia="en-ID"/>
              </w:rPr>
              <w:t>801</w:t>
            </w:r>
          </w:p>
        </w:tc>
      </w:tr>
    </w:tbl>
    <w:p w14:paraId="29AE42E1" w14:textId="77777777" w:rsidR="00DA3E4E" w:rsidRPr="00DA3E4E" w:rsidRDefault="00DA3E4E" w:rsidP="00DA3E4E">
      <w:pPr>
        <w:pStyle w:val="Body"/>
        <w:spacing w:after="0"/>
        <w:rPr>
          <w:rFonts w:ascii="Arial" w:hAnsi="Arial" w:cs="Arial"/>
        </w:rPr>
      </w:pPr>
    </w:p>
    <w:p w14:paraId="351A0865" w14:textId="77777777" w:rsidR="00DA3E4E" w:rsidRPr="00DA3E4E" w:rsidRDefault="00DA3E4E" w:rsidP="00DA3E4E">
      <w:pPr>
        <w:spacing w:line="278" w:lineRule="auto"/>
        <w:jc w:val="both"/>
        <w:rPr>
          <w:rFonts w:ascii="Arial" w:hAnsi="Arial" w:cs="Arial"/>
        </w:rPr>
      </w:pPr>
      <w:r w:rsidRPr="00DA3E4E">
        <w:rPr>
          <w:rFonts w:ascii="Arial" w:hAnsi="Arial" w:cs="Arial"/>
        </w:rPr>
        <w:t>These results indicate that each construct shares more variance with its own indicators than with other constructs, thus confirming adequate discriminant validity. In other words, Digital Capability, Human Capital, and Internationalization are empirically distinct and measure different conceptual domains within the model. These findings support the robustness of the measurement model and indicate that the constructs can be used reliably in further structural analyses.</w:t>
      </w:r>
    </w:p>
    <w:p w14:paraId="42C0E4C1" w14:textId="77777777" w:rsidR="00DA3E4E" w:rsidRPr="00DA3E4E" w:rsidRDefault="00DA3E4E" w:rsidP="00DA3E4E">
      <w:pPr>
        <w:spacing w:line="278" w:lineRule="auto"/>
        <w:jc w:val="both"/>
        <w:rPr>
          <w:rFonts w:ascii="Arial" w:hAnsi="Arial" w:cs="Arial"/>
          <w:b/>
          <w:bCs/>
        </w:rPr>
      </w:pPr>
      <w:r w:rsidRPr="00DA3E4E">
        <w:rPr>
          <w:rFonts w:ascii="Arial" w:hAnsi="Arial" w:cs="Arial"/>
          <w:b/>
          <w:bCs/>
        </w:rPr>
        <w:t>Testing Hypotheses</w:t>
      </w:r>
    </w:p>
    <w:p w14:paraId="5FD20CE2" w14:textId="7D14A6B0" w:rsidR="00376BBE" w:rsidRDefault="00DA3E4E" w:rsidP="00DA3E4E">
      <w:pPr>
        <w:pStyle w:val="Body"/>
        <w:spacing w:after="0"/>
        <w:rPr>
          <w:rFonts w:ascii="Arial" w:hAnsi="Arial" w:cs="Arial"/>
        </w:rPr>
      </w:pPr>
      <w:r w:rsidRPr="00DA3E4E">
        <w:rPr>
          <w:rFonts w:ascii="Arial" w:hAnsi="Arial" w:cs="Arial"/>
        </w:rPr>
        <w:t>The structural model was evaluated by examining the path coefficients, their statistical significance, and the indirect effects among constructs. The assessment relies on the magnitude of the original sample estimates, t-statistics, and p-values to determine the strength and significance of the hypothesized relationships. A path is considered significant when the t-statistic exceeds 1.96 and the p-value is below 0.05, indicating robust empirical support for the proposed relationships.</w:t>
      </w:r>
    </w:p>
    <w:p w14:paraId="6B1CB204" w14:textId="77777777" w:rsidR="00DA3E4E" w:rsidRDefault="00DA3E4E" w:rsidP="00DA3E4E">
      <w:pPr>
        <w:pStyle w:val="Body"/>
        <w:spacing w:after="0"/>
        <w:rPr>
          <w:rFonts w:ascii="Arial" w:hAnsi="Arial" w:cs="Arial"/>
        </w:rPr>
      </w:pPr>
    </w:p>
    <w:p w14:paraId="3CA79008" w14:textId="77777777" w:rsidR="00DA3E4E" w:rsidRPr="00DA3E4E" w:rsidRDefault="00DA3E4E" w:rsidP="00DA3E4E">
      <w:pPr>
        <w:spacing w:line="278" w:lineRule="auto"/>
        <w:jc w:val="center"/>
        <w:rPr>
          <w:rFonts w:ascii="Arial" w:hAnsi="Arial" w:cs="Arial"/>
          <w:b/>
          <w:bCs/>
        </w:rPr>
      </w:pPr>
      <w:r w:rsidRPr="00DA3E4E">
        <w:rPr>
          <w:rFonts w:ascii="Arial" w:hAnsi="Arial" w:cs="Arial"/>
          <w:b/>
          <w:bCs/>
        </w:rPr>
        <w:t>Table 3. Structural Model Results (Direct Effects)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
        <w:gridCol w:w="1011"/>
        <w:gridCol w:w="981"/>
        <w:gridCol w:w="1374"/>
        <w:gridCol w:w="1479"/>
        <w:gridCol w:w="852"/>
      </w:tblGrid>
      <w:tr w:rsidR="00DA3E4E" w:rsidRPr="00A121D4" w14:paraId="6C2FE73F" w14:textId="77777777" w:rsidTr="00A121D4">
        <w:trPr>
          <w:trHeight w:val="288"/>
          <w:jc w:val="center"/>
        </w:trPr>
        <w:tc>
          <w:tcPr>
            <w:tcW w:w="0" w:type="auto"/>
            <w:tcBorders>
              <w:top w:val="single" w:sz="4" w:space="0" w:color="auto"/>
              <w:bottom w:val="single" w:sz="4" w:space="0" w:color="auto"/>
            </w:tcBorders>
            <w:noWrap/>
            <w:vAlign w:val="center"/>
            <w:hideMark/>
          </w:tcPr>
          <w:p w14:paraId="034D5601" w14:textId="77777777" w:rsidR="00DA3E4E" w:rsidRPr="00A121D4" w:rsidRDefault="00DA3E4E" w:rsidP="00EF51B5">
            <w:pPr>
              <w:jc w:val="center"/>
              <w:rPr>
                <w:rFonts w:ascii="Arial" w:eastAsia="Times New Roman" w:hAnsi="Arial" w:cs="Arial"/>
                <w:b/>
                <w:bCs/>
                <w:sz w:val="18"/>
                <w:szCs w:val="18"/>
                <w:lang w:eastAsia="en-ID"/>
              </w:rPr>
            </w:pPr>
          </w:p>
        </w:tc>
        <w:tc>
          <w:tcPr>
            <w:tcW w:w="1011" w:type="dxa"/>
            <w:tcBorders>
              <w:top w:val="single" w:sz="4" w:space="0" w:color="auto"/>
              <w:bottom w:val="single" w:sz="4" w:space="0" w:color="auto"/>
            </w:tcBorders>
            <w:noWrap/>
            <w:vAlign w:val="center"/>
            <w:hideMark/>
          </w:tcPr>
          <w:p w14:paraId="48E928B3" w14:textId="77777777" w:rsidR="00DA3E4E" w:rsidRPr="00A121D4" w:rsidRDefault="00DA3E4E" w:rsidP="00EF51B5">
            <w:pPr>
              <w:jc w:val="center"/>
              <w:rPr>
                <w:rFonts w:ascii="Arial" w:eastAsia="Times New Roman" w:hAnsi="Arial" w:cs="Arial"/>
                <w:b/>
                <w:bCs/>
                <w:sz w:val="18"/>
                <w:szCs w:val="18"/>
                <w:lang w:eastAsia="en-ID"/>
              </w:rPr>
            </w:pPr>
            <w:r w:rsidRPr="00A121D4">
              <w:rPr>
                <w:rFonts w:ascii="Arial" w:eastAsia="Times New Roman" w:hAnsi="Arial" w:cs="Arial"/>
                <w:b/>
                <w:bCs/>
                <w:sz w:val="18"/>
                <w:szCs w:val="18"/>
                <w:lang w:eastAsia="en-ID"/>
              </w:rPr>
              <w:t xml:space="preserve">Original Sample </w:t>
            </w:r>
            <w:r w:rsidRPr="00A121D4">
              <w:rPr>
                <w:rFonts w:ascii="Arial" w:eastAsia="Times New Roman" w:hAnsi="Arial" w:cs="Arial"/>
                <w:b/>
                <w:bCs/>
                <w:sz w:val="18"/>
                <w:szCs w:val="18"/>
                <w:lang w:eastAsia="en-ID"/>
              </w:rPr>
              <w:lastRenderedPageBreak/>
              <w:t>(O)</w:t>
            </w:r>
          </w:p>
        </w:tc>
        <w:tc>
          <w:tcPr>
            <w:tcW w:w="981" w:type="dxa"/>
            <w:tcBorders>
              <w:top w:val="single" w:sz="4" w:space="0" w:color="auto"/>
              <w:bottom w:val="single" w:sz="4" w:space="0" w:color="auto"/>
            </w:tcBorders>
            <w:noWrap/>
            <w:vAlign w:val="center"/>
            <w:hideMark/>
          </w:tcPr>
          <w:p w14:paraId="33CB27AF" w14:textId="77777777" w:rsidR="00DA3E4E" w:rsidRPr="00A121D4" w:rsidRDefault="00DA3E4E" w:rsidP="00EF51B5">
            <w:pPr>
              <w:jc w:val="center"/>
              <w:rPr>
                <w:rFonts w:ascii="Arial" w:eastAsia="Times New Roman" w:hAnsi="Arial" w:cs="Arial"/>
                <w:b/>
                <w:bCs/>
                <w:sz w:val="18"/>
                <w:szCs w:val="18"/>
                <w:lang w:eastAsia="en-ID"/>
              </w:rPr>
            </w:pPr>
            <w:r w:rsidRPr="00A121D4">
              <w:rPr>
                <w:rFonts w:ascii="Arial" w:eastAsia="Times New Roman" w:hAnsi="Arial" w:cs="Arial"/>
                <w:b/>
                <w:bCs/>
                <w:sz w:val="18"/>
                <w:szCs w:val="18"/>
                <w:lang w:eastAsia="en-ID"/>
              </w:rPr>
              <w:lastRenderedPageBreak/>
              <w:t xml:space="preserve">Sample Mean </w:t>
            </w:r>
            <w:r w:rsidRPr="00A121D4">
              <w:rPr>
                <w:rFonts w:ascii="Arial" w:eastAsia="Times New Roman" w:hAnsi="Arial" w:cs="Arial"/>
                <w:b/>
                <w:bCs/>
                <w:sz w:val="18"/>
                <w:szCs w:val="18"/>
                <w:lang w:eastAsia="en-ID"/>
              </w:rPr>
              <w:lastRenderedPageBreak/>
              <w:t>(M)</w:t>
            </w:r>
          </w:p>
        </w:tc>
        <w:tc>
          <w:tcPr>
            <w:tcW w:w="1374" w:type="dxa"/>
            <w:tcBorders>
              <w:top w:val="single" w:sz="4" w:space="0" w:color="auto"/>
              <w:bottom w:val="single" w:sz="4" w:space="0" w:color="auto"/>
            </w:tcBorders>
            <w:noWrap/>
            <w:vAlign w:val="center"/>
            <w:hideMark/>
          </w:tcPr>
          <w:p w14:paraId="13BE2816" w14:textId="77777777" w:rsidR="00DA3E4E" w:rsidRPr="00A121D4" w:rsidRDefault="00DA3E4E" w:rsidP="00EF51B5">
            <w:pPr>
              <w:jc w:val="center"/>
              <w:rPr>
                <w:rFonts w:ascii="Arial" w:eastAsia="Times New Roman" w:hAnsi="Arial" w:cs="Arial"/>
                <w:b/>
                <w:bCs/>
                <w:sz w:val="18"/>
                <w:szCs w:val="18"/>
                <w:lang w:eastAsia="en-ID"/>
              </w:rPr>
            </w:pPr>
            <w:r w:rsidRPr="00A121D4">
              <w:rPr>
                <w:rFonts w:ascii="Arial" w:eastAsia="Times New Roman" w:hAnsi="Arial" w:cs="Arial"/>
                <w:b/>
                <w:bCs/>
                <w:sz w:val="18"/>
                <w:szCs w:val="18"/>
                <w:lang w:eastAsia="en-ID"/>
              </w:rPr>
              <w:lastRenderedPageBreak/>
              <w:t xml:space="preserve">Standard Deviation </w:t>
            </w:r>
            <w:r w:rsidRPr="00A121D4">
              <w:rPr>
                <w:rFonts w:ascii="Arial" w:eastAsia="Times New Roman" w:hAnsi="Arial" w:cs="Arial"/>
                <w:b/>
                <w:bCs/>
                <w:sz w:val="18"/>
                <w:szCs w:val="18"/>
                <w:lang w:eastAsia="en-ID"/>
              </w:rPr>
              <w:lastRenderedPageBreak/>
              <w:t>(STDEV)</w:t>
            </w:r>
          </w:p>
        </w:tc>
        <w:tc>
          <w:tcPr>
            <w:tcW w:w="1479" w:type="dxa"/>
            <w:tcBorders>
              <w:top w:val="single" w:sz="4" w:space="0" w:color="auto"/>
              <w:bottom w:val="single" w:sz="4" w:space="0" w:color="auto"/>
            </w:tcBorders>
            <w:noWrap/>
            <w:vAlign w:val="center"/>
            <w:hideMark/>
          </w:tcPr>
          <w:p w14:paraId="0114A0B9" w14:textId="77777777" w:rsidR="00DA3E4E" w:rsidRPr="00A121D4" w:rsidRDefault="00DA3E4E" w:rsidP="00EF51B5">
            <w:pPr>
              <w:jc w:val="center"/>
              <w:rPr>
                <w:rFonts w:ascii="Arial" w:eastAsia="Times New Roman" w:hAnsi="Arial" w:cs="Arial"/>
                <w:b/>
                <w:bCs/>
                <w:sz w:val="18"/>
                <w:szCs w:val="18"/>
                <w:lang w:eastAsia="en-ID"/>
              </w:rPr>
            </w:pPr>
            <w:r w:rsidRPr="00A121D4">
              <w:rPr>
                <w:rFonts w:ascii="Arial" w:eastAsia="Times New Roman" w:hAnsi="Arial" w:cs="Arial"/>
                <w:b/>
                <w:bCs/>
                <w:sz w:val="18"/>
                <w:szCs w:val="18"/>
                <w:lang w:eastAsia="en-ID"/>
              </w:rPr>
              <w:lastRenderedPageBreak/>
              <w:t>T Statistics (|O/STDEV|)</w:t>
            </w:r>
          </w:p>
        </w:tc>
        <w:tc>
          <w:tcPr>
            <w:tcW w:w="852" w:type="dxa"/>
            <w:tcBorders>
              <w:top w:val="single" w:sz="4" w:space="0" w:color="auto"/>
              <w:bottom w:val="single" w:sz="4" w:space="0" w:color="auto"/>
            </w:tcBorders>
            <w:noWrap/>
            <w:vAlign w:val="center"/>
            <w:hideMark/>
          </w:tcPr>
          <w:p w14:paraId="0F668CB0" w14:textId="77777777" w:rsidR="00DA3E4E" w:rsidRPr="00A121D4" w:rsidRDefault="00DA3E4E" w:rsidP="00EF51B5">
            <w:pPr>
              <w:jc w:val="center"/>
              <w:rPr>
                <w:rFonts w:ascii="Arial" w:eastAsia="Times New Roman" w:hAnsi="Arial" w:cs="Arial"/>
                <w:b/>
                <w:bCs/>
                <w:sz w:val="18"/>
                <w:szCs w:val="18"/>
                <w:lang w:eastAsia="en-ID"/>
              </w:rPr>
            </w:pPr>
            <w:r w:rsidRPr="00A121D4">
              <w:rPr>
                <w:rFonts w:ascii="Arial" w:eastAsia="Times New Roman" w:hAnsi="Arial" w:cs="Arial"/>
                <w:b/>
                <w:bCs/>
                <w:sz w:val="18"/>
                <w:szCs w:val="18"/>
                <w:lang w:eastAsia="en-ID"/>
              </w:rPr>
              <w:t>P Values</w:t>
            </w:r>
          </w:p>
        </w:tc>
      </w:tr>
      <w:tr w:rsidR="00DA3E4E" w:rsidRPr="00A121D4" w14:paraId="779E828C" w14:textId="77777777" w:rsidTr="00A121D4">
        <w:trPr>
          <w:trHeight w:val="288"/>
          <w:jc w:val="center"/>
        </w:trPr>
        <w:tc>
          <w:tcPr>
            <w:tcW w:w="0" w:type="auto"/>
            <w:tcBorders>
              <w:top w:val="single" w:sz="4" w:space="0" w:color="auto"/>
            </w:tcBorders>
            <w:noWrap/>
            <w:vAlign w:val="center"/>
            <w:hideMark/>
          </w:tcPr>
          <w:p w14:paraId="04C740C8" w14:textId="77777777" w:rsidR="00DA3E4E" w:rsidRPr="00A121D4" w:rsidRDefault="00DA3E4E" w:rsidP="00EF51B5">
            <w:pPr>
              <w:rPr>
                <w:rFonts w:ascii="Arial" w:eastAsia="Times New Roman" w:hAnsi="Arial" w:cs="Arial"/>
                <w:b/>
                <w:bCs/>
                <w:sz w:val="18"/>
                <w:szCs w:val="18"/>
                <w:lang w:eastAsia="en-ID"/>
              </w:rPr>
            </w:pPr>
            <w:r w:rsidRPr="00A121D4">
              <w:rPr>
                <w:rFonts w:ascii="Arial" w:eastAsia="Times New Roman" w:hAnsi="Arial" w:cs="Arial"/>
                <w:b/>
                <w:bCs/>
                <w:sz w:val="18"/>
                <w:szCs w:val="18"/>
                <w:lang w:eastAsia="en-ID"/>
              </w:rPr>
              <w:t xml:space="preserve">DC </w:t>
            </w:r>
            <w:r w:rsidRPr="00A121D4">
              <w:rPr>
                <w:rFonts w:ascii="Arial" w:eastAsia="Times New Roman" w:hAnsi="Arial" w:cs="Arial"/>
                <w:b/>
                <w:bCs/>
                <w:sz w:val="18"/>
                <w:szCs w:val="18"/>
                <w:lang w:eastAsia="en-ID"/>
              </w:rPr>
              <w:sym w:font="Wingdings" w:char="F0E0"/>
            </w:r>
            <w:r w:rsidRPr="00A121D4">
              <w:rPr>
                <w:rFonts w:ascii="Arial" w:eastAsia="Times New Roman" w:hAnsi="Arial" w:cs="Arial"/>
                <w:b/>
                <w:bCs/>
                <w:sz w:val="18"/>
                <w:szCs w:val="18"/>
                <w:lang w:eastAsia="en-ID"/>
              </w:rPr>
              <w:t xml:space="preserve"> INT</w:t>
            </w:r>
          </w:p>
        </w:tc>
        <w:tc>
          <w:tcPr>
            <w:tcW w:w="1011" w:type="dxa"/>
            <w:tcBorders>
              <w:top w:val="single" w:sz="4" w:space="0" w:color="auto"/>
            </w:tcBorders>
            <w:noWrap/>
            <w:vAlign w:val="center"/>
            <w:hideMark/>
          </w:tcPr>
          <w:p w14:paraId="6B0CEF47" w14:textId="191908E5" w:rsidR="00DA3E4E" w:rsidRPr="00A121D4" w:rsidRDefault="00DA3E4E" w:rsidP="00EF51B5">
            <w:pPr>
              <w:jc w:val="center"/>
              <w:rPr>
                <w:rFonts w:ascii="Arial" w:eastAsia="Times New Roman" w:hAnsi="Arial" w:cs="Arial"/>
                <w:sz w:val="18"/>
                <w:szCs w:val="18"/>
                <w:lang w:eastAsia="en-ID"/>
              </w:rPr>
            </w:pPr>
            <w:r w:rsidRPr="00A121D4">
              <w:rPr>
                <w:rFonts w:ascii="Arial" w:eastAsia="Times New Roman" w:hAnsi="Arial" w:cs="Arial"/>
                <w:sz w:val="18"/>
                <w:szCs w:val="18"/>
                <w:lang w:eastAsia="en-ID"/>
              </w:rPr>
              <w:t>0</w:t>
            </w:r>
            <w:r w:rsidR="00066FEE">
              <w:rPr>
                <w:rFonts w:ascii="Arial" w:eastAsia="Times New Roman" w:hAnsi="Arial" w:cs="Arial"/>
                <w:sz w:val="18"/>
                <w:szCs w:val="18"/>
                <w:lang w:eastAsia="en-ID"/>
              </w:rPr>
              <w:t>.</w:t>
            </w:r>
            <w:r w:rsidRPr="00A121D4">
              <w:rPr>
                <w:rFonts w:ascii="Arial" w:eastAsia="Times New Roman" w:hAnsi="Arial" w:cs="Arial"/>
                <w:sz w:val="18"/>
                <w:szCs w:val="18"/>
                <w:lang w:eastAsia="en-ID"/>
              </w:rPr>
              <w:t>482</w:t>
            </w:r>
          </w:p>
        </w:tc>
        <w:tc>
          <w:tcPr>
            <w:tcW w:w="981" w:type="dxa"/>
            <w:tcBorders>
              <w:top w:val="single" w:sz="4" w:space="0" w:color="auto"/>
            </w:tcBorders>
            <w:noWrap/>
            <w:vAlign w:val="center"/>
            <w:hideMark/>
          </w:tcPr>
          <w:p w14:paraId="6A446097" w14:textId="5B3EA448" w:rsidR="00DA3E4E" w:rsidRPr="00A121D4" w:rsidRDefault="00DA3E4E" w:rsidP="00EF51B5">
            <w:pPr>
              <w:jc w:val="center"/>
              <w:rPr>
                <w:rFonts w:ascii="Arial" w:eastAsia="Times New Roman" w:hAnsi="Arial" w:cs="Arial"/>
                <w:sz w:val="18"/>
                <w:szCs w:val="18"/>
                <w:lang w:eastAsia="en-ID"/>
              </w:rPr>
            </w:pPr>
            <w:r w:rsidRPr="00A121D4">
              <w:rPr>
                <w:rFonts w:ascii="Arial" w:eastAsia="Times New Roman" w:hAnsi="Arial" w:cs="Arial"/>
                <w:sz w:val="18"/>
                <w:szCs w:val="18"/>
                <w:lang w:eastAsia="en-ID"/>
              </w:rPr>
              <w:t>0</w:t>
            </w:r>
            <w:r w:rsidR="00066FEE">
              <w:rPr>
                <w:rFonts w:ascii="Arial" w:eastAsia="Times New Roman" w:hAnsi="Arial" w:cs="Arial"/>
                <w:sz w:val="18"/>
                <w:szCs w:val="18"/>
                <w:lang w:eastAsia="en-ID"/>
              </w:rPr>
              <w:t>.</w:t>
            </w:r>
            <w:r w:rsidRPr="00A121D4">
              <w:rPr>
                <w:rFonts w:ascii="Arial" w:eastAsia="Times New Roman" w:hAnsi="Arial" w:cs="Arial"/>
                <w:sz w:val="18"/>
                <w:szCs w:val="18"/>
                <w:lang w:eastAsia="en-ID"/>
              </w:rPr>
              <w:t>480</w:t>
            </w:r>
          </w:p>
        </w:tc>
        <w:tc>
          <w:tcPr>
            <w:tcW w:w="1374" w:type="dxa"/>
            <w:tcBorders>
              <w:top w:val="single" w:sz="4" w:space="0" w:color="auto"/>
            </w:tcBorders>
            <w:noWrap/>
            <w:vAlign w:val="center"/>
            <w:hideMark/>
          </w:tcPr>
          <w:p w14:paraId="5C3A6CFA" w14:textId="677049A7" w:rsidR="00DA3E4E" w:rsidRPr="00A121D4" w:rsidRDefault="00DA3E4E" w:rsidP="00EF51B5">
            <w:pPr>
              <w:jc w:val="center"/>
              <w:rPr>
                <w:rFonts w:ascii="Arial" w:eastAsia="Times New Roman" w:hAnsi="Arial" w:cs="Arial"/>
                <w:sz w:val="18"/>
                <w:szCs w:val="18"/>
                <w:lang w:eastAsia="en-ID"/>
              </w:rPr>
            </w:pPr>
            <w:r w:rsidRPr="00A121D4">
              <w:rPr>
                <w:rFonts w:ascii="Arial" w:eastAsia="Times New Roman" w:hAnsi="Arial" w:cs="Arial"/>
                <w:sz w:val="18"/>
                <w:szCs w:val="18"/>
                <w:lang w:eastAsia="en-ID"/>
              </w:rPr>
              <w:t>0</w:t>
            </w:r>
            <w:r w:rsidR="00066FEE">
              <w:rPr>
                <w:rFonts w:ascii="Arial" w:eastAsia="Times New Roman" w:hAnsi="Arial" w:cs="Arial"/>
                <w:sz w:val="18"/>
                <w:szCs w:val="18"/>
                <w:lang w:eastAsia="en-ID"/>
              </w:rPr>
              <w:t>.</w:t>
            </w:r>
            <w:r w:rsidRPr="00A121D4">
              <w:rPr>
                <w:rFonts w:ascii="Arial" w:eastAsia="Times New Roman" w:hAnsi="Arial" w:cs="Arial"/>
                <w:sz w:val="18"/>
                <w:szCs w:val="18"/>
                <w:lang w:eastAsia="en-ID"/>
              </w:rPr>
              <w:t>076</w:t>
            </w:r>
          </w:p>
        </w:tc>
        <w:tc>
          <w:tcPr>
            <w:tcW w:w="1479" w:type="dxa"/>
            <w:tcBorders>
              <w:top w:val="single" w:sz="4" w:space="0" w:color="auto"/>
            </w:tcBorders>
            <w:noWrap/>
            <w:vAlign w:val="center"/>
            <w:hideMark/>
          </w:tcPr>
          <w:p w14:paraId="487390C8" w14:textId="2DA3A1B5" w:rsidR="00DA3E4E" w:rsidRPr="00A121D4" w:rsidRDefault="00DA3E4E" w:rsidP="00EF51B5">
            <w:pPr>
              <w:jc w:val="center"/>
              <w:rPr>
                <w:rFonts w:ascii="Arial" w:eastAsia="Times New Roman" w:hAnsi="Arial" w:cs="Arial"/>
                <w:sz w:val="18"/>
                <w:szCs w:val="18"/>
                <w:lang w:eastAsia="en-ID"/>
              </w:rPr>
            </w:pPr>
            <w:r w:rsidRPr="00A121D4">
              <w:rPr>
                <w:rFonts w:ascii="Arial" w:eastAsia="Times New Roman" w:hAnsi="Arial" w:cs="Arial"/>
                <w:sz w:val="18"/>
                <w:szCs w:val="18"/>
                <w:lang w:eastAsia="en-ID"/>
              </w:rPr>
              <w:t>6</w:t>
            </w:r>
            <w:r w:rsidR="00066FEE">
              <w:rPr>
                <w:rFonts w:ascii="Arial" w:eastAsia="Times New Roman" w:hAnsi="Arial" w:cs="Arial"/>
                <w:sz w:val="18"/>
                <w:szCs w:val="18"/>
                <w:lang w:eastAsia="en-ID"/>
              </w:rPr>
              <w:t>.</w:t>
            </w:r>
            <w:r w:rsidRPr="00A121D4">
              <w:rPr>
                <w:rFonts w:ascii="Arial" w:eastAsia="Times New Roman" w:hAnsi="Arial" w:cs="Arial"/>
                <w:sz w:val="18"/>
                <w:szCs w:val="18"/>
                <w:lang w:eastAsia="en-ID"/>
              </w:rPr>
              <w:t>336</w:t>
            </w:r>
          </w:p>
        </w:tc>
        <w:tc>
          <w:tcPr>
            <w:tcW w:w="852" w:type="dxa"/>
            <w:tcBorders>
              <w:top w:val="single" w:sz="4" w:space="0" w:color="auto"/>
            </w:tcBorders>
            <w:noWrap/>
            <w:vAlign w:val="center"/>
            <w:hideMark/>
          </w:tcPr>
          <w:p w14:paraId="148619F5" w14:textId="45CF880B" w:rsidR="00DA3E4E" w:rsidRPr="00A121D4" w:rsidRDefault="00DA3E4E" w:rsidP="00EF51B5">
            <w:pPr>
              <w:jc w:val="center"/>
              <w:rPr>
                <w:rFonts w:ascii="Arial" w:eastAsia="Times New Roman" w:hAnsi="Arial" w:cs="Arial"/>
                <w:b/>
                <w:bCs/>
                <w:sz w:val="18"/>
                <w:szCs w:val="18"/>
                <w:lang w:eastAsia="en-ID"/>
              </w:rPr>
            </w:pPr>
            <w:r w:rsidRPr="00A121D4">
              <w:rPr>
                <w:rFonts w:ascii="Arial" w:eastAsia="Times New Roman" w:hAnsi="Arial" w:cs="Arial"/>
                <w:b/>
                <w:bCs/>
                <w:sz w:val="18"/>
                <w:szCs w:val="18"/>
                <w:lang w:eastAsia="en-ID"/>
              </w:rPr>
              <w:t>0</w:t>
            </w:r>
            <w:r w:rsidR="00066FEE">
              <w:rPr>
                <w:rFonts w:ascii="Arial" w:eastAsia="Times New Roman" w:hAnsi="Arial" w:cs="Arial"/>
                <w:b/>
                <w:bCs/>
                <w:sz w:val="18"/>
                <w:szCs w:val="18"/>
                <w:lang w:eastAsia="en-ID"/>
              </w:rPr>
              <w:t>.</w:t>
            </w:r>
            <w:r w:rsidRPr="00A121D4">
              <w:rPr>
                <w:rFonts w:ascii="Arial" w:eastAsia="Times New Roman" w:hAnsi="Arial" w:cs="Arial"/>
                <w:b/>
                <w:bCs/>
                <w:sz w:val="18"/>
                <w:szCs w:val="18"/>
                <w:lang w:eastAsia="en-ID"/>
              </w:rPr>
              <w:t>000</w:t>
            </w:r>
          </w:p>
        </w:tc>
      </w:tr>
      <w:tr w:rsidR="00DA3E4E" w:rsidRPr="00A121D4" w14:paraId="58492CBB" w14:textId="77777777" w:rsidTr="00A121D4">
        <w:trPr>
          <w:trHeight w:val="288"/>
          <w:jc w:val="center"/>
        </w:trPr>
        <w:tc>
          <w:tcPr>
            <w:tcW w:w="0" w:type="auto"/>
            <w:noWrap/>
            <w:vAlign w:val="center"/>
            <w:hideMark/>
          </w:tcPr>
          <w:p w14:paraId="17033E0E" w14:textId="77777777" w:rsidR="00DA3E4E" w:rsidRPr="00A121D4" w:rsidRDefault="00DA3E4E" w:rsidP="00EF51B5">
            <w:pPr>
              <w:rPr>
                <w:rFonts w:ascii="Arial" w:eastAsia="Times New Roman" w:hAnsi="Arial" w:cs="Arial"/>
                <w:b/>
                <w:bCs/>
                <w:sz w:val="18"/>
                <w:szCs w:val="18"/>
                <w:lang w:eastAsia="en-ID"/>
              </w:rPr>
            </w:pPr>
            <w:r w:rsidRPr="00A121D4">
              <w:rPr>
                <w:rFonts w:ascii="Arial" w:eastAsia="Times New Roman" w:hAnsi="Arial" w:cs="Arial"/>
                <w:b/>
                <w:bCs/>
                <w:sz w:val="18"/>
                <w:szCs w:val="18"/>
                <w:lang w:eastAsia="en-ID"/>
              </w:rPr>
              <w:t xml:space="preserve">HC </w:t>
            </w:r>
            <w:r w:rsidRPr="00A121D4">
              <w:rPr>
                <w:rFonts w:ascii="Arial" w:eastAsia="Times New Roman" w:hAnsi="Arial" w:cs="Arial"/>
                <w:b/>
                <w:bCs/>
                <w:sz w:val="18"/>
                <w:szCs w:val="18"/>
                <w:lang w:eastAsia="en-ID"/>
              </w:rPr>
              <w:sym w:font="Wingdings" w:char="F0E0"/>
            </w:r>
            <w:r w:rsidRPr="00A121D4">
              <w:rPr>
                <w:rFonts w:ascii="Arial" w:eastAsia="Times New Roman" w:hAnsi="Arial" w:cs="Arial"/>
                <w:b/>
                <w:bCs/>
                <w:sz w:val="18"/>
                <w:szCs w:val="18"/>
                <w:lang w:eastAsia="en-ID"/>
              </w:rPr>
              <w:t xml:space="preserve"> DC</w:t>
            </w:r>
          </w:p>
        </w:tc>
        <w:tc>
          <w:tcPr>
            <w:tcW w:w="1011" w:type="dxa"/>
            <w:noWrap/>
            <w:vAlign w:val="center"/>
            <w:hideMark/>
          </w:tcPr>
          <w:p w14:paraId="7270690A" w14:textId="204AAC4D" w:rsidR="00DA3E4E" w:rsidRPr="00A121D4" w:rsidRDefault="00DA3E4E" w:rsidP="00EF51B5">
            <w:pPr>
              <w:jc w:val="center"/>
              <w:rPr>
                <w:rFonts w:ascii="Arial" w:eastAsia="Times New Roman" w:hAnsi="Arial" w:cs="Arial"/>
                <w:sz w:val="18"/>
                <w:szCs w:val="18"/>
                <w:lang w:eastAsia="en-ID"/>
              </w:rPr>
            </w:pPr>
            <w:r w:rsidRPr="00A121D4">
              <w:rPr>
                <w:rFonts w:ascii="Arial" w:eastAsia="Times New Roman" w:hAnsi="Arial" w:cs="Arial"/>
                <w:sz w:val="18"/>
                <w:szCs w:val="18"/>
                <w:lang w:eastAsia="en-ID"/>
              </w:rPr>
              <w:t>0</w:t>
            </w:r>
            <w:r w:rsidR="00066FEE">
              <w:rPr>
                <w:rFonts w:ascii="Arial" w:eastAsia="Times New Roman" w:hAnsi="Arial" w:cs="Arial"/>
                <w:sz w:val="18"/>
                <w:szCs w:val="18"/>
                <w:lang w:eastAsia="en-ID"/>
              </w:rPr>
              <w:t>.</w:t>
            </w:r>
            <w:r w:rsidRPr="00A121D4">
              <w:rPr>
                <w:rFonts w:ascii="Arial" w:eastAsia="Times New Roman" w:hAnsi="Arial" w:cs="Arial"/>
                <w:sz w:val="18"/>
                <w:szCs w:val="18"/>
                <w:lang w:eastAsia="en-ID"/>
              </w:rPr>
              <w:t>685</w:t>
            </w:r>
          </w:p>
        </w:tc>
        <w:tc>
          <w:tcPr>
            <w:tcW w:w="981" w:type="dxa"/>
            <w:noWrap/>
            <w:vAlign w:val="center"/>
            <w:hideMark/>
          </w:tcPr>
          <w:p w14:paraId="5D7A892F" w14:textId="387C926D" w:rsidR="00DA3E4E" w:rsidRPr="00A121D4" w:rsidRDefault="00DA3E4E" w:rsidP="00EF51B5">
            <w:pPr>
              <w:jc w:val="center"/>
              <w:rPr>
                <w:rFonts w:ascii="Arial" w:eastAsia="Times New Roman" w:hAnsi="Arial" w:cs="Arial"/>
                <w:sz w:val="18"/>
                <w:szCs w:val="18"/>
                <w:lang w:eastAsia="en-ID"/>
              </w:rPr>
            </w:pPr>
            <w:r w:rsidRPr="00A121D4">
              <w:rPr>
                <w:rFonts w:ascii="Arial" w:eastAsia="Times New Roman" w:hAnsi="Arial" w:cs="Arial"/>
                <w:sz w:val="18"/>
                <w:szCs w:val="18"/>
                <w:lang w:eastAsia="en-ID"/>
              </w:rPr>
              <w:t>0</w:t>
            </w:r>
            <w:r w:rsidR="00066FEE">
              <w:rPr>
                <w:rFonts w:ascii="Arial" w:eastAsia="Times New Roman" w:hAnsi="Arial" w:cs="Arial"/>
                <w:sz w:val="18"/>
                <w:szCs w:val="18"/>
                <w:lang w:eastAsia="en-ID"/>
              </w:rPr>
              <w:t>.</w:t>
            </w:r>
            <w:r w:rsidRPr="00A121D4">
              <w:rPr>
                <w:rFonts w:ascii="Arial" w:eastAsia="Times New Roman" w:hAnsi="Arial" w:cs="Arial"/>
                <w:sz w:val="18"/>
                <w:szCs w:val="18"/>
                <w:lang w:eastAsia="en-ID"/>
              </w:rPr>
              <w:t>688</w:t>
            </w:r>
          </w:p>
        </w:tc>
        <w:tc>
          <w:tcPr>
            <w:tcW w:w="1374" w:type="dxa"/>
            <w:noWrap/>
            <w:vAlign w:val="center"/>
            <w:hideMark/>
          </w:tcPr>
          <w:p w14:paraId="40EDC749" w14:textId="4AE6CB55" w:rsidR="00DA3E4E" w:rsidRPr="00A121D4" w:rsidRDefault="00DA3E4E" w:rsidP="00EF51B5">
            <w:pPr>
              <w:jc w:val="center"/>
              <w:rPr>
                <w:rFonts w:ascii="Arial" w:eastAsia="Times New Roman" w:hAnsi="Arial" w:cs="Arial"/>
                <w:sz w:val="18"/>
                <w:szCs w:val="18"/>
                <w:lang w:eastAsia="en-ID"/>
              </w:rPr>
            </w:pPr>
            <w:r w:rsidRPr="00A121D4">
              <w:rPr>
                <w:rFonts w:ascii="Arial" w:eastAsia="Times New Roman" w:hAnsi="Arial" w:cs="Arial"/>
                <w:sz w:val="18"/>
                <w:szCs w:val="18"/>
                <w:lang w:eastAsia="en-ID"/>
              </w:rPr>
              <w:t>0</w:t>
            </w:r>
            <w:r w:rsidR="00066FEE">
              <w:rPr>
                <w:rFonts w:ascii="Arial" w:eastAsia="Times New Roman" w:hAnsi="Arial" w:cs="Arial"/>
                <w:sz w:val="18"/>
                <w:szCs w:val="18"/>
                <w:lang w:eastAsia="en-ID"/>
              </w:rPr>
              <w:t>.</w:t>
            </w:r>
            <w:r w:rsidRPr="00A121D4">
              <w:rPr>
                <w:rFonts w:ascii="Arial" w:eastAsia="Times New Roman" w:hAnsi="Arial" w:cs="Arial"/>
                <w:sz w:val="18"/>
                <w:szCs w:val="18"/>
                <w:lang w:eastAsia="en-ID"/>
              </w:rPr>
              <w:t>042</w:t>
            </w:r>
          </w:p>
        </w:tc>
        <w:tc>
          <w:tcPr>
            <w:tcW w:w="1479" w:type="dxa"/>
            <w:noWrap/>
            <w:vAlign w:val="center"/>
            <w:hideMark/>
          </w:tcPr>
          <w:p w14:paraId="7D0314FB" w14:textId="277D1358" w:rsidR="00DA3E4E" w:rsidRPr="00A121D4" w:rsidRDefault="00DA3E4E" w:rsidP="00EF51B5">
            <w:pPr>
              <w:jc w:val="center"/>
              <w:rPr>
                <w:rFonts w:ascii="Arial" w:eastAsia="Times New Roman" w:hAnsi="Arial" w:cs="Arial"/>
                <w:sz w:val="18"/>
                <w:szCs w:val="18"/>
                <w:lang w:eastAsia="en-ID"/>
              </w:rPr>
            </w:pPr>
            <w:r w:rsidRPr="00A121D4">
              <w:rPr>
                <w:rFonts w:ascii="Arial" w:eastAsia="Times New Roman" w:hAnsi="Arial" w:cs="Arial"/>
                <w:sz w:val="18"/>
                <w:szCs w:val="18"/>
                <w:lang w:eastAsia="en-ID"/>
              </w:rPr>
              <w:t>16</w:t>
            </w:r>
            <w:r w:rsidR="00066FEE">
              <w:rPr>
                <w:rFonts w:ascii="Arial" w:eastAsia="Times New Roman" w:hAnsi="Arial" w:cs="Arial"/>
                <w:sz w:val="18"/>
                <w:szCs w:val="18"/>
                <w:lang w:eastAsia="en-ID"/>
              </w:rPr>
              <w:t>.</w:t>
            </w:r>
            <w:r w:rsidRPr="00A121D4">
              <w:rPr>
                <w:rFonts w:ascii="Arial" w:eastAsia="Times New Roman" w:hAnsi="Arial" w:cs="Arial"/>
                <w:sz w:val="18"/>
                <w:szCs w:val="18"/>
                <w:lang w:eastAsia="en-ID"/>
              </w:rPr>
              <w:t>176</w:t>
            </w:r>
          </w:p>
        </w:tc>
        <w:tc>
          <w:tcPr>
            <w:tcW w:w="852" w:type="dxa"/>
            <w:noWrap/>
            <w:vAlign w:val="center"/>
            <w:hideMark/>
          </w:tcPr>
          <w:p w14:paraId="7A48DCBD" w14:textId="5A51BAAE" w:rsidR="00DA3E4E" w:rsidRPr="00A121D4" w:rsidRDefault="00DA3E4E" w:rsidP="00EF51B5">
            <w:pPr>
              <w:jc w:val="center"/>
              <w:rPr>
                <w:rFonts w:ascii="Arial" w:eastAsia="Times New Roman" w:hAnsi="Arial" w:cs="Arial"/>
                <w:b/>
                <w:bCs/>
                <w:sz w:val="18"/>
                <w:szCs w:val="18"/>
                <w:lang w:eastAsia="en-ID"/>
              </w:rPr>
            </w:pPr>
            <w:r w:rsidRPr="00A121D4">
              <w:rPr>
                <w:rFonts w:ascii="Arial" w:eastAsia="Times New Roman" w:hAnsi="Arial" w:cs="Arial"/>
                <w:b/>
                <w:bCs/>
                <w:sz w:val="18"/>
                <w:szCs w:val="18"/>
                <w:lang w:eastAsia="en-ID"/>
              </w:rPr>
              <w:t>0</w:t>
            </w:r>
            <w:r w:rsidR="00066FEE">
              <w:rPr>
                <w:rFonts w:ascii="Arial" w:eastAsia="Times New Roman" w:hAnsi="Arial" w:cs="Arial"/>
                <w:b/>
                <w:bCs/>
                <w:sz w:val="18"/>
                <w:szCs w:val="18"/>
                <w:lang w:eastAsia="en-ID"/>
              </w:rPr>
              <w:t>.</w:t>
            </w:r>
            <w:r w:rsidRPr="00A121D4">
              <w:rPr>
                <w:rFonts w:ascii="Arial" w:eastAsia="Times New Roman" w:hAnsi="Arial" w:cs="Arial"/>
                <w:b/>
                <w:bCs/>
                <w:sz w:val="18"/>
                <w:szCs w:val="18"/>
                <w:lang w:eastAsia="en-ID"/>
              </w:rPr>
              <w:t>000</w:t>
            </w:r>
          </w:p>
        </w:tc>
      </w:tr>
      <w:tr w:rsidR="00DA3E4E" w:rsidRPr="00A121D4" w14:paraId="0C1EB12C" w14:textId="77777777" w:rsidTr="00A121D4">
        <w:trPr>
          <w:trHeight w:val="288"/>
          <w:jc w:val="center"/>
        </w:trPr>
        <w:tc>
          <w:tcPr>
            <w:tcW w:w="0" w:type="auto"/>
            <w:tcBorders>
              <w:bottom w:val="single" w:sz="4" w:space="0" w:color="auto"/>
            </w:tcBorders>
            <w:noWrap/>
            <w:vAlign w:val="center"/>
            <w:hideMark/>
          </w:tcPr>
          <w:p w14:paraId="0A45D555" w14:textId="77777777" w:rsidR="00DA3E4E" w:rsidRPr="00A121D4" w:rsidRDefault="00DA3E4E" w:rsidP="00EF51B5">
            <w:pPr>
              <w:rPr>
                <w:rFonts w:ascii="Arial" w:eastAsia="Times New Roman" w:hAnsi="Arial" w:cs="Arial"/>
                <w:b/>
                <w:bCs/>
                <w:sz w:val="18"/>
                <w:szCs w:val="18"/>
                <w:lang w:eastAsia="en-ID"/>
              </w:rPr>
            </w:pPr>
            <w:r w:rsidRPr="00A121D4">
              <w:rPr>
                <w:rFonts w:ascii="Arial" w:eastAsia="Times New Roman" w:hAnsi="Arial" w:cs="Arial"/>
                <w:b/>
                <w:bCs/>
                <w:sz w:val="18"/>
                <w:szCs w:val="18"/>
                <w:lang w:eastAsia="en-ID"/>
              </w:rPr>
              <w:t xml:space="preserve">HC </w:t>
            </w:r>
            <w:r w:rsidRPr="00A121D4">
              <w:rPr>
                <w:rFonts w:ascii="Arial" w:eastAsia="Times New Roman" w:hAnsi="Arial" w:cs="Arial"/>
                <w:b/>
                <w:bCs/>
                <w:sz w:val="18"/>
                <w:szCs w:val="18"/>
                <w:lang w:eastAsia="en-ID"/>
              </w:rPr>
              <w:sym w:font="Wingdings" w:char="F0E0"/>
            </w:r>
            <w:r w:rsidRPr="00A121D4">
              <w:rPr>
                <w:rFonts w:ascii="Arial" w:eastAsia="Times New Roman" w:hAnsi="Arial" w:cs="Arial"/>
                <w:b/>
                <w:bCs/>
                <w:sz w:val="18"/>
                <w:szCs w:val="18"/>
                <w:lang w:eastAsia="en-ID"/>
              </w:rPr>
              <w:t xml:space="preserve"> INT</w:t>
            </w:r>
          </w:p>
        </w:tc>
        <w:tc>
          <w:tcPr>
            <w:tcW w:w="1011" w:type="dxa"/>
            <w:tcBorders>
              <w:bottom w:val="single" w:sz="4" w:space="0" w:color="auto"/>
            </w:tcBorders>
            <w:noWrap/>
            <w:vAlign w:val="center"/>
            <w:hideMark/>
          </w:tcPr>
          <w:p w14:paraId="3415D7B9" w14:textId="5C8E7753" w:rsidR="00DA3E4E" w:rsidRPr="00A121D4" w:rsidRDefault="00DA3E4E" w:rsidP="00EF51B5">
            <w:pPr>
              <w:jc w:val="center"/>
              <w:rPr>
                <w:rFonts w:ascii="Arial" w:eastAsia="Times New Roman" w:hAnsi="Arial" w:cs="Arial"/>
                <w:sz w:val="18"/>
                <w:szCs w:val="18"/>
                <w:lang w:eastAsia="en-ID"/>
              </w:rPr>
            </w:pPr>
            <w:r w:rsidRPr="00A121D4">
              <w:rPr>
                <w:rFonts w:ascii="Arial" w:eastAsia="Times New Roman" w:hAnsi="Arial" w:cs="Arial"/>
                <w:sz w:val="18"/>
                <w:szCs w:val="18"/>
                <w:lang w:eastAsia="en-ID"/>
              </w:rPr>
              <w:t>0</w:t>
            </w:r>
            <w:r w:rsidR="00066FEE">
              <w:rPr>
                <w:rFonts w:ascii="Arial" w:eastAsia="Times New Roman" w:hAnsi="Arial" w:cs="Arial"/>
                <w:sz w:val="18"/>
                <w:szCs w:val="18"/>
                <w:lang w:eastAsia="en-ID"/>
              </w:rPr>
              <w:t>.</w:t>
            </w:r>
            <w:r w:rsidRPr="00A121D4">
              <w:rPr>
                <w:rFonts w:ascii="Arial" w:eastAsia="Times New Roman" w:hAnsi="Arial" w:cs="Arial"/>
                <w:sz w:val="18"/>
                <w:szCs w:val="18"/>
                <w:lang w:eastAsia="en-ID"/>
              </w:rPr>
              <w:t>275</w:t>
            </w:r>
          </w:p>
        </w:tc>
        <w:tc>
          <w:tcPr>
            <w:tcW w:w="981" w:type="dxa"/>
            <w:tcBorders>
              <w:bottom w:val="single" w:sz="4" w:space="0" w:color="auto"/>
            </w:tcBorders>
            <w:noWrap/>
            <w:vAlign w:val="center"/>
            <w:hideMark/>
          </w:tcPr>
          <w:p w14:paraId="4501B6BD" w14:textId="05BDF83B" w:rsidR="00DA3E4E" w:rsidRPr="00A121D4" w:rsidRDefault="00DA3E4E" w:rsidP="00EF51B5">
            <w:pPr>
              <w:jc w:val="center"/>
              <w:rPr>
                <w:rFonts w:ascii="Arial" w:eastAsia="Times New Roman" w:hAnsi="Arial" w:cs="Arial"/>
                <w:sz w:val="18"/>
                <w:szCs w:val="18"/>
                <w:lang w:eastAsia="en-ID"/>
              </w:rPr>
            </w:pPr>
            <w:r w:rsidRPr="00A121D4">
              <w:rPr>
                <w:rFonts w:ascii="Arial" w:eastAsia="Times New Roman" w:hAnsi="Arial" w:cs="Arial"/>
                <w:sz w:val="18"/>
                <w:szCs w:val="18"/>
                <w:lang w:eastAsia="en-ID"/>
              </w:rPr>
              <w:t>0</w:t>
            </w:r>
            <w:r w:rsidR="00066FEE">
              <w:rPr>
                <w:rFonts w:ascii="Arial" w:eastAsia="Times New Roman" w:hAnsi="Arial" w:cs="Arial"/>
                <w:sz w:val="18"/>
                <w:szCs w:val="18"/>
                <w:lang w:eastAsia="en-ID"/>
              </w:rPr>
              <w:t>.</w:t>
            </w:r>
            <w:r w:rsidRPr="00A121D4">
              <w:rPr>
                <w:rFonts w:ascii="Arial" w:eastAsia="Times New Roman" w:hAnsi="Arial" w:cs="Arial"/>
                <w:sz w:val="18"/>
                <w:szCs w:val="18"/>
                <w:lang w:eastAsia="en-ID"/>
              </w:rPr>
              <w:t>279</w:t>
            </w:r>
          </w:p>
        </w:tc>
        <w:tc>
          <w:tcPr>
            <w:tcW w:w="1374" w:type="dxa"/>
            <w:tcBorders>
              <w:bottom w:val="single" w:sz="4" w:space="0" w:color="auto"/>
            </w:tcBorders>
            <w:noWrap/>
            <w:vAlign w:val="center"/>
            <w:hideMark/>
          </w:tcPr>
          <w:p w14:paraId="6DCC4507" w14:textId="6E5CDAB6" w:rsidR="00DA3E4E" w:rsidRPr="00A121D4" w:rsidRDefault="00DA3E4E" w:rsidP="00EF51B5">
            <w:pPr>
              <w:jc w:val="center"/>
              <w:rPr>
                <w:rFonts w:ascii="Arial" w:eastAsia="Times New Roman" w:hAnsi="Arial" w:cs="Arial"/>
                <w:sz w:val="18"/>
                <w:szCs w:val="18"/>
                <w:lang w:eastAsia="en-ID"/>
              </w:rPr>
            </w:pPr>
            <w:r w:rsidRPr="00A121D4">
              <w:rPr>
                <w:rFonts w:ascii="Arial" w:eastAsia="Times New Roman" w:hAnsi="Arial" w:cs="Arial"/>
                <w:sz w:val="18"/>
                <w:szCs w:val="18"/>
                <w:lang w:eastAsia="en-ID"/>
              </w:rPr>
              <w:t>0</w:t>
            </w:r>
            <w:r w:rsidR="00066FEE">
              <w:rPr>
                <w:rFonts w:ascii="Arial" w:eastAsia="Times New Roman" w:hAnsi="Arial" w:cs="Arial"/>
                <w:sz w:val="18"/>
                <w:szCs w:val="18"/>
                <w:lang w:eastAsia="en-ID"/>
              </w:rPr>
              <w:t>.</w:t>
            </w:r>
            <w:r w:rsidRPr="00A121D4">
              <w:rPr>
                <w:rFonts w:ascii="Arial" w:eastAsia="Times New Roman" w:hAnsi="Arial" w:cs="Arial"/>
                <w:sz w:val="18"/>
                <w:szCs w:val="18"/>
                <w:lang w:eastAsia="en-ID"/>
              </w:rPr>
              <w:t>080</w:t>
            </w:r>
          </w:p>
        </w:tc>
        <w:tc>
          <w:tcPr>
            <w:tcW w:w="1479" w:type="dxa"/>
            <w:tcBorders>
              <w:bottom w:val="single" w:sz="4" w:space="0" w:color="auto"/>
            </w:tcBorders>
            <w:noWrap/>
            <w:vAlign w:val="center"/>
            <w:hideMark/>
          </w:tcPr>
          <w:p w14:paraId="50810B9D" w14:textId="540A1FB3" w:rsidR="00DA3E4E" w:rsidRPr="00A121D4" w:rsidRDefault="00DA3E4E" w:rsidP="00EF51B5">
            <w:pPr>
              <w:jc w:val="center"/>
              <w:rPr>
                <w:rFonts w:ascii="Arial" w:eastAsia="Times New Roman" w:hAnsi="Arial" w:cs="Arial"/>
                <w:sz w:val="18"/>
                <w:szCs w:val="18"/>
                <w:lang w:eastAsia="en-ID"/>
              </w:rPr>
            </w:pPr>
            <w:r w:rsidRPr="00A121D4">
              <w:rPr>
                <w:rFonts w:ascii="Arial" w:eastAsia="Times New Roman" w:hAnsi="Arial" w:cs="Arial"/>
                <w:sz w:val="18"/>
                <w:szCs w:val="18"/>
                <w:lang w:eastAsia="en-ID"/>
              </w:rPr>
              <w:t>3</w:t>
            </w:r>
            <w:r w:rsidR="00066FEE">
              <w:rPr>
                <w:rFonts w:ascii="Arial" w:eastAsia="Times New Roman" w:hAnsi="Arial" w:cs="Arial"/>
                <w:sz w:val="18"/>
                <w:szCs w:val="18"/>
                <w:lang w:eastAsia="en-ID"/>
              </w:rPr>
              <w:t>.</w:t>
            </w:r>
            <w:r w:rsidRPr="00A121D4">
              <w:rPr>
                <w:rFonts w:ascii="Arial" w:eastAsia="Times New Roman" w:hAnsi="Arial" w:cs="Arial"/>
                <w:sz w:val="18"/>
                <w:szCs w:val="18"/>
                <w:lang w:eastAsia="en-ID"/>
              </w:rPr>
              <w:t>439</w:t>
            </w:r>
          </w:p>
        </w:tc>
        <w:tc>
          <w:tcPr>
            <w:tcW w:w="852" w:type="dxa"/>
            <w:tcBorders>
              <w:bottom w:val="single" w:sz="4" w:space="0" w:color="auto"/>
            </w:tcBorders>
            <w:noWrap/>
            <w:vAlign w:val="center"/>
            <w:hideMark/>
          </w:tcPr>
          <w:p w14:paraId="01A7596F" w14:textId="757B80B6" w:rsidR="00DA3E4E" w:rsidRPr="00A121D4" w:rsidRDefault="00DA3E4E" w:rsidP="00EF51B5">
            <w:pPr>
              <w:jc w:val="center"/>
              <w:rPr>
                <w:rFonts w:ascii="Arial" w:eastAsia="Times New Roman" w:hAnsi="Arial" w:cs="Arial"/>
                <w:b/>
                <w:bCs/>
                <w:sz w:val="18"/>
                <w:szCs w:val="18"/>
                <w:lang w:eastAsia="en-ID"/>
              </w:rPr>
            </w:pPr>
            <w:r w:rsidRPr="00A121D4">
              <w:rPr>
                <w:rFonts w:ascii="Arial" w:eastAsia="Times New Roman" w:hAnsi="Arial" w:cs="Arial"/>
                <w:b/>
                <w:bCs/>
                <w:sz w:val="18"/>
                <w:szCs w:val="18"/>
                <w:lang w:eastAsia="en-ID"/>
              </w:rPr>
              <w:t>0</w:t>
            </w:r>
            <w:r w:rsidR="00066FEE">
              <w:rPr>
                <w:rFonts w:ascii="Arial" w:eastAsia="Times New Roman" w:hAnsi="Arial" w:cs="Arial"/>
                <w:b/>
                <w:bCs/>
                <w:sz w:val="18"/>
                <w:szCs w:val="18"/>
                <w:lang w:eastAsia="en-ID"/>
              </w:rPr>
              <w:t>.</w:t>
            </w:r>
            <w:r w:rsidRPr="00A121D4">
              <w:rPr>
                <w:rFonts w:ascii="Arial" w:eastAsia="Times New Roman" w:hAnsi="Arial" w:cs="Arial"/>
                <w:b/>
                <w:bCs/>
                <w:sz w:val="18"/>
                <w:szCs w:val="18"/>
                <w:lang w:eastAsia="en-ID"/>
              </w:rPr>
              <w:t>001</w:t>
            </w:r>
          </w:p>
        </w:tc>
      </w:tr>
    </w:tbl>
    <w:p w14:paraId="464EE881" w14:textId="77777777" w:rsidR="00DA3E4E" w:rsidRDefault="00DA3E4E" w:rsidP="00DA3E4E">
      <w:pPr>
        <w:pStyle w:val="Body"/>
        <w:spacing w:after="0"/>
        <w:rPr>
          <w:rFonts w:ascii="Arial" w:hAnsi="Arial" w:cs="Arial"/>
        </w:rPr>
      </w:pPr>
    </w:p>
    <w:p w14:paraId="7A4FF030" w14:textId="77777777" w:rsidR="00887C11" w:rsidRPr="00887C11" w:rsidRDefault="00887C11" w:rsidP="00887C11">
      <w:pPr>
        <w:jc w:val="both"/>
      </w:pPr>
      <w:r w:rsidRPr="00887C11">
        <w:t>The structural model was evaluated by examining the path coefficients, their statistical significance, and the indirect effects among constructs. The assessment relies on the magnitude of the original sample estimates, t-statistics, and p-values to determine the strength and significance of the hypothesized relationships. A path is considered significant when the t-statistic exceeds 1.96 and the p-value is below 0.05, indicating robust empirical support for the proposed relationships.</w:t>
      </w:r>
    </w:p>
    <w:p w14:paraId="67BE6562" w14:textId="77777777" w:rsidR="00887C11" w:rsidRPr="00887C11" w:rsidRDefault="00887C11" w:rsidP="00887C11">
      <w:pPr>
        <w:jc w:val="both"/>
      </w:pPr>
      <w:r w:rsidRPr="00887C11">
        <w:t>As shown in Table 3, Human Capital exhibits a strong, positive, and statistically significant effect on Digital Capability (β = 0.685, t = 16.176, p &lt; 0.001). This standardized path coefficient indicates that a one standard deviation increase in human capital is associated with a 0.685 standard deviation increase in digital capability, holding other factors constant. In practical terms, this suggests that investments in employee competencies, including managerial expertise, technical skills, and learning agility, yield substantial returns in enhancing a firm's digital readiness and technological adoption capacity.</w:t>
      </w:r>
    </w:p>
    <w:p w14:paraId="0E445BDD" w14:textId="77777777" w:rsidR="00887C11" w:rsidRPr="00887C11" w:rsidRDefault="00887C11" w:rsidP="00887C11">
      <w:pPr>
        <w:jc w:val="both"/>
      </w:pPr>
      <w:r w:rsidRPr="00887C11">
        <w:t>Furthermore, Digital Capability demonstrates a positive and significant influence on Internationalization (β = 0.482, t = 6.336, p &lt; 0.001). This finding implies that firms with stronger digital infrastructures and data-driven decision-making processes are better positioned to overcome traditional barriers to global market entry, such as geographic distance and information asymmetry. The magnitude of this effect underscores digital capability as a strategic enabler for MSMEs seeking to expand internationally.</w:t>
      </w:r>
    </w:p>
    <w:p w14:paraId="6F84D90A" w14:textId="77777777" w:rsidR="00887C11" w:rsidRPr="00887C11" w:rsidRDefault="00887C11" w:rsidP="00887C11">
      <w:pPr>
        <w:jc w:val="both"/>
      </w:pPr>
      <w:r w:rsidRPr="00887C11">
        <w:t>Human Capital also exerts a direct, positive, and significant effect on Internationalization (β = 0.275, t = 3.439, p = 0.001), although the effect size is notably smaller compared to its indirect pathway through Digital Capability. This pattern suggests that while human capital contributes to internationalization through knowledge, experience, and strategic decision-making, its impact is substantially amplified when mediated by digital mechanisms.</w:t>
      </w:r>
    </w:p>
    <w:p w14:paraId="1B0D8A6A" w14:textId="568757D5" w:rsidR="00DA3E4E" w:rsidRDefault="00887C11" w:rsidP="00887C11">
      <w:pPr>
        <w:jc w:val="both"/>
      </w:pPr>
      <w:r w:rsidRPr="00887C11">
        <w:t>The mediation analysis (Table 4) confirms that Digital Capability significantly mediates the relationship between Human Capital and Internationalization. The indirect effect is positive and statistically significant (β = 0.330, t = 5.863, p &lt; 0.001), supporting a partial mediation mechanism. This indicates that human capital enhances internationalization not only through direct contributions but also, to a greater extent, by first building digital capability, which then facilitates global market engagement. Collectively, these results highlight that digital capability functions as a critical conversion mechanism that operationalizes human capital into tangible international outcomes.</w:t>
      </w:r>
    </w:p>
    <w:p w14:paraId="66B2A817" w14:textId="77777777" w:rsidR="00DA3E4E" w:rsidRDefault="00DA3E4E" w:rsidP="00DA3E4E">
      <w:pPr>
        <w:pStyle w:val="Body"/>
        <w:spacing w:after="0"/>
        <w:rPr>
          <w:rFonts w:ascii="Arial" w:hAnsi="Arial" w:cs="Arial"/>
        </w:rPr>
      </w:pPr>
    </w:p>
    <w:p w14:paraId="1432C1C9" w14:textId="77777777" w:rsidR="00DA3E4E" w:rsidRPr="00DA3E4E" w:rsidRDefault="00DA3E4E" w:rsidP="00DA3E4E">
      <w:pPr>
        <w:spacing w:line="278" w:lineRule="auto"/>
        <w:jc w:val="center"/>
        <w:rPr>
          <w:rFonts w:ascii="Arial" w:hAnsi="Arial" w:cs="Arial"/>
          <w:b/>
          <w:bCs/>
        </w:rPr>
      </w:pPr>
      <w:r w:rsidRPr="00DA3E4E">
        <w:rPr>
          <w:rFonts w:ascii="Arial" w:hAnsi="Arial" w:cs="Arial"/>
          <w:b/>
          <w:bCs/>
        </w:rPr>
        <w:t>Table 4. Indirect Effect (Mediation Analysis)</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18"/>
        <w:gridCol w:w="1138"/>
        <w:gridCol w:w="992"/>
        <w:gridCol w:w="1276"/>
        <w:gridCol w:w="1559"/>
        <w:gridCol w:w="992"/>
      </w:tblGrid>
      <w:tr w:rsidR="00DA3E4E" w:rsidRPr="00A121D4" w14:paraId="48054888" w14:textId="77777777" w:rsidTr="00A121D4">
        <w:trPr>
          <w:trHeight w:val="288"/>
          <w:jc w:val="center"/>
        </w:trPr>
        <w:tc>
          <w:tcPr>
            <w:tcW w:w="2118" w:type="dxa"/>
            <w:tcBorders>
              <w:top w:val="single" w:sz="4" w:space="0" w:color="auto"/>
              <w:bottom w:val="single" w:sz="4" w:space="0" w:color="auto"/>
            </w:tcBorders>
            <w:noWrap/>
            <w:vAlign w:val="center"/>
            <w:hideMark/>
          </w:tcPr>
          <w:p w14:paraId="7A40EE98" w14:textId="77777777" w:rsidR="00DA3E4E" w:rsidRPr="00A121D4" w:rsidRDefault="00DA3E4E" w:rsidP="00EF51B5">
            <w:pPr>
              <w:jc w:val="center"/>
              <w:rPr>
                <w:rFonts w:ascii="Arial" w:eastAsia="Times New Roman" w:hAnsi="Arial" w:cs="Arial"/>
                <w:b/>
                <w:bCs/>
                <w:sz w:val="18"/>
                <w:szCs w:val="18"/>
                <w:lang w:eastAsia="en-ID"/>
              </w:rPr>
            </w:pPr>
          </w:p>
        </w:tc>
        <w:tc>
          <w:tcPr>
            <w:tcW w:w="1138" w:type="dxa"/>
            <w:tcBorders>
              <w:top w:val="single" w:sz="4" w:space="0" w:color="auto"/>
              <w:bottom w:val="single" w:sz="4" w:space="0" w:color="auto"/>
            </w:tcBorders>
            <w:noWrap/>
            <w:vAlign w:val="center"/>
            <w:hideMark/>
          </w:tcPr>
          <w:p w14:paraId="280E2E5D" w14:textId="77777777" w:rsidR="00DA3E4E" w:rsidRPr="00A121D4" w:rsidRDefault="00DA3E4E" w:rsidP="00EF51B5">
            <w:pPr>
              <w:jc w:val="center"/>
              <w:rPr>
                <w:rFonts w:ascii="Arial" w:eastAsia="Times New Roman" w:hAnsi="Arial" w:cs="Arial"/>
                <w:b/>
                <w:bCs/>
                <w:sz w:val="18"/>
                <w:szCs w:val="18"/>
                <w:lang w:eastAsia="en-ID"/>
              </w:rPr>
            </w:pPr>
            <w:r w:rsidRPr="00A121D4">
              <w:rPr>
                <w:rFonts w:ascii="Arial" w:eastAsia="Times New Roman" w:hAnsi="Arial" w:cs="Arial"/>
                <w:b/>
                <w:bCs/>
                <w:sz w:val="18"/>
                <w:szCs w:val="18"/>
                <w:lang w:eastAsia="en-ID"/>
              </w:rPr>
              <w:t>Original Sample (O)</w:t>
            </w:r>
          </w:p>
        </w:tc>
        <w:tc>
          <w:tcPr>
            <w:tcW w:w="992" w:type="dxa"/>
            <w:tcBorders>
              <w:top w:val="single" w:sz="4" w:space="0" w:color="auto"/>
              <w:bottom w:val="single" w:sz="4" w:space="0" w:color="auto"/>
            </w:tcBorders>
            <w:noWrap/>
            <w:vAlign w:val="center"/>
            <w:hideMark/>
          </w:tcPr>
          <w:p w14:paraId="4315640D" w14:textId="77777777" w:rsidR="00DA3E4E" w:rsidRPr="00A121D4" w:rsidRDefault="00DA3E4E" w:rsidP="00EF51B5">
            <w:pPr>
              <w:jc w:val="center"/>
              <w:rPr>
                <w:rFonts w:ascii="Arial" w:eastAsia="Times New Roman" w:hAnsi="Arial" w:cs="Arial"/>
                <w:b/>
                <w:bCs/>
                <w:sz w:val="18"/>
                <w:szCs w:val="18"/>
                <w:lang w:eastAsia="en-ID"/>
              </w:rPr>
            </w:pPr>
            <w:r w:rsidRPr="00A121D4">
              <w:rPr>
                <w:rFonts w:ascii="Arial" w:eastAsia="Times New Roman" w:hAnsi="Arial" w:cs="Arial"/>
                <w:b/>
                <w:bCs/>
                <w:sz w:val="18"/>
                <w:szCs w:val="18"/>
                <w:lang w:eastAsia="en-ID"/>
              </w:rPr>
              <w:t>Sample Mean (M)</w:t>
            </w:r>
          </w:p>
        </w:tc>
        <w:tc>
          <w:tcPr>
            <w:tcW w:w="1276" w:type="dxa"/>
            <w:tcBorders>
              <w:top w:val="single" w:sz="4" w:space="0" w:color="auto"/>
              <w:bottom w:val="single" w:sz="4" w:space="0" w:color="auto"/>
            </w:tcBorders>
            <w:noWrap/>
            <w:vAlign w:val="center"/>
            <w:hideMark/>
          </w:tcPr>
          <w:p w14:paraId="26AC1E64" w14:textId="77777777" w:rsidR="00DA3E4E" w:rsidRPr="00A121D4" w:rsidRDefault="00DA3E4E" w:rsidP="00EF51B5">
            <w:pPr>
              <w:jc w:val="center"/>
              <w:rPr>
                <w:rFonts w:ascii="Arial" w:eastAsia="Times New Roman" w:hAnsi="Arial" w:cs="Arial"/>
                <w:b/>
                <w:bCs/>
                <w:sz w:val="18"/>
                <w:szCs w:val="18"/>
                <w:lang w:eastAsia="en-ID"/>
              </w:rPr>
            </w:pPr>
            <w:r w:rsidRPr="00A121D4">
              <w:rPr>
                <w:rFonts w:ascii="Arial" w:eastAsia="Times New Roman" w:hAnsi="Arial" w:cs="Arial"/>
                <w:b/>
                <w:bCs/>
                <w:sz w:val="18"/>
                <w:szCs w:val="18"/>
                <w:lang w:eastAsia="en-ID"/>
              </w:rPr>
              <w:t>Standard Deviation (STDEV)</w:t>
            </w:r>
          </w:p>
        </w:tc>
        <w:tc>
          <w:tcPr>
            <w:tcW w:w="1559" w:type="dxa"/>
            <w:tcBorders>
              <w:top w:val="single" w:sz="4" w:space="0" w:color="auto"/>
              <w:bottom w:val="single" w:sz="4" w:space="0" w:color="auto"/>
            </w:tcBorders>
            <w:noWrap/>
            <w:vAlign w:val="center"/>
            <w:hideMark/>
          </w:tcPr>
          <w:p w14:paraId="3416A9BC" w14:textId="77777777" w:rsidR="00DA3E4E" w:rsidRPr="00A121D4" w:rsidRDefault="00DA3E4E" w:rsidP="00EF51B5">
            <w:pPr>
              <w:jc w:val="center"/>
              <w:rPr>
                <w:rFonts w:ascii="Arial" w:eastAsia="Times New Roman" w:hAnsi="Arial" w:cs="Arial"/>
                <w:b/>
                <w:bCs/>
                <w:sz w:val="18"/>
                <w:szCs w:val="18"/>
                <w:lang w:eastAsia="en-ID"/>
              </w:rPr>
            </w:pPr>
            <w:r w:rsidRPr="00A121D4">
              <w:rPr>
                <w:rFonts w:ascii="Arial" w:eastAsia="Times New Roman" w:hAnsi="Arial" w:cs="Arial"/>
                <w:b/>
                <w:bCs/>
                <w:sz w:val="18"/>
                <w:szCs w:val="18"/>
                <w:lang w:eastAsia="en-ID"/>
              </w:rPr>
              <w:t>T Statistics (|O/STDEV|)</w:t>
            </w:r>
          </w:p>
        </w:tc>
        <w:tc>
          <w:tcPr>
            <w:tcW w:w="992" w:type="dxa"/>
            <w:tcBorders>
              <w:top w:val="single" w:sz="4" w:space="0" w:color="auto"/>
              <w:bottom w:val="single" w:sz="4" w:space="0" w:color="auto"/>
            </w:tcBorders>
            <w:noWrap/>
            <w:vAlign w:val="center"/>
            <w:hideMark/>
          </w:tcPr>
          <w:p w14:paraId="647A6F1B" w14:textId="77777777" w:rsidR="00DA3E4E" w:rsidRPr="00A121D4" w:rsidRDefault="00DA3E4E" w:rsidP="00EF51B5">
            <w:pPr>
              <w:jc w:val="center"/>
              <w:rPr>
                <w:rFonts w:ascii="Arial" w:eastAsia="Times New Roman" w:hAnsi="Arial" w:cs="Arial"/>
                <w:b/>
                <w:bCs/>
                <w:sz w:val="18"/>
                <w:szCs w:val="18"/>
                <w:lang w:eastAsia="en-ID"/>
              </w:rPr>
            </w:pPr>
            <w:r w:rsidRPr="00A121D4">
              <w:rPr>
                <w:rFonts w:ascii="Arial" w:eastAsia="Times New Roman" w:hAnsi="Arial" w:cs="Arial"/>
                <w:b/>
                <w:bCs/>
                <w:sz w:val="18"/>
                <w:szCs w:val="18"/>
                <w:lang w:eastAsia="en-ID"/>
              </w:rPr>
              <w:t>P Values</w:t>
            </w:r>
          </w:p>
        </w:tc>
      </w:tr>
      <w:tr w:rsidR="00DA3E4E" w:rsidRPr="00A121D4" w14:paraId="70DA0089" w14:textId="77777777" w:rsidTr="00A121D4">
        <w:trPr>
          <w:trHeight w:val="288"/>
          <w:jc w:val="center"/>
        </w:trPr>
        <w:tc>
          <w:tcPr>
            <w:tcW w:w="2118" w:type="dxa"/>
            <w:tcBorders>
              <w:top w:val="single" w:sz="4" w:space="0" w:color="auto"/>
            </w:tcBorders>
            <w:noWrap/>
            <w:vAlign w:val="center"/>
            <w:hideMark/>
          </w:tcPr>
          <w:p w14:paraId="0DBC6E90" w14:textId="77777777" w:rsidR="00DA3E4E" w:rsidRPr="00A121D4" w:rsidRDefault="00DA3E4E" w:rsidP="00EF51B5">
            <w:pPr>
              <w:rPr>
                <w:rFonts w:ascii="Arial" w:eastAsia="Times New Roman" w:hAnsi="Arial" w:cs="Arial"/>
                <w:b/>
                <w:bCs/>
                <w:sz w:val="18"/>
                <w:szCs w:val="18"/>
                <w:lang w:eastAsia="en-ID"/>
              </w:rPr>
            </w:pPr>
            <w:r w:rsidRPr="00A121D4">
              <w:rPr>
                <w:rFonts w:ascii="Arial" w:eastAsia="Times New Roman" w:hAnsi="Arial" w:cs="Arial"/>
                <w:b/>
                <w:bCs/>
                <w:sz w:val="18"/>
                <w:szCs w:val="18"/>
                <w:lang w:eastAsia="en-ID"/>
              </w:rPr>
              <w:t xml:space="preserve">HC </w:t>
            </w:r>
            <w:r w:rsidRPr="00A121D4">
              <w:rPr>
                <w:rFonts w:ascii="Arial" w:eastAsia="Times New Roman" w:hAnsi="Arial" w:cs="Arial"/>
                <w:b/>
                <w:bCs/>
                <w:sz w:val="18"/>
                <w:szCs w:val="18"/>
                <w:lang w:eastAsia="en-ID"/>
              </w:rPr>
              <w:sym w:font="Wingdings" w:char="F0E0"/>
            </w:r>
            <w:r w:rsidRPr="00A121D4">
              <w:rPr>
                <w:rFonts w:ascii="Arial" w:eastAsia="Times New Roman" w:hAnsi="Arial" w:cs="Arial"/>
                <w:b/>
                <w:bCs/>
                <w:sz w:val="18"/>
                <w:szCs w:val="18"/>
                <w:lang w:eastAsia="en-ID"/>
              </w:rPr>
              <w:t xml:space="preserve"> DC </w:t>
            </w:r>
            <w:r w:rsidRPr="00A121D4">
              <w:rPr>
                <w:rFonts w:ascii="Arial" w:eastAsia="Times New Roman" w:hAnsi="Arial" w:cs="Arial"/>
                <w:b/>
                <w:bCs/>
                <w:sz w:val="18"/>
                <w:szCs w:val="18"/>
                <w:lang w:eastAsia="en-ID"/>
              </w:rPr>
              <w:sym w:font="Wingdings" w:char="F0E0"/>
            </w:r>
            <w:r w:rsidRPr="00A121D4">
              <w:rPr>
                <w:rFonts w:ascii="Arial" w:eastAsia="Times New Roman" w:hAnsi="Arial" w:cs="Arial"/>
                <w:b/>
                <w:bCs/>
                <w:sz w:val="18"/>
                <w:szCs w:val="18"/>
                <w:lang w:eastAsia="en-ID"/>
              </w:rPr>
              <w:t xml:space="preserve"> INT</w:t>
            </w:r>
          </w:p>
        </w:tc>
        <w:tc>
          <w:tcPr>
            <w:tcW w:w="1138" w:type="dxa"/>
            <w:tcBorders>
              <w:top w:val="single" w:sz="4" w:space="0" w:color="auto"/>
            </w:tcBorders>
            <w:noWrap/>
            <w:vAlign w:val="center"/>
            <w:hideMark/>
          </w:tcPr>
          <w:p w14:paraId="10EA4609" w14:textId="76DCFA6D" w:rsidR="00DA3E4E" w:rsidRPr="00A121D4" w:rsidRDefault="00DA3E4E" w:rsidP="00EF51B5">
            <w:pPr>
              <w:jc w:val="center"/>
              <w:rPr>
                <w:rFonts w:ascii="Arial" w:eastAsia="Times New Roman" w:hAnsi="Arial" w:cs="Arial"/>
                <w:sz w:val="18"/>
                <w:szCs w:val="18"/>
                <w:lang w:eastAsia="en-ID"/>
              </w:rPr>
            </w:pPr>
            <w:r w:rsidRPr="00A121D4">
              <w:rPr>
                <w:rFonts w:ascii="Arial" w:eastAsia="Times New Roman" w:hAnsi="Arial" w:cs="Arial"/>
                <w:sz w:val="18"/>
                <w:szCs w:val="18"/>
                <w:lang w:eastAsia="en-ID"/>
              </w:rPr>
              <w:t>0</w:t>
            </w:r>
            <w:r w:rsidR="00720D6C">
              <w:rPr>
                <w:rFonts w:ascii="Arial" w:eastAsia="Times New Roman" w:hAnsi="Arial" w:cs="Arial"/>
                <w:sz w:val="18"/>
                <w:szCs w:val="18"/>
                <w:lang w:eastAsia="en-ID"/>
              </w:rPr>
              <w:t>.</w:t>
            </w:r>
            <w:r w:rsidRPr="00A121D4">
              <w:rPr>
                <w:rFonts w:ascii="Arial" w:eastAsia="Times New Roman" w:hAnsi="Arial" w:cs="Arial"/>
                <w:sz w:val="18"/>
                <w:szCs w:val="18"/>
                <w:lang w:eastAsia="en-ID"/>
              </w:rPr>
              <w:t>330</w:t>
            </w:r>
          </w:p>
        </w:tc>
        <w:tc>
          <w:tcPr>
            <w:tcW w:w="992" w:type="dxa"/>
            <w:tcBorders>
              <w:top w:val="single" w:sz="4" w:space="0" w:color="auto"/>
            </w:tcBorders>
            <w:noWrap/>
            <w:vAlign w:val="center"/>
            <w:hideMark/>
          </w:tcPr>
          <w:p w14:paraId="068D71D5" w14:textId="4AFA1272" w:rsidR="00DA3E4E" w:rsidRPr="00A121D4" w:rsidRDefault="00DA3E4E" w:rsidP="00EF51B5">
            <w:pPr>
              <w:jc w:val="center"/>
              <w:rPr>
                <w:rFonts w:ascii="Arial" w:eastAsia="Times New Roman" w:hAnsi="Arial" w:cs="Arial"/>
                <w:sz w:val="18"/>
                <w:szCs w:val="18"/>
                <w:lang w:eastAsia="en-ID"/>
              </w:rPr>
            </w:pPr>
            <w:r w:rsidRPr="00A121D4">
              <w:rPr>
                <w:rFonts w:ascii="Arial" w:eastAsia="Times New Roman" w:hAnsi="Arial" w:cs="Arial"/>
                <w:sz w:val="18"/>
                <w:szCs w:val="18"/>
                <w:lang w:eastAsia="en-ID"/>
              </w:rPr>
              <w:t>0</w:t>
            </w:r>
            <w:r w:rsidR="00720D6C">
              <w:rPr>
                <w:rFonts w:ascii="Arial" w:eastAsia="Times New Roman" w:hAnsi="Arial" w:cs="Arial"/>
                <w:sz w:val="18"/>
                <w:szCs w:val="18"/>
                <w:lang w:eastAsia="en-ID"/>
              </w:rPr>
              <w:t>.</w:t>
            </w:r>
            <w:r w:rsidRPr="00A121D4">
              <w:rPr>
                <w:rFonts w:ascii="Arial" w:eastAsia="Times New Roman" w:hAnsi="Arial" w:cs="Arial"/>
                <w:sz w:val="18"/>
                <w:szCs w:val="18"/>
                <w:lang w:eastAsia="en-ID"/>
              </w:rPr>
              <w:t>330</w:t>
            </w:r>
          </w:p>
        </w:tc>
        <w:tc>
          <w:tcPr>
            <w:tcW w:w="1276" w:type="dxa"/>
            <w:tcBorders>
              <w:top w:val="single" w:sz="4" w:space="0" w:color="auto"/>
            </w:tcBorders>
            <w:noWrap/>
            <w:vAlign w:val="center"/>
            <w:hideMark/>
          </w:tcPr>
          <w:p w14:paraId="7B54B272" w14:textId="54A4C6AB" w:rsidR="00DA3E4E" w:rsidRPr="00A121D4" w:rsidRDefault="00DA3E4E" w:rsidP="00EF51B5">
            <w:pPr>
              <w:jc w:val="center"/>
              <w:rPr>
                <w:rFonts w:ascii="Arial" w:eastAsia="Times New Roman" w:hAnsi="Arial" w:cs="Arial"/>
                <w:sz w:val="18"/>
                <w:szCs w:val="18"/>
                <w:lang w:eastAsia="en-ID"/>
              </w:rPr>
            </w:pPr>
            <w:r w:rsidRPr="00A121D4">
              <w:rPr>
                <w:rFonts w:ascii="Arial" w:eastAsia="Times New Roman" w:hAnsi="Arial" w:cs="Arial"/>
                <w:sz w:val="18"/>
                <w:szCs w:val="18"/>
                <w:lang w:eastAsia="en-ID"/>
              </w:rPr>
              <w:t>0</w:t>
            </w:r>
            <w:r w:rsidR="00720D6C">
              <w:rPr>
                <w:rFonts w:ascii="Arial" w:eastAsia="Times New Roman" w:hAnsi="Arial" w:cs="Arial"/>
                <w:sz w:val="18"/>
                <w:szCs w:val="18"/>
                <w:lang w:eastAsia="en-ID"/>
              </w:rPr>
              <w:t>.</w:t>
            </w:r>
            <w:r w:rsidRPr="00A121D4">
              <w:rPr>
                <w:rFonts w:ascii="Arial" w:eastAsia="Times New Roman" w:hAnsi="Arial" w:cs="Arial"/>
                <w:sz w:val="18"/>
                <w:szCs w:val="18"/>
                <w:lang w:eastAsia="en-ID"/>
              </w:rPr>
              <w:t>056</w:t>
            </w:r>
          </w:p>
        </w:tc>
        <w:tc>
          <w:tcPr>
            <w:tcW w:w="1559" w:type="dxa"/>
            <w:tcBorders>
              <w:top w:val="single" w:sz="4" w:space="0" w:color="auto"/>
            </w:tcBorders>
            <w:noWrap/>
            <w:vAlign w:val="center"/>
            <w:hideMark/>
          </w:tcPr>
          <w:p w14:paraId="7B4EB6D9" w14:textId="05EE002D" w:rsidR="00DA3E4E" w:rsidRPr="00A121D4" w:rsidRDefault="00DA3E4E" w:rsidP="00EF51B5">
            <w:pPr>
              <w:jc w:val="center"/>
              <w:rPr>
                <w:rFonts w:ascii="Arial" w:eastAsia="Times New Roman" w:hAnsi="Arial" w:cs="Arial"/>
                <w:sz w:val="18"/>
                <w:szCs w:val="18"/>
                <w:lang w:eastAsia="en-ID"/>
              </w:rPr>
            </w:pPr>
            <w:r w:rsidRPr="00A121D4">
              <w:rPr>
                <w:rFonts w:ascii="Arial" w:eastAsia="Times New Roman" w:hAnsi="Arial" w:cs="Arial"/>
                <w:sz w:val="18"/>
                <w:szCs w:val="18"/>
                <w:lang w:eastAsia="en-ID"/>
              </w:rPr>
              <w:t>5</w:t>
            </w:r>
            <w:r w:rsidR="00720D6C">
              <w:rPr>
                <w:rFonts w:ascii="Arial" w:eastAsia="Times New Roman" w:hAnsi="Arial" w:cs="Arial"/>
                <w:sz w:val="18"/>
                <w:szCs w:val="18"/>
                <w:lang w:eastAsia="en-ID"/>
              </w:rPr>
              <w:t>.</w:t>
            </w:r>
            <w:r w:rsidRPr="00A121D4">
              <w:rPr>
                <w:rFonts w:ascii="Arial" w:eastAsia="Times New Roman" w:hAnsi="Arial" w:cs="Arial"/>
                <w:sz w:val="18"/>
                <w:szCs w:val="18"/>
                <w:lang w:eastAsia="en-ID"/>
              </w:rPr>
              <w:t>863</w:t>
            </w:r>
          </w:p>
        </w:tc>
        <w:tc>
          <w:tcPr>
            <w:tcW w:w="992" w:type="dxa"/>
            <w:tcBorders>
              <w:top w:val="single" w:sz="4" w:space="0" w:color="auto"/>
            </w:tcBorders>
            <w:noWrap/>
            <w:vAlign w:val="center"/>
            <w:hideMark/>
          </w:tcPr>
          <w:p w14:paraId="15C9915B" w14:textId="34C61BF6" w:rsidR="00DA3E4E" w:rsidRPr="00A121D4" w:rsidRDefault="00DA3E4E" w:rsidP="00EF51B5">
            <w:pPr>
              <w:jc w:val="center"/>
              <w:rPr>
                <w:rFonts w:ascii="Arial" w:eastAsia="Times New Roman" w:hAnsi="Arial" w:cs="Arial"/>
                <w:b/>
                <w:bCs/>
                <w:sz w:val="18"/>
                <w:szCs w:val="18"/>
                <w:lang w:eastAsia="en-ID"/>
              </w:rPr>
            </w:pPr>
            <w:r w:rsidRPr="00A121D4">
              <w:rPr>
                <w:rFonts w:ascii="Arial" w:eastAsia="Times New Roman" w:hAnsi="Arial" w:cs="Arial"/>
                <w:b/>
                <w:bCs/>
                <w:sz w:val="18"/>
                <w:szCs w:val="18"/>
                <w:lang w:eastAsia="en-ID"/>
              </w:rPr>
              <w:t>0</w:t>
            </w:r>
            <w:r w:rsidR="00720D6C">
              <w:rPr>
                <w:rFonts w:ascii="Arial" w:eastAsia="Times New Roman" w:hAnsi="Arial" w:cs="Arial"/>
                <w:b/>
                <w:bCs/>
                <w:sz w:val="18"/>
                <w:szCs w:val="18"/>
                <w:lang w:eastAsia="en-ID"/>
              </w:rPr>
              <w:t>.</w:t>
            </w:r>
            <w:r w:rsidRPr="00A121D4">
              <w:rPr>
                <w:rFonts w:ascii="Arial" w:eastAsia="Times New Roman" w:hAnsi="Arial" w:cs="Arial"/>
                <w:b/>
                <w:bCs/>
                <w:sz w:val="18"/>
                <w:szCs w:val="18"/>
                <w:lang w:eastAsia="en-ID"/>
              </w:rPr>
              <w:t>000</w:t>
            </w:r>
          </w:p>
        </w:tc>
      </w:tr>
    </w:tbl>
    <w:p w14:paraId="7653759D" w14:textId="77777777" w:rsidR="00DA3E4E" w:rsidRPr="001F2CF6" w:rsidRDefault="00DA3E4E" w:rsidP="00DA3E4E">
      <w:pPr>
        <w:spacing w:line="278" w:lineRule="auto"/>
        <w:rPr>
          <w:rFonts w:ascii="Arial" w:hAnsi="Arial" w:cs="Arial"/>
          <w:sz w:val="18"/>
          <w:szCs w:val="18"/>
        </w:rPr>
      </w:pPr>
      <w:r w:rsidRPr="001F2CF6">
        <w:rPr>
          <w:rFonts w:ascii="Arial" w:hAnsi="Arial" w:cs="Arial"/>
          <w:sz w:val="18"/>
          <w:szCs w:val="18"/>
        </w:rPr>
        <w:t>Note: HC = Human Capital; DC = Digital Capability; INT = Internationalization.</w:t>
      </w:r>
    </w:p>
    <w:p w14:paraId="379A69A8" w14:textId="77777777" w:rsidR="00DA3E4E" w:rsidRDefault="00DA3E4E" w:rsidP="00DA3E4E">
      <w:pPr>
        <w:spacing w:line="278" w:lineRule="auto"/>
        <w:rPr>
          <w:rFonts w:ascii="Arial" w:hAnsi="Arial" w:cs="Arial"/>
        </w:rPr>
      </w:pPr>
    </w:p>
    <w:p w14:paraId="21EF4E72" w14:textId="624A7BC2" w:rsidR="00DA3E4E" w:rsidRPr="00DA3E4E" w:rsidRDefault="00DA3E4E" w:rsidP="00DA3E4E">
      <w:pPr>
        <w:spacing w:line="278" w:lineRule="auto"/>
        <w:jc w:val="both"/>
        <w:rPr>
          <w:rFonts w:ascii="Arial" w:hAnsi="Arial" w:cs="Arial"/>
        </w:rPr>
      </w:pPr>
      <w:r w:rsidRPr="00DA3E4E">
        <w:rPr>
          <w:rFonts w:ascii="Arial" w:hAnsi="Arial" w:cs="Arial"/>
        </w:rPr>
        <w:t xml:space="preserve">In addition to the direct effects, the mediation analysis reveals that Digital Capability significantly mediates the relationship between Human Capital and Internationalization. The indirect effect is positive and significant, with a coefficient of 0.330, a t-statistic of 5.863, and a p-value of 0.000. This finding indicates that Human Capital enhances Internationalization not only directly but also indirectly through the development of Digital Capability. Collectively, these results suggest a partial mediation mechanism, where Digital Capability serves as an </w:t>
      </w:r>
      <w:r w:rsidRPr="00DA3E4E">
        <w:rPr>
          <w:rFonts w:ascii="Arial" w:hAnsi="Arial" w:cs="Arial"/>
        </w:rPr>
        <w:lastRenderedPageBreak/>
        <w:t>important intervening variable that strengthens the impact of Human Capital on Internationalization.</w:t>
      </w:r>
    </w:p>
    <w:p w14:paraId="49B720A0" w14:textId="77777777" w:rsidR="001F2CF6" w:rsidRDefault="001F2CF6" w:rsidP="001F2CF6">
      <w:pPr>
        <w:spacing w:line="278" w:lineRule="auto"/>
        <w:jc w:val="both"/>
        <w:rPr>
          <w:rFonts w:ascii="Arial" w:hAnsi="Arial" w:cs="Arial"/>
          <w:b/>
          <w:bCs/>
        </w:rPr>
      </w:pPr>
    </w:p>
    <w:p w14:paraId="2F87526B" w14:textId="77777777" w:rsidR="001F2CF6" w:rsidRPr="001F2CF6" w:rsidRDefault="001F2CF6" w:rsidP="001F2CF6">
      <w:pPr>
        <w:spacing w:line="278" w:lineRule="auto"/>
        <w:jc w:val="both"/>
        <w:rPr>
          <w:rFonts w:ascii="Arial" w:hAnsi="Arial" w:cs="Arial"/>
          <w:b/>
          <w:bCs/>
        </w:rPr>
      </w:pPr>
      <w:r w:rsidRPr="001F2CF6">
        <w:rPr>
          <w:rFonts w:ascii="Arial" w:hAnsi="Arial" w:cs="Arial"/>
          <w:b/>
          <w:bCs/>
        </w:rPr>
        <w:t>Discussion</w:t>
      </w:r>
    </w:p>
    <w:p w14:paraId="7571987A" w14:textId="77777777" w:rsidR="001F2CF6" w:rsidRPr="001F2CF6" w:rsidRDefault="001F2CF6" w:rsidP="001F2CF6">
      <w:pPr>
        <w:spacing w:line="278" w:lineRule="auto"/>
        <w:jc w:val="both"/>
        <w:rPr>
          <w:rFonts w:ascii="Arial" w:hAnsi="Arial" w:cs="Arial"/>
        </w:rPr>
      </w:pPr>
      <w:r w:rsidRPr="001F2CF6">
        <w:rPr>
          <w:rFonts w:ascii="Arial" w:hAnsi="Arial" w:cs="Arial"/>
        </w:rPr>
        <w:t xml:space="preserve">The findings of this study furnish compelling empirical evidence supporting the pivotal role of human capital as a fundamental driver of digital capability within MSMEs. The notable and substantial influence of human capital on digital capability underscores the importance of employee competencies, managerial expertise, and learning capacity in facilitating effective adoption and utilization of digital technologies by firms. This outcome aligns with prior scholarly research emphasizing that human capital bolsters organizational learning, knowledge absorption, and technological adaptation </w:t>
      </w:r>
      <w:r w:rsidRPr="001F2CF6">
        <w:rPr>
          <w:rFonts w:ascii="Arial" w:hAnsi="Arial" w:cs="Arial"/>
        </w:rPr>
        <w:fldChar w:fldCharType="begin"/>
      </w:r>
      <w:r w:rsidRPr="001F2CF6">
        <w:rPr>
          <w:rFonts w:ascii="Arial" w:hAnsi="Arial" w:cs="Arial"/>
        </w:rPr>
        <w:instrText xml:space="preserve"> ADDIN ZOTERO_ITEM CSL_CITATION {"citationID":"DAQIlEoD","properties":{"formattedCitation":"(Daat et al., 2021; Kumar et al., 2023; J. Wu et al., 2024)","plainCitation":"(Daat et al., 2021; Kumar et al., 2023; J. Wu et al., 2024)","noteIndex":0},"citationItems":[{"id":7511,"uris":["http://zotero.org/users/local/OXu6bVda/items/R7KHATUA"],"itemData":{"id":7511,"type":"article-journal","container-title":"Universal Journal of Accounting and Finance","DOI":"10.13189/ujaf.2021.090610","issue":"6","journalAbbreviation":"Universal Journal of Accounting and Finance","page":"1312-1321","title":"The Role of Intellectual Capital on Financial Performance of SMEs","volume":"9","author":[{"family":"Daat","given":"Sylvia C."},{"family":"Sanggenafa","given":"Mariolin"},{"family":"Larasati","given":"Rudiawie"}],"issued":{"date-parts":[["2021"]]}}},{"id":7516,"uris":["http://zotero.org/users/local/OXu6bVda/items/C77WVJA7"],"itemData":{"id":7516,"type":"article-journal","container-title":"Journal of Enterprise Information Management","DOI":"10.1108/jeim-01-2023-0002","issue":"5","journalAbbreviation":"Journal of Enterprise Information Management","page":"1677-1708","title":"Modelling and Analysing The enablers of Digital Resilience For small and Medium Enterprises","volume":"37","author":[{"family":"Kumar","given":"Vikas"},{"family":"Sindhwani","given":"Rahul"},{"family":"Behl","given":"Abhishek"},{"family":"Kaur","given":"Amanpreet"},{"family":"Pereira","given":"Vijay"}],"issued":{"date-parts":[["2023"]]}}},{"id":7515,"uris":["http://zotero.org/users/local/OXu6bVda/items/RMCFUVUV"],"itemData":{"id":7515,"type":"article-journal","container-title":"Heliyon","DOI":"10.1016/j.heliyon.2024.e26986","issue":"5","journalAbbreviation":"Heliyon","page":"e26986","title":"Uncovering the Dynamics of Enterprises Digital Transformation Research: A Comparative Review on Literature Before and After the COVID-19 Pandemic","volume":"10","author":[{"family":"Wu","given":"Jinnan"},{"family":"Qu","given":"Xinyi"},{"family":"Sheng","given":"Linghui"},{"family":"Chu","given":"Wentao"}],"issued":{"date-parts":[["2024"]]}}}],"schema":"https://github.com/citation-style-language/schema/raw/master/csl-citation.json"} </w:instrText>
      </w:r>
      <w:r w:rsidRPr="001F2CF6">
        <w:rPr>
          <w:rFonts w:ascii="Arial" w:hAnsi="Arial" w:cs="Arial"/>
        </w:rPr>
        <w:fldChar w:fldCharType="separate"/>
      </w:r>
      <w:r w:rsidRPr="001F2CF6">
        <w:rPr>
          <w:rFonts w:ascii="Arial" w:hAnsi="Arial" w:cs="Arial"/>
        </w:rPr>
        <w:t>(Daat et al., 2021; Kumar et al., 2023; J. Wu et al., 2024)</w:t>
      </w:r>
      <w:r w:rsidRPr="001F2CF6">
        <w:rPr>
          <w:rFonts w:ascii="Arial" w:hAnsi="Arial" w:cs="Arial"/>
        </w:rPr>
        <w:fldChar w:fldCharType="end"/>
      </w:r>
      <w:r w:rsidRPr="001F2CF6">
        <w:rPr>
          <w:rFonts w:ascii="Arial" w:hAnsi="Arial" w:cs="Arial"/>
        </w:rPr>
        <w:t>. In the context of teak wood craft MSMEs, this implies that traditional artisanal knowledge alone is inadequate unless augmented by digital skills and adaptive capacities. Consequently, human capital should be regarded not merely as a static resource but as an active catalyst for technological transformation within organizations.</w:t>
      </w:r>
    </w:p>
    <w:p w14:paraId="21F376B6" w14:textId="77777777" w:rsidR="001F2CF6" w:rsidRPr="001F2CF6" w:rsidRDefault="001F2CF6" w:rsidP="001F2CF6">
      <w:pPr>
        <w:spacing w:line="278" w:lineRule="auto"/>
        <w:jc w:val="both"/>
        <w:rPr>
          <w:rFonts w:ascii="Arial" w:hAnsi="Arial" w:cs="Arial"/>
        </w:rPr>
      </w:pPr>
      <w:r w:rsidRPr="001F2CF6">
        <w:rPr>
          <w:rFonts w:ascii="Arial" w:hAnsi="Arial" w:cs="Arial"/>
        </w:rPr>
        <w:t xml:space="preserve">Moreover, the results indicate that digital capability positively and significantly influences internationalization, underscoring its strategic significance in overcoming conventional barriers to entry into global markets. This finding corroborates the proposition that digital technologies empower firms to access international markets more efficiently by lowering transaction costs, improving communication, and broadening market reach </w:t>
      </w:r>
      <w:r w:rsidRPr="001F2CF6">
        <w:rPr>
          <w:rFonts w:ascii="Arial" w:hAnsi="Arial" w:cs="Arial"/>
        </w:rPr>
        <w:fldChar w:fldCharType="begin"/>
      </w:r>
      <w:r w:rsidRPr="001F2CF6">
        <w:rPr>
          <w:rFonts w:ascii="Arial" w:hAnsi="Arial" w:cs="Arial"/>
        </w:rPr>
        <w:instrText xml:space="preserve"> ADDIN ZOTERO_ITEM CSL_CITATION {"citationID":"sJFB7s3w","properties":{"formattedCitation":"(Anwar et al., 2024; Fu &amp; Abdul Rahim, 2025; Grginovi\\uc0\\u263{}, 2025)","plainCitation":"(Anwar et al., 2024; Fu &amp; Abdul Rahim, 2025; Grginović, 2025)","noteIndex":0},"citationItems":[{"id":7329,"uris":["http://zotero.org/users/local/OXu6bVda/items/55ITJ5FW"],"itemData":{"id":7329,"type":"article-journal","archive":"Scopus","container-title":"IEEE Transactions on Engineering Management","DOI":"10.1109/TEM.2022.3229049","page":"4131-4143","title":"Digital Capabilities, Their Role in Business Model Innovativeness, and the Internationalization of SMEs","volume":"71","author":[{"family":"Anwar","given":"M."},{"family":"Scheffler","given":"M.A."},{"family":"Clauss","given":"T."}],"issued":{"date-parts":[["2024"]]}}},{"id":7535,"uris":["http://zotero.org/users/local/OXu6bVda/items/6CG9NVKE"],"itemData":{"id":7535,"type":"article-journal","archive":"Scopus","container-title":"International Studies of Management and Organization","DOI":"10.1080/00208825.2025.2515685","title":"Conceptual framework on Internet Born Global’s internationalization","URL":"https://www.scopus.com/inward/record.uri?eid=2-s2.0-105008763581&amp;doi=10.1080%2f00208825.2025.2515685&amp;partnerID=40&amp;md5=7979fd218a80dd0c8a08fe89dd4c1c24","author":[{"family":"Fu","given":"W."},{"family":"Abdul Rahim","given":"Z."}],"issued":{"date-parts":[["2025"]]}}},{"id":7531,"uris":["http://zotero.org/users/local/OXu6bVda/items/85YVSHJJ"],"itemData":{"id":7531,"type":"chapter","archive":"Scopus","container-title":"Digital Internationalisation of Firms: Strategies, Challenges and Legal Aspects","DOI":"10.4324/9781003617396-12","page":"201-220","title":"Firm and managerial capabilities as antecedents of digital internationalisation at small-and medium-sized enterprises","URL":"https://www.scopus.com/inward/record.uri?eid=2-s2.0-105013692017&amp;doi=10.4324%2f9781003617396-12&amp;partnerID=40&amp;md5=e087818eb7b723636e30ea4ed68abe05","author":[{"family":"Grginović","given":"M.G."}],"issued":{"date-parts":[["2025"]]}}}],"schema":"https://github.com/citation-style-language/schema/raw/master/csl-citation.json"} </w:instrText>
      </w:r>
      <w:r w:rsidRPr="001F2CF6">
        <w:rPr>
          <w:rFonts w:ascii="Arial" w:hAnsi="Arial" w:cs="Arial"/>
        </w:rPr>
        <w:fldChar w:fldCharType="separate"/>
      </w:r>
      <w:r w:rsidRPr="001F2CF6">
        <w:rPr>
          <w:rFonts w:ascii="Arial" w:hAnsi="Arial" w:cs="Arial"/>
        </w:rPr>
        <w:t>(Anwar et al., 2024; Fu &amp; Abdul Rahim, 2025; Grginović, 2025)</w:t>
      </w:r>
      <w:r w:rsidRPr="001F2CF6">
        <w:rPr>
          <w:rFonts w:ascii="Arial" w:hAnsi="Arial" w:cs="Arial"/>
        </w:rPr>
        <w:fldChar w:fldCharType="end"/>
      </w:r>
      <w:r w:rsidRPr="001F2CF6">
        <w:rPr>
          <w:rFonts w:ascii="Arial" w:hAnsi="Arial" w:cs="Arial"/>
        </w:rPr>
        <w:t xml:space="preserve">. For MSMEs operating in resource-constrained environments, digital capability acts as a critical leverage point, compensating for limitations in physical infrastructure and international networks. Consistent with the dynamic capability perspective, this capability enables firms to identify and capitalize on international opportunities while adapting their business models to meet global market demands </w:t>
      </w:r>
      <w:r w:rsidRPr="001F2CF6">
        <w:rPr>
          <w:rFonts w:ascii="Arial" w:hAnsi="Arial" w:cs="Arial"/>
        </w:rPr>
        <w:fldChar w:fldCharType="begin"/>
      </w:r>
      <w:r w:rsidRPr="001F2CF6">
        <w:rPr>
          <w:rFonts w:ascii="Arial" w:hAnsi="Arial" w:cs="Arial"/>
        </w:rPr>
        <w:instrText xml:space="preserve"> ADDIN ZOTERO_ITEM CSL_CITATION {"citationID":"48vecBdZ","properties":{"formattedCitation":"(Goraya et al., 2025; Tian et al., 2025)","plainCitation":"(Goraya et al., 2025; Tian et al., 2025)","noteIndex":0},"citationItems":[{"id":7387,"uris":["http://zotero.org/users/local/OXu6bVda/items/VB2R9PFW"],"itemData":{"id":7387,"type":"article-journal","archive":"Scopus","container-title":"Industrial Management and Data Systems","DOI":"10.1108/IMDS-10-2024-1039","title":"Leveraging digital transformation strategy and data-driven decision-making to improve organisational performance in a hostile environment","URL":"https://www.scopus.com/inward/record.uri?eid=2-s2.0-105014804034&amp;doi=10.1108%2fIMDS-10-2024-1039&amp;partnerID=40&amp;md5=882b8c86c831b480c0a13bdd143caf7f","author":[{"family":"Goraya","given":"M.A.S."},{"family":"Kemal","given":"A.A."},{"family":"Xu","given":"M."},{"family":"Shareef","given":"M.A."},{"family":"Akram","given":"M.S."}],"issued":{"date-parts":[["2025"]]}}},{"id":5889,"uris":["http://zotero.org/users/local/OXu6bVda/items/KF2BPVQH"],"itemData":{"id":5889,"type":"article-journal","archive":"Scopus","container-title":"Systems","DOI":"10.3390/systems13030212","issue":"3","title":"Digital Capabilities, Integration into Global Innovation Networks, and Enterprise Innovation Performance","URL":"https://www.scopus.com/inward/record.uri?eid=2-s2.0-105001123300&amp;doi=10.3390%2fsystems13030212&amp;partnerID=40&amp;md5=58b40a7194f3c78129b8eaf64613d844","volume":"13","author":[{"family":"Tian","given":"S."},{"family":"Lai","given":"X."},{"family":"Dong","given":"L."},{"family":"Xu","given":"X."}],"issued":{"date-parts":[["2025"]]}}}],"schema":"https://github.com/citation-style-language/schema/raw/master/csl-citation.json"} </w:instrText>
      </w:r>
      <w:r w:rsidRPr="001F2CF6">
        <w:rPr>
          <w:rFonts w:ascii="Arial" w:hAnsi="Arial" w:cs="Arial"/>
        </w:rPr>
        <w:fldChar w:fldCharType="separate"/>
      </w:r>
      <w:r w:rsidRPr="001F2CF6">
        <w:rPr>
          <w:rFonts w:ascii="Arial" w:hAnsi="Arial" w:cs="Arial"/>
        </w:rPr>
        <w:t>(Goraya et al., 2025; Tian et al., 2025)</w:t>
      </w:r>
      <w:r w:rsidRPr="001F2CF6">
        <w:rPr>
          <w:rFonts w:ascii="Arial" w:hAnsi="Arial" w:cs="Arial"/>
        </w:rPr>
        <w:fldChar w:fldCharType="end"/>
      </w:r>
      <w:r w:rsidRPr="001F2CF6">
        <w:rPr>
          <w:rFonts w:ascii="Arial" w:hAnsi="Arial" w:cs="Arial"/>
        </w:rPr>
        <w:t>.</w:t>
      </w:r>
    </w:p>
    <w:p w14:paraId="141DD74C" w14:textId="77777777" w:rsidR="001F2CF6" w:rsidRPr="001F2CF6" w:rsidRDefault="001F2CF6" w:rsidP="001F2CF6">
      <w:pPr>
        <w:spacing w:line="278" w:lineRule="auto"/>
        <w:jc w:val="both"/>
        <w:rPr>
          <w:rFonts w:ascii="Arial" w:hAnsi="Arial" w:cs="Arial"/>
        </w:rPr>
      </w:pPr>
      <w:r w:rsidRPr="001F2CF6">
        <w:rPr>
          <w:rFonts w:ascii="Arial" w:hAnsi="Arial" w:cs="Arial"/>
        </w:rPr>
        <w:t xml:space="preserve">Besides the indirect pathway, human capital also has a direct and statistically significant impact on internationalization, though with a smaller effect size. This indicates that while human capital helps firms expand globally through knowledge, experience, and strategic decision-making, its effectiveness is greater when supported by appropriate organizational mechanisms. This observation is consistent with earlier research indicating that human capital enhances international performance by equipping firms with essential managerial and market-oriented competencies </w:t>
      </w:r>
      <w:r w:rsidRPr="001F2CF6">
        <w:rPr>
          <w:rFonts w:ascii="Arial" w:hAnsi="Arial" w:cs="Arial"/>
        </w:rPr>
        <w:fldChar w:fldCharType="begin"/>
      </w:r>
      <w:r w:rsidRPr="001F2CF6">
        <w:rPr>
          <w:rFonts w:ascii="Arial" w:hAnsi="Arial" w:cs="Arial"/>
        </w:rPr>
        <w:instrText xml:space="preserve"> ADDIN ZOTERO_ITEM CSL_CITATION {"citationID":"h2H3JmNw","properties":{"formattedCitation":"(Barriga &amp; Escandon-Barbosa, 2024; Kidwell et al., 2020; Zhong et al., 2021)","plainCitation":"(Barriga &amp; Escandon-Barbosa, 2024; Kidwell et al., 2020; Zhong et al., 2021)","noteIndex":0},"citationItems":[{"id":7557,"uris":["http://zotero.org/users/local/OXu6bVda/items/Y4D2NQDQ"],"itemData":{"id":7557,"type":"article-journal","archive":"Scopus","container-title":"Corporate Social Responsibility and Environmental Management","DOI":"10.1002/csr.2742","issue":"4","page":"3368-3378","title":"Synergizing board dynamics, sustainability, and strategy for international success","volume":"31","author":[{"family":"Barriga","given":"R.H."},{"family":"Escandon-Barbosa","given":"D."}],"issued":{"date-parts":[["2024"]]}}},{"id":7271,"uris":["http://zotero.org/users/local/OXu6bVda/items/23PZYLIX"],"itemData":{"id":7271,"type":"article-journal","archive":"Scopus","container-title":"Thunderbird International Business Review","DOI":"10.1002/tie.22107","issue":"4","page":"353-369","title":"Human capital in the internationalization of family firms","volume":"62","author":[{"family":"Kidwell","given":"R.E."},{"family":"Fuentes-Lombardo","given":"G."},{"family":"Sanchez-Famoso","given":"V."},{"family":"Cano-Rubio","given":"M."},{"family":"Kloepfer","given":"K.E."}],"issued":{"date-parts":[["2020"]]}}},{"id":7569,"uris":["http://zotero.org/users/local/OXu6bVda/items/Y9TWRI8Y"],"itemData":{"id":7569,"type":"article-journal","archive":"Scopus","container-title":"Baltic Journal of Management","DOI":"10.1108/BJM-03-2020-0098","issue":"2","page":"190-207","title":"Can R&amp;D internationalization improve EMNES' innovation efficiency? The moderating effects of TMT human capital","volume":"16","author":[{"family":"Zhong","given":"X."},{"family":"Song","given":"T."},{"family":"Chen","given":"W."}],"issued":{"date-parts":[["2021"]]}}}],"schema":"https://github.com/citation-style-language/schema/raw/master/csl-citation.json"} </w:instrText>
      </w:r>
      <w:r w:rsidRPr="001F2CF6">
        <w:rPr>
          <w:rFonts w:ascii="Arial" w:hAnsi="Arial" w:cs="Arial"/>
        </w:rPr>
        <w:fldChar w:fldCharType="separate"/>
      </w:r>
      <w:r w:rsidRPr="001F2CF6">
        <w:rPr>
          <w:rFonts w:ascii="Arial" w:hAnsi="Arial" w:cs="Arial"/>
        </w:rPr>
        <w:t>(Barriga &amp; Escandon-Barbosa, 2024; Kidwell et al., 2020; Zhong et al., 2021)</w:t>
      </w:r>
      <w:r w:rsidRPr="001F2CF6">
        <w:rPr>
          <w:rFonts w:ascii="Arial" w:hAnsi="Arial" w:cs="Arial"/>
        </w:rPr>
        <w:fldChar w:fldCharType="end"/>
      </w:r>
      <w:r w:rsidRPr="001F2CF6">
        <w:rPr>
          <w:rFonts w:ascii="Arial" w:hAnsi="Arial" w:cs="Arial"/>
        </w:rPr>
        <w:t>. Nonetheless, the relatively lower coefficient implies that human capital alone may be insufficient to drive internationalization without support from complementary capabilities, especially in digitally intensive environments.</w:t>
      </w:r>
    </w:p>
    <w:p w14:paraId="150F3606" w14:textId="57D93468" w:rsidR="001F2CF6" w:rsidRDefault="001F2CF6" w:rsidP="001F2CF6">
      <w:pPr>
        <w:spacing w:line="278" w:lineRule="auto"/>
        <w:jc w:val="both"/>
        <w:rPr>
          <w:rFonts w:ascii="Arial" w:hAnsi="Arial" w:cs="Arial"/>
        </w:rPr>
      </w:pPr>
      <w:r w:rsidRPr="001F2CF6">
        <w:rPr>
          <w:rFonts w:ascii="Arial" w:hAnsi="Arial" w:cs="Arial"/>
        </w:rPr>
        <w:t xml:space="preserve">The mediation analysis notably confirms that digital capability is a key intermediary in turning human capital into successful internationalization results. This supports the idea that resources alone do not confer a competitive edge unless they are converted into effective capabilities </w:t>
      </w:r>
      <w:r w:rsidRPr="001F2CF6">
        <w:rPr>
          <w:rFonts w:ascii="Arial" w:hAnsi="Arial" w:cs="Arial"/>
        </w:rPr>
        <w:fldChar w:fldCharType="begin"/>
      </w:r>
      <w:r w:rsidRPr="001F2CF6">
        <w:rPr>
          <w:rFonts w:ascii="Arial" w:hAnsi="Arial" w:cs="Arial"/>
        </w:rPr>
        <w:instrText xml:space="preserve"> ADDIN ZOTERO_ITEM CSL_CITATION {"citationID":"UY4GYvya","properties":{"formattedCitation":"(Feliciano-Cestero et al., 2023; Mel\\uc0\\u233{}n &amp; Nordman, 2007)","plainCitation":"(Feliciano-Cestero et al., 2023; Melén &amp; Nordman, 2007)","noteIndex":0},"citationItems":[{"id":7333,"uris":["http://zotero.org/users/local/OXu6bVda/items/93LAFRTP"],"itemData":{"id":7333,"type":"article-journal","archive":"Scopus","container-title":"Journal of Business Research","DOI":"10.1016/j.jbusres.2022.113546","title":"Is digital transformation threatened? A systematic literature review of the factors influencing firms’ digital transformation and internationalization","URL":"https://www.scopus.com/inward/record.uri?eid=2-s2.0-85145738960&amp;doi=10.1016%2fj.jbusres.2022.113546&amp;partnerID=40&amp;md5=b74b81a59c87a976f9eea0ee82c03d95","volume":"157","author":[{"family":"Feliciano-Cestero","given":"M.M."},{"family":"Ameen","given":"N."},{"family":"Kotabe","given":"M."},{"family":"Paul","given":"J."},{"family":"Signoret","given":"M."}],"issued":{"date-parts":[["2023"]]}}},{"id":7293,"uris":["http://zotero.org/users/local/OXu6bVda/items/YVPAYSD2"],"itemData":{"id":7293,"type":"article-journal","archive":"Scopus","container-title":"International Journal of Globalisation and Small Business","DOI":"10.1504/IJGSB.2007.015482","issue":"2","page":"205-219","title":"The value of human capital for the networks of born globals","volume":"2","author":[{"family":"Melén","given":"S."},{"family":"Nordman","given":"E.R."}],"issued":{"date-parts":[["2007"]]}}}],"schema":"https://github.com/citation-style-language/schema/raw/master/csl-citation.json"} </w:instrText>
      </w:r>
      <w:r w:rsidRPr="001F2CF6">
        <w:rPr>
          <w:rFonts w:ascii="Arial" w:hAnsi="Arial" w:cs="Arial"/>
        </w:rPr>
        <w:fldChar w:fldCharType="separate"/>
      </w:r>
      <w:r w:rsidRPr="001F2CF6">
        <w:rPr>
          <w:rFonts w:ascii="Arial" w:hAnsi="Arial" w:cs="Arial"/>
        </w:rPr>
        <w:t>(Feliciano-Cestero et al., 2023; Melén &amp; Nordman, 2007)</w:t>
      </w:r>
      <w:r w:rsidRPr="001F2CF6">
        <w:rPr>
          <w:rFonts w:ascii="Arial" w:hAnsi="Arial" w:cs="Arial"/>
        </w:rPr>
        <w:fldChar w:fldCharType="end"/>
      </w:r>
      <w:r w:rsidRPr="001F2CF6">
        <w:rPr>
          <w:rFonts w:ascii="Arial" w:hAnsi="Arial" w:cs="Arial"/>
        </w:rPr>
        <w:t xml:space="preserve">. In this case, digital capability acts as a strategic tool that helps transform human capital into market-focused actions, enhancing a firm's ability to compete globally. This finding also agrees with earlier research highlighting the mediating role of digital capability in connecting internal resources to firm performance and innovation </w:t>
      </w:r>
      <w:r w:rsidRPr="001F2CF6">
        <w:rPr>
          <w:rFonts w:ascii="Arial" w:hAnsi="Arial" w:cs="Arial"/>
        </w:rPr>
        <w:fldChar w:fldCharType="begin"/>
      </w:r>
      <w:r w:rsidRPr="001F2CF6">
        <w:rPr>
          <w:rFonts w:ascii="Arial" w:hAnsi="Arial" w:cs="Arial"/>
        </w:rPr>
        <w:instrText xml:space="preserve"> ADDIN ZOTERO_ITEM CSL_CITATION {"citationID":"TrBHxasS","properties":{"formattedCitation":"(Van Hoang et al., 2025; Wang et al., 2022)","plainCitation":"(Van Hoang et al., 2025; Wang et al., 2022)","noteIndex":0},"citationItems":[{"id":7583,"uris":["http://zotero.org/users/local/OXu6bVda/items/2M68ZIGC"],"itemData":{"id":7583,"type":"article-journal","archive":"Scopus","container-title":"SAGE Open","DOI":"10.1177/21582440251329967","issue":"2","title":"Digital Capabilities and Sustainable Competitive Advantages: The Case of Emerging Market Manufacturing SMEs","URL":"https://www.scopus.com/inward/record.uri?eid=2-s2.0-105002602047&amp;doi=10.1177%2f21582440251329967&amp;partnerID=40&amp;md5=3b55a41b5d9b4d99b08abff872dea431","volume":"15","author":[{"family":"Van Hoang","given":"D."},{"family":"Thi Hien","given":"N."},{"family":"Van Thang","given":"H."},{"family":"Nguyen Truc Phuong","given":"P."},{"family":"Thi-Thuy Duong","given":"T."}],"issued":{"date-parts":[["2025"]]}}},{"id":7593,"uris":["http://zotero.org/users/local/OXu6bVda/items/8L2SHQH8"],"itemData":{"id":7593,"type":"article-journal","archive":"Scopus","container-title":"Sustainability (Switzerland)","DOI":"10.3390/su14106214","issue":"10","title":"The Impact of Digital Capability on Manufacturing Company Performance","URL":"https://www.scopus.com/inward/record.uri?eid=2-s2.0-85130875180&amp;doi=10.3390%2fsu14106214&amp;partnerID=40&amp;md5=fb7d92a0bb168b973355095a805f6dad","volume":"14","author":[{"family":"Wang","given":"X."},{"family":"Gu","given":"Y."},{"family":"Ahmad","given":"M."},{"family":"Xue","given":"C."}],"issued":{"date-parts":[["2022"]]}}}],"schema":"https://github.com/citation-style-language/schema/raw/master/csl-citation.json"} </w:instrText>
      </w:r>
      <w:r w:rsidRPr="001F2CF6">
        <w:rPr>
          <w:rFonts w:ascii="Arial" w:hAnsi="Arial" w:cs="Arial"/>
        </w:rPr>
        <w:fldChar w:fldCharType="separate"/>
      </w:r>
      <w:r w:rsidRPr="001F2CF6">
        <w:rPr>
          <w:rFonts w:ascii="Arial" w:hAnsi="Arial" w:cs="Arial"/>
        </w:rPr>
        <w:t>(Van Hoang et al., 2025; Wang et al., 2022)</w:t>
      </w:r>
      <w:r w:rsidRPr="001F2CF6">
        <w:rPr>
          <w:rFonts w:ascii="Arial" w:hAnsi="Arial" w:cs="Arial"/>
        </w:rPr>
        <w:fldChar w:fldCharType="end"/>
      </w:r>
      <w:r w:rsidRPr="001F2CF6">
        <w:rPr>
          <w:rFonts w:ascii="Arial" w:hAnsi="Arial" w:cs="Arial"/>
        </w:rPr>
        <w:t xml:space="preserve">. Overall, the results underscore the importance of an integrated approach that considers not only </w:t>
      </w:r>
      <w:r w:rsidRPr="001F2CF6">
        <w:rPr>
          <w:rFonts w:ascii="Arial" w:hAnsi="Arial" w:cs="Arial"/>
        </w:rPr>
        <w:lastRenderedPageBreak/>
        <w:t>resource ownership but also the firm’s ability to reconfigure and utilize these resources in a fast-changing digital environment.</w:t>
      </w:r>
    </w:p>
    <w:p w14:paraId="6A38870E" w14:textId="77777777" w:rsidR="00283E5A" w:rsidRDefault="00283E5A" w:rsidP="001F2CF6">
      <w:pPr>
        <w:spacing w:line="278" w:lineRule="auto"/>
        <w:jc w:val="both"/>
        <w:rPr>
          <w:rFonts w:ascii="Arial" w:hAnsi="Arial" w:cs="Arial"/>
        </w:rPr>
      </w:pPr>
    </w:p>
    <w:p w14:paraId="14CD4E35" w14:textId="37919B13" w:rsidR="00283E5A" w:rsidRDefault="00283E5A" w:rsidP="001F2CF6">
      <w:pPr>
        <w:spacing w:line="278" w:lineRule="auto"/>
        <w:jc w:val="both"/>
        <w:rPr>
          <w:rFonts w:ascii="Arial" w:hAnsi="Arial" w:cs="Arial"/>
          <w:b/>
          <w:bCs/>
          <w:sz w:val="22"/>
          <w:szCs w:val="22"/>
        </w:rPr>
      </w:pPr>
      <w:r w:rsidRPr="00283E5A">
        <w:rPr>
          <w:rFonts w:ascii="Arial" w:hAnsi="Arial" w:cs="Arial"/>
          <w:b/>
          <w:bCs/>
          <w:sz w:val="22"/>
          <w:szCs w:val="22"/>
        </w:rPr>
        <w:t>4. LIMITATION OF THE STUDY</w:t>
      </w:r>
    </w:p>
    <w:p w14:paraId="3D1E9E5B" w14:textId="77777777" w:rsidR="00283E5A" w:rsidRDefault="00283E5A" w:rsidP="001F2CF6">
      <w:pPr>
        <w:spacing w:line="278" w:lineRule="auto"/>
        <w:jc w:val="both"/>
        <w:rPr>
          <w:rFonts w:ascii="Arial" w:hAnsi="Arial" w:cs="Arial"/>
          <w:b/>
          <w:bCs/>
          <w:sz w:val="22"/>
          <w:szCs w:val="22"/>
        </w:rPr>
      </w:pPr>
    </w:p>
    <w:p w14:paraId="12572787" w14:textId="77777777" w:rsidR="00283E5A" w:rsidRPr="00283E5A" w:rsidRDefault="00283E5A" w:rsidP="00283E5A">
      <w:pPr>
        <w:spacing w:line="278" w:lineRule="auto"/>
        <w:jc w:val="both"/>
        <w:rPr>
          <w:rFonts w:ascii="Arial" w:hAnsi="Arial" w:cs="Arial"/>
        </w:rPr>
      </w:pPr>
      <w:r w:rsidRPr="00283E5A">
        <w:rPr>
          <w:rFonts w:ascii="Arial" w:hAnsi="Arial" w:cs="Arial"/>
        </w:rPr>
        <w:t>Despite its theoretical and practical contributions, this study is subject to several limitations that warrant acknowledgment and suggest directions for future research. First, from a methodological perspective, the cross-sectional research design captures data at a single point in time, which limits the ability to draw definitive causal inferences regarding the dynamic relationships between human capital, digital capability, and internationalization. Although PLS-SEM is robust for predictive modeling, longitudinal designs would provide stronger evidence of temporal causality. Additionally, while the sample size of 150 respondents meets the minimum requirements for PLS-SEM analysis, it restricts the capacity to conduct advanced multi-group comparisons or capture broader industry-level trends.</w:t>
      </w:r>
    </w:p>
    <w:p w14:paraId="34941CBE" w14:textId="77777777" w:rsidR="00283E5A" w:rsidRPr="00283E5A" w:rsidRDefault="00283E5A" w:rsidP="00283E5A">
      <w:pPr>
        <w:spacing w:line="278" w:lineRule="auto"/>
        <w:jc w:val="both"/>
        <w:rPr>
          <w:rFonts w:ascii="Arial" w:hAnsi="Arial" w:cs="Arial"/>
        </w:rPr>
      </w:pPr>
      <w:r w:rsidRPr="00283E5A">
        <w:rPr>
          <w:rFonts w:ascii="Arial" w:hAnsi="Arial" w:cs="Arial"/>
        </w:rPr>
        <w:t>Second, the study is contextually bounded to teak woodcraft MSMEs operating in Bojonegoro Regency, Indonesia. This sector is characterized by unique traditional craftsmanship, localized resource endowments, and specific institutional conditions. Consequently, the findings may not be directly generalizable to other manufacturing sub-sectors, service-oriented MSMEs, or firms operating in different geographic and cultural environments. Future research could extend this framework by examining diverse industrial contexts or conducting cross-regional comparisons to enhance the external validity of the proposed model.</w:t>
      </w:r>
    </w:p>
    <w:p w14:paraId="1E078FBE" w14:textId="311F6F6E" w:rsidR="00283E5A" w:rsidRPr="00283E5A" w:rsidRDefault="00283E5A" w:rsidP="00283E5A">
      <w:pPr>
        <w:spacing w:line="278" w:lineRule="auto"/>
        <w:jc w:val="both"/>
        <w:rPr>
          <w:rFonts w:ascii="Arial" w:hAnsi="Arial" w:cs="Arial"/>
        </w:rPr>
      </w:pPr>
      <w:r w:rsidRPr="00283E5A">
        <w:rPr>
          <w:rFonts w:ascii="Arial" w:hAnsi="Arial" w:cs="Arial"/>
        </w:rPr>
        <w:t>Third, the reliance on self-reported survey data introduces the potential for common method bias and subjective perception gaps. Although procedural safeguards such as respondent anonymity, clear instrument instructions, and validated scales were employed to mitigate these concerns, future studies would benefit from incorporating multi-source data, such as managerial assessments combined with objective export records or digital adoption metrics. Triangulating quantitative findings with qualitative insights through interviews or case studies could also provide a more nuanced understanding of the strategic processes underlying digital transformation and internationalization.</w:t>
      </w:r>
    </w:p>
    <w:p w14:paraId="1D770913" w14:textId="77777777" w:rsidR="00790ADA" w:rsidRPr="00FB3A86" w:rsidRDefault="00790ADA" w:rsidP="00441B6F">
      <w:pPr>
        <w:pStyle w:val="Body"/>
        <w:spacing w:after="0"/>
        <w:rPr>
          <w:rFonts w:ascii="Arial" w:hAnsi="Arial" w:cs="Arial"/>
        </w:rPr>
      </w:pPr>
    </w:p>
    <w:p w14:paraId="7AA3F0B2" w14:textId="062AF451" w:rsidR="00B01FCD" w:rsidRDefault="00283E5A"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7E55DD5A" w14:textId="77777777" w:rsidR="00790ADA" w:rsidRPr="00FB3A86" w:rsidRDefault="00790ADA" w:rsidP="00441B6F">
      <w:pPr>
        <w:pStyle w:val="ConcHead"/>
        <w:spacing w:after="0"/>
        <w:jc w:val="both"/>
        <w:rPr>
          <w:rFonts w:ascii="Arial" w:hAnsi="Arial" w:cs="Arial"/>
        </w:rPr>
      </w:pPr>
    </w:p>
    <w:p w14:paraId="15A5AD54" w14:textId="77777777" w:rsidR="00A44446" w:rsidRPr="00A44446" w:rsidRDefault="00A44446" w:rsidP="00A44446">
      <w:pPr>
        <w:pStyle w:val="Body"/>
        <w:spacing w:after="0"/>
        <w:rPr>
          <w:rFonts w:ascii="Arial" w:hAnsi="Arial" w:cs="Arial"/>
          <w:lang w:val="en-ID"/>
        </w:rPr>
      </w:pPr>
      <w:r w:rsidRPr="00A44446">
        <w:rPr>
          <w:rFonts w:ascii="Arial" w:hAnsi="Arial" w:cs="Arial"/>
          <w:lang w:val="en-ID"/>
        </w:rPr>
        <w:t>The findings of this study conclusively demonstrate that human capital constitutes a critical antecedent of digital capability and internationalization within MSMEs. Human capital not only exerts a strong and significant influence on digital capability, but also directly contributes to internationalization, albeit with a relatively smaller effect size. This indicates that while managerial competence, experience, and learning capacity are essential in driving firms toward global markets, their effectiveness is substantially amplified when aligned with the firm’s ability to adopt and utilize digital technologies. Thus, human capital should be conceptualized as a dynamic and enabling resource that requires complementary organizational capabilities to generate optimal strategic outcomes.</w:t>
      </w:r>
    </w:p>
    <w:p w14:paraId="3F19B184" w14:textId="564AEAC8" w:rsidR="00B01FCD" w:rsidRPr="00A44446" w:rsidRDefault="00A44446" w:rsidP="00441B6F">
      <w:pPr>
        <w:pStyle w:val="Body"/>
        <w:spacing w:after="0"/>
        <w:rPr>
          <w:rFonts w:ascii="Arial" w:hAnsi="Arial" w:cs="Arial"/>
          <w:lang w:val="en-ID"/>
        </w:rPr>
      </w:pPr>
      <w:r w:rsidRPr="00A44446">
        <w:rPr>
          <w:rFonts w:ascii="Arial" w:hAnsi="Arial" w:cs="Arial"/>
          <w:lang w:val="en-ID"/>
        </w:rPr>
        <w:t xml:space="preserve">Furthermore, this study confirms the central mediating role of digital capability in transforming human capital into internationalization performance. Digital capability serves as a strategic conduit through which internal resources are translated into market-oriented actions, enabling MSMEs to overcome resource constraints and compete in international markets. These results reinforce the dynamic capability perspective, emphasizing that </w:t>
      </w:r>
      <w:r w:rsidRPr="00A44446">
        <w:rPr>
          <w:rFonts w:ascii="Arial" w:hAnsi="Arial" w:cs="Arial"/>
          <w:lang w:val="en-ID"/>
        </w:rPr>
        <w:lastRenderedPageBreak/>
        <w:t>competitive advantage is not derived solely from resource possession, but from the firm’s ability to reconfigure and leverage those resources in response to a rapidly evolving digital environment. Accordingly, an integrative approach that simultaneously develops human capital and digital capability is imperative for fostering sustainable internationalization among MSMEs.</w:t>
      </w:r>
    </w:p>
    <w:p w14:paraId="57BBFD7A" w14:textId="77777777" w:rsidR="00790ADA" w:rsidRPr="00FB3A86" w:rsidRDefault="00790ADA" w:rsidP="00441B6F">
      <w:pPr>
        <w:pStyle w:val="Body"/>
        <w:spacing w:after="0"/>
        <w:rPr>
          <w:rFonts w:ascii="Arial" w:hAnsi="Arial" w:cs="Arial"/>
        </w:rPr>
      </w:pPr>
    </w:p>
    <w:p w14:paraId="6D6A2A77"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1CEC030E" w14:textId="77777777" w:rsidR="00860000" w:rsidRPr="00786D36" w:rsidRDefault="00860000" w:rsidP="00441B6F">
      <w:pPr>
        <w:pStyle w:val="ReferHead"/>
        <w:spacing w:after="0"/>
        <w:jc w:val="both"/>
        <w:rPr>
          <w:rFonts w:ascii="Arial" w:hAnsi="Arial" w:cs="Arial"/>
        </w:rPr>
      </w:pPr>
    </w:p>
    <w:p w14:paraId="253DF240" w14:textId="5F04FBB0" w:rsidR="00860000" w:rsidRDefault="00A44446" w:rsidP="00441B6F">
      <w:pPr>
        <w:pStyle w:val="ReferHead"/>
        <w:spacing w:after="0"/>
        <w:jc w:val="both"/>
        <w:rPr>
          <w:rFonts w:ascii="Arial" w:hAnsi="Arial" w:cs="Arial"/>
          <w:b w:val="0"/>
          <w:caps w:val="0"/>
          <w:sz w:val="20"/>
        </w:rPr>
      </w:pPr>
      <w:r w:rsidRPr="00A44446">
        <w:rPr>
          <w:rFonts w:ascii="Arial" w:hAnsi="Arial" w:cs="Arial"/>
          <w:b w:val="0"/>
          <w:caps w:val="0"/>
          <w:sz w:val="20"/>
        </w:rPr>
        <w:t>The authors declare that there are no competing financial or non-financial interests that could have influenced the outcomes of this study. All authors confirm that the research was conducted in the absence of any commercial or financial relationships that could be construed as a potential conflict of interest.</w:t>
      </w:r>
    </w:p>
    <w:p w14:paraId="548343A3" w14:textId="77777777" w:rsidR="00371FB6" w:rsidRDefault="00371FB6" w:rsidP="00441B6F">
      <w:pPr>
        <w:pStyle w:val="ReferHead"/>
        <w:spacing w:after="0"/>
        <w:jc w:val="both"/>
        <w:rPr>
          <w:rFonts w:ascii="Arial" w:hAnsi="Arial" w:cs="Arial"/>
          <w:b w:val="0"/>
          <w:caps w:val="0"/>
          <w:sz w:val="20"/>
        </w:rPr>
      </w:pPr>
    </w:p>
    <w:p w14:paraId="74F09AFA" w14:textId="77777777" w:rsidR="002B685A" w:rsidRDefault="002B685A" w:rsidP="00441B6F">
      <w:pPr>
        <w:pStyle w:val="ReferHead"/>
        <w:spacing w:after="0"/>
        <w:jc w:val="both"/>
        <w:rPr>
          <w:rFonts w:ascii="Arial" w:hAnsi="Arial" w:cs="Arial"/>
          <w:b w:val="0"/>
          <w:caps w:val="0"/>
          <w:sz w:val="20"/>
        </w:rPr>
      </w:pPr>
    </w:p>
    <w:p w14:paraId="4D765F95" w14:textId="5D662BD5"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513DAD39" w14:textId="77777777" w:rsidR="002B685A" w:rsidRPr="002B685A" w:rsidRDefault="002B685A" w:rsidP="00441B6F">
      <w:pPr>
        <w:pStyle w:val="ReferHead"/>
        <w:spacing w:after="0"/>
        <w:jc w:val="both"/>
        <w:rPr>
          <w:rFonts w:ascii="Arial" w:hAnsi="Arial" w:cs="Arial"/>
          <w:bCs/>
        </w:rPr>
      </w:pPr>
    </w:p>
    <w:p w14:paraId="4A5FC2EE" w14:textId="466E902B" w:rsidR="005C784C" w:rsidRDefault="00A44446" w:rsidP="00441B6F">
      <w:pPr>
        <w:pStyle w:val="ReferHead"/>
        <w:spacing w:after="0"/>
        <w:jc w:val="both"/>
        <w:rPr>
          <w:rFonts w:ascii="Arial" w:hAnsi="Arial" w:cs="Arial"/>
          <w:b w:val="0"/>
          <w:caps w:val="0"/>
          <w:sz w:val="20"/>
        </w:rPr>
      </w:pPr>
      <w:r w:rsidRPr="00A44446">
        <w:rPr>
          <w:rFonts w:ascii="Arial" w:hAnsi="Arial" w:cs="Arial"/>
          <w:b w:val="0"/>
          <w:caps w:val="0"/>
          <w:sz w:val="20"/>
        </w:rPr>
        <w:t>Not applicable. This study does not involve clinical cases or identifiable personal data requiring individual consent for publication.</w:t>
      </w:r>
    </w:p>
    <w:p w14:paraId="30266DF0" w14:textId="77777777" w:rsidR="00A44446" w:rsidRDefault="00A44446" w:rsidP="00441B6F">
      <w:pPr>
        <w:pStyle w:val="ReferHead"/>
        <w:spacing w:after="0"/>
        <w:jc w:val="both"/>
        <w:rPr>
          <w:rFonts w:ascii="Arial" w:hAnsi="Arial" w:cs="Arial"/>
          <w:b w:val="0"/>
          <w:caps w:val="0"/>
          <w:sz w:val="20"/>
        </w:rPr>
      </w:pPr>
    </w:p>
    <w:p w14:paraId="56C60B7C" w14:textId="5CA84E7E" w:rsidR="005C784C" w:rsidRDefault="00A44446" w:rsidP="00441B6F">
      <w:pPr>
        <w:pStyle w:val="ReferHead"/>
        <w:spacing w:after="0"/>
        <w:jc w:val="both"/>
        <w:rPr>
          <w:rFonts w:ascii="Arial" w:hAnsi="Arial" w:cs="Arial"/>
          <w:bCs/>
        </w:rPr>
      </w:pPr>
      <w:r w:rsidRPr="00A44446">
        <w:rPr>
          <w:rFonts w:ascii="Arial" w:hAnsi="Arial" w:cs="Arial"/>
          <w:bCs/>
        </w:rPr>
        <w:t>DISCLAIMER (ARTIFICIAL INTELLIGENCE)</w:t>
      </w:r>
    </w:p>
    <w:p w14:paraId="06B38AE3" w14:textId="77777777" w:rsidR="005C784C" w:rsidRPr="002B685A" w:rsidRDefault="005C784C" w:rsidP="00441B6F">
      <w:pPr>
        <w:pStyle w:val="ReferHead"/>
        <w:spacing w:after="0"/>
        <w:jc w:val="both"/>
        <w:rPr>
          <w:rFonts w:ascii="Arial" w:hAnsi="Arial" w:cs="Arial"/>
          <w:bCs/>
        </w:rPr>
      </w:pPr>
    </w:p>
    <w:p w14:paraId="6040E07F" w14:textId="07046F06" w:rsidR="0041027F" w:rsidRPr="00F469F0" w:rsidRDefault="00A44446" w:rsidP="00441B6F">
      <w:pPr>
        <w:pStyle w:val="ReferHead"/>
        <w:spacing w:after="0"/>
        <w:jc w:val="both"/>
        <w:rPr>
          <w:rFonts w:ascii="Arial" w:hAnsi="Arial" w:cs="Arial"/>
          <w:b w:val="0"/>
          <w:caps w:val="0"/>
          <w:sz w:val="20"/>
          <w:u w:val="single"/>
        </w:rPr>
      </w:pPr>
      <w:r w:rsidRPr="00A44446">
        <w:rPr>
          <w:rFonts w:ascii="Arial" w:hAnsi="Arial" w:cs="Arial"/>
          <w:b w:val="0"/>
          <w:caps w:val="0"/>
          <w:sz w:val="20"/>
        </w:rPr>
        <w:t>The authors acknowledge the use of artificial intelligence (AI) tools, including ChatGPT, to support language refinement and improve the clarity of the manuscript. These tools were utilized solely for editing purposes, such as grammar correction, paraphrasing, and readability enhancement, and did not contribute to the study design, data analysis, or interpretation of the research findings. All intellectual content, arguments, and conclusions presented in this study remain the sole responsibility of the authors.</w:t>
      </w:r>
    </w:p>
    <w:p w14:paraId="33F16352" w14:textId="77777777" w:rsidR="00860000" w:rsidRDefault="00860000" w:rsidP="00441B6F">
      <w:pPr>
        <w:pStyle w:val="ReferHead"/>
        <w:spacing w:after="0"/>
        <w:jc w:val="both"/>
        <w:rPr>
          <w:rFonts w:ascii="Arial" w:hAnsi="Arial" w:cs="Arial"/>
        </w:rPr>
      </w:pPr>
    </w:p>
    <w:p w14:paraId="4E7C0BF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7E2FD83" w14:textId="77777777" w:rsidR="00790ADA" w:rsidRPr="00FB3A86" w:rsidRDefault="00790ADA" w:rsidP="00441B6F">
      <w:pPr>
        <w:pStyle w:val="ReferHead"/>
        <w:spacing w:after="0"/>
        <w:jc w:val="both"/>
        <w:rPr>
          <w:rFonts w:ascii="Arial" w:hAnsi="Arial" w:cs="Arial"/>
        </w:rPr>
      </w:pPr>
    </w:p>
    <w:p w14:paraId="18CCD871" w14:textId="77777777" w:rsidR="00511115" w:rsidRDefault="006B5CC8" w:rsidP="00511115">
      <w:pPr>
        <w:pStyle w:val="Bibliography"/>
      </w:pPr>
      <w:r w:rsidRPr="00A44446">
        <w:rPr>
          <w:rFonts w:ascii="Arial" w:hAnsi="Arial" w:cs="Arial"/>
        </w:rPr>
        <w:fldChar w:fldCharType="begin"/>
      </w:r>
      <w:r w:rsidR="001F2CF6" w:rsidRPr="00A44446">
        <w:rPr>
          <w:rFonts w:ascii="Arial" w:hAnsi="Arial" w:cs="Arial"/>
        </w:rPr>
        <w:instrText xml:space="preserve"> ADDIN ZOTERO_BIBL {"uncited":[],"omitted":[],"custom":[]} CSL_BIBLIOGRAPHY </w:instrText>
      </w:r>
      <w:r w:rsidRPr="00A44446">
        <w:rPr>
          <w:rFonts w:ascii="Arial" w:hAnsi="Arial" w:cs="Arial"/>
        </w:rPr>
        <w:fldChar w:fldCharType="separate"/>
      </w:r>
      <w:r w:rsidR="00511115">
        <w:t xml:space="preserve">Alinasab, J., &amp; Hunt, R. A. (2025). Real Options Reasoning and the Internationalization of Small Firms: A Review and Agenda for Future Research. </w:t>
      </w:r>
      <w:r w:rsidR="00511115">
        <w:rPr>
          <w:i/>
          <w:iCs/>
        </w:rPr>
        <w:t>Management International Review</w:t>
      </w:r>
      <w:r w:rsidR="00511115">
        <w:t xml:space="preserve">, </w:t>
      </w:r>
      <w:r w:rsidR="00511115">
        <w:rPr>
          <w:i/>
          <w:iCs/>
        </w:rPr>
        <w:t>65</w:t>
      </w:r>
      <w:r w:rsidR="00511115">
        <w:t>(5), 821–849. Scopus. https://doi.org/10.1007/s11575-025-00584-6</w:t>
      </w:r>
    </w:p>
    <w:p w14:paraId="05982F10" w14:textId="77777777" w:rsidR="00511115" w:rsidRDefault="00511115" w:rsidP="00511115">
      <w:pPr>
        <w:pStyle w:val="Bibliography"/>
      </w:pPr>
      <w:r>
        <w:t xml:space="preserve">Alkhalailah, A. M., Galdeano-Gómez, E., &amp; Sorroche-Del-rey, Y. (2024). Barriers to Internationalization: Evidence from Jordanian SMEs. </w:t>
      </w:r>
      <w:r>
        <w:rPr>
          <w:i/>
          <w:iCs/>
        </w:rPr>
        <w:t>Journal of Project Management (Canada)</w:t>
      </w:r>
      <w:r>
        <w:t xml:space="preserve">, </w:t>
      </w:r>
      <w:r>
        <w:rPr>
          <w:i/>
          <w:iCs/>
        </w:rPr>
        <w:t>9</w:t>
      </w:r>
      <w:r>
        <w:t>(4), 353–366. Scopus. https://doi.org/10.5267/j.jpm.2024.8.001</w:t>
      </w:r>
    </w:p>
    <w:p w14:paraId="3A521B48" w14:textId="77777777" w:rsidR="00511115" w:rsidRDefault="00511115" w:rsidP="00511115">
      <w:pPr>
        <w:pStyle w:val="Bibliography"/>
      </w:pPr>
      <w:r>
        <w:t xml:space="preserve">Althawadi, A. (2025). A Strategic Framework for Enhancing SME Competitiveness and Growth. In </w:t>
      </w:r>
      <w:r>
        <w:rPr>
          <w:i/>
          <w:iCs/>
        </w:rPr>
        <w:t>Studies in Big Data</w:t>
      </w:r>
      <w:r>
        <w:t xml:space="preserve"> (Vol. 171, pp. 289–301). Scopus. https://doi.org/10.1007/978-3-031-83911-5_26</w:t>
      </w:r>
    </w:p>
    <w:p w14:paraId="7AED61E9" w14:textId="77777777" w:rsidR="00511115" w:rsidRDefault="00511115" w:rsidP="00511115">
      <w:pPr>
        <w:pStyle w:val="Bibliography"/>
      </w:pPr>
      <w:r>
        <w:t xml:space="preserve">Andreu, R., Rienda, L., &amp; Ruiz-Fernandez, L. (2024). THE MODERATING EFFECT OF WOMEN MANAGERS IN THE INTERNATIONALISATION AND INTELLECTUAL </w:t>
      </w:r>
      <w:r>
        <w:lastRenderedPageBreak/>
        <w:t xml:space="preserve">CAPITAL-PERFORMANCE RELATIONSHIP. </w:t>
      </w:r>
      <w:r>
        <w:rPr>
          <w:i/>
          <w:iCs/>
        </w:rPr>
        <w:t>Transformations in Business and Economics</w:t>
      </w:r>
      <w:r>
        <w:t xml:space="preserve">, </w:t>
      </w:r>
      <w:r>
        <w:rPr>
          <w:i/>
          <w:iCs/>
        </w:rPr>
        <w:t>23</w:t>
      </w:r>
      <w:r>
        <w:t>(2), 583–605. Scopus.</w:t>
      </w:r>
    </w:p>
    <w:p w14:paraId="7FD20FCB" w14:textId="77777777" w:rsidR="00511115" w:rsidRDefault="00511115" w:rsidP="00511115">
      <w:pPr>
        <w:pStyle w:val="Bibliography"/>
      </w:pPr>
      <w:r>
        <w:t xml:space="preserve">Andreu, R., Rienda, L., &amp; Ruiz-Fernández, L. (2025). The role of intellectual capital and women managers in the internationalization-performance relationship: An analysis of Spanish hotel firms. </w:t>
      </w:r>
      <w:r>
        <w:rPr>
          <w:i/>
          <w:iCs/>
        </w:rPr>
        <w:t>Journal of Business Research</w:t>
      </w:r>
      <w:r>
        <w:t xml:space="preserve">, </w:t>
      </w:r>
      <w:r>
        <w:rPr>
          <w:i/>
          <w:iCs/>
        </w:rPr>
        <w:t>194</w:t>
      </w:r>
      <w:r>
        <w:t>. Scopus. https://doi.org/10.1016/j.jbusres.2025.115378</w:t>
      </w:r>
    </w:p>
    <w:p w14:paraId="38B4CB2B" w14:textId="77777777" w:rsidR="00511115" w:rsidRDefault="00511115" w:rsidP="00511115">
      <w:pPr>
        <w:pStyle w:val="Bibliography"/>
      </w:pPr>
      <w:r>
        <w:t xml:space="preserve">Anwar, M., Scheffler, M. A., &amp; Clauss, T. (2024). Digital Capabilities, Their Role in Business Model Innovativeness, and the Internationalization of SMEs. </w:t>
      </w:r>
      <w:r>
        <w:rPr>
          <w:i/>
          <w:iCs/>
        </w:rPr>
        <w:t>IEEE Transactions on Engineering Management</w:t>
      </w:r>
      <w:r>
        <w:t xml:space="preserve">, </w:t>
      </w:r>
      <w:r>
        <w:rPr>
          <w:i/>
          <w:iCs/>
        </w:rPr>
        <w:t>71</w:t>
      </w:r>
      <w:r>
        <w:t>, 4131–4143. Scopus. https://doi.org/10.1109/TEM.2022.3229049</w:t>
      </w:r>
    </w:p>
    <w:p w14:paraId="0AE3042B" w14:textId="77777777" w:rsidR="00511115" w:rsidRDefault="00511115" w:rsidP="00511115">
      <w:pPr>
        <w:pStyle w:val="Bibliography"/>
      </w:pPr>
      <w:r>
        <w:t xml:space="preserve">Arokiasamy, A. R. A., Wider, W., Tanucan, J. C. M., Hossain, S. F. A., &amp; Thet, K. Z. Z. (2025). Optimizing employee productivity: The mediating role of employee engagement in training programs for Malaysian SMEs. </w:t>
      </w:r>
      <w:r>
        <w:rPr>
          <w:i/>
          <w:iCs/>
        </w:rPr>
        <w:t>Asian Development Policy Review</w:t>
      </w:r>
      <w:r>
        <w:t xml:space="preserve">, </w:t>
      </w:r>
      <w:r>
        <w:rPr>
          <w:i/>
          <w:iCs/>
        </w:rPr>
        <w:t>13</w:t>
      </w:r>
      <w:r>
        <w:t>(3), 310–324. Scopus. https://doi.org/10.55493/5008.v13i3.5603</w:t>
      </w:r>
    </w:p>
    <w:p w14:paraId="4223AD67" w14:textId="77777777" w:rsidR="00511115" w:rsidRDefault="00511115" w:rsidP="00511115">
      <w:pPr>
        <w:pStyle w:val="Bibliography"/>
      </w:pPr>
      <w:r>
        <w:t xml:space="preserve">Barriga, R. H., &amp; Escandon-Barbosa, D. (2024). Synergizing board dynamics, sustainability, and strategy for international success. </w:t>
      </w:r>
      <w:r>
        <w:rPr>
          <w:i/>
          <w:iCs/>
        </w:rPr>
        <w:t>Corporate Social Responsibility and Environmental Management</w:t>
      </w:r>
      <w:r>
        <w:t xml:space="preserve">, </w:t>
      </w:r>
      <w:r>
        <w:rPr>
          <w:i/>
          <w:iCs/>
        </w:rPr>
        <w:t>31</w:t>
      </w:r>
      <w:r>
        <w:t>(4), 3368–3378. Scopus. https://doi.org/10.1002/csr.2742</w:t>
      </w:r>
    </w:p>
    <w:p w14:paraId="6DC022B4" w14:textId="77777777" w:rsidR="00511115" w:rsidRDefault="00511115" w:rsidP="00511115">
      <w:pPr>
        <w:pStyle w:val="Bibliography"/>
      </w:pPr>
      <w:r>
        <w:t xml:space="preserve">Bellaaj, M. (2025). How does digital business capability influence social media capabilities and social media performance? </w:t>
      </w:r>
      <w:r>
        <w:rPr>
          <w:i/>
          <w:iCs/>
        </w:rPr>
        <w:t>Journal of Business Strategy</w:t>
      </w:r>
      <w:r>
        <w:t>, 1–18. Scopus. https://doi.org/10.1108/JBS-09-2024-0180</w:t>
      </w:r>
    </w:p>
    <w:p w14:paraId="7F004EDE" w14:textId="77777777" w:rsidR="00511115" w:rsidRDefault="00511115" w:rsidP="00511115">
      <w:pPr>
        <w:pStyle w:val="Bibliography"/>
      </w:pPr>
      <w:r>
        <w:t xml:space="preserve">Borazon, E., Liu, J.-M., &amp; Okumus, F. (2024). Human capital, growth, and competitiveness of Philippine MSMEs: The mediating role of social capital. </w:t>
      </w:r>
      <w:r>
        <w:rPr>
          <w:i/>
          <w:iCs/>
        </w:rPr>
        <w:t>Asia Pacific Business Review</w:t>
      </w:r>
      <w:r>
        <w:t xml:space="preserve">, </w:t>
      </w:r>
      <w:r>
        <w:rPr>
          <w:i/>
          <w:iCs/>
        </w:rPr>
        <w:t>30</w:t>
      </w:r>
      <w:r>
        <w:t>(5), 894–923. Scopus. https://doi.org/10.1080/13602381.2022.2154602</w:t>
      </w:r>
    </w:p>
    <w:p w14:paraId="49DEA80A" w14:textId="77777777" w:rsidR="00511115" w:rsidRDefault="00511115" w:rsidP="00511115">
      <w:pPr>
        <w:pStyle w:val="Bibliography"/>
      </w:pPr>
      <w:r>
        <w:t xml:space="preserve">Cahen, F., Borini, F., Dhanaraj, C., &amp; Morais, R. (2025). Unpacking global digital competence in the contemporary international venture. </w:t>
      </w:r>
      <w:r>
        <w:rPr>
          <w:i/>
          <w:iCs/>
        </w:rPr>
        <w:t>International Business Review</w:t>
      </w:r>
      <w:r>
        <w:t xml:space="preserve">, </w:t>
      </w:r>
      <w:r>
        <w:rPr>
          <w:i/>
          <w:iCs/>
        </w:rPr>
        <w:t>34</w:t>
      </w:r>
      <w:r>
        <w:t>(4). Scopus. https://doi.org/10.1016/j.ibusrev.2025.102414</w:t>
      </w:r>
    </w:p>
    <w:p w14:paraId="7DE1582D" w14:textId="77777777" w:rsidR="00511115" w:rsidRDefault="00511115" w:rsidP="00511115">
      <w:pPr>
        <w:pStyle w:val="Bibliography"/>
      </w:pPr>
      <w:r>
        <w:lastRenderedPageBreak/>
        <w:t xml:space="preserve">Ciszewska-Mlinarič, M., &amp; Wasowska, A. (2015). Resource-Based View (RBV). In </w:t>
      </w:r>
      <w:r>
        <w:rPr>
          <w:i/>
          <w:iCs/>
        </w:rPr>
        <w:t>Wiley Encyclopedia of Management</w:t>
      </w:r>
      <w:r>
        <w:t xml:space="preserve"> (pp. 1–7). Scopus. https://doi.org/10.1002/9781118785317.weom060174</w:t>
      </w:r>
    </w:p>
    <w:p w14:paraId="4900C0AA" w14:textId="77777777" w:rsidR="00511115" w:rsidRDefault="00511115" w:rsidP="00511115">
      <w:pPr>
        <w:pStyle w:val="Bibliography"/>
      </w:pPr>
      <w:r>
        <w:t xml:space="preserve">Daat, S. C., Sanggenafa, M., &amp; Larasati, R. (2021). The Role of Intellectual Capital on Financial Performance of SMEs. </w:t>
      </w:r>
      <w:r>
        <w:rPr>
          <w:i/>
          <w:iCs/>
        </w:rPr>
        <w:t>Universal Journal of Accounting and Finance</w:t>
      </w:r>
      <w:r>
        <w:t xml:space="preserve">, </w:t>
      </w:r>
      <w:r>
        <w:rPr>
          <w:i/>
          <w:iCs/>
        </w:rPr>
        <w:t>9</w:t>
      </w:r>
      <w:r>
        <w:t>(6), 1312–1321. https://doi.org/10.13189/ujaf.2021.090610</w:t>
      </w:r>
    </w:p>
    <w:p w14:paraId="3CEC1F96" w14:textId="77777777" w:rsidR="00511115" w:rsidRDefault="00511115" w:rsidP="00511115">
      <w:pPr>
        <w:pStyle w:val="Bibliography"/>
      </w:pPr>
      <w:r>
        <w:t xml:space="preserve">Devi, R. A., Hisjam, M., Sutopo, W., &amp; Widodo, K. H. (2012). </w:t>
      </w:r>
      <w:r>
        <w:rPr>
          <w:i/>
          <w:iCs/>
        </w:rPr>
        <w:t>A relationship model between manufacturer and buyer for order fulfillment in export oriented furniture industry with sustainability considerations</w:t>
      </w:r>
      <w:r>
        <w:t xml:space="preserve">. </w:t>
      </w:r>
      <w:r>
        <w:rPr>
          <w:i/>
          <w:iCs/>
        </w:rPr>
        <w:t>2196</w:t>
      </w:r>
      <w:r>
        <w:t>, 1407–1411. Scopus. https://www.scopus.com/inward/record.uri?eid=2-s2.0-84867463108&amp;partnerID=40&amp;md5=ec210a21d72292d5aa595e183f08cd67</w:t>
      </w:r>
    </w:p>
    <w:p w14:paraId="49849190" w14:textId="77777777" w:rsidR="00511115" w:rsidRDefault="00511115" w:rsidP="00511115">
      <w:pPr>
        <w:pStyle w:val="Bibliography"/>
      </w:pPr>
      <w:r>
        <w:t xml:space="preserve">Du, X., &amp; Huang, J. (2025). The influence of digital capabilities on the export performance of SMEs: Evidence from China. </w:t>
      </w:r>
      <w:r>
        <w:rPr>
          <w:i/>
          <w:iCs/>
        </w:rPr>
        <w:t>Asia Pacific Business Review</w:t>
      </w:r>
      <w:r>
        <w:t>. Scopus. https://doi.org/10.1080/13602381.2024.2448472</w:t>
      </w:r>
    </w:p>
    <w:p w14:paraId="7DD11381" w14:textId="77777777" w:rsidR="00511115" w:rsidRDefault="00511115" w:rsidP="00511115">
      <w:pPr>
        <w:pStyle w:val="Bibliography"/>
      </w:pPr>
      <w:r>
        <w:t xml:space="preserve">Durman, S., Iyiola, K., Alzubi, A. B., &amp; Aljuhmani, H. Y. (2025). Dynamic capabilities in action: Digital capability, business model innovation and absorptive capacity. </w:t>
      </w:r>
      <w:r>
        <w:rPr>
          <w:i/>
          <w:iCs/>
        </w:rPr>
        <w:t>Management Decision</w:t>
      </w:r>
      <w:r>
        <w:t>, 1–36. Scopus. https://doi.org/10.1108/MD-04-2025-0951</w:t>
      </w:r>
    </w:p>
    <w:p w14:paraId="58E64608" w14:textId="77777777" w:rsidR="00511115" w:rsidRDefault="00511115" w:rsidP="00511115">
      <w:pPr>
        <w:pStyle w:val="Bibliography"/>
      </w:pPr>
      <w:r>
        <w:t xml:space="preserve">Dvorský, J., Klieštik, T., Čepel, M., &amp; Strnad, Z. (2020). The Influence of Some Factors of Competitiveness on Business Risks. </w:t>
      </w:r>
      <w:r>
        <w:rPr>
          <w:i/>
          <w:iCs/>
        </w:rPr>
        <w:t>Journal of Business Economics and Management</w:t>
      </w:r>
      <w:r>
        <w:t xml:space="preserve">, </w:t>
      </w:r>
      <w:r>
        <w:rPr>
          <w:i/>
          <w:iCs/>
        </w:rPr>
        <w:t>21</w:t>
      </w:r>
      <w:r>
        <w:t>(5), 1451–1465. https://doi.org/10.3846/jbem.2020.13440</w:t>
      </w:r>
    </w:p>
    <w:p w14:paraId="151978A6" w14:textId="77777777" w:rsidR="00511115" w:rsidRDefault="00511115" w:rsidP="00511115">
      <w:pPr>
        <w:pStyle w:val="Bibliography"/>
      </w:pPr>
      <w:r>
        <w:t xml:space="preserve">Faisol, F., Astuti, P., &amp; Winarko, S. P. (2021). The Role of Technology Usage in Mediating Intellectual Capital on SMEs Performance During the Covid-19 Era. </w:t>
      </w:r>
      <w:r>
        <w:rPr>
          <w:i/>
          <w:iCs/>
        </w:rPr>
        <w:t>Etikonomi</w:t>
      </w:r>
      <w:r>
        <w:t xml:space="preserve">, </w:t>
      </w:r>
      <w:r>
        <w:rPr>
          <w:i/>
          <w:iCs/>
        </w:rPr>
        <w:t>20</w:t>
      </w:r>
      <w:r>
        <w:t>(2), 413–428. https://doi.org/10.15408/etk.v20i2.20172</w:t>
      </w:r>
    </w:p>
    <w:p w14:paraId="0D3646AF" w14:textId="77777777" w:rsidR="00511115" w:rsidRDefault="00511115" w:rsidP="00511115">
      <w:pPr>
        <w:pStyle w:val="Bibliography"/>
      </w:pPr>
      <w:r>
        <w:t xml:space="preserve">Faradiba, B., Amar, M. Y., &amp; Sudirman, I. (2025). Digital Capability and Distribution Readiness: Why Some E-Commerce MSMEs Excel While Others Fall Behind. </w:t>
      </w:r>
      <w:r>
        <w:rPr>
          <w:i/>
          <w:iCs/>
        </w:rPr>
        <w:t>Journal of Distribution Science</w:t>
      </w:r>
      <w:r>
        <w:t xml:space="preserve">, </w:t>
      </w:r>
      <w:r>
        <w:rPr>
          <w:i/>
          <w:iCs/>
        </w:rPr>
        <w:t>23</w:t>
      </w:r>
      <w:r>
        <w:t>(11), 51–60. Scopus. https://doi.org/10.15722/jds.23.11.202511.51</w:t>
      </w:r>
    </w:p>
    <w:p w14:paraId="76425AE6" w14:textId="77777777" w:rsidR="00511115" w:rsidRDefault="00511115" w:rsidP="00511115">
      <w:pPr>
        <w:pStyle w:val="Bibliography"/>
      </w:pPr>
      <w:r>
        <w:lastRenderedPageBreak/>
        <w:t xml:space="preserve">Faria, V. F. d., Corrêa, F., &amp; Ziviani, F. (2023). The Relevance of Intellectual Capital in Small and Medium-Sized Enterprises. </w:t>
      </w:r>
      <w:r>
        <w:rPr>
          <w:i/>
          <w:iCs/>
        </w:rPr>
        <w:t>Perspectivas Em Ciência Da Informação</w:t>
      </w:r>
      <w:r>
        <w:t xml:space="preserve">, </w:t>
      </w:r>
      <w:r>
        <w:rPr>
          <w:i/>
          <w:iCs/>
        </w:rPr>
        <w:t>28</w:t>
      </w:r>
      <w:r>
        <w:t>. https://doi.org/10.1590/1981-5344/42023</w:t>
      </w:r>
    </w:p>
    <w:p w14:paraId="6AA613A7" w14:textId="77777777" w:rsidR="00511115" w:rsidRDefault="00511115" w:rsidP="00511115">
      <w:pPr>
        <w:pStyle w:val="Bibliography"/>
      </w:pPr>
      <w:r>
        <w:t xml:space="preserve">Feliciano-Cestero, M. M., Ameen, N., Kotabe, M., Paul, J., &amp; Signoret, M. (2023). Is digital transformation threatened? A systematic literature review of the factors influencing firms’ digital transformation and internationalization. </w:t>
      </w:r>
      <w:r>
        <w:rPr>
          <w:i/>
          <w:iCs/>
        </w:rPr>
        <w:t>Journal of Business Research</w:t>
      </w:r>
      <w:r>
        <w:t xml:space="preserve">, </w:t>
      </w:r>
      <w:r>
        <w:rPr>
          <w:i/>
          <w:iCs/>
        </w:rPr>
        <w:t>157</w:t>
      </w:r>
      <w:r>
        <w:t>. Scopus. https://doi.org/10.1016/j.jbusres.2022.113546</w:t>
      </w:r>
    </w:p>
    <w:p w14:paraId="004CCF4E" w14:textId="77777777" w:rsidR="00511115" w:rsidRDefault="00511115" w:rsidP="00511115">
      <w:pPr>
        <w:pStyle w:val="Bibliography"/>
      </w:pPr>
      <w:r>
        <w:t xml:space="preserve">Forsgren, M. (2016). A note on the revisited Uppsala internationalization process model—The implications of business networks and entrepreneurship. </w:t>
      </w:r>
      <w:r>
        <w:rPr>
          <w:i/>
          <w:iCs/>
        </w:rPr>
        <w:t>Journal of International Business Studies</w:t>
      </w:r>
      <w:r>
        <w:t xml:space="preserve">, </w:t>
      </w:r>
      <w:r>
        <w:rPr>
          <w:i/>
          <w:iCs/>
        </w:rPr>
        <w:t>47</w:t>
      </w:r>
      <w:r>
        <w:t>(9), 1135–1144. Scopus. https://doi.org/10.1057/s41267-016-0014-3</w:t>
      </w:r>
    </w:p>
    <w:p w14:paraId="1DB98A73" w14:textId="77777777" w:rsidR="00511115" w:rsidRDefault="00511115" w:rsidP="00511115">
      <w:pPr>
        <w:pStyle w:val="Bibliography"/>
      </w:pPr>
      <w:r>
        <w:t xml:space="preserve">Fu, W., &amp; Abdul Rahim, Z. (2025). Conceptual framework on Internet Born Global’s internationalization. </w:t>
      </w:r>
      <w:r>
        <w:rPr>
          <w:i/>
          <w:iCs/>
        </w:rPr>
        <w:t>International Studies of Management and Organization</w:t>
      </w:r>
      <w:r>
        <w:t>. Scopus. https://doi.org/10.1080/00208825.2025.2515685</w:t>
      </w:r>
    </w:p>
    <w:p w14:paraId="72013092" w14:textId="77777777" w:rsidR="00511115" w:rsidRDefault="00511115" w:rsidP="00511115">
      <w:pPr>
        <w:pStyle w:val="Bibliography"/>
      </w:pPr>
      <w:r>
        <w:t xml:space="preserve">Gashi, P. (2014). Human capital and export decisions: The case of small and medium enterprises in kosovo. </w:t>
      </w:r>
      <w:r>
        <w:rPr>
          <w:i/>
          <w:iCs/>
        </w:rPr>
        <w:t>Croatian Economic Survey</w:t>
      </w:r>
      <w:r>
        <w:t xml:space="preserve">, </w:t>
      </w:r>
      <w:r>
        <w:rPr>
          <w:i/>
          <w:iCs/>
        </w:rPr>
        <w:t>16</w:t>
      </w:r>
      <w:r>
        <w:t>(2), 91–120. Scopus.</w:t>
      </w:r>
    </w:p>
    <w:p w14:paraId="32B1549D" w14:textId="77777777" w:rsidR="00511115" w:rsidRDefault="00511115" w:rsidP="00511115">
      <w:pPr>
        <w:pStyle w:val="Bibliography"/>
      </w:pPr>
      <w:r>
        <w:t xml:space="preserve">Goraya, M. A. S., Kemal, A. A., Xu, M., Shareef, M. A., &amp; Akram, M. S. (2025). Leveraging digital transformation strategy and data-driven decision-making to improve organisational performance in a hostile environment. </w:t>
      </w:r>
      <w:r>
        <w:rPr>
          <w:i/>
          <w:iCs/>
        </w:rPr>
        <w:t>Industrial Management and Data Systems</w:t>
      </w:r>
      <w:r>
        <w:t>. Scopus. https://doi.org/10.1108/IMDS-10-2024-1039</w:t>
      </w:r>
    </w:p>
    <w:p w14:paraId="5807E360" w14:textId="77777777" w:rsidR="00511115" w:rsidRDefault="00511115" w:rsidP="00511115">
      <w:pPr>
        <w:pStyle w:val="Bibliography"/>
      </w:pPr>
      <w:r>
        <w:t xml:space="preserve">Grginović, M. G. (2025). Firm and managerial capabilities as antecedents of digital internationalisation at small-and medium-sized enterprises. In </w:t>
      </w:r>
      <w:r>
        <w:rPr>
          <w:i/>
          <w:iCs/>
        </w:rPr>
        <w:t>Digital Internationalisation of Firms: Strategies, Challenges and Legal Aspects</w:t>
      </w:r>
      <w:r>
        <w:t xml:space="preserve"> (pp. 201–220). Scopus. https://doi.org/10.4324/9781003617396-12</w:t>
      </w:r>
    </w:p>
    <w:p w14:paraId="41AAB9A2" w14:textId="77777777" w:rsidR="00511115" w:rsidRDefault="00511115" w:rsidP="00511115">
      <w:pPr>
        <w:pStyle w:val="Bibliography"/>
      </w:pPr>
      <w:r>
        <w:t xml:space="preserve">Hair, J. F., Hult, G. T. M., Ringle, C. M., Sarstedt, M., Danks, N. P., &amp; Ray, S. (2021). </w:t>
      </w:r>
      <w:r>
        <w:rPr>
          <w:i/>
          <w:iCs/>
        </w:rPr>
        <w:t>Partial least squares structural equation modeling (PLS-SEM) using R: A workbook</w:t>
      </w:r>
      <w:r>
        <w:t>. Springer.</w:t>
      </w:r>
    </w:p>
    <w:p w14:paraId="4DA05AEF" w14:textId="77777777" w:rsidR="00511115" w:rsidRDefault="00511115" w:rsidP="00511115">
      <w:pPr>
        <w:pStyle w:val="Bibliography"/>
      </w:pPr>
      <w:r>
        <w:lastRenderedPageBreak/>
        <w:t xml:space="preserve">Hoxholli, E., &amp; Kercini, D. (2018). </w:t>
      </w:r>
      <w:r>
        <w:rPr>
          <w:i/>
          <w:iCs/>
        </w:rPr>
        <w:t>The Internationalization Process of Small and Medium Enterprises: Case of Albania</w:t>
      </w:r>
      <w:r>
        <w:t>. 169–178. Scopus. https://doi.org/10.1007/978-3-319-70377-0_12</w:t>
      </w:r>
    </w:p>
    <w:p w14:paraId="1BCD6FEC" w14:textId="77777777" w:rsidR="00511115" w:rsidRDefault="00511115" w:rsidP="00511115">
      <w:pPr>
        <w:pStyle w:val="Bibliography"/>
      </w:pPr>
      <w:r>
        <w:t xml:space="preserve">Huang, J., Raja Yusof, R. N., Rahman, A. A., &amp; Rahman, R. A. (2026). The Antecedents and Outcomes of Dynamic Capabilities in Digital Transformation: A Study of Chinese Manufacturing Companies. </w:t>
      </w:r>
      <w:r>
        <w:rPr>
          <w:i/>
          <w:iCs/>
        </w:rPr>
        <w:t>Journal of the Knowledge Economy</w:t>
      </w:r>
      <w:r>
        <w:t xml:space="preserve">, </w:t>
      </w:r>
      <w:r>
        <w:rPr>
          <w:i/>
          <w:iCs/>
        </w:rPr>
        <w:t>17</w:t>
      </w:r>
      <w:r>
        <w:t>(1), 642–669. Scopus. https://doi.org/10.1007/s13132-025-02689-7</w:t>
      </w:r>
    </w:p>
    <w:p w14:paraId="334B7632" w14:textId="77777777" w:rsidR="00511115" w:rsidRDefault="00511115" w:rsidP="00511115">
      <w:pPr>
        <w:pStyle w:val="Bibliography"/>
      </w:pPr>
      <w:r>
        <w:t xml:space="preserve">Hult, G. T. M., Gonzalez-Perez, M. A., &amp; Lagerström, K. (2020). The theoretical evolution and use of the Uppsala Model of internationalization in the international business ecosystem. </w:t>
      </w:r>
      <w:r>
        <w:rPr>
          <w:i/>
          <w:iCs/>
        </w:rPr>
        <w:t>Journal of International Business Studies</w:t>
      </w:r>
      <w:r>
        <w:t xml:space="preserve">, </w:t>
      </w:r>
      <w:r>
        <w:rPr>
          <w:i/>
          <w:iCs/>
        </w:rPr>
        <w:t>51</w:t>
      </w:r>
      <w:r>
        <w:t>(1), 38–49. Scopus. https://doi.org/10.1057/s41267-019-00293-x</w:t>
      </w:r>
    </w:p>
    <w:p w14:paraId="71021E40" w14:textId="77777777" w:rsidR="00511115" w:rsidRDefault="00511115" w:rsidP="00511115">
      <w:pPr>
        <w:pStyle w:val="Bibliography"/>
      </w:pPr>
      <w:r>
        <w:t xml:space="preserve">Inan, G. G. (2024). </w:t>
      </w:r>
      <w:r>
        <w:rPr>
          <w:i/>
          <w:iCs/>
        </w:rPr>
        <w:t>Building Digital Capabilities in Manufacturing SMEs</w:t>
      </w:r>
      <w:r>
        <w:t xml:space="preserve">. </w:t>
      </w:r>
      <w:r>
        <w:rPr>
          <w:i/>
          <w:iCs/>
        </w:rPr>
        <w:t>731 IFIP</w:t>
      </w:r>
      <w:r>
        <w:t>, 135–147. Scopus. https://doi.org/10.1007/978-3-031-71633-1_10</w:t>
      </w:r>
    </w:p>
    <w:p w14:paraId="794F5F07" w14:textId="77777777" w:rsidR="00511115" w:rsidRDefault="00511115" w:rsidP="00511115">
      <w:pPr>
        <w:pStyle w:val="Bibliography"/>
      </w:pPr>
      <w:r>
        <w:t xml:space="preserve">Ismail, R. (2018). The impact of human capital and innovation on labour productivity of Malaysian small and medium enterprises. </w:t>
      </w:r>
      <w:r>
        <w:rPr>
          <w:i/>
          <w:iCs/>
        </w:rPr>
        <w:t>International Journal of Productivity and Quality Management</w:t>
      </w:r>
      <w:r>
        <w:t xml:space="preserve">, </w:t>
      </w:r>
      <w:r>
        <w:rPr>
          <w:i/>
          <w:iCs/>
        </w:rPr>
        <w:t>25</w:t>
      </w:r>
      <w:r>
        <w:t>(2), 245–261. Scopus. https://doi.org/10.1504/IJPQM.2018.094769</w:t>
      </w:r>
    </w:p>
    <w:p w14:paraId="74FD9164" w14:textId="77777777" w:rsidR="00511115" w:rsidRDefault="00511115" w:rsidP="00511115">
      <w:pPr>
        <w:pStyle w:val="Bibliography"/>
      </w:pPr>
      <w:r>
        <w:t xml:space="preserve">Jiang, Z., &amp; Shi, J. (2023). Can Firm R&amp;D Benefit From Digital Technologies? Evidence From Chinese High-Speed Rail Industry. </w:t>
      </w:r>
      <w:r>
        <w:rPr>
          <w:i/>
          <w:iCs/>
        </w:rPr>
        <w:t>Kybernetes</w:t>
      </w:r>
      <w:r>
        <w:t xml:space="preserve">, </w:t>
      </w:r>
      <w:r>
        <w:rPr>
          <w:i/>
          <w:iCs/>
        </w:rPr>
        <w:t>53</w:t>
      </w:r>
      <w:r>
        <w:t>(11), 4654–4677. https://doi.org/10.1108/k-04-2023-0677</w:t>
      </w:r>
    </w:p>
    <w:p w14:paraId="3EBFA14A" w14:textId="77777777" w:rsidR="00511115" w:rsidRDefault="00511115" w:rsidP="00511115">
      <w:pPr>
        <w:pStyle w:val="Bibliography"/>
      </w:pPr>
      <w:r>
        <w:t xml:space="preserve">Jing, Z., Zheng, Y., &amp; Guo, H. (2023). A Study of the Impact of Digital Competence and Organizational Agility on Green Innovation Performance of Manufacturing Firms—The Moderating Effect Based on Knowledge Inertia. </w:t>
      </w:r>
      <w:r>
        <w:rPr>
          <w:i/>
          <w:iCs/>
        </w:rPr>
        <w:t>Administrative Sciences</w:t>
      </w:r>
      <w:r>
        <w:t xml:space="preserve">, </w:t>
      </w:r>
      <w:r>
        <w:rPr>
          <w:i/>
          <w:iCs/>
        </w:rPr>
        <w:t>13</w:t>
      </w:r>
      <w:r>
        <w:t>(12). Scopus. https://doi.org/10.3390/admsci13120250</w:t>
      </w:r>
    </w:p>
    <w:p w14:paraId="589B6661" w14:textId="77777777" w:rsidR="00511115" w:rsidRDefault="00511115" w:rsidP="00511115">
      <w:pPr>
        <w:pStyle w:val="Bibliography"/>
      </w:pPr>
      <w:r>
        <w:t xml:space="preserve">Khalil, H. (2024). </w:t>
      </w:r>
      <w:r>
        <w:rPr>
          <w:i/>
          <w:iCs/>
        </w:rPr>
        <w:t xml:space="preserve">Examining the Contribution of Entrepreneurial Education Programs and Entrepreneurial Human Capital on Small and Medium Enterprises Perceived Business Performance in the United Arab Emirates, UAE: The Mediating Role of </w:t>
      </w:r>
      <w:r>
        <w:rPr>
          <w:i/>
          <w:iCs/>
        </w:rPr>
        <w:lastRenderedPageBreak/>
        <w:t>Absorptive Capacity</w:t>
      </w:r>
      <w:r>
        <w:t xml:space="preserve">. </w:t>
      </w:r>
      <w:r>
        <w:rPr>
          <w:i/>
          <w:iCs/>
        </w:rPr>
        <w:t>923 LNNS</w:t>
      </w:r>
      <w:r>
        <w:t>, 458–472. Scopus. https://doi.org/10.1007/978-3-031-55911-2_45</w:t>
      </w:r>
    </w:p>
    <w:p w14:paraId="5CB3708D" w14:textId="77777777" w:rsidR="00511115" w:rsidRDefault="00511115" w:rsidP="00511115">
      <w:pPr>
        <w:pStyle w:val="Bibliography"/>
      </w:pPr>
      <w:r>
        <w:t xml:space="preserve">Kidwell, R. E., Fuentes-Lombardo, G., Sanchez-Famoso, V., Cano-Rubio, M., &amp; Kloepfer, K. E. (2020). Human capital in the internationalization of family firms. </w:t>
      </w:r>
      <w:r>
        <w:rPr>
          <w:i/>
          <w:iCs/>
        </w:rPr>
        <w:t>Thunderbird International Business Review</w:t>
      </w:r>
      <w:r>
        <w:t xml:space="preserve">, </w:t>
      </w:r>
      <w:r>
        <w:rPr>
          <w:i/>
          <w:iCs/>
        </w:rPr>
        <w:t>62</w:t>
      </w:r>
      <w:r>
        <w:t>(4), 353–369. Scopus. https://doi.org/10.1002/tie.22107</w:t>
      </w:r>
    </w:p>
    <w:p w14:paraId="6AF1BED7" w14:textId="77777777" w:rsidR="00511115" w:rsidRDefault="00511115" w:rsidP="00511115">
      <w:pPr>
        <w:pStyle w:val="Bibliography"/>
      </w:pPr>
      <w:r>
        <w:t xml:space="preserve">Kim, N. (2024). Digital Transformation and Inter-Regional Dynamics: Accelerating Chinese Multinationals’ Internationalization in the De-globalization Era. </w:t>
      </w:r>
      <w:r>
        <w:rPr>
          <w:i/>
          <w:iCs/>
        </w:rPr>
        <w:t>Global Business and Finance Review</w:t>
      </w:r>
      <w:r>
        <w:t xml:space="preserve">, </w:t>
      </w:r>
      <w:r>
        <w:rPr>
          <w:i/>
          <w:iCs/>
        </w:rPr>
        <w:t>29</w:t>
      </w:r>
      <w:r>
        <w:t>(8), 31–45. Scopus. https://doi.org/10.17549/gbfr.2024.29.8.31</w:t>
      </w:r>
    </w:p>
    <w:p w14:paraId="57333457" w14:textId="77777777" w:rsidR="00511115" w:rsidRDefault="00511115" w:rsidP="00511115">
      <w:pPr>
        <w:pStyle w:val="Bibliography"/>
      </w:pPr>
      <w:r>
        <w:t xml:space="preserve">Korshunova, S. A. (2020). The Role and Specificity of Human Capital in the Formation of a Digital Economy. In </w:t>
      </w:r>
      <w:r>
        <w:rPr>
          <w:i/>
          <w:iCs/>
        </w:rPr>
        <w:t>Lecture Notes in Networks and Systems</w:t>
      </w:r>
      <w:r>
        <w:t xml:space="preserve"> (Vol. 115, pp. 185–192). Scopus. https://doi.org/10.1007/978-3-030-40749-0_22</w:t>
      </w:r>
    </w:p>
    <w:p w14:paraId="626BDFB8" w14:textId="77777777" w:rsidR="00511115" w:rsidRDefault="00511115" w:rsidP="00511115">
      <w:pPr>
        <w:pStyle w:val="Bibliography"/>
      </w:pPr>
      <w:r>
        <w:t xml:space="preserve">Kubíčková, L. (2014). Limits of I-models principles application on Czech SMEs’ internationalization process. </w:t>
      </w:r>
      <w:r>
        <w:rPr>
          <w:i/>
          <w:iCs/>
        </w:rPr>
        <w:t>Acta Universitatis Agriculturae et Silviculturae Mendelianae Brunensis</w:t>
      </w:r>
      <w:r>
        <w:t xml:space="preserve">, </w:t>
      </w:r>
      <w:r>
        <w:rPr>
          <w:i/>
          <w:iCs/>
        </w:rPr>
        <w:t>62</w:t>
      </w:r>
      <w:r>
        <w:t>(4), 667–676. Scopus. https://doi.org/10.11118/actaun201462040667</w:t>
      </w:r>
    </w:p>
    <w:p w14:paraId="5F72882F" w14:textId="77777777" w:rsidR="00511115" w:rsidRDefault="00511115" w:rsidP="00511115">
      <w:pPr>
        <w:pStyle w:val="Bibliography"/>
      </w:pPr>
      <w:r>
        <w:t xml:space="preserve">Kumar, V., Sindhwani, R., Behl, A., Kaur, A., &amp; Pereira, V. (2023). Modelling and Analysing The enablers of Digital Resilience For small and Medium Enterprises. </w:t>
      </w:r>
      <w:r>
        <w:rPr>
          <w:i/>
          <w:iCs/>
        </w:rPr>
        <w:t>Journal of Enterprise Information Management</w:t>
      </w:r>
      <w:r>
        <w:t xml:space="preserve">, </w:t>
      </w:r>
      <w:r>
        <w:rPr>
          <w:i/>
          <w:iCs/>
        </w:rPr>
        <w:t>37</w:t>
      </w:r>
      <w:r>
        <w:t>(5), 1677–1708. https://doi.org/10.1108/jeim-01-2023-0002</w:t>
      </w:r>
    </w:p>
    <w:p w14:paraId="47DF53F5" w14:textId="77777777" w:rsidR="00511115" w:rsidRDefault="00511115" w:rsidP="00511115">
      <w:pPr>
        <w:pStyle w:val="Bibliography"/>
      </w:pPr>
      <w:r>
        <w:t xml:space="preserve">Kusumawijaya, I. K., Astuti, P. D., Wartana, I. M. H., &amp; Adi, I. K. Y. (2026). BUILDING HUMAN CAPITAL AND DYNAMIC MANAGERIAL CAPABILITY TO ELEVATE ORGANIZATIONAL AGILITY AND PERFORMANCE: A STRATEGIC FOR SME RESILIENCE. </w:t>
      </w:r>
      <w:r>
        <w:rPr>
          <w:i/>
          <w:iCs/>
        </w:rPr>
        <w:t>Business, Management and Economics Engineering</w:t>
      </w:r>
      <w:r>
        <w:t xml:space="preserve">, </w:t>
      </w:r>
      <w:r>
        <w:rPr>
          <w:i/>
          <w:iCs/>
        </w:rPr>
        <w:t>24</w:t>
      </w:r>
      <w:r>
        <w:t>(1), 124–142. Scopus. https://doi.org/10.3846/bmee.2026.24215</w:t>
      </w:r>
    </w:p>
    <w:p w14:paraId="5DA4B286" w14:textId="77777777" w:rsidR="00511115" w:rsidRDefault="00511115" w:rsidP="00511115">
      <w:pPr>
        <w:pStyle w:val="Bibliography"/>
      </w:pPr>
      <w:r>
        <w:lastRenderedPageBreak/>
        <w:t xml:space="preserve">Liu, L., An, S., &amp; Liu, X. (2022). Enterprise digital transformation and customer concentration: An examination based on dynamic capability theory. </w:t>
      </w:r>
      <w:r>
        <w:rPr>
          <w:i/>
          <w:iCs/>
        </w:rPr>
        <w:t>Frontiers in Psychology</w:t>
      </w:r>
      <w:r>
        <w:t xml:space="preserve">, </w:t>
      </w:r>
      <w:r>
        <w:rPr>
          <w:i/>
          <w:iCs/>
        </w:rPr>
        <w:t>13</w:t>
      </w:r>
      <w:r>
        <w:t>. Scopus. https://doi.org/10.3389/fpsyg.2022.987268</w:t>
      </w:r>
    </w:p>
    <w:p w14:paraId="12619453" w14:textId="77777777" w:rsidR="00511115" w:rsidRDefault="00511115" w:rsidP="00511115">
      <w:pPr>
        <w:pStyle w:val="Bibliography"/>
      </w:pPr>
      <w:r>
        <w:t xml:space="preserve">Liu, Y., Wei, X.-L., &amp; Qiao, L. (2022). Impact of Enterprises’Human Capital Structure on International M&amp; A Performance: Based on Moderating Effect of Entrepreneurs’ Educational Background. </w:t>
      </w:r>
      <w:r>
        <w:rPr>
          <w:i/>
          <w:iCs/>
        </w:rPr>
        <w:t>Dongbei Daxue Xuebao/Journal of Northeastern University</w:t>
      </w:r>
      <w:r>
        <w:t xml:space="preserve">, </w:t>
      </w:r>
      <w:r>
        <w:rPr>
          <w:i/>
          <w:iCs/>
        </w:rPr>
        <w:t>43</w:t>
      </w:r>
      <w:r>
        <w:t>(3), 440–447. Scopus. https://doi.org/10.12068/j.issn.1005-3026.2022.03.018</w:t>
      </w:r>
    </w:p>
    <w:p w14:paraId="4483FF3B" w14:textId="77777777" w:rsidR="00511115" w:rsidRDefault="00511115" w:rsidP="00511115">
      <w:pPr>
        <w:pStyle w:val="Bibliography"/>
      </w:pPr>
      <w:r>
        <w:t xml:space="preserve">London, K. (2010). Multi-market industrial organizational economic models for the internationalization process by small and medium enterprise construction design service firms. </w:t>
      </w:r>
      <w:r>
        <w:rPr>
          <w:i/>
          <w:iCs/>
        </w:rPr>
        <w:t>Architectural Engineering and Design Management</w:t>
      </w:r>
      <w:r>
        <w:t xml:space="preserve">, </w:t>
      </w:r>
      <w:r>
        <w:rPr>
          <w:i/>
          <w:iCs/>
        </w:rPr>
        <w:t>6</w:t>
      </w:r>
      <w:r>
        <w:t>(2), 132–152. Scopus. https://doi.org/10.3763/aedm.2009.0111</w:t>
      </w:r>
    </w:p>
    <w:p w14:paraId="16E3546D" w14:textId="77777777" w:rsidR="00511115" w:rsidRDefault="00511115" w:rsidP="00511115">
      <w:pPr>
        <w:pStyle w:val="Bibliography"/>
      </w:pPr>
      <w:r>
        <w:t xml:space="preserve">Lubis, N. W., Rini, E. S., Lumbanraja, P., &amp; Sembiring, B. K. F. (2026). Resources Based View (RBV) for Marketing Capabilities: Literature Review: Implications for SMEs. In </w:t>
      </w:r>
      <w:r>
        <w:rPr>
          <w:i/>
          <w:iCs/>
        </w:rPr>
        <w:t>Studies in Systems, Decision and Control</w:t>
      </w:r>
      <w:r>
        <w:t xml:space="preserve"> (Vol. 238, pp. 407–414). Scopus. https://doi.org/10.1007/978-3-031-85398-2_36</w:t>
      </w:r>
    </w:p>
    <w:p w14:paraId="2A2A92D8" w14:textId="77777777" w:rsidR="00511115" w:rsidRDefault="00511115" w:rsidP="00511115">
      <w:pPr>
        <w:pStyle w:val="Bibliography"/>
      </w:pPr>
      <w:r>
        <w:t xml:space="preserve">Luo, X., &amp; Chaiprasit, K. (2024). DIGITAL TRANSFORMATION, ENTERPRISE DYNAMIC CAPABILITIES, AND “BUSINESS MODEL INNOVATION. </w:t>
      </w:r>
      <w:r>
        <w:rPr>
          <w:i/>
          <w:iCs/>
        </w:rPr>
        <w:t>Journal of Modern Project Management</w:t>
      </w:r>
      <w:r>
        <w:t xml:space="preserve">, </w:t>
      </w:r>
      <w:r>
        <w:rPr>
          <w:i/>
          <w:iCs/>
        </w:rPr>
        <w:t>12</w:t>
      </w:r>
      <w:r>
        <w:t>(1), 83–93. Scopus. https://doi.org/10.19255/JMPM3407</w:t>
      </w:r>
    </w:p>
    <w:p w14:paraId="3E50399E" w14:textId="77777777" w:rsidR="00511115" w:rsidRDefault="00511115" w:rsidP="00511115">
      <w:pPr>
        <w:pStyle w:val="Bibliography"/>
      </w:pPr>
      <w:r>
        <w:t xml:space="preserve">Luu, T. D., Huynh, T. T., &amp; Ha, V. H. (2026). From internationalization to performance: Digitalization and business model innovation as absorptive pathways for SMEs. </w:t>
      </w:r>
      <w:r>
        <w:rPr>
          <w:i/>
          <w:iCs/>
        </w:rPr>
        <w:t>Journal of Business Strategy</w:t>
      </w:r>
      <w:r>
        <w:t xml:space="preserve">, </w:t>
      </w:r>
      <w:r>
        <w:rPr>
          <w:i/>
          <w:iCs/>
        </w:rPr>
        <w:t>47</w:t>
      </w:r>
      <w:r>
        <w:t>(1), 143–172.</w:t>
      </w:r>
    </w:p>
    <w:p w14:paraId="26BF3160" w14:textId="77777777" w:rsidR="00511115" w:rsidRDefault="00511115" w:rsidP="00511115">
      <w:pPr>
        <w:pStyle w:val="Bibliography"/>
      </w:pPr>
      <w:r>
        <w:t xml:space="preserve">Mady, K., Battour, M., Aboelmaged, M., &amp; Abdelkareem, R. S. (2023). Linking internal environmental capabilities to sustainable competitive advantage in manufacturing SMEs: The mediating role of eco-innovation. </w:t>
      </w:r>
      <w:r>
        <w:rPr>
          <w:i/>
          <w:iCs/>
        </w:rPr>
        <w:t>Journal of Cleaner Production</w:t>
      </w:r>
      <w:r>
        <w:t xml:space="preserve">, </w:t>
      </w:r>
      <w:r>
        <w:rPr>
          <w:i/>
          <w:iCs/>
        </w:rPr>
        <w:t>417</w:t>
      </w:r>
      <w:r>
        <w:t>. Scopus. https://doi.org/10.1016/j.jclepro.2023.137928</w:t>
      </w:r>
    </w:p>
    <w:p w14:paraId="0FD5F496" w14:textId="77777777" w:rsidR="00511115" w:rsidRDefault="00511115" w:rsidP="00511115">
      <w:pPr>
        <w:pStyle w:val="Bibliography"/>
      </w:pPr>
      <w:r>
        <w:lastRenderedPageBreak/>
        <w:t xml:space="preserve">Melén, S., &amp; Nordman, E. R. (2007). The value of human capital for the networks of born globals. </w:t>
      </w:r>
      <w:r>
        <w:rPr>
          <w:i/>
          <w:iCs/>
        </w:rPr>
        <w:t>International Journal of Globalisation and Small Business</w:t>
      </w:r>
      <w:r>
        <w:t xml:space="preserve">, </w:t>
      </w:r>
      <w:r>
        <w:rPr>
          <w:i/>
          <w:iCs/>
        </w:rPr>
        <w:t>2</w:t>
      </w:r>
      <w:r>
        <w:t>(2), 205–219. Scopus. https://doi.org/10.1504/IJGSB.2007.015482</w:t>
      </w:r>
    </w:p>
    <w:p w14:paraId="1E14E7A0" w14:textId="77777777" w:rsidR="00511115" w:rsidRDefault="00511115" w:rsidP="00511115">
      <w:pPr>
        <w:pStyle w:val="Bibliography"/>
      </w:pPr>
      <w:r>
        <w:t xml:space="preserve">Mendo, A. Y., Biki, S. B., Mu’min, H., Asnawi, M. A., &amp; Pilomonu, M. R. S. (2025). Digital Leadership and Business Performance in SMES: A Moderated Mediation Model Through Digital Capability and Top Management Support. </w:t>
      </w:r>
      <w:r>
        <w:rPr>
          <w:i/>
          <w:iCs/>
        </w:rPr>
        <w:t>International Journal of Accounting and Economics Studies</w:t>
      </w:r>
      <w:r>
        <w:t xml:space="preserve">, </w:t>
      </w:r>
      <w:r>
        <w:rPr>
          <w:i/>
          <w:iCs/>
        </w:rPr>
        <w:t>12</w:t>
      </w:r>
      <w:r>
        <w:t>(5), 918–931. Scopus. https://doi.org/10.14419/h7hhys36</w:t>
      </w:r>
    </w:p>
    <w:p w14:paraId="2306A364" w14:textId="77777777" w:rsidR="00511115" w:rsidRDefault="00511115" w:rsidP="00511115">
      <w:pPr>
        <w:pStyle w:val="Bibliography"/>
      </w:pPr>
      <w:r>
        <w:t xml:space="preserve">Ndofirepi, T. M. (2024). Examining the influence of entrepreneurial skills, human capital, and home country institutions on firm internationalization. </w:t>
      </w:r>
      <w:r>
        <w:rPr>
          <w:i/>
          <w:iCs/>
        </w:rPr>
        <w:t>Global Business and Organizational Excellence</w:t>
      </w:r>
      <w:r>
        <w:t xml:space="preserve">, </w:t>
      </w:r>
      <w:r>
        <w:rPr>
          <w:i/>
          <w:iCs/>
        </w:rPr>
        <w:t>43</w:t>
      </w:r>
      <w:r>
        <w:t>(5), 67–80. Scopus. https://doi.org/10.1002/joe.22251</w:t>
      </w:r>
    </w:p>
    <w:p w14:paraId="50B70AFE" w14:textId="77777777" w:rsidR="00511115" w:rsidRDefault="00511115" w:rsidP="00511115">
      <w:pPr>
        <w:pStyle w:val="Bibliography"/>
      </w:pPr>
      <w:r>
        <w:t xml:space="preserve">Nurfaizal, Y., Kurniawan, A. A., Hermawan, H., Saputra, D. I. S., Amalina, S. N., &amp; Hafshah, L. N. (2025). Digital Platform Utilization and ICT Literacy on Global Market Access among MSMEs: The Mediating Role of Digital Business Readiness and the Moderating Effect of Government Support. </w:t>
      </w:r>
      <w:r>
        <w:rPr>
          <w:i/>
          <w:iCs/>
        </w:rPr>
        <w:t>Journal of Applied Data Sciences</w:t>
      </w:r>
      <w:r>
        <w:t xml:space="preserve">, </w:t>
      </w:r>
      <w:r>
        <w:rPr>
          <w:i/>
          <w:iCs/>
        </w:rPr>
        <w:t>6</w:t>
      </w:r>
      <w:r>
        <w:t>(4), 2391–2406. Scopus. https://doi.org/10.47738/jads.v6i4.893</w:t>
      </w:r>
    </w:p>
    <w:p w14:paraId="192DA00C" w14:textId="77777777" w:rsidR="00511115" w:rsidRDefault="00511115" w:rsidP="00511115">
      <w:pPr>
        <w:pStyle w:val="Bibliography"/>
      </w:pPr>
      <w:r>
        <w:t xml:space="preserve">Pinkwart, A., &amp; Proksch, D. (2014). The internationalization behavior of German high-tech start-ups: An empirical analysis of key resources. </w:t>
      </w:r>
      <w:r>
        <w:rPr>
          <w:i/>
          <w:iCs/>
        </w:rPr>
        <w:t>Thunderbird International Business Review</w:t>
      </w:r>
      <w:r>
        <w:t xml:space="preserve">, </w:t>
      </w:r>
      <w:r>
        <w:rPr>
          <w:i/>
          <w:iCs/>
        </w:rPr>
        <w:t>56</w:t>
      </w:r>
      <w:r>
        <w:t>(1), 43–53. Scopus. https://doi.org/10.1002/tie.21595</w:t>
      </w:r>
    </w:p>
    <w:p w14:paraId="0661A3CF" w14:textId="77777777" w:rsidR="00511115" w:rsidRDefault="00511115" w:rsidP="00511115">
      <w:pPr>
        <w:pStyle w:val="Bibliography"/>
      </w:pPr>
      <w:r>
        <w:t xml:space="preserve">Pumomo, H., Abdullah, L., &amp; Irawati, R. H. (2011). </w:t>
      </w:r>
      <w:r>
        <w:rPr>
          <w:i/>
          <w:iCs/>
        </w:rPr>
        <w:t>A system dynamics approach to balancing wood supply and demand for sustaining the future industry</w:t>
      </w:r>
      <w:r>
        <w:t>. 338–344. Scopus. https://www.scopus.com/inward/record.uri?eid=2-s2.0-84858819643&amp;partnerID=40&amp;md5=a2baf8e8c82431d212ba3a2fbc99a184</w:t>
      </w:r>
    </w:p>
    <w:p w14:paraId="6AD5FF8F" w14:textId="77777777" w:rsidR="00511115" w:rsidRDefault="00511115" w:rsidP="00511115">
      <w:pPr>
        <w:pStyle w:val="Bibliography"/>
      </w:pPr>
      <w:r>
        <w:t xml:space="preserve">Quaye, D., &amp; Mensah, I. (2019). Marketing innovation and sustainable competitive advantage of manufacturing SMEs in Ghana. </w:t>
      </w:r>
      <w:r>
        <w:rPr>
          <w:i/>
          <w:iCs/>
        </w:rPr>
        <w:t>Management Decision</w:t>
      </w:r>
      <w:r>
        <w:t xml:space="preserve">, </w:t>
      </w:r>
      <w:r>
        <w:rPr>
          <w:i/>
          <w:iCs/>
        </w:rPr>
        <w:t>57</w:t>
      </w:r>
      <w:r>
        <w:t>(7), 1535–1553. Scopus. https://doi.org/10.1108/MD-08-2017-0784</w:t>
      </w:r>
    </w:p>
    <w:p w14:paraId="2EB9F61B" w14:textId="77777777" w:rsidR="00511115" w:rsidRDefault="00511115" w:rsidP="00511115">
      <w:pPr>
        <w:pStyle w:val="Bibliography"/>
      </w:pPr>
      <w:r>
        <w:lastRenderedPageBreak/>
        <w:t xml:space="preserve">Rehman, F. U. (2025). Digital capabilities and market competitiveness: The two-fold mediation of internal and external drivers. </w:t>
      </w:r>
      <w:r>
        <w:rPr>
          <w:i/>
          <w:iCs/>
        </w:rPr>
        <w:t>European Business Review</w:t>
      </w:r>
      <w:r>
        <w:t xml:space="preserve">, </w:t>
      </w:r>
      <w:r>
        <w:rPr>
          <w:i/>
          <w:iCs/>
        </w:rPr>
        <w:t>37</w:t>
      </w:r>
      <w:r>
        <w:t>(1), 116–139. Scopus. https://doi.org/10.1108/EBR-02-2024-0088</w:t>
      </w:r>
    </w:p>
    <w:p w14:paraId="2F2325AD" w14:textId="77777777" w:rsidR="00511115" w:rsidRDefault="00511115" w:rsidP="00511115">
      <w:pPr>
        <w:pStyle w:val="Bibliography"/>
      </w:pPr>
      <w:r>
        <w:t xml:space="preserve">Rezaei, M., Ferraris, A., Heydari, E., &amp; Rezaei, S. (2021). How do experts think? An investigation of the barriers to internationalisation of SMEs in Iran. In </w:t>
      </w:r>
      <w:r>
        <w:rPr>
          <w:i/>
          <w:iCs/>
        </w:rPr>
        <w:t>Contributions to Management Science</w:t>
      </w:r>
      <w:r>
        <w:t xml:space="preserve"> (pp. 337–357). Scopus. https://doi.org/10.1007/978-3-030-68972-8_17</w:t>
      </w:r>
    </w:p>
    <w:p w14:paraId="72693CB4" w14:textId="77777777" w:rsidR="00511115" w:rsidRDefault="00511115" w:rsidP="00511115">
      <w:pPr>
        <w:pStyle w:val="Bibliography"/>
      </w:pPr>
      <w:r>
        <w:t xml:space="preserve">Rizanti, D. E., Darmawan, W., George, B., Merlin, A., Dumarcay, S., Chapuis, H., Gérardin, C., Gelhaye, E., Raharivelomanana, P., Kartika Sari, R., Syafii, W., Mohamed, R., &amp; Gerardin, P. (2018). Comparison of teak wood properties according to forest management: Short versus long rotation. </w:t>
      </w:r>
      <w:r>
        <w:rPr>
          <w:i/>
          <w:iCs/>
        </w:rPr>
        <w:t>Annals of Forest Science</w:t>
      </w:r>
      <w:r>
        <w:t xml:space="preserve">, </w:t>
      </w:r>
      <w:r>
        <w:rPr>
          <w:i/>
          <w:iCs/>
        </w:rPr>
        <w:t>75</w:t>
      </w:r>
      <w:r>
        <w:t>(2). Scopus. https://doi.org/10.1007/s13595-018-0716-8</w:t>
      </w:r>
    </w:p>
    <w:p w14:paraId="4A4AC3F2" w14:textId="77777777" w:rsidR="00511115" w:rsidRDefault="00511115" w:rsidP="00511115">
      <w:pPr>
        <w:pStyle w:val="Bibliography"/>
      </w:pPr>
      <w:r>
        <w:t xml:space="preserve">Saka, T. N., Hormiga, E., &amp; Valls-Pasola, J. (2025). Crisis response strategies: A digital reluctance perspective. </w:t>
      </w:r>
      <w:r>
        <w:rPr>
          <w:i/>
          <w:iCs/>
        </w:rPr>
        <w:t>Review of Managerial Science</w:t>
      </w:r>
      <w:r>
        <w:t xml:space="preserve">, </w:t>
      </w:r>
      <w:r>
        <w:rPr>
          <w:i/>
          <w:iCs/>
        </w:rPr>
        <w:t>19</w:t>
      </w:r>
      <w:r>
        <w:t>(8), 2569–2607. Scopus. https://doi.org/10.1007/s11846-024-00822-5</w:t>
      </w:r>
    </w:p>
    <w:p w14:paraId="314BECD0" w14:textId="77777777" w:rsidR="00511115" w:rsidRDefault="00511115" w:rsidP="00511115">
      <w:pPr>
        <w:pStyle w:val="Bibliography"/>
      </w:pPr>
      <w:r>
        <w:t xml:space="preserve">Sakhdari, K., &amp; Saniei, S. (2018). Effectuation, causation and the revised uppsala model: A behavioral analysis of Iranian SMEs’ internationalization. In </w:t>
      </w:r>
      <w:r>
        <w:rPr>
          <w:i/>
          <w:iCs/>
        </w:rPr>
        <w:t>Contributions to Management Science</w:t>
      </w:r>
      <w:r>
        <w:t xml:space="preserve"> (pp. 567–590). Scopus. https://doi.org/10.1007/978-3-319-75913-5_21</w:t>
      </w:r>
    </w:p>
    <w:p w14:paraId="48C8AF7E" w14:textId="77777777" w:rsidR="00511115" w:rsidRDefault="00511115" w:rsidP="00511115">
      <w:pPr>
        <w:pStyle w:val="Bibliography"/>
      </w:pPr>
      <w:r>
        <w:t xml:space="preserve">Sualeh Khattak, M., Zafar, M. B., Anwar, M., &amp; Aziz, Y. (2026). Linking intellectual capital and firms’ internationalization through a meta-analysis. </w:t>
      </w:r>
      <w:r>
        <w:rPr>
          <w:i/>
          <w:iCs/>
        </w:rPr>
        <w:t>Journal of Intellectual Capital</w:t>
      </w:r>
      <w:r>
        <w:t>, 1–26. Scopus. https://doi.org/10.1108/JIC-04-2025-0147</w:t>
      </w:r>
    </w:p>
    <w:p w14:paraId="56015CFF" w14:textId="77777777" w:rsidR="00511115" w:rsidRDefault="00511115" w:rsidP="00511115">
      <w:pPr>
        <w:pStyle w:val="Bibliography"/>
      </w:pPr>
      <w:r>
        <w:t xml:space="preserve">Thu, T. N. T., &amp; Tam, P. T. (2026). Applying Structural Equation Model to Explore the Impact of Performance Management on Business Performance at Small and Medium Enterprises. </w:t>
      </w:r>
      <w:r>
        <w:rPr>
          <w:i/>
          <w:iCs/>
        </w:rPr>
        <w:t>Journal of Applied Data Sciences</w:t>
      </w:r>
      <w:r>
        <w:t xml:space="preserve">, </w:t>
      </w:r>
      <w:r>
        <w:rPr>
          <w:i/>
          <w:iCs/>
        </w:rPr>
        <w:t>7</w:t>
      </w:r>
      <w:r>
        <w:t>(1), 326–343. Scopus. https://doi.org/10.47738/jads.v7i1.1135</w:t>
      </w:r>
    </w:p>
    <w:p w14:paraId="0D5995E1" w14:textId="77777777" w:rsidR="00511115" w:rsidRDefault="00511115" w:rsidP="00511115">
      <w:pPr>
        <w:pStyle w:val="Bibliography"/>
      </w:pPr>
      <w:r>
        <w:lastRenderedPageBreak/>
        <w:t xml:space="preserve">Tian, S., Lai, X., Dong, L., &amp; Xu, X. (2025). Digital Capabilities, Integration into Global Innovation Networks, and Enterprise Innovation Performance. </w:t>
      </w:r>
      <w:r>
        <w:rPr>
          <w:i/>
          <w:iCs/>
        </w:rPr>
        <w:t>Systems</w:t>
      </w:r>
      <w:r>
        <w:t xml:space="preserve">, </w:t>
      </w:r>
      <w:r>
        <w:rPr>
          <w:i/>
          <w:iCs/>
        </w:rPr>
        <w:t>13</w:t>
      </w:r>
      <w:r>
        <w:t>(3). Scopus. https://doi.org/10.3390/systems13030212</w:t>
      </w:r>
    </w:p>
    <w:p w14:paraId="40D79A27" w14:textId="77777777" w:rsidR="00511115" w:rsidRDefault="00511115" w:rsidP="00511115">
      <w:pPr>
        <w:pStyle w:val="Bibliography"/>
      </w:pPr>
      <w:r>
        <w:t xml:space="preserve">Tong, T., Li, H., &amp; Greiff, S. (2019). Human capital and leadership: The impact of cognitive and noncognitive abilities. </w:t>
      </w:r>
      <w:r>
        <w:rPr>
          <w:i/>
          <w:iCs/>
        </w:rPr>
        <w:t>Applied Economics</w:t>
      </w:r>
      <w:r>
        <w:t xml:space="preserve">, </w:t>
      </w:r>
      <w:r>
        <w:rPr>
          <w:i/>
          <w:iCs/>
        </w:rPr>
        <w:t>51</w:t>
      </w:r>
      <w:r>
        <w:t>(53), 5741–5752. Scopus. https://doi.org/10.1080/00036846.2019.1619022</w:t>
      </w:r>
    </w:p>
    <w:p w14:paraId="2A419399" w14:textId="77777777" w:rsidR="00511115" w:rsidRDefault="00511115" w:rsidP="00511115">
      <w:pPr>
        <w:pStyle w:val="Bibliography"/>
      </w:pPr>
      <w:r>
        <w:t xml:space="preserve">Trąpczyński, P., &amp; Kawa, A. (2023). Firm capabilities, use of Internet technologies and export performance: An empirical study of Polish exporters. </w:t>
      </w:r>
      <w:r>
        <w:rPr>
          <w:i/>
          <w:iCs/>
        </w:rPr>
        <w:t>Journal of Organizational Change Management</w:t>
      </w:r>
      <w:r>
        <w:t xml:space="preserve">, </w:t>
      </w:r>
      <w:r>
        <w:rPr>
          <w:i/>
          <w:iCs/>
        </w:rPr>
        <w:t>36</w:t>
      </w:r>
      <w:r>
        <w:t>(5), 681–702. Scopus. https://doi.org/10.1108/JOCM-11-2022-0322</w:t>
      </w:r>
    </w:p>
    <w:p w14:paraId="30C82EB9" w14:textId="77777777" w:rsidR="00511115" w:rsidRDefault="00511115" w:rsidP="00511115">
      <w:pPr>
        <w:pStyle w:val="Bibliography"/>
      </w:pPr>
      <w:r>
        <w:t xml:space="preserve">Trequattrini, R., Cuozzo, B., Manzari, A., &amp; Schimperna, M. (2025). Measuring digital-sustainability readiness in industrial SMEs: A composite index and empirical evidence. </w:t>
      </w:r>
      <w:r>
        <w:rPr>
          <w:i/>
          <w:iCs/>
        </w:rPr>
        <w:t>Journal of Global Responsibility</w:t>
      </w:r>
      <w:r>
        <w:t>. Scopus. https://doi.org/10.1108/JGR-04-2025-0120</w:t>
      </w:r>
    </w:p>
    <w:p w14:paraId="0AB53664" w14:textId="77777777" w:rsidR="00511115" w:rsidRDefault="00511115" w:rsidP="00511115">
      <w:pPr>
        <w:pStyle w:val="Bibliography"/>
      </w:pPr>
      <w:r>
        <w:t xml:space="preserve">Van Hoang, D., Thi Hien, N., Van Thang, H., Nguyen Truc Phuong, P., &amp; Thi-Thuy Duong, T. (2025). Digital Capabilities and Sustainable Competitive Advantages: The Case of Emerging Market Manufacturing SMEs. </w:t>
      </w:r>
      <w:r>
        <w:rPr>
          <w:i/>
          <w:iCs/>
        </w:rPr>
        <w:t>SAGE Open</w:t>
      </w:r>
      <w:r>
        <w:t xml:space="preserve">, </w:t>
      </w:r>
      <w:r>
        <w:rPr>
          <w:i/>
          <w:iCs/>
        </w:rPr>
        <w:t>15</w:t>
      </w:r>
      <w:r>
        <w:t>(2). Scopus. https://doi.org/10.1177/21582440251329967</w:t>
      </w:r>
    </w:p>
    <w:p w14:paraId="64F4633B" w14:textId="77777777" w:rsidR="00511115" w:rsidRDefault="00511115" w:rsidP="00511115">
      <w:pPr>
        <w:pStyle w:val="Bibliography"/>
      </w:pPr>
      <w:r>
        <w:t xml:space="preserve">Wang, X., Gu, Y., Ahmad, M., &amp; Xue, C. (2022). The Impact of Digital Capability on Manufacturing Company Performance. </w:t>
      </w:r>
      <w:r>
        <w:rPr>
          <w:i/>
          <w:iCs/>
        </w:rPr>
        <w:t>Sustainability (Switzerland)</w:t>
      </w:r>
      <w:r>
        <w:t xml:space="preserve">, </w:t>
      </w:r>
      <w:r>
        <w:rPr>
          <w:i/>
          <w:iCs/>
        </w:rPr>
        <w:t>14</w:t>
      </w:r>
      <w:r>
        <w:t>(10). Scopus. https://doi.org/10.3390/su14106214</w:t>
      </w:r>
    </w:p>
    <w:p w14:paraId="0E8FC486" w14:textId="77777777" w:rsidR="00511115" w:rsidRDefault="00511115" w:rsidP="00511115">
      <w:pPr>
        <w:pStyle w:val="Bibliography"/>
      </w:pPr>
      <w:r>
        <w:t xml:space="preserve">Wu, J., Qu, X., Sheng, L., &amp; Chu, W. (2024). Uncovering the Dynamics of Enterprises Digital Transformation Research: A Comparative Review on Literature Before and After the COVID-19 Pandemic. </w:t>
      </w:r>
      <w:r>
        <w:rPr>
          <w:i/>
          <w:iCs/>
        </w:rPr>
        <w:t>Heliyon</w:t>
      </w:r>
      <w:r>
        <w:t xml:space="preserve">, </w:t>
      </w:r>
      <w:r>
        <w:rPr>
          <w:i/>
          <w:iCs/>
        </w:rPr>
        <w:t>10</w:t>
      </w:r>
      <w:r>
        <w:t>(5), e26986. https://doi.org/10.1016/j.heliyon.2024.e26986</w:t>
      </w:r>
    </w:p>
    <w:p w14:paraId="3C730659" w14:textId="77777777" w:rsidR="00511115" w:rsidRDefault="00511115" w:rsidP="00511115">
      <w:pPr>
        <w:pStyle w:val="Bibliography"/>
      </w:pPr>
      <w:r>
        <w:t xml:space="preserve">Wu, W., Li, X., &amp; Surangkana, B. (2024). Mediation effect of knowledge management on the impact of IT capability on firm performance: Exploring the moderating role of </w:t>
      </w:r>
      <w:r>
        <w:lastRenderedPageBreak/>
        <w:t xml:space="preserve">organization culture management. </w:t>
      </w:r>
      <w:r>
        <w:rPr>
          <w:i/>
          <w:iCs/>
        </w:rPr>
        <w:t>Frontiers in Psychology</w:t>
      </w:r>
      <w:r>
        <w:t xml:space="preserve">, </w:t>
      </w:r>
      <w:r>
        <w:rPr>
          <w:i/>
          <w:iCs/>
        </w:rPr>
        <w:t>15</w:t>
      </w:r>
      <w:r>
        <w:t>. Scopus. https://doi.org/10.3389/fpsyg.2024.1344330</w:t>
      </w:r>
    </w:p>
    <w:p w14:paraId="23C74A9E" w14:textId="77777777" w:rsidR="00511115" w:rsidRDefault="00511115" w:rsidP="00511115">
      <w:pPr>
        <w:pStyle w:val="Bibliography"/>
      </w:pPr>
      <w:r>
        <w:t xml:space="preserve">Yan-Li, Z., Su-Ying, G., &amp; Jin, Z. (2011). </w:t>
      </w:r>
      <w:r>
        <w:rPr>
          <w:i/>
          <w:iCs/>
        </w:rPr>
        <w:t>Competitive strategy, strategic human capital and sustained competitive advantage</w:t>
      </w:r>
      <w:r>
        <w:t>. 524–531. Scopus. https://doi.org/10.1109/ICMSE.2011.6070012</w:t>
      </w:r>
    </w:p>
    <w:p w14:paraId="2F865169" w14:textId="77777777" w:rsidR="00511115" w:rsidRDefault="00511115" w:rsidP="00511115">
      <w:pPr>
        <w:pStyle w:val="Bibliography"/>
      </w:pPr>
      <w:r>
        <w:t xml:space="preserve">Zheng, X., &amp; Sun, A. (2022). DIGITALIZATION AND INTERNATIONALIZATION: A STUDY OF THE MANUFACTURING INDUSTRY IN CHINA. </w:t>
      </w:r>
      <w:r>
        <w:rPr>
          <w:i/>
          <w:iCs/>
        </w:rPr>
        <w:t>Transformations in Business and Economics</w:t>
      </w:r>
      <w:r>
        <w:t xml:space="preserve">, </w:t>
      </w:r>
      <w:r>
        <w:rPr>
          <w:i/>
          <w:iCs/>
        </w:rPr>
        <w:t>21</w:t>
      </w:r>
      <w:r>
        <w:t>(2), 772–791. Scopus.</w:t>
      </w:r>
    </w:p>
    <w:p w14:paraId="4EEE03F5" w14:textId="77777777" w:rsidR="00511115" w:rsidRDefault="00511115" w:rsidP="00511115">
      <w:pPr>
        <w:pStyle w:val="Bibliography"/>
      </w:pPr>
      <w:r>
        <w:t xml:space="preserve">Zhong, X., Song, T., &amp; Chen, W. (2021). Can R&amp;D internationalization improve EMNES’ innovation efficiency? The moderating effects of TMT human capital. </w:t>
      </w:r>
      <w:r>
        <w:rPr>
          <w:i/>
          <w:iCs/>
        </w:rPr>
        <w:t>Baltic Journal of Management</w:t>
      </w:r>
      <w:r>
        <w:t xml:space="preserve">, </w:t>
      </w:r>
      <w:r>
        <w:rPr>
          <w:i/>
          <w:iCs/>
        </w:rPr>
        <w:t>16</w:t>
      </w:r>
      <w:r>
        <w:t>(2), 190–207. Scopus. https://doi.org/10.1108/BJM-03-2020-0098</w:t>
      </w:r>
    </w:p>
    <w:p w14:paraId="54634BBD" w14:textId="43BC3D28" w:rsidR="00790ADA" w:rsidRPr="00FB3A86" w:rsidRDefault="006B5CC8" w:rsidP="00A121D4">
      <w:pPr>
        <w:pStyle w:val="Body"/>
        <w:spacing w:after="0" w:line="276" w:lineRule="auto"/>
        <w:rPr>
          <w:rFonts w:ascii="Arial" w:hAnsi="Arial" w:cs="Arial"/>
        </w:rPr>
      </w:pPr>
      <w:r w:rsidRPr="00A44446">
        <w:rPr>
          <w:rFonts w:ascii="Arial" w:hAnsi="Arial" w:cs="Arial"/>
        </w:rPr>
        <w:fldChar w:fldCharType="end"/>
      </w:r>
    </w:p>
    <w:p w14:paraId="005D753F" w14:textId="249A48F5" w:rsidR="004D4277" w:rsidRPr="00FB3A86" w:rsidRDefault="004D4277" w:rsidP="00441B6F">
      <w:pPr>
        <w:pStyle w:val="Appendix"/>
        <w:spacing w:after="0"/>
        <w:jc w:val="both"/>
        <w:rPr>
          <w:rFonts w:ascii="Arial" w:hAnsi="Arial" w:cs="Arial"/>
          <w:b w:val="0"/>
        </w:rPr>
        <w:sectPr w:rsidR="004D4277" w:rsidRPr="00FB3A86" w:rsidSect="00AA720E">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1C6799D3" w14:textId="77777777" w:rsidR="00B01FCD" w:rsidRPr="00FB3A86" w:rsidRDefault="00B01FCD" w:rsidP="00441B6F">
      <w:pPr>
        <w:pStyle w:val="Appendix"/>
        <w:spacing w:after="0"/>
        <w:jc w:val="both"/>
        <w:rPr>
          <w:rFonts w:ascii="Arial" w:hAnsi="Arial" w:cs="Arial"/>
          <w:b w:val="0"/>
        </w:rPr>
      </w:pPr>
    </w:p>
    <w:sectPr w:rsidR="00B01FCD" w:rsidRPr="00FB3A86" w:rsidSect="00AA720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BDE20" w14:textId="77777777" w:rsidR="00F83473" w:rsidRDefault="00F83473" w:rsidP="00C37E61">
      <w:r>
        <w:separator/>
      </w:r>
    </w:p>
  </w:endnote>
  <w:endnote w:type="continuationSeparator" w:id="0">
    <w:p w14:paraId="67555A01" w14:textId="77777777" w:rsidR="00F83473" w:rsidRDefault="00F8347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EE708" w14:textId="77777777" w:rsidR="00F01882" w:rsidRDefault="00F018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66313" w14:textId="77777777" w:rsidR="00F01882" w:rsidRDefault="00F018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6F60F" w14:textId="6722B04B" w:rsidR="00754C9A" w:rsidRPr="00F01882" w:rsidRDefault="00754C9A" w:rsidP="00F018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A927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3AED3" w14:textId="77777777" w:rsidR="00F83473" w:rsidRDefault="00F83473" w:rsidP="00C37E61">
      <w:r>
        <w:separator/>
      </w:r>
    </w:p>
  </w:footnote>
  <w:footnote w:type="continuationSeparator" w:id="0">
    <w:p w14:paraId="27A9E455" w14:textId="77777777" w:rsidR="00F83473" w:rsidRDefault="00F8347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F13DD" w14:textId="2FD7A539" w:rsidR="00F01882" w:rsidRDefault="00000000">
    <w:pPr>
      <w:pStyle w:val="Header"/>
    </w:pPr>
    <w:r>
      <w:rPr>
        <w:noProof/>
      </w:rPr>
      <w:pict w14:anchorId="127F11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331188"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63DF9" w14:textId="040E6AA1" w:rsidR="00F01882" w:rsidRDefault="00000000">
    <w:pPr>
      <w:pStyle w:val="Header"/>
    </w:pPr>
    <w:r>
      <w:rPr>
        <w:noProof/>
      </w:rPr>
      <w:pict w14:anchorId="5EE7F7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331189"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A4B25" w14:textId="5A538FAC" w:rsidR="00296529" w:rsidRPr="00296529" w:rsidRDefault="00000000" w:rsidP="00296529">
    <w:pPr>
      <w:ind w:left="2160"/>
      <w:jc w:val="center"/>
      <w:rPr>
        <w:rFonts w:ascii="Times New Roman" w:eastAsia="Calibri" w:hAnsi="Times New Roman"/>
        <w:i/>
        <w:sz w:val="18"/>
        <w:szCs w:val="22"/>
      </w:rPr>
    </w:pPr>
    <w:r>
      <w:rPr>
        <w:noProof/>
      </w:rPr>
      <w:pict w14:anchorId="4B60C4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331187"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3A1945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8C3EB6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F2996B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986F5D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99133E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280409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EDE9B" w14:textId="493F6AEC" w:rsidR="00F01882" w:rsidRDefault="00000000">
    <w:pPr>
      <w:pStyle w:val="Header"/>
    </w:pPr>
    <w:r>
      <w:rPr>
        <w:noProof/>
      </w:rPr>
      <w:pict w14:anchorId="36C89D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331191"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64F6D" w14:textId="41568620" w:rsidR="00F01882" w:rsidRDefault="00000000">
    <w:pPr>
      <w:pStyle w:val="Header"/>
    </w:pPr>
    <w:r>
      <w:rPr>
        <w:noProof/>
      </w:rPr>
      <w:pict w14:anchorId="5C443F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331192"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268A3" w14:textId="79D75630" w:rsidR="00F01882" w:rsidRDefault="00000000">
    <w:pPr>
      <w:pStyle w:val="Header"/>
    </w:pPr>
    <w:r>
      <w:rPr>
        <w:noProof/>
      </w:rPr>
      <w:pict w14:anchorId="4E99B5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331190"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38437437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0607833">
    <w:abstractNumId w:val="15"/>
  </w:num>
  <w:num w:numId="3" w16cid:durableId="632054754">
    <w:abstractNumId w:val="23"/>
  </w:num>
  <w:num w:numId="4" w16cid:durableId="7204883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640580515">
    <w:abstractNumId w:val="7"/>
  </w:num>
  <w:num w:numId="6" w16cid:durableId="496270358">
    <w:abstractNumId w:val="6"/>
  </w:num>
  <w:num w:numId="7" w16cid:durableId="937831023">
    <w:abstractNumId w:val="1"/>
  </w:num>
  <w:num w:numId="8" w16cid:durableId="1544176873">
    <w:abstractNumId w:val="12"/>
  </w:num>
  <w:num w:numId="9" w16cid:durableId="899248562">
    <w:abstractNumId w:val="25"/>
  </w:num>
  <w:num w:numId="10" w16cid:durableId="242299809">
    <w:abstractNumId w:val="2"/>
  </w:num>
  <w:num w:numId="11" w16cid:durableId="928075854">
    <w:abstractNumId w:val="18"/>
  </w:num>
  <w:num w:numId="12" w16cid:durableId="1212689446">
    <w:abstractNumId w:val="3"/>
  </w:num>
  <w:num w:numId="13" w16cid:durableId="1681473037">
    <w:abstractNumId w:val="17"/>
  </w:num>
  <w:num w:numId="14" w16cid:durableId="436633132">
    <w:abstractNumId w:val="8"/>
  </w:num>
  <w:num w:numId="15" w16cid:durableId="469633690">
    <w:abstractNumId w:val="21"/>
  </w:num>
  <w:num w:numId="16" w16cid:durableId="2085757731">
    <w:abstractNumId w:val="5"/>
  </w:num>
  <w:num w:numId="17" w16cid:durableId="2068600835">
    <w:abstractNumId w:val="22"/>
  </w:num>
  <w:num w:numId="18" w16cid:durableId="976109642">
    <w:abstractNumId w:val="14"/>
  </w:num>
  <w:num w:numId="19" w16cid:durableId="2001107204">
    <w:abstractNumId w:val="28"/>
  </w:num>
  <w:num w:numId="20" w16cid:durableId="15497876">
    <w:abstractNumId w:val="11"/>
  </w:num>
  <w:num w:numId="21" w16cid:durableId="203375622">
    <w:abstractNumId w:val="9"/>
  </w:num>
  <w:num w:numId="22" w16cid:durableId="591475690">
    <w:abstractNumId w:val="13"/>
  </w:num>
  <w:num w:numId="23" w16cid:durableId="1908688400">
    <w:abstractNumId w:val="19"/>
  </w:num>
  <w:num w:numId="24" w16cid:durableId="435633272">
    <w:abstractNumId w:val="26"/>
  </w:num>
  <w:num w:numId="25" w16cid:durableId="1045913196">
    <w:abstractNumId w:val="4"/>
  </w:num>
  <w:num w:numId="26" w16cid:durableId="1596790622">
    <w:abstractNumId w:val="16"/>
  </w:num>
  <w:num w:numId="27" w16cid:durableId="1154875818">
    <w:abstractNumId w:val="20"/>
  </w:num>
  <w:num w:numId="28" w16cid:durableId="695887614">
    <w:abstractNumId w:val="27"/>
  </w:num>
  <w:num w:numId="29" w16cid:durableId="2077043010">
    <w:abstractNumId w:val="24"/>
  </w:num>
  <w:num w:numId="30" w16cid:durableId="7688193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66FEE"/>
    <w:rsid w:val="00073D8F"/>
    <w:rsid w:val="000A47FA"/>
    <w:rsid w:val="000A65D3"/>
    <w:rsid w:val="000B1E33"/>
    <w:rsid w:val="000D689F"/>
    <w:rsid w:val="000E7B7B"/>
    <w:rsid w:val="000E7D62"/>
    <w:rsid w:val="00103357"/>
    <w:rsid w:val="00114A90"/>
    <w:rsid w:val="00123C9F"/>
    <w:rsid w:val="00126190"/>
    <w:rsid w:val="00130F17"/>
    <w:rsid w:val="001320BF"/>
    <w:rsid w:val="00163BC4"/>
    <w:rsid w:val="00191062"/>
    <w:rsid w:val="00192B72"/>
    <w:rsid w:val="001A29D8"/>
    <w:rsid w:val="001A5CAA"/>
    <w:rsid w:val="001B0427"/>
    <w:rsid w:val="001D3A51"/>
    <w:rsid w:val="001D4C3E"/>
    <w:rsid w:val="001E10D2"/>
    <w:rsid w:val="001E25B4"/>
    <w:rsid w:val="001E44FE"/>
    <w:rsid w:val="001F2CF6"/>
    <w:rsid w:val="00200595"/>
    <w:rsid w:val="00204835"/>
    <w:rsid w:val="00231920"/>
    <w:rsid w:val="0023195C"/>
    <w:rsid w:val="0024282C"/>
    <w:rsid w:val="002460DC"/>
    <w:rsid w:val="00250985"/>
    <w:rsid w:val="002556F6"/>
    <w:rsid w:val="00283105"/>
    <w:rsid w:val="00283E5A"/>
    <w:rsid w:val="00284C4C"/>
    <w:rsid w:val="00287E68"/>
    <w:rsid w:val="00296529"/>
    <w:rsid w:val="002B27FB"/>
    <w:rsid w:val="002B685A"/>
    <w:rsid w:val="002C57D2"/>
    <w:rsid w:val="002E0D56"/>
    <w:rsid w:val="00315186"/>
    <w:rsid w:val="0033343E"/>
    <w:rsid w:val="003512C2"/>
    <w:rsid w:val="00353876"/>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11115"/>
    <w:rsid w:val="0053056E"/>
    <w:rsid w:val="00554FDA"/>
    <w:rsid w:val="005C784C"/>
    <w:rsid w:val="005D17F6"/>
    <w:rsid w:val="005E5539"/>
    <w:rsid w:val="00602BF5"/>
    <w:rsid w:val="00617FDD"/>
    <w:rsid w:val="00633614"/>
    <w:rsid w:val="00633F68"/>
    <w:rsid w:val="00636EB2"/>
    <w:rsid w:val="006375B8"/>
    <w:rsid w:val="00646089"/>
    <w:rsid w:val="0066510A"/>
    <w:rsid w:val="00673F9F"/>
    <w:rsid w:val="00686953"/>
    <w:rsid w:val="00687DEA"/>
    <w:rsid w:val="00687E67"/>
    <w:rsid w:val="006967F7"/>
    <w:rsid w:val="006A250C"/>
    <w:rsid w:val="006B21D3"/>
    <w:rsid w:val="006B57D0"/>
    <w:rsid w:val="006B5CC8"/>
    <w:rsid w:val="006D30FF"/>
    <w:rsid w:val="006D6940"/>
    <w:rsid w:val="006F068F"/>
    <w:rsid w:val="006F11EC"/>
    <w:rsid w:val="0070082C"/>
    <w:rsid w:val="00720D6C"/>
    <w:rsid w:val="00725CA8"/>
    <w:rsid w:val="007369E6"/>
    <w:rsid w:val="00746E59"/>
    <w:rsid w:val="00750CD4"/>
    <w:rsid w:val="00754C9A"/>
    <w:rsid w:val="0075599A"/>
    <w:rsid w:val="00761D52"/>
    <w:rsid w:val="0076535B"/>
    <w:rsid w:val="007727E0"/>
    <w:rsid w:val="0077749E"/>
    <w:rsid w:val="00790ADA"/>
    <w:rsid w:val="007B4C6B"/>
    <w:rsid w:val="007D2288"/>
    <w:rsid w:val="007E088F"/>
    <w:rsid w:val="007F7B32"/>
    <w:rsid w:val="00804BC2"/>
    <w:rsid w:val="0081431A"/>
    <w:rsid w:val="0083216F"/>
    <w:rsid w:val="00860000"/>
    <w:rsid w:val="00863BD3"/>
    <w:rsid w:val="008641ED"/>
    <w:rsid w:val="00866D66"/>
    <w:rsid w:val="008671C6"/>
    <w:rsid w:val="00875803"/>
    <w:rsid w:val="00887C11"/>
    <w:rsid w:val="00887EE5"/>
    <w:rsid w:val="008B1A54"/>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21D4"/>
    <w:rsid w:val="00A24E7E"/>
    <w:rsid w:val="00A258C3"/>
    <w:rsid w:val="00A347C0"/>
    <w:rsid w:val="00A44446"/>
    <w:rsid w:val="00A51431"/>
    <w:rsid w:val="00A539AD"/>
    <w:rsid w:val="00A94063"/>
    <w:rsid w:val="00AA6219"/>
    <w:rsid w:val="00AA720E"/>
    <w:rsid w:val="00AA74E0"/>
    <w:rsid w:val="00AB4FBA"/>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BF22A8"/>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A3E4E"/>
    <w:rsid w:val="00DC2A65"/>
    <w:rsid w:val="00DE15F0"/>
    <w:rsid w:val="00DE5663"/>
    <w:rsid w:val="00DE78AA"/>
    <w:rsid w:val="00DF593A"/>
    <w:rsid w:val="00E053D0"/>
    <w:rsid w:val="00E15994"/>
    <w:rsid w:val="00E3114E"/>
    <w:rsid w:val="00E31A70"/>
    <w:rsid w:val="00E35B02"/>
    <w:rsid w:val="00E66496"/>
    <w:rsid w:val="00E66B35"/>
    <w:rsid w:val="00E66E10"/>
    <w:rsid w:val="00E769F6"/>
    <w:rsid w:val="00E8407C"/>
    <w:rsid w:val="00E84F3C"/>
    <w:rsid w:val="00EA012C"/>
    <w:rsid w:val="00EC1246"/>
    <w:rsid w:val="00EC6A55"/>
    <w:rsid w:val="00ED0288"/>
    <w:rsid w:val="00EE52CB"/>
    <w:rsid w:val="00EF581D"/>
    <w:rsid w:val="00EF7FD8"/>
    <w:rsid w:val="00F01882"/>
    <w:rsid w:val="00F06F59"/>
    <w:rsid w:val="00F17988"/>
    <w:rsid w:val="00F469F0"/>
    <w:rsid w:val="00F53273"/>
    <w:rsid w:val="00F755E4"/>
    <w:rsid w:val="00F77D02"/>
    <w:rsid w:val="00F83473"/>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615D3C3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6B5CC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ibliography">
    <w:name w:val="Bibliography"/>
    <w:basedOn w:val="Normal"/>
    <w:next w:val="Normal"/>
    <w:uiPriority w:val="37"/>
    <w:unhideWhenUsed/>
    <w:rsid w:val="006B5CC8"/>
    <w:pPr>
      <w:spacing w:line="480" w:lineRule="auto"/>
      <w:ind w:left="720" w:hanging="720"/>
    </w:pPr>
  </w:style>
  <w:style w:type="character" w:customStyle="1" w:styleId="Heading3Char">
    <w:name w:val="Heading 3 Char"/>
    <w:basedOn w:val="DefaultParagraphFont"/>
    <w:link w:val="Heading3"/>
    <w:uiPriority w:val="9"/>
    <w:semiHidden/>
    <w:rsid w:val="006B5CC8"/>
    <w:rPr>
      <w:rFonts w:asciiTheme="majorHAnsi" w:eastAsiaTheme="majorEastAsia" w:hAnsiTheme="majorHAnsi" w:cstheme="majorBidi"/>
      <w:color w:val="243F60" w:themeColor="accent1" w:themeShade="7F"/>
      <w:sz w:val="24"/>
      <w:szCs w:val="24"/>
    </w:rPr>
  </w:style>
  <w:style w:type="paragraph" w:styleId="Quote">
    <w:name w:val="Quote"/>
    <w:basedOn w:val="Normal"/>
    <w:next w:val="Normal"/>
    <w:link w:val="QuoteChar"/>
    <w:uiPriority w:val="29"/>
    <w:qFormat/>
    <w:rsid w:val="00DA3E4E"/>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ID"/>
    </w:rPr>
  </w:style>
  <w:style w:type="character" w:customStyle="1" w:styleId="QuoteChar">
    <w:name w:val="Quote Char"/>
    <w:basedOn w:val="DefaultParagraphFont"/>
    <w:link w:val="Quote"/>
    <w:uiPriority w:val="29"/>
    <w:rsid w:val="00DA3E4E"/>
    <w:rPr>
      <w:rFonts w:asciiTheme="minorHAnsi" w:eastAsiaTheme="minorHAnsi" w:hAnsiTheme="minorHAnsi" w:cstheme="minorBidi"/>
      <w:i/>
      <w:iCs/>
      <w:color w:val="404040" w:themeColor="text1" w:themeTint="BF"/>
      <w:kern w:val="2"/>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0C40A-320D-4361-A4DE-28DDB3B29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122</TotalTime>
  <Pages>22</Pages>
  <Words>19545</Words>
  <Characters>111412</Characters>
  <Application>Microsoft Office Word</Application>
  <DocSecurity>0</DocSecurity>
  <Lines>928</Lines>
  <Paragraphs>261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130696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Ryan Basith Fasih Khan</cp:lastModifiedBy>
  <cp:revision>18</cp:revision>
  <cp:lastPrinted>1999-07-06T11:00:00Z</cp:lastPrinted>
  <dcterms:created xsi:type="dcterms:W3CDTF">2014-10-25T14:34:00Z</dcterms:created>
  <dcterms:modified xsi:type="dcterms:W3CDTF">2026-04-15T18:10:00Z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90b82116-386b-43d8-a518-30e392118077</vt:lpwstr>
  </property>
  <property fmtid="{D5CDD505-2E9C-101B-9397-08002B2CF9AE}" pid="3" name="ZOTERO_PREF_1">
    <vt:lpwstr>&lt;data data-version="3" zotero-version="7.0.32"&gt;&lt;session id="xKhYUwQc"/&gt;&lt;style id="http://www.zotero.org/styles/apa" locale="en-GB" hasBibliography="1" bibliographyStyleHasBeenSet="1"/&gt;&lt;prefs&gt;&lt;pref name="fieldType" value="Field"/&gt;&lt;/prefs&gt;&lt;/data&gt;</vt:lpwstr>
  </property>
</Properties>
</file>