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EA494" w14:textId="77777777" w:rsidR="00CC11AC" w:rsidRDefault="00CC11AC" w:rsidP="00342805">
      <w:pPr>
        <w:spacing w:before="240" w:line="240" w:lineRule="auto"/>
        <w:jc w:val="center"/>
        <w:rPr>
          <w:rFonts w:ascii="Times New Roman" w:hAnsi="Times New Roman" w:cs="Times New Roman"/>
          <w:b/>
          <w:bCs/>
          <w:sz w:val="36"/>
          <w:szCs w:val="36"/>
        </w:rPr>
      </w:pPr>
    </w:p>
    <w:p w14:paraId="05927E1F" w14:textId="0ED6AEAC" w:rsidR="008A456A" w:rsidRDefault="00836396" w:rsidP="00342805">
      <w:pPr>
        <w:spacing w:before="240" w:line="240" w:lineRule="auto"/>
        <w:jc w:val="center"/>
        <w:rPr>
          <w:rFonts w:ascii="Times New Roman" w:hAnsi="Times New Roman" w:cs="Times New Roman"/>
          <w:b/>
          <w:bCs/>
          <w:sz w:val="36"/>
          <w:szCs w:val="36"/>
        </w:rPr>
      </w:pPr>
      <w:r w:rsidRPr="00836396">
        <w:rPr>
          <w:rFonts w:ascii="Times New Roman" w:hAnsi="Times New Roman" w:cs="Times New Roman"/>
          <w:b/>
          <w:bCs/>
          <w:sz w:val="36"/>
          <w:szCs w:val="36"/>
        </w:rPr>
        <w:t>The Impact of Health Marketing Strategies in Developed, Developing and Underdeveloped Countries</w:t>
      </w:r>
    </w:p>
    <w:p w14:paraId="0985D13C" w14:textId="77777777" w:rsidR="00F43B83" w:rsidRDefault="00F43B83" w:rsidP="00342805">
      <w:pPr>
        <w:spacing w:before="240" w:line="240" w:lineRule="auto"/>
        <w:jc w:val="center"/>
        <w:rPr>
          <w:rFonts w:ascii="Times New Roman" w:hAnsi="Times New Roman" w:cs="Times New Roman"/>
          <w:b/>
          <w:bCs/>
          <w:sz w:val="24"/>
          <w:szCs w:val="24"/>
        </w:rPr>
      </w:pPr>
    </w:p>
    <w:p w14:paraId="0C09F06A" w14:textId="77777777" w:rsidR="008A456A" w:rsidRPr="008A456A" w:rsidRDefault="008A456A" w:rsidP="00342805">
      <w:pPr>
        <w:spacing w:before="240" w:line="240" w:lineRule="auto"/>
        <w:jc w:val="center"/>
        <w:rPr>
          <w:rFonts w:ascii="Times New Roman" w:hAnsi="Times New Roman" w:cs="Times New Roman"/>
          <w:b/>
          <w:bCs/>
          <w:sz w:val="24"/>
          <w:szCs w:val="24"/>
        </w:rPr>
      </w:pPr>
      <w:r w:rsidRPr="008A456A">
        <w:rPr>
          <w:rFonts w:ascii="Times New Roman" w:hAnsi="Times New Roman" w:cs="Times New Roman"/>
          <w:b/>
          <w:bCs/>
          <w:sz w:val="24"/>
          <w:szCs w:val="24"/>
        </w:rPr>
        <w:t>Abstract</w:t>
      </w:r>
    </w:p>
    <w:p w14:paraId="40741F28" w14:textId="77777777" w:rsidR="00184210" w:rsidRPr="00184210" w:rsidRDefault="00184210" w:rsidP="00184210">
      <w:pPr>
        <w:spacing w:before="240" w:line="240" w:lineRule="auto"/>
        <w:jc w:val="both"/>
        <w:rPr>
          <w:rFonts w:ascii="Times New Roman" w:hAnsi="Times New Roman" w:cs="Times New Roman"/>
          <w:sz w:val="24"/>
          <w:szCs w:val="24"/>
        </w:rPr>
      </w:pPr>
      <w:r w:rsidRPr="00184210">
        <w:rPr>
          <w:rFonts w:ascii="Times New Roman" w:hAnsi="Times New Roman" w:cs="Times New Roman"/>
          <w:sz w:val="24"/>
          <w:szCs w:val="24"/>
        </w:rPr>
        <w:t>This study examines how health marketing strategies differ across developed, developing, and underdeveloped countries, with particular attention to the roles of technology, infrastructure, socio-economic conditions, and cultural context. Using a comparative secondary-data approach, the study synthesizes evidence from international reports, case-based evidence, and published literature to evaluate patterns in government investment, digital health penetration, campaign reach, public trust, health behavior change, and cultural influences on campaign effectiveness. The findings indicate that developed countries benefit from stronger digital infrastructure, higher health and digital literacy, broader telemedicine adoption, and greater public-sector funding, which together enhance the reach and effectiveness of health marketing interventions. In contrast, developing and underdeveloped countries continue to depend more heavily on radio, community outreach, mobile messaging, and externally supported campaigns because of infrastructural limitations, affordability barriers, and lower literacy levels. The analysis also shows that cultural and religious institutions may act not only as barriers but also as enablers when campaigns are adapted to local values and trusted intermediaries. The study concludes that health marketing cannot be standardized across all contexts; rather, it must be tailored to country conditions, especially in the post-COVID era, where digital health adoption has accelerated unevenly across regions. The paper offers practical implications for policymakers, public health institutions, and health communicators seeking to design more context-sensitive and effective health marketing strategies.</w:t>
      </w:r>
    </w:p>
    <w:p w14:paraId="41DC22DD" w14:textId="77777777" w:rsidR="00184210" w:rsidRPr="00184210" w:rsidRDefault="00184210" w:rsidP="00184210">
      <w:pPr>
        <w:spacing w:before="240" w:line="240" w:lineRule="auto"/>
        <w:jc w:val="both"/>
        <w:rPr>
          <w:rFonts w:ascii="Times New Roman" w:hAnsi="Times New Roman" w:cs="Times New Roman"/>
          <w:sz w:val="24"/>
          <w:szCs w:val="24"/>
        </w:rPr>
      </w:pPr>
      <w:r w:rsidRPr="00184210">
        <w:rPr>
          <w:rFonts w:ascii="Times New Roman" w:hAnsi="Times New Roman" w:cs="Times New Roman"/>
          <w:b/>
          <w:bCs/>
          <w:sz w:val="24"/>
          <w:szCs w:val="24"/>
        </w:rPr>
        <w:t>Keywords:</w:t>
      </w:r>
      <w:r w:rsidRPr="00184210">
        <w:rPr>
          <w:rFonts w:ascii="Times New Roman" w:hAnsi="Times New Roman" w:cs="Times New Roman"/>
          <w:sz w:val="24"/>
          <w:szCs w:val="24"/>
        </w:rPr>
        <w:t xml:space="preserve"> Health marketing; public health communication; digital health; mHealth; telemedicine; developing countries; underdeveloped countries.</w:t>
      </w:r>
    </w:p>
    <w:p w14:paraId="509286B7" w14:textId="77777777" w:rsidR="00184210" w:rsidRDefault="00184210" w:rsidP="00342805">
      <w:pPr>
        <w:spacing w:before="240" w:line="240" w:lineRule="auto"/>
        <w:jc w:val="both"/>
        <w:rPr>
          <w:rFonts w:ascii="Times New Roman" w:hAnsi="Times New Roman" w:cs="Times New Roman"/>
          <w:b/>
          <w:bCs/>
          <w:sz w:val="24"/>
          <w:szCs w:val="24"/>
        </w:rPr>
      </w:pPr>
    </w:p>
    <w:p w14:paraId="351B96BA" w14:textId="58D077D8" w:rsidR="008A456A" w:rsidRPr="008A456A" w:rsidRDefault="008A456A" w:rsidP="00342805">
      <w:pPr>
        <w:spacing w:before="240" w:line="240" w:lineRule="auto"/>
        <w:jc w:val="both"/>
        <w:rPr>
          <w:rFonts w:ascii="Times New Roman" w:hAnsi="Times New Roman" w:cs="Times New Roman"/>
          <w:b/>
          <w:bCs/>
          <w:sz w:val="24"/>
          <w:szCs w:val="24"/>
        </w:rPr>
      </w:pPr>
      <w:r w:rsidRPr="008A456A">
        <w:rPr>
          <w:rFonts w:ascii="Times New Roman" w:hAnsi="Times New Roman" w:cs="Times New Roman"/>
          <w:b/>
          <w:bCs/>
          <w:sz w:val="24"/>
          <w:szCs w:val="24"/>
        </w:rPr>
        <w:t>1. Introduction</w:t>
      </w:r>
    </w:p>
    <w:p w14:paraId="4A0D35F5"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Health marketing refers to the strategic use of marketing principles, communication tools, and behavioral insights to promote healthy practices, improve public awareness, and support disease prevention among different population groups (Smith, 2010;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 It has become an increasingly important component of public health because many contemporary health challenges, including vaccination uptake, chronic disease prevention, maternal health, hygiene promotion, and anti-smoking campaigns, require not only medical intervention but also effective communication and behavior change strategies. Yet the success of health marketing is not universal. It is shaped by the broader environment in which communication takes place, including healthcare infrastructure, literacy levels, digital access, socio-economic inequality, and cultural norms (Peters et al., 2008; Sheth, 2011).</w:t>
      </w:r>
    </w:p>
    <w:p w14:paraId="479DD6AD" w14:textId="7DCD5824"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This issue becomes particularly important when comparing developed, developing, and underdeveloped countries. Developed countries generally possess stronger healthcare systems, </w:t>
      </w:r>
      <w:r w:rsidRPr="0075544E">
        <w:rPr>
          <w:rFonts w:ascii="Times New Roman" w:hAnsi="Times New Roman" w:cs="Times New Roman"/>
          <w:sz w:val="24"/>
          <w:szCs w:val="24"/>
        </w:rPr>
        <w:lastRenderedPageBreak/>
        <w:t xml:space="preserve">wider internet access, higher health literacy, and greater capacity to use digital communication tools such as social media, mobile applications, websites, telemedicine, and personalized digital campaigns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 These conditions support greater campaign reach, better audience segmentation, and stronger public engagement. In contrast, developing and underdeveloped countries often face major structural constraints, including limited infrastructure, low digital literacy, affordability barriers, and uneven access to healthcare services. In such settings, health marketing frequently depends on lower-cost and more direct communication methods such as radio, SMS messaging, face-to-face outreach, and community health workers (Coreil, 1997; Peters et al., 2008).</w:t>
      </w:r>
      <w:r>
        <w:rPr>
          <w:rFonts w:ascii="Times New Roman" w:hAnsi="Times New Roman" w:cs="Times New Roman"/>
          <w:sz w:val="24"/>
          <w:szCs w:val="24"/>
        </w:rPr>
        <w:t xml:space="preserve"> </w:t>
      </w:r>
      <w:r w:rsidRPr="0075544E">
        <w:rPr>
          <w:rFonts w:ascii="Times New Roman" w:hAnsi="Times New Roman" w:cs="Times New Roman"/>
          <w:sz w:val="24"/>
          <w:szCs w:val="24"/>
        </w:rPr>
        <w:t>The need to study these differences has become even more urgent in the post-COVID era. The pandemic accelerated the use of digital communication, teleconsultation, and mobile-based public health messaging across the world. However, this transition was uneven. In developed countries, digital platforms were rapidly integrated into mainstream public health communication. In many developing and underdeveloped settings, digital adoption also increased, but its effectiveness was constrained by connectivity, affordability, trust, and institutional readiness (Syed et al., 2012). This uneven transformation demonstrates that health marketing cannot be treated as a one-size-fits-all model. Rather, it must be understood as a context-dependent process shaped by national development level and local social realities.</w:t>
      </w:r>
    </w:p>
    <w:p w14:paraId="2358BEF6" w14:textId="3110C645"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Existing scholarship has discussed health communication, social marketing, digital health, and healthcare access in specific regions, but fewer studies provide a broad comparative analysis across different development contexts. A comparative perspective is valuable because it helps explain why similar health campaigns produce different outcomes across settings. It also clarifies how structural conditions, technological readiness, public trust, and cultural interpretation jointly shape campaign success or failure (Douglas &amp; Craig, 2011; Sheth, 2011).</w:t>
      </w:r>
      <w:r>
        <w:rPr>
          <w:rFonts w:ascii="Times New Roman" w:hAnsi="Times New Roman" w:cs="Times New Roman"/>
          <w:sz w:val="24"/>
          <w:szCs w:val="24"/>
        </w:rPr>
        <w:t xml:space="preserve"> </w:t>
      </w:r>
      <w:r w:rsidRPr="0075544E">
        <w:rPr>
          <w:rFonts w:ascii="Times New Roman" w:hAnsi="Times New Roman" w:cs="Times New Roman"/>
          <w:sz w:val="24"/>
          <w:szCs w:val="24"/>
        </w:rPr>
        <w:t>Accordingly, this paper undertakes a comparative analysis of health marketing strategies in developed, developing, and underdeveloped countries. It focuses on the relationship between communication methods, technological penetration, public funding, accessibility barriers, public trust, and cultural influences on campaign effectiveness. It also pays special attention to the role of mHealth and telemedicine, both of which have become more prominent in global health communication after COVID-19 (Acheampong et al., 2023).</w:t>
      </w:r>
    </w:p>
    <w:p w14:paraId="1EA2987E"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The specific objectives of the study are as follows:</w:t>
      </w:r>
    </w:p>
    <w:p w14:paraId="5EC0EB4B" w14:textId="77777777" w:rsidR="0075544E" w:rsidRPr="0075544E" w:rsidRDefault="0075544E" w:rsidP="0075544E">
      <w:pPr>
        <w:numPr>
          <w:ilvl w:val="0"/>
          <w:numId w:val="8"/>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To compare health marketing strategies in developed, developing, and underdeveloped countries. </w:t>
      </w:r>
    </w:p>
    <w:p w14:paraId="2A0F8E10" w14:textId="77777777" w:rsidR="0075544E" w:rsidRPr="0075544E" w:rsidRDefault="0075544E" w:rsidP="0075544E">
      <w:pPr>
        <w:numPr>
          <w:ilvl w:val="0"/>
          <w:numId w:val="8"/>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To examine the influence of digital technology, including mHealth and telemedicine, on health marketing effectiveness. </w:t>
      </w:r>
    </w:p>
    <w:p w14:paraId="31C9D248" w14:textId="77777777" w:rsidR="0075544E" w:rsidRPr="0075544E" w:rsidRDefault="0075544E" w:rsidP="0075544E">
      <w:pPr>
        <w:numPr>
          <w:ilvl w:val="0"/>
          <w:numId w:val="8"/>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To assess the role of socio-economic and cultural factors in shaping public response to health campaigns. </w:t>
      </w:r>
    </w:p>
    <w:p w14:paraId="2694DF29" w14:textId="77777777" w:rsidR="0075544E" w:rsidRPr="0075544E" w:rsidRDefault="0075544E" w:rsidP="0075544E">
      <w:pPr>
        <w:numPr>
          <w:ilvl w:val="0"/>
          <w:numId w:val="8"/>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To identify the major barriers affecting the implementation and reach of health marketing in different country contexts. </w:t>
      </w:r>
    </w:p>
    <w:p w14:paraId="3841FAEA" w14:textId="77777777" w:rsidR="0075544E" w:rsidRPr="0075544E" w:rsidRDefault="0075544E" w:rsidP="0075544E">
      <w:pPr>
        <w:numPr>
          <w:ilvl w:val="0"/>
          <w:numId w:val="8"/>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To provide context-sensitive recommendations for improving health marketing strategies globally. </w:t>
      </w:r>
    </w:p>
    <w:p w14:paraId="5643C6BD"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This study is significant because it addresses an important gap in the comparative understanding of health marketing across varied development settings. Public health </w:t>
      </w:r>
      <w:r w:rsidRPr="0075544E">
        <w:rPr>
          <w:rFonts w:ascii="Times New Roman" w:hAnsi="Times New Roman" w:cs="Times New Roman"/>
          <w:sz w:val="24"/>
          <w:szCs w:val="24"/>
        </w:rPr>
        <w:lastRenderedPageBreak/>
        <w:t>campaigns are most effective when they are aligned with the capabilities, needs, and trust structures of the target population. Therefore, a clearer understanding of how health marketing operates under different socio-economic and cultural conditions can contribute to more effective policy design, better communication practice, and more equitable public health outcomes globally (Peters et al., 2008; Douglas &amp; Craig, 2011).</w:t>
      </w:r>
    </w:p>
    <w:p w14:paraId="133049D8" w14:textId="475BC27B" w:rsidR="00B42D96" w:rsidRPr="00535C02" w:rsidRDefault="00B42D96" w:rsidP="00342805">
      <w:pPr>
        <w:spacing w:before="240" w:line="240" w:lineRule="auto"/>
        <w:jc w:val="both"/>
        <w:rPr>
          <w:rFonts w:ascii="Times New Roman" w:hAnsi="Times New Roman" w:cs="Times New Roman"/>
          <w:b/>
          <w:bCs/>
          <w:sz w:val="24"/>
          <w:szCs w:val="24"/>
        </w:rPr>
      </w:pPr>
      <w:r w:rsidRPr="00535C02">
        <w:rPr>
          <w:rFonts w:ascii="Times New Roman" w:hAnsi="Times New Roman" w:cs="Times New Roman"/>
          <w:b/>
          <w:bCs/>
          <w:sz w:val="24"/>
          <w:szCs w:val="24"/>
        </w:rPr>
        <w:t>2. Literature Review</w:t>
      </w:r>
    </w:p>
    <w:p w14:paraId="001CDBA1"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Health marketing strategies vary across regions because they are shaped by differing levels of economic development, digital infrastructure, healthcare access, literacy, and social context (Peters et al., 2008; Sheth, 2011). The literature shows that health communication is most effective when it is adapted to the communication environment and behavioral realities of the target audience rather than transferred directly from one setting to another (Douglas &amp; Craig, 2011). For clarity, this review is organized into four themes: health marketing in developed countries, health marketing in developing countries, digital health and mHealth, and the cultural and structural factors influencing campaign effectiveness.</w:t>
      </w:r>
    </w:p>
    <w:p w14:paraId="6E22644F"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2.1 Health Marketing in Developed Countries</w:t>
      </w:r>
    </w:p>
    <w:p w14:paraId="1C211C3A" w14:textId="770FF46E"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In developed countries, health marketing benefits from strong institutional support, stable healthcare systems, and advanced technological infrastructure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 Public health institutions in these settings can use social media platforms, websites, targeted mobile applications, patient portals, and telemedicine services to reach audiences more precisely and efficiently. Such strategies support campaigns on smoking cessation, obesity prevention, vaccination, chronic disease management, and preventive screening (Smith, 2010). A key strength in these settings is the ability to segment audiences by demographic and behavioral characteristics, which improves message relevance and engagement.</w:t>
      </w:r>
      <w:r w:rsidR="00C91320">
        <w:rPr>
          <w:rFonts w:ascii="Times New Roman" w:hAnsi="Times New Roman" w:cs="Times New Roman"/>
          <w:sz w:val="24"/>
          <w:szCs w:val="24"/>
        </w:rPr>
        <w:t xml:space="preserve"> </w:t>
      </w:r>
      <w:r w:rsidRPr="0075544E">
        <w:rPr>
          <w:rFonts w:ascii="Times New Roman" w:hAnsi="Times New Roman" w:cs="Times New Roman"/>
          <w:sz w:val="24"/>
          <w:szCs w:val="24"/>
        </w:rPr>
        <w:t xml:space="preserve">At the same time, the literature also shows that technological sophistication does not remove all barriers. Even in developed countries, highly digitized communication may exclude elderly populations, low-income groups, or individuals with limited digital skills. This suggests that digital advancement enhances effectiveness, but only when inclusiveness is also considered in campaign design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w:t>
      </w:r>
    </w:p>
    <w:p w14:paraId="3D44AD3E"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2.2 Health Marketing in Developing Countries</w:t>
      </w:r>
    </w:p>
    <w:p w14:paraId="1F2DD2EC" w14:textId="0CAE98F0"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Developing countries face a more mixed communication landscape. Mobile penetration and internet use have expanded in many such countries, but access remains uneven across rural and urban areas, and across socio-economic groups (Peters et al., 2008). Consequently, health marketing in these settings often combines digital and traditional channels. Radio, print materials, community meetings, community health workers, and SMS-based communication remain important because they are relatively affordable and can reach audiences that are not consistently online (Coreil, 1997; Dholakia, 2014).</w:t>
      </w:r>
      <w:r w:rsidR="00C91320">
        <w:rPr>
          <w:rFonts w:ascii="Times New Roman" w:hAnsi="Times New Roman" w:cs="Times New Roman"/>
          <w:sz w:val="24"/>
          <w:szCs w:val="24"/>
        </w:rPr>
        <w:t xml:space="preserve"> </w:t>
      </w:r>
      <w:r w:rsidRPr="0075544E">
        <w:rPr>
          <w:rFonts w:ascii="Times New Roman" w:hAnsi="Times New Roman" w:cs="Times New Roman"/>
          <w:sz w:val="24"/>
          <w:szCs w:val="24"/>
        </w:rPr>
        <w:t>The literature suggests that community-based communication is especially important in developing settings because public trust is often rooted in interpersonal networks and local leadership structures (Coreil, 1997). Mobile-based interventions have also shown promise in maternal health, immunization reminders, and awareness messaging, but their performance is still constrained by literacy, device access, unstable networks, and institutional limitations (Peters et al., 2008; Sheth, 2011). As a result, developing countries often demonstrate partial digital adoption rather than complete digital transformation in health marketing.</w:t>
      </w:r>
    </w:p>
    <w:p w14:paraId="3C016BFF"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2.3 Digital Health, mHealth, and Telemedicine</w:t>
      </w:r>
    </w:p>
    <w:p w14:paraId="0C22AFC9" w14:textId="09DE141B"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lastRenderedPageBreak/>
        <w:t>Digital health has become increasingly central to health marketing, especially through mHealth and telemedicine. mHealth refers to the use of mobile devices, SMS systems, applications, and related technologies to provide health information, reminders, and support for health management. Telemedicine expands health communication through remote consultation and follow-up services, making it possible to connect health providers and patients across distance (Acheampong et al., 2023).</w:t>
      </w:r>
      <w:r w:rsidR="00C91320">
        <w:rPr>
          <w:rFonts w:ascii="Times New Roman" w:hAnsi="Times New Roman" w:cs="Times New Roman"/>
          <w:sz w:val="24"/>
          <w:szCs w:val="24"/>
        </w:rPr>
        <w:t xml:space="preserve"> </w:t>
      </w:r>
      <w:r w:rsidRPr="0075544E">
        <w:rPr>
          <w:rFonts w:ascii="Times New Roman" w:hAnsi="Times New Roman" w:cs="Times New Roman"/>
          <w:sz w:val="24"/>
          <w:szCs w:val="24"/>
        </w:rPr>
        <w:t xml:space="preserve">In developed countries, these tools are often integrated into broader healthcare delivery systems and are used not only for treatment support but also for preventive health communication and sustained patient engagement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 In developing and underdeveloped countries, mHealth is often more feasible than other digital formats because mobile devices are more widespread than broadband-dependent technologies. SMS-based systems and low-data communication channels may therefore function as practical tools for public health outreach (Peters et al., 2008). The post-COVID period accelerated telemedicine and digital health messaging globally, but the extent of adoption remains uneven and strongly dependent on affordability, infrastructure, policy support, and digital literacy (Syed et al., 2012).</w:t>
      </w:r>
    </w:p>
    <w:p w14:paraId="29BE6114"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2.4 Cultural, Social, and Structural Influences</w:t>
      </w:r>
    </w:p>
    <w:p w14:paraId="77C79909" w14:textId="281C23ED"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Health marketing is shaped not only by technology and funding, but also by cultural acceptance, social trust, and the structural ability of people to act on health advice. Poverty, low literacy, weak healthcare systems, and transport or connectivity barriers may reduce the practical effect of even well-designed campaigns (Peters et al., 2008). Similarly, messages that conflict with local values, religious interpretations, or family norms may face resistance (</w:t>
      </w:r>
      <w:proofErr w:type="spellStart"/>
      <w:r w:rsidRPr="0075544E">
        <w:rPr>
          <w:rFonts w:ascii="Times New Roman" w:hAnsi="Times New Roman" w:cs="Times New Roman"/>
          <w:sz w:val="24"/>
          <w:szCs w:val="24"/>
        </w:rPr>
        <w:t>Mascayano</w:t>
      </w:r>
      <w:proofErr w:type="spellEnd"/>
      <w:r w:rsidRPr="0075544E">
        <w:rPr>
          <w:rFonts w:ascii="Times New Roman" w:hAnsi="Times New Roman" w:cs="Times New Roman"/>
          <w:sz w:val="24"/>
          <w:szCs w:val="24"/>
        </w:rPr>
        <w:t xml:space="preserve"> et al., 2015).</w:t>
      </w:r>
      <w:r w:rsidR="00C91320">
        <w:rPr>
          <w:rFonts w:ascii="Times New Roman" w:hAnsi="Times New Roman" w:cs="Times New Roman"/>
          <w:sz w:val="24"/>
          <w:szCs w:val="24"/>
        </w:rPr>
        <w:t xml:space="preserve"> </w:t>
      </w:r>
      <w:r w:rsidRPr="0075544E">
        <w:rPr>
          <w:rFonts w:ascii="Times New Roman" w:hAnsi="Times New Roman" w:cs="Times New Roman"/>
          <w:sz w:val="24"/>
          <w:szCs w:val="24"/>
        </w:rPr>
        <w:t>However, culture should not be viewed only as a barrier. Local leaders, religious institutions, community elders, and existing social networks can also positively support health campaigns when communication is framed in culturally respectful ways. This is especially important in lower-resource settings, where trusted intermediaries may be more influential than official mass communication alone (Douglas &amp; Craig, 2011). Thus, cultural context can either limit or strengthen health marketing depending on the design and delivery of the intervention.</w:t>
      </w:r>
    </w:p>
    <w:p w14:paraId="3F46F31E"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2.5 Literature Gap</w:t>
      </w:r>
    </w:p>
    <w:p w14:paraId="1FE9A1B0"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Although earlier studies provide useful insight into health communication, health access, social marketing, and digital health, the literature remains fragmented. Much of the work focuses on specific countries, individual campaign types, or isolated digital tools. Fewer studies bring together digital access, funding structures, communication channels, public trust, cultural context, and campaign effectiveness within one comparative framework spanning developed, developing, and underdeveloped countries. This study seeks to address that gap through a broader comparative analysis.</w:t>
      </w:r>
    </w:p>
    <w:p w14:paraId="42387AC1" w14:textId="6E3D899F" w:rsidR="008A456A" w:rsidRPr="008A456A"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A456A" w:rsidRPr="008A456A">
        <w:rPr>
          <w:rFonts w:ascii="Times New Roman" w:hAnsi="Times New Roman" w:cs="Times New Roman"/>
          <w:b/>
          <w:bCs/>
          <w:sz w:val="24"/>
          <w:szCs w:val="24"/>
        </w:rPr>
        <w:t>. Research Methodology</w:t>
      </w:r>
    </w:p>
    <w:p w14:paraId="487A994D"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3.1 Research Design</w:t>
      </w:r>
    </w:p>
    <w:p w14:paraId="2257F8BD"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This study adopts a comparative descriptive design based on secondary data analysis. The purpose is to compare major dimensions of health marketing across developed, developing, and underdeveloped countries using published international data and relevant scholarly evidence. The design is appropriate because the study aims to identify cross-context patterns in health marketing systems, communication delivery, digital access, funding, trust, and behavioral outcomes rather than test causal hypotheses through primary fieldwork.</w:t>
      </w:r>
    </w:p>
    <w:p w14:paraId="23EE355E"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lastRenderedPageBreak/>
        <w:t>3.2 Data Sources</w:t>
      </w:r>
    </w:p>
    <w:p w14:paraId="04820E4D"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study uses secondary data drawn from institutional reports and published sources referenced in the tables and discussion. These include data attributed to the World Health Organization, International Telecommunication Union, UNESCO, United Nations Development </w:t>
      </w:r>
      <w:proofErr w:type="spellStart"/>
      <w:r w:rsidRPr="0075544E">
        <w:rPr>
          <w:rFonts w:ascii="Times New Roman" w:hAnsi="Times New Roman" w:cs="Times New Roman"/>
          <w:sz w:val="24"/>
          <w:szCs w:val="24"/>
        </w:rPr>
        <w:t>Programme</w:t>
      </w:r>
      <w:proofErr w:type="spellEnd"/>
      <w:r w:rsidRPr="0075544E">
        <w:rPr>
          <w:rFonts w:ascii="Times New Roman" w:hAnsi="Times New Roman" w:cs="Times New Roman"/>
          <w:sz w:val="24"/>
          <w:szCs w:val="24"/>
        </w:rPr>
        <w:t xml:space="preserve">, World Bank, and other global reporting bodies, alongside relevant scholarly literature on health marketing, health communication, and digital health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 Peters et al., 2008; WHO, 2023; ITU, 2023; UNDP, 2023; World Bank, 2023). These sources were selected because they provide comparative information on government spending, digital health use, literacy, accessibility barriers, public trust, and campaign outcomes.</w:t>
      </w:r>
    </w:p>
    <w:p w14:paraId="0C6B4777"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3.3 Unit of Analysis</w:t>
      </w:r>
    </w:p>
    <w:p w14:paraId="0AA14925"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The analysis is organized around three broad contextual groupings:</w:t>
      </w:r>
    </w:p>
    <w:p w14:paraId="687FCAA9" w14:textId="77777777" w:rsidR="0075544E" w:rsidRPr="0075544E" w:rsidRDefault="0075544E" w:rsidP="0075544E">
      <w:pPr>
        <w:numPr>
          <w:ilvl w:val="0"/>
          <w:numId w:val="9"/>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Developed countries </w:t>
      </w:r>
    </w:p>
    <w:p w14:paraId="098E9468" w14:textId="77777777" w:rsidR="0075544E" w:rsidRPr="0075544E" w:rsidRDefault="0075544E" w:rsidP="0075544E">
      <w:pPr>
        <w:numPr>
          <w:ilvl w:val="0"/>
          <w:numId w:val="9"/>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Developing countries </w:t>
      </w:r>
    </w:p>
    <w:p w14:paraId="3DE0198C" w14:textId="77777777" w:rsidR="0075544E" w:rsidRPr="0075544E" w:rsidRDefault="0075544E" w:rsidP="0075544E">
      <w:pPr>
        <w:numPr>
          <w:ilvl w:val="0"/>
          <w:numId w:val="9"/>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Underdeveloped countries </w:t>
      </w:r>
    </w:p>
    <w:p w14:paraId="5940D970"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These categories are used as comparative analytical groupings to identify broad regional patterns. They are not intended to deny variation within countries, but to provide a structured basis for interpreting relative differences in health marketing conditions and outcomes.</w:t>
      </w:r>
    </w:p>
    <w:p w14:paraId="27E285C4"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3.4 Variables Examined</w:t>
      </w:r>
    </w:p>
    <w:p w14:paraId="38326F25"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The study compares the following major dimensions of health marketing:</w:t>
      </w:r>
    </w:p>
    <w:p w14:paraId="01DEA81A"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Government investment in health marketing </w:t>
      </w:r>
    </w:p>
    <w:p w14:paraId="55E38FC3"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Internet and mobile health technology penetration </w:t>
      </w:r>
    </w:p>
    <w:p w14:paraId="160F0D07"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Effectiveness of mHealth campaigns </w:t>
      </w:r>
    </w:p>
    <w:p w14:paraId="5A738036"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General literacy and digital literacy </w:t>
      </w:r>
    </w:p>
    <w:p w14:paraId="1C0A7A13"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Campaign reach by communication medium </w:t>
      </w:r>
    </w:p>
    <w:p w14:paraId="58F9F84D"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Health behavior change after campaigns </w:t>
      </w:r>
    </w:p>
    <w:p w14:paraId="08B7942B"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Campaign funding sources </w:t>
      </w:r>
    </w:p>
    <w:p w14:paraId="05BBE235"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Effectiveness across target populations </w:t>
      </w:r>
    </w:p>
    <w:p w14:paraId="13E1C1A8"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Accessibility barriers to digital health tools </w:t>
      </w:r>
    </w:p>
    <w:p w14:paraId="56CEF890"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Healthcare system access </w:t>
      </w:r>
    </w:p>
    <w:p w14:paraId="5D227E6F"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Public trust in campaigns </w:t>
      </w:r>
    </w:p>
    <w:p w14:paraId="0F59452A" w14:textId="77777777" w:rsidR="0075544E" w:rsidRPr="0075544E" w:rsidRDefault="0075544E" w:rsidP="0075544E">
      <w:pPr>
        <w:numPr>
          <w:ilvl w:val="0"/>
          <w:numId w:val="10"/>
        </w:num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Cultural influences on campaign effectiveness </w:t>
      </w:r>
    </w:p>
    <w:p w14:paraId="6EBF11C1"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lastRenderedPageBreak/>
        <w:t>These variables were selected because together they represent the structural, technological, behavioral, and social conditions that influence health marketing effectiveness.</w:t>
      </w:r>
    </w:p>
    <w:p w14:paraId="33190D7A"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3.5 Method of Analysis</w:t>
      </w:r>
    </w:p>
    <w:p w14:paraId="6326DE9B"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study applies a </w:t>
      </w:r>
      <w:r w:rsidRPr="0075544E">
        <w:rPr>
          <w:rFonts w:ascii="Times New Roman" w:hAnsi="Times New Roman" w:cs="Times New Roman"/>
          <w:b/>
          <w:bCs/>
          <w:sz w:val="24"/>
          <w:szCs w:val="24"/>
        </w:rPr>
        <w:t>comparative statistical interpretation</w:t>
      </w:r>
      <w:r w:rsidRPr="0075544E">
        <w:rPr>
          <w:rFonts w:ascii="Times New Roman" w:hAnsi="Times New Roman" w:cs="Times New Roman"/>
          <w:sz w:val="24"/>
          <w:szCs w:val="24"/>
        </w:rPr>
        <w:t xml:space="preserve"> of tabulated secondary indicators. The analysis does not use inferential statistical testing, because the available data consist of aggregated cross-context indicators rather than raw respondent-level datasets. Instead, descriptive comparison is used to identify relative differences, similarities, and patterns across the three country groupings. The interpretation of findings is supported by literature-based explanation, allowing the analysis to connect quantitative comparison with conceptual understanding from prior studies (Douglas &amp; Craig, 2011; Sheth, 2011).</w:t>
      </w:r>
    </w:p>
    <w:p w14:paraId="6536BF9E"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3.6 Research Rationale</w:t>
      </w:r>
    </w:p>
    <w:p w14:paraId="0061EC0A"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This methodology directly addresses the study objectives because it allows systematic comparison across multiple dimensions of health marketing while remaining transparent about the nature of the available data. It is particularly suitable for a study concerned with broad international patterns rather than micro-level causal estimation.</w:t>
      </w:r>
    </w:p>
    <w:p w14:paraId="3DD0F403" w14:textId="7CC770D7" w:rsidR="008A456A" w:rsidRPr="008A456A"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A456A" w:rsidRPr="008A456A">
        <w:rPr>
          <w:rFonts w:ascii="Times New Roman" w:hAnsi="Times New Roman" w:cs="Times New Roman"/>
          <w:b/>
          <w:bCs/>
          <w:sz w:val="24"/>
          <w:szCs w:val="24"/>
        </w:rPr>
        <w:t xml:space="preserve">. </w:t>
      </w:r>
      <w:r w:rsidR="00043F9C">
        <w:rPr>
          <w:rFonts w:ascii="Times New Roman" w:hAnsi="Times New Roman" w:cs="Times New Roman"/>
          <w:b/>
          <w:bCs/>
          <w:sz w:val="24"/>
          <w:szCs w:val="24"/>
        </w:rPr>
        <w:t>Result</w:t>
      </w:r>
    </w:p>
    <w:p w14:paraId="36E35E22"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The analysis presented in this section compares major dimensions of health marketing across developed, developing, and underdeveloped countries. The findings show that differences in funding, digital access, literacy, public trust, healthcare capacity, and cultural context significantly shape the effectiveness of health communication strategies.</w:t>
      </w:r>
    </w:p>
    <w:p w14:paraId="46153131" w14:textId="21D14A46"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 Government Investment in Health Marketing (USD)</w:t>
      </w:r>
    </w:p>
    <w:tbl>
      <w:tblPr>
        <w:tblStyle w:val="TableGrid"/>
        <w:tblW w:w="0" w:type="auto"/>
        <w:tblLook w:val="04A0" w:firstRow="1" w:lastRow="0" w:firstColumn="1" w:lastColumn="0" w:noHBand="0" w:noVBand="1"/>
      </w:tblPr>
      <w:tblGrid>
        <w:gridCol w:w="2084"/>
        <w:gridCol w:w="2534"/>
        <w:gridCol w:w="2203"/>
        <w:gridCol w:w="2195"/>
      </w:tblGrid>
      <w:tr w:rsidR="007E3046" w:rsidRPr="007E3046" w14:paraId="0D15D957" w14:textId="77777777" w:rsidTr="007E3046">
        <w:tc>
          <w:tcPr>
            <w:tcW w:w="0" w:type="auto"/>
            <w:hideMark/>
          </w:tcPr>
          <w:p w14:paraId="360D0037"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BCE0889"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Average Annual Government Investment (USD)</w:t>
            </w:r>
          </w:p>
        </w:tc>
        <w:tc>
          <w:tcPr>
            <w:tcW w:w="0" w:type="auto"/>
            <w:hideMark/>
          </w:tcPr>
          <w:p w14:paraId="1A2A3F59"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 of GDP Allocated to Health Marketing</w:t>
            </w:r>
          </w:p>
        </w:tc>
        <w:tc>
          <w:tcPr>
            <w:tcW w:w="0" w:type="auto"/>
            <w:hideMark/>
          </w:tcPr>
          <w:p w14:paraId="61CCE90F"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Top Health Campaigns Supported</w:t>
            </w:r>
          </w:p>
        </w:tc>
      </w:tr>
      <w:tr w:rsidR="007E3046" w:rsidRPr="007E3046" w14:paraId="2ABBD0BD" w14:textId="77777777" w:rsidTr="007E3046">
        <w:tc>
          <w:tcPr>
            <w:tcW w:w="0" w:type="auto"/>
            <w:hideMark/>
          </w:tcPr>
          <w:p w14:paraId="1A3F9FD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15E4E982"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$568 million</w:t>
            </w:r>
          </w:p>
        </w:tc>
        <w:tc>
          <w:tcPr>
            <w:tcW w:w="0" w:type="auto"/>
            <w:hideMark/>
          </w:tcPr>
          <w:p w14:paraId="09DEDC3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0.68%</w:t>
            </w:r>
          </w:p>
        </w:tc>
        <w:tc>
          <w:tcPr>
            <w:tcW w:w="0" w:type="auto"/>
            <w:hideMark/>
          </w:tcPr>
          <w:p w14:paraId="45B42352"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Vaccination, Obesity, Smoking Cessation</w:t>
            </w:r>
          </w:p>
        </w:tc>
      </w:tr>
      <w:tr w:rsidR="007E3046" w:rsidRPr="007E3046" w14:paraId="0AFC70A7" w14:textId="77777777" w:rsidTr="007E3046">
        <w:tc>
          <w:tcPr>
            <w:tcW w:w="0" w:type="auto"/>
            <w:hideMark/>
          </w:tcPr>
          <w:p w14:paraId="0243B53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7A8C78B7"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$128 million</w:t>
            </w:r>
          </w:p>
        </w:tc>
        <w:tc>
          <w:tcPr>
            <w:tcW w:w="0" w:type="auto"/>
            <w:hideMark/>
          </w:tcPr>
          <w:p w14:paraId="79FFEDFB"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0.42%</w:t>
            </w:r>
          </w:p>
        </w:tc>
        <w:tc>
          <w:tcPr>
            <w:tcW w:w="0" w:type="auto"/>
            <w:hideMark/>
          </w:tcPr>
          <w:p w14:paraId="6A599D82"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Maternal Health, Malaria Prevention</w:t>
            </w:r>
          </w:p>
        </w:tc>
      </w:tr>
      <w:tr w:rsidR="007E3046" w:rsidRPr="007E3046" w14:paraId="41B2578A" w14:textId="77777777" w:rsidTr="007E3046">
        <w:tc>
          <w:tcPr>
            <w:tcW w:w="0" w:type="auto"/>
            <w:hideMark/>
          </w:tcPr>
          <w:p w14:paraId="117A63C7"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1F528A1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$16 million</w:t>
            </w:r>
          </w:p>
        </w:tc>
        <w:tc>
          <w:tcPr>
            <w:tcW w:w="0" w:type="auto"/>
            <w:hideMark/>
          </w:tcPr>
          <w:p w14:paraId="3C890C38"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0.12%</w:t>
            </w:r>
          </w:p>
        </w:tc>
        <w:tc>
          <w:tcPr>
            <w:tcW w:w="0" w:type="auto"/>
            <w:hideMark/>
          </w:tcPr>
          <w:p w14:paraId="70A6951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Hygiene Education, Clean Water</w:t>
            </w:r>
          </w:p>
        </w:tc>
      </w:tr>
    </w:tbl>
    <w:p w14:paraId="48DC33B7" w14:textId="77777777" w:rsidR="007E3046" w:rsidRPr="007E3046" w:rsidRDefault="007E3046" w:rsidP="00342805">
      <w:pPr>
        <w:spacing w:before="240" w:line="240" w:lineRule="auto"/>
        <w:jc w:val="both"/>
        <w:rPr>
          <w:rFonts w:ascii="Times New Roman" w:hAnsi="Times New Roman" w:cs="Times New Roman"/>
          <w:sz w:val="24"/>
          <w:szCs w:val="24"/>
        </w:rPr>
      </w:pPr>
      <w:r w:rsidRPr="007E3046">
        <w:rPr>
          <w:rFonts w:ascii="Times New Roman" w:hAnsi="Times New Roman" w:cs="Times New Roman"/>
          <w:b/>
          <w:bCs/>
          <w:sz w:val="24"/>
          <w:szCs w:val="24"/>
        </w:rPr>
        <w:t>Source:</w:t>
      </w:r>
      <w:r w:rsidRPr="007E3046">
        <w:rPr>
          <w:rFonts w:ascii="Times New Roman" w:hAnsi="Times New Roman" w:cs="Times New Roman"/>
          <w:sz w:val="24"/>
          <w:szCs w:val="24"/>
        </w:rPr>
        <w:t xml:space="preserve"> World Health Organization (WHO) Global Health Financing Report (2023)</w:t>
      </w:r>
    </w:p>
    <w:p w14:paraId="3663F7EC" w14:textId="77777777" w:rsidR="00B573DF" w:rsidRDefault="00B573DF"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703C4DB4" wp14:editId="113363C5">
            <wp:extent cx="5465135" cy="3253563"/>
            <wp:effectExtent l="0" t="0" r="2540" b="4445"/>
            <wp:docPr id="1057578807" name="Chart 1">
              <a:extLst xmlns:a="http://schemas.openxmlformats.org/drawingml/2006/main">
                <a:ext uri="{FF2B5EF4-FFF2-40B4-BE49-F238E27FC236}">
                  <a16:creationId xmlns:a16="http://schemas.microsoft.com/office/drawing/2014/main" id="{89C722B2-533B-3C0F-7510-C5D001427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DB4A08" w14:textId="77777777" w:rsidR="00E62C7C" w:rsidRPr="00E62C7C" w:rsidRDefault="00FF5763" w:rsidP="00342805">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Fig 1-</w:t>
      </w:r>
      <w:r w:rsidR="00E62C7C">
        <w:rPr>
          <w:rFonts w:ascii="Times New Roman" w:hAnsi="Times New Roman" w:cs="Times New Roman"/>
          <w:sz w:val="24"/>
          <w:szCs w:val="24"/>
        </w:rPr>
        <w:t xml:space="preserve"> </w:t>
      </w:r>
      <w:r w:rsidR="00E62C7C" w:rsidRPr="00E62C7C">
        <w:rPr>
          <w:rFonts w:ascii="Times New Roman" w:hAnsi="Times New Roman" w:cs="Times New Roman"/>
          <w:sz w:val="24"/>
          <w:szCs w:val="24"/>
        </w:rPr>
        <w:t xml:space="preserve">Global Distribution of Government Investment in Health Marketing (USD </w:t>
      </w:r>
    </w:p>
    <w:p w14:paraId="1FF8E9B4"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As shown in </w:t>
      </w:r>
      <w:r w:rsidRPr="0075544E">
        <w:rPr>
          <w:rFonts w:ascii="Times New Roman" w:hAnsi="Times New Roman" w:cs="Times New Roman"/>
          <w:b/>
          <w:bCs/>
          <w:sz w:val="24"/>
          <w:szCs w:val="24"/>
        </w:rPr>
        <w:t>Table 1</w:t>
      </w:r>
      <w:r w:rsidRPr="0075544E">
        <w:rPr>
          <w:rFonts w:ascii="Times New Roman" w:hAnsi="Times New Roman" w:cs="Times New Roman"/>
          <w:sz w:val="24"/>
          <w:szCs w:val="24"/>
        </w:rPr>
        <w:t>, developed countries allocate substantially more financial resources to health marketing than developing and underdeveloped countries. Developed countries report average annual government investment of USD 568 million and 0.68% of GDP allocated to health marketing, while the corresponding figures fall to USD 128 million and 0.42% in developing countries, and to USD 16 million and 0.12% in underdeveloped countries (WHO, 2023). This gap demonstrates that stronger public financing supports more extensive and diversified health communication systems. It also helps explain why developed countries are better positioned to run large-scale campaigns around vaccination, smoking cessation, and obesity, whereas underdeveloped countries remain concentrated on basic public health priorities such as hygiene and clean water.</w:t>
      </w:r>
    </w:p>
    <w:p w14:paraId="7F94B6E8" w14:textId="074DF1EA"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2. Internet and Mobile Health Technology Penetration</w:t>
      </w:r>
    </w:p>
    <w:tbl>
      <w:tblPr>
        <w:tblStyle w:val="TableGrid"/>
        <w:tblW w:w="0" w:type="auto"/>
        <w:tblLook w:val="04A0" w:firstRow="1" w:lastRow="0" w:firstColumn="1" w:lastColumn="0" w:noHBand="0" w:noVBand="1"/>
      </w:tblPr>
      <w:tblGrid>
        <w:gridCol w:w="2052"/>
        <w:gridCol w:w="1757"/>
        <w:gridCol w:w="1532"/>
        <w:gridCol w:w="1837"/>
        <w:gridCol w:w="1838"/>
      </w:tblGrid>
      <w:tr w:rsidR="007E3046" w:rsidRPr="007E3046" w14:paraId="24BC7B57" w14:textId="77777777" w:rsidTr="007E3046">
        <w:tc>
          <w:tcPr>
            <w:tcW w:w="0" w:type="auto"/>
            <w:hideMark/>
          </w:tcPr>
          <w:p w14:paraId="0739D107"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5014BF00"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Internet Penetration (%)</w:t>
            </w:r>
          </w:p>
        </w:tc>
        <w:tc>
          <w:tcPr>
            <w:tcW w:w="0" w:type="auto"/>
            <w:hideMark/>
          </w:tcPr>
          <w:p w14:paraId="46F04B73"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Mobile Health App Usage (%)</w:t>
            </w:r>
          </w:p>
        </w:tc>
        <w:tc>
          <w:tcPr>
            <w:tcW w:w="0" w:type="auto"/>
            <w:hideMark/>
          </w:tcPr>
          <w:p w14:paraId="0B8B5C90"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Mobile Phone Ownership (%)</w:t>
            </w:r>
          </w:p>
        </w:tc>
        <w:tc>
          <w:tcPr>
            <w:tcW w:w="0" w:type="auto"/>
            <w:hideMark/>
          </w:tcPr>
          <w:p w14:paraId="7C6AB55C"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Telemedicine Usage (%)</w:t>
            </w:r>
          </w:p>
        </w:tc>
      </w:tr>
      <w:tr w:rsidR="007E3046" w:rsidRPr="007E3046" w14:paraId="327455AD" w14:textId="77777777" w:rsidTr="007E3046">
        <w:tc>
          <w:tcPr>
            <w:tcW w:w="0" w:type="auto"/>
            <w:hideMark/>
          </w:tcPr>
          <w:p w14:paraId="6DD48840"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0D7C02A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92.6%</w:t>
            </w:r>
          </w:p>
        </w:tc>
        <w:tc>
          <w:tcPr>
            <w:tcW w:w="0" w:type="auto"/>
            <w:hideMark/>
          </w:tcPr>
          <w:p w14:paraId="697F716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75.4%</w:t>
            </w:r>
          </w:p>
        </w:tc>
        <w:tc>
          <w:tcPr>
            <w:tcW w:w="0" w:type="auto"/>
            <w:hideMark/>
          </w:tcPr>
          <w:p w14:paraId="592E4BFE"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97.1%</w:t>
            </w:r>
          </w:p>
        </w:tc>
        <w:tc>
          <w:tcPr>
            <w:tcW w:w="0" w:type="auto"/>
            <w:hideMark/>
          </w:tcPr>
          <w:p w14:paraId="6026255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58.7%</w:t>
            </w:r>
          </w:p>
        </w:tc>
      </w:tr>
      <w:tr w:rsidR="007E3046" w:rsidRPr="007E3046" w14:paraId="0E31B9A2" w14:textId="77777777" w:rsidTr="007E3046">
        <w:tc>
          <w:tcPr>
            <w:tcW w:w="0" w:type="auto"/>
            <w:hideMark/>
          </w:tcPr>
          <w:p w14:paraId="34078F1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210A0708"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62.4%</w:t>
            </w:r>
          </w:p>
        </w:tc>
        <w:tc>
          <w:tcPr>
            <w:tcW w:w="0" w:type="auto"/>
            <w:hideMark/>
          </w:tcPr>
          <w:p w14:paraId="18BC79E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35.9%</w:t>
            </w:r>
          </w:p>
        </w:tc>
        <w:tc>
          <w:tcPr>
            <w:tcW w:w="0" w:type="auto"/>
            <w:hideMark/>
          </w:tcPr>
          <w:p w14:paraId="119E3F89"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85.2%</w:t>
            </w:r>
          </w:p>
        </w:tc>
        <w:tc>
          <w:tcPr>
            <w:tcW w:w="0" w:type="auto"/>
            <w:hideMark/>
          </w:tcPr>
          <w:p w14:paraId="7EF8145A"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22.3%</w:t>
            </w:r>
          </w:p>
        </w:tc>
      </w:tr>
      <w:tr w:rsidR="007E3046" w:rsidRPr="007E3046" w14:paraId="68D77589" w14:textId="77777777" w:rsidTr="007E3046">
        <w:tc>
          <w:tcPr>
            <w:tcW w:w="0" w:type="auto"/>
            <w:hideMark/>
          </w:tcPr>
          <w:p w14:paraId="24AB35E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57406FCE"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37.6%</w:t>
            </w:r>
          </w:p>
        </w:tc>
        <w:tc>
          <w:tcPr>
            <w:tcW w:w="0" w:type="auto"/>
            <w:hideMark/>
          </w:tcPr>
          <w:p w14:paraId="5E0E2034"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9.4%</w:t>
            </w:r>
          </w:p>
        </w:tc>
        <w:tc>
          <w:tcPr>
            <w:tcW w:w="0" w:type="auto"/>
            <w:hideMark/>
          </w:tcPr>
          <w:p w14:paraId="5EF65A15"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66.3%</w:t>
            </w:r>
          </w:p>
        </w:tc>
        <w:tc>
          <w:tcPr>
            <w:tcW w:w="0" w:type="auto"/>
            <w:hideMark/>
          </w:tcPr>
          <w:p w14:paraId="2BEAC6C0"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7.2%</w:t>
            </w:r>
          </w:p>
        </w:tc>
      </w:tr>
    </w:tbl>
    <w:p w14:paraId="3D336952" w14:textId="77777777" w:rsidR="002E3FE3"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International Telecommunication Union (ITU) ICT Development Report (2023</w:t>
      </w:r>
    </w:p>
    <w:p w14:paraId="5D6B70BE" w14:textId="77777777" w:rsidR="00B573DF" w:rsidRDefault="00B573DF"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65ADFEDC" wp14:editId="28651EAD">
            <wp:extent cx="5465135" cy="3147237"/>
            <wp:effectExtent l="0" t="0" r="2540" b="15240"/>
            <wp:docPr id="609192450" name="Chart 1">
              <a:extLst xmlns:a="http://schemas.openxmlformats.org/drawingml/2006/main">
                <a:ext uri="{FF2B5EF4-FFF2-40B4-BE49-F238E27FC236}">
                  <a16:creationId xmlns:a16="http://schemas.microsoft.com/office/drawing/2014/main" id="{EB7F8170-4EDB-AD22-7813-00CD6FC30F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4C4A09" w14:textId="401E591C" w:rsidR="005F4F4D" w:rsidRDefault="005F4F4D" w:rsidP="00342805">
      <w:pPr>
        <w:spacing w:before="240" w:line="240" w:lineRule="auto"/>
        <w:jc w:val="both"/>
        <w:rPr>
          <w:rFonts w:ascii="Times New Roman" w:hAnsi="Times New Roman" w:cs="Times New Roman"/>
          <w:sz w:val="24"/>
          <w:szCs w:val="24"/>
        </w:rPr>
      </w:pPr>
      <w:r w:rsidRPr="005F4F4D">
        <w:rPr>
          <w:rFonts w:ascii="Times New Roman" w:hAnsi="Times New Roman" w:cs="Times New Roman"/>
          <w:sz w:val="24"/>
          <w:szCs w:val="24"/>
        </w:rPr>
        <w:t>Fig</w:t>
      </w:r>
      <w:r>
        <w:rPr>
          <w:rFonts w:ascii="Times New Roman" w:hAnsi="Times New Roman" w:cs="Times New Roman"/>
          <w:sz w:val="24"/>
          <w:szCs w:val="24"/>
        </w:rPr>
        <w:t xml:space="preserve"> 2-</w:t>
      </w:r>
      <w:r w:rsidR="00462F26">
        <w:rPr>
          <w:rFonts w:ascii="Times New Roman" w:hAnsi="Times New Roman" w:cs="Times New Roman"/>
          <w:sz w:val="24"/>
          <w:szCs w:val="24"/>
        </w:rPr>
        <w:t xml:space="preserve"> </w:t>
      </w:r>
      <w:r w:rsidR="00462F26" w:rsidRPr="00462F26">
        <w:rPr>
          <w:rFonts w:ascii="Times New Roman" w:hAnsi="Times New Roman" w:cs="Times New Roman"/>
          <w:sz w:val="24"/>
          <w:szCs w:val="24"/>
        </w:rPr>
        <w:t>Global Distribution of Internet and Mobile Health Technology Penetration</w:t>
      </w:r>
    </w:p>
    <w:p w14:paraId="4EAD8726"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b/>
          <w:bCs/>
          <w:sz w:val="24"/>
          <w:szCs w:val="24"/>
        </w:rPr>
        <w:t>Table 2</w:t>
      </w:r>
      <w:r w:rsidRPr="0075544E">
        <w:rPr>
          <w:rFonts w:ascii="Times New Roman" w:hAnsi="Times New Roman" w:cs="Times New Roman"/>
          <w:sz w:val="24"/>
          <w:szCs w:val="24"/>
        </w:rPr>
        <w:t xml:space="preserve"> indicates that internet penetration, mobile health app usage, and telemedicine use are highest in developed countries and lowest in underdeveloped countries (ITU, 2023). This finding is important because digital health marketing depends not merely on device ownership but also on internet quality, usability, and institutional adoption. Developed countries report 92.6% internet penetration and 58.7% telemedicine usage, suggesting that digital channels are well integrated into health communication. In contrast, underdeveloped countries report only 37.6% internet penetration and 7.2% telemedicine use, which sharply limits the reach of app-based and platform-based health campaigns.</w:t>
      </w:r>
    </w:p>
    <w:p w14:paraId="6DC56675" w14:textId="54464BB7"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3. Mobile Health (mHealth) Campaigns Effectiveness</w:t>
      </w:r>
    </w:p>
    <w:tbl>
      <w:tblPr>
        <w:tblStyle w:val="TableGrid"/>
        <w:tblW w:w="0" w:type="auto"/>
        <w:tblLook w:val="04A0" w:firstRow="1" w:lastRow="0" w:firstColumn="1" w:lastColumn="0" w:noHBand="0" w:noVBand="1"/>
      </w:tblPr>
      <w:tblGrid>
        <w:gridCol w:w="2043"/>
        <w:gridCol w:w="1564"/>
        <w:gridCol w:w="1738"/>
        <w:gridCol w:w="1796"/>
        <w:gridCol w:w="1875"/>
      </w:tblGrid>
      <w:tr w:rsidR="007E3046" w:rsidRPr="007E3046" w14:paraId="57D36989" w14:textId="77777777" w:rsidTr="007E3046">
        <w:tc>
          <w:tcPr>
            <w:tcW w:w="0" w:type="auto"/>
            <w:hideMark/>
          </w:tcPr>
          <w:p w14:paraId="48F89A87"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044D08F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Campaign Reach (%)</w:t>
            </w:r>
          </w:p>
        </w:tc>
        <w:tc>
          <w:tcPr>
            <w:tcW w:w="0" w:type="auto"/>
            <w:hideMark/>
          </w:tcPr>
          <w:p w14:paraId="1A5E5A2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Engagement Rate (%)</w:t>
            </w:r>
          </w:p>
        </w:tc>
        <w:tc>
          <w:tcPr>
            <w:tcW w:w="0" w:type="auto"/>
            <w:hideMark/>
          </w:tcPr>
          <w:p w14:paraId="30B5634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Health Outcomes Improved (%)</w:t>
            </w:r>
          </w:p>
        </w:tc>
        <w:tc>
          <w:tcPr>
            <w:tcW w:w="0" w:type="auto"/>
            <w:hideMark/>
          </w:tcPr>
          <w:p w14:paraId="39ADB3B1"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Key Areas of Focus</w:t>
            </w:r>
          </w:p>
        </w:tc>
      </w:tr>
      <w:tr w:rsidR="007E3046" w:rsidRPr="007E3046" w14:paraId="2B915FB5" w14:textId="77777777" w:rsidTr="007E3046">
        <w:tc>
          <w:tcPr>
            <w:tcW w:w="0" w:type="auto"/>
            <w:hideMark/>
          </w:tcPr>
          <w:p w14:paraId="64849D9C"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4E9F58A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81.2%</w:t>
            </w:r>
          </w:p>
        </w:tc>
        <w:tc>
          <w:tcPr>
            <w:tcW w:w="0" w:type="auto"/>
            <w:hideMark/>
          </w:tcPr>
          <w:p w14:paraId="521865C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71.5%</w:t>
            </w:r>
          </w:p>
        </w:tc>
        <w:tc>
          <w:tcPr>
            <w:tcW w:w="0" w:type="auto"/>
            <w:hideMark/>
          </w:tcPr>
          <w:p w14:paraId="0D05EAE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47.3%</w:t>
            </w:r>
          </w:p>
        </w:tc>
        <w:tc>
          <w:tcPr>
            <w:tcW w:w="0" w:type="auto"/>
            <w:hideMark/>
          </w:tcPr>
          <w:p w14:paraId="37113E5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Chronic Disease, Obesity</w:t>
            </w:r>
          </w:p>
        </w:tc>
      </w:tr>
      <w:tr w:rsidR="007E3046" w:rsidRPr="007E3046" w14:paraId="70D45CCE" w14:textId="77777777" w:rsidTr="007E3046">
        <w:tc>
          <w:tcPr>
            <w:tcW w:w="0" w:type="auto"/>
            <w:hideMark/>
          </w:tcPr>
          <w:p w14:paraId="03115CE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4C25BB9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61.8%</w:t>
            </w:r>
          </w:p>
        </w:tc>
        <w:tc>
          <w:tcPr>
            <w:tcW w:w="0" w:type="auto"/>
            <w:hideMark/>
          </w:tcPr>
          <w:p w14:paraId="5E9AA07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55.6%</w:t>
            </w:r>
          </w:p>
        </w:tc>
        <w:tc>
          <w:tcPr>
            <w:tcW w:w="0" w:type="auto"/>
            <w:hideMark/>
          </w:tcPr>
          <w:p w14:paraId="6D0AFBC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22.9%</w:t>
            </w:r>
          </w:p>
        </w:tc>
        <w:tc>
          <w:tcPr>
            <w:tcW w:w="0" w:type="auto"/>
            <w:hideMark/>
          </w:tcPr>
          <w:p w14:paraId="596ACA0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Maternal Health, Malaria</w:t>
            </w:r>
          </w:p>
        </w:tc>
      </w:tr>
      <w:tr w:rsidR="007E3046" w:rsidRPr="007E3046" w14:paraId="015756E0" w14:textId="77777777" w:rsidTr="007E3046">
        <w:tc>
          <w:tcPr>
            <w:tcW w:w="0" w:type="auto"/>
            <w:hideMark/>
          </w:tcPr>
          <w:p w14:paraId="1DF93FE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7E1443B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43.7%</w:t>
            </w:r>
          </w:p>
        </w:tc>
        <w:tc>
          <w:tcPr>
            <w:tcW w:w="0" w:type="auto"/>
            <w:hideMark/>
          </w:tcPr>
          <w:p w14:paraId="6A76F7C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33.8%</w:t>
            </w:r>
          </w:p>
        </w:tc>
        <w:tc>
          <w:tcPr>
            <w:tcW w:w="0" w:type="auto"/>
            <w:hideMark/>
          </w:tcPr>
          <w:p w14:paraId="710BA88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12.4%</w:t>
            </w:r>
          </w:p>
        </w:tc>
        <w:tc>
          <w:tcPr>
            <w:tcW w:w="0" w:type="auto"/>
            <w:hideMark/>
          </w:tcPr>
          <w:p w14:paraId="674C9E0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Immunization, Hygiene</w:t>
            </w:r>
          </w:p>
        </w:tc>
      </w:tr>
    </w:tbl>
    <w:p w14:paraId="316FDE51" w14:textId="77777777" w:rsidR="0022116E"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Centers for Disease Control and Prevention (CDC) Health Campaign Effectiveness Study (2023)</w:t>
      </w:r>
    </w:p>
    <w:p w14:paraId="4DC71E35" w14:textId="77777777" w:rsidR="00B573DF" w:rsidRDefault="00B573DF"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31FC864A" wp14:editId="0722ADAF">
            <wp:extent cx="5677786" cy="3444949"/>
            <wp:effectExtent l="0" t="0" r="18415" b="3175"/>
            <wp:docPr id="64830316" name="Chart 1">
              <a:extLst xmlns:a="http://schemas.openxmlformats.org/drawingml/2006/main">
                <a:ext uri="{FF2B5EF4-FFF2-40B4-BE49-F238E27FC236}">
                  <a16:creationId xmlns:a16="http://schemas.microsoft.com/office/drawing/2014/main" id="{1A46A1FE-940D-2F64-9C79-E1E54D8D4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2133EE" w14:textId="1B33BF44" w:rsidR="005F4F4D" w:rsidRDefault="005F4F4D" w:rsidP="00342805">
      <w:pPr>
        <w:spacing w:before="240" w:line="240" w:lineRule="auto"/>
        <w:jc w:val="both"/>
        <w:rPr>
          <w:rFonts w:ascii="Times New Roman" w:hAnsi="Times New Roman" w:cs="Times New Roman"/>
          <w:sz w:val="24"/>
          <w:szCs w:val="24"/>
        </w:rPr>
      </w:pPr>
      <w:proofErr w:type="gramStart"/>
      <w:r w:rsidRPr="005F4F4D">
        <w:rPr>
          <w:rFonts w:ascii="Times New Roman" w:hAnsi="Times New Roman" w:cs="Times New Roman"/>
          <w:sz w:val="24"/>
          <w:szCs w:val="24"/>
        </w:rPr>
        <w:t xml:space="preserve">Fig </w:t>
      </w:r>
      <w:r>
        <w:rPr>
          <w:rFonts w:ascii="Times New Roman" w:hAnsi="Times New Roman" w:cs="Times New Roman"/>
          <w:sz w:val="24"/>
          <w:szCs w:val="24"/>
        </w:rPr>
        <w:t xml:space="preserve"> 3</w:t>
      </w:r>
      <w:proofErr w:type="gramEnd"/>
      <w:r>
        <w:rPr>
          <w:rFonts w:ascii="Times New Roman" w:hAnsi="Times New Roman" w:cs="Times New Roman"/>
          <w:sz w:val="24"/>
          <w:szCs w:val="24"/>
        </w:rPr>
        <w:t>-</w:t>
      </w:r>
      <w:r w:rsidR="00462F26">
        <w:rPr>
          <w:rFonts w:ascii="Times New Roman" w:hAnsi="Times New Roman" w:cs="Times New Roman"/>
          <w:sz w:val="24"/>
          <w:szCs w:val="24"/>
        </w:rPr>
        <w:t xml:space="preserve"> </w:t>
      </w:r>
      <w:r w:rsidR="00462F26" w:rsidRPr="00406402">
        <w:rPr>
          <w:rFonts w:ascii="Times New Roman" w:hAnsi="Times New Roman" w:cs="Times New Roman"/>
          <w:sz w:val="24"/>
          <w:szCs w:val="24"/>
        </w:rPr>
        <w:t xml:space="preserve">The effectiveness of mobile health (mHealth) campaigns </w:t>
      </w:r>
      <w:r w:rsidR="00462F26">
        <w:rPr>
          <w:rFonts w:ascii="Times New Roman" w:hAnsi="Times New Roman" w:cs="Times New Roman"/>
          <w:sz w:val="24"/>
          <w:szCs w:val="24"/>
        </w:rPr>
        <w:t xml:space="preserve"> </w:t>
      </w:r>
    </w:p>
    <w:p w14:paraId="47C7C04F"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data in </w:t>
      </w:r>
      <w:r w:rsidRPr="0075544E">
        <w:rPr>
          <w:rFonts w:ascii="Times New Roman" w:hAnsi="Times New Roman" w:cs="Times New Roman"/>
          <w:b/>
          <w:bCs/>
          <w:sz w:val="24"/>
          <w:szCs w:val="24"/>
        </w:rPr>
        <w:t>Table 3</w:t>
      </w:r>
      <w:r w:rsidRPr="0075544E">
        <w:rPr>
          <w:rFonts w:ascii="Times New Roman" w:hAnsi="Times New Roman" w:cs="Times New Roman"/>
          <w:sz w:val="24"/>
          <w:szCs w:val="24"/>
        </w:rPr>
        <w:t xml:space="preserve"> show that mHealth campaigns are most effective in developed countries, where campaign reach, engagement, and health outcomes are all higher than in the other two contexts (CDC, 2023). Campaign reach is 81.2% in developed countries compared with 61.8% in developing countries and 43.7% in underdeveloped countries. This pattern suggests that mHealth is most successful where it is supported by broader system readiness, including digital literacy, affordability, and health system integration. In lower-resource settings, mHealth remains useful, but its impact is moderated by weak infrastructure and lower user capability.</w:t>
      </w:r>
    </w:p>
    <w:p w14:paraId="6B103167" w14:textId="27D37DAE"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4. Digital Literacy Rate by Region</w:t>
      </w:r>
    </w:p>
    <w:tbl>
      <w:tblPr>
        <w:tblStyle w:val="TableGrid"/>
        <w:tblW w:w="0" w:type="auto"/>
        <w:tblLook w:val="04A0" w:firstRow="1" w:lastRow="0" w:firstColumn="1" w:lastColumn="0" w:noHBand="0" w:noVBand="1"/>
      </w:tblPr>
      <w:tblGrid>
        <w:gridCol w:w="2099"/>
        <w:gridCol w:w="1380"/>
        <w:gridCol w:w="1820"/>
        <w:gridCol w:w="1656"/>
        <w:gridCol w:w="2061"/>
      </w:tblGrid>
      <w:tr w:rsidR="007E3046" w:rsidRPr="007E3046" w14:paraId="01E51E00" w14:textId="77777777" w:rsidTr="007E3046">
        <w:tc>
          <w:tcPr>
            <w:tcW w:w="0" w:type="auto"/>
            <w:hideMark/>
          </w:tcPr>
          <w:p w14:paraId="67441C83"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3B06B8F6"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Literacy Rate (%)</w:t>
            </w:r>
          </w:p>
        </w:tc>
        <w:tc>
          <w:tcPr>
            <w:tcW w:w="0" w:type="auto"/>
            <w:hideMark/>
          </w:tcPr>
          <w:p w14:paraId="0BF29A60"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Mobile Health App Literacy (%)</w:t>
            </w:r>
          </w:p>
        </w:tc>
        <w:tc>
          <w:tcPr>
            <w:tcW w:w="0" w:type="auto"/>
            <w:hideMark/>
          </w:tcPr>
          <w:p w14:paraId="751902A7"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Digital Media Literacy (%)</w:t>
            </w:r>
          </w:p>
        </w:tc>
        <w:tc>
          <w:tcPr>
            <w:tcW w:w="0" w:type="auto"/>
            <w:hideMark/>
          </w:tcPr>
          <w:p w14:paraId="5B87C03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Barriers to Access &amp; Adoption</w:t>
            </w:r>
          </w:p>
        </w:tc>
      </w:tr>
      <w:tr w:rsidR="007E3046" w:rsidRPr="007E3046" w14:paraId="2E386AF3" w14:textId="77777777" w:rsidTr="007E3046">
        <w:tc>
          <w:tcPr>
            <w:tcW w:w="0" w:type="auto"/>
            <w:hideMark/>
          </w:tcPr>
          <w:p w14:paraId="4DBCA5B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592D39E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93.4%</w:t>
            </w:r>
          </w:p>
        </w:tc>
        <w:tc>
          <w:tcPr>
            <w:tcW w:w="0" w:type="auto"/>
            <w:hideMark/>
          </w:tcPr>
          <w:p w14:paraId="3713A2D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77.8%</w:t>
            </w:r>
          </w:p>
        </w:tc>
        <w:tc>
          <w:tcPr>
            <w:tcW w:w="0" w:type="auto"/>
            <w:hideMark/>
          </w:tcPr>
          <w:p w14:paraId="075B145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84.5%</w:t>
            </w:r>
          </w:p>
        </w:tc>
        <w:tc>
          <w:tcPr>
            <w:tcW w:w="0" w:type="auto"/>
            <w:hideMark/>
          </w:tcPr>
          <w:p w14:paraId="4C27CEE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Digital Divide, Elderly Users</w:t>
            </w:r>
          </w:p>
        </w:tc>
      </w:tr>
      <w:tr w:rsidR="007E3046" w:rsidRPr="007E3046" w14:paraId="66072CA6" w14:textId="77777777" w:rsidTr="007E3046">
        <w:tc>
          <w:tcPr>
            <w:tcW w:w="0" w:type="auto"/>
            <w:hideMark/>
          </w:tcPr>
          <w:p w14:paraId="456BC49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5262C12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65.9%</w:t>
            </w:r>
          </w:p>
        </w:tc>
        <w:tc>
          <w:tcPr>
            <w:tcW w:w="0" w:type="auto"/>
            <w:hideMark/>
          </w:tcPr>
          <w:p w14:paraId="3198FA9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52.4%</w:t>
            </w:r>
          </w:p>
        </w:tc>
        <w:tc>
          <w:tcPr>
            <w:tcW w:w="0" w:type="auto"/>
            <w:hideMark/>
          </w:tcPr>
          <w:p w14:paraId="54D3462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58.7%</w:t>
            </w:r>
          </w:p>
        </w:tc>
        <w:tc>
          <w:tcPr>
            <w:tcW w:w="0" w:type="auto"/>
            <w:hideMark/>
          </w:tcPr>
          <w:p w14:paraId="48364BC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Internet Access, Education</w:t>
            </w:r>
          </w:p>
        </w:tc>
      </w:tr>
      <w:tr w:rsidR="007E3046" w:rsidRPr="007E3046" w14:paraId="3EED7557" w14:textId="77777777" w:rsidTr="007E3046">
        <w:tc>
          <w:tcPr>
            <w:tcW w:w="0" w:type="auto"/>
            <w:hideMark/>
          </w:tcPr>
          <w:p w14:paraId="3C48BE1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4DB12D6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43.1%</w:t>
            </w:r>
          </w:p>
        </w:tc>
        <w:tc>
          <w:tcPr>
            <w:tcW w:w="0" w:type="auto"/>
            <w:hideMark/>
          </w:tcPr>
          <w:p w14:paraId="2127B95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19.3%</w:t>
            </w:r>
          </w:p>
        </w:tc>
        <w:tc>
          <w:tcPr>
            <w:tcW w:w="0" w:type="auto"/>
            <w:hideMark/>
          </w:tcPr>
          <w:p w14:paraId="0BFDE7D2"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32.4%</w:t>
            </w:r>
          </w:p>
        </w:tc>
        <w:tc>
          <w:tcPr>
            <w:tcW w:w="0" w:type="auto"/>
            <w:hideMark/>
          </w:tcPr>
          <w:p w14:paraId="26B3130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Poverty, Lack of Infrastructure</w:t>
            </w:r>
          </w:p>
        </w:tc>
      </w:tr>
    </w:tbl>
    <w:p w14:paraId="36BB723B" w14:textId="5E1D4AB6"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UNESCO Institute for Statistics (UIS) Global Literacy Report (2023)</w:t>
      </w:r>
    </w:p>
    <w:p w14:paraId="556C6325" w14:textId="77777777" w:rsidR="00342805" w:rsidRDefault="00342805"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214F896D" wp14:editId="1321F4E4">
            <wp:extent cx="5699051" cy="3551274"/>
            <wp:effectExtent l="0" t="0" r="16510" b="11430"/>
            <wp:docPr id="1872437530" name="Chart 1">
              <a:extLst xmlns:a="http://schemas.openxmlformats.org/drawingml/2006/main">
                <a:ext uri="{FF2B5EF4-FFF2-40B4-BE49-F238E27FC236}">
                  <a16:creationId xmlns:a16="http://schemas.microsoft.com/office/drawing/2014/main" id="{C6BA3964-7FCF-BE2C-AF83-94ADDC3A2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B5E289" w14:textId="07373471" w:rsidR="00462F26" w:rsidRPr="00462F26" w:rsidRDefault="006D47C7" w:rsidP="00462F26">
      <w:pPr>
        <w:spacing w:before="240" w:line="240" w:lineRule="auto"/>
        <w:jc w:val="both"/>
        <w:rPr>
          <w:rFonts w:ascii="Times New Roman" w:hAnsi="Times New Roman" w:cs="Times New Roman"/>
          <w:sz w:val="24"/>
          <w:szCs w:val="24"/>
        </w:rPr>
      </w:pPr>
      <w:proofErr w:type="gramStart"/>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4</w:t>
      </w:r>
      <w:proofErr w:type="gramEnd"/>
      <w:r>
        <w:rPr>
          <w:rFonts w:ascii="Times New Roman" w:hAnsi="Times New Roman" w:cs="Times New Roman"/>
          <w:sz w:val="24"/>
          <w:szCs w:val="24"/>
        </w:rPr>
        <w:t>-</w:t>
      </w:r>
      <w:r w:rsidR="00462F26">
        <w:rPr>
          <w:rFonts w:ascii="Times New Roman" w:hAnsi="Times New Roman" w:cs="Times New Roman"/>
          <w:sz w:val="24"/>
          <w:szCs w:val="24"/>
        </w:rPr>
        <w:t xml:space="preserve"> </w:t>
      </w:r>
      <w:r w:rsidR="00462F26" w:rsidRPr="00462F26">
        <w:rPr>
          <w:rFonts w:ascii="Times New Roman" w:hAnsi="Times New Roman" w:cs="Times New Roman"/>
          <w:sz w:val="24"/>
          <w:szCs w:val="24"/>
        </w:rPr>
        <w:t xml:space="preserve">Regional Distribution of Digital Literacy Rate </w:t>
      </w:r>
    </w:p>
    <w:p w14:paraId="19C1A807"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b/>
          <w:bCs/>
          <w:sz w:val="24"/>
          <w:szCs w:val="24"/>
        </w:rPr>
        <w:t>Table 4</w:t>
      </w:r>
      <w:r w:rsidRPr="0075544E">
        <w:rPr>
          <w:rFonts w:ascii="Times New Roman" w:hAnsi="Times New Roman" w:cs="Times New Roman"/>
          <w:sz w:val="24"/>
          <w:szCs w:val="24"/>
        </w:rPr>
        <w:t xml:space="preserve"> highlights that both literacy and digital literacy differ sharply across the three country groups (UNESCO, 2023). Developed countries report high literacy and high app-related digital literacy, which strengthens public engagement with digital campaigns. Developing countries occupy an intermediate position, while underdeveloped countries face significantly lower literacy and digital readiness. This finding is critical because health communication may fail not because messages are absent, but because audiences lack the educational and technological capacity to interpret and act on them effectively.</w:t>
      </w:r>
    </w:p>
    <w:p w14:paraId="15C8B044" w14:textId="778939A6"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5. Government Health Campaign Reach by Medium</w:t>
      </w:r>
    </w:p>
    <w:tbl>
      <w:tblPr>
        <w:tblStyle w:val="TableGrid"/>
        <w:tblW w:w="0" w:type="auto"/>
        <w:tblLook w:val="04A0" w:firstRow="1" w:lastRow="0" w:firstColumn="1" w:lastColumn="0" w:noHBand="0" w:noVBand="1"/>
      </w:tblPr>
      <w:tblGrid>
        <w:gridCol w:w="2122"/>
        <w:gridCol w:w="1234"/>
        <w:gridCol w:w="982"/>
        <w:gridCol w:w="1208"/>
        <w:gridCol w:w="1776"/>
        <w:gridCol w:w="1694"/>
      </w:tblGrid>
      <w:tr w:rsidR="007E3046" w:rsidRPr="007E3046" w14:paraId="003BA83A" w14:textId="77777777" w:rsidTr="007E3046">
        <w:tc>
          <w:tcPr>
            <w:tcW w:w="0" w:type="auto"/>
            <w:hideMark/>
          </w:tcPr>
          <w:p w14:paraId="4F1EE723"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6F95F9A9"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Social Media (%)</w:t>
            </w:r>
          </w:p>
        </w:tc>
        <w:tc>
          <w:tcPr>
            <w:tcW w:w="0" w:type="auto"/>
            <w:hideMark/>
          </w:tcPr>
          <w:p w14:paraId="6797C154"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Radio (%)</w:t>
            </w:r>
          </w:p>
        </w:tc>
        <w:tc>
          <w:tcPr>
            <w:tcW w:w="0" w:type="auto"/>
            <w:hideMark/>
          </w:tcPr>
          <w:p w14:paraId="43E093F3"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Print Media (%)</w:t>
            </w:r>
          </w:p>
        </w:tc>
        <w:tc>
          <w:tcPr>
            <w:tcW w:w="0" w:type="auto"/>
            <w:hideMark/>
          </w:tcPr>
          <w:p w14:paraId="1998A25A"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Face-to-Face Outreach (%)</w:t>
            </w:r>
          </w:p>
        </w:tc>
        <w:tc>
          <w:tcPr>
            <w:tcW w:w="0" w:type="auto"/>
            <w:hideMark/>
          </w:tcPr>
          <w:p w14:paraId="0F991EB4"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Mobile Messaging (%)</w:t>
            </w:r>
          </w:p>
        </w:tc>
      </w:tr>
      <w:tr w:rsidR="007E3046" w:rsidRPr="007E3046" w14:paraId="3A413D04" w14:textId="77777777" w:rsidTr="007E3046">
        <w:tc>
          <w:tcPr>
            <w:tcW w:w="0" w:type="auto"/>
            <w:hideMark/>
          </w:tcPr>
          <w:p w14:paraId="0BB15B77"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2E0EA605"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64.7%</w:t>
            </w:r>
          </w:p>
        </w:tc>
        <w:tc>
          <w:tcPr>
            <w:tcW w:w="0" w:type="auto"/>
            <w:hideMark/>
          </w:tcPr>
          <w:p w14:paraId="0303E21B"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14.9%</w:t>
            </w:r>
          </w:p>
        </w:tc>
        <w:tc>
          <w:tcPr>
            <w:tcW w:w="0" w:type="auto"/>
            <w:hideMark/>
          </w:tcPr>
          <w:p w14:paraId="4705D74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6.8%</w:t>
            </w:r>
          </w:p>
        </w:tc>
        <w:tc>
          <w:tcPr>
            <w:tcW w:w="0" w:type="auto"/>
            <w:hideMark/>
          </w:tcPr>
          <w:p w14:paraId="46216A9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12.4%</w:t>
            </w:r>
          </w:p>
        </w:tc>
        <w:tc>
          <w:tcPr>
            <w:tcW w:w="0" w:type="auto"/>
            <w:hideMark/>
          </w:tcPr>
          <w:p w14:paraId="0B042D0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42.1%</w:t>
            </w:r>
          </w:p>
        </w:tc>
      </w:tr>
      <w:tr w:rsidR="007E3046" w:rsidRPr="007E3046" w14:paraId="674EADC2" w14:textId="77777777" w:rsidTr="007E3046">
        <w:tc>
          <w:tcPr>
            <w:tcW w:w="0" w:type="auto"/>
            <w:hideMark/>
          </w:tcPr>
          <w:p w14:paraId="73CE8E81"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563DD2B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38.2%</w:t>
            </w:r>
          </w:p>
        </w:tc>
        <w:tc>
          <w:tcPr>
            <w:tcW w:w="0" w:type="auto"/>
            <w:hideMark/>
          </w:tcPr>
          <w:p w14:paraId="1CC98708"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48.5%</w:t>
            </w:r>
          </w:p>
        </w:tc>
        <w:tc>
          <w:tcPr>
            <w:tcW w:w="0" w:type="auto"/>
            <w:hideMark/>
          </w:tcPr>
          <w:p w14:paraId="7A4DFB7E"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23.7%</w:t>
            </w:r>
          </w:p>
        </w:tc>
        <w:tc>
          <w:tcPr>
            <w:tcW w:w="0" w:type="auto"/>
            <w:hideMark/>
          </w:tcPr>
          <w:p w14:paraId="1CB61CD1"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33.4%</w:t>
            </w:r>
          </w:p>
        </w:tc>
        <w:tc>
          <w:tcPr>
            <w:tcW w:w="0" w:type="auto"/>
            <w:hideMark/>
          </w:tcPr>
          <w:p w14:paraId="117C4423"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26.6%</w:t>
            </w:r>
          </w:p>
        </w:tc>
      </w:tr>
      <w:tr w:rsidR="007E3046" w:rsidRPr="007E3046" w14:paraId="2AA877DD" w14:textId="77777777" w:rsidTr="007E3046">
        <w:tc>
          <w:tcPr>
            <w:tcW w:w="0" w:type="auto"/>
            <w:hideMark/>
          </w:tcPr>
          <w:p w14:paraId="506CCA69"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789DFD4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7.9%</w:t>
            </w:r>
          </w:p>
        </w:tc>
        <w:tc>
          <w:tcPr>
            <w:tcW w:w="0" w:type="auto"/>
            <w:hideMark/>
          </w:tcPr>
          <w:p w14:paraId="600B6709"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54.2%</w:t>
            </w:r>
          </w:p>
        </w:tc>
        <w:tc>
          <w:tcPr>
            <w:tcW w:w="0" w:type="auto"/>
            <w:hideMark/>
          </w:tcPr>
          <w:p w14:paraId="307CAC0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35.1%</w:t>
            </w:r>
          </w:p>
        </w:tc>
        <w:tc>
          <w:tcPr>
            <w:tcW w:w="0" w:type="auto"/>
            <w:hideMark/>
          </w:tcPr>
          <w:p w14:paraId="39E111CA"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46.5%</w:t>
            </w:r>
          </w:p>
        </w:tc>
        <w:tc>
          <w:tcPr>
            <w:tcW w:w="0" w:type="auto"/>
            <w:hideMark/>
          </w:tcPr>
          <w:p w14:paraId="0A744C8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9.6%</w:t>
            </w:r>
          </w:p>
        </w:tc>
      </w:tr>
    </w:tbl>
    <w:p w14:paraId="1C0B2231" w14:textId="7DBE187D"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Global Health Communication Network (GHCN) Annual Report (2023)</w:t>
      </w:r>
    </w:p>
    <w:p w14:paraId="4AF01EE9" w14:textId="77777777" w:rsidR="00342805" w:rsidRDefault="00342805"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1E768B50" wp14:editId="67FB9C32">
            <wp:extent cx="5507665" cy="3168502"/>
            <wp:effectExtent l="0" t="0" r="17145" b="13335"/>
            <wp:docPr id="2104816191" name="Chart 1">
              <a:extLst xmlns:a="http://schemas.openxmlformats.org/drawingml/2006/main">
                <a:ext uri="{FF2B5EF4-FFF2-40B4-BE49-F238E27FC236}">
                  <a16:creationId xmlns:a16="http://schemas.microsoft.com/office/drawing/2014/main" id="{FBAC9E12-5551-8F35-C198-EED057F09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45DBE0" w14:textId="5700CBC5" w:rsidR="00462F26" w:rsidRDefault="006D47C7" w:rsidP="00462F26">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5-</w:t>
      </w:r>
      <w:r w:rsidR="00462F26">
        <w:rPr>
          <w:rFonts w:ascii="Times New Roman" w:hAnsi="Times New Roman" w:cs="Times New Roman"/>
          <w:sz w:val="24"/>
          <w:szCs w:val="24"/>
        </w:rPr>
        <w:t xml:space="preserve"> Distribution of </w:t>
      </w:r>
      <w:r w:rsidR="00462F26" w:rsidRPr="00462F26">
        <w:rPr>
          <w:rFonts w:ascii="Times New Roman" w:hAnsi="Times New Roman" w:cs="Times New Roman"/>
          <w:sz w:val="24"/>
          <w:szCs w:val="24"/>
        </w:rPr>
        <w:t>Health Campaign Medium</w:t>
      </w:r>
      <w:r w:rsidR="00462F26">
        <w:rPr>
          <w:rFonts w:ascii="Times New Roman" w:hAnsi="Times New Roman" w:cs="Times New Roman"/>
          <w:sz w:val="24"/>
          <w:szCs w:val="24"/>
        </w:rPr>
        <w:t xml:space="preserve"> </w:t>
      </w:r>
      <w:r w:rsidR="00462F26" w:rsidRPr="00462F26">
        <w:rPr>
          <w:rFonts w:ascii="Times New Roman" w:hAnsi="Times New Roman" w:cs="Times New Roman"/>
          <w:sz w:val="24"/>
          <w:szCs w:val="24"/>
        </w:rPr>
        <w:t>Reach</w:t>
      </w:r>
      <w:r w:rsidR="00462F26">
        <w:rPr>
          <w:rFonts w:ascii="Times New Roman" w:hAnsi="Times New Roman" w:cs="Times New Roman"/>
          <w:sz w:val="24"/>
          <w:szCs w:val="24"/>
        </w:rPr>
        <w:t xml:space="preserve"> by </w:t>
      </w:r>
      <w:r w:rsidR="00462F26" w:rsidRPr="00462F26">
        <w:rPr>
          <w:rFonts w:ascii="Times New Roman" w:hAnsi="Times New Roman" w:cs="Times New Roman"/>
          <w:sz w:val="24"/>
          <w:szCs w:val="24"/>
        </w:rPr>
        <w:t>Government</w:t>
      </w:r>
    </w:p>
    <w:p w14:paraId="20AE219D"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communication-channel comparison in </w:t>
      </w:r>
      <w:r w:rsidRPr="0075544E">
        <w:rPr>
          <w:rFonts w:ascii="Times New Roman" w:hAnsi="Times New Roman" w:cs="Times New Roman"/>
          <w:b/>
          <w:bCs/>
          <w:sz w:val="24"/>
          <w:szCs w:val="24"/>
        </w:rPr>
        <w:t>Table 5</w:t>
      </w:r>
      <w:r w:rsidRPr="0075544E">
        <w:rPr>
          <w:rFonts w:ascii="Times New Roman" w:hAnsi="Times New Roman" w:cs="Times New Roman"/>
          <w:sz w:val="24"/>
          <w:szCs w:val="24"/>
        </w:rPr>
        <w:t xml:space="preserve"> reveals one of the clearest structural differences in global health marketing. Developed countries rely most heavily on social media, while developing and underdeveloped countries depend more strongly on radio, face-to-face outreach, and other traditional channels (GHCN, 2023). This confirms that communication medium must align with audience accessibility. In lower-resource settings, traditional and interpersonal methods remain indispensable rather than outdated. Mobile messaging also has value, but its effectiveness depends on literacy, network access, and device availability.</w:t>
      </w:r>
    </w:p>
    <w:p w14:paraId="0A14D5B6" w14:textId="66759368"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6. Health Behavior Change Indicators Post-Campaign</w:t>
      </w:r>
    </w:p>
    <w:tbl>
      <w:tblPr>
        <w:tblStyle w:val="TableGrid"/>
        <w:tblW w:w="0" w:type="auto"/>
        <w:tblLook w:val="04A0" w:firstRow="1" w:lastRow="0" w:firstColumn="1" w:lastColumn="0" w:noHBand="0" w:noVBand="1"/>
      </w:tblPr>
      <w:tblGrid>
        <w:gridCol w:w="2183"/>
        <w:gridCol w:w="2292"/>
        <w:gridCol w:w="2324"/>
        <w:gridCol w:w="2217"/>
      </w:tblGrid>
      <w:tr w:rsidR="007E3046" w:rsidRPr="007E3046" w14:paraId="0E6C6DC8" w14:textId="77777777" w:rsidTr="007E3046">
        <w:tc>
          <w:tcPr>
            <w:tcW w:w="0" w:type="auto"/>
            <w:hideMark/>
          </w:tcPr>
          <w:p w14:paraId="5C576D7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10FAA4D"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Pre-Campaign Health Behavior (%)</w:t>
            </w:r>
          </w:p>
        </w:tc>
        <w:tc>
          <w:tcPr>
            <w:tcW w:w="0" w:type="auto"/>
            <w:hideMark/>
          </w:tcPr>
          <w:p w14:paraId="710522A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Post-Campaign Health Behavior (%)</w:t>
            </w:r>
          </w:p>
        </w:tc>
        <w:tc>
          <w:tcPr>
            <w:tcW w:w="0" w:type="auto"/>
            <w:hideMark/>
          </w:tcPr>
          <w:p w14:paraId="6D0FB3A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Key Indicators of Change</w:t>
            </w:r>
          </w:p>
        </w:tc>
      </w:tr>
      <w:tr w:rsidR="007E3046" w:rsidRPr="007E3046" w14:paraId="00A2C3DA" w14:textId="77777777" w:rsidTr="007E3046">
        <w:tc>
          <w:tcPr>
            <w:tcW w:w="0" w:type="auto"/>
            <w:hideMark/>
          </w:tcPr>
          <w:p w14:paraId="70BC503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035E67E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48.3%</w:t>
            </w:r>
          </w:p>
        </w:tc>
        <w:tc>
          <w:tcPr>
            <w:tcW w:w="0" w:type="auto"/>
            <w:hideMark/>
          </w:tcPr>
          <w:p w14:paraId="57C4268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72.5%</w:t>
            </w:r>
          </w:p>
        </w:tc>
        <w:tc>
          <w:tcPr>
            <w:tcW w:w="0" w:type="auto"/>
            <w:hideMark/>
          </w:tcPr>
          <w:p w14:paraId="1B07430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Smoking cessation, Vaccination</w:t>
            </w:r>
          </w:p>
        </w:tc>
      </w:tr>
      <w:tr w:rsidR="007E3046" w:rsidRPr="007E3046" w14:paraId="7CE1F389" w14:textId="77777777" w:rsidTr="007E3046">
        <w:tc>
          <w:tcPr>
            <w:tcW w:w="0" w:type="auto"/>
            <w:hideMark/>
          </w:tcPr>
          <w:p w14:paraId="7F403C0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5E4C2E2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29.6%</w:t>
            </w:r>
          </w:p>
        </w:tc>
        <w:tc>
          <w:tcPr>
            <w:tcW w:w="0" w:type="auto"/>
            <w:hideMark/>
          </w:tcPr>
          <w:p w14:paraId="2B93E13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52.9%</w:t>
            </w:r>
          </w:p>
        </w:tc>
        <w:tc>
          <w:tcPr>
            <w:tcW w:w="0" w:type="auto"/>
            <w:hideMark/>
          </w:tcPr>
          <w:p w14:paraId="6334D52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Maternal Health, Malaria</w:t>
            </w:r>
          </w:p>
        </w:tc>
      </w:tr>
      <w:tr w:rsidR="007E3046" w:rsidRPr="007E3046" w14:paraId="303E59DB" w14:textId="77777777" w:rsidTr="007E3046">
        <w:tc>
          <w:tcPr>
            <w:tcW w:w="0" w:type="auto"/>
            <w:hideMark/>
          </w:tcPr>
          <w:p w14:paraId="0348BBB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1856398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14.7%</w:t>
            </w:r>
          </w:p>
        </w:tc>
        <w:tc>
          <w:tcPr>
            <w:tcW w:w="0" w:type="auto"/>
            <w:hideMark/>
          </w:tcPr>
          <w:p w14:paraId="3EE9553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32.8%</w:t>
            </w:r>
          </w:p>
        </w:tc>
        <w:tc>
          <w:tcPr>
            <w:tcW w:w="0" w:type="auto"/>
            <w:hideMark/>
          </w:tcPr>
          <w:p w14:paraId="1877352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Hygiene, Immunization</w:t>
            </w:r>
          </w:p>
        </w:tc>
      </w:tr>
    </w:tbl>
    <w:p w14:paraId="6309EDBD" w14:textId="067A5425"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United Nations Development </w:t>
      </w:r>
      <w:proofErr w:type="spellStart"/>
      <w:r w:rsidRPr="00406402">
        <w:rPr>
          <w:rFonts w:ascii="Times New Roman" w:hAnsi="Times New Roman" w:cs="Times New Roman"/>
          <w:sz w:val="24"/>
          <w:szCs w:val="24"/>
        </w:rPr>
        <w:t>Programme</w:t>
      </w:r>
      <w:proofErr w:type="spellEnd"/>
      <w:r w:rsidRPr="00406402">
        <w:rPr>
          <w:rFonts w:ascii="Times New Roman" w:hAnsi="Times New Roman" w:cs="Times New Roman"/>
          <w:sz w:val="24"/>
          <w:szCs w:val="24"/>
        </w:rPr>
        <w:t xml:space="preserve"> (UNDP) Health and Behavior Report (2023)</w:t>
      </w:r>
    </w:p>
    <w:p w14:paraId="32DF47E4"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2C39BA85" wp14:editId="5937D4F8">
            <wp:extent cx="5741581" cy="3487479"/>
            <wp:effectExtent l="0" t="0" r="12065" b="17780"/>
            <wp:docPr id="253025272" name="Chart 1">
              <a:extLst xmlns:a="http://schemas.openxmlformats.org/drawingml/2006/main">
                <a:ext uri="{FF2B5EF4-FFF2-40B4-BE49-F238E27FC236}">
                  <a16:creationId xmlns:a16="http://schemas.microsoft.com/office/drawing/2014/main" id="{7AC2FD42-F258-E449-A938-97B4557C5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70EEC5" w14:textId="6CDEEDA5" w:rsidR="006D47C7" w:rsidRDefault="006D47C7" w:rsidP="00342805">
      <w:pPr>
        <w:spacing w:before="240" w:line="240" w:lineRule="auto"/>
        <w:jc w:val="both"/>
        <w:rPr>
          <w:rFonts w:ascii="Times New Roman" w:hAnsi="Times New Roman" w:cs="Times New Roman"/>
          <w:sz w:val="24"/>
          <w:szCs w:val="24"/>
        </w:rPr>
      </w:pPr>
      <w:proofErr w:type="gramStart"/>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6</w:t>
      </w:r>
      <w:proofErr w:type="gramEnd"/>
      <w:r>
        <w:rPr>
          <w:rFonts w:ascii="Times New Roman" w:hAnsi="Times New Roman" w:cs="Times New Roman"/>
          <w:sz w:val="24"/>
          <w:szCs w:val="24"/>
        </w:rPr>
        <w:t>-</w:t>
      </w:r>
      <w:r w:rsidR="00E1306E">
        <w:rPr>
          <w:rFonts w:ascii="Times New Roman" w:hAnsi="Times New Roman" w:cs="Times New Roman"/>
          <w:sz w:val="24"/>
          <w:szCs w:val="24"/>
        </w:rPr>
        <w:t xml:space="preserve"> Regional Distribution of </w:t>
      </w:r>
      <w:r w:rsidR="00E1306E" w:rsidRPr="00E1306E">
        <w:rPr>
          <w:rFonts w:ascii="Times New Roman" w:hAnsi="Times New Roman" w:cs="Times New Roman"/>
          <w:sz w:val="24"/>
          <w:szCs w:val="24"/>
        </w:rPr>
        <w:t>Post-Campaign</w:t>
      </w:r>
      <w:r w:rsidR="00E1306E">
        <w:rPr>
          <w:rFonts w:ascii="Times New Roman" w:hAnsi="Times New Roman" w:cs="Times New Roman"/>
          <w:sz w:val="24"/>
          <w:szCs w:val="24"/>
        </w:rPr>
        <w:t xml:space="preserve"> </w:t>
      </w:r>
      <w:r w:rsidR="00E1306E" w:rsidRPr="00E1306E">
        <w:rPr>
          <w:rFonts w:ascii="Times New Roman" w:hAnsi="Times New Roman" w:cs="Times New Roman"/>
          <w:sz w:val="24"/>
          <w:szCs w:val="24"/>
        </w:rPr>
        <w:t xml:space="preserve">Health Behavior Change </w:t>
      </w:r>
    </w:p>
    <w:p w14:paraId="0D8EAF4A"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b/>
          <w:bCs/>
          <w:sz w:val="24"/>
          <w:szCs w:val="24"/>
        </w:rPr>
        <w:t>Table 6</w:t>
      </w:r>
      <w:r w:rsidRPr="0075544E">
        <w:rPr>
          <w:rFonts w:ascii="Times New Roman" w:hAnsi="Times New Roman" w:cs="Times New Roman"/>
          <w:sz w:val="24"/>
          <w:szCs w:val="24"/>
        </w:rPr>
        <w:t xml:space="preserve"> shows that post-campaign improvements in health behavior are greatest in developed countries and weakest in underdeveloped countries (UNDP, 2023). Developed countries improve from 48.3% pre-campaign positive health behavior to 72.5% post-campaign, while underdeveloped countries improve from 14.7% to 32.8%. These differences suggest that the success of health marketing depends not only on message delivery but also on the presence of enabling systems such as access to care, follow-up support, and socio-economic capacity to adopt healthier practices.</w:t>
      </w:r>
    </w:p>
    <w:p w14:paraId="02972C30" w14:textId="47A4F198"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7. Health Campaign Funding Sources by Region</w:t>
      </w:r>
    </w:p>
    <w:tbl>
      <w:tblPr>
        <w:tblStyle w:val="TableGrid"/>
        <w:tblW w:w="0" w:type="auto"/>
        <w:tblLook w:val="04A0" w:firstRow="1" w:lastRow="0" w:firstColumn="1" w:lastColumn="0" w:noHBand="0" w:noVBand="1"/>
      </w:tblPr>
      <w:tblGrid>
        <w:gridCol w:w="3114"/>
        <w:gridCol w:w="1510"/>
        <w:gridCol w:w="1577"/>
        <w:gridCol w:w="1134"/>
        <w:gridCol w:w="1681"/>
      </w:tblGrid>
      <w:tr w:rsidR="007E3046" w:rsidRPr="007E3046" w14:paraId="19D851C2" w14:textId="77777777" w:rsidTr="00C91320">
        <w:tc>
          <w:tcPr>
            <w:tcW w:w="3114" w:type="dxa"/>
            <w:hideMark/>
          </w:tcPr>
          <w:p w14:paraId="7C86EB1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1300" w:type="dxa"/>
            <w:hideMark/>
          </w:tcPr>
          <w:p w14:paraId="5EF6311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Government (%)</w:t>
            </w:r>
          </w:p>
        </w:tc>
        <w:tc>
          <w:tcPr>
            <w:tcW w:w="1577" w:type="dxa"/>
            <w:hideMark/>
          </w:tcPr>
          <w:p w14:paraId="25C63ECF"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International Aid (%)</w:t>
            </w:r>
          </w:p>
        </w:tc>
        <w:tc>
          <w:tcPr>
            <w:tcW w:w="0" w:type="auto"/>
            <w:hideMark/>
          </w:tcPr>
          <w:p w14:paraId="416463E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Private Sector (%)</w:t>
            </w:r>
          </w:p>
        </w:tc>
        <w:tc>
          <w:tcPr>
            <w:tcW w:w="0" w:type="auto"/>
            <w:hideMark/>
          </w:tcPr>
          <w:p w14:paraId="4359E43F"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Community-Based (%)</w:t>
            </w:r>
          </w:p>
        </w:tc>
      </w:tr>
      <w:tr w:rsidR="007E3046" w:rsidRPr="007E3046" w14:paraId="52A702D8" w14:textId="77777777" w:rsidTr="00C91320">
        <w:tc>
          <w:tcPr>
            <w:tcW w:w="3114" w:type="dxa"/>
            <w:hideMark/>
          </w:tcPr>
          <w:p w14:paraId="1AC5335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1300" w:type="dxa"/>
            <w:hideMark/>
          </w:tcPr>
          <w:p w14:paraId="1A4EEBA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75.3%</w:t>
            </w:r>
          </w:p>
        </w:tc>
        <w:tc>
          <w:tcPr>
            <w:tcW w:w="1577" w:type="dxa"/>
            <w:hideMark/>
          </w:tcPr>
          <w:p w14:paraId="60B3C3E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w:t>
            </w:r>
          </w:p>
        </w:tc>
        <w:tc>
          <w:tcPr>
            <w:tcW w:w="0" w:type="auto"/>
            <w:hideMark/>
          </w:tcPr>
          <w:p w14:paraId="6B6F6B6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14.2%</w:t>
            </w:r>
          </w:p>
        </w:tc>
        <w:tc>
          <w:tcPr>
            <w:tcW w:w="0" w:type="auto"/>
            <w:hideMark/>
          </w:tcPr>
          <w:p w14:paraId="2C7748B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w:t>
            </w:r>
          </w:p>
        </w:tc>
      </w:tr>
      <w:tr w:rsidR="007E3046" w:rsidRPr="007E3046" w14:paraId="08499DAD" w14:textId="77777777" w:rsidTr="00C91320">
        <w:tc>
          <w:tcPr>
            <w:tcW w:w="3114" w:type="dxa"/>
            <w:hideMark/>
          </w:tcPr>
          <w:p w14:paraId="6C25082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1300" w:type="dxa"/>
            <w:hideMark/>
          </w:tcPr>
          <w:p w14:paraId="63B7EC9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46.5%</w:t>
            </w:r>
          </w:p>
        </w:tc>
        <w:tc>
          <w:tcPr>
            <w:tcW w:w="1577" w:type="dxa"/>
            <w:hideMark/>
          </w:tcPr>
          <w:p w14:paraId="21FCE82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40.3%</w:t>
            </w:r>
          </w:p>
        </w:tc>
        <w:tc>
          <w:tcPr>
            <w:tcW w:w="0" w:type="auto"/>
            <w:hideMark/>
          </w:tcPr>
          <w:p w14:paraId="7E61EA1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9.1%</w:t>
            </w:r>
          </w:p>
        </w:tc>
        <w:tc>
          <w:tcPr>
            <w:tcW w:w="0" w:type="auto"/>
            <w:hideMark/>
          </w:tcPr>
          <w:p w14:paraId="0D5E65B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12.7%</w:t>
            </w:r>
          </w:p>
        </w:tc>
      </w:tr>
      <w:tr w:rsidR="007E3046" w:rsidRPr="007E3046" w14:paraId="6B33E62A" w14:textId="77777777" w:rsidTr="00C91320">
        <w:tc>
          <w:tcPr>
            <w:tcW w:w="3114" w:type="dxa"/>
            <w:hideMark/>
          </w:tcPr>
          <w:p w14:paraId="0B329C2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1300" w:type="dxa"/>
            <w:hideMark/>
          </w:tcPr>
          <w:p w14:paraId="2F9CBD9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18.2%</w:t>
            </w:r>
          </w:p>
        </w:tc>
        <w:tc>
          <w:tcPr>
            <w:tcW w:w="1577" w:type="dxa"/>
            <w:hideMark/>
          </w:tcPr>
          <w:p w14:paraId="2B21F94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58.4%</w:t>
            </w:r>
          </w:p>
        </w:tc>
        <w:tc>
          <w:tcPr>
            <w:tcW w:w="0" w:type="auto"/>
            <w:hideMark/>
          </w:tcPr>
          <w:p w14:paraId="51653E8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12.6%</w:t>
            </w:r>
          </w:p>
        </w:tc>
        <w:tc>
          <w:tcPr>
            <w:tcW w:w="0" w:type="auto"/>
            <w:hideMark/>
          </w:tcPr>
          <w:p w14:paraId="341CDF8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20.8%</w:t>
            </w:r>
          </w:p>
        </w:tc>
      </w:tr>
    </w:tbl>
    <w:p w14:paraId="4111CBC0" w14:textId="6857F1F1"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Global Health Partnership (2023)</w:t>
      </w:r>
    </w:p>
    <w:p w14:paraId="1F6FF39B"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57195A1C" wp14:editId="6AB19701">
            <wp:extent cx="5486400" cy="3274828"/>
            <wp:effectExtent l="0" t="0" r="0" b="1905"/>
            <wp:docPr id="456335318" name="Chart 1">
              <a:extLst xmlns:a="http://schemas.openxmlformats.org/drawingml/2006/main">
                <a:ext uri="{FF2B5EF4-FFF2-40B4-BE49-F238E27FC236}">
                  <a16:creationId xmlns:a16="http://schemas.microsoft.com/office/drawing/2014/main" id="{65A429F8-1358-138B-728E-B64A36716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3576A7" w14:textId="09180577" w:rsidR="006D47C7"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7-</w:t>
      </w:r>
      <w:r w:rsidR="003B540E">
        <w:rPr>
          <w:rFonts w:ascii="Times New Roman" w:hAnsi="Times New Roman" w:cs="Times New Roman"/>
          <w:sz w:val="24"/>
          <w:szCs w:val="24"/>
        </w:rPr>
        <w:t xml:space="preserve"> </w:t>
      </w:r>
      <w:r w:rsidR="003B540E" w:rsidRPr="003B540E">
        <w:rPr>
          <w:rFonts w:ascii="Times New Roman" w:hAnsi="Times New Roman" w:cs="Times New Roman"/>
          <w:sz w:val="24"/>
          <w:szCs w:val="24"/>
        </w:rPr>
        <w:t>Regional Distribution of Health Campaign Funding Sources</w:t>
      </w:r>
      <w:r w:rsidR="003B540E" w:rsidRPr="007E3046">
        <w:rPr>
          <w:rFonts w:ascii="Times New Roman" w:hAnsi="Times New Roman" w:cs="Times New Roman"/>
          <w:b/>
          <w:bCs/>
          <w:sz w:val="24"/>
          <w:szCs w:val="24"/>
        </w:rPr>
        <w:t xml:space="preserve"> </w:t>
      </w:r>
    </w:p>
    <w:p w14:paraId="052B3AD7"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According to </w:t>
      </w:r>
      <w:r w:rsidRPr="0075544E">
        <w:rPr>
          <w:rFonts w:ascii="Times New Roman" w:hAnsi="Times New Roman" w:cs="Times New Roman"/>
          <w:b/>
          <w:bCs/>
          <w:sz w:val="24"/>
          <w:szCs w:val="24"/>
        </w:rPr>
        <w:t>Table 7</w:t>
      </w:r>
      <w:r w:rsidRPr="0075544E">
        <w:rPr>
          <w:rFonts w:ascii="Times New Roman" w:hAnsi="Times New Roman" w:cs="Times New Roman"/>
          <w:sz w:val="24"/>
          <w:szCs w:val="24"/>
        </w:rPr>
        <w:t>, developed countries are primarily government-funded in health marketing, whereas developing and especially underdeveloped countries rely much more heavily on international aid and community-based contributions (Global Health Partnership, 2023). This has important implications for sustainability. Greater dependence on external funding may weaken continuity, constrain local ownership, and reduce long-term strategic planning in lower-resource contexts.</w:t>
      </w:r>
    </w:p>
    <w:p w14:paraId="5318B688" w14:textId="1DD534E1"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8. Health Marketing Campaign Effectiveness by Target Population</w:t>
      </w:r>
    </w:p>
    <w:tbl>
      <w:tblPr>
        <w:tblStyle w:val="TableGrid"/>
        <w:tblW w:w="0" w:type="auto"/>
        <w:tblLook w:val="04A0" w:firstRow="1" w:lastRow="0" w:firstColumn="1" w:lastColumn="0" w:noHBand="0" w:noVBand="1"/>
      </w:tblPr>
      <w:tblGrid>
        <w:gridCol w:w="2511"/>
        <w:gridCol w:w="1210"/>
        <w:gridCol w:w="1149"/>
        <w:gridCol w:w="1303"/>
        <w:gridCol w:w="1159"/>
        <w:gridCol w:w="1684"/>
      </w:tblGrid>
      <w:tr w:rsidR="007E3046" w:rsidRPr="007E3046" w14:paraId="70BBDE1C" w14:textId="77777777" w:rsidTr="007E3046">
        <w:tc>
          <w:tcPr>
            <w:tcW w:w="0" w:type="auto"/>
            <w:hideMark/>
          </w:tcPr>
          <w:p w14:paraId="761F55C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B2B5D8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Urban (%)</w:t>
            </w:r>
          </w:p>
        </w:tc>
        <w:tc>
          <w:tcPr>
            <w:tcW w:w="0" w:type="auto"/>
            <w:hideMark/>
          </w:tcPr>
          <w:p w14:paraId="39AF1B5E"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Rural (%)</w:t>
            </w:r>
          </w:p>
        </w:tc>
        <w:tc>
          <w:tcPr>
            <w:tcW w:w="0" w:type="auto"/>
            <w:hideMark/>
          </w:tcPr>
          <w:p w14:paraId="0DB9C88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Elderly (%)</w:t>
            </w:r>
          </w:p>
        </w:tc>
        <w:tc>
          <w:tcPr>
            <w:tcW w:w="0" w:type="auto"/>
            <w:hideMark/>
          </w:tcPr>
          <w:p w14:paraId="2B4DD12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Youth (%)</w:t>
            </w:r>
          </w:p>
        </w:tc>
        <w:tc>
          <w:tcPr>
            <w:tcW w:w="0" w:type="auto"/>
            <w:hideMark/>
          </w:tcPr>
          <w:p w14:paraId="635DD2A1"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Low-Income (%)</w:t>
            </w:r>
          </w:p>
        </w:tc>
      </w:tr>
      <w:tr w:rsidR="007E3046" w:rsidRPr="007E3046" w14:paraId="17D5F8F4" w14:textId="77777777" w:rsidTr="007E3046">
        <w:tc>
          <w:tcPr>
            <w:tcW w:w="0" w:type="auto"/>
            <w:hideMark/>
          </w:tcPr>
          <w:p w14:paraId="7244C25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52E092A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83.1%</w:t>
            </w:r>
          </w:p>
        </w:tc>
        <w:tc>
          <w:tcPr>
            <w:tcW w:w="0" w:type="auto"/>
            <w:hideMark/>
          </w:tcPr>
          <w:p w14:paraId="0C66945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67.2%</w:t>
            </w:r>
          </w:p>
        </w:tc>
        <w:tc>
          <w:tcPr>
            <w:tcW w:w="0" w:type="auto"/>
            <w:hideMark/>
          </w:tcPr>
          <w:p w14:paraId="5655A39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55.4%</w:t>
            </w:r>
          </w:p>
        </w:tc>
        <w:tc>
          <w:tcPr>
            <w:tcW w:w="0" w:type="auto"/>
            <w:hideMark/>
          </w:tcPr>
          <w:p w14:paraId="2E72F8A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78.3%</w:t>
            </w:r>
          </w:p>
        </w:tc>
        <w:tc>
          <w:tcPr>
            <w:tcW w:w="0" w:type="auto"/>
            <w:hideMark/>
          </w:tcPr>
          <w:p w14:paraId="0BBB16F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63.5%</w:t>
            </w:r>
          </w:p>
        </w:tc>
      </w:tr>
      <w:tr w:rsidR="007E3046" w:rsidRPr="007E3046" w14:paraId="0A4FFAE4" w14:textId="77777777" w:rsidTr="007E3046">
        <w:tc>
          <w:tcPr>
            <w:tcW w:w="0" w:type="auto"/>
            <w:hideMark/>
          </w:tcPr>
          <w:p w14:paraId="06BC5D52"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0354BA8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62.4%</w:t>
            </w:r>
          </w:p>
        </w:tc>
        <w:tc>
          <w:tcPr>
            <w:tcW w:w="0" w:type="auto"/>
            <w:hideMark/>
          </w:tcPr>
          <w:p w14:paraId="6483A4A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52.6%</w:t>
            </w:r>
          </w:p>
        </w:tc>
        <w:tc>
          <w:tcPr>
            <w:tcW w:w="0" w:type="auto"/>
            <w:hideMark/>
          </w:tcPr>
          <w:p w14:paraId="29517B6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42.9%</w:t>
            </w:r>
          </w:p>
        </w:tc>
        <w:tc>
          <w:tcPr>
            <w:tcW w:w="0" w:type="auto"/>
            <w:hideMark/>
          </w:tcPr>
          <w:p w14:paraId="35F9221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67.1%</w:t>
            </w:r>
          </w:p>
        </w:tc>
        <w:tc>
          <w:tcPr>
            <w:tcW w:w="0" w:type="auto"/>
            <w:hideMark/>
          </w:tcPr>
          <w:p w14:paraId="319DEB9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49.7%</w:t>
            </w:r>
          </w:p>
        </w:tc>
      </w:tr>
      <w:tr w:rsidR="007E3046" w:rsidRPr="007E3046" w14:paraId="14A1C634" w14:textId="77777777" w:rsidTr="007E3046">
        <w:tc>
          <w:tcPr>
            <w:tcW w:w="0" w:type="auto"/>
            <w:hideMark/>
          </w:tcPr>
          <w:p w14:paraId="3958A65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18F2233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38.5%</w:t>
            </w:r>
          </w:p>
        </w:tc>
        <w:tc>
          <w:tcPr>
            <w:tcW w:w="0" w:type="auto"/>
            <w:hideMark/>
          </w:tcPr>
          <w:p w14:paraId="1C3D8CA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28.7%</w:t>
            </w:r>
          </w:p>
        </w:tc>
        <w:tc>
          <w:tcPr>
            <w:tcW w:w="0" w:type="auto"/>
            <w:hideMark/>
          </w:tcPr>
          <w:p w14:paraId="0049F22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18.2%</w:t>
            </w:r>
          </w:p>
        </w:tc>
        <w:tc>
          <w:tcPr>
            <w:tcW w:w="0" w:type="auto"/>
            <w:hideMark/>
          </w:tcPr>
          <w:p w14:paraId="2FDBBC4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36.7%</w:t>
            </w:r>
          </w:p>
        </w:tc>
        <w:tc>
          <w:tcPr>
            <w:tcW w:w="0" w:type="auto"/>
            <w:hideMark/>
          </w:tcPr>
          <w:p w14:paraId="1BD3B2A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42.3%</w:t>
            </w:r>
          </w:p>
        </w:tc>
      </w:tr>
    </w:tbl>
    <w:p w14:paraId="1D3D7D61" w14:textId="255544B5"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World Health Survey Report (2023)</w:t>
      </w:r>
    </w:p>
    <w:p w14:paraId="3641F33F"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2CFB5D52" wp14:editId="3CDE7CA3">
            <wp:extent cx="5677786" cy="3317358"/>
            <wp:effectExtent l="0" t="0" r="18415" b="16510"/>
            <wp:docPr id="454376533" name="Chart 1">
              <a:extLst xmlns:a="http://schemas.openxmlformats.org/drawingml/2006/main">
                <a:ext uri="{FF2B5EF4-FFF2-40B4-BE49-F238E27FC236}">
                  <a16:creationId xmlns:a16="http://schemas.microsoft.com/office/drawing/2014/main" id="{F404907A-7533-8732-7DA7-25DD48D7D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54D55C" w14:textId="70944809" w:rsidR="006D47C7" w:rsidRDefault="006D47C7" w:rsidP="00342805">
      <w:pPr>
        <w:spacing w:before="240" w:line="240" w:lineRule="auto"/>
        <w:jc w:val="both"/>
        <w:rPr>
          <w:rFonts w:ascii="Times New Roman" w:hAnsi="Times New Roman" w:cs="Times New Roman"/>
          <w:sz w:val="24"/>
          <w:szCs w:val="24"/>
        </w:rPr>
      </w:pPr>
      <w:proofErr w:type="gramStart"/>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8</w:t>
      </w:r>
      <w:proofErr w:type="gramEnd"/>
      <w:r>
        <w:rPr>
          <w:rFonts w:ascii="Times New Roman" w:hAnsi="Times New Roman" w:cs="Times New Roman"/>
          <w:sz w:val="24"/>
          <w:szCs w:val="24"/>
        </w:rPr>
        <w:t>-</w:t>
      </w:r>
      <w:r w:rsidR="003B540E">
        <w:rPr>
          <w:rFonts w:ascii="Times New Roman" w:hAnsi="Times New Roman" w:cs="Times New Roman"/>
          <w:sz w:val="24"/>
          <w:szCs w:val="24"/>
        </w:rPr>
        <w:t xml:space="preserve">  </w:t>
      </w:r>
      <w:r w:rsidR="003B540E" w:rsidRPr="003B540E">
        <w:rPr>
          <w:rFonts w:ascii="Times New Roman" w:hAnsi="Times New Roman" w:cs="Times New Roman"/>
          <w:sz w:val="24"/>
          <w:szCs w:val="24"/>
        </w:rPr>
        <w:t xml:space="preserve">Distribution of </w:t>
      </w:r>
      <w:r w:rsidR="003B540E">
        <w:rPr>
          <w:rFonts w:ascii="Times New Roman" w:hAnsi="Times New Roman" w:cs="Times New Roman"/>
          <w:sz w:val="24"/>
          <w:szCs w:val="24"/>
        </w:rPr>
        <w:t xml:space="preserve"> </w:t>
      </w:r>
      <w:r w:rsidR="003B540E" w:rsidRPr="00406402">
        <w:rPr>
          <w:rFonts w:ascii="Times New Roman" w:hAnsi="Times New Roman" w:cs="Times New Roman"/>
          <w:sz w:val="24"/>
          <w:szCs w:val="24"/>
        </w:rPr>
        <w:t xml:space="preserve">effectiveness of health marketing campaigns </w:t>
      </w:r>
      <w:r w:rsidR="003B540E">
        <w:rPr>
          <w:rFonts w:ascii="Times New Roman" w:hAnsi="Times New Roman" w:cs="Times New Roman"/>
          <w:sz w:val="24"/>
          <w:szCs w:val="24"/>
        </w:rPr>
        <w:t>regionally</w:t>
      </w:r>
    </w:p>
    <w:p w14:paraId="6398B26E"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b/>
          <w:bCs/>
          <w:sz w:val="24"/>
          <w:szCs w:val="24"/>
        </w:rPr>
        <w:t>Table 8</w:t>
      </w:r>
      <w:r w:rsidRPr="0075544E">
        <w:rPr>
          <w:rFonts w:ascii="Times New Roman" w:hAnsi="Times New Roman" w:cs="Times New Roman"/>
          <w:sz w:val="24"/>
          <w:szCs w:val="24"/>
        </w:rPr>
        <w:t xml:space="preserve"> demonstrates that campaign effectiveness varies across demographic groups even within the same development category. Urban and youth populations generally show higher engagement than rural and elderly populations across all settings (World Health Survey Report, 2023). This suggests that health marketing requires more targeted segmentation. Vulnerable groups, including elderly and rural populations, continue to be less effectively reached, especially in developing and underdeveloped countries.</w:t>
      </w:r>
    </w:p>
    <w:p w14:paraId="1CA1EDDD" w14:textId="175A5B5B"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9. Digital Health Tools and Accessibility Barriers</w:t>
      </w:r>
    </w:p>
    <w:tbl>
      <w:tblPr>
        <w:tblStyle w:val="TableGrid"/>
        <w:tblW w:w="0" w:type="auto"/>
        <w:tblLook w:val="04A0" w:firstRow="1" w:lastRow="0" w:firstColumn="1" w:lastColumn="0" w:noHBand="0" w:noVBand="1"/>
      </w:tblPr>
      <w:tblGrid>
        <w:gridCol w:w="1993"/>
        <w:gridCol w:w="1958"/>
        <w:gridCol w:w="1829"/>
        <w:gridCol w:w="1349"/>
        <w:gridCol w:w="1887"/>
      </w:tblGrid>
      <w:tr w:rsidR="007E3046" w:rsidRPr="007E3046" w14:paraId="15E45E7F" w14:textId="77777777" w:rsidTr="007E3046">
        <w:tc>
          <w:tcPr>
            <w:tcW w:w="0" w:type="auto"/>
            <w:hideMark/>
          </w:tcPr>
          <w:p w14:paraId="0B2EE77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1729234"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Infrastructure Barriers (%)</w:t>
            </w:r>
          </w:p>
        </w:tc>
        <w:tc>
          <w:tcPr>
            <w:tcW w:w="0" w:type="auto"/>
            <w:hideMark/>
          </w:tcPr>
          <w:p w14:paraId="435FA3C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Affordability Barriers (%)</w:t>
            </w:r>
          </w:p>
        </w:tc>
        <w:tc>
          <w:tcPr>
            <w:tcW w:w="0" w:type="auto"/>
            <w:hideMark/>
          </w:tcPr>
          <w:p w14:paraId="471B607D"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Literacy Barriers (%)</w:t>
            </w:r>
          </w:p>
        </w:tc>
        <w:tc>
          <w:tcPr>
            <w:tcW w:w="0" w:type="auto"/>
            <w:hideMark/>
          </w:tcPr>
          <w:p w14:paraId="005168A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Technological Barriers (%)</w:t>
            </w:r>
          </w:p>
        </w:tc>
      </w:tr>
      <w:tr w:rsidR="007E3046" w:rsidRPr="007E3046" w14:paraId="3B356595" w14:textId="77777777" w:rsidTr="007E3046">
        <w:tc>
          <w:tcPr>
            <w:tcW w:w="0" w:type="auto"/>
            <w:hideMark/>
          </w:tcPr>
          <w:p w14:paraId="7509F22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199C592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13.7%</w:t>
            </w:r>
          </w:p>
        </w:tc>
        <w:tc>
          <w:tcPr>
            <w:tcW w:w="0" w:type="auto"/>
            <w:hideMark/>
          </w:tcPr>
          <w:p w14:paraId="1E14040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9.6%</w:t>
            </w:r>
          </w:p>
        </w:tc>
        <w:tc>
          <w:tcPr>
            <w:tcW w:w="0" w:type="auto"/>
            <w:hideMark/>
          </w:tcPr>
          <w:p w14:paraId="00EC685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7.2%</w:t>
            </w:r>
          </w:p>
        </w:tc>
        <w:tc>
          <w:tcPr>
            <w:tcW w:w="0" w:type="auto"/>
            <w:hideMark/>
          </w:tcPr>
          <w:p w14:paraId="086C015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9.5%</w:t>
            </w:r>
          </w:p>
        </w:tc>
      </w:tr>
      <w:tr w:rsidR="007E3046" w:rsidRPr="007E3046" w14:paraId="34D372AF" w14:textId="77777777" w:rsidTr="007E3046">
        <w:tc>
          <w:tcPr>
            <w:tcW w:w="0" w:type="auto"/>
            <w:hideMark/>
          </w:tcPr>
          <w:p w14:paraId="0A86E95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74B2BFD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41.2%</w:t>
            </w:r>
          </w:p>
        </w:tc>
        <w:tc>
          <w:tcPr>
            <w:tcW w:w="0" w:type="auto"/>
            <w:hideMark/>
          </w:tcPr>
          <w:p w14:paraId="08758F8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53.1%</w:t>
            </w:r>
          </w:p>
        </w:tc>
        <w:tc>
          <w:tcPr>
            <w:tcW w:w="0" w:type="auto"/>
            <w:hideMark/>
          </w:tcPr>
          <w:p w14:paraId="210F85A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33.5%</w:t>
            </w:r>
          </w:p>
        </w:tc>
        <w:tc>
          <w:tcPr>
            <w:tcW w:w="0" w:type="auto"/>
            <w:hideMark/>
          </w:tcPr>
          <w:p w14:paraId="6B875B8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39.7%</w:t>
            </w:r>
          </w:p>
        </w:tc>
      </w:tr>
      <w:tr w:rsidR="007E3046" w:rsidRPr="007E3046" w14:paraId="085774C9" w14:textId="77777777" w:rsidTr="007E3046">
        <w:tc>
          <w:tcPr>
            <w:tcW w:w="0" w:type="auto"/>
            <w:hideMark/>
          </w:tcPr>
          <w:p w14:paraId="2EE364C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649D67B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60.8%</w:t>
            </w:r>
          </w:p>
        </w:tc>
        <w:tc>
          <w:tcPr>
            <w:tcW w:w="0" w:type="auto"/>
            <w:hideMark/>
          </w:tcPr>
          <w:p w14:paraId="05A1311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67.9%</w:t>
            </w:r>
          </w:p>
        </w:tc>
        <w:tc>
          <w:tcPr>
            <w:tcW w:w="0" w:type="auto"/>
            <w:hideMark/>
          </w:tcPr>
          <w:p w14:paraId="13E46BF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52.4%</w:t>
            </w:r>
          </w:p>
        </w:tc>
        <w:tc>
          <w:tcPr>
            <w:tcW w:w="0" w:type="auto"/>
            <w:hideMark/>
          </w:tcPr>
          <w:p w14:paraId="3D0E8FD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64.1%</w:t>
            </w:r>
          </w:p>
        </w:tc>
      </w:tr>
    </w:tbl>
    <w:p w14:paraId="1E27F167" w14:textId="16062759"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United Nations Development </w:t>
      </w:r>
      <w:proofErr w:type="spellStart"/>
      <w:r w:rsidRPr="00406402">
        <w:rPr>
          <w:rFonts w:ascii="Times New Roman" w:hAnsi="Times New Roman" w:cs="Times New Roman"/>
          <w:sz w:val="24"/>
          <w:szCs w:val="24"/>
        </w:rPr>
        <w:t>Programme</w:t>
      </w:r>
      <w:proofErr w:type="spellEnd"/>
      <w:r w:rsidRPr="00406402">
        <w:rPr>
          <w:rFonts w:ascii="Times New Roman" w:hAnsi="Times New Roman" w:cs="Times New Roman"/>
          <w:sz w:val="24"/>
          <w:szCs w:val="24"/>
        </w:rPr>
        <w:t xml:space="preserve"> (UNDP) Technology Accessibility Report (2023)</w:t>
      </w:r>
    </w:p>
    <w:p w14:paraId="299620F1"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7F5BD4FF" wp14:editId="22929146">
            <wp:extent cx="5592726" cy="3359888"/>
            <wp:effectExtent l="0" t="0" r="8255" b="12065"/>
            <wp:docPr id="1889838604" name="Chart 1">
              <a:extLst xmlns:a="http://schemas.openxmlformats.org/drawingml/2006/main">
                <a:ext uri="{FF2B5EF4-FFF2-40B4-BE49-F238E27FC236}">
                  <a16:creationId xmlns:a16="http://schemas.microsoft.com/office/drawing/2014/main" id="{90901779-2BE1-498A-92B0-02E5ED79E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449885" w14:textId="1A49DEFC" w:rsidR="006D47C7" w:rsidRDefault="006D47C7" w:rsidP="00342805">
      <w:pPr>
        <w:spacing w:before="240" w:line="240" w:lineRule="auto"/>
        <w:jc w:val="both"/>
        <w:rPr>
          <w:rFonts w:ascii="Times New Roman" w:hAnsi="Times New Roman" w:cs="Times New Roman"/>
          <w:sz w:val="24"/>
          <w:szCs w:val="24"/>
        </w:rPr>
      </w:pPr>
      <w:proofErr w:type="gramStart"/>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9</w:t>
      </w:r>
      <w:proofErr w:type="gramEnd"/>
      <w:r>
        <w:rPr>
          <w:rFonts w:ascii="Times New Roman" w:hAnsi="Times New Roman" w:cs="Times New Roman"/>
          <w:sz w:val="24"/>
          <w:szCs w:val="24"/>
        </w:rPr>
        <w:t>-</w:t>
      </w:r>
      <w:r w:rsidR="003B540E">
        <w:rPr>
          <w:rFonts w:ascii="Times New Roman" w:hAnsi="Times New Roman" w:cs="Times New Roman"/>
          <w:sz w:val="24"/>
          <w:szCs w:val="24"/>
        </w:rPr>
        <w:t xml:space="preserve"> </w:t>
      </w:r>
      <w:r w:rsidR="003B540E" w:rsidRPr="00406402">
        <w:rPr>
          <w:rFonts w:ascii="Times New Roman" w:hAnsi="Times New Roman" w:cs="Times New Roman"/>
          <w:sz w:val="24"/>
          <w:szCs w:val="24"/>
        </w:rPr>
        <w:t xml:space="preserve"> </w:t>
      </w:r>
      <w:r w:rsidR="003B540E">
        <w:rPr>
          <w:rFonts w:ascii="Times New Roman" w:hAnsi="Times New Roman" w:cs="Times New Roman"/>
          <w:sz w:val="24"/>
          <w:szCs w:val="24"/>
        </w:rPr>
        <w:t>V</w:t>
      </w:r>
      <w:r w:rsidR="003B540E" w:rsidRPr="00406402">
        <w:rPr>
          <w:rFonts w:ascii="Times New Roman" w:hAnsi="Times New Roman" w:cs="Times New Roman"/>
          <w:sz w:val="24"/>
          <w:szCs w:val="24"/>
        </w:rPr>
        <w:t xml:space="preserve">arious barriers </w:t>
      </w:r>
      <w:r w:rsidR="003B540E">
        <w:rPr>
          <w:rFonts w:ascii="Times New Roman" w:hAnsi="Times New Roman" w:cs="Times New Roman"/>
          <w:sz w:val="24"/>
          <w:szCs w:val="24"/>
        </w:rPr>
        <w:t xml:space="preserve">obstructing </w:t>
      </w:r>
      <w:r w:rsidR="003B540E" w:rsidRPr="00406402">
        <w:rPr>
          <w:rFonts w:ascii="Times New Roman" w:hAnsi="Times New Roman" w:cs="Times New Roman"/>
          <w:sz w:val="24"/>
          <w:szCs w:val="24"/>
        </w:rPr>
        <w:t>digital health tools across regions</w:t>
      </w:r>
    </w:p>
    <w:p w14:paraId="517448C3"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barriers presented in </w:t>
      </w:r>
      <w:r w:rsidRPr="0075544E">
        <w:rPr>
          <w:rFonts w:ascii="Times New Roman" w:hAnsi="Times New Roman" w:cs="Times New Roman"/>
          <w:b/>
          <w:bCs/>
          <w:sz w:val="24"/>
          <w:szCs w:val="24"/>
        </w:rPr>
        <w:t>Table 9</w:t>
      </w:r>
      <w:r w:rsidRPr="0075544E">
        <w:rPr>
          <w:rFonts w:ascii="Times New Roman" w:hAnsi="Times New Roman" w:cs="Times New Roman"/>
          <w:sz w:val="24"/>
          <w:szCs w:val="24"/>
        </w:rPr>
        <w:t xml:space="preserve"> show that infrastructure, affordability, literacy, and technological limitations all rise sharply as one moves from developed to underdeveloped settings (UNDP, 2023). Underdeveloped countries report the highest barriers across all four dimensions. These results reinforce the conclusion that digital health access is not merely a technological issue; it is also a socio-economic and structural issue.</w:t>
      </w:r>
    </w:p>
    <w:p w14:paraId="1D3DB907" w14:textId="006F6DB5"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10. Healthcare System Access and Influence on Campaign Effectiveness</w:t>
      </w:r>
    </w:p>
    <w:tbl>
      <w:tblPr>
        <w:tblStyle w:val="TableGrid"/>
        <w:tblW w:w="0" w:type="auto"/>
        <w:tblLook w:val="04A0" w:firstRow="1" w:lastRow="0" w:firstColumn="1" w:lastColumn="0" w:noHBand="0" w:noVBand="1"/>
      </w:tblPr>
      <w:tblGrid>
        <w:gridCol w:w="2084"/>
        <w:gridCol w:w="1680"/>
        <w:gridCol w:w="1703"/>
        <w:gridCol w:w="1677"/>
        <w:gridCol w:w="1872"/>
      </w:tblGrid>
      <w:tr w:rsidR="007E3046" w:rsidRPr="007E3046" w14:paraId="54648883" w14:textId="77777777" w:rsidTr="007E3046">
        <w:tc>
          <w:tcPr>
            <w:tcW w:w="0" w:type="auto"/>
            <w:hideMark/>
          </w:tcPr>
          <w:p w14:paraId="63EFF65E"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07CB502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Healthcare Access (%)</w:t>
            </w:r>
          </w:p>
        </w:tc>
        <w:tc>
          <w:tcPr>
            <w:tcW w:w="0" w:type="auto"/>
            <w:hideMark/>
          </w:tcPr>
          <w:p w14:paraId="1DCF10D5"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Private Healthcare (%)</w:t>
            </w:r>
          </w:p>
        </w:tc>
        <w:tc>
          <w:tcPr>
            <w:tcW w:w="0" w:type="auto"/>
            <w:hideMark/>
          </w:tcPr>
          <w:p w14:paraId="2BC5905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Public Healthcare (%)</w:t>
            </w:r>
          </w:p>
        </w:tc>
        <w:tc>
          <w:tcPr>
            <w:tcW w:w="0" w:type="auto"/>
            <w:hideMark/>
          </w:tcPr>
          <w:p w14:paraId="553F7F6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Primary Health Worker Access (%)</w:t>
            </w:r>
          </w:p>
        </w:tc>
      </w:tr>
      <w:tr w:rsidR="007E3046" w:rsidRPr="007E3046" w14:paraId="033B9E75" w14:textId="77777777" w:rsidTr="007E3046">
        <w:tc>
          <w:tcPr>
            <w:tcW w:w="0" w:type="auto"/>
            <w:hideMark/>
          </w:tcPr>
          <w:p w14:paraId="2FD5FA6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3EF54A9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92.3%</w:t>
            </w:r>
          </w:p>
        </w:tc>
        <w:tc>
          <w:tcPr>
            <w:tcW w:w="0" w:type="auto"/>
            <w:hideMark/>
          </w:tcPr>
          <w:p w14:paraId="633A792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65.8%</w:t>
            </w:r>
          </w:p>
        </w:tc>
        <w:tc>
          <w:tcPr>
            <w:tcW w:w="0" w:type="auto"/>
            <w:hideMark/>
          </w:tcPr>
          <w:p w14:paraId="5546131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87.5%</w:t>
            </w:r>
          </w:p>
        </w:tc>
        <w:tc>
          <w:tcPr>
            <w:tcW w:w="0" w:type="auto"/>
            <w:hideMark/>
          </w:tcPr>
          <w:p w14:paraId="7C5788A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94.7%</w:t>
            </w:r>
          </w:p>
        </w:tc>
      </w:tr>
      <w:tr w:rsidR="007E3046" w:rsidRPr="007E3046" w14:paraId="765651BC" w14:textId="77777777" w:rsidTr="007E3046">
        <w:tc>
          <w:tcPr>
            <w:tcW w:w="0" w:type="auto"/>
            <w:hideMark/>
          </w:tcPr>
          <w:p w14:paraId="213AA2C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61848A6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71.4%</w:t>
            </w:r>
          </w:p>
        </w:tc>
        <w:tc>
          <w:tcPr>
            <w:tcW w:w="0" w:type="auto"/>
            <w:hideMark/>
          </w:tcPr>
          <w:p w14:paraId="34BFADC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42.9%</w:t>
            </w:r>
          </w:p>
        </w:tc>
        <w:tc>
          <w:tcPr>
            <w:tcW w:w="0" w:type="auto"/>
            <w:hideMark/>
          </w:tcPr>
          <w:p w14:paraId="3879680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56.2%</w:t>
            </w:r>
          </w:p>
        </w:tc>
        <w:tc>
          <w:tcPr>
            <w:tcW w:w="0" w:type="auto"/>
            <w:hideMark/>
          </w:tcPr>
          <w:p w14:paraId="2498C71C"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72.4%</w:t>
            </w:r>
          </w:p>
        </w:tc>
      </w:tr>
      <w:tr w:rsidR="007E3046" w:rsidRPr="007E3046" w14:paraId="180DDC3B" w14:textId="77777777" w:rsidTr="007E3046">
        <w:tc>
          <w:tcPr>
            <w:tcW w:w="0" w:type="auto"/>
            <w:hideMark/>
          </w:tcPr>
          <w:p w14:paraId="688A966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27B9BAA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47.5%</w:t>
            </w:r>
          </w:p>
        </w:tc>
        <w:tc>
          <w:tcPr>
            <w:tcW w:w="0" w:type="auto"/>
            <w:hideMark/>
          </w:tcPr>
          <w:p w14:paraId="1B395C9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22.1%</w:t>
            </w:r>
          </w:p>
        </w:tc>
        <w:tc>
          <w:tcPr>
            <w:tcW w:w="0" w:type="auto"/>
            <w:hideMark/>
          </w:tcPr>
          <w:p w14:paraId="02A23692"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38.9%</w:t>
            </w:r>
          </w:p>
        </w:tc>
        <w:tc>
          <w:tcPr>
            <w:tcW w:w="0" w:type="auto"/>
            <w:hideMark/>
          </w:tcPr>
          <w:p w14:paraId="2414427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48.8%</w:t>
            </w:r>
          </w:p>
        </w:tc>
      </w:tr>
    </w:tbl>
    <w:p w14:paraId="66C68BAA" w14:textId="13D2AD18"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World Health Organization (WHO) Health System Access Report (2023)</w:t>
      </w:r>
    </w:p>
    <w:p w14:paraId="1AC4F504"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7DE11AB0" wp14:editId="2AA64CD9">
            <wp:extent cx="5656521" cy="3359888"/>
            <wp:effectExtent l="0" t="0" r="1905" b="12065"/>
            <wp:docPr id="640308226" name="Chart 1">
              <a:extLst xmlns:a="http://schemas.openxmlformats.org/drawingml/2006/main">
                <a:ext uri="{FF2B5EF4-FFF2-40B4-BE49-F238E27FC236}">
                  <a16:creationId xmlns:a16="http://schemas.microsoft.com/office/drawing/2014/main" id="{C650BD4B-574E-F229-E82D-EBFC3BB3A8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D4ED16" w14:textId="44B94A74" w:rsidR="006D47C7" w:rsidRPr="003B540E" w:rsidRDefault="006D47C7" w:rsidP="00342805">
      <w:pPr>
        <w:spacing w:before="240" w:line="240" w:lineRule="auto"/>
        <w:jc w:val="both"/>
        <w:rPr>
          <w:rFonts w:ascii="Times New Roman" w:hAnsi="Times New Roman" w:cs="Times New Roman"/>
          <w:sz w:val="24"/>
          <w:szCs w:val="24"/>
        </w:rPr>
      </w:pPr>
      <w:proofErr w:type="gramStart"/>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10</w:t>
      </w:r>
      <w:proofErr w:type="gramEnd"/>
      <w:r>
        <w:rPr>
          <w:rFonts w:ascii="Times New Roman" w:hAnsi="Times New Roman" w:cs="Times New Roman"/>
          <w:sz w:val="24"/>
          <w:szCs w:val="24"/>
        </w:rPr>
        <w:t>-</w:t>
      </w:r>
      <w:r w:rsidR="003B540E" w:rsidRPr="003B540E">
        <w:rPr>
          <w:rFonts w:ascii="Times New Roman" w:hAnsi="Times New Roman" w:cs="Times New Roman"/>
          <w:sz w:val="24"/>
          <w:szCs w:val="24"/>
        </w:rPr>
        <w:t>Influence of Healthcare System Access on Campaign Effectiveness</w:t>
      </w:r>
    </w:p>
    <w:p w14:paraId="52621AEB"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As shown in </w:t>
      </w:r>
      <w:r w:rsidRPr="0075544E">
        <w:rPr>
          <w:rFonts w:ascii="Times New Roman" w:hAnsi="Times New Roman" w:cs="Times New Roman"/>
          <w:b/>
          <w:bCs/>
          <w:sz w:val="24"/>
          <w:szCs w:val="24"/>
        </w:rPr>
        <w:t>Table 10</w:t>
      </w:r>
      <w:r w:rsidRPr="0075544E">
        <w:rPr>
          <w:rFonts w:ascii="Times New Roman" w:hAnsi="Times New Roman" w:cs="Times New Roman"/>
          <w:sz w:val="24"/>
          <w:szCs w:val="24"/>
        </w:rPr>
        <w:t>, healthcare access is strongly associated with the likely effectiveness of health campaigns (WHO, 2023). Developed countries report broad access to healthcare and high primary health worker access, which increases the practical utility of public health messages. In underdeveloped countries, weak healthcare access reduces the capacity of individuals to act on information even when awareness is achieved.</w:t>
      </w:r>
    </w:p>
    <w:p w14:paraId="24798288" w14:textId="4DD05C58"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11. Public Perception of Health Campaigns</w:t>
      </w:r>
    </w:p>
    <w:tbl>
      <w:tblPr>
        <w:tblStyle w:val="TableGrid"/>
        <w:tblW w:w="0" w:type="auto"/>
        <w:tblLook w:val="04A0" w:firstRow="1" w:lastRow="0" w:firstColumn="1" w:lastColumn="0" w:noHBand="0" w:noVBand="1"/>
      </w:tblPr>
      <w:tblGrid>
        <w:gridCol w:w="2056"/>
        <w:gridCol w:w="2353"/>
        <w:gridCol w:w="2295"/>
        <w:gridCol w:w="2312"/>
      </w:tblGrid>
      <w:tr w:rsidR="007E3046" w:rsidRPr="007E3046" w14:paraId="6FB5CAF5" w14:textId="77777777" w:rsidTr="007E3046">
        <w:tc>
          <w:tcPr>
            <w:tcW w:w="0" w:type="auto"/>
            <w:hideMark/>
          </w:tcPr>
          <w:p w14:paraId="64915E51"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37DC2B2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Trust in Government Health Campaigns (%)</w:t>
            </w:r>
          </w:p>
        </w:tc>
        <w:tc>
          <w:tcPr>
            <w:tcW w:w="0" w:type="auto"/>
            <w:hideMark/>
          </w:tcPr>
          <w:p w14:paraId="146F8BC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Trust in Private Sector Health Campaigns (%)</w:t>
            </w:r>
          </w:p>
        </w:tc>
        <w:tc>
          <w:tcPr>
            <w:tcW w:w="0" w:type="auto"/>
            <w:hideMark/>
          </w:tcPr>
          <w:p w14:paraId="1652DFC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Perceived Effectiveness of Campaigns (%)</w:t>
            </w:r>
          </w:p>
        </w:tc>
      </w:tr>
      <w:tr w:rsidR="007E3046" w:rsidRPr="007E3046" w14:paraId="3F047A86" w14:textId="77777777" w:rsidTr="007E3046">
        <w:tc>
          <w:tcPr>
            <w:tcW w:w="0" w:type="auto"/>
            <w:hideMark/>
          </w:tcPr>
          <w:p w14:paraId="2C37FC2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7AD08A2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78.5%</w:t>
            </w:r>
          </w:p>
        </w:tc>
        <w:tc>
          <w:tcPr>
            <w:tcW w:w="0" w:type="auto"/>
            <w:hideMark/>
          </w:tcPr>
          <w:p w14:paraId="2D51DAC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67.4%</w:t>
            </w:r>
          </w:p>
        </w:tc>
        <w:tc>
          <w:tcPr>
            <w:tcW w:w="0" w:type="auto"/>
            <w:hideMark/>
          </w:tcPr>
          <w:p w14:paraId="3842FD0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75.6%</w:t>
            </w:r>
          </w:p>
        </w:tc>
      </w:tr>
      <w:tr w:rsidR="007E3046" w:rsidRPr="007E3046" w14:paraId="113F3F6C" w14:textId="77777777" w:rsidTr="007E3046">
        <w:tc>
          <w:tcPr>
            <w:tcW w:w="0" w:type="auto"/>
            <w:hideMark/>
          </w:tcPr>
          <w:p w14:paraId="29DD35E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2668D25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58.3%</w:t>
            </w:r>
          </w:p>
        </w:tc>
        <w:tc>
          <w:tcPr>
            <w:tcW w:w="0" w:type="auto"/>
            <w:hideMark/>
          </w:tcPr>
          <w:p w14:paraId="1E5AA9D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43.7%</w:t>
            </w:r>
          </w:p>
        </w:tc>
        <w:tc>
          <w:tcPr>
            <w:tcW w:w="0" w:type="auto"/>
            <w:hideMark/>
          </w:tcPr>
          <w:p w14:paraId="1731E96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57.1%</w:t>
            </w:r>
          </w:p>
        </w:tc>
      </w:tr>
      <w:tr w:rsidR="007E3046" w:rsidRPr="007E3046" w14:paraId="6A136448" w14:textId="77777777" w:rsidTr="007E3046">
        <w:tc>
          <w:tcPr>
            <w:tcW w:w="0" w:type="auto"/>
            <w:hideMark/>
          </w:tcPr>
          <w:p w14:paraId="4270CF4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7CCD983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41.9%</w:t>
            </w:r>
          </w:p>
        </w:tc>
        <w:tc>
          <w:tcPr>
            <w:tcW w:w="0" w:type="auto"/>
            <w:hideMark/>
          </w:tcPr>
          <w:p w14:paraId="765618C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27.3%</w:t>
            </w:r>
          </w:p>
        </w:tc>
        <w:tc>
          <w:tcPr>
            <w:tcW w:w="0" w:type="auto"/>
            <w:hideMark/>
          </w:tcPr>
          <w:p w14:paraId="6001622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39.2%</w:t>
            </w:r>
          </w:p>
        </w:tc>
      </w:tr>
    </w:tbl>
    <w:p w14:paraId="04FB04E3" w14:textId="6A75BF07"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World Bank Public Health Survey (2023)</w:t>
      </w:r>
    </w:p>
    <w:p w14:paraId="3E26B1F2" w14:textId="77777777" w:rsidR="001E2E9C" w:rsidRDefault="001E2E9C"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044AF34A" wp14:editId="7036D652">
            <wp:extent cx="5635256" cy="3551274"/>
            <wp:effectExtent l="0" t="0" r="3810" b="11430"/>
            <wp:docPr id="457784511" name="Chart 1">
              <a:extLst xmlns:a="http://schemas.openxmlformats.org/drawingml/2006/main">
                <a:ext uri="{FF2B5EF4-FFF2-40B4-BE49-F238E27FC236}">
                  <a16:creationId xmlns:a16="http://schemas.microsoft.com/office/drawing/2014/main" id="{54EE5A71-4A95-F79D-2D65-8B24BE97E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87B59F" w14:textId="61CF802C" w:rsidR="005E1CBD" w:rsidRPr="007E3046" w:rsidRDefault="006D47C7" w:rsidP="005E1CBD">
      <w:pPr>
        <w:spacing w:before="240" w:line="240" w:lineRule="auto"/>
        <w:jc w:val="both"/>
        <w:rPr>
          <w:rFonts w:ascii="Times New Roman" w:hAnsi="Times New Roman" w:cs="Times New Roman"/>
          <w:b/>
          <w:bCs/>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11-</w:t>
      </w:r>
      <w:r w:rsidR="005E1CBD">
        <w:rPr>
          <w:rFonts w:ascii="Times New Roman" w:hAnsi="Times New Roman" w:cs="Times New Roman"/>
          <w:sz w:val="24"/>
          <w:szCs w:val="24"/>
        </w:rPr>
        <w:t xml:space="preserve"> Perception of the Public toward </w:t>
      </w:r>
      <w:r w:rsidR="005E1CBD" w:rsidRPr="005E1CBD">
        <w:rPr>
          <w:rFonts w:ascii="Times New Roman" w:hAnsi="Times New Roman" w:cs="Times New Roman"/>
          <w:sz w:val="24"/>
          <w:szCs w:val="24"/>
        </w:rPr>
        <w:t>Health Campaigns</w:t>
      </w:r>
    </w:p>
    <w:p w14:paraId="2033600E"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Public trust is another important determinant. </w:t>
      </w:r>
      <w:r w:rsidRPr="0075544E">
        <w:rPr>
          <w:rFonts w:ascii="Times New Roman" w:hAnsi="Times New Roman" w:cs="Times New Roman"/>
          <w:b/>
          <w:bCs/>
          <w:sz w:val="24"/>
          <w:szCs w:val="24"/>
        </w:rPr>
        <w:t>Table 11</w:t>
      </w:r>
      <w:r w:rsidRPr="0075544E">
        <w:rPr>
          <w:rFonts w:ascii="Times New Roman" w:hAnsi="Times New Roman" w:cs="Times New Roman"/>
          <w:sz w:val="24"/>
          <w:szCs w:val="24"/>
        </w:rPr>
        <w:t xml:space="preserve"> shows that trust in government and private-sector health campaigns is highest in developed countries and lowest in underdeveloped countries (World Bank, 2023). Where public trust is low, message reception and campaign credibility are weakened. This indicates that health marketing success depends not only on communication intensity but also on the legitimacy of the institutions delivering the message.</w:t>
      </w:r>
    </w:p>
    <w:p w14:paraId="2188AC49" w14:textId="4D738086"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12. Cultural Factors and Health Campaign Effectiveness</w:t>
      </w:r>
    </w:p>
    <w:tbl>
      <w:tblPr>
        <w:tblStyle w:val="TableGrid"/>
        <w:tblW w:w="0" w:type="auto"/>
        <w:tblLook w:val="04A0" w:firstRow="1" w:lastRow="0" w:firstColumn="1" w:lastColumn="0" w:noHBand="0" w:noVBand="1"/>
      </w:tblPr>
      <w:tblGrid>
        <w:gridCol w:w="2015"/>
        <w:gridCol w:w="1684"/>
        <w:gridCol w:w="1827"/>
        <w:gridCol w:w="1621"/>
        <w:gridCol w:w="1869"/>
      </w:tblGrid>
      <w:tr w:rsidR="007E3046" w:rsidRPr="007E3046" w14:paraId="25CB3609" w14:textId="77777777" w:rsidTr="007E3046">
        <w:tc>
          <w:tcPr>
            <w:tcW w:w="0" w:type="auto"/>
            <w:hideMark/>
          </w:tcPr>
          <w:p w14:paraId="13462E76"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0671125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Cultural Acceptance (%)</w:t>
            </w:r>
          </w:p>
        </w:tc>
        <w:tc>
          <w:tcPr>
            <w:tcW w:w="0" w:type="auto"/>
            <w:hideMark/>
          </w:tcPr>
          <w:p w14:paraId="3AD9C3FD"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Resistance to Health Messages (%)</w:t>
            </w:r>
          </w:p>
        </w:tc>
        <w:tc>
          <w:tcPr>
            <w:tcW w:w="0" w:type="auto"/>
            <w:hideMark/>
          </w:tcPr>
          <w:p w14:paraId="4F408AB7"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Influence of Local Beliefs (%)</w:t>
            </w:r>
          </w:p>
        </w:tc>
        <w:tc>
          <w:tcPr>
            <w:tcW w:w="0" w:type="auto"/>
            <w:hideMark/>
          </w:tcPr>
          <w:p w14:paraId="7A16651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Role of Religious Institutions (%)</w:t>
            </w:r>
          </w:p>
        </w:tc>
      </w:tr>
      <w:tr w:rsidR="007E3046" w:rsidRPr="007E3046" w14:paraId="5FCB2090" w14:textId="77777777" w:rsidTr="007E3046">
        <w:tc>
          <w:tcPr>
            <w:tcW w:w="0" w:type="auto"/>
            <w:hideMark/>
          </w:tcPr>
          <w:p w14:paraId="7FE4BC5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051AB4AC"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85.2%</w:t>
            </w:r>
          </w:p>
        </w:tc>
        <w:tc>
          <w:tcPr>
            <w:tcW w:w="0" w:type="auto"/>
            <w:hideMark/>
          </w:tcPr>
          <w:p w14:paraId="6C91D43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7.6%</w:t>
            </w:r>
          </w:p>
        </w:tc>
        <w:tc>
          <w:tcPr>
            <w:tcW w:w="0" w:type="auto"/>
            <w:hideMark/>
          </w:tcPr>
          <w:p w14:paraId="318748D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12.8%</w:t>
            </w:r>
          </w:p>
        </w:tc>
        <w:tc>
          <w:tcPr>
            <w:tcW w:w="0" w:type="auto"/>
            <w:hideMark/>
          </w:tcPr>
          <w:p w14:paraId="2E02AB3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6.4%</w:t>
            </w:r>
          </w:p>
        </w:tc>
      </w:tr>
      <w:tr w:rsidR="007E3046" w:rsidRPr="007E3046" w14:paraId="16B1FEAA" w14:textId="77777777" w:rsidTr="007E3046">
        <w:tc>
          <w:tcPr>
            <w:tcW w:w="0" w:type="auto"/>
            <w:hideMark/>
          </w:tcPr>
          <w:p w14:paraId="0EAD1FE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22AE013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71.4%</w:t>
            </w:r>
          </w:p>
        </w:tc>
        <w:tc>
          <w:tcPr>
            <w:tcW w:w="0" w:type="auto"/>
            <w:hideMark/>
          </w:tcPr>
          <w:p w14:paraId="08707C9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21.2%</w:t>
            </w:r>
          </w:p>
        </w:tc>
        <w:tc>
          <w:tcPr>
            <w:tcW w:w="0" w:type="auto"/>
            <w:hideMark/>
          </w:tcPr>
          <w:p w14:paraId="5E683A6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38.3%</w:t>
            </w:r>
          </w:p>
        </w:tc>
        <w:tc>
          <w:tcPr>
            <w:tcW w:w="0" w:type="auto"/>
            <w:hideMark/>
          </w:tcPr>
          <w:p w14:paraId="5F95EFF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30.1%</w:t>
            </w:r>
          </w:p>
        </w:tc>
      </w:tr>
      <w:tr w:rsidR="007E3046" w:rsidRPr="007E3046" w14:paraId="22DD8F98" w14:textId="77777777" w:rsidTr="007E3046">
        <w:tc>
          <w:tcPr>
            <w:tcW w:w="0" w:type="auto"/>
            <w:hideMark/>
          </w:tcPr>
          <w:p w14:paraId="4583766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5F61510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51.7%</w:t>
            </w:r>
          </w:p>
        </w:tc>
        <w:tc>
          <w:tcPr>
            <w:tcW w:w="0" w:type="auto"/>
            <w:hideMark/>
          </w:tcPr>
          <w:p w14:paraId="336EB26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38.4%</w:t>
            </w:r>
          </w:p>
        </w:tc>
        <w:tc>
          <w:tcPr>
            <w:tcW w:w="0" w:type="auto"/>
            <w:hideMark/>
          </w:tcPr>
          <w:p w14:paraId="38BE844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60.9%</w:t>
            </w:r>
          </w:p>
        </w:tc>
        <w:tc>
          <w:tcPr>
            <w:tcW w:w="0" w:type="auto"/>
            <w:hideMark/>
          </w:tcPr>
          <w:p w14:paraId="7FE5DC2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45.3%</w:t>
            </w:r>
          </w:p>
        </w:tc>
      </w:tr>
    </w:tbl>
    <w:p w14:paraId="28DA841A" w14:textId="21D48BCD" w:rsid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United Nations Development </w:t>
      </w:r>
      <w:proofErr w:type="spellStart"/>
      <w:r w:rsidRPr="00406402">
        <w:rPr>
          <w:rFonts w:ascii="Times New Roman" w:hAnsi="Times New Roman" w:cs="Times New Roman"/>
          <w:sz w:val="24"/>
          <w:szCs w:val="24"/>
        </w:rPr>
        <w:t>Programme</w:t>
      </w:r>
      <w:proofErr w:type="spellEnd"/>
      <w:r w:rsidRPr="00406402">
        <w:rPr>
          <w:rFonts w:ascii="Times New Roman" w:hAnsi="Times New Roman" w:cs="Times New Roman"/>
          <w:sz w:val="24"/>
          <w:szCs w:val="24"/>
        </w:rPr>
        <w:t xml:space="preserve"> (UNDP) Cultural Influence on Health Report (2023)</w:t>
      </w:r>
    </w:p>
    <w:p w14:paraId="2972EEF6" w14:textId="77777777" w:rsidR="001E2E9C" w:rsidRDefault="001E2E9C"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6739F946" wp14:editId="4F03FDAF">
            <wp:extent cx="5698490" cy="3274828"/>
            <wp:effectExtent l="0" t="0" r="16510" b="1905"/>
            <wp:docPr id="51202291" name="Chart 1">
              <a:extLst xmlns:a="http://schemas.openxmlformats.org/drawingml/2006/main">
                <a:ext uri="{FF2B5EF4-FFF2-40B4-BE49-F238E27FC236}">
                  <a16:creationId xmlns:a16="http://schemas.microsoft.com/office/drawing/2014/main" id="{60CBAFF0-5F20-1905-6E83-A3B533979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908222" w14:textId="72503B18" w:rsidR="006D47C7" w:rsidRDefault="006D47C7" w:rsidP="00342805">
      <w:pPr>
        <w:spacing w:before="240" w:line="240" w:lineRule="auto"/>
        <w:jc w:val="both"/>
        <w:rPr>
          <w:rFonts w:ascii="Times New Roman" w:hAnsi="Times New Roman" w:cs="Times New Roman"/>
          <w:sz w:val="24"/>
          <w:szCs w:val="24"/>
        </w:rPr>
      </w:pPr>
      <w:proofErr w:type="gramStart"/>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12</w:t>
      </w:r>
      <w:proofErr w:type="gramEnd"/>
      <w:r>
        <w:rPr>
          <w:rFonts w:ascii="Times New Roman" w:hAnsi="Times New Roman" w:cs="Times New Roman"/>
          <w:sz w:val="24"/>
          <w:szCs w:val="24"/>
        </w:rPr>
        <w:t>-</w:t>
      </w:r>
      <w:r w:rsidR="000F165F">
        <w:rPr>
          <w:rFonts w:ascii="Times New Roman" w:hAnsi="Times New Roman" w:cs="Times New Roman"/>
          <w:sz w:val="24"/>
          <w:szCs w:val="24"/>
        </w:rPr>
        <w:t xml:space="preserve"> Impact of </w:t>
      </w:r>
      <w:r w:rsidR="000F165F" w:rsidRPr="000F165F">
        <w:rPr>
          <w:rFonts w:ascii="Times New Roman" w:hAnsi="Times New Roman" w:cs="Times New Roman"/>
          <w:sz w:val="24"/>
          <w:szCs w:val="24"/>
        </w:rPr>
        <w:t xml:space="preserve">Cultural Factors </w:t>
      </w:r>
      <w:r w:rsidR="000F165F">
        <w:rPr>
          <w:rFonts w:ascii="Times New Roman" w:hAnsi="Times New Roman" w:cs="Times New Roman"/>
          <w:sz w:val="24"/>
          <w:szCs w:val="24"/>
        </w:rPr>
        <w:t xml:space="preserve">on </w:t>
      </w:r>
      <w:r w:rsidR="000F165F" w:rsidRPr="000F165F">
        <w:rPr>
          <w:rFonts w:ascii="Times New Roman" w:hAnsi="Times New Roman" w:cs="Times New Roman"/>
          <w:sz w:val="24"/>
          <w:szCs w:val="24"/>
        </w:rPr>
        <w:t>Health Campaign Effectiveness</w:t>
      </w:r>
    </w:p>
    <w:p w14:paraId="50450ABB"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findings in </w:t>
      </w:r>
      <w:r w:rsidRPr="0075544E">
        <w:rPr>
          <w:rFonts w:ascii="Times New Roman" w:hAnsi="Times New Roman" w:cs="Times New Roman"/>
          <w:b/>
          <w:bCs/>
          <w:sz w:val="24"/>
          <w:szCs w:val="24"/>
        </w:rPr>
        <w:t>Table 12</w:t>
      </w:r>
      <w:r w:rsidRPr="0075544E">
        <w:rPr>
          <w:rFonts w:ascii="Times New Roman" w:hAnsi="Times New Roman" w:cs="Times New Roman"/>
          <w:sz w:val="24"/>
          <w:szCs w:val="24"/>
        </w:rPr>
        <w:t xml:space="preserve"> demonstrate that cultural acceptance declines and resistance rises from developed to underdeveloped countries (UNDP, 2023). However, these results should not be interpreted only negatively. In developing and underdeveloped countries, local beliefs and religious institutions have a stronger role in shaping health attitudes. While this may create resistance when campaigns are poorly aligned with local context, it may also create opportunities for stronger campaign acceptance when local leaders and community institutions are engaged constructively (Douglas &amp; Craig, 2011; </w:t>
      </w:r>
      <w:proofErr w:type="spellStart"/>
      <w:r w:rsidRPr="0075544E">
        <w:rPr>
          <w:rFonts w:ascii="Times New Roman" w:hAnsi="Times New Roman" w:cs="Times New Roman"/>
          <w:sz w:val="24"/>
          <w:szCs w:val="24"/>
        </w:rPr>
        <w:t>Mascayano</w:t>
      </w:r>
      <w:proofErr w:type="spellEnd"/>
      <w:r w:rsidRPr="0075544E">
        <w:rPr>
          <w:rFonts w:ascii="Times New Roman" w:hAnsi="Times New Roman" w:cs="Times New Roman"/>
          <w:sz w:val="24"/>
          <w:szCs w:val="24"/>
        </w:rPr>
        <w:t xml:space="preserve"> et al., 2015). Thus, culture can operate as either a barrier or an enabling force.</w:t>
      </w:r>
    </w:p>
    <w:p w14:paraId="72E1FA93" w14:textId="18246182" w:rsidR="008A456A" w:rsidRPr="008A456A"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A456A" w:rsidRPr="008A456A">
        <w:rPr>
          <w:rFonts w:ascii="Times New Roman" w:hAnsi="Times New Roman" w:cs="Times New Roman"/>
          <w:b/>
          <w:bCs/>
          <w:sz w:val="24"/>
          <w:szCs w:val="24"/>
        </w:rPr>
        <w:t>. Discussion</w:t>
      </w:r>
    </w:p>
    <w:p w14:paraId="0A34D4AB"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The findings confirm that health marketing strategies cannot be evaluated independently of development context. Developed countries perform better across nearly all dimensions examined in this study, including public financing, digital penetration, telemedicine use, digital literacy, campaign reach, and post-campaign behavior change. These conditions allow health campaigns to be more precisely targeted and more deeply integrated into formal healthcare systems (Murshid &amp; </w:t>
      </w:r>
      <w:proofErr w:type="spellStart"/>
      <w:r w:rsidRPr="0075544E">
        <w:rPr>
          <w:rFonts w:ascii="Times New Roman" w:hAnsi="Times New Roman" w:cs="Times New Roman"/>
          <w:sz w:val="24"/>
          <w:szCs w:val="24"/>
        </w:rPr>
        <w:t>Mohaidin</w:t>
      </w:r>
      <w:proofErr w:type="spellEnd"/>
      <w:r w:rsidRPr="0075544E">
        <w:rPr>
          <w:rFonts w:ascii="Times New Roman" w:hAnsi="Times New Roman" w:cs="Times New Roman"/>
          <w:sz w:val="24"/>
          <w:szCs w:val="24"/>
        </w:rPr>
        <w:t>, 2017; Smith, 2010). This explains why digital-first health communication strategies are more effective in these settings.</w:t>
      </w:r>
    </w:p>
    <w:p w14:paraId="5823FCF8" w14:textId="022F9F0F"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By contrast, developing countries face transitional conditions. They have greater digital capacity than underdeveloped countries but still experience considerable constraints. Their health marketing strategies are therefore hybrid in nature, combining digital tools with radio, community outreach, and SMS-based methods. This supports earlier work showing that developing-country communication systems often reflect innovation under constraint rather than full-scale digital transformation (Peters et al., 2008; Dholakia, 2014). The findings also suggest that health marketing in these settings becomes more effective when communication uses accessible platforms and trusted intermediaries rather than depending exclusively on app-based or internet-intensive systems.</w:t>
      </w:r>
      <w:r>
        <w:rPr>
          <w:rFonts w:ascii="Times New Roman" w:hAnsi="Times New Roman" w:cs="Times New Roman"/>
          <w:sz w:val="24"/>
          <w:szCs w:val="24"/>
        </w:rPr>
        <w:t xml:space="preserve"> </w:t>
      </w:r>
      <w:r w:rsidRPr="0075544E">
        <w:rPr>
          <w:rFonts w:ascii="Times New Roman" w:hAnsi="Times New Roman" w:cs="Times New Roman"/>
          <w:sz w:val="24"/>
          <w:szCs w:val="24"/>
        </w:rPr>
        <w:t xml:space="preserve">Underdeveloped countries face the deepest barriers. Weak infrastructure, limited healthcare access, lower literacy, reduced trust, and financial dependence </w:t>
      </w:r>
      <w:r w:rsidRPr="0075544E">
        <w:rPr>
          <w:rFonts w:ascii="Times New Roman" w:hAnsi="Times New Roman" w:cs="Times New Roman"/>
          <w:sz w:val="24"/>
          <w:szCs w:val="24"/>
        </w:rPr>
        <w:lastRenderedPageBreak/>
        <w:t>all constrain campaign effectiveness. In these settings, traditional communication methods and interpersonal outreach remain especially important. This does not mean digital health has no role; rather, it means digital health must be introduced realistically and gradually, in ways that match existing infrastructure and literacy conditions. The data suggest that communication strategies which ignore these realities are unlikely to succeed.</w:t>
      </w:r>
    </w:p>
    <w:p w14:paraId="3381E555" w14:textId="1FB292B3"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 xml:space="preserve">One important contribution of this study is its treatment of cultural influence as both a challenge and an opportunity. The original tendency in many comparative discussions is to frame culture primarily as resistance. However, the present findings suggest a more balanced interpretation. In lower-resource contexts, religious institutions, community norms, and local leadership structures may hinder campaign uptake when messages appear externally imposed or culturally insensitive. At the same time, these same institutions may strengthen public trust and improve dissemination when campaigns are framed through culturally acceptable channels (Douglas &amp; Craig, 2011; </w:t>
      </w:r>
      <w:proofErr w:type="spellStart"/>
      <w:r w:rsidRPr="0075544E">
        <w:rPr>
          <w:rFonts w:ascii="Times New Roman" w:hAnsi="Times New Roman" w:cs="Times New Roman"/>
          <w:sz w:val="24"/>
          <w:szCs w:val="24"/>
        </w:rPr>
        <w:t>Mascayano</w:t>
      </w:r>
      <w:proofErr w:type="spellEnd"/>
      <w:r w:rsidRPr="0075544E">
        <w:rPr>
          <w:rFonts w:ascii="Times New Roman" w:hAnsi="Times New Roman" w:cs="Times New Roman"/>
          <w:sz w:val="24"/>
          <w:szCs w:val="24"/>
        </w:rPr>
        <w:t xml:space="preserve"> et al., 2015). Thus, the issue is not whether culture matters, but whether campaigns are designed in a culturally responsive way.</w:t>
      </w:r>
      <w:r>
        <w:rPr>
          <w:rFonts w:ascii="Times New Roman" w:hAnsi="Times New Roman" w:cs="Times New Roman"/>
          <w:sz w:val="24"/>
          <w:szCs w:val="24"/>
        </w:rPr>
        <w:t xml:space="preserve"> </w:t>
      </w:r>
      <w:r w:rsidRPr="0075544E">
        <w:rPr>
          <w:rFonts w:ascii="Times New Roman" w:hAnsi="Times New Roman" w:cs="Times New Roman"/>
          <w:sz w:val="24"/>
          <w:szCs w:val="24"/>
        </w:rPr>
        <w:t>The study also highlights the growing relevance of mHealth and telemedicine, especially after COVID-19. The pandemic accelerated the use of digital health tools worldwide, including in settings that had previously relied mainly on physical and community-based communication. However, the uneven pattern of adoption shows that digital expansion alone is insufficient. Effective post-COVID health marketing depends on the interaction between technology and context. Telemedicine, for example, may improve health communication reach in developing countries, but only if supported by affordability, internet access, user trust, and some degree of digital literacy (Acheampong et al., 2023; Syed et al., 2012).</w:t>
      </w:r>
    </w:p>
    <w:p w14:paraId="6F41CC7B" w14:textId="6C931D0C"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Another important insight concerns sustainability. Developed countries rely mainly on public financing, whereas underdeveloped countries are much more dependent on international aid and community contributions. This has consequences for continuity and ownership. Health marketing systems that depend primarily on external support may struggle to sustain long-term campaigns, respond flexibly to local needs, or build strong institutional trust. Therefore, strengthening domestic health communication capacity should be treated as a strategic objective in lower-resource settings.</w:t>
      </w:r>
      <w:r>
        <w:rPr>
          <w:rFonts w:ascii="Times New Roman" w:hAnsi="Times New Roman" w:cs="Times New Roman"/>
          <w:sz w:val="24"/>
          <w:szCs w:val="24"/>
        </w:rPr>
        <w:t xml:space="preserve"> T</w:t>
      </w:r>
      <w:r w:rsidRPr="0075544E">
        <w:rPr>
          <w:rFonts w:ascii="Times New Roman" w:hAnsi="Times New Roman" w:cs="Times New Roman"/>
          <w:sz w:val="24"/>
          <w:szCs w:val="24"/>
        </w:rPr>
        <w:t>he findings support the argument that health marketing should be context-specific, multi-channel, and socially embedded. Digital innovation is important, but it cannot replace the need for trusted communication pathways, accessible design, and structural support for behavior change.</w:t>
      </w:r>
    </w:p>
    <w:p w14:paraId="26DF070F" w14:textId="77777777" w:rsidR="001145B5"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A456A" w:rsidRPr="008A456A">
        <w:rPr>
          <w:rFonts w:ascii="Times New Roman" w:hAnsi="Times New Roman" w:cs="Times New Roman"/>
          <w:b/>
          <w:bCs/>
          <w:sz w:val="24"/>
          <w:szCs w:val="24"/>
        </w:rPr>
        <w:t>. Conclusion</w:t>
      </w:r>
    </w:p>
    <w:p w14:paraId="4DF47988" w14:textId="15E20F85"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This study examined health marketing strategies across developed, developing, and underdeveloped countries using a comparative secondary-data framework. The findings show that health marketing effectiveness is shaped by the combined influence of public investment, digital infrastructure, healthcare access, literacy, public trust, and cultural context. Developed countries perform more strongly because they benefit from well-funded health systems, broad digital penetration, higher literacy, and stronger institutional support for telemedicine and mHealth. These conditions make digital health communication more effective and more scalable.</w:t>
      </w:r>
      <w:r>
        <w:rPr>
          <w:rFonts w:ascii="Times New Roman" w:hAnsi="Times New Roman" w:cs="Times New Roman"/>
          <w:sz w:val="24"/>
          <w:szCs w:val="24"/>
        </w:rPr>
        <w:t xml:space="preserve"> </w:t>
      </w:r>
      <w:r w:rsidRPr="0075544E">
        <w:rPr>
          <w:rFonts w:ascii="Times New Roman" w:hAnsi="Times New Roman" w:cs="Times New Roman"/>
          <w:sz w:val="24"/>
          <w:szCs w:val="24"/>
        </w:rPr>
        <w:t>Developing countries demonstrate partial digital advancement but still depend substantially on hybrid communication strategies that combine digital and traditional methods. Their experience shows that mobile messaging, community outreach, and radio remain relevant when digital access is uneven. Underdeveloped countries face the strongest constraints, including low healthcare access, weak infrastructure, affordability barriers, and lower public trust. In these settings, health marketing remains most effective when it is community-oriented, culturally grounded, and supported by trusted local intermediaries.</w:t>
      </w:r>
      <w:r>
        <w:rPr>
          <w:rFonts w:ascii="Times New Roman" w:hAnsi="Times New Roman" w:cs="Times New Roman"/>
          <w:sz w:val="24"/>
          <w:szCs w:val="24"/>
        </w:rPr>
        <w:t xml:space="preserve"> </w:t>
      </w:r>
      <w:r w:rsidRPr="0075544E">
        <w:rPr>
          <w:rFonts w:ascii="Times New Roman" w:hAnsi="Times New Roman" w:cs="Times New Roman"/>
          <w:sz w:val="24"/>
          <w:szCs w:val="24"/>
        </w:rPr>
        <w:t xml:space="preserve">The study also concludes </w:t>
      </w:r>
      <w:r w:rsidRPr="0075544E">
        <w:rPr>
          <w:rFonts w:ascii="Times New Roman" w:hAnsi="Times New Roman" w:cs="Times New Roman"/>
          <w:sz w:val="24"/>
          <w:szCs w:val="24"/>
        </w:rPr>
        <w:lastRenderedPageBreak/>
        <w:t>that cultural factors should not be viewed only as obstacles. When campaigns are adapted to local beliefs, languages, and social structures, cultural institutions can support message acceptance and improve campaign legitimacy. Likewise, the post-COVID growth of telemedicine and mHealth offers important opportunities, but these opportunities will remain uneven unless supported by investment in infrastructure, literacy, and affordability.</w:t>
      </w:r>
      <w:r>
        <w:rPr>
          <w:rFonts w:ascii="Times New Roman" w:hAnsi="Times New Roman" w:cs="Times New Roman"/>
          <w:sz w:val="24"/>
          <w:szCs w:val="24"/>
        </w:rPr>
        <w:t xml:space="preserve"> </w:t>
      </w:r>
      <w:r w:rsidRPr="0075544E">
        <w:rPr>
          <w:rFonts w:ascii="Times New Roman" w:hAnsi="Times New Roman" w:cs="Times New Roman"/>
          <w:sz w:val="24"/>
          <w:szCs w:val="24"/>
        </w:rPr>
        <w:t>In practical terms, the study contributes to the literature by showing that health marketing cannot be standardized across all development contexts. Its design and delivery must reflect the structural and cultural realities of the target population. Policymakers and public health communicators should therefore adopt context-sensitive, multi-channel strategies that combine digital innovation with trusted offline communication systems. Such an approach is essential for improving campaign effectiveness and advancing more equitable global health outcomes.</w:t>
      </w:r>
    </w:p>
    <w:p w14:paraId="5D35BDF0"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7. Limitations of the Study</w:t>
      </w:r>
    </w:p>
    <w:p w14:paraId="71C48AF5"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This study has several limitations. First, it is based on secondary data, which means the analysis depends on the quality, comparability, and reporting approaches of existing institutional sources. Second, the use of broad categories such as developed, developing, and underdeveloped countries helps comparison but may overlook important differences within each category. Third, the analysis is descriptive and comparative rather than causal, so it identifies patterns and relationships but does not establish cause-and-effect mechanisms. Fourth, some reported indicators originate from different institutions and may reflect variations in measurement frameworks. Future research may strengthen this area by using country-level datasets, longitudinal designs, or mixed-method approaches that combine comparative statistics with field-based evidence from specific health campaigns.</w:t>
      </w:r>
    </w:p>
    <w:p w14:paraId="3F9202A9" w14:textId="77777777" w:rsidR="0075544E" w:rsidRPr="0075544E" w:rsidRDefault="0075544E" w:rsidP="0075544E">
      <w:pPr>
        <w:spacing w:before="240" w:line="240" w:lineRule="auto"/>
        <w:jc w:val="both"/>
        <w:rPr>
          <w:rFonts w:ascii="Times New Roman" w:hAnsi="Times New Roman" w:cs="Times New Roman"/>
          <w:b/>
          <w:bCs/>
          <w:sz w:val="24"/>
          <w:szCs w:val="24"/>
        </w:rPr>
      </w:pPr>
      <w:r w:rsidRPr="0075544E">
        <w:rPr>
          <w:rFonts w:ascii="Times New Roman" w:hAnsi="Times New Roman" w:cs="Times New Roman"/>
          <w:b/>
          <w:bCs/>
          <w:sz w:val="24"/>
          <w:szCs w:val="24"/>
        </w:rPr>
        <w:t>Disclaimer (Artificial Intelligence)</w:t>
      </w:r>
    </w:p>
    <w:p w14:paraId="5F7CE38F" w14:textId="77777777" w:rsidR="0075544E" w:rsidRPr="0075544E" w:rsidRDefault="0075544E" w:rsidP="0075544E">
      <w:pPr>
        <w:spacing w:before="240" w:line="240" w:lineRule="auto"/>
        <w:jc w:val="both"/>
        <w:rPr>
          <w:rFonts w:ascii="Times New Roman" w:hAnsi="Times New Roman" w:cs="Times New Roman"/>
          <w:sz w:val="24"/>
          <w:szCs w:val="24"/>
        </w:rPr>
      </w:pPr>
      <w:r w:rsidRPr="0075544E">
        <w:rPr>
          <w:rFonts w:ascii="Times New Roman" w:hAnsi="Times New Roman" w:cs="Times New Roman"/>
          <w:sz w:val="24"/>
          <w:szCs w:val="24"/>
        </w:rPr>
        <w:t>Author(s) hereby declare that no generative AI technologies such as large language models or text-to-image generators were used in the writing or editing of this manuscript.</w:t>
      </w:r>
    </w:p>
    <w:p w14:paraId="05A8225D" w14:textId="572709BC" w:rsidR="000309C0" w:rsidRPr="000309C0" w:rsidRDefault="000309C0" w:rsidP="00342805">
      <w:pPr>
        <w:spacing w:before="240" w:line="240" w:lineRule="auto"/>
        <w:jc w:val="both"/>
        <w:rPr>
          <w:rFonts w:ascii="Times New Roman" w:hAnsi="Times New Roman" w:cs="Times New Roman"/>
          <w:b/>
          <w:bCs/>
          <w:sz w:val="24"/>
          <w:szCs w:val="24"/>
        </w:rPr>
      </w:pPr>
      <w:r w:rsidRPr="000309C0">
        <w:rPr>
          <w:rFonts w:ascii="Times New Roman" w:hAnsi="Times New Roman" w:cs="Times New Roman"/>
          <w:b/>
          <w:bCs/>
          <w:sz w:val="24"/>
          <w:szCs w:val="24"/>
        </w:rPr>
        <w:t>References</w:t>
      </w:r>
    </w:p>
    <w:p w14:paraId="1DF8F05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Acheampong, S., Liulov, O. V., &amp; Pimonenko, T. V. (2023). Digital marketing and sustainable economic development trends in developed and underdeveloped countries: A bibliometric analysis.</w:t>
      </w:r>
    </w:p>
    <w:p w14:paraId="722995A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Ahmad, A. E. M. K. (2007). </w:t>
      </w:r>
      <w:r w:rsidRPr="00C5465F">
        <w:rPr>
          <w:rFonts w:ascii="Times New Roman" w:hAnsi="Times New Roman" w:cs="Times New Roman"/>
          <w:i/>
          <w:iCs/>
          <w:sz w:val="24"/>
          <w:szCs w:val="24"/>
        </w:rPr>
        <w:t xml:space="preserve">The impact of competitive environment on the service marketing mix strategy of health </w:t>
      </w:r>
      <w:proofErr w:type="spellStart"/>
      <w:r w:rsidRPr="00C5465F">
        <w:rPr>
          <w:rFonts w:ascii="Times New Roman" w:hAnsi="Times New Roman" w:cs="Times New Roman"/>
          <w:i/>
          <w:iCs/>
          <w:sz w:val="24"/>
          <w:szCs w:val="24"/>
        </w:rPr>
        <w:t>organisations</w:t>
      </w:r>
      <w:proofErr w:type="spellEnd"/>
      <w:r w:rsidRPr="00C5465F">
        <w:rPr>
          <w:rFonts w:ascii="Times New Roman" w:hAnsi="Times New Roman" w:cs="Times New Roman"/>
          <w:i/>
          <w:iCs/>
          <w:sz w:val="24"/>
          <w:szCs w:val="24"/>
        </w:rPr>
        <w:t xml:space="preserve"> in developing countries: Jordanian private sector hospital senior managers perspective</w:t>
      </w:r>
      <w:r w:rsidRPr="00C5465F">
        <w:rPr>
          <w:rFonts w:ascii="Times New Roman" w:hAnsi="Times New Roman" w:cs="Times New Roman"/>
          <w:sz w:val="24"/>
          <w:szCs w:val="24"/>
        </w:rPr>
        <w:t> (Doctoral dissertation, University of Huddersfield).</w:t>
      </w:r>
    </w:p>
    <w:p w14:paraId="405FAD51"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de-DE"/>
        </w:rPr>
        <w:t xml:space="preserve">Chen, L., Li, T., &amp; Zhang, T. (2021). </w:t>
      </w:r>
      <w:r w:rsidRPr="00C5465F">
        <w:rPr>
          <w:rFonts w:ascii="Times New Roman" w:hAnsi="Times New Roman" w:cs="Times New Roman"/>
          <w:sz w:val="24"/>
          <w:szCs w:val="24"/>
        </w:rPr>
        <w:t>Supply chain leadership and firm performance: A meta-analysis. </w:t>
      </w:r>
      <w:r w:rsidRPr="00C5465F">
        <w:rPr>
          <w:rFonts w:ascii="Times New Roman" w:hAnsi="Times New Roman" w:cs="Times New Roman"/>
          <w:i/>
          <w:iCs/>
          <w:sz w:val="24"/>
          <w:szCs w:val="24"/>
        </w:rPr>
        <w:t>International Journal of Production Economics</w:t>
      </w:r>
      <w:r w:rsidRPr="00C5465F">
        <w:rPr>
          <w:rFonts w:ascii="Times New Roman" w:hAnsi="Times New Roman" w:cs="Times New Roman"/>
          <w:sz w:val="24"/>
          <w:szCs w:val="24"/>
        </w:rPr>
        <w:t>, </w:t>
      </w:r>
      <w:r w:rsidRPr="00C5465F">
        <w:rPr>
          <w:rFonts w:ascii="Times New Roman" w:hAnsi="Times New Roman" w:cs="Times New Roman"/>
          <w:i/>
          <w:iCs/>
          <w:sz w:val="24"/>
          <w:szCs w:val="24"/>
        </w:rPr>
        <w:t>235</w:t>
      </w:r>
      <w:r w:rsidRPr="00C5465F">
        <w:rPr>
          <w:rFonts w:ascii="Times New Roman" w:hAnsi="Times New Roman" w:cs="Times New Roman"/>
          <w:sz w:val="24"/>
          <w:szCs w:val="24"/>
        </w:rPr>
        <w:t>, 108082.</w:t>
      </w:r>
    </w:p>
    <w:p w14:paraId="3188E15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Coreil, J. (1997). Health behavior in developing countries. In </w:t>
      </w:r>
      <w:r w:rsidRPr="00C5465F">
        <w:rPr>
          <w:rFonts w:ascii="Times New Roman" w:hAnsi="Times New Roman" w:cs="Times New Roman"/>
          <w:i/>
          <w:iCs/>
          <w:sz w:val="24"/>
          <w:szCs w:val="24"/>
        </w:rPr>
        <w:t>Handbook of health behavior research III: Demography, development, and diversity</w:t>
      </w:r>
      <w:r w:rsidRPr="00C5465F">
        <w:rPr>
          <w:rFonts w:ascii="Times New Roman" w:hAnsi="Times New Roman" w:cs="Times New Roman"/>
          <w:sz w:val="24"/>
          <w:szCs w:val="24"/>
        </w:rPr>
        <w:t> (pp. 179-198). Boston, MA: Springer US.</w:t>
      </w:r>
    </w:p>
    <w:p w14:paraId="6B3A2D3C"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Dholakia, N. (2014). Marketing in less developed countries: its nature and prospects. In </w:t>
      </w:r>
      <w:r w:rsidRPr="00C5465F">
        <w:rPr>
          <w:rFonts w:ascii="Times New Roman" w:hAnsi="Times New Roman" w:cs="Times New Roman"/>
          <w:i/>
          <w:iCs/>
          <w:sz w:val="24"/>
          <w:szCs w:val="24"/>
        </w:rPr>
        <w:t>Marketing in Developing Countries (RLE Marketing)</w:t>
      </w:r>
      <w:r w:rsidRPr="00C5465F">
        <w:rPr>
          <w:rFonts w:ascii="Times New Roman" w:hAnsi="Times New Roman" w:cs="Times New Roman"/>
          <w:sz w:val="24"/>
          <w:szCs w:val="24"/>
        </w:rPr>
        <w:t> (pp. 10-28). Routledge.</w:t>
      </w:r>
    </w:p>
    <w:p w14:paraId="31E63415"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Douglas, S. P., &amp; Craig, C. S. (2011). Convergence and divergence: Developing a semiglobal marketing strategy. </w:t>
      </w:r>
      <w:r w:rsidRPr="00C5465F">
        <w:rPr>
          <w:rFonts w:ascii="Times New Roman" w:hAnsi="Times New Roman" w:cs="Times New Roman"/>
          <w:i/>
          <w:iCs/>
          <w:sz w:val="24"/>
          <w:szCs w:val="24"/>
        </w:rPr>
        <w:t>Journal of International Marketing</w:t>
      </w:r>
      <w:r w:rsidRPr="00C5465F">
        <w:rPr>
          <w:rFonts w:ascii="Times New Roman" w:hAnsi="Times New Roman" w:cs="Times New Roman"/>
          <w:sz w:val="24"/>
          <w:szCs w:val="24"/>
        </w:rPr>
        <w:t>, </w:t>
      </w:r>
      <w:r w:rsidRPr="00C5465F">
        <w:rPr>
          <w:rFonts w:ascii="Times New Roman" w:hAnsi="Times New Roman" w:cs="Times New Roman"/>
          <w:i/>
          <w:iCs/>
          <w:sz w:val="24"/>
          <w:szCs w:val="24"/>
        </w:rPr>
        <w:t>19</w:t>
      </w:r>
      <w:r w:rsidRPr="00C5465F">
        <w:rPr>
          <w:rFonts w:ascii="Times New Roman" w:hAnsi="Times New Roman" w:cs="Times New Roman"/>
          <w:sz w:val="24"/>
          <w:szCs w:val="24"/>
        </w:rPr>
        <w:t>(1), 82-101.</w:t>
      </w:r>
    </w:p>
    <w:p w14:paraId="6768E903"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pt-BR"/>
        </w:rPr>
        <w:t xml:space="preserve">Halkiopoulos, C., Igoumenakis, G., &amp; Theodoropoulou, A. (2023, August). </w:t>
      </w:r>
      <w:r w:rsidRPr="00C5465F">
        <w:rPr>
          <w:rFonts w:ascii="Times New Roman" w:hAnsi="Times New Roman" w:cs="Times New Roman"/>
          <w:sz w:val="24"/>
          <w:szCs w:val="24"/>
        </w:rPr>
        <w:t>Evaluation of Hotel Services Utilizing Digital Marketing Strategies in Less Developed Countries Within the Hospitality Industry. In </w:t>
      </w:r>
      <w:r w:rsidRPr="00C5465F">
        <w:rPr>
          <w:rFonts w:ascii="Times New Roman" w:hAnsi="Times New Roman" w:cs="Times New Roman"/>
          <w:i/>
          <w:iCs/>
          <w:sz w:val="24"/>
          <w:szCs w:val="24"/>
        </w:rPr>
        <w:t xml:space="preserve">International Conference of the International </w:t>
      </w:r>
      <w:r w:rsidRPr="00C5465F">
        <w:rPr>
          <w:rFonts w:ascii="Times New Roman" w:hAnsi="Times New Roman" w:cs="Times New Roman"/>
          <w:i/>
          <w:iCs/>
          <w:sz w:val="24"/>
          <w:szCs w:val="24"/>
        </w:rPr>
        <w:lastRenderedPageBreak/>
        <w:t>Association of Cultural and Digital Tourism</w:t>
      </w:r>
      <w:r w:rsidRPr="00C5465F">
        <w:rPr>
          <w:rFonts w:ascii="Times New Roman" w:hAnsi="Times New Roman" w:cs="Times New Roman"/>
          <w:sz w:val="24"/>
          <w:szCs w:val="24"/>
        </w:rPr>
        <w:t> (pp. 323-346). Cham: Springer Nature Switzerland.</w:t>
      </w:r>
    </w:p>
    <w:p w14:paraId="3EBFFAB2"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Hossain, M., Simula, H., &amp; Halme, M. (2016). Can frugal go global? Diffusion patterns of frugal innovations. </w:t>
      </w:r>
      <w:r w:rsidRPr="00C5465F">
        <w:rPr>
          <w:rFonts w:ascii="Times New Roman" w:hAnsi="Times New Roman" w:cs="Times New Roman"/>
          <w:i/>
          <w:iCs/>
          <w:sz w:val="24"/>
          <w:szCs w:val="24"/>
        </w:rPr>
        <w:t>Technology in society</w:t>
      </w:r>
      <w:r w:rsidRPr="00C5465F">
        <w:rPr>
          <w:rFonts w:ascii="Times New Roman" w:hAnsi="Times New Roman" w:cs="Times New Roman"/>
          <w:sz w:val="24"/>
          <w:szCs w:val="24"/>
        </w:rPr>
        <w:t>, </w:t>
      </w:r>
      <w:r w:rsidRPr="00C5465F">
        <w:rPr>
          <w:rFonts w:ascii="Times New Roman" w:hAnsi="Times New Roman" w:cs="Times New Roman"/>
          <w:i/>
          <w:iCs/>
          <w:sz w:val="24"/>
          <w:szCs w:val="24"/>
        </w:rPr>
        <w:t>46</w:t>
      </w:r>
      <w:r w:rsidRPr="00C5465F">
        <w:rPr>
          <w:rFonts w:ascii="Times New Roman" w:hAnsi="Times New Roman" w:cs="Times New Roman"/>
          <w:sz w:val="24"/>
          <w:szCs w:val="24"/>
        </w:rPr>
        <w:t>, 132-139.</w:t>
      </w:r>
    </w:p>
    <w:p w14:paraId="66015A00"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proofErr w:type="spellStart"/>
      <w:r w:rsidRPr="00C5465F">
        <w:rPr>
          <w:rFonts w:ascii="Times New Roman" w:hAnsi="Times New Roman" w:cs="Times New Roman"/>
          <w:sz w:val="24"/>
          <w:szCs w:val="24"/>
        </w:rPr>
        <w:t>Kwilinski</w:t>
      </w:r>
      <w:proofErr w:type="spellEnd"/>
      <w:r w:rsidRPr="00C5465F">
        <w:rPr>
          <w:rFonts w:ascii="Times New Roman" w:hAnsi="Times New Roman" w:cs="Times New Roman"/>
          <w:sz w:val="24"/>
          <w:szCs w:val="24"/>
        </w:rPr>
        <w:t>, A. (2024). Mapping global research on green energy and green investment: A comprehensive bibliometric study. </w:t>
      </w:r>
      <w:r w:rsidRPr="00C5465F">
        <w:rPr>
          <w:rFonts w:ascii="Times New Roman" w:hAnsi="Times New Roman" w:cs="Times New Roman"/>
          <w:i/>
          <w:iCs/>
          <w:sz w:val="24"/>
          <w:szCs w:val="24"/>
        </w:rPr>
        <w:t>Energies</w:t>
      </w:r>
      <w:r w:rsidRPr="00C5465F">
        <w:rPr>
          <w:rFonts w:ascii="Times New Roman" w:hAnsi="Times New Roman" w:cs="Times New Roman"/>
          <w:sz w:val="24"/>
          <w:szCs w:val="24"/>
        </w:rPr>
        <w:t>, </w:t>
      </w:r>
      <w:r w:rsidRPr="00C5465F">
        <w:rPr>
          <w:rFonts w:ascii="Times New Roman" w:hAnsi="Times New Roman" w:cs="Times New Roman"/>
          <w:i/>
          <w:iCs/>
          <w:sz w:val="24"/>
          <w:szCs w:val="24"/>
        </w:rPr>
        <w:t>17</w:t>
      </w:r>
      <w:r w:rsidRPr="00C5465F">
        <w:rPr>
          <w:rFonts w:ascii="Times New Roman" w:hAnsi="Times New Roman" w:cs="Times New Roman"/>
          <w:sz w:val="24"/>
          <w:szCs w:val="24"/>
        </w:rPr>
        <w:t>(5), 1119.</w:t>
      </w:r>
    </w:p>
    <w:p w14:paraId="5CE69BF2"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proofErr w:type="spellStart"/>
      <w:r w:rsidRPr="00C5465F">
        <w:rPr>
          <w:rFonts w:ascii="Times New Roman" w:hAnsi="Times New Roman" w:cs="Times New Roman"/>
          <w:sz w:val="24"/>
          <w:szCs w:val="24"/>
        </w:rPr>
        <w:t>Kwilinski</w:t>
      </w:r>
      <w:proofErr w:type="spellEnd"/>
      <w:r w:rsidRPr="00C5465F">
        <w:rPr>
          <w:rFonts w:ascii="Times New Roman" w:hAnsi="Times New Roman" w:cs="Times New Roman"/>
          <w:sz w:val="24"/>
          <w:szCs w:val="24"/>
        </w:rPr>
        <w:t>, A., &amp; Kardas, M. (2024). The role of the Pareto principle in quality management within Industry 4.0: A comprehensive bibliometric analysis. </w:t>
      </w:r>
      <w:r w:rsidRPr="00C5465F">
        <w:rPr>
          <w:rFonts w:ascii="Times New Roman" w:hAnsi="Times New Roman" w:cs="Times New Roman"/>
          <w:i/>
          <w:iCs/>
          <w:sz w:val="24"/>
          <w:szCs w:val="24"/>
        </w:rPr>
        <w:t>Virtual Economics</w:t>
      </w:r>
      <w:r w:rsidRPr="00C5465F">
        <w:rPr>
          <w:rFonts w:ascii="Times New Roman" w:hAnsi="Times New Roman" w:cs="Times New Roman"/>
          <w:sz w:val="24"/>
          <w:szCs w:val="24"/>
        </w:rPr>
        <w:t>, </w:t>
      </w:r>
      <w:r w:rsidRPr="00C5465F">
        <w:rPr>
          <w:rFonts w:ascii="Times New Roman" w:hAnsi="Times New Roman" w:cs="Times New Roman"/>
          <w:i/>
          <w:iCs/>
          <w:sz w:val="24"/>
          <w:szCs w:val="24"/>
        </w:rPr>
        <w:t>7</w:t>
      </w:r>
      <w:r w:rsidRPr="00C5465F">
        <w:rPr>
          <w:rFonts w:ascii="Times New Roman" w:hAnsi="Times New Roman" w:cs="Times New Roman"/>
          <w:sz w:val="24"/>
          <w:szCs w:val="24"/>
        </w:rPr>
        <w:t>(3), 7-24.</w:t>
      </w:r>
    </w:p>
    <w:p w14:paraId="15F98CFA"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proofErr w:type="spellStart"/>
      <w:r w:rsidRPr="00C5465F">
        <w:rPr>
          <w:rFonts w:ascii="Times New Roman" w:hAnsi="Times New Roman" w:cs="Times New Roman"/>
          <w:sz w:val="24"/>
          <w:szCs w:val="24"/>
        </w:rPr>
        <w:t>Kwilinski</w:t>
      </w:r>
      <w:proofErr w:type="spellEnd"/>
      <w:r w:rsidRPr="00C5465F">
        <w:rPr>
          <w:rFonts w:ascii="Times New Roman" w:hAnsi="Times New Roman" w:cs="Times New Roman"/>
          <w:sz w:val="24"/>
          <w:szCs w:val="24"/>
        </w:rPr>
        <w:t>, A., &amp; Kardas, M. (2024, September). Efficiency of Full and Fractional Factorial Designs in Quality Management: A Case Study on Identifying Key Adhesion Factors. In </w:t>
      </w:r>
      <w:r w:rsidRPr="00C5465F">
        <w:rPr>
          <w:rFonts w:ascii="Times New Roman" w:hAnsi="Times New Roman" w:cs="Times New Roman"/>
          <w:i/>
          <w:iCs/>
          <w:sz w:val="24"/>
          <w:szCs w:val="24"/>
        </w:rPr>
        <w:t xml:space="preserve">Forum Scientiae </w:t>
      </w:r>
      <w:proofErr w:type="spellStart"/>
      <w:r w:rsidRPr="00C5465F">
        <w:rPr>
          <w:rFonts w:ascii="Times New Roman" w:hAnsi="Times New Roman" w:cs="Times New Roman"/>
          <w:i/>
          <w:iCs/>
          <w:sz w:val="24"/>
          <w:szCs w:val="24"/>
        </w:rPr>
        <w:t>Oeconomia</w:t>
      </w:r>
      <w:proofErr w:type="spellEnd"/>
      <w:r w:rsidRPr="00C5465F">
        <w:rPr>
          <w:rFonts w:ascii="Times New Roman" w:hAnsi="Times New Roman" w:cs="Times New Roman"/>
          <w:sz w:val="24"/>
          <w:szCs w:val="24"/>
        </w:rPr>
        <w:t> (Vol. 12, No. 3, pp. 138-155).</w:t>
      </w:r>
    </w:p>
    <w:p w14:paraId="21A2022D"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pt-BR"/>
        </w:rPr>
        <w:t xml:space="preserve">Mascayano, F., Armijo, J. E., &amp; Yang, L. H. (2015). </w:t>
      </w:r>
      <w:r w:rsidRPr="00C5465F">
        <w:rPr>
          <w:rFonts w:ascii="Times New Roman" w:hAnsi="Times New Roman" w:cs="Times New Roman"/>
          <w:sz w:val="24"/>
          <w:szCs w:val="24"/>
        </w:rPr>
        <w:t>Addressing stigma relating to mental illness in low-and middle-income countries. </w:t>
      </w:r>
      <w:r w:rsidRPr="00C5465F">
        <w:rPr>
          <w:rFonts w:ascii="Times New Roman" w:hAnsi="Times New Roman" w:cs="Times New Roman"/>
          <w:i/>
          <w:iCs/>
          <w:sz w:val="24"/>
          <w:szCs w:val="24"/>
        </w:rPr>
        <w:t>Frontiers in psychiatry</w:t>
      </w:r>
      <w:r w:rsidRPr="00C5465F">
        <w:rPr>
          <w:rFonts w:ascii="Times New Roman" w:hAnsi="Times New Roman" w:cs="Times New Roman"/>
          <w:sz w:val="24"/>
          <w:szCs w:val="24"/>
        </w:rPr>
        <w:t>, </w:t>
      </w:r>
      <w:r w:rsidRPr="00C5465F">
        <w:rPr>
          <w:rFonts w:ascii="Times New Roman" w:hAnsi="Times New Roman" w:cs="Times New Roman"/>
          <w:i/>
          <w:iCs/>
          <w:sz w:val="24"/>
          <w:szCs w:val="24"/>
        </w:rPr>
        <w:t>6</w:t>
      </w:r>
      <w:r w:rsidRPr="00C5465F">
        <w:rPr>
          <w:rFonts w:ascii="Times New Roman" w:hAnsi="Times New Roman" w:cs="Times New Roman"/>
          <w:sz w:val="24"/>
          <w:szCs w:val="24"/>
        </w:rPr>
        <w:t>, 38.</w:t>
      </w:r>
    </w:p>
    <w:p w14:paraId="5F3A4A64"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proofErr w:type="spellStart"/>
      <w:r w:rsidRPr="00C5465F">
        <w:rPr>
          <w:rFonts w:ascii="Times New Roman" w:hAnsi="Times New Roman" w:cs="Times New Roman"/>
          <w:sz w:val="24"/>
          <w:szCs w:val="24"/>
        </w:rPr>
        <w:t>Melović</w:t>
      </w:r>
      <w:proofErr w:type="spellEnd"/>
      <w:r w:rsidRPr="00C5465F">
        <w:rPr>
          <w:rFonts w:ascii="Times New Roman" w:hAnsi="Times New Roman" w:cs="Times New Roman"/>
          <w:sz w:val="24"/>
          <w:szCs w:val="24"/>
        </w:rPr>
        <w:t xml:space="preserve">, B., </w:t>
      </w:r>
      <w:proofErr w:type="spellStart"/>
      <w:r w:rsidRPr="00C5465F">
        <w:rPr>
          <w:rFonts w:ascii="Times New Roman" w:hAnsi="Times New Roman" w:cs="Times New Roman"/>
          <w:sz w:val="24"/>
          <w:szCs w:val="24"/>
        </w:rPr>
        <w:t>Cirović</w:t>
      </w:r>
      <w:proofErr w:type="spellEnd"/>
      <w:r w:rsidRPr="00C5465F">
        <w:rPr>
          <w:rFonts w:ascii="Times New Roman" w:hAnsi="Times New Roman" w:cs="Times New Roman"/>
          <w:sz w:val="24"/>
          <w:szCs w:val="24"/>
        </w:rPr>
        <w:t xml:space="preserve">, D., </w:t>
      </w:r>
      <w:proofErr w:type="spellStart"/>
      <w:r w:rsidRPr="00C5465F">
        <w:rPr>
          <w:rFonts w:ascii="Times New Roman" w:hAnsi="Times New Roman" w:cs="Times New Roman"/>
          <w:sz w:val="24"/>
          <w:szCs w:val="24"/>
        </w:rPr>
        <w:t>Backovic-Vulić</w:t>
      </w:r>
      <w:proofErr w:type="spellEnd"/>
      <w:r w:rsidRPr="00C5465F">
        <w:rPr>
          <w:rFonts w:ascii="Times New Roman" w:hAnsi="Times New Roman" w:cs="Times New Roman"/>
          <w:sz w:val="24"/>
          <w:szCs w:val="24"/>
        </w:rPr>
        <w:t xml:space="preserve">, T., Dudić, B., &amp; </w:t>
      </w:r>
      <w:proofErr w:type="spellStart"/>
      <w:r w:rsidRPr="00C5465F">
        <w:rPr>
          <w:rFonts w:ascii="Times New Roman" w:hAnsi="Times New Roman" w:cs="Times New Roman"/>
          <w:sz w:val="24"/>
          <w:szCs w:val="24"/>
        </w:rPr>
        <w:t>Gubiniova</w:t>
      </w:r>
      <w:proofErr w:type="spellEnd"/>
      <w:r w:rsidRPr="00C5465F">
        <w:rPr>
          <w:rFonts w:ascii="Times New Roman" w:hAnsi="Times New Roman" w:cs="Times New Roman"/>
          <w:sz w:val="24"/>
          <w:szCs w:val="24"/>
        </w:rPr>
        <w:t>, K. (2020). Attracting green consumers as a basis for creating sustainable marketing strategy on the organic market—relevance for sustainable agriculture business development. </w:t>
      </w:r>
      <w:r w:rsidRPr="00C5465F">
        <w:rPr>
          <w:rFonts w:ascii="Times New Roman" w:hAnsi="Times New Roman" w:cs="Times New Roman"/>
          <w:i/>
          <w:iCs/>
          <w:sz w:val="24"/>
          <w:szCs w:val="24"/>
        </w:rPr>
        <w:t>Foods</w:t>
      </w:r>
      <w:r w:rsidRPr="00C5465F">
        <w:rPr>
          <w:rFonts w:ascii="Times New Roman" w:hAnsi="Times New Roman" w:cs="Times New Roman"/>
          <w:sz w:val="24"/>
          <w:szCs w:val="24"/>
        </w:rPr>
        <w:t>, </w:t>
      </w:r>
      <w:r w:rsidRPr="00C5465F">
        <w:rPr>
          <w:rFonts w:ascii="Times New Roman" w:hAnsi="Times New Roman" w:cs="Times New Roman"/>
          <w:i/>
          <w:iCs/>
          <w:sz w:val="24"/>
          <w:szCs w:val="24"/>
        </w:rPr>
        <w:t>9</w:t>
      </w:r>
      <w:r w:rsidRPr="00C5465F">
        <w:rPr>
          <w:rFonts w:ascii="Times New Roman" w:hAnsi="Times New Roman" w:cs="Times New Roman"/>
          <w:sz w:val="24"/>
          <w:szCs w:val="24"/>
        </w:rPr>
        <w:t>(11), 1552.</w:t>
      </w:r>
    </w:p>
    <w:p w14:paraId="5A44DA8F"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de-DE"/>
        </w:rPr>
        <w:t xml:space="preserve">Moktadir, M. A., Rahman, T., Rahman, M. H., Ali, S. M., &amp; Paul, S. K. (2018). </w:t>
      </w:r>
      <w:r w:rsidRPr="00C5465F">
        <w:rPr>
          <w:rFonts w:ascii="Times New Roman" w:hAnsi="Times New Roman" w:cs="Times New Roman"/>
          <w:sz w:val="24"/>
          <w:szCs w:val="24"/>
        </w:rPr>
        <w:t>Drivers to sustainable manufacturing practices and circular economy: A perspective of leather industries in Bangladesh. </w:t>
      </w:r>
      <w:r w:rsidRPr="00C5465F">
        <w:rPr>
          <w:rFonts w:ascii="Times New Roman" w:hAnsi="Times New Roman" w:cs="Times New Roman"/>
          <w:i/>
          <w:iCs/>
          <w:sz w:val="24"/>
          <w:szCs w:val="24"/>
        </w:rPr>
        <w:t>Journal of cleaner production</w:t>
      </w:r>
      <w:r w:rsidRPr="00C5465F">
        <w:rPr>
          <w:rFonts w:ascii="Times New Roman" w:hAnsi="Times New Roman" w:cs="Times New Roman"/>
          <w:sz w:val="24"/>
          <w:szCs w:val="24"/>
        </w:rPr>
        <w:t>, </w:t>
      </w:r>
      <w:r w:rsidRPr="00C5465F">
        <w:rPr>
          <w:rFonts w:ascii="Times New Roman" w:hAnsi="Times New Roman" w:cs="Times New Roman"/>
          <w:i/>
          <w:iCs/>
          <w:sz w:val="24"/>
          <w:szCs w:val="24"/>
        </w:rPr>
        <w:t>174</w:t>
      </w:r>
      <w:r w:rsidRPr="00C5465F">
        <w:rPr>
          <w:rFonts w:ascii="Times New Roman" w:hAnsi="Times New Roman" w:cs="Times New Roman"/>
          <w:sz w:val="24"/>
          <w:szCs w:val="24"/>
        </w:rPr>
        <w:t>, 1366-1380.</w:t>
      </w:r>
    </w:p>
    <w:p w14:paraId="1E817FEF"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 xml:space="preserve">Murshid, M. A., &amp; </w:t>
      </w:r>
      <w:proofErr w:type="spellStart"/>
      <w:r w:rsidRPr="00C5465F">
        <w:rPr>
          <w:rFonts w:ascii="Times New Roman" w:hAnsi="Times New Roman" w:cs="Times New Roman"/>
          <w:sz w:val="24"/>
          <w:szCs w:val="24"/>
        </w:rPr>
        <w:t>Mohaidin</w:t>
      </w:r>
      <w:proofErr w:type="spellEnd"/>
      <w:r w:rsidRPr="00C5465F">
        <w:rPr>
          <w:rFonts w:ascii="Times New Roman" w:hAnsi="Times New Roman" w:cs="Times New Roman"/>
          <w:sz w:val="24"/>
          <w:szCs w:val="24"/>
        </w:rPr>
        <w:t>, Z. (2017). A systematic review of the influence of medical representatives and promotional tools on prescribing: A comparison between developed and developing countries. </w:t>
      </w:r>
      <w:r w:rsidRPr="00C5465F">
        <w:rPr>
          <w:rFonts w:ascii="Times New Roman" w:hAnsi="Times New Roman" w:cs="Times New Roman"/>
          <w:i/>
          <w:iCs/>
          <w:sz w:val="24"/>
          <w:szCs w:val="24"/>
        </w:rPr>
        <w:t>International Journal of Pharmaceutical and Healthcare Marketing</w:t>
      </w:r>
      <w:r w:rsidRPr="00C5465F">
        <w:rPr>
          <w:rFonts w:ascii="Times New Roman" w:hAnsi="Times New Roman" w:cs="Times New Roman"/>
          <w:sz w:val="24"/>
          <w:szCs w:val="24"/>
        </w:rPr>
        <w:t>, </w:t>
      </w:r>
      <w:r w:rsidRPr="00C5465F">
        <w:rPr>
          <w:rFonts w:ascii="Times New Roman" w:hAnsi="Times New Roman" w:cs="Times New Roman"/>
          <w:i/>
          <w:iCs/>
          <w:sz w:val="24"/>
          <w:szCs w:val="24"/>
        </w:rPr>
        <w:t>11</w:t>
      </w:r>
      <w:r w:rsidRPr="00C5465F">
        <w:rPr>
          <w:rFonts w:ascii="Times New Roman" w:hAnsi="Times New Roman" w:cs="Times New Roman"/>
          <w:sz w:val="24"/>
          <w:szCs w:val="24"/>
        </w:rPr>
        <w:t>(4), 361-394.</w:t>
      </w:r>
    </w:p>
    <w:p w14:paraId="6915C173"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de-DE"/>
        </w:rPr>
        <w:t>Peters, D. H., Garg, A., Bloom, G., Walker, D. G., Brieg</w:t>
      </w:r>
      <w:bookmarkStart w:id="0" w:name="_GoBack"/>
      <w:bookmarkEnd w:id="0"/>
      <w:r w:rsidRPr="00C5465F">
        <w:rPr>
          <w:rFonts w:ascii="Times New Roman" w:hAnsi="Times New Roman" w:cs="Times New Roman"/>
          <w:sz w:val="24"/>
          <w:szCs w:val="24"/>
          <w:lang w:val="de-DE"/>
        </w:rPr>
        <w:t xml:space="preserve">er, W. R., &amp; Hafizur Rahman, M. (2008). </w:t>
      </w:r>
      <w:r w:rsidRPr="00C5465F">
        <w:rPr>
          <w:rFonts w:ascii="Times New Roman" w:hAnsi="Times New Roman" w:cs="Times New Roman"/>
          <w:sz w:val="24"/>
          <w:szCs w:val="24"/>
        </w:rPr>
        <w:t>Poverty and access to health care in developing countries. </w:t>
      </w:r>
      <w:r w:rsidRPr="00C5465F">
        <w:rPr>
          <w:rFonts w:ascii="Times New Roman" w:hAnsi="Times New Roman" w:cs="Times New Roman"/>
          <w:i/>
          <w:iCs/>
          <w:sz w:val="24"/>
          <w:szCs w:val="24"/>
        </w:rPr>
        <w:t xml:space="preserve">Annals of the </w:t>
      </w:r>
      <w:proofErr w:type="gramStart"/>
      <w:r w:rsidRPr="00C5465F">
        <w:rPr>
          <w:rFonts w:ascii="Times New Roman" w:hAnsi="Times New Roman" w:cs="Times New Roman"/>
          <w:i/>
          <w:iCs/>
          <w:sz w:val="24"/>
          <w:szCs w:val="24"/>
        </w:rPr>
        <w:t>new York</w:t>
      </w:r>
      <w:proofErr w:type="gramEnd"/>
      <w:r w:rsidRPr="00C5465F">
        <w:rPr>
          <w:rFonts w:ascii="Times New Roman" w:hAnsi="Times New Roman" w:cs="Times New Roman"/>
          <w:i/>
          <w:iCs/>
          <w:sz w:val="24"/>
          <w:szCs w:val="24"/>
        </w:rPr>
        <w:t xml:space="preserve"> Academy of Sciences</w:t>
      </w:r>
      <w:r w:rsidRPr="00C5465F">
        <w:rPr>
          <w:rFonts w:ascii="Times New Roman" w:hAnsi="Times New Roman" w:cs="Times New Roman"/>
          <w:sz w:val="24"/>
          <w:szCs w:val="24"/>
        </w:rPr>
        <w:t>, </w:t>
      </w:r>
      <w:r w:rsidRPr="00C5465F">
        <w:rPr>
          <w:rFonts w:ascii="Times New Roman" w:hAnsi="Times New Roman" w:cs="Times New Roman"/>
          <w:i/>
          <w:iCs/>
          <w:sz w:val="24"/>
          <w:szCs w:val="24"/>
        </w:rPr>
        <w:t>1136</w:t>
      </w:r>
      <w:r w:rsidRPr="00C5465F">
        <w:rPr>
          <w:rFonts w:ascii="Times New Roman" w:hAnsi="Times New Roman" w:cs="Times New Roman"/>
          <w:sz w:val="24"/>
          <w:szCs w:val="24"/>
        </w:rPr>
        <w:t>(1), 161-171.</w:t>
      </w:r>
    </w:p>
    <w:p w14:paraId="02AB3984"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Sheth, J. N. (2011). Impact of emerging markets on marketing: Rethinking existing perspectives and practices. </w:t>
      </w:r>
      <w:r w:rsidRPr="00C5465F">
        <w:rPr>
          <w:rFonts w:ascii="Times New Roman" w:hAnsi="Times New Roman" w:cs="Times New Roman"/>
          <w:i/>
          <w:iCs/>
          <w:sz w:val="24"/>
          <w:szCs w:val="24"/>
        </w:rPr>
        <w:t>Journal of marketing</w:t>
      </w:r>
      <w:r w:rsidRPr="00C5465F">
        <w:rPr>
          <w:rFonts w:ascii="Times New Roman" w:hAnsi="Times New Roman" w:cs="Times New Roman"/>
          <w:sz w:val="24"/>
          <w:szCs w:val="24"/>
        </w:rPr>
        <w:t>, </w:t>
      </w:r>
      <w:r w:rsidRPr="00C5465F">
        <w:rPr>
          <w:rFonts w:ascii="Times New Roman" w:hAnsi="Times New Roman" w:cs="Times New Roman"/>
          <w:i/>
          <w:iCs/>
          <w:sz w:val="24"/>
          <w:szCs w:val="24"/>
        </w:rPr>
        <w:t>75</w:t>
      </w:r>
      <w:r w:rsidRPr="00C5465F">
        <w:rPr>
          <w:rFonts w:ascii="Times New Roman" w:hAnsi="Times New Roman" w:cs="Times New Roman"/>
          <w:sz w:val="24"/>
          <w:szCs w:val="24"/>
        </w:rPr>
        <w:t>(4), 166-182.</w:t>
      </w:r>
    </w:p>
    <w:p w14:paraId="7DCA1D2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Smith, W. A. (2010). Social marketing in developing countries. </w:t>
      </w:r>
      <w:r w:rsidRPr="00C5465F">
        <w:rPr>
          <w:rFonts w:ascii="Times New Roman" w:hAnsi="Times New Roman" w:cs="Times New Roman"/>
          <w:i/>
          <w:iCs/>
          <w:sz w:val="24"/>
          <w:szCs w:val="24"/>
        </w:rPr>
        <w:t>Social marketing and public health: theory and practice</w:t>
      </w:r>
      <w:r w:rsidRPr="00C5465F">
        <w:rPr>
          <w:rFonts w:ascii="Times New Roman" w:hAnsi="Times New Roman" w:cs="Times New Roman"/>
          <w:sz w:val="24"/>
          <w:szCs w:val="24"/>
        </w:rPr>
        <w:t>, </w:t>
      </w:r>
      <w:r w:rsidRPr="00C5465F">
        <w:rPr>
          <w:rFonts w:ascii="Times New Roman" w:hAnsi="Times New Roman" w:cs="Times New Roman"/>
          <w:i/>
          <w:iCs/>
          <w:sz w:val="24"/>
          <w:szCs w:val="24"/>
        </w:rPr>
        <w:t>319</w:t>
      </w:r>
      <w:r w:rsidRPr="00C5465F">
        <w:rPr>
          <w:rFonts w:ascii="Times New Roman" w:hAnsi="Times New Roman" w:cs="Times New Roman"/>
          <w:sz w:val="24"/>
          <w:szCs w:val="24"/>
        </w:rPr>
        <w:t>.</w:t>
      </w:r>
    </w:p>
    <w:p w14:paraId="4DCDFEDF"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 xml:space="preserve">Sors, T. G., O’Brien, R. C., Scanlon, M. L., Bermel, L. Y., </w:t>
      </w:r>
      <w:proofErr w:type="spellStart"/>
      <w:r w:rsidRPr="00C5465F">
        <w:rPr>
          <w:rFonts w:ascii="Times New Roman" w:hAnsi="Times New Roman" w:cs="Times New Roman"/>
          <w:sz w:val="24"/>
          <w:szCs w:val="24"/>
        </w:rPr>
        <w:t>Chikowe</w:t>
      </w:r>
      <w:proofErr w:type="spellEnd"/>
      <w:r w:rsidRPr="00C5465F">
        <w:rPr>
          <w:rFonts w:ascii="Times New Roman" w:hAnsi="Times New Roman" w:cs="Times New Roman"/>
          <w:sz w:val="24"/>
          <w:szCs w:val="24"/>
        </w:rPr>
        <w:t>, I., Gardner, A., ... &amp; Litzelman, D. K. (2023). Reciprocal innovation: a new approach to equitable and mutually beneficial global health partnerships. </w:t>
      </w:r>
      <w:r w:rsidRPr="00C5465F">
        <w:rPr>
          <w:rFonts w:ascii="Times New Roman" w:hAnsi="Times New Roman" w:cs="Times New Roman"/>
          <w:i/>
          <w:iCs/>
          <w:sz w:val="24"/>
          <w:szCs w:val="24"/>
        </w:rPr>
        <w:t>Global public health</w:t>
      </w:r>
      <w:r w:rsidRPr="00C5465F">
        <w:rPr>
          <w:rFonts w:ascii="Times New Roman" w:hAnsi="Times New Roman" w:cs="Times New Roman"/>
          <w:sz w:val="24"/>
          <w:szCs w:val="24"/>
        </w:rPr>
        <w:t>, </w:t>
      </w:r>
      <w:r w:rsidRPr="00C5465F">
        <w:rPr>
          <w:rFonts w:ascii="Times New Roman" w:hAnsi="Times New Roman" w:cs="Times New Roman"/>
          <w:i/>
          <w:iCs/>
          <w:sz w:val="24"/>
          <w:szCs w:val="24"/>
        </w:rPr>
        <w:t>18</w:t>
      </w:r>
      <w:r w:rsidRPr="00C5465F">
        <w:rPr>
          <w:rFonts w:ascii="Times New Roman" w:hAnsi="Times New Roman" w:cs="Times New Roman"/>
          <w:sz w:val="24"/>
          <w:szCs w:val="24"/>
        </w:rPr>
        <w:t>(1), 2102202.</w:t>
      </w:r>
    </w:p>
    <w:p w14:paraId="72B79257"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 xml:space="preserve">Strapchuk, O., </w:t>
      </w:r>
      <w:proofErr w:type="spellStart"/>
      <w:r w:rsidRPr="00C5465F">
        <w:rPr>
          <w:rFonts w:ascii="Times New Roman" w:hAnsi="Times New Roman" w:cs="Times New Roman"/>
          <w:sz w:val="24"/>
          <w:szCs w:val="24"/>
        </w:rPr>
        <w:t>Koniordos</w:t>
      </w:r>
      <w:proofErr w:type="spellEnd"/>
      <w:r w:rsidRPr="00C5465F">
        <w:rPr>
          <w:rFonts w:ascii="Times New Roman" w:hAnsi="Times New Roman" w:cs="Times New Roman"/>
          <w:sz w:val="24"/>
          <w:szCs w:val="24"/>
        </w:rPr>
        <w:t xml:space="preserve">, M., Strapchuk, S., &amp; </w:t>
      </w:r>
      <w:proofErr w:type="spellStart"/>
      <w:r w:rsidRPr="00C5465F">
        <w:rPr>
          <w:rFonts w:ascii="Times New Roman" w:hAnsi="Times New Roman" w:cs="Times New Roman"/>
          <w:sz w:val="24"/>
          <w:szCs w:val="24"/>
        </w:rPr>
        <w:t>Nitsenko</w:t>
      </w:r>
      <w:proofErr w:type="spellEnd"/>
      <w:r w:rsidRPr="00C5465F">
        <w:rPr>
          <w:rFonts w:ascii="Times New Roman" w:hAnsi="Times New Roman" w:cs="Times New Roman"/>
          <w:sz w:val="24"/>
          <w:szCs w:val="24"/>
        </w:rPr>
        <w:t>, V. (2025). Sustainable business models in the digital transformation of higher education: Evidence from Ukraine. </w:t>
      </w:r>
      <w:r w:rsidRPr="00C5465F">
        <w:rPr>
          <w:rFonts w:ascii="Times New Roman" w:hAnsi="Times New Roman" w:cs="Times New Roman"/>
          <w:i/>
          <w:iCs/>
          <w:sz w:val="24"/>
          <w:szCs w:val="24"/>
        </w:rPr>
        <w:t>Transformations and Sustainability</w:t>
      </w:r>
      <w:r w:rsidRPr="00C5465F">
        <w:rPr>
          <w:rFonts w:ascii="Times New Roman" w:hAnsi="Times New Roman" w:cs="Times New Roman"/>
          <w:sz w:val="24"/>
          <w:szCs w:val="24"/>
        </w:rPr>
        <w:t>, </w:t>
      </w:r>
      <w:r w:rsidRPr="00C5465F">
        <w:rPr>
          <w:rFonts w:ascii="Times New Roman" w:hAnsi="Times New Roman" w:cs="Times New Roman"/>
          <w:i/>
          <w:iCs/>
          <w:sz w:val="24"/>
          <w:szCs w:val="24"/>
        </w:rPr>
        <w:t>1</w:t>
      </w:r>
      <w:r w:rsidRPr="00C5465F">
        <w:rPr>
          <w:rFonts w:ascii="Times New Roman" w:hAnsi="Times New Roman" w:cs="Times New Roman"/>
          <w:sz w:val="24"/>
          <w:szCs w:val="24"/>
        </w:rPr>
        <w:t>(2), 87-99.</w:t>
      </w:r>
    </w:p>
    <w:p w14:paraId="077611F0"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 xml:space="preserve">Syed, S. B., </w:t>
      </w:r>
      <w:proofErr w:type="spellStart"/>
      <w:r w:rsidRPr="00C5465F">
        <w:rPr>
          <w:rFonts w:ascii="Times New Roman" w:hAnsi="Times New Roman" w:cs="Times New Roman"/>
          <w:sz w:val="24"/>
          <w:szCs w:val="24"/>
        </w:rPr>
        <w:t>Dadwal</w:t>
      </w:r>
      <w:proofErr w:type="spellEnd"/>
      <w:r w:rsidRPr="00C5465F">
        <w:rPr>
          <w:rFonts w:ascii="Times New Roman" w:hAnsi="Times New Roman" w:cs="Times New Roman"/>
          <w:sz w:val="24"/>
          <w:szCs w:val="24"/>
        </w:rPr>
        <w:t xml:space="preserve">, V., Rutter, P., Storr, J., Hightower, J. D., Gooden, R., ... &amp; Pittet, D. (2012). Developed-developing country partnerships: benefits to developed </w:t>
      </w:r>
      <w:proofErr w:type="gramStart"/>
      <w:r w:rsidRPr="00C5465F">
        <w:rPr>
          <w:rFonts w:ascii="Times New Roman" w:hAnsi="Times New Roman" w:cs="Times New Roman"/>
          <w:sz w:val="24"/>
          <w:szCs w:val="24"/>
        </w:rPr>
        <w:t>countries?.</w:t>
      </w:r>
      <w:proofErr w:type="gramEnd"/>
      <w:r w:rsidRPr="00C5465F">
        <w:rPr>
          <w:rFonts w:ascii="Times New Roman" w:hAnsi="Times New Roman" w:cs="Times New Roman"/>
          <w:sz w:val="24"/>
          <w:szCs w:val="24"/>
        </w:rPr>
        <w:t> </w:t>
      </w:r>
      <w:r w:rsidRPr="00C5465F">
        <w:rPr>
          <w:rFonts w:ascii="Times New Roman" w:hAnsi="Times New Roman" w:cs="Times New Roman"/>
          <w:i/>
          <w:iCs/>
          <w:sz w:val="24"/>
          <w:szCs w:val="24"/>
        </w:rPr>
        <w:t>Globalization and health</w:t>
      </w:r>
      <w:r w:rsidRPr="00C5465F">
        <w:rPr>
          <w:rFonts w:ascii="Times New Roman" w:hAnsi="Times New Roman" w:cs="Times New Roman"/>
          <w:sz w:val="24"/>
          <w:szCs w:val="24"/>
        </w:rPr>
        <w:t>, </w:t>
      </w:r>
      <w:r w:rsidRPr="00C5465F">
        <w:rPr>
          <w:rFonts w:ascii="Times New Roman" w:hAnsi="Times New Roman" w:cs="Times New Roman"/>
          <w:i/>
          <w:iCs/>
          <w:sz w:val="24"/>
          <w:szCs w:val="24"/>
        </w:rPr>
        <w:t>8</w:t>
      </w:r>
      <w:r w:rsidRPr="00C5465F">
        <w:rPr>
          <w:rFonts w:ascii="Times New Roman" w:hAnsi="Times New Roman" w:cs="Times New Roman"/>
          <w:sz w:val="24"/>
          <w:szCs w:val="24"/>
        </w:rPr>
        <w:t>(1), 17.</w:t>
      </w:r>
    </w:p>
    <w:p w14:paraId="579AE141"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pt-BR"/>
        </w:rPr>
        <w:t xml:space="preserve">Thaha, A. R., Riau, D. P., Antoro, A. F. S., &amp; Aziz, F. (2025). </w:t>
      </w:r>
      <w:r w:rsidRPr="00C5465F">
        <w:rPr>
          <w:rFonts w:ascii="Times New Roman" w:hAnsi="Times New Roman" w:cs="Times New Roman"/>
          <w:sz w:val="24"/>
          <w:szCs w:val="24"/>
        </w:rPr>
        <w:t>Digital Economy and SME Research Landscape: A Bibliometric Analysis of Emerging Themes and Trends. </w:t>
      </w:r>
      <w:r w:rsidRPr="00C5465F">
        <w:rPr>
          <w:rFonts w:ascii="Times New Roman" w:hAnsi="Times New Roman" w:cs="Times New Roman"/>
          <w:i/>
          <w:iCs/>
          <w:sz w:val="24"/>
          <w:szCs w:val="24"/>
        </w:rPr>
        <w:t xml:space="preserve">Journal of </w:t>
      </w:r>
      <w:proofErr w:type="spellStart"/>
      <w:r w:rsidRPr="00C5465F">
        <w:rPr>
          <w:rFonts w:ascii="Times New Roman" w:hAnsi="Times New Roman" w:cs="Times New Roman"/>
          <w:i/>
          <w:iCs/>
          <w:sz w:val="24"/>
          <w:szCs w:val="24"/>
        </w:rPr>
        <w:t>Scientometric</w:t>
      </w:r>
      <w:proofErr w:type="spellEnd"/>
      <w:r w:rsidRPr="00C5465F">
        <w:rPr>
          <w:rFonts w:ascii="Times New Roman" w:hAnsi="Times New Roman" w:cs="Times New Roman"/>
          <w:i/>
          <w:iCs/>
          <w:sz w:val="24"/>
          <w:szCs w:val="24"/>
        </w:rPr>
        <w:t xml:space="preserve"> Research</w:t>
      </w:r>
      <w:r w:rsidRPr="00C5465F">
        <w:rPr>
          <w:rFonts w:ascii="Times New Roman" w:hAnsi="Times New Roman" w:cs="Times New Roman"/>
          <w:sz w:val="24"/>
          <w:szCs w:val="24"/>
        </w:rPr>
        <w:t>, </w:t>
      </w:r>
      <w:r w:rsidRPr="00C5465F">
        <w:rPr>
          <w:rFonts w:ascii="Times New Roman" w:hAnsi="Times New Roman" w:cs="Times New Roman"/>
          <w:i/>
          <w:iCs/>
          <w:sz w:val="24"/>
          <w:szCs w:val="24"/>
        </w:rPr>
        <w:t>14</w:t>
      </w:r>
      <w:r w:rsidRPr="00C5465F">
        <w:rPr>
          <w:rFonts w:ascii="Times New Roman" w:hAnsi="Times New Roman" w:cs="Times New Roman"/>
          <w:sz w:val="24"/>
          <w:szCs w:val="24"/>
        </w:rPr>
        <w:t>(1), 272-282.</w:t>
      </w:r>
    </w:p>
    <w:p w14:paraId="6BC055E0"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proofErr w:type="spellStart"/>
      <w:r w:rsidRPr="00C5465F">
        <w:rPr>
          <w:rFonts w:ascii="Times New Roman" w:hAnsi="Times New Roman" w:cs="Times New Roman"/>
          <w:sz w:val="24"/>
          <w:szCs w:val="24"/>
        </w:rPr>
        <w:t>Trouiller</w:t>
      </w:r>
      <w:proofErr w:type="spellEnd"/>
      <w:r w:rsidRPr="00C5465F">
        <w:rPr>
          <w:rFonts w:ascii="Times New Roman" w:hAnsi="Times New Roman" w:cs="Times New Roman"/>
          <w:sz w:val="24"/>
          <w:szCs w:val="24"/>
        </w:rPr>
        <w:t xml:space="preserve">, P., Olliaro, P., </w:t>
      </w:r>
      <w:proofErr w:type="spellStart"/>
      <w:r w:rsidRPr="00C5465F">
        <w:rPr>
          <w:rFonts w:ascii="Times New Roman" w:hAnsi="Times New Roman" w:cs="Times New Roman"/>
          <w:sz w:val="24"/>
          <w:szCs w:val="24"/>
        </w:rPr>
        <w:t>Torreele</w:t>
      </w:r>
      <w:proofErr w:type="spellEnd"/>
      <w:r w:rsidRPr="00C5465F">
        <w:rPr>
          <w:rFonts w:ascii="Times New Roman" w:hAnsi="Times New Roman" w:cs="Times New Roman"/>
          <w:sz w:val="24"/>
          <w:szCs w:val="24"/>
        </w:rPr>
        <w:t xml:space="preserve">, E., </w:t>
      </w:r>
      <w:proofErr w:type="spellStart"/>
      <w:r w:rsidRPr="00C5465F">
        <w:rPr>
          <w:rFonts w:ascii="Times New Roman" w:hAnsi="Times New Roman" w:cs="Times New Roman"/>
          <w:sz w:val="24"/>
          <w:szCs w:val="24"/>
        </w:rPr>
        <w:t>Orbinski</w:t>
      </w:r>
      <w:proofErr w:type="spellEnd"/>
      <w:r w:rsidRPr="00C5465F">
        <w:rPr>
          <w:rFonts w:ascii="Times New Roman" w:hAnsi="Times New Roman" w:cs="Times New Roman"/>
          <w:sz w:val="24"/>
          <w:szCs w:val="24"/>
        </w:rPr>
        <w:t>, J., Laing, R., &amp; Ford, N. (2002). Drug development for neglected diseases: a deficient market and a public-health policy failure. </w:t>
      </w:r>
      <w:r w:rsidRPr="00C5465F">
        <w:rPr>
          <w:rFonts w:ascii="Times New Roman" w:hAnsi="Times New Roman" w:cs="Times New Roman"/>
          <w:i/>
          <w:iCs/>
          <w:sz w:val="24"/>
          <w:szCs w:val="24"/>
        </w:rPr>
        <w:t>The Lancet</w:t>
      </w:r>
      <w:r w:rsidRPr="00C5465F">
        <w:rPr>
          <w:rFonts w:ascii="Times New Roman" w:hAnsi="Times New Roman" w:cs="Times New Roman"/>
          <w:sz w:val="24"/>
          <w:szCs w:val="24"/>
        </w:rPr>
        <w:t>, </w:t>
      </w:r>
      <w:r w:rsidRPr="00C5465F">
        <w:rPr>
          <w:rFonts w:ascii="Times New Roman" w:hAnsi="Times New Roman" w:cs="Times New Roman"/>
          <w:i/>
          <w:iCs/>
          <w:sz w:val="24"/>
          <w:szCs w:val="24"/>
        </w:rPr>
        <w:t>359</w:t>
      </w:r>
      <w:r w:rsidRPr="00C5465F">
        <w:rPr>
          <w:rFonts w:ascii="Times New Roman" w:hAnsi="Times New Roman" w:cs="Times New Roman"/>
          <w:sz w:val="24"/>
          <w:szCs w:val="24"/>
        </w:rPr>
        <w:t>(9324), 2188-2194.</w:t>
      </w:r>
    </w:p>
    <w:sectPr w:rsidR="00C5465F" w:rsidRPr="00C5465F" w:rsidSect="008A456A">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8767" w14:textId="77777777" w:rsidR="00826A57" w:rsidRDefault="00826A57" w:rsidP="00392E3A">
      <w:pPr>
        <w:spacing w:after="0" w:line="240" w:lineRule="auto"/>
      </w:pPr>
      <w:r>
        <w:separator/>
      </w:r>
    </w:p>
  </w:endnote>
  <w:endnote w:type="continuationSeparator" w:id="0">
    <w:p w14:paraId="5D67EAE7" w14:textId="77777777" w:rsidR="00826A57" w:rsidRDefault="00826A57" w:rsidP="0039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618FB" w14:textId="77777777" w:rsidR="00222442" w:rsidRDefault="00222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16564"/>
      <w:docPartObj>
        <w:docPartGallery w:val="Page Numbers (Bottom of Page)"/>
        <w:docPartUnique/>
      </w:docPartObj>
    </w:sdtPr>
    <w:sdtEndPr>
      <w:rPr>
        <w:color w:val="7F7F7F" w:themeColor="background1" w:themeShade="7F"/>
        <w:spacing w:val="60"/>
      </w:rPr>
    </w:sdtEndPr>
    <w:sdtContent>
      <w:p w14:paraId="2BC82278" w14:textId="0687D9E2" w:rsidR="00392E3A" w:rsidRDefault="00392E3A">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251A">
          <w:rPr>
            <w:noProof/>
          </w:rPr>
          <w:t>21</w:t>
        </w:r>
        <w:r>
          <w:rPr>
            <w:noProof/>
          </w:rPr>
          <w:fldChar w:fldCharType="end"/>
        </w:r>
        <w:r>
          <w:t xml:space="preserve"> | </w:t>
        </w:r>
        <w:r>
          <w:rPr>
            <w:color w:val="7F7F7F" w:themeColor="background1" w:themeShade="7F"/>
            <w:spacing w:val="60"/>
          </w:rPr>
          <w:t>Page</w:t>
        </w:r>
      </w:p>
    </w:sdtContent>
  </w:sdt>
  <w:p w14:paraId="09BFD308" w14:textId="77777777" w:rsidR="00392E3A" w:rsidRDefault="00392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D6A3" w14:textId="77777777" w:rsidR="00222442" w:rsidRDefault="00222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3E5E" w14:textId="77777777" w:rsidR="00826A57" w:rsidRDefault="00826A57" w:rsidP="00392E3A">
      <w:pPr>
        <w:spacing w:after="0" w:line="240" w:lineRule="auto"/>
      </w:pPr>
      <w:r>
        <w:separator/>
      </w:r>
    </w:p>
  </w:footnote>
  <w:footnote w:type="continuationSeparator" w:id="0">
    <w:p w14:paraId="6567830C" w14:textId="77777777" w:rsidR="00826A57" w:rsidRDefault="00826A57" w:rsidP="0039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4A6A" w14:textId="5D9BB771" w:rsidR="00222442" w:rsidRDefault="00826A57">
    <w:pPr>
      <w:pStyle w:val="Header"/>
    </w:pPr>
    <w:r>
      <w:rPr>
        <w:noProof/>
      </w:rPr>
      <w:pict w14:anchorId="3E8A6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54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66B0" w14:textId="52D55BB9" w:rsidR="00222442" w:rsidRDefault="00826A57">
    <w:pPr>
      <w:pStyle w:val="Header"/>
    </w:pPr>
    <w:r>
      <w:rPr>
        <w:noProof/>
      </w:rPr>
      <w:pict w14:anchorId="35D8A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54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73F5" w14:textId="09CBC22A" w:rsidR="00222442" w:rsidRDefault="00826A57">
    <w:pPr>
      <w:pStyle w:val="Header"/>
    </w:pPr>
    <w:r>
      <w:rPr>
        <w:noProof/>
      </w:rPr>
      <w:pict w14:anchorId="3878B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54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7EB0"/>
    <w:multiLevelType w:val="multilevel"/>
    <w:tmpl w:val="FBE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C056D"/>
    <w:multiLevelType w:val="multilevel"/>
    <w:tmpl w:val="9372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53DDD"/>
    <w:multiLevelType w:val="multilevel"/>
    <w:tmpl w:val="3470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C71BD"/>
    <w:multiLevelType w:val="multilevel"/>
    <w:tmpl w:val="4560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162DB"/>
    <w:multiLevelType w:val="multilevel"/>
    <w:tmpl w:val="786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A38DA"/>
    <w:multiLevelType w:val="hybridMultilevel"/>
    <w:tmpl w:val="6ABC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C3C14"/>
    <w:multiLevelType w:val="multilevel"/>
    <w:tmpl w:val="3CE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34CB8"/>
    <w:multiLevelType w:val="multilevel"/>
    <w:tmpl w:val="0558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526F2"/>
    <w:multiLevelType w:val="multilevel"/>
    <w:tmpl w:val="899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078FB"/>
    <w:multiLevelType w:val="multilevel"/>
    <w:tmpl w:val="2E8C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3"/>
  </w:num>
  <w:num w:numId="5">
    <w:abstractNumId w:val="5"/>
  </w:num>
  <w:num w:numId="6">
    <w:abstractNumId w:val="8"/>
  </w:num>
  <w:num w:numId="7">
    <w:abstractNumId w:val="9"/>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MjExNrG0MDIxsDBU0lEKTi0uzszPAykwrAUA8wnG8CwAAAA="/>
  </w:docVars>
  <w:rsids>
    <w:rsidRoot w:val="00AB5843"/>
    <w:rsid w:val="000309C0"/>
    <w:rsid w:val="00043F9C"/>
    <w:rsid w:val="000A2172"/>
    <w:rsid w:val="000F165F"/>
    <w:rsid w:val="001145B5"/>
    <w:rsid w:val="0018182F"/>
    <w:rsid w:val="00182801"/>
    <w:rsid w:val="00184210"/>
    <w:rsid w:val="001A1955"/>
    <w:rsid w:val="001E2E9C"/>
    <w:rsid w:val="001E4F2E"/>
    <w:rsid w:val="00220369"/>
    <w:rsid w:val="0022116E"/>
    <w:rsid w:val="00222442"/>
    <w:rsid w:val="002E3FE3"/>
    <w:rsid w:val="002E40A8"/>
    <w:rsid w:val="00342805"/>
    <w:rsid w:val="00392E3A"/>
    <w:rsid w:val="003B540E"/>
    <w:rsid w:val="004245E9"/>
    <w:rsid w:val="00462F26"/>
    <w:rsid w:val="0048251A"/>
    <w:rsid w:val="004935CC"/>
    <w:rsid w:val="004C7F2A"/>
    <w:rsid w:val="004D645C"/>
    <w:rsid w:val="005166A0"/>
    <w:rsid w:val="00526BCB"/>
    <w:rsid w:val="00535C02"/>
    <w:rsid w:val="005E1CBD"/>
    <w:rsid w:val="005E3C48"/>
    <w:rsid w:val="005F4F4D"/>
    <w:rsid w:val="006305AF"/>
    <w:rsid w:val="006D47C7"/>
    <w:rsid w:val="0075544E"/>
    <w:rsid w:val="007662DA"/>
    <w:rsid w:val="007936E6"/>
    <w:rsid w:val="007A51A7"/>
    <w:rsid w:val="007E3046"/>
    <w:rsid w:val="007F5BC6"/>
    <w:rsid w:val="008018DC"/>
    <w:rsid w:val="00826A57"/>
    <w:rsid w:val="00836396"/>
    <w:rsid w:val="008A456A"/>
    <w:rsid w:val="008E25B6"/>
    <w:rsid w:val="00946FF1"/>
    <w:rsid w:val="00976541"/>
    <w:rsid w:val="00A438D9"/>
    <w:rsid w:val="00A618A1"/>
    <w:rsid w:val="00A85E91"/>
    <w:rsid w:val="00AB5843"/>
    <w:rsid w:val="00AE45FF"/>
    <w:rsid w:val="00AF74B5"/>
    <w:rsid w:val="00B40204"/>
    <w:rsid w:val="00B42D96"/>
    <w:rsid w:val="00B5324C"/>
    <w:rsid w:val="00B573DF"/>
    <w:rsid w:val="00B76873"/>
    <w:rsid w:val="00C45EAB"/>
    <w:rsid w:val="00C5465F"/>
    <w:rsid w:val="00C66043"/>
    <w:rsid w:val="00C91320"/>
    <w:rsid w:val="00CB0C22"/>
    <w:rsid w:val="00CC11AC"/>
    <w:rsid w:val="00D031B1"/>
    <w:rsid w:val="00D358BD"/>
    <w:rsid w:val="00D6731E"/>
    <w:rsid w:val="00E07443"/>
    <w:rsid w:val="00E1306E"/>
    <w:rsid w:val="00E62C7C"/>
    <w:rsid w:val="00F43B83"/>
    <w:rsid w:val="00F46E4F"/>
    <w:rsid w:val="00F700C6"/>
    <w:rsid w:val="00FF57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99D55"/>
  <w15:chartTrackingRefBased/>
  <w15:docId w15:val="{4DBB0A65-88D9-4A6E-B075-0412EF31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CBD"/>
  </w:style>
  <w:style w:type="paragraph" w:styleId="Heading1">
    <w:name w:val="heading 1"/>
    <w:basedOn w:val="Normal"/>
    <w:next w:val="Normal"/>
    <w:link w:val="Heading1Char"/>
    <w:uiPriority w:val="9"/>
    <w:qFormat/>
    <w:rsid w:val="00AB5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7Colorful-Accent6">
    <w:name w:val="List Table 7 Colorful Accent 6"/>
    <w:basedOn w:val="TableNormal"/>
    <w:uiPriority w:val="52"/>
    <w:rsid w:val="00946FF1"/>
    <w:pPr>
      <w:spacing w:after="0" w:line="240" w:lineRule="auto"/>
    </w:pPr>
    <w:rPr>
      <w:rFonts w:eastAsiaTheme="minorEastAsia" w:cs="Times New Roman"/>
      <w:color w:val="538135" w:themeColor="accent6" w:themeShade="BF"/>
      <w:lang w:bidi="hi-IN"/>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AB5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843"/>
    <w:rPr>
      <w:rFonts w:eastAsiaTheme="majorEastAsia" w:cstheme="majorBidi"/>
      <w:color w:val="272727" w:themeColor="text1" w:themeTint="D8"/>
    </w:rPr>
  </w:style>
  <w:style w:type="paragraph" w:styleId="Title">
    <w:name w:val="Title"/>
    <w:basedOn w:val="Normal"/>
    <w:next w:val="Normal"/>
    <w:link w:val="TitleChar"/>
    <w:uiPriority w:val="10"/>
    <w:qFormat/>
    <w:rsid w:val="00AB5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843"/>
    <w:pPr>
      <w:spacing w:before="160"/>
      <w:jc w:val="center"/>
    </w:pPr>
    <w:rPr>
      <w:i/>
      <w:iCs/>
      <w:color w:val="404040" w:themeColor="text1" w:themeTint="BF"/>
    </w:rPr>
  </w:style>
  <w:style w:type="character" w:customStyle="1" w:styleId="QuoteChar">
    <w:name w:val="Quote Char"/>
    <w:basedOn w:val="DefaultParagraphFont"/>
    <w:link w:val="Quote"/>
    <w:uiPriority w:val="29"/>
    <w:rsid w:val="00AB5843"/>
    <w:rPr>
      <w:i/>
      <w:iCs/>
      <w:color w:val="404040" w:themeColor="text1" w:themeTint="BF"/>
    </w:rPr>
  </w:style>
  <w:style w:type="paragraph" w:styleId="ListParagraph">
    <w:name w:val="List Paragraph"/>
    <w:basedOn w:val="Normal"/>
    <w:uiPriority w:val="34"/>
    <w:qFormat/>
    <w:rsid w:val="00AB5843"/>
    <w:pPr>
      <w:ind w:left="720"/>
      <w:contextualSpacing/>
    </w:pPr>
  </w:style>
  <w:style w:type="character" w:styleId="IntenseEmphasis">
    <w:name w:val="Intense Emphasis"/>
    <w:basedOn w:val="DefaultParagraphFont"/>
    <w:uiPriority w:val="21"/>
    <w:qFormat/>
    <w:rsid w:val="00AB5843"/>
    <w:rPr>
      <w:i/>
      <w:iCs/>
      <w:color w:val="2F5496" w:themeColor="accent1" w:themeShade="BF"/>
    </w:rPr>
  </w:style>
  <w:style w:type="paragraph" w:styleId="IntenseQuote">
    <w:name w:val="Intense Quote"/>
    <w:basedOn w:val="Normal"/>
    <w:next w:val="Normal"/>
    <w:link w:val="IntenseQuoteChar"/>
    <w:uiPriority w:val="30"/>
    <w:qFormat/>
    <w:rsid w:val="00AB5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843"/>
    <w:rPr>
      <w:i/>
      <w:iCs/>
      <w:color w:val="2F5496" w:themeColor="accent1" w:themeShade="BF"/>
    </w:rPr>
  </w:style>
  <w:style w:type="character" w:styleId="IntenseReference">
    <w:name w:val="Intense Reference"/>
    <w:basedOn w:val="DefaultParagraphFont"/>
    <w:uiPriority w:val="32"/>
    <w:qFormat/>
    <w:rsid w:val="00AB5843"/>
    <w:rPr>
      <w:b/>
      <w:bCs/>
      <w:smallCaps/>
      <w:color w:val="2F5496" w:themeColor="accent1" w:themeShade="BF"/>
      <w:spacing w:val="5"/>
    </w:rPr>
  </w:style>
  <w:style w:type="table" w:styleId="TableGrid">
    <w:name w:val="Table Grid"/>
    <w:basedOn w:val="TableNormal"/>
    <w:uiPriority w:val="39"/>
    <w:rsid w:val="007E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3B83"/>
    <w:rPr>
      <w:color w:val="0563C1" w:themeColor="hyperlink"/>
      <w:u w:val="single"/>
    </w:rPr>
  </w:style>
  <w:style w:type="paragraph" w:styleId="Header">
    <w:name w:val="header"/>
    <w:basedOn w:val="Normal"/>
    <w:link w:val="HeaderChar"/>
    <w:uiPriority w:val="99"/>
    <w:unhideWhenUsed/>
    <w:rsid w:val="00392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3A"/>
  </w:style>
  <w:style w:type="paragraph" w:styleId="Footer">
    <w:name w:val="footer"/>
    <w:basedOn w:val="Normal"/>
    <w:link w:val="FooterChar"/>
    <w:uiPriority w:val="99"/>
    <w:unhideWhenUsed/>
    <w:rsid w:val="00392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3A"/>
  </w:style>
  <w:style w:type="character" w:styleId="UnresolvedMention">
    <w:name w:val="Unresolved Mention"/>
    <w:basedOn w:val="DefaultParagraphFont"/>
    <w:uiPriority w:val="99"/>
    <w:semiHidden/>
    <w:unhideWhenUsed/>
    <w:rsid w:val="00CC11AC"/>
    <w:rPr>
      <w:color w:val="605E5C"/>
      <w:shd w:val="clear" w:color="auto" w:fill="E1DFDD"/>
    </w:rPr>
  </w:style>
  <w:style w:type="table" w:customStyle="1" w:styleId="TableGrid1">
    <w:name w:val="Table Grid1"/>
    <w:basedOn w:val="TableNormal"/>
    <w:next w:val="TableGrid"/>
    <w:uiPriority w:val="39"/>
    <w:rsid w:val="008018D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1527">
      <w:bodyDiv w:val="1"/>
      <w:marLeft w:val="0"/>
      <w:marRight w:val="0"/>
      <w:marTop w:val="0"/>
      <w:marBottom w:val="0"/>
      <w:divBdr>
        <w:top w:val="none" w:sz="0" w:space="0" w:color="auto"/>
        <w:left w:val="none" w:sz="0" w:space="0" w:color="auto"/>
        <w:bottom w:val="none" w:sz="0" w:space="0" w:color="auto"/>
        <w:right w:val="none" w:sz="0" w:space="0" w:color="auto"/>
      </w:divBdr>
    </w:div>
    <w:div w:id="172764138">
      <w:bodyDiv w:val="1"/>
      <w:marLeft w:val="0"/>
      <w:marRight w:val="0"/>
      <w:marTop w:val="0"/>
      <w:marBottom w:val="0"/>
      <w:divBdr>
        <w:top w:val="none" w:sz="0" w:space="0" w:color="auto"/>
        <w:left w:val="none" w:sz="0" w:space="0" w:color="auto"/>
        <w:bottom w:val="none" w:sz="0" w:space="0" w:color="auto"/>
        <w:right w:val="none" w:sz="0" w:space="0" w:color="auto"/>
      </w:divBdr>
    </w:div>
    <w:div w:id="290865648">
      <w:bodyDiv w:val="1"/>
      <w:marLeft w:val="0"/>
      <w:marRight w:val="0"/>
      <w:marTop w:val="0"/>
      <w:marBottom w:val="0"/>
      <w:divBdr>
        <w:top w:val="none" w:sz="0" w:space="0" w:color="auto"/>
        <w:left w:val="none" w:sz="0" w:space="0" w:color="auto"/>
        <w:bottom w:val="none" w:sz="0" w:space="0" w:color="auto"/>
        <w:right w:val="none" w:sz="0" w:space="0" w:color="auto"/>
      </w:divBdr>
      <w:divsChild>
        <w:div w:id="2033722851">
          <w:marLeft w:val="0"/>
          <w:marRight w:val="0"/>
          <w:marTop w:val="0"/>
          <w:marBottom w:val="0"/>
          <w:divBdr>
            <w:top w:val="none" w:sz="0" w:space="0" w:color="auto"/>
            <w:left w:val="none" w:sz="0" w:space="0" w:color="auto"/>
            <w:bottom w:val="none" w:sz="0" w:space="0" w:color="auto"/>
            <w:right w:val="none" w:sz="0" w:space="0" w:color="auto"/>
          </w:divBdr>
          <w:divsChild>
            <w:div w:id="1811438284">
              <w:marLeft w:val="0"/>
              <w:marRight w:val="0"/>
              <w:marTop w:val="0"/>
              <w:marBottom w:val="0"/>
              <w:divBdr>
                <w:top w:val="none" w:sz="0" w:space="0" w:color="auto"/>
                <w:left w:val="none" w:sz="0" w:space="0" w:color="auto"/>
                <w:bottom w:val="none" w:sz="0" w:space="0" w:color="auto"/>
                <w:right w:val="none" w:sz="0" w:space="0" w:color="auto"/>
              </w:divBdr>
              <w:divsChild>
                <w:div w:id="154685001">
                  <w:marLeft w:val="0"/>
                  <w:marRight w:val="0"/>
                  <w:marTop w:val="0"/>
                  <w:marBottom w:val="0"/>
                  <w:divBdr>
                    <w:top w:val="none" w:sz="0" w:space="0" w:color="auto"/>
                    <w:left w:val="none" w:sz="0" w:space="0" w:color="auto"/>
                    <w:bottom w:val="none" w:sz="0" w:space="0" w:color="auto"/>
                    <w:right w:val="none" w:sz="0" w:space="0" w:color="auto"/>
                  </w:divBdr>
                  <w:divsChild>
                    <w:div w:id="740979897">
                      <w:marLeft w:val="0"/>
                      <w:marRight w:val="0"/>
                      <w:marTop w:val="0"/>
                      <w:marBottom w:val="0"/>
                      <w:divBdr>
                        <w:top w:val="none" w:sz="0" w:space="0" w:color="auto"/>
                        <w:left w:val="none" w:sz="0" w:space="0" w:color="auto"/>
                        <w:bottom w:val="none" w:sz="0" w:space="0" w:color="auto"/>
                        <w:right w:val="none" w:sz="0" w:space="0" w:color="auto"/>
                      </w:divBdr>
                      <w:divsChild>
                        <w:div w:id="1281380779">
                          <w:marLeft w:val="0"/>
                          <w:marRight w:val="0"/>
                          <w:marTop w:val="0"/>
                          <w:marBottom w:val="0"/>
                          <w:divBdr>
                            <w:top w:val="none" w:sz="0" w:space="0" w:color="auto"/>
                            <w:left w:val="none" w:sz="0" w:space="0" w:color="auto"/>
                            <w:bottom w:val="none" w:sz="0" w:space="0" w:color="auto"/>
                            <w:right w:val="none" w:sz="0" w:space="0" w:color="auto"/>
                          </w:divBdr>
                          <w:divsChild>
                            <w:div w:id="807209012">
                              <w:marLeft w:val="0"/>
                              <w:marRight w:val="0"/>
                              <w:marTop w:val="0"/>
                              <w:marBottom w:val="0"/>
                              <w:divBdr>
                                <w:top w:val="none" w:sz="0" w:space="0" w:color="auto"/>
                                <w:left w:val="none" w:sz="0" w:space="0" w:color="auto"/>
                                <w:bottom w:val="none" w:sz="0" w:space="0" w:color="auto"/>
                                <w:right w:val="none" w:sz="0" w:space="0" w:color="auto"/>
                              </w:divBdr>
                              <w:divsChild>
                                <w:div w:id="1734768710">
                                  <w:marLeft w:val="0"/>
                                  <w:marRight w:val="0"/>
                                  <w:marTop w:val="0"/>
                                  <w:marBottom w:val="0"/>
                                  <w:divBdr>
                                    <w:top w:val="none" w:sz="0" w:space="0" w:color="auto"/>
                                    <w:left w:val="none" w:sz="0" w:space="0" w:color="auto"/>
                                    <w:bottom w:val="none" w:sz="0" w:space="0" w:color="auto"/>
                                    <w:right w:val="none" w:sz="0" w:space="0" w:color="auto"/>
                                  </w:divBdr>
                                  <w:divsChild>
                                    <w:div w:id="17721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14017">
      <w:bodyDiv w:val="1"/>
      <w:marLeft w:val="0"/>
      <w:marRight w:val="0"/>
      <w:marTop w:val="0"/>
      <w:marBottom w:val="0"/>
      <w:divBdr>
        <w:top w:val="none" w:sz="0" w:space="0" w:color="auto"/>
        <w:left w:val="none" w:sz="0" w:space="0" w:color="auto"/>
        <w:bottom w:val="none" w:sz="0" w:space="0" w:color="auto"/>
        <w:right w:val="none" w:sz="0" w:space="0" w:color="auto"/>
      </w:divBdr>
    </w:div>
    <w:div w:id="443618831">
      <w:bodyDiv w:val="1"/>
      <w:marLeft w:val="0"/>
      <w:marRight w:val="0"/>
      <w:marTop w:val="0"/>
      <w:marBottom w:val="0"/>
      <w:divBdr>
        <w:top w:val="none" w:sz="0" w:space="0" w:color="auto"/>
        <w:left w:val="none" w:sz="0" w:space="0" w:color="auto"/>
        <w:bottom w:val="none" w:sz="0" w:space="0" w:color="auto"/>
        <w:right w:val="none" w:sz="0" w:space="0" w:color="auto"/>
      </w:divBdr>
    </w:div>
    <w:div w:id="541095803">
      <w:bodyDiv w:val="1"/>
      <w:marLeft w:val="0"/>
      <w:marRight w:val="0"/>
      <w:marTop w:val="0"/>
      <w:marBottom w:val="0"/>
      <w:divBdr>
        <w:top w:val="none" w:sz="0" w:space="0" w:color="auto"/>
        <w:left w:val="none" w:sz="0" w:space="0" w:color="auto"/>
        <w:bottom w:val="none" w:sz="0" w:space="0" w:color="auto"/>
        <w:right w:val="none" w:sz="0" w:space="0" w:color="auto"/>
      </w:divBdr>
    </w:div>
    <w:div w:id="562255596">
      <w:bodyDiv w:val="1"/>
      <w:marLeft w:val="0"/>
      <w:marRight w:val="0"/>
      <w:marTop w:val="0"/>
      <w:marBottom w:val="0"/>
      <w:divBdr>
        <w:top w:val="none" w:sz="0" w:space="0" w:color="auto"/>
        <w:left w:val="none" w:sz="0" w:space="0" w:color="auto"/>
        <w:bottom w:val="none" w:sz="0" w:space="0" w:color="auto"/>
        <w:right w:val="none" w:sz="0" w:space="0" w:color="auto"/>
      </w:divBdr>
    </w:div>
    <w:div w:id="573662416">
      <w:bodyDiv w:val="1"/>
      <w:marLeft w:val="0"/>
      <w:marRight w:val="0"/>
      <w:marTop w:val="0"/>
      <w:marBottom w:val="0"/>
      <w:divBdr>
        <w:top w:val="none" w:sz="0" w:space="0" w:color="auto"/>
        <w:left w:val="none" w:sz="0" w:space="0" w:color="auto"/>
        <w:bottom w:val="none" w:sz="0" w:space="0" w:color="auto"/>
        <w:right w:val="none" w:sz="0" w:space="0" w:color="auto"/>
      </w:divBdr>
    </w:div>
    <w:div w:id="637296405">
      <w:bodyDiv w:val="1"/>
      <w:marLeft w:val="0"/>
      <w:marRight w:val="0"/>
      <w:marTop w:val="0"/>
      <w:marBottom w:val="0"/>
      <w:divBdr>
        <w:top w:val="none" w:sz="0" w:space="0" w:color="auto"/>
        <w:left w:val="none" w:sz="0" w:space="0" w:color="auto"/>
        <w:bottom w:val="none" w:sz="0" w:space="0" w:color="auto"/>
        <w:right w:val="none" w:sz="0" w:space="0" w:color="auto"/>
      </w:divBdr>
    </w:div>
    <w:div w:id="667948676">
      <w:bodyDiv w:val="1"/>
      <w:marLeft w:val="0"/>
      <w:marRight w:val="0"/>
      <w:marTop w:val="0"/>
      <w:marBottom w:val="0"/>
      <w:divBdr>
        <w:top w:val="none" w:sz="0" w:space="0" w:color="auto"/>
        <w:left w:val="none" w:sz="0" w:space="0" w:color="auto"/>
        <w:bottom w:val="none" w:sz="0" w:space="0" w:color="auto"/>
        <w:right w:val="none" w:sz="0" w:space="0" w:color="auto"/>
      </w:divBdr>
    </w:div>
    <w:div w:id="712384227">
      <w:bodyDiv w:val="1"/>
      <w:marLeft w:val="0"/>
      <w:marRight w:val="0"/>
      <w:marTop w:val="0"/>
      <w:marBottom w:val="0"/>
      <w:divBdr>
        <w:top w:val="none" w:sz="0" w:space="0" w:color="auto"/>
        <w:left w:val="none" w:sz="0" w:space="0" w:color="auto"/>
        <w:bottom w:val="none" w:sz="0" w:space="0" w:color="auto"/>
        <w:right w:val="none" w:sz="0" w:space="0" w:color="auto"/>
      </w:divBdr>
    </w:div>
    <w:div w:id="787697345">
      <w:bodyDiv w:val="1"/>
      <w:marLeft w:val="0"/>
      <w:marRight w:val="0"/>
      <w:marTop w:val="0"/>
      <w:marBottom w:val="0"/>
      <w:divBdr>
        <w:top w:val="none" w:sz="0" w:space="0" w:color="auto"/>
        <w:left w:val="none" w:sz="0" w:space="0" w:color="auto"/>
        <w:bottom w:val="none" w:sz="0" w:space="0" w:color="auto"/>
        <w:right w:val="none" w:sz="0" w:space="0" w:color="auto"/>
      </w:divBdr>
    </w:div>
    <w:div w:id="850726406">
      <w:bodyDiv w:val="1"/>
      <w:marLeft w:val="0"/>
      <w:marRight w:val="0"/>
      <w:marTop w:val="0"/>
      <w:marBottom w:val="0"/>
      <w:divBdr>
        <w:top w:val="none" w:sz="0" w:space="0" w:color="auto"/>
        <w:left w:val="none" w:sz="0" w:space="0" w:color="auto"/>
        <w:bottom w:val="none" w:sz="0" w:space="0" w:color="auto"/>
        <w:right w:val="none" w:sz="0" w:space="0" w:color="auto"/>
      </w:divBdr>
    </w:div>
    <w:div w:id="1001159517">
      <w:bodyDiv w:val="1"/>
      <w:marLeft w:val="0"/>
      <w:marRight w:val="0"/>
      <w:marTop w:val="0"/>
      <w:marBottom w:val="0"/>
      <w:divBdr>
        <w:top w:val="none" w:sz="0" w:space="0" w:color="auto"/>
        <w:left w:val="none" w:sz="0" w:space="0" w:color="auto"/>
        <w:bottom w:val="none" w:sz="0" w:space="0" w:color="auto"/>
        <w:right w:val="none" w:sz="0" w:space="0" w:color="auto"/>
      </w:divBdr>
    </w:div>
    <w:div w:id="1063453896">
      <w:bodyDiv w:val="1"/>
      <w:marLeft w:val="0"/>
      <w:marRight w:val="0"/>
      <w:marTop w:val="0"/>
      <w:marBottom w:val="0"/>
      <w:divBdr>
        <w:top w:val="none" w:sz="0" w:space="0" w:color="auto"/>
        <w:left w:val="none" w:sz="0" w:space="0" w:color="auto"/>
        <w:bottom w:val="none" w:sz="0" w:space="0" w:color="auto"/>
        <w:right w:val="none" w:sz="0" w:space="0" w:color="auto"/>
      </w:divBdr>
    </w:div>
    <w:div w:id="1087968208">
      <w:bodyDiv w:val="1"/>
      <w:marLeft w:val="0"/>
      <w:marRight w:val="0"/>
      <w:marTop w:val="0"/>
      <w:marBottom w:val="0"/>
      <w:divBdr>
        <w:top w:val="none" w:sz="0" w:space="0" w:color="auto"/>
        <w:left w:val="none" w:sz="0" w:space="0" w:color="auto"/>
        <w:bottom w:val="none" w:sz="0" w:space="0" w:color="auto"/>
        <w:right w:val="none" w:sz="0" w:space="0" w:color="auto"/>
      </w:divBdr>
    </w:div>
    <w:div w:id="1099182943">
      <w:bodyDiv w:val="1"/>
      <w:marLeft w:val="0"/>
      <w:marRight w:val="0"/>
      <w:marTop w:val="0"/>
      <w:marBottom w:val="0"/>
      <w:divBdr>
        <w:top w:val="none" w:sz="0" w:space="0" w:color="auto"/>
        <w:left w:val="none" w:sz="0" w:space="0" w:color="auto"/>
        <w:bottom w:val="none" w:sz="0" w:space="0" w:color="auto"/>
        <w:right w:val="none" w:sz="0" w:space="0" w:color="auto"/>
      </w:divBdr>
    </w:div>
    <w:div w:id="1464230159">
      <w:bodyDiv w:val="1"/>
      <w:marLeft w:val="0"/>
      <w:marRight w:val="0"/>
      <w:marTop w:val="0"/>
      <w:marBottom w:val="0"/>
      <w:divBdr>
        <w:top w:val="none" w:sz="0" w:space="0" w:color="auto"/>
        <w:left w:val="none" w:sz="0" w:space="0" w:color="auto"/>
        <w:bottom w:val="none" w:sz="0" w:space="0" w:color="auto"/>
        <w:right w:val="none" w:sz="0" w:space="0" w:color="auto"/>
      </w:divBdr>
    </w:div>
    <w:div w:id="1539466760">
      <w:bodyDiv w:val="1"/>
      <w:marLeft w:val="0"/>
      <w:marRight w:val="0"/>
      <w:marTop w:val="0"/>
      <w:marBottom w:val="0"/>
      <w:divBdr>
        <w:top w:val="none" w:sz="0" w:space="0" w:color="auto"/>
        <w:left w:val="none" w:sz="0" w:space="0" w:color="auto"/>
        <w:bottom w:val="none" w:sz="0" w:space="0" w:color="auto"/>
        <w:right w:val="none" w:sz="0" w:space="0" w:color="auto"/>
      </w:divBdr>
    </w:div>
    <w:div w:id="1665206244">
      <w:bodyDiv w:val="1"/>
      <w:marLeft w:val="0"/>
      <w:marRight w:val="0"/>
      <w:marTop w:val="0"/>
      <w:marBottom w:val="0"/>
      <w:divBdr>
        <w:top w:val="none" w:sz="0" w:space="0" w:color="auto"/>
        <w:left w:val="none" w:sz="0" w:space="0" w:color="auto"/>
        <w:bottom w:val="none" w:sz="0" w:space="0" w:color="auto"/>
        <w:right w:val="none" w:sz="0" w:space="0" w:color="auto"/>
      </w:divBdr>
    </w:div>
    <w:div w:id="1681004399">
      <w:bodyDiv w:val="1"/>
      <w:marLeft w:val="0"/>
      <w:marRight w:val="0"/>
      <w:marTop w:val="0"/>
      <w:marBottom w:val="0"/>
      <w:divBdr>
        <w:top w:val="none" w:sz="0" w:space="0" w:color="auto"/>
        <w:left w:val="none" w:sz="0" w:space="0" w:color="auto"/>
        <w:bottom w:val="none" w:sz="0" w:space="0" w:color="auto"/>
        <w:right w:val="none" w:sz="0" w:space="0" w:color="auto"/>
      </w:divBdr>
    </w:div>
    <w:div w:id="1714841238">
      <w:bodyDiv w:val="1"/>
      <w:marLeft w:val="0"/>
      <w:marRight w:val="0"/>
      <w:marTop w:val="0"/>
      <w:marBottom w:val="0"/>
      <w:divBdr>
        <w:top w:val="none" w:sz="0" w:space="0" w:color="auto"/>
        <w:left w:val="none" w:sz="0" w:space="0" w:color="auto"/>
        <w:bottom w:val="none" w:sz="0" w:space="0" w:color="auto"/>
        <w:right w:val="none" w:sz="0" w:space="0" w:color="auto"/>
      </w:divBdr>
    </w:div>
    <w:div w:id="1721443149">
      <w:bodyDiv w:val="1"/>
      <w:marLeft w:val="0"/>
      <w:marRight w:val="0"/>
      <w:marTop w:val="0"/>
      <w:marBottom w:val="0"/>
      <w:divBdr>
        <w:top w:val="none" w:sz="0" w:space="0" w:color="auto"/>
        <w:left w:val="none" w:sz="0" w:space="0" w:color="auto"/>
        <w:bottom w:val="none" w:sz="0" w:space="0" w:color="auto"/>
        <w:right w:val="none" w:sz="0" w:space="0" w:color="auto"/>
      </w:divBdr>
      <w:divsChild>
        <w:div w:id="78528956">
          <w:marLeft w:val="0"/>
          <w:marRight w:val="0"/>
          <w:marTop w:val="0"/>
          <w:marBottom w:val="0"/>
          <w:divBdr>
            <w:top w:val="none" w:sz="0" w:space="0" w:color="auto"/>
            <w:left w:val="none" w:sz="0" w:space="0" w:color="auto"/>
            <w:bottom w:val="none" w:sz="0" w:space="0" w:color="auto"/>
            <w:right w:val="none" w:sz="0" w:space="0" w:color="auto"/>
          </w:divBdr>
          <w:divsChild>
            <w:div w:id="320501351">
              <w:marLeft w:val="0"/>
              <w:marRight w:val="0"/>
              <w:marTop w:val="0"/>
              <w:marBottom w:val="0"/>
              <w:divBdr>
                <w:top w:val="none" w:sz="0" w:space="0" w:color="auto"/>
                <w:left w:val="none" w:sz="0" w:space="0" w:color="auto"/>
                <w:bottom w:val="none" w:sz="0" w:space="0" w:color="auto"/>
                <w:right w:val="none" w:sz="0" w:space="0" w:color="auto"/>
              </w:divBdr>
              <w:divsChild>
                <w:div w:id="72902287">
                  <w:marLeft w:val="0"/>
                  <w:marRight w:val="0"/>
                  <w:marTop w:val="0"/>
                  <w:marBottom w:val="0"/>
                  <w:divBdr>
                    <w:top w:val="none" w:sz="0" w:space="0" w:color="auto"/>
                    <w:left w:val="none" w:sz="0" w:space="0" w:color="auto"/>
                    <w:bottom w:val="none" w:sz="0" w:space="0" w:color="auto"/>
                    <w:right w:val="none" w:sz="0" w:space="0" w:color="auto"/>
                  </w:divBdr>
                  <w:divsChild>
                    <w:div w:id="2099862838">
                      <w:marLeft w:val="0"/>
                      <w:marRight w:val="0"/>
                      <w:marTop w:val="0"/>
                      <w:marBottom w:val="0"/>
                      <w:divBdr>
                        <w:top w:val="none" w:sz="0" w:space="0" w:color="auto"/>
                        <w:left w:val="none" w:sz="0" w:space="0" w:color="auto"/>
                        <w:bottom w:val="none" w:sz="0" w:space="0" w:color="auto"/>
                        <w:right w:val="none" w:sz="0" w:space="0" w:color="auto"/>
                      </w:divBdr>
                      <w:divsChild>
                        <w:div w:id="2049716471">
                          <w:marLeft w:val="0"/>
                          <w:marRight w:val="0"/>
                          <w:marTop w:val="0"/>
                          <w:marBottom w:val="0"/>
                          <w:divBdr>
                            <w:top w:val="none" w:sz="0" w:space="0" w:color="auto"/>
                            <w:left w:val="none" w:sz="0" w:space="0" w:color="auto"/>
                            <w:bottom w:val="none" w:sz="0" w:space="0" w:color="auto"/>
                            <w:right w:val="none" w:sz="0" w:space="0" w:color="auto"/>
                          </w:divBdr>
                          <w:divsChild>
                            <w:div w:id="1325161351">
                              <w:marLeft w:val="0"/>
                              <w:marRight w:val="0"/>
                              <w:marTop w:val="0"/>
                              <w:marBottom w:val="0"/>
                              <w:divBdr>
                                <w:top w:val="none" w:sz="0" w:space="0" w:color="auto"/>
                                <w:left w:val="none" w:sz="0" w:space="0" w:color="auto"/>
                                <w:bottom w:val="none" w:sz="0" w:space="0" w:color="auto"/>
                                <w:right w:val="none" w:sz="0" w:space="0" w:color="auto"/>
                              </w:divBdr>
                              <w:divsChild>
                                <w:div w:id="1082993806">
                                  <w:marLeft w:val="0"/>
                                  <w:marRight w:val="0"/>
                                  <w:marTop w:val="0"/>
                                  <w:marBottom w:val="0"/>
                                  <w:divBdr>
                                    <w:top w:val="none" w:sz="0" w:space="0" w:color="auto"/>
                                    <w:left w:val="none" w:sz="0" w:space="0" w:color="auto"/>
                                    <w:bottom w:val="none" w:sz="0" w:space="0" w:color="auto"/>
                                    <w:right w:val="none" w:sz="0" w:space="0" w:color="auto"/>
                                  </w:divBdr>
                                  <w:divsChild>
                                    <w:div w:id="19061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9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c:f>
              <c:strCache>
                <c:ptCount val="1"/>
                <c:pt idx="0">
                  <c:v>% of GDP Allocated to Health Marketing</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C7B-4657-8497-1B9D236AB5E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C7B-4657-8497-1B9D236AB5E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C7B-4657-8497-1B9D236AB5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Developed Countries</c:v>
                </c:pt>
                <c:pt idx="1">
                  <c:v>Developing Countries</c:v>
                </c:pt>
                <c:pt idx="2">
                  <c:v>Underdeveloped Countries</c:v>
                </c:pt>
              </c:strCache>
              <c:extLst/>
            </c:strRef>
          </c:cat>
          <c:val>
            <c:numRef>
              <c:f>Sheet1!$C$2:$C$4</c:f>
              <c:numCache>
                <c:formatCode>0.00%</c:formatCode>
                <c:ptCount val="3"/>
                <c:pt idx="0">
                  <c:v>6.7999999999999996E-3</c:v>
                </c:pt>
                <c:pt idx="1">
                  <c:v>4.1999999999999997E-3</c:v>
                </c:pt>
                <c:pt idx="2">
                  <c:v>1.1999999999999999E-3</c:v>
                </c:pt>
              </c:numCache>
            </c:numRef>
          </c:val>
          <c:extLst>
            <c:ext xmlns:c16="http://schemas.microsoft.com/office/drawing/2014/chart" uri="{C3380CC4-5D6E-409C-BE32-E72D297353CC}">
              <c16:uniqueId val="{00000006-DC7B-4657-8497-1B9D236AB5E7}"/>
            </c:ext>
          </c:extLst>
        </c:ser>
        <c:dLbls>
          <c:showLegendKey val="0"/>
          <c:showVal val="1"/>
          <c:showCatName val="1"/>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Sheet10!$A$2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Sheet10!$B$1:$E$1</c:f>
              <c:strCache>
                <c:ptCount val="4"/>
                <c:pt idx="0">
                  <c:v>Healthcare Access (%)</c:v>
                </c:pt>
                <c:pt idx="1">
                  <c:v>Private Healthcare (%)</c:v>
                </c:pt>
                <c:pt idx="2">
                  <c:v>Public Healthcare (%)</c:v>
                </c:pt>
                <c:pt idx="3">
                  <c:v>Primary Health Worker Access (%)</c:v>
                </c:pt>
              </c:strCache>
            </c:strRef>
          </c:cat>
          <c:val>
            <c:numRef>
              <c:f>Sheet10!$B$2:$E$2</c:f>
              <c:numCache>
                <c:formatCode>0.00%</c:formatCode>
                <c:ptCount val="4"/>
                <c:pt idx="0">
                  <c:v>0.92300000000000004</c:v>
                </c:pt>
                <c:pt idx="1">
                  <c:v>0.65800000000000003</c:v>
                </c:pt>
                <c:pt idx="2">
                  <c:v>0.875</c:v>
                </c:pt>
                <c:pt idx="3">
                  <c:v>0.94699999999999995</c:v>
                </c:pt>
              </c:numCache>
            </c:numRef>
          </c:val>
          <c:extLst>
            <c:ext xmlns:c16="http://schemas.microsoft.com/office/drawing/2014/chart" uri="{C3380CC4-5D6E-409C-BE32-E72D297353CC}">
              <c16:uniqueId val="{00000000-683D-486A-B57F-B6C5B195B75B}"/>
            </c:ext>
          </c:extLst>
        </c:ser>
        <c:ser>
          <c:idx val="1"/>
          <c:order val="1"/>
          <c:tx>
            <c:strRef>
              <c:f>Sheet10!$A$3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Sheet10!$B$1:$E$1</c:f>
              <c:strCache>
                <c:ptCount val="4"/>
                <c:pt idx="0">
                  <c:v>Healthcare Access (%)</c:v>
                </c:pt>
                <c:pt idx="1">
                  <c:v>Private Healthcare (%)</c:v>
                </c:pt>
                <c:pt idx="2">
                  <c:v>Public Healthcare (%)</c:v>
                </c:pt>
                <c:pt idx="3">
                  <c:v>Primary Health Worker Access (%)</c:v>
                </c:pt>
              </c:strCache>
            </c:strRef>
          </c:cat>
          <c:val>
            <c:numRef>
              <c:f>Sheet10!$B$3:$E$3</c:f>
              <c:numCache>
                <c:formatCode>0.00%</c:formatCode>
                <c:ptCount val="4"/>
                <c:pt idx="0">
                  <c:v>0.71399999999999997</c:v>
                </c:pt>
                <c:pt idx="1">
                  <c:v>0.42899999999999999</c:v>
                </c:pt>
                <c:pt idx="2">
                  <c:v>0.56200000000000006</c:v>
                </c:pt>
                <c:pt idx="3">
                  <c:v>0.72399999999999998</c:v>
                </c:pt>
              </c:numCache>
            </c:numRef>
          </c:val>
          <c:extLst>
            <c:ext xmlns:c16="http://schemas.microsoft.com/office/drawing/2014/chart" uri="{C3380CC4-5D6E-409C-BE32-E72D297353CC}">
              <c16:uniqueId val="{00000001-683D-486A-B57F-B6C5B195B75B}"/>
            </c:ext>
          </c:extLst>
        </c:ser>
        <c:ser>
          <c:idx val="2"/>
          <c:order val="2"/>
          <c:tx>
            <c:strRef>
              <c:f>Sheet10!$A$4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Sheet10!$B$1:$E$1</c:f>
              <c:strCache>
                <c:ptCount val="4"/>
                <c:pt idx="0">
                  <c:v>Healthcare Access (%)</c:v>
                </c:pt>
                <c:pt idx="1">
                  <c:v>Private Healthcare (%)</c:v>
                </c:pt>
                <c:pt idx="2">
                  <c:v>Public Healthcare (%)</c:v>
                </c:pt>
                <c:pt idx="3">
                  <c:v>Primary Health Worker Access (%)</c:v>
                </c:pt>
              </c:strCache>
            </c:strRef>
          </c:cat>
          <c:val>
            <c:numRef>
              <c:f>Sheet10!$B$4:$E$4</c:f>
              <c:numCache>
                <c:formatCode>0.00%</c:formatCode>
                <c:ptCount val="4"/>
                <c:pt idx="0">
                  <c:v>0.47499999999999998</c:v>
                </c:pt>
                <c:pt idx="1">
                  <c:v>0.221</c:v>
                </c:pt>
                <c:pt idx="2">
                  <c:v>0.38900000000000001</c:v>
                </c:pt>
                <c:pt idx="3">
                  <c:v>0.48799999999999999</c:v>
                </c:pt>
              </c:numCache>
            </c:numRef>
          </c:val>
          <c:extLst>
            <c:ext xmlns:c16="http://schemas.microsoft.com/office/drawing/2014/chart" uri="{C3380CC4-5D6E-409C-BE32-E72D297353CC}">
              <c16:uniqueId val="{00000002-683D-486A-B57F-B6C5B195B75B}"/>
            </c:ext>
          </c:extLst>
        </c:ser>
        <c:dLbls>
          <c:showLegendKey val="0"/>
          <c:showVal val="1"/>
          <c:showCatName val="0"/>
          <c:showSerName val="0"/>
          <c:showPercent val="0"/>
          <c:showBubbleSize val="0"/>
        </c:dLbls>
        <c:gapWidth val="247"/>
        <c:axId val="-1048183392"/>
        <c:axId val="-1048181760"/>
      </c:barChart>
      <c:catAx>
        <c:axId val="-10481833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1760"/>
        <c:crosses val="autoZero"/>
        <c:auto val="1"/>
        <c:lblAlgn val="ctr"/>
        <c:lblOffset val="100"/>
        <c:noMultiLvlLbl val="0"/>
      </c:catAx>
      <c:valAx>
        <c:axId val="-1048181760"/>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33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Sheet11!$B$1</c:f>
              <c:strCache>
                <c:ptCount val="1"/>
                <c:pt idx="0">
                  <c:v>Trust in Government Health Campaigns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Sheet11!$A$2:$A$4</c:f>
              <c:strCache>
                <c:ptCount val="3"/>
                <c:pt idx="0">
                  <c:v>Developed Countries</c:v>
                </c:pt>
                <c:pt idx="1">
                  <c:v>Developing Countries</c:v>
                </c:pt>
                <c:pt idx="2">
                  <c:v>Underdeveloped Countries</c:v>
                </c:pt>
              </c:strCache>
            </c:strRef>
          </c:cat>
          <c:val>
            <c:numRef>
              <c:f>Sheet11!$B$2:$B$4</c:f>
              <c:numCache>
                <c:formatCode>0.00%</c:formatCode>
                <c:ptCount val="3"/>
                <c:pt idx="0">
                  <c:v>0.78500000000000003</c:v>
                </c:pt>
                <c:pt idx="1">
                  <c:v>0.58299999999999996</c:v>
                </c:pt>
                <c:pt idx="2">
                  <c:v>0.41899999999999998</c:v>
                </c:pt>
              </c:numCache>
            </c:numRef>
          </c:val>
          <c:extLst>
            <c:ext xmlns:c16="http://schemas.microsoft.com/office/drawing/2014/chart" uri="{C3380CC4-5D6E-409C-BE32-E72D297353CC}">
              <c16:uniqueId val="{00000000-D397-475F-B16A-0F53206FCFF7}"/>
            </c:ext>
          </c:extLst>
        </c:ser>
        <c:ser>
          <c:idx val="1"/>
          <c:order val="1"/>
          <c:tx>
            <c:strRef>
              <c:f>Sheet11!$C$1</c:f>
              <c:strCache>
                <c:ptCount val="1"/>
                <c:pt idx="0">
                  <c:v>Trust in Private Sector Health Campaigns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Sheet11!$A$2:$A$4</c:f>
              <c:strCache>
                <c:ptCount val="3"/>
                <c:pt idx="0">
                  <c:v>Developed Countries</c:v>
                </c:pt>
                <c:pt idx="1">
                  <c:v>Developing Countries</c:v>
                </c:pt>
                <c:pt idx="2">
                  <c:v>Underdeveloped Countries</c:v>
                </c:pt>
              </c:strCache>
            </c:strRef>
          </c:cat>
          <c:val>
            <c:numRef>
              <c:f>Sheet11!$C$2:$C$4</c:f>
              <c:numCache>
                <c:formatCode>0.00%</c:formatCode>
                <c:ptCount val="3"/>
                <c:pt idx="0">
                  <c:v>0.67400000000000004</c:v>
                </c:pt>
                <c:pt idx="1">
                  <c:v>0.437</c:v>
                </c:pt>
                <c:pt idx="2">
                  <c:v>0.27300000000000002</c:v>
                </c:pt>
              </c:numCache>
            </c:numRef>
          </c:val>
          <c:extLst>
            <c:ext xmlns:c16="http://schemas.microsoft.com/office/drawing/2014/chart" uri="{C3380CC4-5D6E-409C-BE32-E72D297353CC}">
              <c16:uniqueId val="{00000001-D397-475F-B16A-0F53206FCFF7}"/>
            </c:ext>
          </c:extLst>
        </c:ser>
        <c:ser>
          <c:idx val="2"/>
          <c:order val="2"/>
          <c:tx>
            <c:strRef>
              <c:f>Sheet11!$D$1</c:f>
              <c:strCache>
                <c:ptCount val="1"/>
                <c:pt idx="0">
                  <c:v>Perceived Effectiveness of Campaigns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Sheet11!$A$2:$A$4</c:f>
              <c:strCache>
                <c:ptCount val="3"/>
                <c:pt idx="0">
                  <c:v>Developed Countries</c:v>
                </c:pt>
                <c:pt idx="1">
                  <c:v>Developing Countries</c:v>
                </c:pt>
                <c:pt idx="2">
                  <c:v>Underdeveloped Countries</c:v>
                </c:pt>
              </c:strCache>
            </c:strRef>
          </c:cat>
          <c:val>
            <c:numRef>
              <c:f>Sheet11!$D$2:$D$4</c:f>
              <c:numCache>
                <c:formatCode>0.00%</c:formatCode>
                <c:ptCount val="3"/>
                <c:pt idx="0">
                  <c:v>0.75600000000000001</c:v>
                </c:pt>
                <c:pt idx="1">
                  <c:v>0.57099999999999995</c:v>
                </c:pt>
                <c:pt idx="2">
                  <c:v>0.39200000000000002</c:v>
                </c:pt>
              </c:numCache>
            </c:numRef>
          </c:val>
          <c:extLst>
            <c:ext xmlns:c16="http://schemas.microsoft.com/office/drawing/2014/chart" uri="{C3380CC4-5D6E-409C-BE32-E72D297353CC}">
              <c16:uniqueId val="{00000002-D397-475F-B16A-0F53206FCFF7}"/>
            </c:ext>
          </c:extLst>
        </c:ser>
        <c:dLbls>
          <c:showLegendKey val="0"/>
          <c:showVal val="1"/>
          <c:showCatName val="0"/>
          <c:showSerName val="0"/>
          <c:showPercent val="0"/>
          <c:showBubbleSize val="0"/>
        </c:dLbls>
        <c:gapWidth val="247"/>
        <c:axId val="-872646320"/>
        <c:axId val="-872645232"/>
      </c:barChart>
      <c:catAx>
        <c:axId val="-8726463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72645232"/>
        <c:crosses val="autoZero"/>
        <c:auto val="1"/>
        <c:lblAlgn val="ctr"/>
        <c:lblOffset val="100"/>
        <c:noMultiLvlLbl val="0"/>
      </c:catAx>
      <c:valAx>
        <c:axId val="-872645232"/>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7264632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Sheet12!$A$2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Sheet12!$B$1:$E$1</c:f>
              <c:strCache>
                <c:ptCount val="4"/>
                <c:pt idx="0">
                  <c:v>Cultural Acceptance (%)</c:v>
                </c:pt>
                <c:pt idx="1">
                  <c:v>Resistance to Health Messages (%)</c:v>
                </c:pt>
                <c:pt idx="2">
                  <c:v>Influence of Local Beliefs (%)</c:v>
                </c:pt>
                <c:pt idx="3">
                  <c:v>Role of Religious Institutions (%)</c:v>
                </c:pt>
              </c:strCache>
            </c:strRef>
          </c:cat>
          <c:val>
            <c:numRef>
              <c:f>Sheet12!$B$2:$E$2</c:f>
              <c:numCache>
                <c:formatCode>0.00%</c:formatCode>
                <c:ptCount val="4"/>
                <c:pt idx="0">
                  <c:v>0.85199999999999998</c:v>
                </c:pt>
                <c:pt idx="1">
                  <c:v>7.5999999999999998E-2</c:v>
                </c:pt>
                <c:pt idx="2">
                  <c:v>0.128</c:v>
                </c:pt>
                <c:pt idx="3">
                  <c:v>6.4000000000000001E-2</c:v>
                </c:pt>
              </c:numCache>
            </c:numRef>
          </c:val>
          <c:extLst>
            <c:ext xmlns:c16="http://schemas.microsoft.com/office/drawing/2014/chart" uri="{C3380CC4-5D6E-409C-BE32-E72D297353CC}">
              <c16:uniqueId val="{00000000-ADF7-4FDA-AC81-2B7B6CAF680C}"/>
            </c:ext>
          </c:extLst>
        </c:ser>
        <c:ser>
          <c:idx val="1"/>
          <c:order val="1"/>
          <c:tx>
            <c:strRef>
              <c:f>Sheet12!$A$3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Sheet12!$B$1:$E$1</c:f>
              <c:strCache>
                <c:ptCount val="4"/>
                <c:pt idx="0">
                  <c:v>Cultural Acceptance (%)</c:v>
                </c:pt>
                <c:pt idx="1">
                  <c:v>Resistance to Health Messages (%)</c:v>
                </c:pt>
                <c:pt idx="2">
                  <c:v>Influence of Local Beliefs (%)</c:v>
                </c:pt>
                <c:pt idx="3">
                  <c:v>Role of Religious Institutions (%)</c:v>
                </c:pt>
              </c:strCache>
            </c:strRef>
          </c:cat>
          <c:val>
            <c:numRef>
              <c:f>Sheet12!$B$3:$E$3</c:f>
              <c:numCache>
                <c:formatCode>0.00%</c:formatCode>
                <c:ptCount val="4"/>
                <c:pt idx="0">
                  <c:v>0.71399999999999997</c:v>
                </c:pt>
                <c:pt idx="1">
                  <c:v>0.21199999999999999</c:v>
                </c:pt>
                <c:pt idx="2">
                  <c:v>0.38300000000000001</c:v>
                </c:pt>
                <c:pt idx="3">
                  <c:v>0.30099999999999999</c:v>
                </c:pt>
              </c:numCache>
            </c:numRef>
          </c:val>
          <c:extLst>
            <c:ext xmlns:c16="http://schemas.microsoft.com/office/drawing/2014/chart" uri="{C3380CC4-5D6E-409C-BE32-E72D297353CC}">
              <c16:uniqueId val="{00000001-ADF7-4FDA-AC81-2B7B6CAF680C}"/>
            </c:ext>
          </c:extLst>
        </c:ser>
        <c:ser>
          <c:idx val="2"/>
          <c:order val="2"/>
          <c:tx>
            <c:strRef>
              <c:f>Sheet12!$A$4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Sheet12!$B$1:$E$1</c:f>
              <c:strCache>
                <c:ptCount val="4"/>
                <c:pt idx="0">
                  <c:v>Cultural Acceptance (%)</c:v>
                </c:pt>
                <c:pt idx="1">
                  <c:v>Resistance to Health Messages (%)</c:v>
                </c:pt>
                <c:pt idx="2">
                  <c:v>Influence of Local Beliefs (%)</c:v>
                </c:pt>
                <c:pt idx="3">
                  <c:v>Role of Religious Institutions (%)</c:v>
                </c:pt>
              </c:strCache>
            </c:strRef>
          </c:cat>
          <c:val>
            <c:numRef>
              <c:f>Sheet12!$B$4:$E$4</c:f>
              <c:numCache>
                <c:formatCode>0.00%</c:formatCode>
                <c:ptCount val="4"/>
                <c:pt idx="0">
                  <c:v>0.51700000000000002</c:v>
                </c:pt>
                <c:pt idx="1">
                  <c:v>0.38400000000000001</c:v>
                </c:pt>
                <c:pt idx="2">
                  <c:v>0.60899999999999999</c:v>
                </c:pt>
                <c:pt idx="3">
                  <c:v>0.45300000000000001</c:v>
                </c:pt>
              </c:numCache>
            </c:numRef>
          </c:val>
          <c:extLst>
            <c:ext xmlns:c16="http://schemas.microsoft.com/office/drawing/2014/chart" uri="{C3380CC4-5D6E-409C-BE32-E72D297353CC}">
              <c16:uniqueId val="{00000002-ADF7-4FDA-AC81-2B7B6CAF680C}"/>
            </c:ext>
          </c:extLst>
        </c:ser>
        <c:dLbls>
          <c:showLegendKey val="0"/>
          <c:showVal val="1"/>
          <c:showCatName val="0"/>
          <c:showSerName val="0"/>
          <c:showPercent val="0"/>
          <c:showBubbleSize val="0"/>
        </c:dLbls>
        <c:gapWidth val="247"/>
        <c:axId val="-872644688"/>
        <c:axId val="-872650128"/>
      </c:barChart>
      <c:catAx>
        <c:axId val="-8726446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72650128"/>
        <c:crosses val="autoZero"/>
        <c:auto val="1"/>
        <c:lblAlgn val="ctr"/>
        <c:lblOffset val="100"/>
        <c:noMultiLvlLbl val="0"/>
      </c:catAx>
      <c:valAx>
        <c:axId val="-872650128"/>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7264468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Sheet2!$B$1:$E$1</c:f>
              <c:strCache>
                <c:ptCount val="4"/>
                <c:pt idx="0">
                  <c:v>Internet Penetration (%)</c:v>
                </c:pt>
                <c:pt idx="1">
                  <c:v>Mobile Health App Usage (%)</c:v>
                </c:pt>
                <c:pt idx="2">
                  <c:v>Mobile Phone Ownership (%)</c:v>
                </c:pt>
                <c:pt idx="3">
                  <c:v>Telemedicine Usage (%)</c:v>
                </c:pt>
              </c:strCache>
            </c:strRef>
          </c:cat>
          <c:val>
            <c:numRef>
              <c:f>Sheet2!$B$2:$E$2</c:f>
              <c:numCache>
                <c:formatCode>0.00%</c:formatCode>
                <c:ptCount val="4"/>
                <c:pt idx="0">
                  <c:v>0.92600000000000005</c:v>
                </c:pt>
                <c:pt idx="1">
                  <c:v>0.754</c:v>
                </c:pt>
                <c:pt idx="2">
                  <c:v>0.97099999999999997</c:v>
                </c:pt>
                <c:pt idx="3">
                  <c:v>0.58699999999999997</c:v>
                </c:pt>
              </c:numCache>
            </c:numRef>
          </c:val>
          <c:extLst>
            <c:ext xmlns:c16="http://schemas.microsoft.com/office/drawing/2014/chart" uri="{C3380CC4-5D6E-409C-BE32-E72D297353CC}">
              <c16:uniqueId val="{00000000-8417-41AD-8E6F-089C91D2F42F}"/>
            </c:ext>
          </c:extLst>
        </c:ser>
        <c:ser>
          <c:idx val="1"/>
          <c:order val="1"/>
          <c:tx>
            <c:strRef>
              <c:f>Sheet2!$A$3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Sheet2!$B$1:$E$1</c:f>
              <c:strCache>
                <c:ptCount val="4"/>
                <c:pt idx="0">
                  <c:v>Internet Penetration (%)</c:v>
                </c:pt>
                <c:pt idx="1">
                  <c:v>Mobile Health App Usage (%)</c:v>
                </c:pt>
                <c:pt idx="2">
                  <c:v>Mobile Phone Ownership (%)</c:v>
                </c:pt>
                <c:pt idx="3">
                  <c:v>Telemedicine Usage (%)</c:v>
                </c:pt>
              </c:strCache>
            </c:strRef>
          </c:cat>
          <c:val>
            <c:numRef>
              <c:f>Sheet2!$B$3:$E$3</c:f>
              <c:numCache>
                <c:formatCode>0.00%</c:formatCode>
                <c:ptCount val="4"/>
                <c:pt idx="0">
                  <c:v>0.624</c:v>
                </c:pt>
                <c:pt idx="1">
                  <c:v>0.35899999999999999</c:v>
                </c:pt>
                <c:pt idx="2">
                  <c:v>0.85199999999999998</c:v>
                </c:pt>
                <c:pt idx="3">
                  <c:v>0.223</c:v>
                </c:pt>
              </c:numCache>
            </c:numRef>
          </c:val>
          <c:extLst>
            <c:ext xmlns:c16="http://schemas.microsoft.com/office/drawing/2014/chart" uri="{C3380CC4-5D6E-409C-BE32-E72D297353CC}">
              <c16:uniqueId val="{00000001-8417-41AD-8E6F-089C91D2F42F}"/>
            </c:ext>
          </c:extLst>
        </c:ser>
        <c:ser>
          <c:idx val="2"/>
          <c:order val="2"/>
          <c:tx>
            <c:strRef>
              <c:f>Sheet2!$A$4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Sheet2!$B$1:$E$1</c:f>
              <c:strCache>
                <c:ptCount val="4"/>
                <c:pt idx="0">
                  <c:v>Internet Penetration (%)</c:v>
                </c:pt>
                <c:pt idx="1">
                  <c:v>Mobile Health App Usage (%)</c:v>
                </c:pt>
                <c:pt idx="2">
                  <c:v>Mobile Phone Ownership (%)</c:v>
                </c:pt>
                <c:pt idx="3">
                  <c:v>Telemedicine Usage (%)</c:v>
                </c:pt>
              </c:strCache>
            </c:strRef>
          </c:cat>
          <c:val>
            <c:numRef>
              <c:f>Sheet2!$B$4:$E$4</c:f>
              <c:numCache>
                <c:formatCode>0.00%</c:formatCode>
                <c:ptCount val="4"/>
                <c:pt idx="0">
                  <c:v>0.376</c:v>
                </c:pt>
                <c:pt idx="1">
                  <c:v>9.4E-2</c:v>
                </c:pt>
                <c:pt idx="2">
                  <c:v>0.66300000000000003</c:v>
                </c:pt>
                <c:pt idx="3">
                  <c:v>7.1999999999999995E-2</c:v>
                </c:pt>
              </c:numCache>
            </c:numRef>
          </c:val>
          <c:extLst>
            <c:ext xmlns:c16="http://schemas.microsoft.com/office/drawing/2014/chart" uri="{C3380CC4-5D6E-409C-BE32-E72D297353CC}">
              <c16:uniqueId val="{00000002-8417-41AD-8E6F-089C91D2F42F}"/>
            </c:ext>
          </c:extLst>
        </c:ser>
        <c:dLbls>
          <c:showLegendKey val="0"/>
          <c:showVal val="1"/>
          <c:showCatName val="0"/>
          <c:showSerName val="0"/>
          <c:showPercent val="0"/>
          <c:showBubbleSize val="0"/>
        </c:dLbls>
        <c:gapWidth val="267"/>
        <c:overlap val="-43"/>
        <c:axId val="-1048180672"/>
        <c:axId val="-1048173056"/>
      </c:barChart>
      <c:catAx>
        <c:axId val="-10481806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73056"/>
        <c:crosses val="autoZero"/>
        <c:auto val="1"/>
        <c:lblAlgn val="ctr"/>
        <c:lblOffset val="100"/>
        <c:noMultiLvlLbl val="0"/>
      </c:catAx>
      <c:valAx>
        <c:axId val="-1048173056"/>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06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Sheet3!$A$2</c:f>
              <c:strCache>
                <c:ptCount val="1"/>
                <c:pt idx="0">
                  <c:v>Developed Countries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851-4584-98F5-0688DA16B261}"/>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851-4584-98F5-0688DA16B261}"/>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851-4584-98F5-0688DA16B2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Sheet3!$B$1:$D$1</c:f>
              <c:strCache>
                <c:ptCount val="3"/>
                <c:pt idx="0">
                  <c:v>Campaign Reach (%)</c:v>
                </c:pt>
                <c:pt idx="1">
                  <c:v>Engagement Rate (%)</c:v>
                </c:pt>
                <c:pt idx="2">
                  <c:v>Health Outcomes Improved (%)</c:v>
                </c:pt>
              </c:strCache>
            </c:strRef>
          </c:cat>
          <c:val>
            <c:numRef>
              <c:f>Sheet3!$B$2:$D$2</c:f>
              <c:numCache>
                <c:formatCode>0.00%</c:formatCode>
                <c:ptCount val="3"/>
                <c:pt idx="0">
                  <c:v>0.81200000000000006</c:v>
                </c:pt>
                <c:pt idx="1">
                  <c:v>0.71499999999999997</c:v>
                </c:pt>
                <c:pt idx="2">
                  <c:v>0.47299999999999998</c:v>
                </c:pt>
              </c:numCache>
            </c:numRef>
          </c:val>
          <c:extLst>
            <c:ext xmlns:c16="http://schemas.microsoft.com/office/drawing/2014/chart" uri="{C3380CC4-5D6E-409C-BE32-E72D297353CC}">
              <c16:uniqueId val="{00000006-1851-4584-98F5-0688DA16B261}"/>
            </c:ext>
          </c:extLst>
        </c:ser>
        <c:ser>
          <c:idx val="1"/>
          <c:order val="1"/>
          <c:tx>
            <c:strRef>
              <c:f>Sheet3!$A$3</c:f>
              <c:strCache>
                <c:ptCount val="1"/>
                <c:pt idx="0">
                  <c:v>Developing Countries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8-1851-4584-98F5-0688DA16B261}"/>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A-1851-4584-98F5-0688DA16B261}"/>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C-1851-4584-98F5-0688DA16B2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Sheet3!$B$1:$D$1</c:f>
              <c:strCache>
                <c:ptCount val="3"/>
                <c:pt idx="0">
                  <c:v>Campaign Reach (%)</c:v>
                </c:pt>
                <c:pt idx="1">
                  <c:v>Engagement Rate (%)</c:v>
                </c:pt>
                <c:pt idx="2">
                  <c:v>Health Outcomes Improved (%)</c:v>
                </c:pt>
              </c:strCache>
            </c:strRef>
          </c:cat>
          <c:val>
            <c:numRef>
              <c:f>Sheet3!$B$3:$D$3</c:f>
              <c:numCache>
                <c:formatCode>0.00%</c:formatCode>
                <c:ptCount val="3"/>
                <c:pt idx="0">
                  <c:v>0.61799999999999999</c:v>
                </c:pt>
                <c:pt idx="1">
                  <c:v>0.55600000000000005</c:v>
                </c:pt>
                <c:pt idx="2">
                  <c:v>0.22900000000000001</c:v>
                </c:pt>
              </c:numCache>
            </c:numRef>
          </c:val>
          <c:extLst>
            <c:ext xmlns:c16="http://schemas.microsoft.com/office/drawing/2014/chart" uri="{C3380CC4-5D6E-409C-BE32-E72D297353CC}">
              <c16:uniqueId val="{0000000D-1851-4584-98F5-0688DA16B261}"/>
            </c:ext>
          </c:extLst>
        </c:ser>
        <c:ser>
          <c:idx val="2"/>
          <c:order val="2"/>
          <c:tx>
            <c:strRef>
              <c:f>Sheet3!$A$4</c:f>
              <c:strCache>
                <c:ptCount val="1"/>
                <c:pt idx="0">
                  <c:v>Underdeveloped Countries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1851-4584-98F5-0688DA16B261}"/>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1851-4584-98F5-0688DA16B261}"/>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3-1851-4584-98F5-0688DA16B2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Sheet3!$B$1:$D$1</c:f>
              <c:strCache>
                <c:ptCount val="3"/>
                <c:pt idx="0">
                  <c:v>Campaign Reach (%)</c:v>
                </c:pt>
                <c:pt idx="1">
                  <c:v>Engagement Rate (%)</c:v>
                </c:pt>
                <c:pt idx="2">
                  <c:v>Health Outcomes Improved (%)</c:v>
                </c:pt>
              </c:strCache>
            </c:strRef>
          </c:cat>
          <c:val>
            <c:numRef>
              <c:f>Sheet3!$B$4:$D$4</c:f>
              <c:numCache>
                <c:formatCode>0.00%</c:formatCode>
                <c:ptCount val="3"/>
                <c:pt idx="0">
                  <c:v>0.437</c:v>
                </c:pt>
                <c:pt idx="1">
                  <c:v>0.33800000000000002</c:v>
                </c:pt>
                <c:pt idx="2">
                  <c:v>0.124</c:v>
                </c:pt>
              </c:numCache>
            </c:numRef>
          </c:val>
          <c:extLst>
            <c:ext xmlns:c16="http://schemas.microsoft.com/office/drawing/2014/chart" uri="{C3380CC4-5D6E-409C-BE32-E72D297353CC}">
              <c16:uniqueId val="{00000014-1851-4584-98F5-0688DA16B261}"/>
            </c:ext>
          </c:extLst>
        </c:ser>
        <c:dLbls>
          <c:showLegendKey val="0"/>
          <c:showVal val="1"/>
          <c:showCatName val="1"/>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c:f>
              <c:strCache>
                <c:ptCount val="1"/>
                <c:pt idx="0">
                  <c:v>Literacy Rate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Sheet4!$A$2:$A$4</c:f>
              <c:strCache>
                <c:ptCount val="3"/>
                <c:pt idx="0">
                  <c:v>Developed Countries</c:v>
                </c:pt>
                <c:pt idx="1">
                  <c:v>Developing Countries</c:v>
                </c:pt>
                <c:pt idx="2">
                  <c:v>Underdeveloped Countries</c:v>
                </c:pt>
              </c:strCache>
            </c:strRef>
          </c:cat>
          <c:val>
            <c:numRef>
              <c:f>Sheet4!$B$2:$B$4</c:f>
              <c:numCache>
                <c:formatCode>0.00%</c:formatCode>
                <c:ptCount val="3"/>
                <c:pt idx="0">
                  <c:v>0.93400000000000005</c:v>
                </c:pt>
                <c:pt idx="1">
                  <c:v>0.65900000000000003</c:v>
                </c:pt>
                <c:pt idx="2">
                  <c:v>0.43099999999999999</c:v>
                </c:pt>
              </c:numCache>
            </c:numRef>
          </c:val>
          <c:extLst>
            <c:ext xmlns:c16="http://schemas.microsoft.com/office/drawing/2014/chart" uri="{C3380CC4-5D6E-409C-BE32-E72D297353CC}">
              <c16:uniqueId val="{00000000-F7EA-452F-87F7-6E45E0B60BDE}"/>
            </c:ext>
          </c:extLst>
        </c:ser>
        <c:ser>
          <c:idx val="1"/>
          <c:order val="1"/>
          <c:tx>
            <c:strRef>
              <c:f>Sheet4!$C$1</c:f>
              <c:strCache>
                <c:ptCount val="1"/>
                <c:pt idx="0">
                  <c:v>Mobile Health App Literacy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Sheet4!$A$2:$A$4</c:f>
              <c:strCache>
                <c:ptCount val="3"/>
                <c:pt idx="0">
                  <c:v>Developed Countries</c:v>
                </c:pt>
                <c:pt idx="1">
                  <c:v>Developing Countries</c:v>
                </c:pt>
                <c:pt idx="2">
                  <c:v>Underdeveloped Countries</c:v>
                </c:pt>
              </c:strCache>
            </c:strRef>
          </c:cat>
          <c:val>
            <c:numRef>
              <c:f>Sheet4!$C$2:$C$4</c:f>
              <c:numCache>
                <c:formatCode>0.00%</c:formatCode>
                <c:ptCount val="3"/>
                <c:pt idx="0">
                  <c:v>0.77800000000000002</c:v>
                </c:pt>
                <c:pt idx="1">
                  <c:v>0.52400000000000002</c:v>
                </c:pt>
                <c:pt idx="2">
                  <c:v>0.193</c:v>
                </c:pt>
              </c:numCache>
            </c:numRef>
          </c:val>
          <c:extLst>
            <c:ext xmlns:c16="http://schemas.microsoft.com/office/drawing/2014/chart" uri="{C3380CC4-5D6E-409C-BE32-E72D297353CC}">
              <c16:uniqueId val="{00000001-F7EA-452F-87F7-6E45E0B60BDE}"/>
            </c:ext>
          </c:extLst>
        </c:ser>
        <c:ser>
          <c:idx val="2"/>
          <c:order val="2"/>
          <c:tx>
            <c:strRef>
              <c:f>Sheet4!$D$1</c:f>
              <c:strCache>
                <c:ptCount val="1"/>
                <c:pt idx="0">
                  <c:v>Digital Media Literacy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Sheet4!$A$2:$A$4</c:f>
              <c:strCache>
                <c:ptCount val="3"/>
                <c:pt idx="0">
                  <c:v>Developed Countries</c:v>
                </c:pt>
                <c:pt idx="1">
                  <c:v>Developing Countries</c:v>
                </c:pt>
                <c:pt idx="2">
                  <c:v>Underdeveloped Countries</c:v>
                </c:pt>
              </c:strCache>
            </c:strRef>
          </c:cat>
          <c:val>
            <c:numRef>
              <c:f>Sheet4!$D$2:$D$4</c:f>
              <c:numCache>
                <c:formatCode>0.00%</c:formatCode>
                <c:ptCount val="3"/>
                <c:pt idx="0">
                  <c:v>0.84499999999999997</c:v>
                </c:pt>
                <c:pt idx="1">
                  <c:v>0.58699999999999997</c:v>
                </c:pt>
                <c:pt idx="2">
                  <c:v>0.32400000000000001</c:v>
                </c:pt>
              </c:numCache>
            </c:numRef>
          </c:val>
          <c:extLst>
            <c:ext xmlns:c16="http://schemas.microsoft.com/office/drawing/2014/chart" uri="{C3380CC4-5D6E-409C-BE32-E72D297353CC}">
              <c16:uniqueId val="{00000002-F7EA-452F-87F7-6E45E0B60BDE}"/>
            </c:ext>
          </c:extLst>
        </c:ser>
        <c:dLbls>
          <c:showLegendKey val="0"/>
          <c:showVal val="1"/>
          <c:showCatName val="0"/>
          <c:showSerName val="0"/>
          <c:showPercent val="0"/>
          <c:showBubbleSize val="0"/>
        </c:dLbls>
        <c:gapWidth val="247"/>
        <c:axId val="-1048185568"/>
        <c:axId val="-1048174144"/>
      </c:barChart>
      <c:catAx>
        <c:axId val="-10481855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74144"/>
        <c:crosses val="autoZero"/>
        <c:auto val="1"/>
        <c:lblAlgn val="ctr"/>
        <c:lblOffset val="100"/>
        <c:noMultiLvlLbl val="0"/>
      </c:catAx>
      <c:valAx>
        <c:axId val="-1048174144"/>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556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Sheet5!$B$1:$F$1</c:f>
              <c:strCache>
                <c:ptCount val="5"/>
                <c:pt idx="0">
                  <c:v>Social Media (%)</c:v>
                </c:pt>
                <c:pt idx="1">
                  <c:v>Radio (%)</c:v>
                </c:pt>
                <c:pt idx="2">
                  <c:v>Print Media (%)</c:v>
                </c:pt>
                <c:pt idx="3">
                  <c:v>Face-to-Face Outreach (%)</c:v>
                </c:pt>
                <c:pt idx="4">
                  <c:v>Mobile Messaging (%)</c:v>
                </c:pt>
              </c:strCache>
            </c:strRef>
          </c:cat>
          <c:val>
            <c:numRef>
              <c:f>Sheet5!$B$2:$F$2</c:f>
              <c:numCache>
                <c:formatCode>0.00%</c:formatCode>
                <c:ptCount val="5"/>
                <c:pt idx="0">
                  <c:v>0.64700000000000002</c:v>
                </c:pt>
                <c:pt idx="1">
                  <c:v>0.14899999999999999</c:v>
                </c:pt>
                <c:pt idx="2">
                  <c:v>6.8000000000000005E-2</c:v>
                </c:pt>
                <c:pt idx="3">
                  <c:v>0.124</c:v>
                </c:pt>
                <c:pt idx="4">
                  <c:v>0.42099999999999999</c:v>
                </c:pt>
              </c:numCache>
            </c:numRef>
          </c:val>
          <c:extLst>
            <c:ext xmlns:c16="http://schemas.microsoft.com/office/drawing/2014/chart" uri="{C3380CC4-5D6E-409C-BE32-E72D297353CC}">
              <c16:uniqueId val="{00000000-13BE-42DA-8A6C-3EF878F3DEE3}"/>
            </c:ext>
          </c:extLst>
        </c:ser>
        <c:ser>
          <c:idx val="1"/>
          <c:order val="1"/>
          <c:tx>
            <c:strRef>
              <c:f>Sheet5!$A$3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Sheet5!$B$1:$F$1</c:f>
              <c:strCache>
                <c:ptCount val="5"/>
                <c:pt idx="0">
                  <c:v>Social Media (%)</c:v>
                </c:pt>
                <c:pt idx="1">
                  <c:v>Radio (%)</c:v>
                </c:pt>
                <c:pt idx="2">
                  <c:v>Print Media (%)</c:v>
                </c:pt>
                <c:pt idx="3">
                  <c:v>Face-to-Face Outreach (%)</c:v>
                </c:pt>
                <c:pt idx="4">
                  <c:v>Mobile Messaging (%)</c:v>
                </c:pt>
              </c:strCache>
            </c:strRef>
          </c:cat>
          <c:val>
            <c:numRef>
              <c:f>Sheet5!$B$3:$F$3</c:f>
              <c:numCache>
                <c:formatCode>0.00%</c:formatCode>
                <c:ptCount val="5"/>
                <c:pt idx="0">
                  <c:v>0.38200000000000001</c:v>
                </c:pt>
                <c:pt idx="1">
                  <c:v>0.48499999999999999</c:v>
                </c:pt>
                <c:pt idx="2">
                  <c:v>0.23699999999999999</c:v>
                </c:pt>
                <c:pt idx="3">
                  <c:v>0.33400000000000002</c:v>
                </c:pt>
                <c:pt idx="4">
                  <c:v>0.26600000000000001</c:v>
                </c:pt>
              </c:numCache>
            </c:numRef>
          </c:val>
          <c:extLst>
            <c:ext xmlns:c16="http://schemas.microsoft.com/office/drawing/2014/chart" uri="{C3380CC4-5D6E-409C-BE32-E72D297353CC}">
              <c16:uniqueId val="{00000001-13BE-42DA-8A6C-3EF878F3DEE3}"/>
            </c:ext>
          </c:extLst>
        </c:ser>
        <c:ser>
          <c:idx val="2"/>
          <c:order val="2"/>
          <c:tx>
            <c:strRef>
              <c:f>Sheet5!$A$4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Sheet5!$B$1:$F$1</c:f>
              <c:strCache>
                <c:ptCount val="5"/>
                <c:pt idx="0">
                  <c:v>Social Media (%)</c:v>
                </c:pt>
                <c:pt idx="1">
                  <c:v>Radio (%)</c:v>
                </c:pt>
                <c:pt idx="2">
                  <c:v>Print Media (%)</c:v>
                </c:pt>
                <c:pt idx="3">
                  <c:v>Face-to-Face Outreach (%)</c:v>
                </c:pt>
                <c:pt idx="4">
                  <c:v>Mobile Messaging (%)</c:v>
                </c:pt>
              </c:strCache>
            </c:strRef>
          </c:cat>
          <c:val>
            <c:numRef>
              <c:f>Sheet5!$B$4:$F$4</c:f>
              <c:numCache>
                <c:formatCode>0.00%</c:formatCode>
                <c:ptCount val="5"/>
                <c:pt idx="0">
                  <c:v>7.9000000000000001E-2</c:v>
                </c:pt>
                <c:pt idx="1">
                  <c:v>0.54200000000000004</c:v>
                </c:pt>
                <c:pt idx="2">
                  <c:v>0.35099999999999998</c:v>
                </c:pt>
                <c:pt idx="3">
                  <c:v>0.46500000000000002</c:v>
                </c:pt>
                <c:pt idx="4">
                  <c:v>9.6000000000000002E-2</c:v>
                </c:pt>
              </c:numCache>
            </c:numRef>
          </c:val>
          <c:extLst>
            <c:ext xmlns:c16="http://schemas.microsoft.com/office/drawing/2014/chart" uri="{C3380CC4-5D6E-409C-BE32-E72D297353CC}">
              <c16:uniqueId val="{00000002-13BE-42DA-8A6C-3EF878F3DEE3}"/>
            </c:ext>
          </c:extLst>
        </c:ser>
        <c:dLbls>
          <c:showLegendKey val="0"/>
          <c:showVal val="1"/>
          <c:showCatName val="0"/>
          <c:showSerName val="0"/>
          <c:showPercent val="0"/>
          <c:showBubbleSize val="0"/>
        </c:dLbls>
        <c:gapWidth val="267"/>
        <c:overlap val="-43"/>
        <c:axId val="-1048172512"/>
        <c:axId val="-1048181216"/>
      </c:barChart>
      <c:catAx>
        <c:axId val="-10481725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1216"/>
        <c:crosses val="autoZero"/>
        <c:auto val="1"/>
        <c:lblAlgn val="ctr"/>
        <c:lblOffset val="100"/>
        <c:noMultiLvlLbl val="0"/>
      </c:catAx>
      <c:valAx>
        <c:axId val="-1048181216"/>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725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Sheet6!$B$1</c:f>
              <c:strCache>
                <c:ptCount val="1"/>
                <c:pt idx="0">
                  <c:v>Pre-Campaign Health Behavior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Sheet6!$A$2:$A$4</c:f>
              <c:strCache>
                <c:ptCount val="3"/>
                <c:pt idx="0">
                  <c:v>Developed Countries</c:v>
                </c:pt>
                <c:pt idx="1">
                  <c:v>Developing Countries</c:v>
                </c:pt>
                <c:pt idx="2">
                  <c:v>Underdeveloped Countries</c:v>
                </c:pt>
              </c:strCache>
            </c:strRef>
          </c:cat>
          <c:val>
            <c:numRef>
              <c:f>Sheet6!$B$2:$B$4</c:f>
              <c:numCache>
                <c:formatCode>0.00%</c:formatCode>
                <c:ptCount val="3"/>
                <c:pt idx="0">
                  <c:v>0.48299999999999998</c:v>
                </c:pt>
                <c:pt idx="1">
                  <c:v>0.29599999999999999</c:v>
                </c:pt>
                <c:pt idx="2">
                  <c:v>0.14699999999999999</c:v>
                </c:pt>
              </c:numCache>
            </c:numRef>
          </c:val>
          <c:extLst>
            <c:ext xmlns:c16="http://schemas.microsoft.com/office/drawing/2014/chart" uri="{C3380CC4-5D6E-409C-BE32-E72D297353CC}">
              <c16:uniqueId val="{00000000-88F0-4EE7-A436-368D2D90490A}"/>
            </c:ext>
          </c:extLst>
        </c:ser>
        <c:ser>
          <c:idx val="1"/>
          <c:order val="1"/>
          <c:tx>
            <c:strRef>
              <c:f>Sheet6!$C$1</c:f>
              <c:strCache>
                <c:ptCount val="1"/>
                <c:pt idx="0">
                  <c:v>Post-Campaign Health Behavior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Sheet6!$A$2:$A$4</c:f>
              <c:strCache>
                <c:ptCount val="3"/>
                <c:pt idx="0">
                  <c:v>Developed Countries</c:v>
                </c:pt>
                <c:pt idx="1">
                  <c:v>Developing Countries</c:v>
                </c:pt>
                <c:pt idx="2">
                  <c:v>Underdeveloped Countries</c:v>
                </c:pt>
              </c:strCache>
            </c:strRef>
          </c:cat>
          <c:val>
            <c:numRef>
              <c:f>Sheet6!$C$2:$C$4</c:f>
              <c:numCache>
                <c:formatCode>0.00%</c:formatCode>
                <c:ptCount val="3"/>
                <c:pt idx="0">
                  <c:v>0.72499999999999998</c:v>
                </c:pt>
                <c:pt idx="1">
                  <c:v>0.52900000000000003</c:v>
                </c:pt>
                <c:pt idx="2">
                  <c:v>0.32800000000000001</c:v>
                </c:pt>
              </c:numCache>
            </c:numRef>
          </c:val>
          <c:extLst>
            <c:ext xmlns:c16="http://schemas.microsoft.com/office/drawing/2014/chart" uri="{C3380CC4-5D6E-409C-BE32-E72D297353CC}">
              <c16:uniqueId val="{00000001-88F0-4EE7-A436-368D2D90490A}"/>
            </c:ext>
          </c:extLst>
        </c:ser>
        <c:dLbls>
          <c:showLegendKey val="0"/>
          <c:showVal val="1"/>
          <c:showCatName val="0"/>
          <c:showSerName val="0"/>
          <c:showPercent val="0"/>
          <c:showBubbleSize val="0"/>
        </c:dLbls>
        <c:gapWidth val="247"/>
        <c:axId val="-1048185024"/>
        <c:axId val="-1048184480"/>
      </c:barChart>
      <c:catAx>
        <c:axId val="-1048185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4480"/>
        <c:crosses val="autoZero"/>
        <c:auto val="1"/>
        <c:lblAlgn val="ctr"/>
        <c:lblOffset val="100"/>
        <c:noMultiLvlLbl val="0"/>
      </c:catAx>
      <c:valAx>
        <c:axId val="-1048184480"/>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502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Sheet7!$B$1:$E$1</c:f>
              <c:strCache>
                <c:ptCount val="4"/>
                <c:pt idx="0">
                  <c:v>Government (%)</c:v>
                </c:pt>
                <c:pt idx="1">
                  <c:v>International Aid (%)</c:v>
                </c:pt>
                <c:pt idx="2">
                  <c:v>Private Sector (%)</c:v>
                </c:pt>
                <c:pt idx="3">
                  <c:v>Community-Based (%)</c:v>
                </c:pt>
              </c:strCache>
            </c:strRef>
          </c:cat>
          <c:val>
            <c:numRef>
              <c:f>Sheet7!$B$2:$E$2</c:f>
              <c:numCache>
                <c:formatCode>0.00%</c:formatCode>
                <c:ptCount val="4"/>
                <c:pt idx="0">
                  <c:v>0.753</c:v>
                </c:pt>
                <c:pt idx="1">
                  <c:v>6.7000000000000004E-2</c:v>
                </c:pt>
                <c:pt idx="2">
                  <c:v>0.14199999999999999</c:v>
                </c:pt>
                <c:pt idx="3">
                  <c:v>3.7999999999999999E-2</c:v>
                </c:pt>
              </c:numCache>
            </c:numRef>
          </c:val>
          <c:extLst>
            <c:ext xmlns:c16="http://schemas.microsoft.com/office/drawing/2014/chart" uri="{C3380CC4-5D6E-409C-BE32-E72D297353CC}">
              <c16:uniqueId val="{00000000-803C-470C-A789-A85F2647F301}"/>
            </c:ext>
          </c:extLst>
        </c:ser>
        <c:ser>
          <c:idx val="1"/>
          <c:order val="1"/>
          <c:tx>
            <c:strRef>
              <c:f>Sheet7!$A$3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Sheet7!$B$1:$E$1</c:f>
              <c:strCache>
                <c:ptCount val="4"/>
                <c:pt idx="0">
                  <c:v>Government (%)</c:v>
                </c:pt>
                <c:pt idx="1">
                  <c:v>International Aid (%)</c:v>
                </c:pt>
                <c:pt idx="2">
                  <c:v>Private Sector (%)</c:v>
                </c:pt>
                <c:pt idx="3">
                  <c:v>Community-Based (%)</c:v>
                </c:pt>
              </c:strCache>
            </c:strRef>
          </c:cat>
          <c:val>
            <c:numRef>
              <c:f>Sheet7!$B$3:$E$3</c:f>
              <c:numCache>
                <c:formatCode>0.00%</c:formatCode>
                <c:ptCount val="4"/>
                <c:pt idx="0">
                  <c:v>0.46500000000000002</c:v>
                </c:pt>
                <c:pt idx="1">
                  <c:v>0.40300000000000002</c:v>
                </c:pt>
                <c:pt idx="2">
                  <c:v>9.0999999999999998E-2</c:v>
                </c:pt>
                <c:pt idx="3">
                  <c:v>0.127</c:v>
                </c:pt>
              </c:numCache>
            </c:numRef>
          </c:val>
          <c:extLst>
            <c:ext xmlns:c16="http://schemas.microsoft.com/office/drawing/2014/chart" uri="{C3380CC4-5D6E-409C-BE32-E72D297353CC}">
              <c16:uniqueId val="{00000001-803C-470C-A789-A85F2647F301}"/>
            </c:ext>
          </c:extLst>
        </c:ser>
        <c:ser>
          <c:idx val="2"/>
          <c:order val="2"/>
          <c:tx>
            <c:strRef>
              <c:f>Sheet7!$A$4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Sheet7!$B$1:$E$1</c:f>
              <c:strCache>
                <c:ptCount val="4"/>
                <c:pt idx="0">
                  <c:v>Government (%)</c:v>
                </c:pt>
                <c:pt idx="1">
                  <c:v>International Aid (%)</c:v>
                </c:pt>
                <c:pt idx="2">
                  <c:v>Private Sector (%)</c:v>
                </c:pt>
                <c:pt idx="3">
                  <c:v>Community-Based (%)</c:v>
                </c:pt>
              </c:strCache>
            </c:strRef>
          </c:cat>
          <c:val>
            <c:numRef>
              <c:f>Sheet7!$B$4:$E$4</c:f>
              <c:numCache>
                <c:formatCode>0.00%</c:formatCode>
                <c:ptCount val="4"/>
                <c:pt idx="0">
                  <c:v>0.182</c:v>
                </c:pt>
                <c:pt idx="1">
                  <c:v>0.58399999999999996</c:v>
                </c:pt>
                <c:pt idx="2">
                  <c:v>0.126</c:v>
                </c:pt>
                <c:pt idx="3">
                  <c:v>0.20799999999999999</c:v>
                </c:pt>
              </c:numCache>
            </c:numRef>
          </c:val>
          <c:extLst>
            <c:ext xmlns:c16="http://schemas.microsoft.com/office/drawing/2014/chart" uri="{C3380CC4-5D6E-409C-BE32-E72D297353CC}">
              <c16:uniqueId val="{00000002-803C-470C-A789-A85F2647F301}"/>
            </c:ext>
          </c:extLst>
        </c:ser>
        <c:dLbls>
          <c:showLegendKey val="0"/>
          <c:showVal val="1"/>
          <c:showCatName val="0"/>
          <c:showSerName val="0"/>
          <c:showPercent val="0"/>
          <c:showBubbleSize val="0"/>
        </c:dLbls>
        <c:gapWidth val="267"/>
        <c:overlap val="-43"/>
        <c:axId val="-1048171968"/>
        <c:axId val="-1048187200"/>
      </c:barChart>
      <c:catAx>
        <c:axId val="-10481719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7200"/>
        <c:crosses val="autoZero"/>
        <c:auto val="1"/>
        <c:lblAlgn val="ctr"/>
        <c:lblOffset val="100"/>
        <c:noMultiLvlLbl val="0"/>
      </c:catAx>
      <c:valAx>
        <c:axId val="-1048187200"/>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7196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Sheet8!$B$1:$F$1</c:f>
              <c:strCache>
                <c:ptCount val="5"/>
                <c:pt idx="0">
                  <c:v>Urban (%)</c:v>
                </c:pt>
                <c:pt idx="1">
                  <c:v>Rural (%)</c:v>
                </c:pt>
                <c:pt idx="2">
                  <c:v>Elderly (%)</c:v>
                </c:pt>
                <c:pt idx="3">
                  <c:v>Youth (%)</c:v>
                </c:pt>
                <c:pt idx="4">
                  <c:v>Low-Income (%)</c:v>
                </c:pt>
              </c:strCache>
            </c:strRef>
          </c:cat>
          <c:val>
            <c:numRef>
              <c:f>Sheet8!$B$2:$F$2</c:f>
              <c:numCache>
                <c:formatCode>0.00%</c:formatCode>
                <c:ptCount val="5"/>
                <c:pt idx="0">
                  <c:v>0.83099999999999996</c:v>
                </c:pt>
                <c:pt idx="1">
                  <c:v>0.67200000000000004</c:v>
                </c:pt>
                <c:pt idx="2">
                  <c:v>0.55400000000000005</c:v>
                </c:pt>
                <c:pt idx="3">
                  <c:v>0.78300000000000003</c:v>
                </c:pt>
                <c:pt idx="4">
                  <c:v>0.63500000000000001</c:v>
                </c:pt>
              </c:numCache>
            </c:numRef>
          </c:val>
          <c:extLst>
            <c:ext xmlns:c16="http://schemas.microsoft.com/office/drawing/2014/chart" uri="{C3380CC4-5D6E-409C-BE32-E72D297353CC}">
              <c16:uniqueId val="{00000000-4246-48FD-8592-6966DC61AF3C}"/>
            </c:ext>
          </c:extLst>
        </c:ser>
        <c:ser>
          <c:idx val="1"/>
          <c:order val="1"/>
          <c:tx>
            <c:strRef>
              <c:f>Sheet8!$A$3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Sheet8!$B$1:$F$1</c:f>
              <c:strCache>
                <c:ptCount val="5"/>
                <c:pt idx="0">
                  <c:v>Urban (%)</c:v>
                </c:pt>
                <c:pt idx="1">
                  <c:v>Rural (%)</c:v>
                </c:pt>
                <c:pt idx="2">
                  <c:v>Elderly (%)</c:v>
                </c:pt>
                <c:pt idx="3">
                  <c:v>Youth (%)</c:v>
                </c:pt>
                <c:pt idx="4">
                  <c:v>Low-Income (%)</c:v>
                </c:pt>
              </c:strCache>
            </c:strRef>
          </c:cat>
          <c:val>
            <c:numRef>
              <c:f>Sheet8!$B$3:$F$3</c:f>
              <c:numCache>
                <c:formatCode>0.00%</c:formatCode>
                <c:ptCount val="5"/>
                <c:pt idx="0">
                  <c:v>0.624</c:v>
                </c:pt>
                <c:pt idx="1">
                  <c:v>0.52600000000000002</c:v>
                </c:pt>
                <c:pt idx="2">
                  <c:v>0.42899999999999999</c:v>
                </c:pt>
                <c:pt idx="3">
                  <c:v>0.67100000000000004</c:v>
                </c:pt>
                <c:pt idx="4">
                  <c:v>0.497</c:v>
                </c:pt>
              </c:numCache>
            </c:numRef>
          </c:val>
          <c:extLst>
            <c:ext xmlns:c16="http://schemas.microsoft.com/office/drawing/2014/chart" uri="{C3380CC4-5D6E-409C-BE32-E72D297353CC}">
              <c16:uniqueId val="{00000001-4246-48FD-8592-6966DC61AF3C}"/>
            </c:ext>
          </c:extLst>
        </c:ser>
        <c:ser>
          <c:idx val="2"/>
          <c:order val="2"/>
          <c:tx>
            <c:strRef>
              <c:f>Sheet8!$A$4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Sheet8!$B$1:$F$1</c:f>
              <c:strCache>
                <c:ptCount val="5"/>
                <c:pt idx="0">
                  <c:v>Urban (%)</c:v>
                </c:pt>
                <c:pt idx="1">
                  <c:v>Rural (%)</c:v>
                </c:pt>
                <c:pt idx="2">
                  <c:v>Elderly (%)</c:v>
                </c:pt>
                <c:pt idx="3">
                  <c:v>Youth (%)</c:v>
                </c:pt>
                <c:pt idx="4">
                  <c:v>Low-Income (%)</c:v>
                </c:pt>
              </c:strCache>
            </c:strRef>
          </c:cat>
          <c:val>
            <c:numRef>
              <c:f>Sheet8!$B$4:$F$4</c:f>
              <c:numCache>
                <c:formatCode>0.00%</c:formatCode>
                <c:ptCount val="5"/>
                <c:pt idx="0">
                  <c:v>0.38500000000000001</c:v>
                </c:pt>
                <c:pt idx="1">
                  <c:v>0.28699999999999998</c:v>
                </c:pt>
                <c:pt idx="2">
                  <c:v>0.182</c:v>
                </c:pt>
                <c:pt idx="3">
                  <c:v>0.36699999999999999</c:v>
                </c:pt>
                <c:pt idx="4">
                  <c:v>0.42299999999999999</c:v>
                </c:pt>
              </c:numCache>
            </c:numRef>
          </c:val>
          <c:extLst>
            <c:ext xmlns:c16="http://schemas.microsoft.com/office/drawing/2014/chart" uri="{C3380CC4-5D6E-409C-BE32-E72D297353CC}">
              <c16:uniqueId val="{00000002-4246-48FD-8592-6966DC61AF3C}"/>
            </c:ext>
          </c:extLst>
        </c:ser>
        <c:dLbls>
          <c:showLegendKey val="0"/>
          <c:showVal val="1"/>
          <c:showCatName val="0"/>
          <c:showSerName val="0"/>
          <c:showPercent val="0"/>
          <c:showBubbleSize val="0"/>
        </c:dLbls>
        <c:gapWidth val="267"/>
        <c:overlap val="-43"/>
        <c:axId val="-1048179040"/>
        <c:axId val="-1048179584"/>
      </c:barChart>
      <c:catAx>
        <c:axId val="-10481790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79584"/>
        <c:crosses val="autoZero"/>
        <c:auto val="1"/>
        <c:lblAlgn val="ctr"/>
        <c:lblOffset val="100"/>
        <c:noMultiLvlLbl val="0"/>
      </c:catAx>
      <c:valAx>
        <c:axId val="-104817958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7904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Sheet9!$A$2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Sheet9!$B$1:$E$1</c:f>
              <c:strCache>
                <c:ptCount val="4"/>
                <c:pt idx="0">
                  <c:v>Infrastructure Barriers (%)</c:v>
                </c:pt>
                <c:pt idx="1">
                  <c:v>Affordability Barriers (%)</c:v>
                </c:pt>
                <c:pt idx="2">
                  <c:v>Literacy Barriers (%)</c:v>
                </c:pt>
                <c:pt idx="3">
                  <c:v>Technological Barriers (%)</c:v>
                </c:pt>
              </c:strCache>
            </c:strRef>
          </c:cat>
          <c:val>
            <c:numRef>
              <c:f>Sheet9!$B$2:$E$2</c:f>
              <c:numCache>
                <c:formatCode>0.00%</c:formatCode>
                <c:ptCount val="4"/>
                <c:pt idx="0">
                  <c:v>0.13700000000000001</c:v>
                </c:pt>
                <c:pt idx="1">
                  <c:v>9.6000000000000002E-2</c:v>
                </c:pt>
                <c:pt idx="2">
                  <c:v>7.1999999999999995E-2</c:v>
                </c:pt>
                <c:pt idx="3">
                  <c:v>9.5000000000000001E-2</c:v>
                </c:pt>
              </c:numCache>
            </c:numRef>
          </c:val>
          <c:extLst>
            <c:ext xmlns:c16="http://schemas.microsoft.com/office/drawing/2014/chart" uri="{C3380CC4-5D6E-409C-BE32-E72D297353CC}">
              <c16:uniqueId val="{00000000-C10F-4879-9387-A258BE4D3AD5}"/>
            </c:ext>
          </c:extLst>
        </c:ser>
        <c:ser>
          <c:idx val="1"/>
          <c:order val="1"/>
          <c:tx>
            <c:strRef>
              <c:f>Sheet9!$A$3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Sheet9!$B$1:$E$1</c:f>
              <c:strCache>
                <c:ptCount val="4"/>
                <c:pt idx="0">
                  <c:v>Infrastructure Barriers (%)</c:v>
                </c:pt>
                <c:pt idx="1">
                  <c:v>Affordability Barriers (%)</c:v>
                </c:pt>
                <c:pt idx="2">
                  <c:v>Literacy Barriers (%)</c:v>
                </c:pt>
                <c:pt idx="3">
                  <c:v>Technological Barriers (%)</c:v>
                </c:pt>
              </c:strCache>
            </c:strRef>
          </c:cat>
          <c:val>
            <c:numRef>
              <c:f>Sheet9!$B$3:$E$3</c:f>
              <c:numCache>
                <c:formatCode>0.00%</c:formatCode>
                <c:ptCount val="4"/>
                <c:pt idx="0">
                  <c:v>0.41199999999999998</c:v>
                </c:pt>
                <c:pt idx="1">
                  <c:v>0.53100000000000003</c:v>
                </c:pt>
                <c:pt idx="2">
                  <c:v>0.33500000000000002</c:v>
                </c:pt>
                <c:pt idx="3">
                  <c:v>0.39700000000000002</c:v>
                </c:pt>
              </c:numCache>
            </c:numRef>
          </c:val>
          <c:extLst>
            <c:ext xmlns:c16="http://schemas.microsoft.com/office/drawing/2014/chart" uri="{C3380CC4-5D6E-409C-BE32-E72D297353CC}">
              <c16:uniqueId val="{00000001-C10F-4879-9387-A258BE4D3AD5}"/>
            </c:ext>
          </c:extLst>
        </c:ser>
        <c:ser>
          <c:idx val="2"/>
          <c:order val="2"/>
          <c:tx>
            <c:strRef>
              <c:f>Sheet9!$A$4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Sheet9!$B$1:$E$1</c:f>
              <c:strCache>
                <c:ptCount val="4"/>
                <c:pt idx="0">
                  <c:v>Infrastructure Barriers (%)</c:v>
                </c:pt>
                <c:pt idx="1">
                  <c:v>Affordability Barriers (%)</c:v>
                </c:pt>
                <c:pt idx="2">
                  <c:v>Literacy Barriers (%)</c:v>
                </c:pt>
                <c:pt idx="3">
                  <c:v>Technological Barriers (%)</c:v>
                </c:pt>
              </c:strCache>
            </c:strRef>
          </c:cat>
          <c:val>
            <c:numRef>
              <c:f>Sheet9!$B$4:$E$4</c:f>
              <c:numCache>
                <c:formatCode>0.00%</c:formatCode>
                <c:ptCount val="4"/>
                <c:pt idx="0">
                  <c:v>0.60799999999999998</c:v>
                </c:pt>
                <c:pt idx="1">
                  <c:v>0.67900000000000005</c:v>
                </c:pt>
                <c:pt idx="2">
                  <c:v>0.52400000000000002</c:v>
                </c:pt>
                <c:pt idx="3">
                  <c:v>0.64100000000000001</c:v>
                </c:pt>
              </c:numCache>
            </c:numRef>
          </c:val>
          <c:extLst>
            <c:ext xmlns:c16="http://schemas.microsoft.com/office/drawing/2014/chart" uri="{C3380CC4-5D6E-409C-BE32-E72D297353CC}">
              <c16:uniqueId val="{00000002-C10F-4879-9387-A258BE4D3AD5}"/>
            </c:ext>
          </c:extLst>
        </c:ser>
        <c:dLbls>
          <c:showLegendKey val="0"/>
          <c:showVal val="1"/>
          <c:showCatName val="0"/>
          <c:showSerName val="0"/>
          <c:showPercent val="0"/>
          <c:showBubbleSize val="0"/>
        </c:dLbls>
        <c:gapWidth val="247"/>
        <c:axId val="-1048186656"/>
        <c:axId val="-1048183936"/>
      </c:barChart>
      <c:catAx>
        <c:axId val="-1048186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3936"/>
        <c:crosses val="autoZero"/>
        <c:auto val="1"/>
        <c:lblAlgn val="ctr"/>
        <c:lblOffset val="100"/>
        <c:noMultiLvlLbl val="0"/>
      </c:catAx>
      <c:valAx>
        <c:axId val="-1048183936"/>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66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21</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Editor-1183</cp:lastModifiedBy>
  <cp:revision>56</cp:revision>
  <dcterms:created xsi:type="dcterms:W3CDTF">2025-06-21T08:49:00Z</dcterms:created>
  <dcterms:modified xsi:type="dcterms:W3CDTF">2026-04-17T12:44:00Z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91d96083-df33-4930-8cd4-d01880d3390f</vt:lpwstr>
  </property>
</Properties>
</file>