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97FB5" w14:textId="77777777" w:rsidR="006C6D9A" w:rsidRPr="00ED1B00" w:rsidRDefault="00A255F5" w:rsidP="00ED1B00">
      <w:pPr>
        <w:spacing w:after="160"/>
        <w:jc w:val="center"/>
        <w:rPr>
          <w:rFonts w:asciiTheme="majorBidi" w:hAnsiTheme="majorBidi" w:cstheme="majorBidi"/>
        </w:rPr>
      </w:pPr>
      <w:r w:rsidRPr="00ED1B00">
        <w:rPr>
          <w:rFonts w:asciiTheme="majorBidi" w:hAnsiTheme="majorBidi" w:cstheme="majorBidi"/>
          <w:b/>
          <w:bCs/>
          <w:color w:val="000000"/>
        </w:rPr>
        <w:t>Beyond Cognitive Ability: The Role of Emotional Intelligence</w:t>
      </w:r>
    </w:p>
    <w:p w14:paraId="67A547E6" w14:textId="77777777" w:rsidR="006C6D9A" w:rsidRPr="00ED1B00" w:rsidRDefault="00A255F5" w:rsidP="00ED1B00">
      <w:pPr>
        <w:spacing w:after="480"/>
        <w:jc w:val="center"/>
        <w:rPr>
          <w:rFonts w:asciiTheme="majorBidi" w:hAnsiTheme="majorBidi" w:cstheme="majorBidi"/>
        </w:rPr>
      </w:pPr>
      <w:r w:rsidRPr="00ED1B00">
        <w:rPr>
          <w:rFonts w:asciiTheme="majorBidi" w:hAnsiTheme="majorBidi" w:cstheme="majorBidi"/>
          <w:b/>
          <w:bCs/>
          <w:color w:val="000000"/>
        </w:rPr>
        <w:t>Dimensions in Enhancing Job Performance in Higher Education</w:t>
      </w:r>
    </w:p>
    <w:p w14:paraId="5670C8F3" w14:textId="77777777" w:rsidR="00ED1B00" w:rsidRPr="00ED1B00" w:rsidRDefault="00ED1B00">
      <w:pPr>
        <w:spacing w:after="80"/>
        <w:jc w:val="center"/>
        <w:rPr>
          <w:rFonts w:asciiTheme="majorBidi" w:hAnsiTheme="majorBidi" w:cstheme="majorBidi"/>
          <w:b/>
          <w:bCs/>
        </w:rPr>
      </w:pPr>
    </w:p>
    <w:p w14:paraId="27A87C89" w14:textId="77777777" w:rsidR="00ED1B00" w:rsidRPr="00ED1B00" w:rsidRDefault="00ED1B00">
      <w:pPr>
        <w:spacing w:after="80"/>
        <w:jc w:val="center"/>
        <w:rPr>
          <w:rFonts w:asciiTheme="majorBidi" w:hAnsiTheme="majorBidi" w:cstheme="majorBidi"/>
          <w:b/>
          <w:bCs/>
        </w:rPr>
      </w:pPr>
    </w:p>
    <w:p w14:paraId="294C6301" w14:textId="77777777" w:rsidR="006C6D9A" w:rsidRPr="00ED1B00" w:rsidRDefault="00A255F5">
      <w:pPr>
        <w:pStyle w:val="Heading1"/>
        <w:rPr>
          <w:rFonts w:asciiTheme="majorBidi" w:hAnsiTheme="majorBidi" w:cstheme="majorBidi"/>
          <w:sz w:val="24"/>
          <w:szCs w:val="24"/>
        </w:rPr>
      </w:pPr>
      <w:r w:rsidRPr="00ED1B00">
        <w:rPr>
          <w:rFonts w:asciiTheme="majorBidi" w:hAnsiTheme="majorBidi" w:cstheme="majorBidi"/>
          <w:sz w:val="24"/>
          <w:szCs w:val="24"/>
        </w:rPr>
        <w:t>Abstract</w:t>
      </w:r>
    </w:p>
    <w:p w14:paraId="727EEFEE" w14:textId="277A7154" w:rsidR="006C6D9A" w:rsidRPr="00ED1B00" w:rsidRDefault="00F158CE" w:rsidP="00ED1B00">
      <w:pPr>
        <w:spacing w:after="160" w:line="360" w:lineRule="auto"/>
        <w:jc w:val="both"/>
        <w:rPr>
          <w:rFonts w:asciiTheme="majorBidi" w:hAnsiTheme="majorBidi" w:cstheme="majorBidi"/>
        </w:rPr>
      </w:pPr>
      <w:sdt>
        <w:sdtPr>
          <w:rPr>
            <w:rFonts w:asciiTheme="majorBidi" w:hAnsiTheme="majorBidi" w:cstheme="majorBidi"/>
          </w:rPr>
          <w:tag w:val="goog_rdk_0"/>
          <w:id w:val="616821247"/>
        </w:sdtPr>
        <w:sdtEndPr/>
        <w:sdtContent>
          <w:r w:rsidR="00A255F5" w:rsidRPr="00ED1B00">
            <w:rPr>
              <w:rFonts w:asciiTheme="majorBidi" w:eastAsia="Gungsuh" w:hAnsiTheme="majorBidi" w:cstheme="majorBidi"/>
            </w:rPr>
            <w:t>This study investigates the differential effects of emotional intelligence (EI) dimensions</w:t>
          </w:r>
          <w:r w:rsidR="00AF5F92">
            <w:rPr>
              <w:rFonts w:asciiTheme="majorBidi" w:eastAsia="Gungsuh" w:hAnsiTheme="majorBidi" w:cstheme="majorBidi"/>
            </w:rPr>
            <w:t>-</w:t>
          </w:r>
          <w:r w:rsidR="00A255F5" w:rsidRPr="00ED1B00">
            <w:rPr>
              <w:rFonts w:asciiTheme="majorBidi" w:eastAsia="Gungsuh" w:hAnsiTheme="majorBidi" w:cstheme="majorBidi"/>
            </w:rPr>
            <w:t>self-awareness (SA), self-regulation (SR)</w:t>
          </w:r>
          <w:r w:rsidR="005F260C">
            <w:rPr>
              <w:rFonts w:asciiTheme="majorBidi" w:eastAsia="Gungsuh" w:hAnsiTheme="majorBidi" w:cstheme="majorBidi"/>
            </w:rPr>
            <w:t xml:space="preserve"> and</w:t>
          </w:r>
          <w:r w:rsidR="00A255F5" w:rsidRPr="00ED1B00">
            <w:rPr>
              <w:rFonts w:asciiTheme="majorBidi" w:eastAsia="Gungsuh" w:hAnsiTheme="majorBidi" w:cstheme="majorBidi"/>
            </w:rPr>
            <w:t xml:space="preserve"> social competence (SC)</w:t>
          </w:r>
          <w:r w:rsidR="0095612A">
            <w:rPr>
              <w:rFonts w:asciiTheme="majorBidi" w:eastAsia="Gungsuh" w:hAnsiTheme="majorBidi" w:cstheme="majorBidi"/>
            </w:rPr>
            <w:t xml:space="preserve"> </w:t>
          </w:r>
          <w:r w:rsidR="00A255F5" w:rsidRPr="00ED1B00">
            <w:rPr>
              <w:rFonts w:asciiTheme="majorBidi" w:eastAsia="Gungsuh" w:hAnsiTheme="majorBidi" w:cstheme="majorBidi"/>
            </w:rPr>
            <w:t xml:space="preserve">on job performance (JBP) among academic staff in higher education institutions in Jammu and Kashmir, India. Grounded in Goleman's (1998) competency-based EI framework and the ability model of Mayer et al. (2004), the study adopts a quantitative, cross-sectional design with stratified random sampling (N = 224). Partial Least Squares Structural Equation </w:t>
          </w:r>
          <w:proofErr w:type="spellStart"/>
          <w:r w:rsidR="00A255F5" w:rsidRPr="00ED1B00">
            <w:rPr>
              <w:rFonts w:asciiTheme="majorBidi" w:eastAsia="Gungsuh" w:hAnsiTheme="majorBidi" w:cstheme="majorBidi"/>
            </w:rPr>
            <w:t>Modeling</w:t>
          </w:r>
          <w:proofErr w:type="spellEnd"/>
          <w:r w:rsidR="00A255F5" w:rsidRPr="00ED1B00">
            <w:rPr>
              <w:rFonts w:asciiTheme="majorBidi" w:eastAsia="Gungsuh" w:hAnsiTheme="majorBidi" w:cstheme="majorBidi"/>
            </w:rPr>
            <w:t xml:space="preserve"> (PLS-SEM) was employed for data analysis. Measurement model results confirm strong reliability (Cronbach's Alpha ≥ 0.817; Composite Reliability ≥ 0.881) and convergent validity (AVE ≥ 0.583) for all constructs. Discriminant validity is supported via the </w:t>
          </w:r>
          <w:proofErr w:type="spellStart"/>
          <w:r w:rsidR="00A255F5" w:rsidRPr="00ED1B00">
            <w:rPr>
              <w:rFonts w:asciiTheme="majorBidi" w:eastAsia="Gungsuh" w:hAnsiTheme="majorBidi" w:cstheme="majorBidi"/>
            </w:rPr>
            <w:t>Fornell-Larcker</w:t>
          </w:r>
          <w:proofErr w:type="spellEnd"/>
          <w:r w:rsidR="00A255F5" w:rsidRPr="00ED1B00">
            <w:rPr>
              <w:rFonts w:asciiTheme="majorBidi" w:eastAsia="Gungsuh" w:hAnsiTheme="majorBidi" w:cstheme="majorBidi"/>
            </w:rPr>
            <w:t xml:space="preserve"> criterion. The structural model explains 67.6% of the variance in job performance (R² = 0.676). All three EI dimensions exert statistically significant positive effects on job performance: self-regulation (β = 0.488, T = 4.259, p &lt; 0.001) is the strongest predictor, followed by social competence (β = 0.400, T = 6.346, p &lt; 0.001) and self-awareness (β = 0.232, T = 2.189, p &lt; 0.001). These findings provide novel, context-specific empirical evidence from a conflict-affected, resource-constrained region, affirming the importance of all three EI dimensions in academic settings. Practical implications for faculty development, talent management</w:t>
          </w:r>
          <w:r w:rsidR="005F260C">
            <w:rPr>
              <w:rFonts w:asciiTheme="majorBidi" w:eastAsia="Gungsuh" w:hAnsiTheme="majorBidi" w:cstheme="majorBidi"/>
            </w:rPr>
            <w:t xml:space="preserve"> and</w:t>
          </w:r>
          <w:r w:rsidR="00A255F5" w:rsidRPr="00ED1B00">
            <w:rPr>
              <w:rFonts w:asciiTheme="majorBidi" w:eastAsia="Gungsuh" w:hAnsiTheme="majorBidi" w:cstheme="majorBidi"/>
            </w:rPr>
            <w:t xml:space="preserve"> institutional policy in higher education are discussed.</w:t>
          </w:r>
        </w:sdtContent>
      </w:sdt>
    </w:p>
    <w:p w14:paraId="0AC7841C" w14:textId="77777777" w:rsidR="006C6D9A" w:rsidRPr="00ED1B00" w:rsidRDefault="006C6D9A">
      <w:pPr>
        <w:spacing w:after="100"/>
        <w:rPr>
          <w:rFonts w:asciiTheme="majorBidi" w:hAnsiTheme="majorBidi" w:cstheme="majorBidi"/>
        </w:rPr>
      </w:pPr>
    </w:p>
    <w:p w14:paraId="7ACC57C9" w14:textId="77777777" w:rsidR="00863E57" w:rsidRPr="00ED1B00" w:rsidRDefault="00863E57" w:rsidP="00863E57">
      <w:pPr>
        <w:spacing w:after="80"/>
        <w:jc w:val="center"/>
        <w:rPr>
          <w:rFonts w:asciiTheme="majorBidi" w:hAnsiTheme="majorBidi" w:cstheme="majorBidi"/>
        </w:rPr>
      </w:pPr>
      <w:r w:rsidRPr="00ED1B00">
        <w:rPr>
          <w:rFonts w:asciiTheme="majorBidi" w:hAnsiTheme="majorBidi" w:cstheme="majorBidi"/>
          <w:i/>
          <w:iCs/>
        </w:rPr>
        <w:t>Keywords: Emotional Intelligence, Self-Awareness, Self-Regulation, Social Competence,</w:t>
      </w:r>
    </w:p>
    <w:p w14:paraId="0C50BE7F" w14:textId="77777777" w:rsidR="00863E57" w:rsidRPr="00ED1B00" w:rsidRDefault="00863E57" w:rsidP="00863E57">
      <w:pPr>
        <w:spacing w:after="80"/>
        <w:jc w:val="center"/>
        <w:rPr>
          <w:rFonts w:asciiTheme="majorBidi" w:hAnsiTheme="majorBidi" w:cstheme="majorBidi"/>
        </w:rPr>
      </w:pPr>
      <w:r w:rsidRPr="00ED1B00">
        <w:rPr>
          <w:rFonts w:asciiTheme="majorBidi" w:hAnsiTheme="majorBidi" w:cstheme="majorBidi"/>
          <w:i/>
          <w:iCs/>
        </w:rPr>
        <w:t>Job Performance, Higher Education, Jammu and Kashmir, PLS-SEM</w:t>
      </w:r>
    </w:p>
    <w:p w14:paraId="2323E962" w14:textId="0BDC5B01" w:rsidR="006C6D9A" w:rsidRPr="00ED1B00" w:rsidRDefault="006C6D9A">
      <w:pPr>
        <w:rPr>
          <w:rFonts w:asciiTheme="majorBidi" w:hAnsiTheme="majorBidi" w:cstheme="majorBidi"/>
        </w:rPr>
      </w:pPr>
    </w:p>
    <w:p w14:paraId="33BD2BD2" w14:textId="77777777" w:rsidR="006C6D9A" w:rsidRPr="00ED1B00" w:rsidRDefault="00A255F5">
      <w:pPr>
        <w:pStyle w:val="Heading1"/>
        <w:rPr>
          <w:rFonts w:asciiTheme="majorBidi" w:hAnsiTheme="majorBidi" w:cstheme="majorBidi"/>
          <w:sz w:val="24"/>
          <w:szCs w:val="24"/>
        </w:rPr>
      </w:pPr>
      <w:r w:rsidRPr="00ED1B00">
        <w:rPr>
          <w:rFonts w:asciiTheme="majorBidi" w:hAnsiTheme="majorBidi" w:cstheme="majorBidi"/>
          <w:sz w:val="24"/>
          <w:szCs w:val="24"/>
        </w:rPr>
        <w:t>1. Introduction</w:t>
      </w:r>
    </w:p>
    <w:p w14:paraId="7B46DB3F" w14:textId="6D8ABD99"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 xml:space="preserve">The growing complexity of modern organizations has fundamentally shifted scholarly attention beyond traditional cognitive abilities toward broader human competencies, particularly those of an emotional nature. In knowledge-intensive sectors such as higher education, where work is </w:t>
      </w:r>
      <w:r w:rsidRPr="00ED1B00">
        <w:rPr>
          <w:rFonts w:asciiTheme="majorBidi" w:hAnsiTheme="majorBidi" w:cstheme="majorBidi"/>
        </w:rPr>
        <w:lastRenderedPageBreak/>
        <w:t>inherently relational and interaction-driven, emotional intelligence (EI) has emerged as a critical determinant of employee effectiveness and job performance. Emotional intelligence refers to the ability to perceive, understand, regulate</w:t>
      </w:r>
      <w:r w:rsidR="005F260C">
        <w:rPr>
          <w:rFonts w:asciiTheme="majorBidi" w:hAnsiTheme="majorBidi" w:cstheme="majorBidi"/>
        </w:rPr>
        <w:t xml:space="preserve"> and</w:t>
      </w:r>
      <w:r w:rsidRPr="00ED1B00">
        <w:rPr>
          <w:rFonts w:asciiTheme="majorBidi" w:hAnsiTheme="majorBidi" w:cstheme="majorBidi"/>
        </w:rPr>
        <w:t xml:space="preserve"> utilize emotions in oneself and others (Mayer et al., 2004; Goleman, 1998; Salovey &amp; Mayer, 1990). Recent bibliometric evidence spanning more than two decades of scholarship confirms the exponential growth of EI research in educational contexts, with educators' EI increasingly recognized as a personal resource central to managing professional demands and sustaining organizational performance (Li et al., 2025).</w:t>
      </w:r>
    </w:p>
    <w:p w14:paraId="6855F66C" w14:textId="752936BB"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Higher education Institutions are complex social systems that are marked by constant interactions between faculty, students</w:t>
      </w:r>
      <w:r w:rsidR="005F260C">
        <w:rPr>
          <w:rFonts w:asciiTheme="majorBidi" w:hAnsiTheme="majorBidi" w:cstheme="majorBidi"/>
        </w:rPr>
        <w:t xml:space="preserve"> and</w:t>
      </w:r>
      <w:r w:rsidRPr="00ED1B00">
        <w:rPr>
          <w:rFonts w:asciiTheme="majorBidi" w:hAnsiTheme="majorBidi" w:cstheme="majorBidi"/>
        </w:rPr>
        <w:t xml:space="preserve"> administrative stakeholders. Academic jobs require intellectual knowledge, emotional involvement, flexibility</w:t>
      </w:r>
      <w:r w:rsidR="005F260C">
        <w:rPr>
          <w:rFonts w:asciiTheme="majorBidi" w:hAnsiTheme="majorBidi" w:cstheme="majorBidi"/>
        </w:rPr>
        <w:t xml:space="preserve"> and</w:t>
      </w:r>
      <w:r w:rsidRPr="00ED1B00">
        <w:rPr>
          <w:rFonts w:asciiTheme="majorBidi" w:hAnsiTheme="majorBidi" w:cstheme="majorBidi"/>
        </w:rPr>
        <w:t xml:space="preserve"> interpersonal skills. In this regard, employees who possess greater emotional intelligence are in a better position to cope with the challenges in the workplace, conflict resolution</w:t>
      </w:r>
      <w:r w:rsidR="005F260C">
        <w:rPr>
          <w:rFonts w:asciiTheme="majorBidi" w:hAnsiTheme="majorBidi" w:cstheme="majorBidi"/>
        </w:rPr>
        <w:t xml:space="preserve"> and</w:t>
      </w:r>
      <w:r w:rsidRPr="00ED1B00">
        <w:rPr>
          <w:rFonts w:asciiTheme="majorBidi" w:hAnsiTheme="majorBidi" w:cstheme="majorBidi"/>
        </w:rPr>
        <w:t xml:space="preserve"> development of collaborative relationships, which improve job performance (Joseph and Newman, 2010). Coleman and Ali (2025) also showed that the perception of EI of managers in the higher education context has a significant impact on staff motivation and other fundamental aspects of job performance, such as commitment and discretionary effort. The growing popularity of global EI decline, which Freedman et al. (2025) refer to as an emotional recession, emphasizing the urgency of learning how EI dimensions can be used to maintain performance in challenging academic situations.</w:t>
      </w:r>
    </w:p>
    <w:p w14:paraId="44DB74DC" w14:textId="445021E0"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Empirical evidence consistently supports the positive relationship between emotional intelligence and job performance across organizational settings. A landmark meta-analysis by O'Boyle et al. (2011) found that EI significantly predicts job performance, even after controlling for cognitive intelligence and personality traits. In higher education specifically, emotionally intelligent faculty members have been shown to demonstrate higher levels of teaching effectiveness, job satisfaction</w:t>
      </w:r>
      <w:r w:rsidR="005F260C">
        <w:rPr>
          <w:rFonts w:asciiTheme="majorBidi" w:hAnsiTheme="majorBidi" w:cstheme="majorBidi"/>
        </w:rPr>
        <w:t xml:space="preserve"> and</w:t>
      </w:r>
      <w:r w:rsidRPr="00ED1B00">
        <w:rPr>
          <w:rFonts w:asciiTheme="majorBidi" w:hAnsiTheme="majorBidi" w:cstheme="majorBidi"/>
        </w:rPr>
        <w:t xml:space="preserve"> professional commitment Kaur (2019). More recently, Soliman et al. (2025) confirmed the significance of EI outcomes in Western higher education institutions, reinforcing the cross-cultural relevance of EI as a performance driver in academic settings. Parallel evidence from healthcare settings further validates the EI-performance pathway, with </w:t>
      </w:r>
      <w:proofErr w:type="spellStart"/>
      <w:r w:rsidRPr="00ED1B00">
        <w:rPr>
          <w:rFonts w:asciiTheme="majorBidi" w:hAnsiTheme="majorBidi" w:cstheme="majorBidi"/>
        </w:rPr>
        <w:t>Shahabi</w:t>
      </w:r>
      <w:proofErr w:type="spellEnd"/>
      <w:r w:rsidRPr="00ED1B00">
        <w:rPr>
          <w:rFonts w:asciiTheme="majorBidi" w:hAnsiTheme="majorBidi" w:cstheme="majorBidi"/>
        </w:rPr>
        <w:t xml:space="preserve"> et al. (2025) demonstrating its positive effect on job performance mediated through professional competence.</w:t>
      </w:r>
    </w:p>
    <w:p w14:paraId="321EFDC8" w14:textId="493A763B"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 xml:space="preserve">The relevance of emotional intelligence becomes especially salient in the context of Jammu and Kashmir (J&amp;K), where higher education institutions operate within unique socio-cultural and </w:t>
      </w:r>
      <w:r w:rsidRPr="00ED1B00">
        <w:rPr>
          <w:rFonts w:asciiTheme="majorBidi" w:hAnsiTheme="majorBidi" w:cstheme="majorBidi"/>
        </w:rPr>
        <w:lastRenderedPageBreak/>
        <w:t>environmental conditions. Factors such as institutional transitions, resource constraints</w:t>
      </w:r>
      <w:r w:rsidR="005F260C">
        <w:rPr>
          <w:rFonts w:asciiTheme="majorBidi" w:hAnsiTheme="majorBidi" w:cstheme="majorBidi"/>
        </w:rPr>
        <w:t xml:space="preserve"> and</w:t>
      </w:r>
      <w:r w:rsidRPr="00ED1B00">
        <w:rPr>
          <w:rFonts w:asciiTheme="majorBidi" w:hAnsiTheme="majorBidi" w:cstheme="majorBidi"/>
        </w:rPr>
        <w:t xml:space="preserve"> socio-political dynamics place additional emotional and psychological demands on academic staff (Yousuf &amp; Mir, 2024). Research in J&amp;K's institutional contexts highlights how organizational performance is shaped by human competencies and interpersonal dynamics (Bhat et al., 2024). The Job Demands-Resources framework (Bakker &amp; Demerouti, 2023) offers a relevant theoretical lens here: in high-demand academic environments, EI dimensions function as personal resources that buffer against stress-induced performance deterioration.</w:t>
      </w:r>
    </w:p>
    <w:p w14:paraId="69FA9DAC" w14:textId="5B26AEE7"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Despite a growing body of research, many studies conceptualize emotional intelligence as a unidimensional construct, thereby overlooking the distinct contributions of individual components. EI is inherently multidimensional, comprising intrapersonal and interpersonal competencies including self-awareness, self-regulation</w:t>
      </w:r>
      <w:r w:rsidR="005F260C">
        <w:rPr>
          <w:rFonts w:asciiTheme="majorBidi" w:hAnsiTheme="majorBidi" w:cstheme="majorBidi"/>
        </w:rPr>
        <w:t xml:space="preserve"> and</w:t>
      </w:r>
      <w:r w:rsidRPr="00ED1B00">
        <w:rPr>
          <w:rFonts w:asciiTheme="majorBidi" w:hAnsiTheme="majorBidi" w:cstheme="majorBidi"/>
        </w:rPr>
        <w:t xml:space="preserve"> social competence (Goleman, 1998; Boyatzis et al., 2000). Merlin and </w:t>
      </w:r>
      <w:proofErr w:type="spellStart"/>
      <w:r w:rsidRPr="00ED1B00">
        <w:rPr>
          <w:rFonts w:asciiTheme="majorBidi" w:hAnsiTheme="majorBidi" w:cstheme="majorBidi"/>
        </w:rPr>
        <w:t>Soubramanian</w:t>
      </w:r>
      <w:proofErr w:type="spellEnd"/>
      <w:r w:rsidRPr="00ED1B00">
        <w:rPr>
          <w:rFonts w:asciiTheme="majorBidi" w:hAnsiTheme="majorBidi" w:cstheme="majorBidi"/>
        </w:rPr>
        <w:t xml:space="preserve"> (2024) demonstrated that intrapersonal EI dimensions such as self-awareness function as foundational prerequisites for the development of interpersonal competence, highlighting the importance of examining each dimension independently. Work engagement research further confirms that EI dimensions differentially predict outcomes in university contexts, with Zhou et al. (2026) establishing longitudinal links between EI and psychological empowerment among university administrators.</w:t>
      </w:r>
    </w:p>
    <w:p w14:paraId="4E7FBC48" w14:textId="17410105"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The present study makes three primary contributions to the literature. First, it empirically tests the differential effects of self-awareness, self-regulation</w:t>
      </w:r>
      <w:r w:rsidR="005F260C">
        <w:rPr>
          <w:rFonts w:asciiTheme="majorBidi" w:hAnsiTheme="majorBidi" w:cstheme="majorBidi"/>
        </w:rPr>
        <w:t xml:space="preserve"> and</w:t>
      </w:r>
      <w:r w:rsidRPr="00ED1B00">
        <w:rPr>
          <w:rFonts w:asciiTheme="majorBidi" w:hAnsiTheme="majorBidi" w:cstheme="majorBidi"/>
        </w:rPr>
        <w:t xml:space="preserve"> social competence on job performance among academic staff. Second, it provides context-specific evidence from higher education institutions in Jammu and Kashmir, a region underrepresented in organizational </w:t>
      </w:r>
      <w:proofErr w:type="spellStart"/>
      <w:r w:rsidRPr="00ED1B00">
        <w:rPr>
          <w:rFonts w:asciiTheme="majorBidi" w:hAnsiTheme="majorBidi" w:cstheme="majorBidi"/>
        </w:rPr>
        <w:t>behavior</w:t>
      </w:r>
      <w:proofErr w:type="spellEnd"/>
      <w:r w:rsidRPr="00ED1B00">
        <w:rPr>
          <w:rFonts w:asciiTheme="majorBidi" w:hAnsiTheme="majorBidi" w:cstheme="majorBidi"/>
        </w:rPr>
        <w:t xml:space="preserve"> research. Third, it employs PLS-SEM</w:t>
      </w:r>
      <w:r w:rsidR="0095612A">
        <w:rPr>
          <w:rFonts w:asciiTheme="majorBidi" w:hAnsiTheme="majorBidi" w:cstheme="majorBidi"/>
        </w:rPr>
        <w:t xml:space="preserve">, </w:t>
      </w:r>
      <w:r w:rsidRPr="00ED1B00">
        <w:rPr>
          <w:rFonts w:asciiTheme="majorBidi" w:hAnsiTheme="majorBidi" w:cstheme="majorBidi"/>
        </w:rPr>
        <w:t xml:space="preserve">a robust analytical framework increasingly applied across educational research contexts (Demir &amp; </w:t>
      </w:r>
      <w:proofErr w:type="spellStart"/>
      <w:r w:rsidRPr="00ED1B00">
        <w:rPr>
          <w:rFonts w:asciiTheme="majorBidi" w:hAnsiTheme="majorBidi" w:cstheme="majorBidi"/>
        </w:rPr>
        <w:t>Usak</w:t>
      </w:r>
      <w:proofErr w:type="spellEnd"/>
      <w:r w:rsidRPr="00ED1B00">
        <w:rPr>
          <w:rFonts w:asciiTheme="majorBidi" w:hAnsiTheme="majorBidi" w:cstheme="majorBidi"/>
        </w:rPr>
        <w:t>, 2025; Sharma &amp; Kaur, 2024)</w:t>
      </w:r>
      <w:r w:rsidR="0095612A">
        <w:rPr>
          <w:rFonts w:asciiTheme="majorBidi" w:hAnsiTheme="majorBidi" w:cstheme="majorBidi"/>
        </w:rPr>
        <w:t xml:space="preserve"> </w:t>
      </w:r>
      <w:r w:rsidRPr="00ED1B00">
        <w:rPr>
          <w:rFonts w:asciiTheme="majorBidi" w:hAnsiTheme="majorBidi" w:cstheme="majorBidi"/>
        </w:rPr>
        <w:t>to simultaneously assess measurement quality and structural relationships. Findings carry significant theoretical and practical implications for talent management, faculty development</w:t>
      </w:r>
      <w:r w:rsidR="005F260C">
        <w:rPr>
          <w:rFonts w:asciiTheme="majorBidi" w:hAnsiTheme="majorBidi" w:cstheme="majorBidi"/>
        </w:rPr>
        <w:t xml:space="preserve"> and</w:t>
      </w:r>
      <w:r w:rsidRPr="00ED1B00">
        <w:rPr>
          <w:rFonts w:asciiTheme="majorBidi" w:hAnsiTheme="majorBidi" w:cstheme="majorBidi"/>
        </w:rPr>
        <w:t xml:space="preserve"> educational leadership.</w:t>
      </w:r>
    </w:p>
    <w:p w14:paraId="1566E61C" w14:textId="77777777" w:rsidR="006C6D9A" w:rsidRPr="00ED1B00" w:rsidRDefault="006C6D9A">
      <w:pPr>
        <w:spacing w:after="80"/>
        <w:rPr>
          <w:rFonts w:asciiTheme="majorBidi" w:hAnsiTheme="majorBidi" w:cstheme="majorBidi"/>
        </w:rPr>
      </w:pPr>
    </w:p>
    <w:p w14:paraId="27966C62" w14:textId="77777777" w:rsidR="006C6D9A" w:rsidRPr="00ED1B00" w:rsidRDefault="00A255F5">
      <w:pPr>
        <w:pStyle w:val="Heading1"/>
        <w:rPr>
          <w:rFonts w:asciiTheme="majorBidi" w:hAnsiTheme="majorBidi" w:cstheme="majorBidi"/>
          <w:sz w:val="24"/>
          <w:szCs w:val="24"/>
        </w:rPr>
      </w:pPr>
      <w:r w:rsidRPr="00ED1B00">
        <w:rPr>
          <w:rFonts w:asciiTheme="majorBidi" w:hAnsiTheme="majorBidi" w:cstheme="majorBidi"/>
          <w:sz w:val="24"/>
          <w:szCs w:val="24"/>
        </w:rPr>
        <w:t>2. Literature Review</w:t>
      </w:r>
    </w:p>
    <w:p w14:paraId="50C8A585" w14:textId="77777777" w:rsidR="006C6D9A" w:rsidRPr="00ED1B00" w:rsidRDefault="00A255F5">
      <w:pPr>
        <w:pStyle w:val="Heading2"/>
        <w:rPr>
          <w:rFonts w:asciiTheme="majorBidi" w:hAnsiTheme="majorBidi" w:cstheme="majorBidi"/>
        </w:rPr>
      </w:pPr>
      <w:r w:rsidRPr="00ED1B00">
        <w:rPr>
          <w:rFonts w:asciiTheme="majorBidi" w:hAnsiTheme="majorBidi" w:cstheme="majorBidi"/>
        </w:rPr>
        <w:t>2.1 Emotional Intelligence and Job Performance</w:t>
      </w:r>
    </w:p>
    <w:p w14:paraId="3C82C8D1" w14:textId="797CE136"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lastRenderedPageBreak/>
        <w:t>Emotional intelligence has gained prominent recognition in organizational research as a predictor of job performance beyond cognitive abilities. Initially conceptualized by Mayer et al. (2004) and popularized by Goleman (1998), EI reflects an individual's capacity to perceive, understand, manage</w:t>
      </w:r>
      <w:r w:rsidR="005F260C">
        <w:rPr>
          <w:rFonts w:asciiTheme="majorBidi" w:hAnsiTheme="majorBidi" w:cstheme="majorBidi"/>
        </w:rPr>
        <w:t xml:space="preserve"> and</w:t>
      </w:r>
      <w:r w:rsidRPr="00ED1B00">
        <w:rPr>
          <w:rFonts w:asciiTheme="majorBidi" w:hAnsiTheme="majorBidi" w:cstheme="majorBidi"/>
        </w:rPr>
        <w:t xml:space="preserve"> utilize emotions effectively in workplace contexts. The foundational work of Salovey and Mayer (1990) first formalized EI as a distinct psychological construct, framing it as a set of interrelated abilities involving the monitoring and regulation of emotion to guide thought and action. The construct has attracted substantial empirical attention owing to its relevance to complex, human-</w:t>
      </w:r>
      <w:proofErr w:type="spellStart"/>
      <w:r w:rsidRPr="00ED1B00">
        <w:rPr>
          <w:rFonts w:asciiTheme="majorBidi" w:hAnsiTheme="majorBidi" w:cstheme="majorBidi"/>
        </w:rPr>
        <w:t>centered</w:t>
      </w:r>
      <w:proofErr w:type="spellEnd"/>
      <w:r w:rsidRPr="00ED1B00">
        <w:rPr>
          <w:rFonts w:asciiTheme="majorBidi" w:hAnsiTheme="majorBidi" w:cstheme="majorBidi"/>
        </w:rPr>
        <w:t xml:space="preserve"> job roles. A public sector study by </w:t>
      </w:r>
      <w:proofErr w:type="spellStart"/>
      <w:r w:rsidRPr="00ED1B00">
        <w:rPr>
          <w:rFonts w:asciiTheme="majorBidi" w:hAnsiTheme="majorBidi" w:cstheme="majorBidi"/>
        </w:rPr>
        <w:t>Gebre</w:t>
      </w:r>
      <w:proofErr w:type="spellEnd"/>
      <w:r w:rsidRPr="00ED1B00">
        <w:rPr>
          <w:rFonts w:asciiTheme="majorBidi" w:hAnsiTheme="majorBidi" w:cstheme="majorBidi"/>
        </w:rPr>
        <w:t xml:space="preserve"> (2024) further confirmed that all identified EI predictors</w:t>
      </w:r>
      <w:r w:rsidR="0095612A">
        <w:rPr>
          <w:rFonts w:asciiTheme="majorBidi" w:hAnsiTheme="majorBidi" w:cstheme="majorBidi"/>
        </w:rPr>
        <w:t xml:space="preserve"> </w:t>
      </w:r>
      <w:r w:rsidRPr="00ED1B00">
        <w:rPr>
          <w:rFonts w:asciiTheme="majorBidi" w:hAnsiTheme="majorBidi" w:cstheme="majorBidi"/>
        </w:rPr>
        <w:t>including self-awareness, self-management, empathy</w:t>
      </w:r>
      <w:r w:rsidR="005F260C">
        <w:rPr>
          <w:rFonts w:asciiTheme="majorBidi" w:hAnsiTheme="majorBidi" w:cstheme="majorBidi"/>
        </w:rPr>
        <w:t xml:space="preserve"> and</w:t>
      </w:r>
      <w:r w:rsidRPr="00ED1B00">
        <w:rPr>
          <w:rFonts w:asciiTheme="majorBidi" w:hAnsiTheme="majorBidi" w:cstheme="majorBidi"/>
        </w:rPr>
        <w:t xml:space="preserve"> relationship management</w:t>
      </w:r>
      <w:r w:rsidR="0095612A">
        <w:rPr>
          <w:rFonts w:asciiTheme="majorBidi" w:hAnsiTheme="majorBidi" w:cstheme="majorBidi"/>
        </w:rPr>
        <w:t xml:space="preserve">, </w:t>
      </w:r>
      <w:r w:rsidRPr="00ED1B00">
        <w:rPr>
          <w:rFonts w:asciiTheme="majorBidi" w:hAnsiTheme="majorBidi" w:cstheme="majorBidi"/>
        </w:rPr>
        <w:t>exert significant positive effects on employee performance, reinforcing EI's multidimensional relevance across organizational settings.</w:t>
      </w:r>
    </w:p>
    <w:p w14:paraId="005ECA2E" w14:textId="77777777"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 xml:space="preserve">O'Boyle et al. (2011) conducted a comprehensive meta-analysis confirming that EI significantly predicts job performance across diverse occupational settings, even after accounting for cognitive intelligence and personality. Joseph and Newman (2010) further proposed a cascading model in which EI influences performance through sequential emotional processes, including emotional </w:t>
      </w:r>
      <w:proofErr w:type="spellStart"/>
      <w:r w:rsidRPr="00ED1B00">
        <w:rPr>
          <w:rFonts w:asciiTheme="majorBidi" w:hAnsiTheme="majorBidi" w:cstheme="majorBidi"/>
        </w:rPr>
        <w:t>labor</w:t>
      </w:r>
      <w:proofErr w:type="spellEnd"/>
      <w:r w:rsidRPr="00ED1B00">
        <w:rPr>
          <w:rFonts w:asciiTheme="majorBidi" w:hAnsiTheme="majorBidi" w:cstheme="majorBidi"/>
        </w:rPr>
        <w:t xml:space="preserve"> and regulation. More recently, Miao et al. (2020) demonstrated that EI contributes to job performance both directly and indirectly through engagement and regulatory mechanisms. </w:t>
      </w:r>
      <w:proofErr w:type="spellStart"/>
      <w:r w:rsidRPr="00ED1B00">
        <w:rPr>
          <w:rFonts w:asciiTheme="majorBidi" w:hAnsiTheme="majorBidi" w:cstheme="majorBidi"/>
        </w:rPr>
        <w:t>Côté</w:t>
      </w:r>
      <w:proofErr w:type="spellEnd"/>
      <w:r w:rsidRPr="00ED1B00">
        <w:rPr>
          <w:rFonts w:asciiTheme="majorBidi" w:hAnsiTheme="majorBidi" w:cstheme="majorBidi"/>
        </w:rPr>
        <w:t xml:space="preserve"> (2022) emphasizes that EI enables individuals to manage complex social interactions and sustain performance in dynamic organizational environments. A structural equation </w:t>
      </w:r>
      <w:proofErr w:type="spellStart"/>
      <w:r w:rsidRPr="00ED1B00">
        <w:rPr>
          <w:rFonts w:asciiTheme="majorBidi" w:hAnsiTheme="majorBidi" w:cstheme="majorBidi"/>
        </w:rPr>
        <w:t>modeling</w:t>
      </w:r>
      <w:proofErr w:type="spellEnd"/>
      <w:r w:rsidRPr="00ED1B00">
        <w:rPr>
          <w:rFonts w:asciiTheme="majorBidi" w:hAnsiTheme="majorBidi" w:cstheme="majorBidi"/>
        </w:rPr>
        <w:t xml:space="preserve"> study in healthcare (</w:t>
      </w:r>
      <w:proofErr w:type="spellStart"/>
      <w:r w:rsidRPr="00ED1B00">
        <w:rPr>
          <w:rFonts w:asciiTheme="majorBidi" w:hAnsiTheme="majorBidi" w:cstheme="majorBidi"/>
        </w:rPr>
        <w:t>Shahabi</w:t>
      </w:r>
      <w:proofErr w:type="spellEnd"/>
      <w:r w:rsidRPr="00ED1B00">
        <w:rPr>
          <w:rFonts w:asciiTheme="majorBidi" w:hAnsiTheme="majorBidi" w:cstheme="majorBidi"/>
        </w:rPr>
        <w:t xml:space="preserve"> et al., 2025) additionally confirmed EI's positive effect on job performance mediated through professional competence, demonstrating the broad applicability of the EI-performance pathway across professional contexts.</w:t>
      </w:r>
    </w:p>
    <w:p w14:paraId="4F7EE86E" w14:textId="3CF07F64"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The relevance of EI to performance has also been examined in team and leadership contexts. Coronado-Maldonado and Benítez-Márquez (2023) conducted a hybrid literature review of 104 peer-reviewed articles confirming that EI is a crucial element of competencies required for effective leadership and team performance, with emotionally intelligent leaders better able to stimulate trust, enthusiasm</w:t>
      </w:r>
      <w:r w:rsidR="005F260C">
        <w:rPr>
          <w:rFonts w:asciiTheme="majorBidi" w:hAnsiTheme="majorBidi" w:cstheme="majorBidi"/>
        </w:rPr>
        <w:t xml:space="preserve"> and</w:t>
      </w:r>
      <w:r w:rsidRPr="00ED1B00">
        <w:rPr>
          <w:rFonts w:asciiTheme="majorBidi" w:hAnsiTheme="majorBidi" w:cstheme="majorBidi"/>
        </w:rPr>
        <w:t xml:space="preserve"> coordinated effort. Lee and Yeh (2023) similarly established, through multilevel structural equation </w:t>
      </w:r>
      <w:proofErr w:type="spellStart"/>
      <w:r w:rsidRPr="00ED1B00">
        <w:rPr>
          <w:rFonts w:asciiTheme="majorBidi" w:hAnsiTheme="majorBidi" w:cstheme="majorBidi"/>
        </w:rPr>
        <w:t>modeling</w:t>
      </w:r>
      <w:proofErr w:type="spellEnd"/>
      <w:r w:rsidRPr="00ED1B00">
        <w:rPr>
          <w:rFonts w:asciiTheme="majorBidi" w:hAnsiTheme="majorBidi" w:cstheme="majorBidi"/>
        </w:rPr>
        <w:t>, that leader EI exerts significant indirect effects on subordinate job performance through trust, transformational leadership</w:t>
      </w:r>
      <w:r w:rsidR="005F260C">
        <w:rPr>
          <w:rFonts w:asciiTheme="majorBidi" w:hAnsiTheme="majorBidi" w:cstheme="majorBidi"/>
        </w:rPr>
        <w:t xml:space="preserve"> and</w:t>
      </w:r>
      <w:r w:rsidRPr="00ED1B00">
        <w:rPr>
          <w:rFonts w:asciiTheme="majorBidi" w:hAnsiTheme="majorBidi" w:cstheme="majorBidi"/>
        </w:rPr>
        <w:t xml:space="preserve"> team cohesion. Pulido-</w:t>
      </w:r>
      <w:proofErr w:type="spellStart"/>
      <w:r w:rsidRPr="00ED1B00">
        <w:rPr>
          <w:rFonts w:asciiTheme="majorBidi" w:hAnsiTheme="majorBidi" w:cstheme="majorBidi"/>
        </w:rPr>
        <w:t>Martos</w:t>
      </w:r>
      <w:proofErr w:type="spellEnd"/>
      <w:r w:rsidRPr="00ED1B00">
        <w:rPr>
          <w:rFonts w:asciiTheme="majorBidi" w:hAnsiTheme="majorBidi" w:cstheme="majorBidi"/>
        </w:rPr>
        <w:t xml:space="preserve"> et al. (2024) further demonstrated that transformational leadership and EI jointly </w:t>
      </w:r>
      <w:r w:rsidRPr="00ED1B00">
        <w:rPr>
          <w:rFonts w:asciiTheme="majorBidi" w:hAnsiTheme="majorBidi" w:cstheme="majorBidi"/>
        </w:rPr>
        <w:lastRenderedPageBreak/>
        <w:t xml:space="preserve">predict affective organizational commitment at both individual and team levels, reinforcing the systemic performance implications of emotional competencies. Bilal and Kashif (2026) further established that EI, alongside ethical leadership, promotes innovative </w:t>
      </w:r>
      <w:proofErr w:type="spellStart"/>
      <w:r w:rsidRPr="00ED1B00">
        <w:rPr>
          <w:rFonts w:asciiTheme="majorBidi" w:hAnsiTheme="majorBidi" w:cstheme="majorBidi"/>
        </w:rPr>
        <w:t>behavior</w:t>
      </w:r>
      <w:proofErr w:type="spellEnd"/>
      <w:r w:rsidRPr="00ED1B00">
        <w:rPr>
          <w:rFonts w:asciiTheme="majorBidi" w:hAnsiTheme="majorBidi" w:cstheme="majorBidi"/>
        </w:rPr>
        <w:t xml:space="preserve"> through psychological safety and learning orientation, reinforcing the broader performance relevance of emotional competencies in organizational settings.</w:t>
      </w:r>
    </w:p>
    <w:p w14:paraId="52A793C3" w14:textId="0E42B680"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 xml:space="preserve">The relationship between EI and burnout constitutes an important pathway through which EI influences sustained job performance. </w:t>
      </w:r>
      <w:proofErr w:type="spellStart"/>
      <w:r w:rsidRPr="00ED1B00">
        <w:rPr>
          <w:rFonts w:asciiTheme="majorBidi" w:hAnsiTheme="majorBidi" w:cstheme="majorBidi"/>
        </w:rPr>
        <w:t>Sariraei</w:t>
      </w:r>
      <w:proofErr w:type="spellEnd"/>
      <w:r w:rsidRPr="00ED1B00">
        <w:rPr>
          <w:rFonts w:asciiTheme="majorBidi" w:hAnsiTheme="majorBidi" w:cstheme="majorBidi"/>
        </w:rPr>
        <w:t xml:space="preserve"> et al. (2024) demonstrated that EI dimensions interact with burnout across managerial levels to shape optimal versus suboptimal functioning, with higher EI buffering against the performance-depleting effects of emotional exhaustion. Freedman et al. (2025) further introduced the concept of an 'emotional recession'</w:t>
      </w:r>
      <w:r w:rsidR="0095612A">
        <w:rPr>
          <w:rFonts w:asciiTheme="majorBidi" w:hAnsiTheme="majorBidi" w:cstheme="majorBidi"/>
        </w:rPr>
        <w:t xml:space="preserve">, </w:t>
      </w:r>
      <w:r w:rsidRPr="00ED1B00">
        <w:rPr>
          <w:rFonts w:asciiTheme="majorBidi" w:hAnsiTheme="majorBidi" w:cstheme="majorBidi"/>
        </w:rPr>
        <w:t>a global, sustained decline in EI competencies</w:t>
      </w:r>
      <w:r w:rsidR="0095612A">
        <w:rPr>
          <w:rFonts w:asciiTheme="majorBidi" w:hAnsiTheme="majorBidi" w:cstheme="majorBidi"/>
        </w:rPr>
        <w:t xml:space="preserve"> </w:t>
      </w:r>
      <w:r w:rsidRPr="00ED1B00">
        <w:rPr>
          <w:rFonts w:asciiTheme="majorBidi" w:hAnsiTheme="majorBidi" w:cstheme="majorBidi"/>
        </w:rPr>
        <w:t>to explain rising burnout and reduced workforce resilience, underscoring the critical role of EI maintenance in organizational performance contexts.</w:t>
      </w:r>
    </w:p>
    <w:p w14:paraId="01DC72DD" w14:textId="77777777" w:rsidR="006C6D9A" w:rsidRPr="00ED1B00" w:rsidRDefault="00A255F5">
      <w:pPr>
        <w:pStyle w:val="Heading2"/>
        <w:rPr>
          <w:rFonts w:asciiTheme="majorBidi" w:hAnsiTheme="majorBidi" w:cstheme="majorBidi"/>
        </w:rPr>
      </w:pPr>
      <w:r w:rsidRPr="00ED1B00">
        <w:rPr>
          <w:rFonts w:asciiTheme="majorBidi" w:hAnsiTheme="majorBidi" w:cstheme="majorBidi"/>
        </w:rPr>
        <w:t>2.2 Emotional Intelligence in Higher Education</w:t>
      </w:r>
    </w:p>
    <w:p w14:paraId="012F45A8" w14:textId="03F628D1"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 xml:space="preserve">Higher education represents a distinctively demanding organizational context characterized by elevated interpersonal interaction, sustained emotional </w:t>
      </w:r>
      <w:proofErr w:type="spellStart"/>
      <w:r w:rsidRPr="00ED1B00">
        <w:rPr>
          <w:rFonts w:asciiTheme="majorBidi" w:hAnsiTheme="majorBidi" w:cstheme="majorBidi"/>
        </w:rPr>
        <w:t>labor</w:t>
      </w:r>
      <w:proofErr w:type="spellEnd"/>
      <w:r w:rsidR="005F260C">
        <w:rPr>
          <w:rFonts w:asciiTheme="majorBidi" w:hAnsiTheme="majorBidi" w:cstheme="majorBidi"/>
        </w:rPr>
        <w:t xml:space="preserve"> and</w:t>
      </w:r>
      <w:r w:rsidRPr="00ED1B00">
        <w:rPr>
          <w:rFonts w:asciiTheme="majorBidi" w:hAnsiTheme="majorBidi" w:cstheme="majorBidi"/>
        </w:rPr>
        <w:t xml:space="preserve"> cognitive complexity. Faculty members are required to simultaneously manage teaching responsibilities, research obligations</w:t>
      </w:r>
      <w:r w:rsidR="005F260C">
        <w:rPr>
          <w:rFonts w:asciiTheme="majorBidi" w:hAnsiTheme="majorBidi" w:cstheme="majorBidi"/>
        </w:rPr>
        <w:t xml:space="preserve"> and</w:t>
      </w:r>
      <w:r w:rsidRPr="00ED1B00">
        <w:rPr>
          <w:rFonts w:asciiTheme="majorBidi" w:hAnsiTheme="majorBidi" w:cstheme="majorBidi"/>
        </w:rPr>
        <w:t xml:space="preserve"> administrative duties while engaging diverse stakeholder groups. In such environments, emotional intelligence plays a critical role in shaping professional effectiveness and sustained performance. A recent Frontiers in Education study by </w:t>
      </w:r>
      <w:proofErr w:type="spellStart"/>
      <w:r w:rsidRPr="00ED1B00">
        <w:rPr>
          <w:rFonts w:asciiTheme="majorBidi" w:hAnsiTheme="majorBidi" w:cstheme="majorBidi"/>
        </w:rPr>
        <w:t>Caratiquit</w:t>
      </w:r>
      <w:proofErr w:type="spellEnd"/>
      <w:r w:rsidRPr="00ED1B00">
        <w:rPr>
          <w:rFonts w:asciiTheme="majorBidi" w:hAnsiTheme="majorBidi" w:cstheme="majorBidi"/>
        </w:rPr>
        <w:t xml:space="preserve"> (2025) confirmed using PLS-SEM that EI dimensions based on the Wong and Law (2002) scale significantly predict learning performance among pre-service teachers, demonstrating the scale's criterion validity and EI's relevance in educational performance contexts.</w:t>
      </w:r>
    </w:p>
    <w:p w14:paraId="0D8FE872" w14:textId="77777777"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Brackett et al. (2012) demonstrated that emotional competencies enhance classroom climate and student engagement outcomes, providing compelling evidence for the role of emotional processes in educational effectiveness. Emotional intelligence has also been linked to reduced burnout and enhanced well-being among educators (</w:t>
      </w:r>
      <w:proofErr w:type="spellStart"/>
      <w:r w:rsidRPr="00ED1B00">
        <w:rPr>
          <w:rFonts w:asciiTheme="majorBidi" w:hAnsiTheme="majorBidi" w:cstheme="majorBidi"/>
        </w:rPr>
        <w:t>Extremera</w:t>
      </w:r>
      <w:proofErr w:type="spellEnd"/>
      <w:r w:rsidRPr="00ED1B00">
        <w:rPr>
          <w:rFonts w:asciiTheme="majorBidi" w:hAnsiTheme="majorBidi" w:cstheme="majorBidi"/>
        </w:rPr>
        <w:t xml:space="preserve"> et al., 2020), supporting sustained job performance. Chan (2006) further identified EI as a protective factor against teacher burnout, contributing to long-term professional effectiveness in educational contexts. Li and Chen (2025) extended this understanding by demonstrating that EI mediates the relationship between teacher-</w:t>
      </w:r>
      <w:r w:rsidRPr="00ED1B00">
        <w:rPr>
          <w:rFonts w:asciiTheme="majorBidi" w:hAnsiTheme="majorBidi" w:cstheme="majorBidi"/>
        </w:rPr>
        <w:lastRenderedPageBreak/>
        <w:t>student dynamics and burnout in educational settings, with higher EI enabling educators to sustain engagement and performance even under relational stress.</w:t>
      </w:r>
    </w:p>
    <w:p w14:paraId="64D5208B" w14:textId="493A315D"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Recent work by Xu et al. (2024) confirms that teachers' EI positively predicts organizational commitment through psychological well-being, with transformational leadership moderating this relationship, adding institutional-level nuance to the EI-performance pathway in educational organizations. Li et al. (2024) similarly established that teachers' EI predicts organizational commitment through psychological well-being, with principal transformational leadership serving as a moderating boundary condition. Decision-making effectiveness in higher education has also been linked to EI competencies. Munir et al. (2025) found that EI competence, together with organizational support and role seniority, significantly predicts decision-making efficiency in academic institutions, with organizational culture serving as both a mediator and moderator</w:t>
      </w:r>
      <w:r w:rsidR="0095612A">
        <w:rPr>
          <w:rFonts w:asciiTheme="majorBidi" w:hAnsiTheme="majorBidi" w:cstheme="majorBidi"/>
        </w:rPr>
        <w:t xml:space="preserve">, </w:t>
      </w:r>
      <w:r w:rsidRPr="00ED1B00">
        <w:rPr>
          <w:rFonts w:asciiTheme="majorBidi" w:hAnsiTheme="majorBidi" w:cstheme="majorBidi"/>
        </w:rPr>
        <w:t>broadening the conceptual scope of EI outcomes in higher education beyond individual job performance to include institutional governance and decision quality.</w:t>
      </w:r>
    </w:p>
    <w:p w14:paraId="5F4E57FB" w14:textId="61D9A8CB"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Concerning work engagement</w:t>
      </w:r>
      <w:r w:rsidR="0095612A">
        <w:rPr>
          <w:rFonts w:asciiTheme="majorBidi" w:hAnsiTheme="majorBidi" w:cstheme="majorBidi"/>
        </w:rPr>
        <w:t xml:space="preserve">, </w:t>
      </w:r>
      <w:r w:rsidRPr="00ED1B00">
        <w:rPr>
          <w:rFonts w:asciiTheme="majorBidi" w:hAnsiTheme="majorBidi" w:cstheme="majorBidi"/>
        </w:rPr>
        <w:t>a closely related outcome</w:t>
      </w:r>
      <w:r w:rsidR="0095612A">
        <w:rPr>
          <w:rFonts w:asciiTheme="majorBidi" w:hAnsiTheme="majorBidi" w:cstheme="majorBidi"/>
        </w:rPr>
        <w:t xml:space="preserve">, </w:t>
      </w:r>
      <w:r w:rsidRPr="00ED1B00">
        <w:rPr>
          <w:rFonts w:asciiTheme="majorBidi" w:hAnsiTheme="majorBidi" w:cstheme="majorBidi"/>
        </w:rPr>
        <w:t>Zhou et al. (2026) conducted a longitudinal cross-lagged panel study demonstrating that EI exerts enduring positive effects on psychological empowerment and work engagement among university administrators, with these effects persisting across time points. This longitudinal evidence strengthens the causal plausibility of the EI-performance relationship in higher education. Rodrigues, et al. (2024) further established that perceived leadership EI is a significant predictor of employee satisfaction in organizational settings, with practical implications for how institutions cultivate emotionally intelligent leadership to enhance staff outcomes.</w:t>
      </w:r>
    </w:p>
    <w:p w14:paraId="5B922248" w14:textId="77777777" w:rsidR="006C6D9A" w:rsidRPr="00ED1B00" w:rsidRDefault="00A255F5">
      <w:pPr>
        <w:pStyle w:val="Heading2"/>
        <w:rPr>
          <w:rFonts w:asciiTheme="majorBidi" w:hAnsiTheme="majorBidi" w:cstheme="majorBidi"/>
        </w:rPr>
      </w:pPr>
      <w:r w:rsidRPr="00ED1B00">
        <w:rPr>
          <w:rFonts w:asciiTheme="majorBidi" w:hAnsiTheme="majorBidi" w:cstheme="majorBidi"/>
        </w:rPr>
        <w:t>2.3 Dimensions of Emotional Intelligence</w:t>
      </w:r>
    </w:p>
    <w:p w14:paraId="103A05CB" w14:textId="77777777" w:rsidR="006C6D9A" w:rsidRPr="00ED1B00" w:rsidRDefault="00A255F5">
      <w:pPr>
        <w:pStyle w:val="Heading3"/>
        <w:rPr>
          <w:rFonts w:asciiTheme="majorBidi" w:hAnsiTheme="majorBidi" w:cstheme="majorBidi"/>
        </w:rPr>
      </w:pPr>
      <w:r w:rsidRPr="00ED1B00">
        <w:rPr>
          <w:rFonts w:asciiTheme="majorBidi" w:hAnsiTheme="majorBidi" w:cstheme="majorBidi"/>
        </w:rPr>
        <w:t>2.3.1 Self-Awareness</w:t>
      </w:r>
    </w:p>
    <w:p w14:paraId="1CFCE3DC" w14:textId="3368F14C"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Self-awareness is widely regarded as the foundational dimension of emotional intelligence, referring to the capacity to accurately recognize and understand one's own emotional states, strengths, weaknesses</w:t>
      </w:r>
      <w:r w:rsidR="005F260C">
        <w:rPr>
          <w:rFonts w:asciiTheme="majorBidi" w:hAnsiTheme="majorBidi" w:cstheme="majorBidi"/>
        </w:rPr>
        <w:t xml:space="preserve"> and</w:t>
      </w:r>
      <w:r w:rsidRPr="00ED1B00">
        <w:rPr>
          <w:rFonts w:asciiTheme="majorBidi" w:hAnsiTheme="majorBidi" w:cstheme="majorBidi"/>
        </w:rPr>
        <w:t xml:space="preserve"> their effects on others (Goleman, 1998). Individuals with high self-awareness demonstrate superior reflective capacity, enabling them to make more informed decisions and regulate subsequent </w:t>
      </w:r>
      <w:proofErr w:type="spellStart"/>
      <w:r w:rsidRPr="00ED1B00">
        <w:rPr>
          <w:rFonts w:asciiTheme="majorBidi" w:hAnsiTheme="majorBidi" w:cstheme="majorBidi"/>
        </w:rPr>
        <w:t>behavior</w:t>
      </w:r>
      <w:proofErr w:type="spellEnd"/>
      <w:r w:rsidRPr="00ED1B00">
        <w:rPr>
          <w:rFonts w:asciiTheme="majorBidi" w:hAnsiTheme="majorBidi" w:cstheme="majorBidi"/>
        </w:rPr>
        <w:t xml:space="preserve"> effectively. Sánchez-Álvarez et al. (2020) established a significant relationship between self-awareness and psychological well-being, which in turn supports occupational performance. More recently, Merlin and </w:t>
      </w:r>
      <w:proofErr w:type="spellStart"/>
      <w:r w:rsidRPr="00ED1B00">
        <w:rPr>
          <w:rFonts w:asciiTheme="majorBidi" w:hAnsiTheme="majorBidi" w:cstheme="majorBidi"/>
        </w:rPr>
        <w:t>Soubramanian</w:t>
      </w:r>
      <w:proofErr w:type="spellEnd"/>
      <w:r w:rsidRPr="00ED1B00">
        <w:rPr>
          <w:rFonts w:asciiTheme="majorBidi" w:hAnsiTheme="majorBidi" w:cstheme="majorBidi"/>
        </w:rPr>
        <w:t xml:space="preserve"> (2024) </w:t>
      </w:r>
      <w:r w:rsidRPr="00ED1B00">
        <w:rPr>
          <w:rFonts w:asciiTheme="majorBidi" w:hAnsiTheme="majorBidi" w:cstheme="majorBidi"/>
        </w:rPr>
        <w:lastRenderedPageBreak/>
        <w:t>demonstrated that self-awareness is the gateway through which intrapersonal emotional competencies translate into interpersonal effectiveness in university students, underlining its foundational role in the EI competency hierarchy. Ruiz-Ortega et al. (2025) provided convergent evidence that EI as a whole</w:t>
      </w:r>
      <w:r w:rsidR="0095612A">
        <w:rPr>
          <w:rFonts w:asciiTheme="majorBidi" w:hAnsiTheme="majorBidi" w:cstheme="majorBidi"/>
        </w:rPr>
        <w:t xml:space="preserve"> </w:t>
      </w:r>
      <w:r w:rsidRPr="00ED1B00">
        <w:rPr>
          <w:rFonts w:asciiTheme="majorBidi" w:hAnsiTheme="majorBidi" w:cstheme="majorBidi"/>
        </w:rPr>
        <w:t>anchored by self-awareness</w:t>
      </w:r>
      <w:r w:rsidR="0095612A">
        <w:rPr>
          <w:rFonts w:asciiTheme="majorBidi" w:hAnsiTheme="majorBidi" w:cstheme="majorBidi"/>
        </w:rPr>
        <w:t xml:space="preserve"> </w:t>
      </w:r>
      <w:r w:rsidRPr="00ED1B00">
        <w:rPr>
          <w:rFonts w:asciiTheme="majorBidi" w:hAnsiTheme="majorBidi" w:cstheme="majorBidi"/>
        </w:rPr>
        <w:t>positively predicts academic performance through engagement and burnout reduction, suggesting that the benefits of emotional self-knowledge extend across both student and faculty populations. In academic settings, self-aware faculty members are better positioned to recognize how their emotional states influence their instructional delivery and interpersonal relationships, facilitating more effective professional practice.</w:t>
      </w:r>
    </w:p>
    <w:p w14:paraId="2CBE41B8" w14:textId="77777777" w:rsidR="006C6D9A" w:rsidRPr="00ED1B00" w:rsidRDefault="00A255F5">
      <w:pPr>
        <w:pStyle w:val="Heading3"/>
        <w:rPr>
          <w:rFonts w:asciiTheme="majorBidi" w:hAnsiTheme="majorBidi" w:cstheme="majorBidi"/>
        </w:rPr>
      </w:pPr>
      <w:r w:rsidRPr="00ED1B00">
        <w:rPr>
          <w:rFonts w:asciiTheme="majorBidi" w:hAnsiTheme="majorBidi" w:cstheme="majorBidi"/>
        </w:rPr>
        <w:t>2.3.2 Self-Regulation</w:t>
      </w:r>
    </w:p>
    <w:p w14:paraId="19EBFEAC" w14:textId="307AC467"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 xml:space="preserve">Self-regulation involves the capacity to modulate and manage one's emotional responses, particularly in stressful or challenging circumstances. Gross (1998) provided the foundational theoretical framework for emotional regulation, emphasizing its role in psychological adaptation and </w:t>
      </w:r>
      <w:proofErr w:type="spellStart"/>
      <w:r w:rsidRPr="00ED1B00">
        <w:rPr>
          <w:rFonts w:asciiTheme="majorBidi" w:hAnsiTheme="majorBidi" w:cstheme="majorBidi"/>
        </w:rPr>
        <w:t>behavioral</w:t>
      </w:r>
      <w:proofErr w:type="spellEnd"/>
      <w:r w:rsidRPr="00ED1B00">
        <w:rPr>
          <w:rFonts w:asciiTheme="majorBidi" w:hAnsiTheme="majorBidi" w:cstheme="majorBidi"/>
        </w:rPr>
        <w:t xml:space="preserve"> control. Subsequent studies confirm that effective emotion regulation reduces stress and enhances workplace performance by promoting stability, persistence</w:t>
      </w:r>
      <w:r w:rsidR="005F260C">
        <w:rPr>
          <w:rFonts w:asciiTheme="majorBidi" w:hAnsiTheme="majorBidi" w:cstheme="majorBidi"/>
        </w:rPr>
        <w:t xml:space="preserve"> and</w:t>
      </w:r>
      <w:r w:rsidRPr="00ED1B00">
        <w:rPr>
          <w:rFonts w:asciiTheme="majorBidi" w:hAnsiTheme="majorBidi" w:cstheme="majorBidi"/>
        </w:rPr>
        <w:t xml:space="preserve"> adaptability (</w:t>
      </w:r>
      <w:proofErr w:type="spellStart"/>
      <w:r w:rsidRPr="00ED1B00">
        <w:rPr>
          <w:rFonts w:asciiTheme="majorBidi" w:hAnsiTheme="majorBidi" w:cstheme="majorBidi"/>
        </w:rPr>
        <w:t>Extremera</w:t>
      </w:r>
      <w:proofErr w:type="spellEnd"/>
      <w:r w:rsidRPr="00ED1B00">
        <w:rPr>
          <w:rFonts w:asciiTheme="majorBidi" w:hAnsiTheme="majorBidi" w:cstheme="majorBidi"/>
        </w:rPr>
        <w:t xml:space="preserve"> et al., 2020). Chen et al. (2025) found that college teachers with higher EI</w:t>
      </w:r>
      <w:r w:rsidR="0095612A">
        <w:rPr>
          <w:rFonts w:asciiTheme="majorBidi" w:hAnsiTheme="majorBidi" w:cstheme="majorBidi"/>
        </w:rPr>
        <w:t xml:space="preserve"> </w:t>
      </w:r>
      <w:r w:rsidRPr="00ED1B00">
        <w:rPr>
          <w:rFonts w:asciiTheme="majorBidi" w:hAnsiTheme="majorBidi" w:cstheme="majorBidi"/>
        </w:rPr>
        <w:t>particularly those demonstrating stronger self-regulation</w:t>
      </w:r>
      <w:r w:rsidR="0095612A">
        <w:rPr>
          <w:rFonts w:asciiTheme="majorBidi" w:hAnsiTheme="majorBidi" w:cstheme="majorBidi"/>
        </w:rPr>
        <w:t xml:space="preserve"> </w:t>
      </w:r>
      <w:r w:rsidRPr="00ED1B00">
        <w:rPr>
          <w:rFonts w:asciiTheme="majorBidi" w:hAnsiTheme="majorBidi" w:cstheme="majorBidi"/>
        </w:rPr>
        <w:t>exhibit greater job satisfaction and resilience under conditions of high occupational stress, directly supporting sustained performance. This aligns with the Job Demands-Resources model (Bakker &amp; Demerouti, 2023), which frames self-regulation as a key personal resource that neutralizes the performance-depleting effects of demanding job conditions. In higher education environments such as J&amp;K, where institutional pressures and socio-political stressors are pronounced, the ability to regulate emotional responses is especially critical for maintaining consistent performance standards.</w:t>
      </w:r>
    </w:p>
    <w:p w14:paraId="0D95C343" w14:textId="77777777" w:rsidR="006C6D9A" w:rsidRPr="00ED1B00" w:rsidRDefault="00A255F5">
      <w:pPr>
        <w:pStyle w:val="Heading3"/>
        <w:rPr>
          <w:rFonts w:asciiTheme="majorBidi" w:hAnsiTheme="majorBidi" w:cstheme="majorBidi"/>
        </w:rPr>
      </w:pPr>
      <w:r w:rsidRPr="00ED1B00">
        <w:rPr>
          <w:rFonts w:asciiTheme="majorBidi" w:hAnsiTheme="majorBidi" w:cstheme="majorBidi"/>
        </w:rPr>
        <w:t>2.3.3 Social Competence</w:t>
      </w:r>
    </w:p>
    <w:p w14:paraId="45708C59" w14:textId="53BD3807"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Social competence encompasses the interpersonal dimensions of emotional intelligence, including empathy, social awareness</w:t>
      </w:r>
      <w:r w:rsidR="005F260C">
        <w:rPr>
          <w:rFonts w:asciiTheme="majorBidi" w:hAnsiTheme="majorBidi" w:cstheme="majorBidi"/>
        </w:rPr>
        <w:t xml:space="preserve"> and</w:t>
      </w:r>
      <w:r w:rsidRPr="00ED1B00">
        <w:rPr>
          <w:rFonts w:asciiTheme="majorBidi" w:hAnsiTheme="majorBidi" w:cstheme="majorBidi"/>
        </w:rPr>
        <w:t xml:space="preserve"> the ability to manage relationships effectively. It plays an especially important role in environments such as higher education, where collaboration, mentoring</w:t>
      </w:r>
      <w:r w:rsidR="005F260C">
        <w:rPr>
          <w:rFonts w:asciiTheme="majorBidi" w:hAnsiTheme="majorBidi" w:cstheme="majorBidi"/>
        </w:rPr>
        <w:t xml:space="preserve"> and</w:t>
      </w:r>
      <w:r w:rsidRPr="00ED1B00">
        <w:rPr>
          <w:rFonts w:asciiTheme="majorBidi" w:hAnsiTheme="majorBidi" w:cstheme="majorBidi"/>
        </w:rPr>
        <w:t xml:space="preserve"> stakeholder engagement are central to academic roles. </w:t>
      </w:r>
      <w:proofErr w:type="spellStart"/>
      <w:r w:rsidRPr="00ED1B00">
        <w:rPr>
          <w:rFonts w:asciiTheme="majorBidi" w:hAnsiTheme="majorBidi" w:cstheme="majorBidi"/>
        </w:rPr>
        <w:t>Côté</w:t>
      </w:r>
      <w:proofErr w:type="spellEnd"/>
      <w:r w:rsidRPr="00ED1B00">
        <w:rPr>
          <w:rFonts w:asciiTheme="majorBidi" w:hAnsiTheme="majorBidi" w:cstheme="majorBidi"/>
        </w:rPr>
        <w:t xml:space="preserve"> (2022) argues that socially competent individuals are better equipped to navigate complex interpersonal dynamics, build rapport</w:t>
      </w:r>
      <w:r w:rsidR="005F260C">
        <w:rPr>
          <w:rFonts w:asciiTheme="majorBidi" w:hAnsiTheme="majorBidi" w:cstheme="majorBidi"/>
        </w:rPr>
        <w:t xml:space="preserve"> and</w:t>
      </w:r>
      <w:r w:rsidRPr="00ED1B00">
        <w:rPr>
          <w:rFonts w:asciiTheme="majorBidi" w:hAnsiTheme="majorBidi" w:cstheme="majorBidi"/>
        </w:rPr>
        <w:t xml:space="preserve"> influence others constructively. Coronado-Maldonado and Benítez-Márquez (2023) further </w:t>
      </w:r>
      <w:r w:rsidRPr="00ED1B00">
        <w:rPr>
          <w:rFonts w:asciiTheme="majorBidi" w:hAnsiTheme="majorBidi" w:cstheme="majorBidi"/>
        </w:rPr>
        <w:lastRenderedPageBreak/>
        <w:t xml:space="preserve">demonstrated through their review that social dimensions of EI are critical for effective teamwork and organizational performance. </w:t>
      </w:r>
      <w:proofErr w:type="spellStart"/>
      <w:r w:rsidRPr="00ED1B00">
        <w:rPr>
          <w:rFonts w:asciiTheme="majorBidi" w:hAnsiTheme="majorBidi" w:cstheme="majorBidi"/>
        </w:rPr>
        <w:t>Korakis</w:t>
      </w:r>
      <w:proofErr w:type="spellEnd"/>
      <w:r w:rsidRPr="00ED1B00">
        <w:rPr>
          <w:rFonts w:asciiTheme="majorBidi" w:hAnsiTheme="majorBidi" w:cstheme="majorBidi"/>
        </w:rPr>
        <w:t xml:space="preserve"> et al. (2025) systematically reviewed the EI-transformational leadership relationship, confirming that the social and relational competencies embedded in EI consistently underpin effective leadership and performance across organizational contexts. In the J&amp;K higher education context, social competence may translate directly into improved collegial relationships, more effective student mentoring</w:t>
      </w:r>
      <w:r w:rsidR="005F260C">
        <w:rPr>
          <w:rFonts w:asciiTheme="majorBidi" w:hAnsiTheme="majorBidi" w:cstheme="majorBidi"/>
        </w:rPr>
        <w:t xml:space="preserve"> and</w:t>
      </w:r>
      <w:r w:rsidRPr="00ED1B00">
        <w:rPr>
          <w:rFonts w:asciiTheme="majorBidi" w:hAnsiTheme="majorBidi" w:cstheme="majorBidi"/>
        </w:rPr>
        <w:t xml:space="preserve"> stronger institutional collaboration.</w:t>
      </w:r>
    </w:p>
    <w:p w14:paraId="09C51637" w14:textId="77777777" w:rsidR="006C6D9A" w:rsidRPr="00ED1B00" w:rsidRDefault="00A255F5">
      <w:pPr>
        <w:pStyle w:val="Heading2"/>
        <w:rPr>
          <w:rFonts w:asciiTheme="majorBidi" w:hAnsiTheme="majorBidi" w:cstheme="majorBidi"/>
        </w:rPr>
      </w:pPr>
      <w:r w:rsidRPr="00ED1B00">
        <w:rPr>
          <w:rFonts w:asciiTheme="majorBidi" w:hAnsiTheme="majorBidi" w:cstheme="majorBidi"/>
        </w:rPr>
        <w:t>2.4 Theoretical Framework</w:t>
      </w:r>
    </w:p>
    <w:p w14:paraId="68F1F453" w14:textId="277FA8F5"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This study draws on three complementary theoretical frameworks. The ability-based model of Mayer et al. (2004) conceptualizes EI as a form of intelligence organized into four branches: perceiving, facilitating, understanding</w:t>
      </w:r>
      <w:r w:rsidR="005F260C">
        <w:rPr>
          <w:rFonts w:asciiTheme="majorBidi" w:hAnsiTheme="majorBidi" w:cstheme="majorBidi"/>
        </w:rPr>
        <w:t xml:space="preserve"> and</w:t>
      </w:r>
      <w:r w:rsidRPr="00ED1B00">
        <w:rPr>
          <w:rFonts w:asciiTheme="majorBidi" w:hAnsiTheme="majorBidi" w:cstheme="majorBidi"/>
        </w:rPr>
        <w:t xml:space="preserve"> managing emotions, with its conceptual origins traceable to Salovey and Mayer (1990). Complementing this, Goleman's (1998) competency-based framework identifies behavioural competencies linked to EI that are particularly relevant to organizational performance. Additionally, the Job Demands-Resources (JD-R) model (Bakker &amp; Demerouti, 2023) provides a structural framework for understanding how EI dimensions function as personal resources that buffer against the performance-depleting effects of demanding work environments</w:t>
      </w:r>
      <w:r w:rsidR="0095612A">
        <w:rPr>
          <w:rFonts w:asciiTheme="majorBidi" w:hAnsiTheme="majorBidi" w:cstheme="majorBidi"/>
        </w:rPr>
        <w:t xml:space="preserve"> </w:t>
      </w:r>
      <w:r w:rsidRPr="00ED1B00">
        <w:rPr>
          <w:rFonts w:asciiTheme="majorBidi" w:hAnsiTheme="majorBidi" w:cstheme="majorBidi"/>
        </w:rPr>
        <w:t>directly relevant to the high-stress context of higher education in J&amp;K. The integration of these frameworks supports a comprehensive, multidimensional understanding of how EI dimensions independently and collectively contribute to job performance.</w:t>
      </w:r>
    </w:p>
    <w:p w14:paraId="253704C6" w14:textId="0CEC7B75" w:rsidR="006C6D9A" w:rsidRPr="00ED1B00" w:rsidRDefault="00A255F5">
      <w:pPr>
        <w:pStyle w:val="Heading2"/>
        <w:rPr>
          <w:rFonts w:asciiTheme="majorBidi" w:hAnsiTheme="majorBidi" w:cstheme="majorBidi"/>
        </w:rPr>
      </w:pPr>
      <w:r w:rsidRPr="00ED1B00">
        <w:rPr>
          <w:rFonts w:asciiTheme="majorBidi" w:hAnsiTheme="majorBidi" w:cstheme="majorBidi"/>
        </w:rPr>
        <w:t>2.5 Research Gap</w:t>
      </w:r>
      <w:r>
        <w:rPr>
          <w:rFonts w:asciiTheme="majorBidi" w:hAnsiTheme="majorBidi" w:cstheme="majorBidi"/>
        </w:rPr>
        <w:t>, Objectives</w:t>
      </w:r>
      <w:r w:rsidRPr="00ED1B00">
        <w:rPr>
          <w:rFonts w:asciiTheme="majorBidi" w:hAnsiTheme="majorBidi" w:cstheme="majorBidi"/>
        </w:rPr>
        <w:t xml:space="preserve"> and Hypotheses</w:t>
      </w:r>
    </w:p>
    <w:p w14:paraId="67C9E532" w14:textId="1CDF2C91" w:rsidR="0095612A" w:rsidRDefault="00A255F5" w:rsidP="0095612A">
      <w:pPr>
        <w:spacing w:after="160" w:line="360" w:lineRule="auto"/>
        <w:jc w:val="both"/>
        <w:rPr>
          <w:rFonts w:asciiTheme="majorBidi" w:hAnsiTheme="majorBidi" w:cstheme="majorBidi"/>
        </w:rPr>
      </w:pPr>
      <w:r w:rsidRPr="00ED1B00">
        <w:rPr>
          <w:rFonts w:asciiTheme="majorBidi" w:hAnsiTheme="majorBidi" w:cstheme="majorBidi"/>
        </w:rPr>
        <w:t>Despite extensive research, significant gaps remain. The predominance of unidimensional EI conceptualizations limits understanding of how specific dimensions differentially influence performance. Moreover, context-specific investigations in higher education institutions</w:t>
      </w:r>
      <w:r w:rsidR="0095612A">
        <w:rPr>
          <w:rFonts w:asciiTheme="majorBidi" w:hAnsiTheme="majorBidi" w:cstheme="majorBidi"/>
        </w:rPr>
        <w:t xml:space="preserve"> </w:t>
      </w:r>
      <w:r w:rsidRPr="00ED1B00">
        <w:rPr>
          <w:rFonts w:asciiTheme="majorBidi" w:hAnsiTheme="majorBidi" w:cstheme="majorBidi"/>
        </w:rPr>
        <w:t>particularly in regions like Jammu and Kashmir</w:t>
      </w:r>
      <w:r w:rsidR="005F260C">
        <w:rPr>
          <w:rFonts w:asciiTheme="majorBidi" w:hAnsiTheme="majorBidi" w:cstheme="majorBidi"/>
        </w:rPr>
        <w:t xml:space="preserve"> </w:t>
      </w:r>
      <w:r w:rsidRPr="00ED1B00">
        <w:rPr>
          <w:rFonts w:asciiTheme="majorBidi" w:hAnsiTheme="majorBidi" w:cstheme="majorBidi"/>
        </w:rPr>
        <w:t>are scarce. The present study addresses these gaps by empirically testing the independent, dimension-specific effects of SA, SR</w:t>
      </w:r>
      <w:r w:rsidR="005F260C">
        <w:rPr>
          <w:rFonts w:asciiTheme="majorBidi" w:hAnsiTheme="majorBidi" w:cstheme="majorBidi"/>
        </w:rPr>
        <w:t xml:space="preserve"> and</w:t>
      </w:r>
      <w:r w:rsidRPr="00ED1B00">
        <w:rPr>
          <w:rFonts w:asciiTheme="majorBidi" w:hAnsiTheme="majorBidi" w:cstheme="majorBidi"/>
        </w:rPr>
        <w:t xml:space="preserve"> SC on job performance in the J&amp;K higher education context. Based on the theoretical and empirical foundations reviewed, the following</w:t>
      </w:r>
      <w:r w:rsidR="0073153F">
        <w:rPr>
          <w:rFonts w:asciiTheme="majorBidi" w:hAnsiTheme="majorBidi" w:cstheme="majorBidi"/>
        </w:rPr>
        <w:t xml:space="preserve"> objectives and</w:t>
      </w:r>
      <w:r w:rsidRPr="00ED1B00">
        <w:rPr>
          <w:rFonts w:asciiTheme="majorBidi" w:hAnsiTheme="majorBidi" w:cstheme="majorBidi"/>
        </w:rPr>
        <w:t xml:space="preserve"> hypotheses </w:t>
      </w:r>
      <w:r w:rsidR="0073153F">
        <w:rPr>
          <w:rFonts w:asciiTheme="majorBidi" w:hAnsiTheme="majorBidi" w:cstheme="majorBidi"/>
        </w:rPr>
        <w:t>have been framed.</w:t>
      </w:r>
    </w:p>
    <w:p w14:paraId="36DA2501" w14:textId="77777777" w:rsidR="001B4D38" w:rsidRDefault="001B4D38" w:rsidP="0073153F">
      <w:pPr>
        <w:pStyle w:val="Heading2"/>
        <w:spacing w:before="360" w:after="80" w:line="360" w:lineRule="auto"/>
      </w:pPr>
    </w:p>
    <w:p w14:paraId="58784AFD" w14:textId="535D217A" w:rsidR="0073153F" w:rsidRDefault="0073153F" w:rsidP="001B4D38">
      <w:pPr>
        <w:pStyle w:val="Heading2"/>
        <w:spacing w:before="360" w:after="80" w:line="360" w:lineRule="auto"/>
      </w:pPr>
      <w:r>
        <w:lastRenderedPageBreak/>
        <w:t>Objectives</w:t>
      </w:r>
    </w:p>
    <w:p w14:paraId="19E1C0BA" w14:textId="77777777" w:rsidR="0073153F" w:rsidRDefault="0073153F" w:rsidP="001B4D38">
      <w:pPr>
        <w:numPr>
          <w:ilvl w:val="0"/>
          <w:numId w:val="2"/>
        </w:numPr>
        <w:spacing w:before="240" w:line="360" w:lineRule="auto"/>
        <w:ind w:left="426"/>
      </w:pPr>
      <w:r>
        <w:t>To examine the effect of self-awareness on job performance in higher education.</w:t>
      </w:r>
    </w:p>
    <w:p w14:paraId="04AB59DE" w14:textId="77777777" w:rsidR="0073153F" w:rsidRDefault="0073153F" w:rsidP="001B4D38">
      <w:pPr>
        <w:numPr>
          <w:ilvl w:val="0"/>
          <w:numId w:val="2"/>
        </w:numPr>
        <w:spacing w:line="360" w:lineRule="auto"/>
        <w:ind w:left="426"/>
      </w:pPr>
      <w:r>
        <w:t>To examine the effect of self-regulation on job performance in higher education.</w:t>
      </w:r>
    </w:p>
    <w:p w14:paraId="3CA35943" w14:textId="77777777" w:rsidR="0073153F" w:rsidRDefault="0073153F" w:rsidP="001B4D38">
      <w:pPr>
        <w:numPr>
          <w:ilvl w:val="0"/>
          <w:numId w:val="2"/>
        </w:numPr>
        <w:spacing w:after="240" w:line="360" w:lineRule="auto"/>
        <w:ind w:left="426"/>
      </w:pPr>
      <w:r>
        <w:t>To examine the effect of social competence on job performance in higher education.</w:t>
      </w:r>
    </w:p>
    <w:p w14:paraId="473EBACA" w14:textId="77777777" w:rsidR="0073153F" w:rsidRPr="0073153F" w:rsidRDefault="0073153F" w:rsidP="0073153F">
      <w:pPr>
        <w:spacing w:after="160" w:line="360" w:lineRule="auto"/>
        <w:jc w:val="both"/>
        <w:rPr>
          <w:b/>
          <w:bCs/>
        </w:rPr>
      </w:pPr>
      <w:r w:rsidRPr="0073153F">
        <w:rPr>
          <w:b/>
          <w:bCs/>
        </w:rPr>
        <w:t>Hypotheses</w:t>
      </w:r>
    </w:p>
    <w:p w14:paraId="63CAF179" w14:textId="77777777" w:rsidR="0095612A" w:rsidRPr="00DB5803" w:rsidRDefault="00A255F5" w:rsidP="0095612A">
      <w:pPr>
        <w:spacing w:after="160" w:line="360" w:lineRule="auto"/>
        <w:jc w:val="both"/>
        <w:rPr>
          <w:rFonts w:asciiTheme="majorBidi" w:hAnsiTheme="majorBidi" w:cstheme="majorBidi"/>
          <w:i/>
          <w:iCs/>
        </w:rPr>
      </w:pPr>
      <w:r w:rsidRPr="00DB5803">
        <w:rPr>
          <w:rFonts w:asciiTheme="majorBidi" w:hAnsiTheme="majorBidi" w:cstheme="majorBidi"/>
          <w:b/>
          <w:bCs/>
          <w:i/>
          <w:iCs/>
          <w:color w:val="000000"/>
        </w:rPr>
        <w:t xml:space="preserve">H1: </w:t>
      </w:r>
      <w:r w:rsidRPr="0073153F">
        <w:rPr>
          <w:rFonts w:asciiTheme="majorBidi" w:hAnsiTheme="majorBidi" w:cstheme="majorBidi"/>
          <w:i/>
          <w:iCs/>
          <w:color w:val="000000"/>
        </w:rPr>
        <w:t>Self-awareness has a significant positive effect on job performance in higher education.</w:t>
      </w:r>
    </w:p>
    <w:p w14:paraId="09AD8D3E" w14:textId="5C347720" w:rsidR="006C6D9A" w:rsidRPr="00DB5803" w:rsidRDefault="00A255F5" w:rsidP="0095612A">
      <w:pPr>
        <w:spacing w:after="160" w:line="360" w:lineRule="auto"/>
        <w:jc w:val="both"/>
        <w:rPr>
          <w:rFonts w:asciiTheme="majorBidi" w:hAnsiTheme="majorBidi" w:cstheme="majorBidi"/>
          <w:i/>
          <w:iCs/>
        </w:rPr>
      </w:pPr>
      <w:r w:rsidRPr="00DB5803">
        <w:rPr>
          <w:rFonts w:asciiTheme="majorBidi" w:hAnsiTheme="majorBidi" w:cstheme="majorBidi"/>
          <w:b/>
          <w:bCs/>
          <w:i/>
          <w:iCs/>
          <w:color w:val="000000"/>
        </w:rPr>
        <w:t>H2</w:t>
      </w:r>
      <w:r w:rsidRPr="0073153F">
        <w:rPr>
          <w:rFonts w:asciiTheme="majorBidi" w:hAnsiTheme="majorBidi" w:cstheme="majorBidi"/>
          <w:i/>
          <w:iCs/>
          <w:color w:val="000000"/>
        </w:rPr>
        <w:t>: Self-regulation has a significant positive effect on job performance in higher education.</w:t>
      </w:r>
    </w:p>
    <w:p w14:paraId="131D3A3E" w14:textId="14120430" w:rsidR="0073153F" w:rsidRDefault="00A255F5" w:rsidP="0073153F">
      <w:pPr>
        <w:spacing w:before="60" w:after="60" w:line="320" w:lineRule="auto"/>
        <w:jc w:val="both"/>
        <w:rPr>
          <w:rFonts w:asciiTheme="majorBidi" w:hAnsiTheme="majorBidi" w:cstheme="majorBidi"/>
          <w:i/>
          <w:iCs/>
          <w:color w:val="000000"/>
        </w:rPr>
      </w:pPr>
      <w:r w:rsidRPr="00DB5803">
        <w:rPr>
          <w:rFonts w:asciiTheme="majorBidi" w:hAnsiTheme="majorBidi" w:cstheme="majorBidi"/>
          <w:b/>
          <w:bCs/>
          <w:i/>
          <w:iCs/>
          <w:color w:val="000000"/>
        </w:rPr>
        <w:t xml:space="preserve">H3: </w:t>
      </w:r>
      <w:r w:rsidRPr="0073153F">
        <w:rPr>
          <w:rFonts w:asciiTheme="majorBidi" w:hAnsiTheme="majorBidi" w:cstheme="majorBidi"/>
          <w:i/>
          <w:iCs/>
          <w:color w:val="000000"/>
        </w:rPr>
        <w:t>Social competence has a significant positive effect on job performance in higher education.</w:t>
      </w:r>
    </w:p>
    <w:p w14:paraId="38A5EC5F" w14:textId="77777777" w:rsidR="0073153F" w:rsidRDefault="0073153F" w:rsidP="0073153F">
      <w:pPr>
        <w:pStyle w:val="Heading1"/>
        <w:rPr>
          <w:sz w:val="24"/>
          <w:szCs w:val="24"/>
        </w:rPr>
      </w:pPr>
      <w:r>
        <w:rPr>
          <w:sz w:val="24"/>
          <w:szCs w:val="24"/>
        </w:rPr>
        <w:t>2.6 Conceptual Model</w:t>
      </w:r>
    </w:p>
    <w:p w14:paraId="613A330B" w14:textId="59F660BE" w:rsidR="0073153F" w:rsidRDefault="0073153F" w:rsidP="001B4D38">
      <w:pPr>
        <w:pStyle w:val="Heading1"/>
        <w:spacing w:line="360" w:lineRule="auto"/>
        <w:rPr>
          <w:b w:val="0"/>
          <w:bCs w:val="0"/>
          <w:sz w:val="24"/>
          <w:szCs w:val="24"/>
        </w:rPr>
      </w:pPr>
      <w:r>
        <w:rPr>
          <w:b w:val="0"/>
          <w:bCs w:val="0"/>
          <w:sz w:val="24"/>
          <w:szCs w:val="24"/>
        </w:rPr>
        <w:t>To bridge the gap between existing literature and this study’s objectives, the conceptual model is structured as follows:</w:t>
      </w:r>
    </w:p>
    <w:p w14:paraId="5BEA3E7A" w14:textId="7895EE53" w:rsidR="00F158CE" w:rsidRPr="00F158CE" w:rsidRDefault="00F158CE" w:rsidP="00F158CE">
      <w:r>
        <w:t>Fig 1: C</w:t>
      </w:r>
      <w:r w:rsidRPr="00F158CE">
        <w:t>onceptual model</w:t>
      </w:r>
    </w:p>
    <w:p w14:paraId="4C2BE4D7" w14:textId="413F163D" w:rsidR="0073153F" w:rsidRDefault="0073153F" w:rsidP="0073153F">
      <w:pPr>
        <w:spacing w:before="60" w:after="60" w:line="320" w:lineRule="auto"/>
        <w:jc w:val="both"/>
        <w:rPr>
          <w:rFonts w:asciiTheme="majorBidi" w:hAnsiTheme="majorBidi" w:cstheme="majorBidi"/>
          <w:i/>
          <w:iCs/>
          <w:color w:val="000000"/>
        </w:rPr>
      </w:pPr>
      <w:r w:rsidRPr="0073153F">
        <w:rPr>
          <w:rFonts w:asciiTheme="majorBidi" w:hAnsiTheme="majorBidi" w:cstheme="majorBidi"/>
          <w:i/>
          <w:iCs/>
          <w:noProof/>
          <w:color w:val="95B3D7" w:themeColor="accent1" w:themeTint="99"/>
        </w:rPr>
        <mc:AlternateContent>
          <mc:Choice Requires="wps">
            <w:drawing>
              <wp:anchor distT="0" distB="0" distL="114300" distR="114300" simplePos="0" relativeHeight="251659264" behindDoc="0" locked="0" layoutInCell="1" allowOverlap="1" wp14:anchorId="5F6BD9BB" wp14:editId="1EA9215F">
                <wp:simplePos x="0" y="0"/>
                <wp:positionH relativeFrom="column">
                  <wp:posOffset>92841</wp:posOffset>
                </wp:positionH>
                <wp:positionV relativeFrom="paragraph">
                  <wp:posOffset>206134</wp:posOffset>
                </wp:positionV>
                <wp:extent cx="1641366" cy="2291102"/>
                <wp:effectExtent l="50800" t="25400" r="60960" b="71120"/>
                <wp:wrapNone/>
                <wp:docPr id="2" name="Rectangle 2"/>
                <wp:cNvGraphicFramePr/>
                <a:graphic xmlns:a="http://schemas.openxmlformats.org/drawingml/2006/main">
                  <a:graphicData uri="http://schemas.microsoft.com/office/word/2010/wordprocessingShape">
                    <wps:wsp>
                      <wps:cNvSpPr/>
                      <wps:spPr>
                        <a:xfrm>
                          <a:off x="0" y="0"/>
                          <a:ext cx="1641366" cy="2291102"/>
                        </a:xfrm>
                        <a:prstGeom prst="rect">
                          <a:avLst/>
                        </a:prstGeom>
                        <a:solidFill>
                          <a:schemeClr val="accent1">
                            <a:lumMod val="20000"/>
                            <a:lumOff val="8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0CF57B9" id="Rectangle 2" o:spid="_x0000_s1026" style="position:absolute;margin-left:7.3pt;margin-top:16.25pt;width:129.25pt;height:18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UKWcgIAAGMFAAAOAAAAZHJzL2Uyb0RvYy54bWysVN1P2zAQf5+0/8Hy+0gTug4qUlQVMU1i&#10;gICJZ+PYrSXb59lu0+6v39lJ044hIU17Sc73/fG7u7jcGk02wgcFtqblyYgSYTk0yi5r+uPp+tMZ&#10;JSEy2zANVtR0JwK9nH38cNG6qahgBboRnqATG6atq+kqRjctisBXwrBwAk5YFErwhkV8+mXReNai&#10;d6OLajSaFC34xnngIgTkXnVCOsv+pRQ83kkZRCS6pphbzF+fvy/pW8wu2HTpmVsp3qfB/iELw5TF&#10;oIOrKxYZWXv1lyujuIcAMp5wMAVIqbjINWA15ehVNY8r5kSuBZsT3NCm8P/c8tvNo7v32IbWhWlA&#10;MlWxld6kP+ZHtrlZu6FZYhsJR2Y5GZenkwklHGVVdV6Woyq1sziYOx/iVwGGJKKmHqeRm8Q2NyF2&#10;qnuVFC2AVs210jo/EgLEQnuyYTg7xrmwsczmem2+Q9PxEQOjforIxll37LM9G7PJWEqecm5HQYpD&#10;yZmKOy1SaG0fhCSqSUXmgIOHP3PpKsjayUxi5oPh6fuGvX4yFRmpg3H1vvFgkSODjYOxURb8Ww40&#10;tq9LWXb62I+juhP5As3u3hMP3Z4Ex68Vju6GhXjPPC4GrhAue7zDj9TQ1hR6ipIV+F9v8ZM+4hWl&#10;lLS4aDUNP9fMC0r0N4tIPi/H47SZ+TH+/KXChz+WvBxL7NosAPFQ4llxPJNJP+o9KT2YZ7wJ8xQV&#10;RcxyjF1THv3+sYjdAcCrwsV8ntVwGx2LN/bR8f3UEzSfts/Mux6/EaF/C/ulZNNXMO500zwszNcR&#10;pMoYP/S17zduckZif3XSqTh+Z63DbZz9BgAA//8DAFBLAwQUAAYACAAAACEAdFf0nOIAAAAOAQAA&#10;DwAAAGRycy9kb3ducmV2LnhtbExPTU/DMAy9I/EfIiNxY+ka1pau6YRgQ7DbCtyzxrSFJqmabCv8&#10;esyJXSw9P/t9FKvJ9OyIo++clTCfRcDQ1k53tpHw9rq5yYD5oKxWvbMo4Rs9rMrLi0Ll2p3sDo9V&#10;aBiJWJ8rCW0IQ865r1s0ys/cgJa4DzcaFQiODdejOpG46XkcRQk3qrPk0KoBH1qsv6qDkfC+fXla&#10;p1O2TkX0/LmoTPKzybZSXl9Nj0sa90tgAafw/wF/HSg/lBRs7w5We9YTvk3oUoKIF8CIj1MxB7an&#10;xZ0QwMuCn9cofwEAAP//AwBQSwECLQAUAAYACAAAACEAtoM4kv4AAADhAQAAEwAAAAAAAAAAAAAA&#10;AAAAAAAAW0NvbnRlbnRfVHlwZXNdLnhtbFBLAQItABQABgAIAAAAIQA4/SH/1gAAAJQBAAALAAAA&#10;AAAAAAAAAAAAAC8BAABfcmVscy8ucmVsc1BLAQItABQABgAIAAAAIQD8WUKWcgIAAGMFAAAOAAAA&#10;AAAAAAAAAAAAAC4CAABkcnMvZTJvRG9jLnhtbFBLAQItABQABgAIAAAAIQB0V/Sc4gAAAA4BAAAP&#10;AAAAAAAAAAAAAAAAAMwEAABkcnMvZG93bnJldi54bWxQSwUGAAAAAAQABADzAAAA2wUAAAAA&#10;" fillcolor="#dbe5f1 [660]" strokecolor="#4579b8 [3044]">
                <v:shadow on="t" color="black" opacity="22937f" origin=",.5" offset="0,.63889mm"/>
              </v:rect>
            </w:pict>
          </mc:Fallback>
        </mc:AlternateContent>
      </w:r>
    </w:p>
    <w:p w14:paraId="7BBDF3A5" w14:textId="1CB53AEF" w:rsidR="0073153F" w:rsidRDefault="0073153F" w:rsidP="0073153F">
      <w:pPr>
        <w:spacing w:before="60" w:after="60" w:line="320" w:lineRule="auto"/>
        <w:jc w:val="both"/>
        <w:rPr>
          <w:rFonts w:asciiTheme="majorBidi" w:hAnsiTheme="majorBidi" w:cstheme="majorBidi"/>
          <w:i/>
          <w:iCs/>
          <w:color w:val="000000"/>
        </w:rPr>
      </w:pPr>
      <w:r>
        <w:rPr>
          <w:rFonts w:asciiTheme="majorBidi" w:hAnsiTheme="majorBidi" w:cstheme="majorBidi"/>
          <w:i/>
          <w:iCs/>
          <w:noProof/>
          <w:color w:val="000000"/>
        </w:rPr>
        <mc:AlternateContent>
          <mc:Choice Requires="wps">
            <w:drawing>
              <wp:anchor distT="0" distB="0" distL="114300" distR="114300" simplePos="0" relativeHeight="251661312" behindDoc="0" locked="0" layoutInCell="1" allowOverlap="1" wp14:anchorId="46E3661D" wp14:editId="5972088F">
                <wp:simplePos x="0" y="0"/>
                <wp:positionH relativeFrom="column">
                  <wp:posOffset>218965</wp:posOffset>
                </wp:positionH>
                <wp:positionV relativeFrom="paragraph">
                  <wp:posOffset>207623</wp:posOffset>
                </wp:positionV>
                <wp:extent cx="1347075" cy="384504"/>
                <wp:effectExtent l="50800" t="25400" r="62865" b="73025"/>
                <wp:wrapNone/>
                <wp:docPr id="4" name="Rounded Rectangle 4"/>
                <wp:cNvGraphicFramePr/>
                <a:graphic xmlns:a="http://schemas.openxmlformats.org/drawingml/2006/main">
                  <a:graphicData uri="http://schemas.microsoft.com/office/word/2010/wordprocessingShape">
                    <wps:wsp>
                      <wps:cNvSpPr/>
                      <wps:spPr>
                        <a:xfrm>
                          <a:off x="0" y="0"/>
                          <a:ext cx="1347075" cy="384504"/>
                        </a:xfrm>
                        <a:prstGeom prst="roundRect">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32726F15" w14:textId="4BF2B0CC" w:rsidR="0073153F" w:rsidRPr="0073153F" w:rsidRDefault="0073153F" w:rsidP="0073153F">
                            <w:pPr>
                              <w:jc w:val="center"/>
                              <w:rPr>
                                <w:color w:val="000000" w:themeColor="text1"/>
                                <w:lang w:val="en-US"/>
                              </w:rPr>
                            </w:pPr>
                            <w:r w:rsidRPr="0073153F">
                              <w:rPr>
                                <w:color w:val="000000" w:themeColor="text1"/>
                                <w:lang w:val="en-US"/>
                              </w:rPr>
                              <w:t>Self-Awareness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E3661D" id="Rounded Rectangle 4" o:spid="_x0000_s1026" style="position:absolute;left:0;text-align:left;margin-left:17.25pt;margin-top:16.35pt;width:106.05pt;height:3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DhmgIAAJwFAAAOAAAAZHJzL2Uyb0RvYy54bWysVFtP2zAUfp+0/2D5fSQtYUBFiioQ0yQG&#10;CJh4dh27tWT7eLbbpPv1O3bSUDG0SdNeknO/+Tvn4rIzmmyFDwpsTSdHJSXCcmiUXdX0+/PNpzNK&#10;QmS2YRqsqOlOBHo5//jhonUzMYU16EZ4gkFsmLWupusY3awoAl8Lw8IROGFRKcEbFpH1q6LxrMXo&#10;RhfTsvxctOAb54GLEFB63SvpPMeXUvB4L2UQkeiaYm0xf33+LtO3mF+w2cozt1Z8KIP9QxWGKYtJ&#10;x1DXLDKy8eq3UEZxDwFkPOJgCpBScZF7wG4m5ZtuntbMidwLDie4cUzh/4Xld9sHT1RT04oSyww+&#10;0SNsbCMa8ojDY3alBanSmFoXZmj95B78wAUkU8+d9Cb9sRvS5dHuxtGKLhKOwslxdVqenlDCUXd8&#10;Vp2UOWjx6u18iF8EGJKImvpURSohj5Vtb0PEtGi/t0sZA2jV3CitM5MwI660J1uGrx27aXbVG/MN&#10;ml6GiCmHN0cxIqMXn+3FGD4jL0XJyQ4SFGkAfcuZijstUlptH4XECaYmc8IxQh+ccS5snKQRYvhs&#10;ndwkVj06Hv/dcbBPriLjenTu2/xj1tEjZwYbR2ejLPj3suuxZNnbY/kHfScydstugMISmh3iyEO/&#10;YMHxG4XPeMtCfGAeNwp3D69EvMeP1NDWFAaKkjX4n+/Jkz0CHbWUtLihNQ0/NswLSvRXiytwPqmq&#10;tNKZqU5Op8j4Q83yUGM35goQFhO8R45nMtlHvSelB/OCx2SRsqKKWY65a8qj3zNXsb8ceI64WCyy&#10;Ga6xY/HWPjm+B0BC6HP3wrwbsBxxC+5gv81s9gbNvW16GguLTQSpMtTTiPu5DqPHE5AxNJyrdGMO&#10;+Wz1elTnvwAAAP//AwBQSwMEFAAGAAgAAAAhAPLFuEbeAAAACAEAAA8AAABkcnMvZG93bnJldi54&#10;bWxMj8FOwzAQRO9I/IO1SNyoQ1IChDgVVHBAFYem/QDXXpJAvI5iN03/nuUEp9FqRjNvy9XsejHh&#10;GDpPCm4XCQgk421HjYL97u3mAUSImqzuPaGCMwZYVZcXpS6sP9EWpzo2gksoFFpBG+NQSBlMi06H&#10;hR+Q2Pv0o9ORz7GRdtQnLne9TJMkl053xAutHnDdovmuj06BxKS273q3+TIf5iXdvJ6n7X6t1PXV&#10;/PwEIuIc/8Lwi8/oUDHTwR/JBtEryJZ3nGRN70Gwny7zHMRBwWOWgaxK+f+B6gcAAP//AwBQSwEC&#10;LQAUAAYACAAAACEAtoM4kv4AAADhAQAAEwAAAAAAAAAAAAAAAAAAAAAAW0NvbnRlbnRfVHlwZXNd&#10;LnhtbFBLAQItABQABgAIAAAAIQA4/SH/1gAAAJQBAAALAAAAAAAAAAAAAAAAAC8BAABfcmVscy8u&#10;cmVsc1BLAQItABQABgAIAAAAIQCl2NDhmgIAAJwFAAAOAAAAAAAAAAAAAAAAAC4CAABkcnMvZTJv&#10;RG9jLnhtbFBLAQItABQABgAIAAAAIQDyxbhG3gAAAAgBAAAPAAAAAAAAAAAAAAAAAPQEAABkcnMv&#10;ZG93bnJldi54bWxQSwUGAAAAAAQABADzAAAA/wUAAAAA&#10;" fillcolor="#c6d9f1 [671]" strokecolor="#4579b8 [3044]">
                <v:shadow on="t" color="black" opacity="22937f" origin=",.5" offset="0,.63889mm"/>
                <v:textbox>
                  <w:txbxContent>
                    <w:p w14:paraId="32726F15" w14:textId="4BF2B0CC" w:rsidR="0073153F" w:rsidRPr="0073153F" w:rsidRDefault="0073153F" w:rsidP="0073153F">
                      <w:pPr>
                        <w:jc w:val="center"/>
                        <w:rPr>
                          <w:color w:val="000000" w:themeColor="text1"/>
                          <w:lang w:val="en-US"/>
                        </w:rPr>
                      </w:pPr>
                      <w:r w:rsidRPr="0073153F">
                        <w:rPr>
                          <w:color w:val="000000" w:themeColor="text1"/>
                          <w:lang w:val="en-US"/>
                        </w:rPr>
                        <w:t>Self-Awareness</w:t>
                      </w:r>
                    </w:p>
                  </w:txbxContent>
                </v:textbox>
              </v:roundrect>
            </w:pict>
          </mc:Fallback>
        </mc:AlternateContent>
      </w:r>
    </w:p>
    <w:p w14:paraId="41FF24D9" w14:textId="39D454CC" w:rsidR="0073153F" w:rsidRDefault="0073153F" w:rsidP="0073153F">
      <w:pPr>
        <w:spacing w:before="60" w:after="60" w:line="320" w:lineRule="auto"/>
        <w:jc w:val="both"/>
        <w:rPr>
          <w:rFonts w:asciiTheme="majorBidi" w:hAnsiTheme="majorBidi" w:cstheme="majorBidi"/>
          <w:i/>
          <w:iCs/>
          <w:color w:val="000000"/>
        </w:rPr>
      </w:pPr>
      <w:r>
        <w:rPr>
          <w:rFonts w:asciiTheme="majorBidi" w:hAnsiTheme="majorBidi" w:cstheme="majorBidi"/>
          <w:i/>
          <w:iCs/>
          <w:noProof/>
          <w:color w:val="000000"/>
        </w:rPr>
        <mc:AlternateContent>
          <mc:Choice Requires="wps">
            <w:drawing>
              <wp:anchor distT="0" distB="0" distL="114300" distR="114300" simplePos="0" relativeHeight="251666432" behindDoc="0" locked="0" layoutInCell="1" allowOverlap="1" wp14:anchorId="21C5F5CC" wp14:editId="67BE0388">
                <wp:simplePos x="0" y="0"/>
                <wp:positionH relativeFrom="column">
                  <wp:posOffset>1732455</wp:posOffset>
                </wp:positionH>
                <wp:positionV relativeFrom="paragraph">
                  <wp:posOffset>112241</wp:posOffset>
                </wp:positionV>
                <wp:extent cx="2133600" cy="651641"/>
                <wp:effectExtent l="50800" t="38100" r="25400" b="85090"/>
                <wp:wrapNone/>
                <wp:docPr id="9" name="Straight Arrow Connector 9"/>
                <wp:cNvGraphicFramePr/>
                <a:graphic xmlns:a="http://schemas.openxmlformats.org/drawingml/2006/main">
                  <a:graphicData uri="http://schemas.microsoft.com/office/word/2010/wordprocessingShape">
                    <wps:wsp>
                      <wps:cNvCnPr/>
                      <wps:spPr>
                        <a:xfrm>
                          <a:off x="0" y="0"/>
                          <a:ext cx="2133600" cy="651641"/>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4DBAA9C" id="_x0000_t32" coordsize="21600,21600" o:spt="32" o:oned="t" path="m,l21600,21600e" filled="f">
                <v:path arrowok="t" fillok="f" o:connecttype="none"/>
                <o:lock v:ext="edit" shapetype="t"/>
              </v:shapetype>
              <v:shape id="Straight Arrow Connector 9" o:spid="_x0000_s1026" type="#_x0000_t32" style="position:absolute;margin-left:136.4pt;margin-top:8.85pt;width:168pt;height:5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N0+vgEAAMQDAAAOAAAAZHJzL2Uyb0RvYy54bWysU8uO1DAQvCPxD1buTJJZGKFoMnuYBS4I&#10;VrB8gNdpJxZ+qd1Mkr/HdmYyiMceVlw6fnR1V5U7+9vJaHYCDMrZtqg3VcHACtcp27fFt4f3r94W&#10;LBC3HdfOQlvMEIrbw8sX+9E3sHWD0x0gi0VsaEbfFgORb8oyiAEMDxvnwcZL6dBwilvsyw75GKsb&#10;XW6raleODjuPTkAI8fRuuSwOub6UIOizlAGI6baI3ChHzPExxfKw502P3A9KnGnwZ7AwXNnYdC11&#10;x4mzH6j+KGWUQBecpI1wpnRSKgFZQ1RTV7+p+TpwD1lLNCf41abw/8qKT6ejvcdow+hDE/w9JhWT&#10;RJO+kR+bslnzahZMxEQ83NY3N7sqeiri3e5NvXtdJzfLK9pjoA/gDEuLtgiEXPUDHZ218V0c1tkx&#10;fvoYaAFeAKm1tikSV/qd7RjNPg4PoeK213Duk1LKK+28olnDAv8CkqkuEc1t8kTBUSM78TgL3fcL&#10;W21jZoJIpfUKqp4GnXMTDPKUrcBF1D+7rdm5o7O0Ao2yDv/WlaYLVbnkX1QvWpPsR9fN+RGzHXFU&#10;8jucxzrN4q/7DL/+fIefAAAA//8DAFBLAwQUAAYACAAAACEACGJg4uIAAAAPAQAADwAAAGRycy9k&#10;b3ducmV2LnhtbExPTU+DQBC9m/gfNmPizS5FUyhlabRNExMPRmzwumVHILKzhN0W/PeOJ71MMu/N&#10;vI98O9teXHD0nSMFy0UEAql2pqNGwfH9cJeC8EGT0b0jVPCNHrbF9VWuM+MmesNLGRrBIuQzraAN&#10;Ycik9HWLVvuFG5CY+3Sj1YHXsZFm1BOL217GUbSSVnfEDq0ecNdi/VWerYLDczql1cPLa6iqj2pY&#10;4+5pvyyVur2Z9xsejxsQAefw9wG/HTg/FBzs5M5kvOgVxEnM+QMTSQKCD1ZRysCJgTi6B1nk8n+P&#10;4gcAAP//AwBQSwECLQAUAAYACAAAACEAtoM4kv4AAADhAQAAEwAAAAAAAAAAAAAAAAAAAAAAW0Nv&#10;bnRlbnRfVHlwZXNdLnhtbFBLAQItABQABgAIAAAAIQA4/SH/1gAAAJQBAAALAAAAAAAAAAAAAAAA&#10;AC8BAABfcmVscy8ucmVsc1BLAQItABQABgAIAAAAIQD1PN0+vgEAAMQDAAAOAAAAAAAAAAAAAAAA&#10;AC4CAABkcnMvZTJvRG9jLnhtbFBLAQItABQABgAIAAAAIQAIYmDi4gAAAA8BAAAPAAAAAAAAAAAA&#10;AAAAABgEAABkcnMvZG93bnJldi54bWxQSwUGAAAAAAQABADzAAAAJwUAAAAA&#10;" strokecolor="black [3200]" strokeweight="2pt">
                <v:stroke endarrow="block"/>
                <v:shadow on="t" color="black" opacity="24903f" origin=",.5" offset="0,.55556mm"/>
              </v:shape>
            </w:pict>
          </mc:Fallback>
        </mc:AlternateContent>
      </w:r>
      <w:r>
        <w:rPr>
          <w:rFonts w:asciiTheme="majorBidi" w:hAnsiTheme="majorBidi" w:cstheme="majorBidi"/>
          <w:i/>
          <w:iCs/>
          <w:noProof/>
          <w:color w:val="000000"/>
        </w:rPr>
        <mc:AlternateContent>
          <mc:Choice Requires="wps">
            <w:drawing>
              <wp:anchor distT="0" distB="0" distL="114300" distR="114300" simplePos="0" relativeHeight="251660288" behindDoc="0" locked="0" layoutInCell="1" allowOverlap="1" wp14:anchorId="26F360B1" wp14:editId="04C6CF2A">
                <wp:simplePos x="0" y="0"/>
                <wp:positionH relativeFrom="column">
                  <wp:posOffset>3866055</wp:posOffset>
                </wp:positionH>
                <wp:positionV relativeFrom="paragraph">
                  <wp:posOffset>251788</wp:posOffset>
                </wp:positionV>
                <wp:extent cx="1830552" cy="924560"/>
                <wp:effectExtent l="50800" t="25400" r="49530" b="78740"/>
                <wp:wrapNone/>
                <wp:docPr id="3" name="Oval 3"/>
                <wp:cNvGraphicFramePr/>
                <a:graphic xmlns:a="http://schemas.openxmlformats.org/drawingml/2006/main">
                  <a:graphicData uri="http://schemas.microsoft.com/office/word/2010/wordprocessingShape">
                    <wps:wsp>
                      <wps:cNvSpPr/>
                      <wps:spPr>
                        <a:xfrm>
                          <a:off x="0" y="0"/>
                          <a:ext cx="1830552" cy="924560"/>
                        </a:xfrm>
                        <a:prstGeom prst="ellipse">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629C10D7" w14:textId="62D6FF4C" w:rsidR="0073153F" w:rsidRPr="0073153F" w:rsidRDefault="0073153F" w:rsidP="0073153F">
                            <w:pPr>
                              <w:jc w:val="center"/>
                              <w:rPr>
                                <w:color w:val="000000" w:themeColor="text1"/>
                                <w:lang w:val="en-US"/>
                              </w:rPr>
                            </w:pPr>
                            <w:r w:rsidRPr="0073153F">
                              <w:rPr>
                                <w:color w:val="000000" w:themeColor="text1"/>
                                <w:lang w:val="en-US"/>
                              </w:rPr>
                              <w:t>Job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6F360B1" id="Oval 3" o:spid="_x0000_s1027" style="position:absolute;left:0;text-align:left;margin-left:304.4pt;margin-top:19.85pt;width:144.15pt;height:72.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RvSkQIAAJQFAAAOAAAAZHJzL2Uyb0RvYy54bWysVFtr2zAUfh/sPwi9r861a0OdElI6Bl1T&#10;2o4+K7KUCCQdTVJiZ79+R7LjhrVsMPZin/tN3zlX143RZC98UGBLOjwbUCIsh0rZTUm/P99+uqAk&#10;RGYrpsGKkh5EoNfzjx+uajcTI9iCroQnGMSGWe1Kuo3RzYoi8K0wLJyBExaVErxhEVm/KSrPaoxu&#10;dDEaDM6LGnzlPHARAkpvWiWd5/hSCh5XUgYRiS4p1hbz1+fvOn2L+RWbbTxzW8W7Mtg/VGGYspi0&#10;D3XDIiM7r96EMop7CCDjGQdTgJSKi9wDdjMc/NbN05Y5kXvB4QTXjyn8v7D8fv/giapKOqbEMoNP&#10;tNozTcZpMrULMzR4cg++4wKSqc1GepP+2ABp8jQP/TRFEwlH4fBiPJhOR5Rw1F2OJtPzPO7i1dv5&#10;EL8IMCQRJRVaKxdSw2zG9nchYlK0PlolcQCtqluldWYSSMRSe4IVlzQ2o+yqd+YbVK0MITLoHhnF&#10;CIVWfHEUY/gMtRQlJztJUKT224YzFQ9apLTaPgqJI0st5oR9hDY441zYOEwDxPDZOrlJrLp3HP/d&#10;sbNPriIDuXdu2/xj1t4jZwYbe2ejLPj3suu+ZNnaY/knfScyNusmYyU3lyRrqA6IHw/tYgXHbxW+&#10;5R0L8YF53CTcObwOcYUfqaEuKXQUJVvwP9+TJ3sEOGopqXEzSxp+7JgXlOivFqF/OZxM0ipnZjL9&#10;PELGn2rWpxq7M0tAdAzxDjmeyWQf9ZGUHswLHpFFyooqZjnmLimP/sgsY3sx8AxxsVhkM1xfx+Kd&#10;fXL8iIME1OfmhXnXATriKtzDcYvfgLq1TS9kYbGLIFVG/OtcuxfA1c9Q6s5Uui2nfLZ6PabzXwAA&#10;AP//AwBQSwMEFAAGAAgAAAAhAMOkbRniAAAACgEAAA8AAABkcnMvZG93bnJldi54bWxMj8FOwzAQ&#10;RO9I/IO1SFwQtUtEm4Y4FaJwQUKCAoKjE7txhL0OsdOmf89yguNqnmbeluvJO7Y3Q+wCSpjPBDCD&#10;TdAdthLeXh8uc2AxKdTKBTQSjibCujo9KVWhwwFfzH6bWkYlGAslwabUF5zHxhqv4iz0BinbhcGr&#10;ROfQcj2oA5V7x6+EWHCvOqQFq3pzZ03ztR29hM2FuxdP74/HXWY3n9/Tc1aP3YeU52fT7Q2wZKb0&#10;B8OvPqlDRU51GFFH5iQsRE7qSUK2WgIjIF8t58BqIvPrDHhV8v8vVD8AAAD//wMAUEsBAi0AFAAG&#10;AAgAAAAhALaDOJL+AAAA4QEAABMAAAAAAAAAAAAAAAAAAAAAAFtDb250ZW50X1R5cGVzXS54bWxQ&#10;SwECLQAUAAYACAAAACEAOP0h/9YAAACUAQAACwAAAAAAAAAAAAAAAAAvAQAAX3JlbHMvLnJlbHNQ&#10;SwECLQAUAAYACAAAACEAiokb0pECAACUBQAADgAAAAAAAAAAAAAAAAAuAgAAZHJzL2Uyb0RvYy54&#10;bWxQSwECLQAUAAYACAAAACEAw6RtGeIAAAAKAQAADwAAAAAAAAAAAAAAAADrBAAAZHJzL2Rvd25y&#10;ZXYueG1sUEsFBgAAAAAEAAQA8wAAAPoFAAAAAA==&#10;" fillcolor="#c6d9f1 [671]" strokecolor="#4579b8 [3044]">
                <v:shadow on="t" color="black" opacity="22937f" origin=",.5" offset="0,.63889mm"/>
                <v:textbox>
                  <w:txbxContent>
                    <w:p w14:paraId="629C10D7" w14:textId="62D6FF4C" w:rsidR="0073153F" w:rsidRPr="0073153F" w:rsidRDefault="0073153F" w:rsidP="0073153F">
                      <w:pPr>
                        <w:jc w:val="center"/>
                        <w:rPr>
                          <w:color w:val="000000" w:themeColor="text1"/>
                          <w:lang w:val="en-US"/>
                        </w:rPr>
                      </w:pPr>
                      <w:r w:rsidRPr="0073153F">
                        <w:rPr>
                          <w:color w:val="000000" w:themeColor="text1"/>
                          <w:lang w:val="en-US"/>
                        </w:rPr>
                        <w:t>Job Performance</w:t>
                      </w:r>
                    </w:p>
                  </w:txbxContent>
                </v:textbox>
              </v:oval>
            </w:pict>
          </mc:Fallback>
        </mc:AlternateContent>
      </w:r>
    </w:p>
    <w:p w14:paraId="40F0287E" w14:textId="6C86595D" w:rsidR="0073153F" w:rsidRDefault="0073153F" w:rsidP="0073153F">
      <w:pPr>
        <w:spacing w:before="60" w:after="60" w:line="320" w:lineRule="auto"/>
        <w:jc w:val="both"/>
        <w:rPr>
          <w:rFonts w:asciiTheme="majorBidi" w:hAnsiTheme="majorBidi" w:cstheme="majorBidi"/>
          <w:i/>
          <w:iCs/>
          <w:color w:val="000000"/>
        </w:rPr>
      </w:pPr>
    </w:p>
    <w:p w14:paraId="4EFA5EE5" w14:textId="2F5E7C27" w:rsidR="0073153F" w:rsidRDefault="00B9034C" w:rsidP="0073153F">
      <w:pPr>
        <w:spacing w:before="60" w:after="60" w:line="320" w:lineRule="auto"/>
        <w:jc w:val="both"/>
        <w:rPr>
          <w:rFonts w:asciiTheme="majorBidi" w:hAnsiTheme="majorBidi" w:cstheme="majorBidi"/>
          <w:i/>
          <w:iCs/>
          <w:color w:val="000000"/>
        </w:rPr>
      </w:pPr>
      <w:r>
        <w:rPr>
          <w:rFonts w:asciiTheme="majorBidi" w:hAnsiTheme="majorBidi" w:cstheme="majorBidi"/>
          <w:i/>
          <w:iCs/>
          <w:noProof/>
          <w:color w:val="000000"/>
        </w:rPr>
        <mc:AlternateContent>
          <mc:Choice Requires="wps">
            <w:drawing>
              <wp:anchor distT="0" distB="0" distL="114300" distR="114300" simplePos="0" relativeHeight="251668480" behindDoc="0" locked="0" layoutInCell="1" allowOverlap="1" wp14:anchorId="3ACA26E9" wp14:editId="7A24AEE1">
                <wp:simplePos x="0" y="0"/>
                <wp:positionH relativeFrom="column">
                  <wp:posOffset>1732455</wp:posOffset>
                </wp:positionH>
                <wp:positionV relativeFrom="paragraph">
                  <wp:posOffset>213557</wp:posOffset>
                </wp:positionV>
                <wp:extent cx="2133600" cy="45719"/>
                <wp:effectExtent l="50800" t="63500" r="0" b="81915"/>
                <wp:wrapNone/>
                <wp:docPr id="10" name="Straight Arrow Connector 10"/>
                <wp:cNvGraphicFramePr/>
                <a:graphic xmlns:a="http://schemas.openxmlformats.org/drawingml/2006/main">
                  <a:graphicData uri="http://schemas.microsoft.com/office/word/2010/wordprocessingShape">
                    <wps:wsp>
                      <wps:cNvCnPr/>
                      <wps:spPr>
                        <a:xfrm flipV="1">
                          <a:off x="0" y="0"/>
                          <a:ext cx="2133600"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51B4B33" id="Straight Arrow Connector 10" o:spid="_x0000_s1026" type="#_x0000_t32" style="position:absolute;margin-left:136.4pt;margin-top:16.8pt;width:168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WX2wwEAAM0DAAAOAAAAZHJzL2Uyb0RvYy54bWysU8uO1DAQvCPxD5bvTDKzsEA0mT3MAhcE&#10;K153r9NOLPxS20ySv6ftzGQRrwPi0nLsruqu6s7+ZrKGnQCj9q7l203NGTjpO+36ln/+9PrJC85i&#10;Eq4Txjto+QyR3xweP9qPoYGdH7zpABmRuNiMoeVDSqGpqigHsCJufABHj8qjFYk+sa86FCOxW1Pt&#10;6vq6Gj12Ab2EGOn2dnnkh8KvFMj0XqkIiZmWU2+pRCzxPsfqsBdNjyIMWp7bEP/QhRXaUdGV6lYk&#10;wb6h/oXKaok+epU20tvKK6UlFA2kZlv/pObjIAIULWRODKtN8f/Ryneno7tDsmEMsYnhDrOKSaFl&#10;yujwhWZadFGnbCq2zattMCUm6XK3vbq6rsldSW9Pnz3fvsy2VgtNpgsY0xvwluVDy2NCofshHb1z&#10;NCCPSwlxehvTArwAMti4HJPQ5pXrWJoDbVFCLVxv4Fwnp1QP/ZdTmg0s8A+gmO5yn0VJWS04GmQn&#10;QUvRfd2uLJSZIUobs4Lqv4POuRkGZd1W4CLqj9XW7FLRu7QCrXYef1c1TZdW1ZJ/Ub1ozbLvfTeX&#10;aRY7aGfKHM77nZfyx+8Cf/gLD98BAAD//wMAUEsDBBQABgAIAAAAIQDDEuRb4wAAAA4BAAAPAAAA&#10;ZHJzL2Rvd25yZXYueG1sTI9PS8NAEMXvgt9hGcGb3W2iaUizKaIIFURqtfdtMk2C2dk0u2nTb+94&#10;0svA/Hvv9/LVZDtxwsG3jjTMZwoEUumqlmoNX58vdykIHwxVpnOEGi7oYVVcX+Umq9yZPvC0DbVg&#10;EfKZ0dCE0GdS+rJBa/zM9Ui8O7jBmsDtUMtqMGcWt52MlEqkNS2xQ2N6fGqw/N6OVsPxdRPU8W3n&#10;x4N6uKSLzXp8j9da395Mz0suj0sQAafw9wG/GZgfCgbbu5EqLzoN0SJi/qAhjhMQfJColAd7Dfcq&#10;BVnk8n+M4gcAAP//AwBQSwECLQAUAAYACAAAACEAtoM4kv4AAADhAQAAEwAAAAAAAAAAAAAAAAAA&#10;AAAAW0NvbnRlbnRfVHlwZXNdLnhtbFBLAQItABQABgAIAAAAIQA4/SH/1gAAAJQBAAALAAAAAAAA&#10;AAAAAAAAAC8BAABfcmVscy8ucmVsc1BLAQItABQABgAIAAAAIQAcdWX2wwEAAM0DAAAOAAAAAAAA&#10;AAAAAAAAAC4CAABkcnMvZTJvRG9jLnhtbFBLAQItABQABgAIAAAAIQDDEuRb4wAAAA4BAAAPAAAA&#10;AAAAAAAAAAAAAB0EAABkcnMvZG93bnJldi54bWxQSwUGAAAAAAQABADzAAAALQUAAAAA&#10;" strokecolor="black [3200]" strokeweight="2pt">
                <v:stroke endarrow="block"/>
                <v:shadow on="t" color="black" opacity="24903f" origin=",.5" offset="0,.55556mm"/>
              </v:shape>
            </w:pict>
          </mc:Fallback>
        </mc:AlternateContent>
      </w:r>
      <w:r w:rsidR="0073153F">
        <w:rPr>
          <w:rFonts w:asciiTheme="majorBidi" w:hAnsiTheme="majorBidi" w:cstheme="majorBidi"/>
          <w:i/>
          <w:iCs/>
          <w:noProof/>
          <w:color w:val="000000"/>
        </w:rPr>
        <mc:AlternateContent>
          <mc:Choice Requires="wps">
            <w:drawing>
              <wp:anchor distT="0" distB="0" distL="114300" distR="114300" simplePos="0" relativeHeight="251670528" behindDoc="0" locked="0" layoutInCell="1" allowOverlap="1" wp14:anchorId="1715AAF2" wp14:editId="5E099D1E">
                <wp:simplePos x="0" y="0"/>
                <wp:positionH relativeFrom="column">
                  <wp:posOffset>1732455</wp:posOffset>
                </wp:positionH>
                <wp:positionV relativeFrom="paragraph">
                  <wp:posOffset>214192</wp:posOffset>
                </wp:positionV>
                <wp:extent cx="2132330" cy="778926"/>
                <wp:effectExtent l="50800" t="38100" r="26670" b="72390"/>
                <wp:wrapNone/>
                <wp:docPr id="11" name="Straight Arrow Connector 11"/>
                <wp:cNvGraphicFramePr/>
                <a:graphic xmlns:a="http://schemas.openxmlformats.org/drawingml/2006/main">
                  <a:graphicData uri="http://schemas.microsoft.com/office/word/2010/wordprocessingShape">
                    <wps:wsp>
                      <wps:cNvCnPr/>
                      <wps:spPr>
                        <a:xfrm flipV="1">
                          <a:off x="0" y="0"/>
                          <a:ext cx="2132330" cy="778926"/>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5B4A172" id="Straight Arrow Connector 11" o:spid="_x0000_s1026" type="#_x0000_t32" style="position:absolute;margin-left:136.4pt;margin-top:16.85pt;width:167.9pt;height:61.3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eqxQEAAM4DAAAOAAAAZHJzL2Uyb0RvYy54bWysU8tu2zAQvBfoPxC615JlIEkFyzk4bS9F&#10;G/R1Z6ilRJQvkFtL+vsuKVsp+sgh6GVBkTuzO7Or/e1kNDtBiMrZtthuqoKBFa5Ttm+Lr1/evrop&#10;WERuO66dhbaYIRa3h5cv9qNvoHaD0x0ERiQ2NqNviwHRN2UZxQCGx43zYOlRumA40mfoyy7wkdiN&#10;LuuquipHFzofnIAY6fZueSwOmV9KEPhRygjIdFtQb5hjyPEhxfKw500fuB+UOLfBn9GF4cpS0ZXq&#10;jiNnP4L6g8ooEVx0EjfCmdJJqQRkDaRmW/2m5vPAPWQtZE70q03x/9GKD6ejvQ9kw+hjE/19SCom&#10;GQyTWvlvNNOsizplU7ZtXm2DCZmgy3q7q3c7clfQ2/X1zev6KvlaLjyJz4eI78AZlg5tETFw1Q94&#10;dNbShFxYavDT+4gL8AJIYG1TRK70G9sxnD2tEQbFba/hXCellI8C8glnDQv8E0imutRolpJ3C446&#10;sBOnrei+b1cWykwQqbReQdXToHNugkHetxW4iPpntTU7V3QWV6BR1oW/VcXp0qpc8i+qF61J9oPr&#10;5jzObActTZ7DecHTVv76neGPv+HhJwAAAP//AwBQSwMEFAAGAAgAAAAhAENCsKTlAAAADwEAAA8A&#10;AABkcnMvZG93bnJldi54bWxMj0FLw0AQhe+C/2EZwZvdNbFJSLMpoggVpNTa3rfZaRLM7qbZTZv+&#10;e8eTXgaGee/N94rlZDp2xsG3zkp4nAlgaCunW1tL2H29PWTAfFBWq85ZlHBFD8vy9qZQuXYX+4nn&#10;bagZhVifKwlNCH3Oua8aNMrPXI+Wbkc3GBVoHWquB3WhcNPxSIiEG9Va+tCoHl8arL63o5Fwet8E&#10;cfrY+/Eo5tcs3azGdbyS8v5uel3QeF4ACziFPwf8diB+KAns4EarPeskRGlE/EFCHKfASJCILAF2&#10;IOU8eQJeFvx/j/IHAAD//wMAUEsBAi0AFAAGAAgAAAAhALaDOJL+AAAA4QEAABMAAAAAAAAAAAAA&#10;AAAAAAAAAFtDb250ZW50X1R5cGVzXS54bWxQSwECLQAUAAYACAAAACEAOP0h/9YAAACUAQAACwAA&#10;AAAAAAAAAAAAAAAvAQAAX3JlbHMvLnJlbHNQSwECLQAUAAYACAAAACEA6WSXqsUBAADOAwAADgAA&#10;AAAAAAAAAAAAAAAuAgAAZHJzL2Uyb0RvYy54bWxQSwECLQAUAAYACAAAACEAQ0KwpOUAAAAPAQAA&#10;DwAAAAAAAAAAAAAAAAAfBAAAZHJzL2Rvd25yZXYueG1sUEsFBgAAAAAEAAQA8wAAADEFAAAAAA==&#10;" strokecolor="black [3200]" strokeweight="2pt">
                <v:stroke endarrow="block"/>
                <v:shadow on="t" color="black" opacity="24903f" origin=",.5" offset="0,.55556mm"/>
              </v:shape>
            </w:pict>
          </mc:Fallback>
        </mc:AlternateContent>
      </w:r>
      <w:r w:rsidR="0073153F">
        <w:rPr>
          <w:rFonts w:asciiTheme="majorBidi" w:hAnsiTheme="majorBidi" w:cstheme="majorBidi"/>
          <w:i/>
          <w:iCs/>
          <w:noProof/>
          <w:color w:val="000000"/>
        </w:rPr>
        <mc:AlternateContent>
          <mc:Choice Requires="wps">
            <w:drawing>
              <wp:anchor distT="0" distB="0" distL="114300" distR="114300" simplePos="0" relativeHeight="251663360" behindDoc="0" locked="0" layoutInCell="1" allowOverlap="1" wp14:anchorId="69267BE8" wp14:editId="4673D6CF">
                <wp:simplePos x="0" y="0"/>
                <wp:positionH relativeFrom="column">
                  <wp:posOffset>218965</wp:posOffset>
                </wp:positionH>
                <wp:positionV relativeFrom="paragraph">
                  <wp:posOffset>107622</wp:posOffset>
                </wp:positionV>
                <wp:extent cx="1346835" cy="384504"/>
                <wp:effectExtent l="50800" t="25400" r="62865" b="73025"/>
                <wp:wrapNone/>
                <wp:docPr id="7" name="Rounded Rectangle 7"/>
                <wp:cNvGraphicFramePr/>
                <a:graphic xmlns:a="http://schemas.openxmlformats.org/drawingml/2006/main">
                  <a:graphicData uri="http://schemas.microsoft.com/office/word/2010/wordprocessingShape">
                    <wps:wsp>
                      <wps:cNvSpPr/>
                      <wps:spPr>
                        <a:xfrm>
                          <a:off x="0" y="0"/>
                          <a:ext cx="1346835" cy="384504"/>
                        </a:xfrm>
                        <a:prstGeom prst="roundRect">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3EE3FB43" w14:textId="2F249DB6" w:rsidR="0073153F" w:rsidRPr="0073153F" w:rsidRDefault="0073153F" w:rsidP="0073153F">
                            <w:pPr>
                              <w:jc w:val="center"/>
                              <w:rPr>
                                <w:color w:val="000000" w:themeColor="text1"/>
                                <w:lang w:val="en-US"/>
                              </w:rPr>
                            </w:pPr>
                            <w:r w:rsidRPr="0073153F">
                              <w:rPr>
                                <w:color w:val="000000" w:themeColor="text1"/>
                                <w:lang w:val="en-US"/>
                              </w:rPr>
                              <w:t>Self-Regulation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267BE8" id="Rounded Rectangle 7" o:spid="_x0000_s1028" style="position:absolute;left:0;text-align:left;margin-left:17.25pt;margin-top:8.45pt;width:106.05pt;height:3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ljmwIAAKMFAAAOAAAAZHJzL2Uyb0RvYy54bWysVFlPGzEQfq/U/2D5vWwuII3YoAhEVYkC&#10;AiqeHa+dWLI9ru1kN/31HXsPIopaqerL7tyXv5mLy8Zoshc+KLAlHZ+MKBGWQ6XspqTfn28+zSkJ&#10;kdmKabCipAcR6OXy44eL2i3EBLagK+EJBrFhUbuSbmN0i6IIfCsMCyfghEWlBG9YRNZvisqzGqMb&#10;XUxGo7OiBl85D1yEgNLrVkmXOb6Ugsd7KYOIRJcUa4v56/N3nb7F8oItNp65reJdGewfqjBMWUw6&#10;hLpmkZGdV7+FMop7CCDjCQdTgJSKi9wDdjMevenmacucyL3gcIIbxhT+X1h+t3/wRFUlPafEMoNP&#10;9Ag7W4mKPOLwmN1oQc7TmGoXFmj95B58xwUkU8+N9Cb9sRvS5NEehtGKJhKOwvF0djafnlLCUTed&#10;z05HsxS0ePV2PsQvAgxJREl9qiKVkMfK9rchtva9XcoYQKvqRmmdmYQZcaU92TN87dhMsqvemW9Q&#10;tTJEzKh7cxQjMlrxvBdjORl5KUou7ihBkQbQtpypeNAipdX2UUicYGoyJxwitMEZ58LGcddttk5u&#10;EqseHKd/d+zsk6vIuB6c2zb/mHXwyJnBxsHZKAv+vex6KFm29jiPo74TGZt1k6Ez6fGxhuqAcPLQ&#10;7llw/Ebha96yEB+Yx8XCFcRjEe/xIzXUJYWOomQL/ud78mSPeEctJTUuaknDjx3zghL91eImfB7P&#10;ZmmzMzM7PZ8g448162ON3ZkrQHSM8Sw5nslkH3VPSg/mBW/KKmVFFbMcc5eUR98zV7E9IHiVuFit&#10;shlus2Px1j453uMgAfW5eWHedZCOuAx30C81W7wBdWubXsjCahdBqoz4NOl2rt0L4CXI2OyuVjo1&#10;x3y2er2ty18AAAD//wMAUEsDBBQABgAIAAAAIQDgxBVR3gAAAAgBAAAPAAAAZHJzL2Rvd25yZXYu&#10;eG1sTI/BTsMwEETvSPyDtUjcqENoUwhxKqjggCoOTfsBrr0kgXgdxW6a/j3LqRxnZzTztlhNrhMj&#10;DqH1pOB+loBAMt62VCvY797vHkGEqMnqzhMqOGOAVXl9Vejc+hNtcaxiLbiEQq4VNDH2uZTBNOh0&#10;mPkeib0vPzgdWQ61tIM+cbnrZJokmXS6JV5odI/rBs1PdXQKJCaV/dC7zbf5NK/p5u08bvdrpW5v&#10;ppdnEBGneAnDHz6jQ8lMB38kG0Sn4GG+4CTfsycQ7KfzLANxULBcLkCWhfz/QPkLAAD//wMAUEsB&#10;Ai0AFAAGAAgAAAAhALaDOJL+AAAA4QEAABMAAAAAAAAAAAAAAAAAAAAAAFtDb250ZW50X1R5cGVz&#10;XS54bWxQSwECLQAUAAYACAAAACEAOP0h/9YAAACUAQAACwAAAAAAAAAAAAAAAAAvAQAAX3JlbHMv&#10;LnJlbHNQSwECLQAUAAYACAAAACEAgtZpY5sCAACjBQAADgAAAAAAAAAAAAAAAAAuAgAAZHJzL2Uy&#10;b0RvYy54bWxQSwECLQAUAAYACAAAACEA4MQVUd4AAAAIAQAADwAAAAAAAAAAAAAAAAD1BAAAZHJz&#10;L2Rvd25yZXYueG1sUEsFBgAAAAAEAAQA8wAAAAAGAAAAAA==&#10;" fillcolor="#c6d9f1 [671]" strokecolor="#4579b8 [3044]">
                <v:shadow on="t" color="black" opacity="22937f" origin=",.5" offset="0,.63889mm"/>
                <v:textbox>
                  <w:txbxContent>
                    <w:p w14:paraId="3EE3FB43" w14:textId="2F249DB6" w:rsidR="0073153F" w:rsidRPr="0073153F" w:rsidRDefault="0073153F" w:rsidP="0073153F">
                      <w:pPr>
                        <w:jc w:val="center"/>
                        <w:rPr>
                          <w:color w:val="000000" w:themeColor="text1"/>
                          <w:lang w:val="en-US"/>
                        </w:rPr>
                      </w:pPr>
                      <w:r w:rsidRPr="0073153F">
                        <w:rPr>
                          <w:color w:val="000000" w:themeColor="text1"/>
                          <w:lang w:val="en-US"/>
                        </w:rPr>
                        <w:t>Self-Regulation</w:t>
                      </w:r>
                    </w:p>
                  </w:txbxContent>
                </v:textbox>
              </v:roundrect>
            </w:pict>
          </mc:Fallback>
        </mc:AlternateContent>
      </w:r>
    </w:p>
    <w:p w14:paraId="77AEF006" w14:textId="63D6F494" w:rsidR="0073153F" w:rsidRDefault="0073153F" w:rsidP="0073153F">
      <w:pPr>
        <w:spacing w:before="60" w:after="60" w:line="320" w:lineRule="auto"/>
        <w:jc w:val="both"/>
        <w:rPr>
          <w:rFonts w:asciiTheme="majorBidi" w:hAnsiTheme="majorBidi" w:cstheme="majorBidi"/>
          <w:i/>
          <w:iCs/>
          <w:color w:val="000000"/>
        </w:rPr>
      </w:pPr>
    </w:p>
    <w:p w14:paraId="2D219302" w14:textId="10C4161B" w:rsidR="0073153F" w:rsidRPr="0073153F" w:rsidRDefault="0073153F" w:rsidP="0073153F">
      <w:pPr>
        <w:spacing w:before="60" w:after="60" w:line="320" w:lineRule="auto"/>
        <w:jc w:val="both"/>
        <w:rPr>
          <w:rFonts w:asciiTheme="majorBidi" w:hAnsiTheme="majorBidi" w:cstheme="majorBidi"/>
          <w:i/>
          <w:iCs/>
          <w:color w:val="000000"/>
        </w:rPr>
      </w:pPr>
      <w:r>
        <w:rPr>
          <w:rFonts w:asciiTheme="majorBidi" w:hAnsiTheme="majorBidi" w:cstheme="majorBidi"/>
          <w:i/>
          <w:iCs/>
          <w:noProof/>
          <w:color w:val="000000"/>
        </w:rPr>
        <mc:AlternateContent>
          <mc:Choice Requires="wps">
            <w:drawing>
              <wp:anchor distT="0" distB="0" distL="114300" distR="114300" simplePos="0" relativeHeight="251665408" behindDoc="0" locked="0" layoutInCell="1" allowOverlap="1" wp14:anchorId="2803F781" wp14:editId="712B3F89">
                <wp:simplePos x="0" y="0"/>
                <wp:positionH relativeFrom="column">
                  <wp:posOffset>218440</wp:posOffset>
                </wp:positionH>
                <wp:positionV relativeFrom="paragraph">
                  <wp:posOffset>242307</wp:posOffset>
                </wp:positionV>
                <wp:extent cx="1346835" cy="378132"/>
                <wp:effectExtent l="50800" t="25400" r="62865" b="79375"/>
                <wp:wrapNone/>
                <wp:docPr id="8" name="Rounded Rectangle 8"/>
                <wp:cNvGraphicFramePr/>
                <a:graphic xmlns:a="http://schemas.openxmlformats.org/drawingml/2006/main">
                  <a:graphicData uri="http://schemas.microsoft.com/office/word/2010/wordprocessingShape">
                    <wps:wsp>
                      <wps:cNvSpPr/>
                      <wps:spPr>
                        <a:xfrm>
                          <a:off x="0" y="0"/>
                          <a:ext cx="1346835" cy="378132"/>
                        </a:xfrm>
                        <a:prstGeom prst="roundRect">
                          <a:avLst/>
                        </a:prstGeom>
                        <a:solidFill>
                          <a:schemeClr val="tx2">
                            <a:lumMod val="20000"/>
                            <a:lumOff val="80000"/>
                          </a:schemeClr>
                        </a:solidFill>
                      </wps:spPr>
                      <wps:style>
                        <a:lnRef idx="1">
                          <a:schemeClr val="accent1"/>
                        </a:lnRef>
                        <a:fillRef idx="3">
                          <a:schemeClr val="accent1"/>
                        </a:fillRef>
                        <a:effectRef idx="2">
                          <a:schemeClr val="accent1"/>
                        </a:effectRef>
                        <a:fontRef idx="minor">
                          <a:schemeClr val="lt1"/>
                        </a:fontRef>
                      </wps:style>
                      <wps:txbx>
                        <w:txbxContent>
                          <w:p w14:paraId="20C70ABE" w14:textId="51B1B506" w:rsidR="0073153F" w:rsidRPr="0073153F" w:rsidRDefault="0073153F" w:rsidP="0073153F">
                            <w:pPr>
                              <w:jc w:val="center"/>
                              <w:rPr>
                                <w:color w:val="000000" w:themeColor="text1"/>
                                <w:lang w:val="en-US"/>
                              </w:rPr>
                            </w:pPr>
                            <w:r w:rsidRPr="0073153F">
                              <w:rPr>
                                <w:color w:val="000000" w:themeColor="text1"/>
                                <w:lang w:val="en-US"/>
                              </w:rPr>
                              <w:t>Self-Competence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3F781" id="Rounded Rectangle 8" o:spid="_x0000_s1029" style="position:absolute;left:0;text-align:left;margin-left:17.2pt;margin-top:19.1pt;width:106.0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K7mwIAAKMFAAAOAAAAZHJzL2Uyb0RvYy54bWysVFtr2zAUfh/sPwi9r46TtM1CnRJSMgZd&#10;W9qOPiuylBgkHU1SYme/fkfypaErG4y92Dr323fO1XWjFTkI5yswBc3PRpQIw6GszLag35/Xn2aU&#10;+MBMyRQYUdCj8PR68fHDVW3nYgw7UKVwBJ0YP69tQXch2HmWeb4TmvkzsMKgUILTLCDptlnpWI3e&#10;tcrGo9FFVoMrrQMuvEfuTSuki+RfSsHDvZReBKIKirmF9HXpu4nfbHHF5lvH7K7iXRrsH7LQrDIY&#10;dHB1wwIje1f95kpX3IEHGc446AykrLhINWA1+ehNNU87ZkWqBZvj7dAm///c8rvDgyNVWVAclGEa&#10;R/QIe1OKkjxi85jZKkFmsU219XPUfrIPrqM8PmPNjXQ6/rEa0qTWHofWiiYQjsx8Mr2YTc4p4Sib&#10;XM7yyTg6zV6trfPhiwBN4qOgLmYRU0htZYdbH1r9Xi9G9KCqcl0plYiIGbFSjhwYTjs042Sq9vob&#10;lC0PETPqZo5sREbLnvVsTCchL3pJyZ0EyGID2pLTKxyViGGVeRQSOxiLTAEHD61zxrkwIe+qTdrR&#10;TGLWg+Hk74adfjQVCdeDcVvmH6MOFikymDAY68qAey+6GlKWrT7246Tu+AzNpknQmfT42EB5RDg5&#10;aPfMW76ucJq3zIcH5nCxcAXxWIR7/EgFdUGhe1GyA/fzPX7UR7yjlJIaF7Wg/seeOUGJ+mpwEz7n&#10;02nc7ERMzy/HSLhTyeZUYvZ6BYiOHM+S5ekZ9YPqn9KBfsGbsoxRUcQMx9gF5cH1xCq0BwSvEhfL&#10;ZVLDbbYs3Jony3scRKA+Ny/M2Q7SAZfhDvqlZvM3oG5144QMLPcBZJUQHzvd9rWbAF6ChM3uasVT&#10;c0onrdfbuvgFAAD//wMAUEsDBBQABgAIAAAAIQDrP5bT3wAAAAgBAAAPAAAAZHJzL2Rvd25yZXYu&#10;eG1sTI/BTsMwEETvSPyDtUjcqEMIbQlxKqjggCoOTfsBrr0kgXgdxW6a/j3LqZxGqxnNvC1Wk+vE&#10;iENoPSm4nyUgkIy3LdUK9rv3uyWIEDVZ3XlCBWcMsCqvrwqdW3+iLY5VrAWXUMi1gibGPpcymAad&#10;DjPfI7H35QenI59DLe2gT1zuOpkmyVw63RIvNLrHdYPmpzo6BRKTyn7o3ebbfJrXdPN2Hrf7tVK3&#10;N9PLM4iIU7yE4Q+f0aFkpoM/kg2iU/CQZZxkXaYg2E+z+SOIg4KnxQJkWcj/D5S/AAAA//8DAFBL&#10;AQItABQABgAIAAAAIQC2gziS/gAAAOEBAAATAAAAAAAAAAAAAAAAAAAAAABbQ29udGVudF9UeXBl&#10;c10ueG1sUEsBAi0AFAAGAAgAAAAhADj9If/WAAAAlAEAAAsAAAAAAAAAAAAAAAAALwEAAF9yZWxz&#10;Ly5yZWxzUEsBAi0AFAAGAAgAAAAhAJdWQrubAgAAowUAAA4AAAAAAAAAAAAAAAAALgIAAGRycy9l&#10;Mm9Eb2MueG1sUEsBAi0AFAAGAAgAAAAhAOs/ltPfAAAACAEAAA8AAAAAAAAAAAAAAAAA9QQAAGRy&#10;cy9kb3ducmV2LnhtbFBLBQYAAAAABAAEAPMAAAABBgAAAAA=&#10;" fillcolor="#c6d9f1 [671]" strokecolor="#4579b8 [3044]">
                <v:shadow on="t" color="black" opacity="22937f" origin=",.5" offset="0,.63889mm"/>
                <v:textbox>
                  <w:txbxContent>
                    <w:p w14:paraId="20C70ABE" w14:textId="51B1B506" w:rsidR="0073153F" w:rsidRPr="0073153F" w:rsidRDefault="0073153F" w:rsidP="0073153F">
                      <w:pPr>
                        <w:jc w:val="center"/>
                        <w:rPr>
                          <w:color w:val="000000" w:themeColor="text1"/>
                          <w:lang w:val="en-US"/>
                        </w:rPr>
                      </w:pPr>
                      <w:r w:rsidRPr="0073153F">
                        <w:rPr>
                          <w:color w:val="000000" w:themeColor="text1"/>
                          <w:lang w:val="en-US"/>
                        </w:rPr>
                        <w:t>Self-Competence</w:t>
                      </w:r>
                    </w:p>
                  </w:txbxContent>
                </v:textbox>
              </v:roundrect>
            </w:pict>
          </mc:Fallback>
        </mc:AlternateContent>
      </w:r>
    </w:p>
    <w:p w14:paraId="458E0696" w14:textId="7AF5D1DC" w:rsidR="0073153F" w:rsidRDefault="0073153F">
      <w:pPr>
        <w:pStyle w:val="Heading1"/>
        <w:rPr>
          <w:rFonts w:asciiTheme="majorBidi" w:hAnsiTheme="majorBidi" w:cstheme="majorBidi"/>
          <w:sz w:val="24"/>
          <w:szCs w:val="24"/>
        </w:rPr>
      </w:pPr>
    </w:p>
    <w:p w14:paraId="2407A332" w14:textId="45E1EAB8" w:rsidR="0073153F" w:rsidRDefault="0073153F">
      <w:pPr>
        <w:pStyle w:val="Heading1"/>
        <w:rPr>
          <w:rFonts w:asciiTheme="majorBidi" w:hAnsiTheme="majorBidi" w:cstheme="majorBidi"/>
          <w:sz w:val="24"/>
          <w:szCs w:val="24"/>
        </w:rPr>
      </w:pPr>
    </w:p>
    <w:p w14:paraId="5863B48A" w14:textId="77777777" w:rsidR="001B4D38" w:rsidRDefault="001B4D38">
      <w:pPr>
        <w:pStyle w:val="Heading1"/>
        <w:rPr>
          <w:rFonts w:asciiTheme="majorBidi" w:hAnsiTheme="majorBidi" w:cstheme="majorBidi"/>
          <w:sz w:val="24"/>
          <w:szCs w:val="24"/>
        </w:rPr>
      </w:pPr>
    </w:p>
    <w:p w14:paraId="16238C8A" w14:textId="77777777" w:rsidR="001B4D38" w:rsidRDefault="001B4D38">
      <w:pPr>
        <w:pStyle w:val="Heading1"/>
        <w:rPr>
          <w:rFonts w:asciiTheme="majorBidi" w:hAnsiTheme="majorBidi" w:cstheme="majorBidi"/>
          <w:sz w:val="24"/>
          <w:szCs w:val="24"/>
        </w:rPr>
      </w:pPr>
    </w:p>
    <w:p w14:paraId="0192DCF5" w14:textId="77777777" w:rsidR="001B4D38" w:rsidRDefault="001B4D38">
      <w:pPr>
        <w:pStyle w:val="Heading1"/>
        <w:rPr>
          <w:rFonts w:asciiTheme="majorBidi" w:hAnsiTheme="majorBidi" w:cstheme="majorBidi"/>
          <w:sz w:val="24"/>
          <w:szCs w:val="24"/>
        </w:rPr>
      </w:pPr>
    </w:p>
    <w:p w14:paraId="18C6D7C2" w14:textId="6CD34F37" w:rsidR="006C6D9A" w:rsidRPr="00ED1B00" w:rsidRDefault="00A255F5">
      <w:pPr>
        <w:pStyle w:val="Heading1"/>
        <w:rPr>
          <w:rFonts w:asciiTheme="majorBidi" w:hAnsiTheme="majorBidi" w:cstheme="majorBidi"/>
          <w:sz w:val="24"/>
          <w:szCs w:val="24"/>
        </w:rPr>
      </w:pPr>
      <w:r w:rsidRPr="00ED1B00">
        <w:rPr>
          <w:rFonts w:asciiTheme="majorBidi" w:hAnsiTheme="majorBidi" w:cstheme="majorBidi"/>
          <w:sz w:val="24"/>
          <w:szCs w:val="24"/>
        </w:rPr>
        <w:t>3. Methodology</w:t>
      </w:r>
    </w:p>
    <w:p w14:paraId="1F4FF3E9" w14:textId="77777777" w:rsidR="006C6D9A" w:rsidRPr="00ED1B00" w:rsidRDefault="00A255F5">
      <w:pPr>
        <w:pStyle w:val="Heading2"/>
        <w:rPr>
          <w:rFonts w:asciiTheme="majorBidi" w:hAnsiTheme="majorBidi" w:cstheme="majorBidi"/>
        </w:rPr>
      </w:pPr>
      <w:r w:rsidRPr="00ED1B00">
        <w:rPr>
          <w:rFonts w:asciiTheme="majorBidi" w:hAnsiTheme="majorBidi" w:cstheme="majorBidi"/>
        </w:rPr>
        <w:t>3.1 Research Design</w:t>
      </w:r>
    </w:p>
    <w:p w14:paraId="594D0198" w14:textId="4835B86D"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The study adopted a quantitative, cross-sectional research design grounded in a positivist epistemological stance. This design was selected for its suitability to hypothesis testing through statistical inference, its efficiency in data collection across a geographically dispersed population</w:t>
      </w:r>
      <w:r w:rsidR="005F260C">
        <w:rPr>
          <w:rFonts w:asciiTheme="majorBidi" w:hAnsiTheme="majorBidi" w:cstheme="majorBidi"/>
        </w:rPr>
        <w:t xml:space="preserve"> and</w:t>
      </w:r>
      <w:r w:rsidRPr="00ED1B00">
        <w:rPr>
          <w:rFonts w:asciiTheme="majorBidi" w:hAnsiTheme="majorBidi" w:cstheme="majorBidi"/>
        </w:rPr>
        <w:t xml:space="preserve"> its alignment with the established methodological conventions of organizational </w:t>
      </w:r>
      <w:proofErr w:type="spellStart"/>
      <w:r w:rsidRPr="00ED1B00">
        <w:rPr>
          <w:rFonts w:asciiTheme="majorBidi" w:hAnsiTheme="majorBidi" w:cstheme="majorBidi"/>
        </w:rPr>
        <w:t>behavior</w:t>
      </w:r>
      <w:proofErr w:type="spellEnd"/>
      <w:r w:rsidRPr="00ED1B00">
        <w:rPr>
          <w:rFonts w:asciiTheme="majorBidi" w:hAnsiTheme="majorBidi" w:cstheme="majorBidi"/>
        </w:rPr>
        <w:t xml:space="preserve"> research.</w:t>
      </w:r>
    </w:p>
    <w:p w14:paraId="7A42F6C9" w14:textId="77777777" w:rsidR="006C6D9A" w:rsidRPr="00ED1B00" w:rsidRDefault="00A255F5">
      <w:pPr>
        <w:pStyle w:val="Heading2"/>
        <w:rPr>
          <w:rFonts w:asciiTheme="majorBidi" w:hAnsiTheme="majorBidi" w:cstheme="majorBidi"/>
        </w:rPr>
      </w:pPr>
      <w:r w:rsidRPr="00ED1B00">
        <w:rPr>
          <w:rFonts w:asciiTheme="majorBidi" w:hAnsiTheme="majorBidi" w:cstheme="majorBidi"/>
        </w:rPr>
        <w:t>3.2 Population and Sampling</w:t>
      </w:r>
    </w:p>
    <w:p w14:paraId="760283AA" w14:textId="6A390211"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The target population comprised all academic staff</w:t>
      </w:r>
      <w:r w:rsidR="0095612A">
        <w:rPr>
          <w:rFonts w:asciiTheme="majorBidi" w:hAnsiTheme="majorBidi" w:cstheme="majorBidi"/>
        </w:rPr>
        <w:t xml:space="preserve"> including </w:t>
      </w:r>
      <w:r w:rsidRPr="00ED1B00">
        <w:rPr>
          <w:rFonts w:asciiTheme="majorBidi" w:hAnsiTheme="majorBidi" w:cstheme="majorBidi"/>
        </w:rPr>
        <w:t>faculty members and academic leaders</w:t>
      </w:r>
      <w:r w:rsidR="0095612A">
        <w:rPr>
          <w:rFonts w:asciiTheme="majorBidi" w:hAnsiTheme="majorBidi" w:cstheme="majorBidi"/>
        </w:rPr>
        <w:t xml:space="preserve"> </w:t>
      </w:r>
      <w:r w:rsidRPr="00ED1B00">
        <w:rPr>
          <w:rFonts w:asciiTheme="majorBidi" w:hAnsiTheme="majorBidi" w:cstheme="majorBidi"/>
        </w:rPr>
        <w:t>employed in higher education institutions in Jammu and Kashmir, India. A stratified random sampling strategy was adopted to ensure proportionate representation across academic ranks. The population was divided into four strata based on academic rank: Assistant Professors, Associate Professors, Professors</w:t>
      </w:r>
      <w:r w:rsidR="005F260C">
        <w:rPr>
          <w:rFonts w:asciiTheme="majorBidi" w:hAnsiTheme="majorBidi" w:cstheme="majorBidi"/>
        </w:rPr>
        <w:t xml:space="preserve"> and</w:t>
      </w:r>
      <w:r w:rsidRPr="00ED1B00">
        <w:rPr>
          <w:rFonts w:asciiTheme="majorBidi" w:hAnsiTheme="majorBidi" w:cstheme="majorBidi"/>
        </w:rPr>
        <w:t xml:space="preserve"> Academic Leaders. A proportionate number of respondents were randomly selected from each stratum. Table 1 presents the sample distribution.</w:t>
      </w:r>
    </w:p>
    <w:p w14:paraId="01F570EB" w14:textId="0FD63705" w:rsidR="006C6D9A" w:rsidRPr="00ED1B00" w:rsidRDefault="00A255F5" w:rsidP="006F7E5C">
      <w:pPr>
        <w:spacing w:after="80"/>
        <w:rPr>
          <w:rFonts w:asciiTheme="majorBidi" w:hAnsiTheme="majorBidi" w:cstheme="majorBidi"/>
        </w:rPr>
      </w:pPr>
      <w:r w:rsidRPr="00ED1B00">
        <w:rPr>
          <w:rFonts w:asciiTheme="majorBidi" w:hAnsiTheme="majorBidi" w:cstheme="majorBidi"/>
          <w:b/>
          <w:bCs/>
          <w:i/>
          <w:iCs/>
        </w:rPr>
        <w:t>Table 1</w:t>
      </w:r>
      <w:r w:rsidR="00F158CE">
        <w:rPr>
          <w:rFonts w:asciiTheme="majorBidi" w:hAnsiTheme="majorBidi" w:cstheme="majorBidi"/>
        </w:rPr>
        <w:t xml:space="preserve">. </w:t>
      </w:r>
      <w:r w:rsidRPr="00ED1B00">
        <w:rPr>
          <w:rFonts w:asciiTheme="majorBidi" w:hAnsiTheme="majorBidi" w:cstheme="majorBidi"/>
          <w:b/>
          <w:bCs/>
        </w:rPr>
        <w:t>Sample Distribution by Academic Rank</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2340"/>
        <w:gridCol w:w="2340"/>
      </w:tblGrid>
      <w:tr w:rsidR="006C6D9A" w:rsidRPr="00ED1B00" w14:paraId="087A9CD4" w14:textId="77777777">
        <w:tc>
          <w:tcPr>
            <w:tcW w:w="4680"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3FF98D0F"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Stratum</w:t>
            </w:r>
          </w:p>
        </w:tc>
        <w:tc>
          <w:tcPr>
            <w:tcW w:w="2340"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63A5604D"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Percentage (%)</w:t>
            </w:r>
          </w:p>
        </w:tc>
        <w:tc>
          <w:tcPr>
            <w:tcW w:w="2340"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5A6C515F"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Sample Size (n)</w:t>
            </w:r>
          </w:p>
        </w:tc>
      </w:tr>
      <w:tr w:rsidR="006C6D9A" w:rsidRPr="00ED1B00" w14:paraId="2D10CAA2" w14:textId="77777777">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62DF3965" w14:textId="77777777" w:rsidR="006C6D9A" w:rsidRPr="00ED1B00" w:rsidRDefault="00A255F5">
            <w:pPr>
              <w:rPr>
                <w:rFonts w:asciiTheme="majorBidi" w:hAnsiTheme="majorBidi" w:cstheme="majorBidi"/>
              </w:rPr>
            </w:pPr>
            <w:r w:rsidRPr="00ED1B00">
              <w:rPr>
                <w:rFonts w:asciiTheme="majorBidi" w:hAnsiTheme="majorBidi" w:cstheme="majorBidi"/>
              </w:rPr>
              <w:t>Assistant Professors</w:t>
            </w:r>
          </w:p>
        </w:tc>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28A9C35D" w14:textId="77777777" w:rsidR="006C6D9A" w:rsidRPr="00ED1B00" w:rsidRDefault="00A255F5">
            <w:pPr>
              <w:jc w:val="center"/>
              <w:rPr>
                <w:rFonts w:asciiTheme="majorBidi" w:hAnsiTheme="majorBidi" w:cstheme="majorBidi"/>
              </w:rPr>
            </w:pPr>
            <w:r w:rsidRPr="00ED1B00">
              <w:rPr>
                <w:rFonts w:asciiTheme="majorBidi" w:hAnsiTheme="majorBidi" w:cstheme="majorBidi"/>
              </w:rPr>
              <w:t>39</w:t>
            </w:r>
          </w:p>
        </w:tc>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13B8A14D" w14:textId="77777777" w:rsidR="006C6D9A" w:rsidRPr="00ED1B00" w:rsidRDefault="00A255F5">
            <w:pPr>
              <w:jc w:val="center"/>
              <w:rPr>
                <w:rFonts w:asciiTheme="majorBidi" w:hAnsiTheme="majorBidi" w:cstheme="majorBidi"/>
              </w:rPr>
            </w:pPr>
            <w:r w:rsidRPr="00ED1B00">
              <w:rPr>
                <w:rFonts w:asciiTheme="majorBidi" w:hAnsiTheme="majorBidi" w:cstheme="majorBidi"/>
              </w:rPr>
              <w:t>88</w:t>
            </w:r>
          </w:p>
        </w:tc>
      </w:tr>
      <w:tr w:rsidR="006C6D9A" w:rsidRPr="00ED1B00" w14:paraId="0D99633D" w14:textId="77777777">
        <w:tc>
          <w:tcPr>
            <w:tcW w:w="4680"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783A8383" w14:textId="77777777" w:rsidR="006C6D9A" w:rsidRPr="00ED1B00" w:rsidRDefault="00A255F5">
            <w:pPr>
              <w:rPr>
                <w:rFonts w:asciiTheme="majorBidi" w:hAnsiTheme="majorBidi" w:cstheme="majorBidi"/>
              </w:rPr>
            </w:pPr>
            <w:r w:rsidRPr="00ED1B00">
              <w:rPr>
                <w:rFonts w:asciiTheme="majorBidi" w:hAnsiTheme="majorBidi" w:cstheme="majorBidi"/>
              </w:rPr>
              <w:t>Associate Professors</w:t>
            </w:r>
          </w:p>
        </w:tc>
        <w:tc>
          <w:tcPr>
            <w:tcW w:w="2340"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77D4308C" w14:textId="77777777" w:rsidR="006C6D9A" w:rsidRPr="00ED1B00" w:rsidRDefault="00A255F5">
            <w:pPr>
              <w:jc w:val="center"/>
              <w:rPr>
                <w:rFonts w:asciiTheme="majorBidi" w:hAnsiTheme="majorBidi" w:cstheme="majorBidi"/>
              </w:rPr>
            </w:pPr>
            <w:r w:rsidRPr="00ED1B00">
              <w:rPr>
                <w:rFonts w:asciiTheme="majorBidi" w:hAnsiTheme="majorBidi" w:cstheme="majorBidi"/>
              </w:rPr>
              <w:t>25</w:t>
            </w:r>
          </w:p>
        </w:tc>
        <w:tc>
          <w:tcPr>
            <w:tcW w:w="2340"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225763B9" w14:textId="77777777" w:rsidR="006C6D9A" w:rsidRPr="00ED1B00" w:rsidRDefault="00A255F5">
            <w:pPr>
              <w:jc w:val="center"/>
              <w:rPr>
                <w:rFonts w:asciiTheme="majorBidi" w:hAnsiTheme="majorBidi" w:cstheme="majorBidi"/>
              </w:rPr>
            </w:pPr>
            <w:r w:rsidRPr="00ED1B00">
              <w:rPr>
                <w:rFonts w:asciiTheme="majorBidi" w:hAnsiTheme="majorBidi" w:cstheme="majorBidi"/>
              </w:rPr>
              <w:t>56</w:t>
            </w:r>
          </w:p>
        </w:tc>
      </w:tr>
      <w:tr w:rsidR="006C6D9A" w:rsidRPr="00ED1B00" w14:paraId="7F450D80" w14:textId="77777777">
        <w:tc>
          <w:tcPr>
            <w:tcW w:w="4680"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5080C305" w14:textId="77777777" w:rsidR="006C6D9A" w:rsidRPr="00ED1B00" w:rsidRDefault="00A255F5">
            <w:pPr>
              <w:rPr>
                <w:rFonts w:asciiTheme="majorBidi" w:hAnsiTheme="majorBidi" w:cstheme="majorBidi"/>
              </w:rPr>
            </w:pPr>
            <w:r w:rsidRPr="00ED1B00">
              <w:rPr>
                <w:rFonts w:asciiTheme="majorBidi" w:hAnsiTheme="majorBidi" w:cstheme="majorBidi"/>
              </w:rPr>
              <w:t>Professors</w:t>
            </w:r>
          </w:p>
        </w:tc>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76C688EE" w14:textId="77777777" w:rsidR="006C6D9A" w:rsidRPr="00ED1B00" w:rsidRDefault="00A255F5">
            <w:pPr>
              <w:jc w:val="center"/>
              <w:rPr>
                <w:rFonts w:asciiTheme="majorBidi" w:hAnsiTheme="majorBidi" w:cstheme="majorBidi"/>
              </w:rPr>
            </w:pPr>
            <w:r w:rsidRPr="00ED1B00">
              <w:rPr>
                <w:rFonts w:asciiTheme="majorBidi" w:hAnsiTheme="majorBidi" w:cstheme="majorBidi"/>
              </w:rPr>
              <w:t>21</w:t>
            </w:r>
          </w:p>
        </w:tc>
        <w:tc>
          <w:tcPr>
            <w:tcW w:w="2340"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398004CD" w14:textId="77777777" w:rsidR="006C6D9A" w:rsidRPr="00ED1B00" w:rsidRDefault="00A255F5">
            <w:pPr>
              <w:jc w:val="center"/>
              <w:rPr>
                <w:rFonts w:asciiTheme="majorBidi" w:hAnsiTheme="majorBidi" w:cstheme="majorBidi"/>
              </w:rPr>
            </w:pPr>
            <w:r w:rsidRPr="00ED1B00">
              <w:rPr>
                <w:rFonts w:asciiTheme="majorBidi" w:hAnsiTheme="majorBidi" w:cstheme="majorBidi"/>
              </w:rPr>
              <w:t>46</w:t>
            </w:r>
          </w:p>
        </w:tc>
      </w:tr>
      <w:tr w:rsidR="006C6D9A" w:rsidRPr="00ED1B00" w14:paraId="18163D38" w14:textId="77777777">
        <w:tc>
          <w:tcPr>
            <w:tcW w:w="4680"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1723F052" w14:textId="77777777" w:rsidR="006C6D9A" w:rsidRPr="00ED1B00" w:rsidRDefault="00A255F5">
            <w:pPr>
              <w:rPr>
                <w:rFonts w:asciiTheme="majorBidi" w:hAnsiTheme="majorBidi" w:cstheme="majorBidi"/>
              </w:rPr>
            </w:pPr>
            <w:r w:rsidRPr="00ED1B00">
              <w:rPr>
                <w:rFonts w:asciiTheme="majorBidi" w:hAnsiTheme="majorBidi" w:cstheme="majorBidi"/>
              </w:rPr>
              <w:t>Academic Leaders</w:t>
            </w:r>
          </w:p>
        </w:tc>
        <w:tc>
          <w:tcPr>
            <w:tcW w:w="2340"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58C74757" w14:textId="77777777" w:rsidR="006C6D9A" w:rsidRPr="00ED1B00" w:rsidRDefault="00A255F5">
            <w:pPr>
              <w:jc w:val="center"/>
              <w:rPr>
                <w:rFonts w:asciiTheme="majorBidi" w:hAnsiTheme="majorBidi" w:cstheme="majorBidi"/>
              </w:rPr>
            </w:pPr>
            <w:r w:rsidRPr="00ED1B00">
              <w:rPr>
                <w:rFonts w:asciiTheme="majorBidi" w:hAnsiTheme="majorBidi" w:cstheme="majorBidi"/>
              </w:rPr>
              <w:t>15</w:t>
            </w:r>
          </w:p>
        </w:tc>
        <w:tc>
          <w:tcPr>
            <w:tcW w:w="2340"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7008AE5E" w14:textId="77777777" w:rsidR="006C6D9A" w:rsidRPr="00ED1B00" w:rsidRDefault="00A255F5">
            <w:pPr>
              <w:jc w:val="center"/>
              <w:rPr>
                <w:rFonts w:asciiTheme="majorBidi" w:hAnsiTheme="majorBidi" w:cstheme="majorBidi"/>
              </w:rPr>
            </w:pPr>
            <w:r w:rsidRPr="00ED1B00">
              <w:rPr>
                <w:rFonts w:asciiTheme="majorBidi" w:hAnsiTheme="majorBidi" w:cstheme="majorBidi"/>
              </w:rPr>
              <w:t>34</w:t>
            </w:r>
          </w:p>
        </w:tc>
      </w:tr>
      <w:tr w:rsidR="006C6D9A" w:rsidRPr="00ED1B00" w14:paraId="33E339EA" w14:textId="77777777">
        <w:tc>
          <w:tcPr>
            <w:tcW w:w="468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28374491" w14:textId="77777777" w:rsidR="006C6D9A" w:rsidRPr="00ED1B00" w:rsidRDefault="00A255F5">
            <w:pPr>
              <w:rPr>
                <w:rFonts w:asciiTheme="majorBidi" w:hAnsiTheme="majorBidi" w:cstheme="majorBidi"/>
              </w:rPr>
            </w:pPr>
            <w:r w:rsidRPr="00ED1B00">
              <w:rPr>
                <w:rFonts w:asciiTheme="majorBidi" w:hAnsiTheme="majorBidi" w:cstheme="majorBidi"/>
                <w:b/>
                <w:bCs/>
              </w:rPr>
              <w:t>Total</w:t>
            </w:r>
          </w:p>
        </w:tc>
        <w:tc>
          <w:tcPr>
            <w:tcW w:w="234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6B4E437E" w14:textId="77777777" w:rsidR="006C6D9A" w:rsidRPr="00ED1B00" w:rsidRDefault="00A255F5">
            <w:pPr>
              <w:jc w:val="center"/>
              <w:rPr>
                <w:rFonts w:asciiTheme="majorBidi" w:hAnsiTheme="majorBidi" w:cstheme="majorBidi"/>
              </w:rPr>
            </w:pPr>
            <w:r w:rsidRPr="00ED1B00">
              <w:rPr>
                <w:rFonts w:asciiTheme="majorBidi" w:hAnsiTheme="majorBidi" w:cstheme="majorBidi"/>
                <w:b/>
                <w:bCs/>
              </w:rPr>
              <w:t>100</w:t>
            </w:r>
          </w:p>
        </w:tc>
        <w:tc>
          <w:tcPr>
            <w:tcW w:w="2340" w:type="dxa"/>
            <w:tcBorders>
              <w:top w:val="single" w:sz="4" w:space="0" w:color="999999"/>
              <w:left w:val="single" w:sz="4" w:space="0" w:color="999999"/>
              <w:bottom w:val="single" w:sz="4" w:space="0" w:color="999999"/>
              <w:right w:val="single" w:sz="4" w:space="0" w:color="999999"/>
            </w:tcBorders>
            <w:shd w:val="clear" w:color="auto" w:fill="D9D9D9"/>
            <w:tcMar>
              <w:top w:w="80" w:type="dxa"/>
              <w:left w:w="120" w:type="dxa"/>
              <w:bottom w:w="80" w:type="dxa"/>
              <w:right w:w="120" w:type="dxa"/>
            </w:tcMar>
            <w:vAlign w:val="center"/>
          </w:tcPr>
          <w:p w14:paraId="34802A4A" w14:textId="77777777" w:rsidR="006C6D9A" w:rsidRPr="00ED1B00" w:rsidRDefault="00A255F5">
            <w:pPr>
              <w:jc w:val="center"/>
              <w:rPr>
                <w:rFonts w:asciiTheme="majorBidi" w:hAnsiTheme="majorBidi" w:cstheme="majorBidi"/>
              </w:rPr>
            </w:pPr>
            <w:r w:rsidRPr="00ED1B00">
              <w:rPr>
                <w:rFonts w:asciiTheme="majorBidi" w:hAnsiTheme="majorBidi" w:cstheme="majorBidi"/>
                <w:b/>
                <w:bCs/>
              </w:rPr>
              <w:t>224</w:t>
            </w:r>
          </w:p>
        </w:tc>
      </w:tr>
    </w:tbl>
    <w:p w14:paraId="2F31A877" w14:textId="77777777" w:rsidR="006C6D9A" w:rsidRPr="00ED1B00" w:rsidRDefault="006C6D9A">
      <w:pPr>
        <w:spacing w:after="160"/>
        <w:rPr>
          <w:rFonts w:asciiTheme="majorBidi" w:hAnsiTheme="majorBidi" w:cstheme="majorBidi"/>
        </w:rPr>
      </w:pPr>
    </w:p>
    <w:p w14:paraId="1F18AAA2" w14:textId="3ED849F7" w:rsidR="006C6D9A" w:rsidRPr="00ED1B00" w:rsidRDefault="00A255F5">
      <w:pPr>
        <w:pStyle w:val="Heading2"/>
        <w:rPr>
          <w:rFonts w:asciiTheme="majorBidi" w:hAnsiTheme="majorBidi" w:cstheme="majorBidi"/>
        </w:rPr>
      </w:pPr>
      <w:r w:rsidRPr="00ED1B00">
        <w:rPr>
          <w:rFonts w:asciiTheme="majorBidi" w:hAnsiTheme="majorBidi" w:cstheme="majorBidi"/>
        </w:rPr>
        <w:t>3.3 Sample Size</w:t>
      </w:r>
    </w:p>
    <w:p w14:paraId="1056D4AF" w14:textId="38D453C6"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A total of 224 academic staff constituted the final study sample. A pilot study was conducted prior to the main survey using 90 academic staff members drawn from the same population. The pilot study served to evaluate instrument clarity, internal consistency</w:t>
      </w:r>
      <w:r w:rsidR="005F260C">
        <w:rPr>
          <w:rFonts w:asciiTheme="majorBidi" w:hAnsiTheme="majorBidi" w:cstheme="majorBidi"/>
        </w:rPr>
        <w:t xml:space="preserve"> and</w:t>
      </w:r>
      <w:r w:rsidRPr="00ED1B00">
        <w:rPr>
          <w:rFonts w:asciiTheme="majorBidi" w:hAnsiTheme="majorBidi" w:cstheme="majorBidi"/>
        </w:rPr>
        <w:t xml:space="preserve"> face validity, after which minor refinements were made to the survey wording before full administration.</w:t>
      </w:r>
    </w:p>
    <w:p w14:paraId="5335E40C" w14:textId="77777777" w:rsidR="001B4D38" w:rsidRDefault="001B4D38">
      <w:pPr>
        <w:pStyle w:val="Heading2"/>
        <w:rPr>
          <w:rFonts w:asciiTheme="majorBidi" w:hAnsiTheme="majorBidi" w:cstheme="majorBidi"/>
        </w:rPr>
      </w:pPr>
    </w:p>
    <w:p w14:paraId="6E29EA27" w14:textId="2E6E295F" w:rsidR="006C6D9A" w:rsidRPr="00ED1B00" w:rsidRDefault="00A255F5">
      <w:pPr>
        <w:pStyle w:val="Heading2"/>
        <w:rPr>
          <w:rFonts w:asciiTheme="majorBidi" w:hAnsiTheme="majorBidi" w:cstheme="majorBidi"/>
        </w:rPr>
      </w:pPr>
      <w:r w:rsidRPr="00ED1B00">
        <w:rPr>
          <w:rFonts w:asciiTheme="majorBidi" w:hAnsiTheme="majorBidi" w:cstheme="majorBidi"/>
        </w:rPr>
        <w:t>3.4 Instrumentation</w:t>
      </w:r>
    </w:p>
    <w:p w14:paraId="5908DD4B" w14:textId="5A6964AA"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The survey instrument comprised two validated measurement scales. Emotional intelligence dimensions were operationalized using the scale developed by Wong and Law (2002), which measures self-awareness (SA1–SA4), self-regulation (SR1–SR4)</w:t>
      </w:r>
      <w:r w:rsidR="005F260C">
        <w:rPr>
          <w:rFonts w:asciiTheme="majorBidi" w:hAnsiTheme="majorBidi" w:cstheme="majorBidi"/>
        </w:rPr>
        <w:t xml:space="preserve"> and</w:t>
      </w:r>
      <w:r w:rsidRPr="00ED1B00">
        <w:rPr>
          <w:rFonts w:asciiTheme="majorBidi" w:hAnsiTheme="majorBidi" w:cstheme="majorBidi"/>
        </w:rPr>
        <w:t xml:space="preserve"> social competence (SC1–SC4) using four items each. Job performance was measured using six items (JBP1–JBP6) adapted from the Individual Work Performance Questionnaire (IWPQ) developed by Koopmans et al. (2014). All 18 items were rated on a five-point Likert scale anchored at 1 (Strongly Disagree) and 5 (Strongly Agree). The instrument was self-administered via structured paper-based and digital questionnaires. The validity of the Wong and Law (2002) scale in educational performance research has been reaffirmed in recent studies, including </w:t>
      </w:r>
      <w:proofErr w:type="spellStart"/>
      <w:r w:rsidRPr="00ED1B00">
        <w:rPr>
          <w:rFonts w:asciiTheme="majorBidi" w:hAnsiTheme="majorBidi" w:cstheme="majorBidi"/>
        </w:rPr>
        <w:t>Caratiquit</w:t>
      </w:r>
      <w:proofErr w:type="spellEnd"/>
      <w:r w:rsidRPr="00ED1B00">
        <w:rPr>
          <w:rFonts w:asciiTheme="majorBidi" w:hAnsiTheme="majorBidi" w:cstheme="majorBidi"/>
        </w:rPr>
        <w:t xml:space="preserve"> (2025) who employed the same instrument in a PLS-SEM study among pre-service teachers</w:t>
      </w:r>
      <w:r w:rsidR="005F260C">
        <w:rPr>
          <w:rFonts w:asciiTheme="majorBidi" w:hAnsiTheme="majorBidi" w:cstheme="majorBidi"/>
        </w:rPr>
        <w:t xml:space="preserve"> and</w:t>
      </w:r>
      <w:r w:rsidRPr="00ED1B00">
        <w:rPr>
          <w:rFonts w:asciiTheme="majorBidi" w:hAnsiTheme="majorBidi" w:cstheme="majorBidi"/>
        </w:rPr>
        <w:t xml:space="preserve"> </w:t>
      </w:r>
      <w:proofErr w:type="spellStart"/>
      <w:r w:rsidRPr="00ED1B00">
        <w:rPr>
          <w:rFonts w:asciiTheme="majorBidi" w:hAnsiTheme="majorBidi" w:cstheme="majorBidi"/>
        </w:rPr>
        <w:t>Gebre</w:t>
      </w:r>
      <w:proofErr w:type="spellEnd"/>
      <w:r w:rsidRPr="00ED1B00">
        <w:rPr>
          <w:rFonts w:asciiTheme="majorBidi" w:hAnsiTheme="majorBidi" w:cstheme="majorBidi"/>
        </w:rPr>
        <w:t xml:space="preserve"> (2024) who confirmed its dimensional structure in a public sector organizational context.</w:t>
      </w:r>
    </w:p>
    <w:p w14:paraId="441E5B4A" w14:textId="77777777" w:rsidR="006C6D9A" w:rsidRPr="00ED1B00" w:rsidRDefault="00A255F5">
      <w:pPr>
        <w:pStyle w:val="Heading2"/>
        <w:rPr>
          <w:rFonts w:asciiTheme="majorBidi" w:hAnsiTheme="majorBidi" w:cstheme="majorBidi"/>
        </w:rPr>
      </w:pPr>
      <w:r w:rsidRPr="00ED1B00">
        <w:rPr>
          <w:rFonts w:asciiTheme="majorBidi" w:hAnsiTheme="majorBidi" w:cstheme="majorBidi"/>
        </w:rPr>
        <w:t>3.5 Analytical Strategy</w:t>
      </w:r>
    </w:p>
    <w:p w14:paraId="5BA105F1" w14:textId="106E24D3"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 xml:space="preserve">Data were </w:t>
      </w:r>
      <w:proofErr w:type="spellStart"/>
      <w:r w:rsidRPr="00ED1B00">
        <w:rPr>
          <w:rFonts w:asciiTheme="majorBidi" w:hAnsiTheme="majorBidi" w:cstheme="majorBidi"/>
        </w:rPr>
        <w:t>analyzed</w:t>
      </w:r>
      <w:proofErr w:type="spellEnd"/>
      <w:r w:rsidRPr="00ED1B00">
        <w:rPr>
          <w:rFonts w:asciiTheme="majorBidi" w:hAnsiTheme="majorBidi" w:cstheme="majorBidi"/>
        </w:rPr>
        <w:t xml:space="preserve"> using Partial Least Squares Structural Equation </w:t>
      </w:r>
      <w:proofErr w:type="spellStart"/>
      <w:r w:rsidRPr="00ED1B00">
        <w:rPr>
          <w:rFonts w:asciiTheme="majorBidi" w:hAnsiTheme="majorBidi" w:cstheme="majorBidi"/>
        </w:rPr>
        <w:t>Modeling</w:t>
      </w:r>
      <w:proofErr w:type="spellEnd"/>
      <w:r w:rsidRPr="00ED1B00">
        <w:rPr>
          <w:rFonts w:asciiTheme="majorBidi" w:hAnsiTheme="majorBidi" w:cstheme="majorBidi"/>
        </w:rPr>
        <w:t xml:space="preserve"> (PLS-SEM) implemented in </w:t>
      </w:r>
      <w:proofErr w:type="spellStart"/>
      <w:r w:rsidRPr="00ED1B00">
        <w:rPr>
          <w:rFonts w:asciiTheme="majorBidi" w:hAnsiTheme="majorBidi" w:cstheme="majorBidi"/>
        </w:rPr>
        <w:t>SmartPLS</w:t>
      </w:r>
      <w:proofErr w:type="spellEnd"/>
      <w:r w:rsidRPr="00ED1B00">
        <w:rPr>
          <w:rFonts w:asciiTheme="majorBidi" w:hAnsiTheme="majorBidi" w:cstheme="majorBidi"/>
        </w:rPr>
        <w:t xml:space="preserve"> 4. PLS-SEM was selected for several methodological reasons: it is particularly well-suited to predictive research objectives; it performs robustly with reflective latent variable models; and it applies bootstrapping-based inferential procedures that do not require multivariate normality assumptions (Hair et al., 2019). A systematic review by Demir and </w:t>
      </w:r>
      <w:proofErr w:type="spellStart"/>
      <w:r w:rsidRPr="00ED1B00">
        <w:rPr>
          <w:rFonts w:asciiTheme="majorBidi" w:hAnsiTheme="majorBidi" w:cstheme="majorBidi"/>
        </w:rPr>
        <w:t>Usak</w:t>
      </w:r>
      <w:proofErr w:type="spellEnd"/>
      <w:r w:rsidRPr="00ED1B00">
        <w:rPr>
          <w:rFonts w:asciiTheme="majorBidi" w:hAnsiTheme="majorBidi" w:cstheme="majorBidi"/>
        </w:rPr>
        <w:t xml:space="preserve"> (2025) confirms that PLS-SEM has become the dominant analytical approach in educational research, valued for its ability to handle small samples, non-normal data distributions</w:t>
      </w:r>
      <w:r w:rsidR="005F260C">
        <w:rPr>
          <w:rFonts w:asciiTheme="majorBidi" w:hAnsiTheme="majorBidi" w:cstheme="majorBidi"/>
        </w:rPr>
        <w:t xml:space="preserve"> and</w:t>
      </w:r>
      <w:r w:rsidRPr="00ED1B00">
        <w:rPr>
          <w:rFonts w:asciiTheme="majorBidi" w:hAnsiTheme="majorBidi" w:cstheme="majorBidi"/>
        </w:rPr>
        <w:t xml:space="preserve"> high-complexity structural models</w:t>
      </w:r>
      <w:r w:rsidR="0095612A">
        <w:rPr>
          <w:rFonts w:asciiTheme="majorBidi" w:hAnsiTheme="majorBidi" w:cstheme="majorBidi"/>
        </w:rPr>
        <w:t xml:space="preserve"> </w:t>
      </w:r>
      <w:r w:rsidRPr="00ED1B00">
        <w:rPr>
          <w:rFonts w:asciiTheme="majorBidi" w:hAnsiTheme="majorBidi" w:cstheme="majorBidi"/>
        </w:rPr>
        <w:t xml:space="preserve">making it especially appropriate for the present context. Sharma and Kaur (2024) further demonstrate its suitability for investigating complex mediating and moderating relationships in higher education management research. The analysis followed the two-stage approach recommended by Anderson and </w:t>
      </w:r>
      <w:proofErr w:type="spellStart"/>
      <w:r w:rsidRPr="00ED1B00">
        <w:rPr>
          <w:rFonts w:asciiTheme="majorBidi" w:hAnsiTheme="majorBidi" w:cstheme="majorBidi"/>
        </w:rPr>
        <w:t>Gerbing</w:t>
      </w:r>
      <w:proofErr w:type="spellEnd"/>
      <w:r w:rsidRPr="00ED1B00">
        <w:rPr>
          <w:rFonts w:asciiTheme="majorBidi" w:hAnsiTheme="majorBidi" w:cstheme="majorBidi"/>
        </w:rPr>
        <w:t xml:space="preserve"> (1988): Stage 1 assessed the measurement model for reliability and validity prior to structural model testing in Stage 2. </w:t>
      </w:r>
      <w:proofErr w:type="spellStart"/>
      <w:r w:rsidRPr="00ED1B00">
        <w:rPr>
          <w:rFonts w:asciiTheme="majorBidi" w:hAnsiTheme="majorBidi" w:cstheme="majorBidi"/>
        </w:rPr>
        <w:t>Shahabi</w:t>
      </w:r>
      <w:proofErr w:type="spellEnd"/>
      <w:r w:rsidRPr="00ED1B00">
        <w:rPr>
          <w:rFonts w:asciiTheme="majorBidi" w:hAnsiTheme="majorBidi" w:cstheme="majorBidi"/>
        </w:rPr>
        <w:t xml:space="preserve"> et al. (2025) adopted equivalent analytical frameworks in recent EI-performance studies, providing methodological precedent and cross-study comparability for the present investigation.</w:t>
      </w:r>
    </w:p>
    <w:p w14:paraId="119C244B" w14:textId="77777777" w:rsidR="001B4D38" w:rsidRDefault="001B4D38">
      <w:pPr>
        <w:pStyle w:val="Heading1"/>
        <w:rPr>
          <w:rFonts w:asciiTheme="majorBidi" w:hAnsiTheme="majorBidi" w:cstheme="majorBidi"/>
          <w:sz w:val="24"/>
          <w:szCs w:val="24"/>
        </w:rPr>
      </w:pPr>
    </w:p>
    <w:p w14:paraId="7A3BF59F" w14:textId="77777777" w:rsidR="001B4D38" w:rsidRDefault="001B4D38">
      <w:pPr>
        <w:pStyle w:val="Heading1"/>
        <w:rPr>
          <w:rFonts w:asciiTheme="majorBidi" w:hAnsiTheme="majorBidi" w:cstheme="majorBidi"/>
          <w:sz w:val="24"/>
          <w:szCs w:val="24"/>
        </w:rPr>
      </w:pPr>
    </w:p>
    <w:p w14:paraId="4CE43F0D" w14:textId="2E291CA0" w:rsidR="006C6D9A" w:rsidRPr="00ED1B00" w:rsidRDefault="00A255F5">
      <w:pPr>
        <w:pStyle w:val="Heading1"/>
        <w:rPr>
          <w:rFonts w:asciiTheme="majorBidi" w:hAnsiTheme="majorBidi" w:cstheme="majorBidi"/>
          <w:sz w:val="24"/>
          <w:szCs w:val="24"/>
        </w:rPr>
      </w:pPr>
      <w:r w:rsidRPr="00ED1B00">
        <w:rPr>
          <w:rFonts w:asciiTheme="majorBidi" w:hAnsiTheme="majorBidi" w:cstheme="majorBidi"/>
          <w:sz w:val="24"/>
          <w:szCs w:val="24"/>
        </w:rPr>
        <w:t>4. Results</w:t>
      </w:r>
    </w:p>
    <w:p w14:paraId="6B53C30A" w14:textId="77777777" w:rsidR="006C6D9A" w:rsidRPr="00ED1B00" w:rsidRDefault="00A255F5">
      <w:pPr>
        <w:pStyle w:val="Heading2"/>
        <w:rPr>
          <w:rFonts w:asciiTheme="majorBidi" w:hAnsiTheme="majorBidi" w:cstheme="majorBidi"/>
        </w:rPr>
      </w:pPr>
      <w:r w:rsidRPr="00ED1B00">
        <w:rPr>
          <w:rFonts w:asciiTheme="majorBidi" w:hAnsiTheme="majorBidi" w:cstheme="majorBidi"/>
        </w:rPr>
        <w:t>4.1 Measurement Model Assessment</w:t>
      </w:r>
    </w:p>
    <w:p w14:paraId="076E575D" w14:textId="2423321B"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The measurement model was evaluated across three psychometric criteria: internal consistency reliability, convergent validity</w:t>
      </w:r>
      <w:r w:rsidR="005F260C">
        <w:rPr>
          <w:rFonts w:asciiTheme="majorBidi" w:hAnsiTheme="majorBidi" w:cstheme="majorBidi"/>
        </w:rPr>
        <w:t xml:space="preserve"> and</w:t>
      </w:r>
      <w:r w:rsidRPr="00ED1B00">
        <w:rPr>
          <w:rFonts w:asciiTheme="majorBidi" w:hAnsiTheme="majorBidi" w:cstheme="majorBidi"/>
        </w:rPr>
        <w:t xml:space="preserve"> discriminant validity, as recommended by Hair et al. (2019).</w:t>
      </w:r>
    </w:p>
    <w:p w14:paraId="2F1A40A9" w14:textId="77777777" w:rsidR="006C6D9A" w:rsidRPr="00ED1B00" w:rsidRDefault="00A255F5">
      <w:pPr>
        <w:pStyle w:val="Heading3"/>
        <w:rPr>
          <w:rFonts w:asciiTheme="majorBidi" w:hAnsiTheme="majorBidi" w:cstheme="majorBidi"/>
        </w:rPr>
      </w:pPr>
      <w:r w:rsidRPr="00ED1B00">
        <w:rPr>
          <w:rFonts w:asciiTheme="majorBidi" w:hAnsiTheme="majorBidi" w:cstheme="majorBidi"/>
        </w:rPr>
        <w:t>4.1.1 Internal Consistency Reliability and Convergent Validity</w:t>
      </w:r>
    </w:p>
    <w:p w14:paraId="3D3122FB" w14:textId="3AC0A11C" w:rsidR="006C6D9A" w:rsidRPr="00ED1B00" w:rsidRDefault="00A255F5" w:rsidP="00DB5803">
      <w:pPr>
        <w:spacing w:after="160" w:line="360" w:lineRule="auto"/>
        <w:jc w:val="both"/>
        <w:rPr>
          <w:rFonts w:asciiTheme="majorBidi" w:hAnsiTheme="majorBidi" w:cstheme="majorBidi"/>
        </w:rPr>
      </w:pPr>
      <w:r w:rsidRPr="00ED1B00">
        <w:rPr>
          <w:rFonts w:asciiTheme="majorBidi" w:hAnsiTheme="majorBidi" w:cstheme="majorBidi"/>
        </w:rPr>
        <w:t>Table 2 presents the reliability and convergent validity statistics. Cronbach's Alpha coefficients ranged from 0.817 (Self-Regulation) to 0.883 (Social Competence), all comfortably exceeding the recommended threshold of 0.70. Composite Reliability (CR) values ranged from 0.881 to 0.919, surpassing the 0.70 benchmark. Average Variance Extracted (AVE) values ranged from 0.583 (Job Performance) to 0.740 (Social Competence), all meeting the minimum threshold of 0.50, thus confirming convergent validity across all constructs.</w:t>
      </w:r>
    </w:p>
    <w:p w14:paraId="29C90435" w14:textId="3D4B0451" w:rsidR="006C6D9A" w:rsidRPr="00ED1B00" w:rsidRDefault="00A255F5" w:rsidP="006F7E5C">
      <w:pPr>
        <w:spacing w:after="80"/>
        <w:rPr>
          <w:rFonts w:asciiTheme="majorBidi" w:hAnsiTheme="majorBidi" w:cstheme="majorBidi"/>
        </w:rPr>
      </w:pPr>
      <w:r w:rsidRPr="00ED1B00">
        <w:rPr>
          <w:rFonts w:asciiTheme="majorBidi" w:hAnsiTheme="majorBidi" w:cstheme="majorBidi"/>
          <w:b/>
          <w:bCs/>
          <w:i/>
          <w:iCs/>
        </w:rPr>
        <w:t>Table 2</w:t>
      </w:r>
      <w:r w:rsidR="00F158CE">
        <w:rPr>
          <w:rFonts w:asciiTheme="majorBidi" w:hAnsiTheme="majorBidi" w:cstheme="majorBidi"/>
        </w:rPr>
        <w:t xml:space="preserve">. </w:t>
      </w:r>
      <w:r w:rsidRPr="00ED1B00">
        <w:rPr>
          <w:rFonts w:asciiTheme="majorBidi" w:hAnsiTheme="majorBidi" w:cstheme="majorBidi"/>
          <w:b/>
          <w:bCs/>
        </w:rPr>
        <w:t>Reliability and Convergent Validity Statistics</w:t>
      </w:r>
    </w:p>
    <w:tbl>
      <w:tblPr>
        <w:tblStyle w:val="a0"/>
        <w:tblW w:w="94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3"/>
        <w:gridCol w:w="1698"/>
        <w:gridCol w:w="1276"/>
        <w:gridCol w:w="2010"/>
        <w:gridCol w:w="1809"/>
      </w:tblGrid>
      <w:tr w:rsidR="006C6D9A" w:rsidRPr="00ED1B00" w14:paraId="5AB38DA9" w14:textId="77777777" w:rsidTr="001B4D38">
        <w:trPr>
          <w:trHeight w:val="842"/>
        </w:trPr>
        <w:tc>
          <w:tcPr>
            <w:tcW w:w="2613"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1FB32A0A"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Construct</w:t>
            </w:r>
          </w:p>
        </w:tc>
        <w:tc>
          <w:tcPr>
            <w:tcW w:w="1698"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376091BB"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Cronbach's Alpha</w:t>
            </w:r>
          </w:p>
        </w:tc>
        <w:tc>
          <w:tcPr>
            <w:tcW w:w="1276"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0EC39372" w14:textId="77777777" w:rsidR="006C6D9A" w:rsidRPr="00ED1B00" w:rsidRDefault="00A255F5">
            <w:pPr>
              <w:jc w:val="center"/>
              <w:rPr>
                <w:rFonts w:asciiTheme="majorBidi" w:hAnsiTheme="majorBidi" w:cstheme="majorBidi"/>
              </w:rPr>
            </w:pPr>
            <w:proofErr w:type="spellStart"/>
            <w:r w:rsidRPr="00ED1B00">
              <w:rPr>
                <w:rFonts w:asciiTheme="majorBidi" w:hAnsiTheme="majorBidi" w:cstheme="majorBidi"/>
                <w:b/>
                <w:bCs/>
                <w:color w:val="FFFFFF"/>
              </w:rPr>
              <w:t>rho_A</w:t>
            </w:r>
            <w:proofErr w:type="spellEnd"/>
          </w:p>
        </w:tc>
        <w:tc>
          <w:tcPr>
            <w:tcW w:w="2010"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7FFC2E17"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Composite Reliability</w:t>
            </w:r>
          </w:p>
        </w:tc>
        <w:tc>
          <w:tcPr>
            <w:tcW w:w="1809"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0881129C"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AVE</w:t>
            </w:r>
          </w:p>
        </w:tc>
      </w:tr>
      <w:tr w:rsidR="006C6D9A" w:rsidRPr="00ED1B00" w14:paraId="23C537FA" w14:textId="77777777" w:rsidTr="001B4D38">
        <w:trPr>
          <w:trHeight w:val="396"/>
        </w:trPr>
        <w:tc>
          <w:tcPr>
            <w:tcW w:w="2613"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354E85EE" w14:textId="77777777" w:rsidR="006C6D9A" w:rsidRPr="00ED1B00" w:rsidRDefault="00A255F5">
            <w:pPr>
              <w:rPr>
                <w:rFonts w:asciiTheme="majorBidi" w:hAnsiTheme="majorBidi" w:cstheme="majorBidi"/>
              </w:rPr>
            </w:pPr>
            <w:r w:rsidRPr="00ED1B00">
              <w:rPr>
                <w:rFonts w:asciiTheme="majorBidi" w:hAnsiTheme="majorBidi" w:cstheme="majorBidi"/>
              </w:rPr>
              <w:t>Job Performance (JBP)</w:t>
            </w:r>
          </w:p>
        </w:tc>
        <w:tc>
          <w:tcPr>
            <w:tcW w:w="1698"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2074C6C4" w14:textId="77777777" w:rsidR="006C6D9A" w:rsidRPr="00ED1B00" w:rsidRDefault="00A255F5">
            <w:pPr>
              <w:jc w:val="center"/>
              <w:rPr>
                <w:rFonts w:asciiTheme="majorBidi" w:hAnsiTheme="majorBidi" w:cstheme="majorBidi"/>
              </w:rPr>
            </w:pPr>
            <w:r w:rsidRPr="00ED1B00">
              <w:rPr>
                <w:rFonts w:asciiTheme="majorBidi" w:hAnsiTheme="majorBidi" w:cstheme="majorBidi"/>
              </w:rPr>
              <w:t>0.860</w:t>
            </w:r>
          </w:p>
        </w:tc>
        <w:tc>
          <w:tcPr>
            <w:tcW w:w="1276"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3AFA15BC" w14:textId="77777777" w:rsidR="006C6D9A" w:rsidRPr="00ED1B00" w:rsidRDefault="00A255F5">
            <w:pPr>
              <w:jc w:val="center"/>
              <w:rPr>
                <w:rFonts w:asciiTheme="majorBidi" w:hAnsiTheme="majorBidi" w:cstheme="majorBidi"/>
              </w:rPr>
            </w:pPr>
            <w:r w:rsidRPr="00ED1B00">
              <w:rPr>
                <w:rFonts w:asciiTheme="majorBidi" w:hAnsiTheme="majorBidi" w:cstheme="majorBidi"/>
              </w:rPr>
              <w:t>0.867</w:t>
            </w:r>
          </w:p>
        </w:tc>
        <w:tc>
          <w:tcPr>
            <w:tcW w:w="2010"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2720A08B" w14:textId="77777777" w:rsidR="006C6D9A" w:rsidRPr="00ED1B00" w:rsidRDefault="00A255F5">
            <w:pPr>
              <w:jc w:val="center"/>
              <w:rPr>
                <w:rFonts w:asciiTheme="majorBidi" w:hAnsiTheme="majorBidi" w:cstheme="majorBidi"/>
              </w:rPr>
            </w:pPr>
            <w:r w:rsidRPr="00ED1B00">
              <w:rPr>
                <w:rFonts w:asciiTheme="majorBidi" w:hAnsiTheme="majorBidi" w:cstheme="majorBidi"/>
              </w:rPr>
              <w:t>0.894</w:t>
            </w:r>
          </w:p>
        </w:tc>
        <w:tc>
          <w:tcPr>
            <w:tcW w:w="1809"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29BBC6C5" w14:textId="77777777" w:rsidR="006C6D9A" w:rsidRPr="00ED1B00" w:rsidRDefault="00A255F5">
            <w:pPr>
              <w:jc w:val="center"/>
              <w:rPr>
                <w:rFonts w:asciiTheme="majorBidi" w:hAnsiTheme="majorBidi" w:cstheme="majorBidi"/>
              </w:rPr>
            </w:pPr>
            <w:r w:rsidRPr="00ED1B00">
              <w:rPr>
                <w:rFonts w:asciiTheme="majorBidi" w:hAnsiTheme="majorBidi" w:cstheme="majorBidi"/>
              </w:rPr>
              <w:t>0.583</w:t>
            </w:r>
          </w:p>
        </w:tc>
      </w:tr>
      <w:tr w:rsidR="006C6D9A" w:rsidRPr="00ED1B00" w14:paraId="0ED56B3B" w14:textId="77777777" w:rsidTr="001B4D38">
        <w:trPr>
          <w:trHeight w:val="420"/>
        </w:trPr>
        <w:tc>
          <w:tcPr>
            <w:tcW w:w="2613"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60014570" w14:textId="77777777" w:rsidR="006C6D9A" w:rsidRPr="00ED1B00" w:rsidRDefault="00A255F5">
            <w:pPr>
              <w:rPr>
                <w:rFonts w:asciiTheme="majorBidi" w:hAnsiTheme="majorBidi" w:cstheme="majorBidi"/>
              </w:rPr>
            </w:pPr>
            <w:r w:rsidRPr="00ED1B00">
              <w:rPr>
                <w:rFonts w:asciiTheme="majorBidi" w:hAnsiTheme="majorBidi" w:cstheme="majorBidi"/>
              </w:rPr>
              <w:t>Self-Awareness (SA)</w:t>
            </w:r>
          </w:p>
        </w:tc>
        <w:tc>
          <w:tcPr>
            <w:tcW w:w="1698"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2BD1CECD" w14:textId="77777777" w:rsidR="006C6D9A" w:rsidRPr="00ED1B00" w:rsidRDefault="00A255F5">
            <w:pPr>
              <w:jc w:val="center"/>
              <w:rPr>
                <w:rFonts w:asciiTheme="majorBidi" w:hAnsiTheme="majorBidi" w:cstheme="majorBidi"/>
              </w:rPr>
            </w:pPr>
            <w:r w:rsidRPr="00ED1B00">
              <w:rPr>
                <w:rFonts w:asciiTheme="majorBidi" w:hAnsiTheme="majorBidi" w:cstheme="majorBidi"/>
              </w:rPr>
              <w:t>0.867</w:t>
            </w:r>
          </w:p>
        </w:tc>
        <w:tc>
          <w:tcPr>
            <w:tcW w:w="1276"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2AF764A4" w14:textId="77777777" w:rsidR="006C6D9A" w:rsidRPr="00ED1B00" w:rsidRDefault="00A255F5">
            <w:pPr>
              <w:jc w:val="center"/>
              <w:rPr>
                <w:rFonts w:asciiTheme="majorBidi" w:hAnsiTheme="majorBidi" w:cstheme="majorBidi"/>
              </w:rPr>
            </w:pPr>
            <w:r w:rsidRPr="00ED1B00">
              <w:rPr>
                <w:rFonts w:asciiTheme="majorBidi" w:hAnsiTheme="majorBidi" w:cstheme="majorBidi"/>
              </w:rPr>
              <w:t>0.867</w:t>
            </w:r>
          </w:p>
        </w:tc>
        <w:tc>
          <w:tcPr>
            <w:tcW w:w="2010"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6FDCBD12" w14:textId="77777777" w:rsidR="006C6D9A" w:rsidRPr="00ED1B00" w:rsidRDefault="00A255F5">
            <w:pPr>
              <w:jc w:val="center"/>
              <w:rPr>
                <w:rFonts w:asciiTheme="majorBidi" w:hAnsiTheme="majorBidi" w:cstheme="majorBidi"/>
              </w:rPr>
            </w:pPr>
            <w:r w:rsidRPr="00ED1B00">
              <w:rPr>
                <w:rFonts w:asciiTheme="majorBidi" w:hAnsiTheme="majorBidi" w:cstheme="majorBidi"/>
              </w:rPr>
              <w:t>0.909</w:t>
            </w:r>
          </w:p>
        </w:tc>
        <w:tc>
          <w:tcPr>
            <w:tcW w:w="1809"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024E3F0C" w14:textId="77777777" w:rsidR="006C6D9A" w:rsidRPr="00ED1B00" w:rsidRDefault="00A255F5">
            <w:pPr>
              <w:jc w:val="center"/>
              <w:rPr>
                <w:rFonts w:asciiTheme="majorBidi" w:hAnsiTheme="majorBidi" w:cstheme="majorBidi"/>
              </w:rPr>
            </w:pPr>
            <w:r w:rsidRPr="00ED1B00">
              <w:rPr>
                <w:rFonts w:asciiTheme="majorBidi" w:hAnsiTheme="majorBidi" w:cstheme="majorBidi"/>
              </w:rPr>
              <w:t>0.714</w:t>
            </w:r>
          </w:p>
        </w:tc>
      </w:tr>
      <w:tr w:rsidR="006C6D9A" w:rsidRPr="00ED1B00" w14:paraId="2C1BE6BA" w14:textId="77777777" w:rsidTr="001B4D38">
        <w:trPr>
          <w:trHeight w:val="817"/>
        </w:trPr>
        <w:tc>
          <w:tcPr>
            <w:tcW w:w="2613"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2C7F6EEF" w14:textId="77777777" w:rsidR="006C6D9A" w:rsidRPr="00ED1B00" w:rsidRDefault="00A255F5">
            <w:pPr>
              <w:rPr>
                <w:rFonts w:asciiTheme="majorBidi" w:hAnsiTheme="majorBidi" w:cstheme="majorBidi"/>
              </w:rPr>
            </w:pPr>
            <w:r w:rsidRPr="00ED1B00">
              <w:rPr>
                <w:rFonts w:asciiTheme="majorBidi" w:hAnsiTheme="majorBidi" w:cstheme="majorBidi"/>
              </w:rPr>
              <w:t>Social Competence (SC)</w:t>
            </w:r>
          </w:p>
        </w:tc>
        <w:tc>
          <w:tcPr>
            <w:tcW w:w="1698"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2FCF8FA8" w14:textId="77777777" w:rsidR="006C6D9A" w:rsidRPr="00ED1B00" w:rsidRDefault="00A255F5">
            <w:pPr>
              <w:jc w:val="center"/>
              <w:rPr>
                <w:rFonts w:asciiTheme="majorBidi" w:hAnsiTheme="majorBidi" w:cstheme="majorBidi"/>
              </w:rPr>
            </w:pPr>
            <w:r w:rsidRPr="00ED1B00">
              <w:rPr>
                <w:rFonts w:asciiTheme="majorBidi" w:hAnsiTheme="majorBidi" w:cstheme="majorBidi"/>
              </w:rPr>
              <w:t>0.883</w:t>
            </w:r>
          </w:p>
        </w:tc>
        <w:tc>
          <w:tcPr>
            <w:tcW w:w="1276"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48C6E8C9" w14:textId="77777777" w:rsidR="006C6D9A" w:rsidRPr="00ED1B00" w:rsidRDefault="00A255F5">
            <w:pPr>
              <w:jc w:val="center"/>
              <w:rPr>
                <w:rFonts w:asciiTheme="majorBidi" w:hAnsiTheme="majorBidi" w:cstheme="majorBidi"/>
              </w:rPr>
            </w:pPr>
            <w:r w:rsidRPr="00ED1B00">
              <w:rPr>
                <w:rFonts w:asciiTheme="majorBidi" w:hAnsiTheme="majorBidi" w:cstheme="majorBidi"/>
              </w:rPr>
              <w:t>0.892</w:t>
            </w:r>
          </w:p>
        </w:tc>
        <w:tc>
          <w:tcPr>
            <w:tcW w:w="2010"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11DD4F2C" w14:textId="77777777" w:rsidR="006C6D9A" w:rsidRPr="00ED1B00" w:rsidRDefault="00A255F5">
            <w:pPr>
              <w:jc w:val="center"/>
              <w:rPr>
                <w:rFonts w:asciiTheme="majorBidi" w:hAnsiTheme="majorBidi" w:cstheme="majorBidi"/>
              </w:rPr>
            </w:pPr>
            <w:r w:rsidRPr="00ED1B00">
              <w:rPr>
                <w:rFonts w:asciiTheme="majorBidi" w:hAnsiTheme="majorBidi" w:cstheme="majorBidi"/>
              </w:rPr>
              <w:t>0.919</w:t>
            </w:r>
          </w:p>
        </w:tc>
        <w:tc>
          <w:tcPr>
            <w:tcW w:w="1809"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723310E4" w14:textId="77777777" w:rsidR="006C6D9A" w:rsidRPr="00ED1B00" w:rsidRDefault="00A255F5">
            <w:pPr>
              <w:jc w:val="center"/>
              <w:rPr>
                <w:rFonts w:asciiTheme="majorBidi" w:hAnsiTheme="majorBidi" w:cstheme="majorBidi"/>
              </w:rPr>
            </w:pPr>
            <w:r w:rsidRPr="00ED1B00">
              <w:rPr>
                <w:rFonts w:asciiTheme="majorBidi" w:hAnsiTheme="majorBidi" w:cstheme="majorBidi"/>
              </w:rPr>
              <w:t>0.740</w:t>
            </w:r>
          </w:p>
        </w:tc>
      </w:tr>
      <w:tr w:rsidR="006C6D9A" w:rsidRPr="00ED1B00" w14:paraId="36B5A22B" w14:textId="77777777" w:rsidTr="001B4D38">
        <w:trPr>
          <w:trHeight w:val="420"/>
        </w:trPr>
        <w:tc>
          <w:tcPr>
            <w:tcW w:w="2613"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456F36A0" w14:textId="77777777" w:rsidR="006C6D9A" w:rsidRPr="00ED1B00" w:rsidRDefault="00A255F5">
            <w:pPr>
              <w:rPr>
                <w:rFonts w:asciiTheme="majorBidi" w:hAnsiTheme="majorBidi" w:cstheme="majorBidi"/>
              </w:rPr>
            </w:pPr>
            <w:r w:rsidRPr="00ED1B00">
              <w:rPr>
                <w:rFonts w:asciiTheme="majorBidi" w:hAnsiTheme="majorBidi" w:cstheme="majorBidi"/>
              </w:rPr>
              <w:t>Self-Regulation (SR)</w:t>
            </w:r>
          </w:p>
        </w:tc>
        <w:tc>
          <w:tcPr>
            <w:tcW w:w="1698"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568F75C9" w14:textId="77777777" w:rsidR="006C6D9A" w:rsidRPr="00ED1B00" w:rsidRDefault="00A255F5">
            <w:pPr>
              <w:jc w:val="center"/>
              <w:rPr>
                <w:rFonts w:asciiTheme="majorBidi" w:hAnsiTheme="majorBidi" w:cstheme="majorBidi"/>
              </w:rPr>
            </w:pPr>
            <w:r w:rsidRPr="00ED1B00">
              <w:rPr>
                <w:rFonts w:asciiTheme="majorBidi" w:hAnsiTheme="majorBidi" w:cstheme="majorBidi"/>
              </w:rPr>
              <w:t>0.817</w:t>
            </w:r>
          </w:p>
        </w:tc>
        <w:tc>
          <w:tcPr>
            <w:tcW w:w="1276"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58A67BCE" w14:textId="77777777" w:rsidR="006C6D9A" w:rsidRPr="00ED1B00" w:rsidRDefault="00A255F5">
            <w:pPr>
              <w:jc w:val="center"/>
              <w:rPr>
                <w:rFonts w:asciiTheme="majorBidi" w:hAnsiTheme="majorBidi" w:cstheme="majorBidi"/>
              </w:rPr>
            </w:pPr>
            <w:r w:rsidRPr="00ED1B00">
              <w:rPr>
                <w:rFonts w:asciiTheme="majorBidi" w:hAnsiTheme="majorBidi" w:cstheme="majorBidi"/>
              </w:rPr>
              <w:t>0.815</w:t>
            </w:r>
          </w:p>
        </w:tc>
        <w:tc>
          <w:tcPr>
            <w:tcW w:w="2010"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05E87B3C" w14:textId="77777777" w:rsidR="006C6D9A" w:rsidRPr="00ED1B00" w:rsidRDefault="00A255F5">
            <w:pPr>
              <w:jc w:val="center"/>
              <w:rPr>
                <w:rFonts w:asciiTheme="majorBidi" w:hAnsiTheme="majorBidi" w:cstheme="majorBidi"/>
              </w:rPr>
            </w:pPr>
            <w:r w:rsidRPr="00ED1B00">
              <w:rPr>
                <w:rFonts w:asciiTheme="majorBidi" w:hAnsiTheme="majorBidi" w:cstheme="majorBidi"/>
              </w:rPr>
              <w:t>0.881</w:t>
            </w:r>
          </w:p>
        </w:tc>
        <w:tc>
          <w:tcPr>
            <w:tcW w:w="1809"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42CC67C4" w14:textId="77777777" w:rsidR="006C6D9A" w:rsidRPr="00ED1B00" w:rsidRDefault="00A255F5">
            <w:pPr>
              <w:jc w:val="center"/>
              <w:rPr>
                <w:rFonts w:asciiTheme="majorBidi" w:hAnsiTheme="majorBidi" w:cstheme="majorBidi"/>
              </w:rPr>
            </w:pPr>
            <w:r w:rsidRPr="00ED1B00">
              <w:rPr>
                <w:rFonts w:asciiTheme="majorBidi" w:hAnsiTheme="majorBidi" w:cstheme="majorBidi"/>
              </w:rPr>
              <w:t>0.650</w:t>
            </w:r>
          </w:p>
        </w:tc>
      </w:tr>
    </w:tbl>
    <w:p w14:paraId="711B2EE6" w14:textId="77777777" w:rsidR="006C6D9A" w:rsidRPr="00ED1B00" w:rsidRDefault="00A255F5">
      <w:pPr>
        <w:spacing w:before="60" w:after="160"/>
        <w:jc w:val="both"/>
        <w:rPr>
          <w:rFonts w:asciiTheme="majorBidi" w:hAnsiTheme="majorBidi" w:cstheme="majorBidi"/>
        </w:rPr>
      </w:pPr>
      <w:r w:rsidRPr="00ED1B00">
        <w:rPr>
          <w:rFonts w:asciiTheme="majorBidi" w:hAnsiTheme="majorBidi" w:cstheme="majorBidi"/>
          <w:i/>
          <w:iCs/>
          <w:color w:val="555555"/>
        </w:rPr>
        <w:t xml:space="preserve">Note. AVE = Average Variance Extracted; </w:t>
      </w:r>
      <w:proofErr w:type="spellStart"/>
      <w:r w:rsidRPr="00ED1B00">
        <w:rPr>
          <w:rFonts w:asciiTheme="majorBidi" w:hAnsiTheme="majorBidi" w:cstheme="majorBidi"/>
          <w:i/>
          <w:iCs/>
          <w:color w:val="555555"/>
        </w:rPr>
        <w:t>rho_A</w:t>
      </w:r>
      <w:proofErr w:type="spellEnd"/>
      <w:r w:rsidRPr="00ED1B00">
        <w:rPr>
          <w:rFonts w:asciiTheme="majorBidi" w:hAnsiTheme="majorBidi" w:cstheme="majorBidi"/>
          <w:i/>
          <w:iCs/>
          <w:color w:val="555555"/>
        </w:rPr>
        <w:t xml:space="preserve"> = Dijkstra-</w:t>
      </w:r>
      <w:proofErr w:type="spellStart"/>
      <w:r w:rsidRPr="00ED1B00">
        <w:rPr>
          <w:rFonts w:asciiTheme="majorBidi" w:hAnsiTheme="majorBidi" w:cstheme="majorBidi"/>
          <w:i/>
          <w:iCs/>
          <w:color w:val="555555"/>
        </w:rPr>
        <w:t>Henseler's</w:t>
      </w:r>
      <w:proofErr w:type="spellEnd"/>
      <w:r w:rsidRPr="00ED1B00">
        <w:rPr>
          <w:rFonts w:asciiTheme="majorBidi" w:hAnsiTheme="majorBidi" w:cstheme="majorBidi"/>
          <w:i/>
          <w:iCs/>
          <w:color w:val="555555"/>
        </w:rPr>
        <w:t xml:space="preserve"> Rho. All thresholds: Cronbach's Alpha &gt; 0.70; CR &gt; 0.70; AVE &gt; 0.50.</w:t>
      </w:r>
    </w:p>
    <w:p w14:paraId="367F32BF" w14:textId="2D89490F" w:rsidR="006C6D9A" w:rsidRPr="00ED1B00" w:rsidRDefault="00A255F5">
      <w:pPr>
        <w:pStyle w:val="Heading3"/>
        <w:rPr>
          <w:rFonts w:asciiTheme="majorBidi" w:hAnsiTheme="majorBidi" w:cstheme="majorBidi"/>
        </w:rPr>
      </w:pPr>
      <w:r w:rsidRPr="00ED1B00">
        <w:rPr>
          <w:rFonts w:asciiTheme="majorBidi" w:hAnsiTheme="majorBidi" w:cstheme="majorBidi"/>
        </w:rPr>
        <w:t>4.1.2 Outer Loadings</w:t>
      </w:r>
    </w:p>
    <w:p w14:paraId="48CAA074" w14:textId="77777777"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 xml:space="preserve">All indicator outer loadings exceeded the recommended minimum of 0.70, confirming that each item reliably represents its intended latent construct. Self-Awareness indicator loadings ranged from 0.824 (SA2) to 0.860 (SA4). Self-Regulation loadings ranged from 0.684 (SR4) to 0.869 (SR3). Social Competence loadings ranged from 0.827 (SC2) to 0.891 (SC1). Job Performance </w:t>
      </w:r>
      <w:r w:rsidRPr="00ED1B00">
        <w:rPr>
          <w:rFonts w:asciiTheme="majorBidi" w:hAnsiTheme="majorBidi" w:cstheme="majorBidi"/>
        </w:rPr>
        <w:lastRenderedPageBreak/>
        <w:t>loadings ranged from 0.723 (JBP2) to 0.779 (JBP6). These results are depicted in the PLS-SEM path diagram (Figure 1).</w:t>
      </w:r>
    </w:p>
    <w:p w14:paraId="207A5E88" w14:textId="77777777" w:rsidR="006C6D9A" w:rsidRPr="00ED1B00" w:rsidRDefault="00A255F5">
      <w:pPr>
        <w:pStyle w:val="Heading3"/>
        <w:rPr>
          <w:rFonts w:asciiTheme="majorBidi" w:hAnsiTheme="majorBidi" w:cstheme="majorBidi"/>
        </w:rPr>
      </w:pPr>
      <w:r w:rsidRPr="00ED1B00">
        <w:rPr>
          <w:rFonts w:asciiTheme="majorBidi" w:hAnsiTheme="majorBidi" w:cstheme="majorBidi"/>
        </w:rPr>
        <w:t>4.1.3 Discriminant Validity</w:t>
      </w:r>
    </w:p>
    <w:p w14:paraId="586E243B" w14:textId="1B59359C"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 xml:space="preserve">Discriminant validity was assessed using the </w:t>
      </w:r>
      <w:proofErr w:type="spellStart"/>
      <w:r w:rsidRPr="00ED1B00">
        <w:rPr>
          <w:rFonts w:asciiTheme="majorBidi" w:hAnsiTheme="majorBidi" w:cstheme="majorBidi"/>
        </w:rPr>
        <w:t>Fornell-Larcker</w:t>
      </w:r>
      <w:proofErr w:type="spellEnd"/>
      <w:r w:rsidRPr="00ED1B00">
        <w:rPr>
          <w:rFonts w:asciiTheme="majorBidi" w:hAnsiTheme="majorBidi" w:cstheme="majorBidi"/>
        </w:rPr>
        <w:t xml:space="preserve"> criterion, which requires that the square root of each construct's AVE exceeds its inter-construct correlations. As shown in </w:t>
      </w:r>
      <w:bookmarkStart w:id="0" w:name="_GoBack"/>
      <w:r w:rsidRPr="00ED1B00">
        <w:rPr>
          <w:rFonts w:asciiTheme="majorBidi" w:hAnsiTheme="majorBidi" w:cstheme="majorBidi"/>
        </w:rPr>
        <w:t>Table</w:t>
      </w:r>
      <w:bookmarkEnd w:id="0"/>
      <w:r w:rsidRPr="00ED1B00">
        <w:rPr>
          <w:rFonts w:asciiTheme="majorBidi" w:hAnsiTheme="majorBidi" w:cstheme="majorBidi"/>
        </w:rPr>
        <w:t xml:space="preserve"> 3, this criterion is satisfied for all constructs, confirming that each construct is empirically distinct from all others in the model.</w:t>
      </w:r>
    </w:p>
    <w:p w14:paraId="4577FE29" w14:textId="3E4B202A" w:rsidR="006C6D9A" w:rsidRPr="00ED1B00" w:rsidRDefault="00A255F5" w:rsidP="006F7E5C">
      <w:pPr>
        <w:spacing w:after="80"/>
        <w:rPr>
          <w:rFonts w:asciiTheme="majorBidi" w:hAnsiTheme="majorBidi" w:cstheme="majorBidi"/>
        </w:rPr>
      </w:pPr>
      <w:r w:rsidRPr="00ED1B00">
        <w:rPr>
          <w:rFonts w:asciiTheme="majorBidi" w:hAnsiTheme="majorBidi" w:cstheme="majorBidi"/>
          <w:b/>
          <w:bCs/>
          <w:i/>
          <w:iCs/>
        </w:rPr>
        <w:t>Table 3</w:t>
      </w:r>
      <w:r w:rsidR="00F158CE">
        <w:rPr>
          <w:rFonts w:asciiTheme="majorBidi" w:hAnsiTheme="majorBidi" w:cstheme="majorBidi"/>
        </w:rPr>
        <w:t xml:space="preserve">. </w:t>
      </w:r>
      <w:proofErr w:type="spellStart"/>
      <w:r w:rsidRPr="00ED1B00">
        <w:rPr>
          <w:rFonts w:asciiTheme="majorBidi" w:hAnsiTheme="majorBidi" w:cstheme="majorBidi"/>
          <w:b/>
          <w:bCs/>
        </w:rPr>
        <w:t>Fornell-Larcker</w:t>
      </w:r>
      <w:proofErr w:type="spellEnd"/>
      <w:r w:rsidRPr="00ED1B00">
        <w:rPr>
          <w:rFonts w:asciiTheme="majorBidi" w:hAnsiTheme="majorBidi" w:cstheme="majorBidi"/>
          <w:b/>
          <w:bCs/>
        </w:rPr>
        <w:t xml:space="preserve"> Criterion Matrix (Discriminant Validity</w:t>
      </w:r>
    </w:p>
    <w:tbl>
      <w:tblPr>
        <w:tblStyle w:val="a1"/>
        <w:tblW w:w="93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4"/>
        <w:gridCol w:w="2093"/>
        <w:gridCol w:w="1559"/>
        <w:gridCol w:w="1559"/>
        <w:gridCol w:w="1558"/>
      </w:tblGrid>
      <w:tr w:rsidR="006C6D9A" w:rsidRPr="00ED1B00" w14:paraId="12FEF7DE" w14:textId="77777777" w:rsidTr="001B4D38">
        <w:trPr>
          <w:trHeight w:val="441"/>
        </w:trPr>
        <w:tc>
          <w:tcPr>
            <w:tcW w:w="2604"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275E5332"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Construct</w:t>
            </w:r>
          </w:p>
        </w:tc>
        <w:tc>
          <w:tcPr>
            <w:tcW w:w="2093"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68AA7902"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JBP</w:t>
            </w:r>
          </w:p>
        </w:tc>
        <w:tc>
          <w:tcPr>
            <w:tcW w:w="1559"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6EF12561"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SA</w:t>
            </w:r>
          </w:p>
        </w:tc>
        <w:tc>
          <w:tcPr>
            <w:tcW w:w="1559"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3433EA68"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SC</w:t>
            </w:r>
          </w:p>
        </w:tc>
        <w:tc>
          <w:tcPr>
            <w:tcW w:w="1558"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46B46E79"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SR</w:t>
            </w:r>
          </w:p>
        </w:tc>
      </w:tr>
      <w:tr w:rsidR="006C6D9A" w:rsidRPr="00ED1B00" w14:paraId="4BBB31AE" w14:textId="77777777" w:rsidTr="001B4D38">
        <w:trPr>
          <w:trHeight w:val="441"/>
        </w:trPr>
        <w:tc>
          <w:tcPr>
            <w:tcW w:w="2604"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5A77C64E" w14:textId="77777777" w:rsidR="006C6D9A" w:rsidRPr="00ED1B00" w:rsidRDefault="00A255F5">
            <w:pPr>
              <w:rPr>
                <w:rFonts w:asciiTheme="majorBidi" w:hAnsiTheme="majorBidi" w:cstheme="majorBidi"/>
              </w:rPr>
            </w:pPr>
            <w:r w:rsidRPr="00ED1B00">
              <w:rPr>
                <w:rFonts w:asciiTheme="majorBidi" w:hAnsiTheme="majorBidi" w:cstheme="majorBidi"/>
              </w:rPr>
              <w:t>JBP</w:t>
            </w:r>
          </w:p>
        </w:tc>
        <w:tc>
          <w:tcPr>
            <w:tcW w:w="2093"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3FFF8331" w14:textId="77777777" w:rsidR="006C6D9A" w:rsidRPr="00ED1B00" w:rsidRDefault="00A255F5">
            <w:pPr>
              <w:jc w:val="center"/>
              <w:rPr>
                <w:rFonts w:asciiTheme="majorBidi" w:hAnsiTheme="majorBidi" w:cstheme="majorBidi"/>
              </w:rPr>
            </w:pPr>
            <w:r w:rsidRPr="00ED1B00">
              <w:rPr>
                <w:rFonts w:asciiTheme="majorBidi" w:hAnsiTheme="majorBidi" w:cstheme="majorBidi"/>
                <w:b/>
                <w:bCs/>
              </w:rPr>
              <w:t>0.764</w:t>
            </w:r>
          </w:p>
        </w:tc>
        <w:tc>
          <w:tcPr>
            <w:tcW w:w="1559"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4858B502" w14:textId="77777777" w:rsidR="006C6D9A" w:rsidRPr="00ED1B00" w:rsidRDefault="00A255F5">
            <w:pPr>
              <w:jc w:val="center"/>
              <w:rPr>
                <w:rFonts w:asciiTheme="majorBidi" w:hAnsiTheme="majorBidi" w:cstheme="majorBidi"/>
              </w:rPr>
            </w:pPr>
            <w:r w:rsidRPr="00ED1B00">
              <w:rPr>
                <w:rFonts w:asciiTheme="majorBidi" w:hAnsiTheme="majorBidi" w:cstheme="majorBidi"/>
              </w:rPr>
              <w:t>—</w:t>
            </w:r>
          </w:p>
        </w:tc>
        <w:tc>
          <w:tcPr>
            <w:tcW w:w="1559"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0E24EF23" w14:textId="77777777" w:rsidR="006C6D9A" w:rsidRPr="00ED1B00" w:rsidRDefault="00A255F5">
            <w:pPr>
              <w:jc w:val="center"/>
              <w:rPr>
                <w:rFonts w:asciiTheme="majorBidi" w:hAnsiTheme="majorBidi" w:cstheme="majorBidi"/>
              </w:rPr>
            </w:pPr>
            <w:r w:rsidRPr="00ED1B00">
              <w:rPr>
                <w:rFonts w:asciiTheme="majorBidi" w:hAnsiTheme="majorBidi" w:cstheme="majorBidi"/>
              </w:rPr>
              <w:t>—</w:t>
            </w:r>
          </w:p>
        </w:tc>
        <w:tc>
          <w:tcPr>
            <w:tcW w:w="1558"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39F6CA49" w14:textId="77777777" w:rsidR="006C6D9A" w:rsidRPr="00ED1B00" w:rsidRDefault="00A255F5">
            <w:pPr>
              <w:jc w:val="center"/>
              <w:rPr>
                <w:rFonts w:asciiTheme="majorBidi" w:hAnsiTheme="majorBidi" w:cstheme="majorBidi"/>
              </w:rPr>
            </w:pPr>
            <w:r w:rsidRPr="00ED1B00">
              <w:rPr>
                <w:rFonts w:asciiTheme="majorBidi" w:hAnsiTheme="majorBidi" w:cstheme="majorBidi"/>
              </w:rPr>
              <w:t>—</w:t>
            </w:r>
          </w:p>
        </w:tc>
      </w:tr>
      <w:tr w:rsidR="006C6D9A" w:rsidRPr="00ED1B00" w14:paraId="11F8D23D" w14:textId="77777777" w:rsidTr="001B4D38">
        <w:trPr>
          <w:trHeight w:val="416"/>
        </w:trPr>
        <w:tc>
          <w:tcPr>
            <w:tcW w:w="2604"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676DADE9" w14:textId="77777777" w:rsidR="006C6D9A" w:rsidRPr="00ED1B00" w:rsidRDefault="00A255F5">
            <w:pPr>
              <w:rPr>
                <w:rFonts w:asciiTheme="majorBidi" w:hAnsiTheme="majorBidi" w:cstheme="majorBidi"/>
              </w:rPr>
            </w:pPr>
            <w:r w:rsidRPr="00ED1B00">
              <w:rPr>
                <w:rFonts w:asciiTheme="majorBidi" w:hAnsiTheme="majorBidi" w:cstheme="majorBidi"/>
              </w:rPr>
              <w:t>SA</w:t>
            </w:r>
          </w:p>
        </w:tc>
        <w:tc>
          <w:tcPr>
            <w:tcW w:w="2093"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75B5AB58" w14:textId="77777777" w:rsidR="006C6D9A" w:rsidRPr="00ED1B00" w:rsidRDefault="00A255F5">
            <w:pPr>
              <w:jc w:val="center"/>
              <w:rPr>
                <w:rFonts w:asciiTheme="majorBidi" w:hAnsiTheme="majorBidi" w:cstheme="majorBidi"/>
              </w:rPr>
            </w:pPr>
            <w:r w:rsidRPr="00ED1B00">
              <w:rPr>
                <w:rFonts w:asciiTheme="majorBidi" w:hAnsiTheme="majorBidi" w:cstheme="majorBidi"/>
              </w:rPr>
              <w:t>0.629</w:t>
            </w:r>
          </w:p>
        </w:tc>
        <w:tc>
          <w:tcPr>
            <w:tcW w:w="1559"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557B37CB" w14:textId="77777777" w:rsidR="006C6D9A" w:rsidRPr="00ED1B00" w:rsidRDefault="00A255F5">
            <w:pPr>
              <w:jc w:val="center"/>
              <w:rPr>
                <w:rFonts w:asciiTheme="majorBidi" w:hAnsiTheme="majorBidi" w:cstheme="majorBidi"/>
              </w:rPr>
            </w:pPr>
            <w:r w:rsidRPr="00ED1B00">
              <w:rPr>
                <w:rFonts w:asciiTheme="majorBidi" w:hAnsiTheme="majorBidi" w:cstheme="majorBidi"/>
                <w:b/>
                <w:bCs/>
              </w:rPr>
              <w:t>0.845</w:t>
            </w:r>
          </w:p>
        </w:tc>
        <w:tc>
          <w:tcPr>
            <w:tcW w:w="1559"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73184514" w14:textId="77777777" w:rsidR="006C6D9A" w:rsidRPr="00ED1B00" w:rsidRDefault="00A255F5">
            <w:pPr>
              <w:jc w:val="center"/>
              <w:rPr>
                <w:rFonts w:asciiTheme="majorBidi" w:hAnsiTheme="majorBidi" w:cstheme="majorBidi"/>
              </w:rPr>
            </w:pPr>
            <w:r w:rsidRPr="00ED1B00">
              <w:rPr>
                <w:rFonts w:asciiTheme="majorBidi" w:hAnsiTheme="majorBidi" w:cstheme="majorBidi"/>
              </w:rPr>
              <w:t>—</w:t>
            </w:r>
          </w:p>
        </w:tc>
        <w:tc>
          <w:tcPr>
            <w:tcW w:w="1558"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051F0469" w14:textId="77777777" w:rsidR="006C6D9A" w:rsidRPr="00ED1B00" w:rsidRDefault="00A255F5">
            <w:pPr>
              <w:jc w:val="center"/>
              <w:rPr>
                <w:rFonts w:asciiTheme="majorBidi" w:hAnsiTheme="majorBidi" w:cstheme="majorBidi"/>
              </w:rPr>
            </w:pPr>
            <w:r w:rsidRPr="00ED1B00">
              <w:rPr>
                <w:rFonts w:asciiTheme="majorBidi" w:hAnsiTheme="majorBidi" w:cstheme="majorBidi"/>
              </w:rPr>
              <w:t>—</w:t>
            </w:r>
          </w:p>
        </w:tc>
      </w:tr>
      <w:tr w:rsidR="006C6D9A" w:rsidRPr="00ED1B00" w14:paraId="10DF4EF1" w14:textId="77777777" w:rsidTr="001B4D38">
        <w:trPr>
          <w:trHeight w:val="441"/>
        </w:trPr>
        <w:tc>
          <w:tcPr>
            <w:tcW w:w="2604"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11A63A71" w14:textId="77777777" w:rsidR="006C6D9A" w:rsidRPr="00ED1B00" w:rsidRDefault="00A255F5">
            <w:pPr>
              <w:rPr>
                <w:rFonts w:asciiTheme="majorBidi" w:hAnsiTheme="majorBidi" w:cstheme="majorBidi"/>
              </w:rPr>
            </w:pPr>
            <w:r w:rsidRPr="00ED1B00">
              <w:rPr>
                <w:rFonts w:asciiTheme="majorBidi" w:hAnsiTheme="majorBidi" w:cstheme="majorBidi"/>
              </w:rPr>
              <w:t>SC</w:t>
            </w:r>
          </w:p>
        </w:tc>
        <w:tc>
          <w:tcPr>
            <w:tcW w:w="2093"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311CB115" w14:textId="77777777" w:rsidR="006C6D9A" w:rsidRPr="00ED1B00" w:rsidRDefault="00A255F5">
            <w:pPr>
              <w:jc w:val="center"/>
              <w:rPr>
                <w:rFonts w:asciiTheme="majorBidi" w:hAnsiTheme="majorBidi" w:cstheme="majorBidi"/>
              </w:rPr>
            </w:pPr>
            <w:r w:rsidRPr="00ED1B00">
              <w:rPr>
                <w:rFonts w:asciiTheme="majorBidi" w:hAnsiTheme="majorBidi" w:cstheme="majorBidi"/>
              </w:rPr>
              <w:t>0.713</w:t>
            </w:r>
          </w:p>
        </w:tc>
        <w:tc>
          <w:tcPr>
            <w:tcW w:w="1559"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34C236AA" w14:textId="77777777" w:rsidR="006C6D9A" w:rsidRPr="00ED1B00" w:rsidRDefault="00A255F5">
            <w:pPr>
              <w:jc w:val="center"/>
              <w:rPr>
                <w:rFonts w:asciiTheme="majorBidi" w:hAnsiTheme="majorBidi" w:cstheme="majorBidi"/>
              </w:rPr>
            </w:pPr>
            <w:r w:rsidRPr="00ED1B00">
              <w:rPr>
                <w:rFonts w:asciiTheme="majorBidi" w:hAnsiTheme="majorBidi" w:cstheme="majorBidi"/>
              </w:rPr>
              <w:t>0.452</w:t>
            </w:r>
          </w:p>
        </w:tc>
        <w:tc>
          <w:tcPr>
            <w:tcW w:w="1559"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19B7EEE7" w14:textId="77777777" w:rsidR="006C6D9A" w:rsidRPr="00ED1B00" w:rsidRDefault="00A255F5">
            <w:pPr>
              <w:jc w:val="center"/>
              <w:rPr>
                <w:rFonts w:asciiTheme="majorBidi" w:hAnsiTheme="majorBidi" w:cstheme="majorBidi"/>
              </w:rPr>
            </w:pPr>
            <w:r w:rsidRPr="00ED1B00">
              <w:rPr>
                <w:rFonts w:asciiTheme="majorBidi" w:hAnsiTheme="majorBidi" w:cstheme="majorBidi"/>
                <w:b/>
                <w:bCs/>
              </w:rPr>
              <w:t>0.860</w:t>
            </w:r>
          </w:p>
        </w:tc>
        <w:tc>
          <w:tcPr>
            <w:tcW w:w="1558"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4054D0E9" w14:textId="77777777" w:rsidR="006C6D9A" w:rsidRPr="00ED1B00" w:rsidRDefault="00A255F5">
            <w:pPr>
              <w:jc w:val="center"/>
              <w:rPr>
                <w:rFonts w:asciiTheme="majorBidi" w:hAnsiTheme="majorBidi" w:cstheme="majorBidi"/>
              </w:rPr>
            </w:pPr>
            <w:r w:rsidRPr="00ED1B00">
              <w:rPr>
                <w:rFonts w:asciiTheme="majorBidi" w:hAnsiTheme="majorBidi" w:cstheme="majorBidi"/>
              </w:rPr>
              <w:t>—</w:t>
            </w:r>
          </w:p>
        </w:tc>
      </w:tr>
      <w:tr w:rsidR="006C6D9A" w:rsidRPr="00ED1B00" w14:paraId="66B37CEC" w14:textId="77777777" w:rsidTr="001B4D38">
        <w:trPr>
          <w:trHeight w:val="416"/>
        </w:trPr>
        <w:tc>
          <w:tcPr>
            <w:tcW w:w="2604"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61E43449" w14:textId="77777777" w:rsidR="006C6D9A" w:rsidRPr="00ED1B00" w:rsidRDefault="00A255F5">
            <w:pPr>
              <w:rPr>
                <w:rFonts w:asciiTheme="majorBidi" w:hAnsiTheme="majorBidi" w:cstheme="majorBidi"/>
              </w:rPr>
            </w:pPr>
            <w:r w:rsidRPr="00ED1B00">
              <w:rPr>
                <w:rFonts w:asciiTheme="majorBidi" w:hAnsiTheme="majorBidi" w:cstheme="majorBidi"/>
              </w:rPr>
              <w:t>SR</w:t>
            </w:r>
          </w:p>
        </w:tc>
        <w:tc>
          <w:tcPr>
            <w:tcW w:w="2093"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0AB6D254" w14:textId="77777777" w:rsidR="006C6D9A" w:rsidRPr="00ED1B00" w:rsidRDefault="00A255F5">
            <w:pPr>
              <w:jc w:val="center"/>
              <w:rPr>
                <w:rFonts w:asciiTheme="majorBidi" w:hAnsiTheme="majorBidi" w:cstheme="majorBidi"/>
              </w:rPr>
            </w:pPr>
            <w:r w:rsidRPr="00ED1B00">
              <w:rPr>
                <w:rFonts w:asciiTheme="majorBidi" w:hAnsiTheme="majorBidi" w:cstheme="majorBidi"/>
              </w:rPr>
              <w:t>0.760</w:t>
            </w:r>
          </w:p>
        </w:tc>
        <w:tc>
          <w:tcPr>
            <w:tcW w:w="1559"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22AF9305" w14:textId="77777777" w:rsidR="006C6D9A" w:rsidRPr="00ED1B00" w:rsidRDefault="00A255F5">
            <w:pPr>
              <w:jc w:val="center"/>
              <w:rPr>
                <w:rFonts w:asciiTheme="majorBidi" w:hAnsiTheme="majorBidi" w:cstheme="majorBidi"/>
              </w:rPr>
            </w:pPr>
            <w:r w:rsidRPr="00ED1B00">
              <w:rPr>
                <w:rFonts w:asciiTheme="majorBidi" w:hAnsiTheme="majorBidi" w:cstheme="majorBidi"/>
              </w:rPr>
              <w:t>0.654</w:t>
            </w:r>
          </w:p>
        </w:tc>
        <w:tc>
          <w:tcPr>
            <w:tcW w:w="1559"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44A7EAA0" w14:textId="77777777" w:rsidR="006C6D9A" w:rsidRPr="00ED1B00" w:rsidRDefault="00A255F5">
            <w:pPr>
              <w:jc w:val="center"/>
              <w:rPr>
                <w:rFonts w:asciiTheme="majorBidi" w:hAnsiTheme="majorBidi" w:cstheme="majorBidi"/>
              </w:rPr>
            </w:pPr>
            <w:r w:rsidRPr="00ED1B00">
              <w:rPr>
                <w:rFonts w:asciiTheme="majorBidi" w:hAnsiTheme="majorBidi" w:cstheme="majorBidi"/>
              </w:rPr>
              <w:t>0.612</w:t>
            </w:r>
          </w:p>
        </w:tc>
        <w:tc>
          <w:tcPr>
            <w:tcW w:w="1558"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78E0E4B9" w14:textId="77777777" w:rsidR="006C6D9A" w:rsidRPr="00ED1B00" w:rsidRDefault="00A255F5">
            <w:pPr>
              <w:jc w:val="center"/>
              <w:rPr>
                <w:rFonts w:asciiTheme="majorBidi" w:hAnsiTheme="majorBidi" w:cstheme="majorBidi"/>
              </w:rPr>
            </w:pPr>
            <w:r w:rsidRPr="00ED1B00">
              <w:rPr>
                <w:rFonts w:asciiTheme="majorBidi" w:hAnsiTheme="majorBidi" w:cstheme="majorBidi"/>
                <w:b/>
                <w:bCs/>
              </w:rPr>
              <w:t>0.806</w:t>
            </w:r>
          </w:p>
        </w:tc>
      </w:tr>
    </w:tbl>
    <w:p w14:paraId="0ECC6359" w14:textId="4C7CAB0C" w:rsidR="006C6D9A" w:rsidRPr="00ED1B00" w:rsidRDefault="00A255F5">
      <w:pPr>
        <w:spacing w:before="60" w:after="160"/>
        <w:jc w:val="both"/>
        <w:rPr>
          <w:rFonts w:asciiTheme="majorBidi" w:hAnsiTheme="majorBidi" w:cstheme="majorBidi"/>
        </w:rPr>
      </w:pPr>
      <w:r w:rsidRPr="00ED1B00">
        <w:rPr>
          <w:rFonts w:asciiTheme="majorBidi" w:hAnsiTheme="majorBidi" w:cstheme="majorBidi"/>
          <w:i/>
          <w:iCs/>
          <w:color w:val="555555"/>
        </w:rPr>
        <w:t>Note. Bold diagonal values are the square root of AVE. Off-diagonal values are inter-construct correlations. JBP = Job Performance; SA = Self-Awareness; SC = Social Competence; SR = Self-Regulation.</w:t>
      </w:r>
    </w:p>
    <w:p w14:paraId="306583EF" w14:textId="77777777" w:rsidR="006C6D9A" w:rsidRPr="00ED1B00" w:rsidRDefault="00A255F5">
      <w:pPr>
        <w:pStyle w:val="Heading3"/>
        <w:rPr>
          <w:rFonts w:asciiTheme="majorBidi" w:hAnsiTheme="majorBidi" w:cstheme="majorBidi"/>
        </w:rPr>
      </w:pPr>
      <w:r w:rsidRPr="00ED1B00">
        <w:rPr>
          <w:rFonts w:asciiTheme="majorBidi" w:hAnsiTheme="majorBidi" w:cstheme="majorBidi"/>
        </w:rPr>
        <w:t>4.1.4 Common Method Bias</w:t>
      </w:r>
    </w:p>
    <w:p w14:paraId="41833B72" w14:textId="77777777"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Variance Inflation Factor (VIF) values for all indicators ranged from 1.269 (SR4) to 2.699 (SC3), all substantially below the conservative threshold of 3.3 recommended for PLS-SEM (Kock, 2015). These results indicate that common method bias does not constitute a significant threat to the validity of the study findings.</w:t>
      </w:r>
    </w:p>
    <w:p w14:paraId="628C5329" w14:textId="1C852EAD" w:rsidR="006C6D9A" w:rsidRPr="00ED1B00" w:rsidRDefault="00A255F5">
      <w:pPr>
        <w:pStyle w:val="Heading2"/>
        <w:rPr>
          <w:rFonts w:asciiTheme="majorBidi" w:hAnsiTheme="majorBidi" w:cstheme="majorBidi"/>
        </w:rPr>
      </w:pPr>
      <w:r w:rsidRPr="00ED1B00">
        <w:rPr>
          <w:rFonts w:asciiTheme="majorBidi" w:hAnsiTheme="majorBidi" w:cstheme="majorBidi"/>
        </w:rPr>
        <w:t>4.2 Structural Model Assessment</w:t>
      </w:r>
    </w:p>
    <w:p w14:paraId="3C5F486D" w14:textId="77777777" w:rsidR="006C6D9A" w:rsidRPr="00ED1B00" w:rsidRDefault="00A255F5">
      <w:pPr>
        <w:pStyle w:val="Heading3"/>
        <w:rPr>
          <w:rFonts w:asciiTheme="majorBidi" w:hAnsiTheme="majorBidi" w:cstheme="majorBidi"/>
        </w:rPr>
      </w:pPr>
      <w:r w:rsidRPr="00ED1B00">
        <w:rPr>
          <w:rFonts w:asciiTheme="majorBidi" w:hAnsiTheme="majorBidi" w:cstheme="majorBidi"/>
        </w:rPr>
        <w:t>4.2.1 Explanatory Power</w:t>
      </w:r>
    </w:p>
    <w:p w14:paraId="2E6A5318" w14:textId="1939E2E0"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The structural model explained 67.6% of the variance in job performance (R² = 0.676). According to Hair et al. (2019), R² values of 0.75, 0.50</w:t>
      </w:r>
      <w:r w:rsidR="005F260C">
        <w:rPr>
          <w:rFonts w:asciiTheme="majorBidi" w:hAnsiTheme="majorBidi" w:cstheme="majorBidi"/>
        </w:rPr>
        <w:t xml:space="preserve"> and</w:t>
      </w:r>
      <w:r w:rsidRPr="00ED1B00">
        <w:rPr>
          <w:rFonts w:asciiTheme="majorBidi" w:hAnsiTheme="majorBidi" w:cstheme="majorBidi"/>
        </w:rPr>
        <w:t xml:space="preserve"> 0.25 are considered substantial, moderate</w:t>
      </w:r>
      <w:r w:rsidR="005F260C">
        <w:rPr>
          <w:rFonts w:asciiTheme="majorBidi" w:hAnsiTheme="majorBidi" w:cstheme="majorBidi"/>
        </w:rPr>
        <w:t xml:space="preserve"> and</w:t>
      </w:r>
      <w:r w:rsidRPr="00ED1B00">
        <w:rPr>
          <w:rFonts w:asciiTheme="majorBidi" w:hAnsiTheme="majorBidi" w:cstheme="majorBidi"/>
        </w:rPr>
        <w:t xml:space="preserve"> weak, respectively. The obtained R² of 0.676 approaches the substantial threshold, indicating that the three EI dimensions collectively constitute highly meaningful predictors of academic staff job performance in this context.</w:t>
      </w:r>
    </w:p>
    <w:p w14:paraId="54F4A4E1" w14:textId="77777777" w:rsidR="001B4D38" w:rsidRDefault="001B4D38">
      <w:pPr>
        <w:pStyle w:val="Heading3"/>
        <w:rPr>
          <w:rFonts w:asciiTheme="majorBidi" w:hAnsiTheme="majorBidi" w:cstheme="majorBidi"/>
        </w:rPr>
      </w:pPr>
    </w:p>
    <w:p w14:paraId="134BFE77" w14:textId="77777777" w:rsidR="001B4D38" w:rsidRDefault="001B4D38">
      <w:pPr>
        <w:pStyle w:val="Heading3"/>
        <w:rPr>
          <w:rFonts w:asciiTheme="majorBidi" w:hAnsiTheme="majorBidi" w:cstheme="majorBidi"/>
        </w:rPr>
      </w:pPr>
    </w:p>
    <w:p w14:paraId="40027CDC" w14:textId="48662FFE" w:rsidR="006C6D9A" w:rsidRPr="00ED1B00" w:rsidRDefault="00A255F5">
      <w:pPr>
        <w:pStyle w:val="Heading3"/>
        <w:rPr>
          <w:rFonts w:asciiTheme="majorBidi" w:hAnsiTheme="majorBidi" w:cstheme="majorBidi"/>
        </w:rPr>
      </w:pPr>
      <w:r w:rsidRPr="00ED1B00">
        <w:rPr>
          <w:rFonts w:asciiTheme="majorBidi" w:hAnsiTheme="majorBidi" w:cstheme="majorBidi"/>
        </w:rPr>
        <w:t>4.2.2 Hypothesis Testing</w:t>
      </w:r>
    </w:p>
    <w:p w14:paraId="41AC31E4" w14:textId="1C1F92E3" w:rsidR="001B4D38" w:rsidRPr="001B4D38" w:rsidRDefault="00A255F5" w:rsidP="001B4D38">
      <w:pPr>
        <w:spacing w:after="160" w:line="360" w:lineRule="auto"/>
        <w:jc w:val="both"/>
        <w:rPr>
          <w:rFonts w:asciiTheme="majorBidi" w:hAnsiTheme="majorBidi" w:cstheme="majorBidi"/>
        </w:rPr>
      </w:pPr>
      <w:r w:rsidRPr="00ED1B00">
        <w:rPr>
          <w:rFonts w:asciiTheme="majorBidi" w:hAnsiTheme="majorBidi" w:cstheme="majorBidi"/>
        </w:rPr>
        <w:t>Table 4 presents the path coefficients, standard deviations, T-statistics</w:t>
      </w:r>
      <w:r w:rsidR="005F260C">
        <w:rPr>
          <w:rFonts w:asciiTheme="majorBidi" w:hAnsiTheme="majorBidi" w:cstheme="majorBidi"/>
        </w:rPr>
        <w:t xml:space="preserve"> and</w:t>
      </w:r>
      <w:r w:rsidRPr="00ED1B00">
        <w:rPr>
          <w:rFonts w:asciiTheme="majorBidi" w:hAnsiTheme="majorBidi" w:cstheme="majorBidi"/>
        </w:rPr>
        <w:t xml:space="preserve"> p-values derived from PLS bootstrapping with 5,000 resamples. Figure </w:t>
      </w:r>
      <w:r w:rsidR="00F158CE">
        <w:rPr>
          <w:rFonts w:asciiTheme="majorBidi" w:hAnsiTheme="majorBidi" w:cstheme="majorBidi"/>
        </w:rPr>
        <w:t>2</w:t>
      </w:r>
      <w:r w:rsidRPr="00ED1B00">
        <w:rPr>
          <w:rFonts w:asciiTheme="majorBidi" w:hAnsiTheme="majorBidi" w:cstheme="majorBidi"/>
        </w:rPr>
        <w:t xml:space="preserve"> illustrates the complete PLS-SEM path diagram.</w:t>
      </w:r>
    </w:p>
    <w:p w14:paraId="49963196" w14:textId="33444F69" w:rsidR="006C6D9A" w:rsidRPr="00ED1B00" w:rsidRDefault="00A255F5" w:rsidP="006F7E5C">
      <w:pPr>
        <w:spacing w:after="80"/>
        <w:rPr>
          <w:rFonts w:asciiTheme="majorBidi" w:hAnsiTheme="majorBidi" w:cstheme="majorBidi"/>
        </w:rPr>
      </w:pPr>
      <w:r w:rsidRPr="00ED1B00">
        <w:rPr>
          <w:rFonts w:asciiTheme="majorBidi" w:hAnsiTheme="majorBidi" w:cstheme="majorBidi"/>
          <w:b/>
          <w:bCs/>
          <w:i/>
          <w:iCs/>
        </w:rPr>
        <w:t>Table 4</w:t>
      </w:r>
      <w:r w:rsidR="00F158CE">
        <w:rPr>
          <w:rFonts w:asciiTheme="majorBidi" w:hAnsiTheme="majorBidi" w:cstheme="majorBidi"/>
        </w:rPr>
        <w:t xml:space="preserve">. </w:t>
      </w:r>
      <w:r w:rsidRPr="00ED1B00">
        <w:rPr>
          <w:rFonts w:asciiTheme="majorBidi" w:hAnsiTheme="majorBidi" w:cstheme="majorBidi"/>
          <w:b/>
          <w:bCs/>
        </w:rPr>
        <w:t>Structural Model Results: Path Coefficients and Hypothesis Testing</w:t>
      </w:r>
    </w:p>
    <w:tbl>
      <w:tblPr>
        <w:tblStyle w:val="a2"/>
        <w:tblW w:w="93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1421"/>
        <w:gridCol w:w="1137"/>
        <w:gridCol w:w="1280"/>
        <w:gridCol w:w="1137"/>
        <w:gridCol w:w="1137"/>
        <w:gridCol w:w="1137"/>
        <w:gridCol w:w="1145"/>
      </w:tblGrid>
      <w:tr w:rsidR="00DB5803" w:rsidRPr="00ED1B00" w14:paraId="0D05897C" w14:textId="77777777" w:rsidTr="001B4D38">
        <w:trPr>
          <w:trHeight w:val="641"/>
        </w:trPr>
        <w:tc>
          <w:tcPr>
            <w:tcW w:w="990"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21F932CB" w14:textId="351B61B4" w:rsidR="006C6D9A" w:rsidRPr="00ED1B00" w:rsidRDefault="00A255F5">
            <w:pPr>
              <w:jc w:val="center"/>
              <w:rPr>
                <w:rFonts w:asciiTheme="majorBidi" w:hAnsiTheme="majorBidi" w:cstheme="majorBidi"/>
              </w:rPr>
            </w:pPr>
            <w:proofErr w:type="spellStart"/>
            <w:r w:rsidRPr="00ED1B00">
              <w:rPr>
                <w:rFonts w:asciiTheme="majorBidi" w:hAnsiTheme="majorBidi" w:cstheme="majorBidi"/>
                <w:b/>
                <w:bCs/>
                <w:color w:val="FFFFFF"/>
              </w:rPr>
              <w:t>H</w:t>
            </w:r>
            <w:r w:rsidR="00DB5803">
              <w:rPr>
                <w:rFonts w:asciiTheme="majorBidi" w:hAnsiTheme="majorBidi" w:cstheme="majorBidi"/>
                <w:b/>
                <w:bCs/>
                <w:color w:val="FFFFFF"/>
              </w:rPr>
              <w:t>yp</w:t>
            </w:r>
            <w:proofErr w:type="spellEnd"/>
            <w:r w:rsidR="00DB5803">
              <w:rPr>
                <w:rFonts w:asciiTheme="majorBidi" w:hAnsiTheme="majorBidi" w:cstheme="majorBidi"/>
                <w:b/>
                <w:bCs/>
                <w:color w:val="FFFFFF"/>
              </w:rPr>
              <w:t>.</w:t>
            </w:r>
          </w:p>
        </w:tc>
        <w:tc>
          <w:tcPr>
            <w:tcW w:w="1421"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701E4D6A"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Path</w:t>
            </w:r>
          </w:p>
        </w:tc>
        <w:tc>
          <w:tcPr>
            <w:tcW w:w="1137"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558CDA23" w14:textId="3CF55D5E"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 xml:space="preserve">β </w:t>
            </w:r>
          </w:p>
        </w:tc>
        <w:tc>
          <w:tcPr>
            <w:tcW w:w="1280"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179949A8"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Mean (M)</w:t>
            </w:r>
          </w:p>
        </w:tc>
        <w:tc>
          <w:tcPr>
            <w:tcW w:w="1137"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6EAB7CCF" w14:textId="768016F8"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ST</w:t>
            </w:r>
            <w:r w:rsidR="00DB5803">
              <w:rPr>
                <w:rFonts w:asciiTheme="majorBidi" w:hAnsiTheme="majorBidi" w:cstheme="majorBidi"/>
                <w:b/>
                <w:bCs/>
                <w:color w:val="FFFFFF"/>
              </w:rPr>
              <w:t>.</w:t>
            </w:r>
            <w:r w:rsidRPr="00ED1B00">
              <w:rPr>
                <w:rFonts w:asciiTheme="majorBidi" w:hAnsiTheme="majorBidi" w:cstheme="majorBidi"/>
                <w:b/>
                <w:bCs/>
                <w:color w:val="FFFFFF"/>
              </w:rPr>
              <w:t>DEV</w:t>
            </w:r>
          </w:p>
        </w:tc>
        <w:tc>
          <w:tcPr>
            <w:tcW w:w="1137"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43DFF5AE"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T-Stat</w:t>
            </w:r>
          </w:p>
        </w:tc>
        <w:tc>
          <w:tcPr>
            <w:tcW w:w="1137"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01E0DE05"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p-Value</w:t>
            </w:r>
          </w:p>
        </w:tc>
        <w:tc>
          <w:tcPr>
            <w:tcW w:w="1145" w:type="dxa"/>
            <w:tcBorders>
              <w:top w:val="single" w:sz="4" w:space="0" w:color="999999"/>
              <w:left w:val="single" w:sz="4" w:space="0" w:color="999999"/>
              <w:bottom w:val="single" w:sz="4" w:space="0" w:color="999999"/>
              <w:right w:val="single" w:sz="4" w:space="0" w:color="999999"/>
            </w:tcBorders>
            <w:shd w:val="clear" w:color="auto" w:fill="2C2C2C"/>
            <w:tcMar>
              <w:top w:w="80" w:type="dxa"/>
              <w:left w:w="120" w:type="dxa"/>
              <w:bottom w:w="80" w:type="dxa"/>
              <w:right w:w="120" w:type="dxa"/>
            </w:tcMar>
            <w:vAlign w:val="center"/>
          </w:tcPr>
          <w:p w14:paraId="2AB21612" w14:textId="77777777" w:rsidR="006C6D9A" w:rsidRPr="00ED1B00" w:rsidRDefault="00A255F5">
            <w:pPr>
              <w:jc w:val="center"/>
              <w:rPr>
                <w:rFonts w:asciiTheme="majorBidi" w:hAnsiTheme="majorBidi" w:cstheme="majorBidi"/>
              </w:rPr>
            </w:pPr>
            <w:r w:rsidRPr="00ED1B00">
              <w:rPr>
                <w:rFonts w:asciiTheme="majorBidi" w:hAnsiTheme="majorBidi" w:cstheme="majorBidi"/>
                <w:b/>
                <w:bCs/>
                <w:color w:val="FFFFFF"/>
              </w:rPr>
              <w:t>Decision</w:t>
            </w:r>
          </w:p>
        </w:tc>
      </w:tr>
      <w:tr w:rsidR="00DB5803" w:rsidRPr="00ED1B00" w14:paraId="31017C6B" w14:textId="77777777" w:rsidTr="001B4D38">
        <w:trPr>
          <w:trHeight w:val="716"/>
        </w:trPr>
        <w:tc>
          <w:tcPr>
            <w:tcW w:w="990"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28781577" w14:textId="77777777" w:rsidR="006C6D9A" w:rsidRPr="00ED1B00" w:rsidRDefault="00A255F5">
            <w:pPr>
              <w:jc w:val="center"/>
              <w:rPr>
                <w:rFonts w:asciiTheme="majorBidi" w:hAnsiTheme="majorBidi" w:cstheme="majorBidi"/>
              </w:rPr>
            </w:pPr>
            <w:r w:rsidRPr="00ED1B00">
              <w:rPr>
                <w:rFonts w:asciiTheme="majorBidi" w:hAnsiTheme="majorBidi" w:cstheme="majorBidi"/>
              </w:rPr>
              <w:t>H1</w:t>
            </w:r>
          </w:p>
        </w:tc>
        <w:tc>
          <w:tcPr>
            <w:tcW w:w="1421"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21DC51A5" w14:textId="77777777" w:rsidR="006C6D9A" w:rsidRPr="00ED1B00" w:rsidRDefault="00F158CE">
            <w:pPr>
              <w:rPr>
                <w:rFonts w:asciiTheme="majorBidi" w:hAnsiTheme="majorBidi" w:cstheme="majorBidi"/>
              </w:rPr>
            </w:pPr>
            <w:sdt>
              <w:sdtPr>
                <w:rPr>
                  <w:rFonts w:asciiTheme="majorBidi" w:hAnsiTheme="majorBidi" w:cstheme="majorBidi"/>
                </w:rPr>
                <w:tag w:val="goog_rdk_1"/>
                <w:id w:val="-752879789"/>
              </w:sdtPr>
              <w:sdtEndPr/>
              <w:sdtContent>
                <w:r w:rsidR="00A255F5" w:rsidRPr="00ED1B00">
                  <w:rPr>
                    <w:rFonts w:asciiTheme="majorBidi" w:eastAsia="Cardo" w:hAnsiTheme="majorBidi" w:cstheme="majorBidi"/>
                  </w:rPr>
                  <w:t>SA → JBP</w:t>
                </w:r>
              </w:sdtContent>
            </w:sdt>
          </w:p>
        </w:tc>
        <w:tc>
          <w:tcPr>
            <w:tcW w:w="1137"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1C34F17F" w14:textId="77777777" w:rsidR="006C6D9A" w:rsidRPr="00ED1B00" w:rsidRDefault="00A255F5">
            <w:pPr>
              <w:jc w:val="center"/>
              <w:rPr>
                <w:rFonts w:asciiTheme="majorBidi" w:hAnsiTheme="majorBidi" w:cstheme="majorBidi"/>
              </w:rPr>
            </w:pPr>
            <w:r w:rsidRPr="00ED1B00">
              <w:rPr>
                <w:rFonts w:asciiTheme="majorBidi" w:hAnsiTheme="majorBidi" w:cstheme="majorBidi"/>
              </w:rPr>
              <w:t>0.232</w:t>
            </w:r>
          </w:p>
        </w:tc>
        <w:tc>
          <w:tcPr>
            <w:tcW w:w="1280"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362164B6" w14:textId="77777777" w:rsidR="006C6D9A" w:rsidRPr="00ED1B00" w:rsidRDefault="00A255F5">
            <w:pPr>
              <w:jc w:val="center"/>
              <w:rPr>
                <w:rFonts w:asciiTheme="majorBidi" w:hAnsiTheme="majorBidi" w:cstheme="majorBidi"/>
              </w:rPr>
            </w:pPr>
            <w:r w:rsidRPr="00ED1B00">
              <w:rPr>
                <w:rFonts w:asciiTheme="majorBidi" w:hAnsiTheme="majorBidi" w:cstheme="majorBidi"/>
              </w:rPr>
              <w:t>0.236</w:t>
            </w:r>
          </w:p>
        </w:tc>
        <w:tc>
          <w:tcPr>
            <w:tcW w:w="1137"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3A217036" w14:textId="77777777" w:rsidR="006C6D9A" w:rsidRPr="00ED1B00" w:rsidRDefault="00A255F5">
            <w:pPr>
              <w:jc w:val="center"/>
              <w:rPr>
                <w:rFonts w:asciiTheme="majorBidi" w:hAnsiTheme="majorBidi" w:cstheme="majorBidi"/>
              </w:rPr>
            </w:pPr>
            <w:r w:rsidRPr="00ED1B00">
              <w:rPr>
                <w:rFonts w:asciiTheme="majorBidi" w:hAnsiTheme="majorBidi" w:cstheme="majorBidi"/>
              </w:rPr>
              <w:t>0.106</w:t>
            </w:r>
          </w:p>
        </w:tc>
        <w:tc>
          <w:tcPr>
            <w:tcW w:w="1137"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2FDA9625" w14:textId="77777777" w:rsidR="006C6D9A" w:rsidRPr="00ED1B00" w:rsidRDefault="00A255F5">
            <w:pPr>
              <w:jc w:val="center"/>
              <w:rPr>
                <w:rFonts w:asciiTheme="majorBidi" w:hAnsiTheme="majorBidi" w:cstheme="majorBidi"/>
              </w:rPr>
            </w:pPr>
            <w:r w:rsidRPr="00ED1B00">
              <w:rPr>
                <w:rFonts w:asciiTheme="majorBidi" w:hAnsiTheme="majorBidi" w:cstheme="majorBidi"/>
              </w:rPr>
              <w:t>2.189</w:t>
            </w:r>
          </w:p>
        </w:tc>
        <w:tc>
          <w:tcPr>
            <w:tcW w:w="1137"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6FBECAB4" w14:textId="67BE39D8" w:rsidR="006C6D9A" w:rsidRPr="00ED1B00" w:rsidRDefault="00A255F5">
            <w:pPr>
              <w:jc w:val="center"/>
              <w:rPr>
                <w:rFonts w:asciiTheme="majorBidi" w:hAnsiTheme="majorBidi" w:cstheme="majorBidi"/>
              </w:rPr>
            </w:pPr>
            <w:r w:rsidRPr="00ED1B00">
              <w:rPr>
                <w:rFonts w:asciiTheme="majorBidi" w:hAnsiTheme="majorBidi" w:cstheme="majorBidi"/>
              </w:rPr>
              <w:t>0.000</w:t>
            </w:r>
          </w:p>
        </w:tc>
        <w:tc>
          <w:tcPr>
            <w:tcW w:w="1145"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05733D40" w14:textId="77777777" w:rsidR="006C6D9A" w:rsidRPr="00ED1B00" w:rsidRDefault="00F158CE">
            <w:pPr>
              <w:jc w:val="center"/>
              <w:rPr>
                <w:rFonts w:asciiTheme="majorBidi" w:hAnsiTheme="majorBidi" w:cstheme="majorBidi"/>
              </w:rPr>
            </w:pPr>
            <w:sdt>
              <w:sdtPr>
                <w:rPr>
                  <w:rFonts w:asciiTheme="majorBidi" w:hAnsiTheme="majorBidi" w:cstheme="majorBidi"/>
                </w:rPr>
                <w:tag w:val="goog_rdk_2"/>
                <w:id w:val="1995583528"/>
              </w:sdtPr>
              <w:sdtEndPr/>
              <w:sdtContent>
                <w:r w:rsidR="00A255F5" w:rsidRPr="00ED1B00">
                  <w:rPr>
                    <w:rFonts w:ascii="Segoe UI Symbol" w:eastAsia="Arial Unicode MS" w:hAnsi="Segoe UI Symbol" w:cs="Segoe UI Symbol"/>
                    <w:b/>
                    <w:bCs/>
                  </w:rPr>
                  <w:t>✓</w:t>
                </w:r>
              </w:sdtContent>
            </w:sdt>
          </w:p>
        </w:tc>
      </w:tr>
      <w:tr w:rsidR="00DB5803" w:rsidRPr="00ED1B00" w14:paraId="5B7FF817" w14:textId="77777777" w:rsidTr="001B4D38">
        <w:trPr>
          <w:trHeight w:val="755"/>
        </w:trPr>
        <w:tc>
          <w:tcPr>
            <w:tcW w:w="990"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210EE93E" w14:textId="77777777" w:rsidR="006C6D9A" w:rsidRPr="00ED1B00" w:rsidRDefault="00A255F5">
            <w:pPr>
              <w:jc w:val="center"/>
              <w:rPr>
                <w:rFonts w:asciiTheme="majorBidi" w:hAnsiTheme="majorBidi" w:cstheme="majorBidi"/>
              </w:rPr>
            </w:pPr>
            <w:r w:rsidRPr="00ED1B00">
              <w:rPr>
                <w:rFonts w:asciiTheme="majorBidi" w:hAnsiTheme="majorBidi" w:cstheme="majorBidi"/>
              </w:rPr>
              <w:t>H2</w:t>
            </w:r>
          </w:p>
        </w:tc>
        <w:tc>
          <w:tcPr>
            <w:tcW w:w="1421"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5416B73B" w14:textId="77777777" w:rsidR="006C6D9A" w:rsidRPr="00ED1B00" w:rsidRDefault="00F158CE">
            <w:pPr>
              <w:rPr>
                <w:rFonts w:asciiTheme="majorBidi" w:hAnsiTheme="majorBidi" w:cstheme="majorBidi"/>
              </w:rPr>
            </w:pPr>
            <w:sdt>
              <w:sdtPr>
                <w:rPr>
                  <w:rFonts w:asciiTheme="majorBidi" w:hAnsiTheme="majorBidi" w:cstheme="majorBidi"/>
                </w:rPr>
                <w:tag w:val="goog_rdk_3"/>
                <w:id w:val="1866867469"/>
              </w:sdtPr>
              <w:sdtEndPr/>
              <w:sdtContent>
                <w:r w:rsidR="00A255F5" w:rsidRPr="00ED1B00">
                  <w:rPr>
                    <w:rFonts w:asciiTheme="majorBidi" w:eastAsia="Cardo" w:hAnsiTheme="majorBidi" w:cstheme="majorBidi"/>
                  </w:rPr>
                  <w:t>SR → JBP</w:t>
                </w:r>
              </w:sdtContent>
            </w:sdt>
          </w:p>
        </w:tc>
        <w:tc>
          <w:tcPr>
            <w:tcW w:w="1137"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068025C2" w14:textId="77777777" w:rsidR="006C6D9A" w:rsidRPr="00ED1B00" w:rsidRDefault="00A255F5">
            <w:pPr>
              <w:jc w:val="center"/>
              <w:rPr>
                <w:rFonts w:asciiTheme="majorBidi" w:hAnsiTheme="majorBidi" w:cstheme="majorBidi"/>
              </w:rPr>
            </w:pPr>
            <w:r w:rsidRPr="00ED1B00">
              <w:rPr>
                <w:rFonts w:asciiTheme="majorBidi" w:hAnsiTheme="majorBidi" w:cstheme="majorBidi"/>
              </w:rPr>
              <w:t>0.488</w:t>
            </w:r>
          </w:p>
        </w:tc>
        <w:tc>
          <w:tcPr>
            <w:tcW w:w="1280"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7D353659" w14:textId="77777777" w:rsidR="006C6D9A" w:rsidRPr="00ED1B00" w:rsidRDefault="00A255F5">
            <w:pPr>
              <w:jc w:val="center"/>
              <w:rPr>
                <w:rFonts w:asciiTheme="majorBidi" w:hAnsiTheme="majorBidi" w:cstheme="majorBidi"/>
              </w:rPr>
            </w:pPr>
            <w:r w:rsidRPr="00ED1B00">
              <w:rPr>
                <w:rFonts w:asciiTheme="majorBidi" w:hAnsiTheme="majorBidi" w:cstheme="majorBidi"/>
              </w:rPr>
              <w:t>0.488</w:t>
            </w:r>
          </w:p>
        </w:tc>
        <w:tc>
          <w:tcPr>
            <w:tcW w:w="1137"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7D730158" w14:textId="77777777" w:rsidR="006C6D9A" w:rsidRPr="00ED1B00" w:rsidRDefault="00A255F5">
            <w:pPr>
              <w:jc w:val="center"/>
              <w:rPr>
                <w:rFonts w:asciiTheme="majorBidi" w:hAnsiTheme="majorBidi" w:cstheme="majorBidi"/>
              </w:rPr>
            </w:pPr>
            <w:r w:rsidRPr="00ED1B00">
              <w:rPr>
                <w:rFonts w:asciiTheme="majorBidi" w:hAnsiTheme="majorBidi" w:cstheme="majorBidi"/>
              </w:rPr>
              <w:t>0.115</w:t>
            </w:r>
          </w:p>
        </w:tc>
        <w:tc>
          <w:tcPr>
            <w:tcW w:w="1137"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4007877A" w14:textId="77777777" w:rsidR="006C6D9A" w:rsidRPr="00ED1B00" w:rsidRDefault="00A255F5">
            <w:pPr>
              <w:jc w:val="center"/>
              <w:rPr>
                <w:rFonts w:asciiTheme="majorBidi" w:hAnsiTheme="majorBidi" w:cstheme="majorBidi"/>
              </w:rPr>
            </w:pPr>
            <w:r w:rsidRPr="00ED1B00">
              <w:rPr>
                <w:rFonts w:asciiTheme="majorBidi" w:hAnsiTheme="majorBidi" w:cstheme="majorBidi"/>
              </w:rPr>
              <w:t>4.259</w:t>
            </w:r>
          </w:p>
        </w:tc>
        <w:tc>
          <w:tcPr>
            <w:tcW w:w="1137"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7BE52C8E" w14:textId="38F314A0" w:rsidR="006C6D9A" w:rsidRPr="00ED1B00" w:rsidRDefault="00A255F5">
            <w:pPr>
              <w:jc w:val="center"/>
              <w:rPr>
                <w:rFonts w:asciiTheme="majorBidi" w:hAnsiTheme="majorBidi" w:cstheme="majorBidi"/>
              </w:rPr>
            </w:pPr>
            <w:r w:rsidRPr="00ED1B00">
              <w:rPr>
                <w:rFonts w:asciiTheme="majorBidi" w:hAnsiTheme="majorBidi" w:cstheme="majorBidi"/>
              </w:rPr>
              <w:t>0.000</w:t>
            </w:r>
          </w:p>
        </w:tc>
        <w:tc>
          <w:tcPr>
            <w:tcW w:w="1145" w:type="dxa"/>
            <w:tcBorders>
              <w:top w:val="single" w:sz="4" w:space="0" w:color="999999"/>
              <w:left w:val="single" w:sz="4" w:space="0" w:color="999999"/>
              <w:bottom w:val="single" w:sz="4" w:space="0" w:color="999999"/>
              <w:right w:val="single" w:sz="4" w:space="0" w:color="999999"/>
            </w:tcBorders>
            <w:shd w:val="clear" w:color="auto" w:fill="F2F2F2"/>
            <w:tcMar>
              <w:top w:w="70" w:type="dxa"/>
              <w:left w:w="120" w:type="dxa"/>
              <w:bottom w:w="70" w:type="dxa"/>
              <w:right w:w="120" w:type="dxa"/>
            </w:tcMar>
            <w:vAlign w:val="center"/>
          </w:tcPr>
          <w:p w14:paraId="21EB509A" w14:textId="77777777" w:rsidR="006C6D9A" w:rsidRPr="00ED1B00" w:rsidRDefault="00F158CE">
            <w:pPr>
              <w:jc w:val="center"/>
              <w:rPr>
                <w:rFonts w:asciiTheme="majorBidi" w:hAnsiTheme="majorBidi" w:cstheme="majorBidi"/>
              </w:rPr>
            </w:pPr>
            <w:sdt>
              <w:sdtPr>
                <w:rPr>
                  <w:rFonts w:asciiTheme="majorBidi" w:hAnsiTheme="majorBidi" w:cstheme="majorBidi"/>
                </w:rPr>
                <w:tag w:val="goog_rdk_4"/>
                <w:id w:val="1339512362"/>
              </w:sdtPr>
              <w:sdtEndPr/>
              <w:sdtContent>
                <w:r w:rsidR="00A255F5" w:rsidRPr="00ED1B00">
                  <w:rPr>
                    <w:rFonts w:ascii="Segoe UI Symbol" w:eastAsia="Arial Unicode MS" w:hAnsi="Segoe UI Symbol" w:cs="Segoe UI Symbol"/>
                    <w:b/>
                    <w:bCs/>
                  </w:rPr>
                  <w:t>✓</w:t>
                </w:r>
              </w:sdtContent>
            </w:sdt>
          </w:p>
        </w:tc>
      </w:tr>
      <w:tr w:rsidR="00DB5803" w:rsidRPr="00ED1B00" w14:paraId="346EE3B1" w14:textId="77777777" w:rsidTr="001B4D38">
        <w:trPr>
          <w:trHeight w:val="716"/>
        </w:trPr>
        <w:tc>
          <w:tcPr>
            <w:tcW w:w="990"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575D6385" w14:textId="77777777" w:rsidR="006C6D9A" w:rsidRPr="00ED1B00" w:rsidRDefault="00A255F5">
            <w:pPr>
              <w:jc w:val="center"/>
              <w:rPr>
                <w:rFonts w:asciiTheme="majorBidi" w:hAnsiTheme="majorBidi" w:cstheme="majorBidi"/>
              </w:rPr>
            </w:pPr>
            <w:r w:rsidRPr="00ED1B00">
              <w:rPr>
                <w:rFonts w:asciiTheme="majorBidi" w:hAnsiTheme="majorBidi" w:cstheme="majorBidi"/>
              </w:rPr>
              <w:t>H3</w:t>
            </w:r>
          </w:p>
        </w:tc>
        <w:tc>
          <w:tcPr>
            <w:tcW w:w="1421"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34BFC500" w14:textId="77777777" w:rsidR="006C6D9A" w:rsidRPr="00ED1B00" w:rsidRDefault="00F158CE">
            <w:pPr>
              <w:rPr>
                <w:rFonts w:asciiTheme="majorBidi" w:hAnsiTheme="majorBidi" w:cstheme="majorBidi"/>
              </w:rPr>
            </w:pPr>
            <w:sdt>
              <w:sdtPr>
                <w:rPr>
                  <w:rFonts w:asciiTheme="majorBidi" w:hAnsiTheme="majorBidi" w:cstheme="majorBidi"/>
                </w:rPr>
                <w:tag w:val="goog_rdk_5"/>
                <w:id w:val="1641390643"/>
              </w:sdtPr>
              <w:sdtEndPr/>
              <w:sdtContent>
                <w:r w:rsidR="00A255F5" w:rsidRPr="00ED1B00">
                  <w:rPr>
                    <w:rFonts w:asciiTheme="majorBidi" w:eastAsia="Cardo" w:hAnsiTheme="majorBidi" w:cstheme="majorBidi"/>
                  </w:rPr>
                  <w:t>SC → JBP</w:t>
                </w:r>
              </w:sdtContent>
            </w:sdt>
          </w:p>
        </w:tc>
        <w:tc>
          <w:tcPr>
            <w:tcW w:w="1137"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3BF5691E" w14:textId="77777777" w:rsidR="006C6D9A" w:rsidRPr="00ED1B00" w:rsidRDefault="00A255F5">
            <w:pPr>
              <w:jc w:val="center"/>
              <w:rPr>
                <w:rFonts w:asciiTheme="majorBidi" w:hAnsiTheme="majorBidi" w:cstheme="majorBidi"/>
              </w:rPr>
            </w:pPr>
            <w:r w:rsidRPr="00ED1B00">
              <w:rPr>
                <w:rFonts w:asciiTheme="majorBidi" w:hAnsiTheme="majorBidi" w:cstheme="majorBidi"/>
              </w:rPr>
              <w:t>0.400</w:t>
            </w:r>
          </w:p>
        </w:tc>
        <w:tc>
          <w:tcPr>
            <w:tcW w:w="1280"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50CE6EC0" w14:textId="77777777" w:rsidR="006C6D9A" w:rsidRPr="00ED1B00" w:rsidRDefault="00A255F5">
            <w:pPr>
              <w:jc w:val="center"/>
              <w:rPr>
                <w:rFonts w:asciiTheme="majorBidi" w:hAnsiTheme="majorBidi" w:cstheme="majorBidi"/>
              </w:rPr>
            </w:pPr>
            <w:r w:rsidRPr="00ED1B00">
              <w:rPr>
                <w:rFonts w:asciiTheme="majorBidi" w:hAnsiTheme="majorBidi" w:cstheme="majorBidi"/>
              </w:rPr>
              <w:t>0.400</w:t>
            </w:r>
          </w:p>
        </w:tc>
        <w:tc>
          <w:tcPr>
            <w:tcW w:w="1137"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1A7BA733" w14:textId="77777777" w:rsidR="006C6D9A" w:rsidRPr="00ED1B00" w:rsidRDefault="00A255F5">
            <w:pPr>
              <w:jc w:val="center"/>
              <w:rPr>
                <w:rFonts w:asciiTheme="majorBidi" w:hAnsiTheme="majorBidi" w:cstheme="majorBidi"/>
              </w:rPr>
            </w:pPr>
            <w:r w:rsidRPr="00ED1B00">
              <w:rPr>
                <w:rFonts w:asciiTheme="majorBidi" w:hAnsiTheme="majorBidi" w:cstheme="majorBidi"/>
              </w:rPr>
              <w:t>0.063</w:t>
            </w:r>
          </w:p>
        </w:tc>
        <w:tc>
          <w:tcPr>
            <w:tcW w:w="1137"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14CA1524" w14:textId="77777777" w:rsidR="006C6D9A" w:rsidRPr="00ED1B00" w:rsidRDefault="00A255F5">
            <w:pPr>
              <w:jc w:val="center"/>
              <w:rPr>
                <w:rFonts w:asciiTheme="majorBidi" w:hAnsiTheme="majorBidi" w:cstheme="majorBidi"/>
              </w:rPr>
            </w:pPr>
            <w:r w:rsidRPr="00ED1B00">
              <w:rPr>
                <w:rFonts w:asciiTheme="majorBidi" w:hAnsiTheme="majorBidi" w:cstheme="majorBidi"/>
              </w:rPr>
              <w:t>6.346</w:t>
            </w:r>
          </w:p>
        </w:tc>
        <w:tc>
          <w:tcPr>
            <w:tcW w:w="1137"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2799AFBD" w14:textId="72B53C58" w:rsidR="006C6D9A" w:rsidRPr="00ED1B00" w:rsidRDefault="00A255F5">
            <w:pPr>
              <w:jc w:val="center"/>
              <w:rPr>
                <w:rFonts w:asciiTheme="majorBidi" w:hAnsiTheme="majorBidi" w:cstheme="majorBidi"/>
              </w:rPr>
            </w:pPr>
            <w:r w:rsidRPr="00ED1B00">
              <w:rPr>
                <w:rFonts w:asciiTheme="majorBidi" w:hAnsiTheme="majorBidi" w:cstheme="majorBidi"/>
              </w:rPr>
              <w:t>0.000</w:t>
            </w:r>
          </w:p>
        </w:tc>
        <w:tc>
          <w:tcPr>
            <w:tcW w:w="1145" w:type="dxa"/>
            <w:tcBorders>
              <w:top w:val="single" w:sz="4" w:space="0" w:color="999999"/>
              <w:left w:val="single" w:sz="4" w:space="0" w:color="999999"/>
              <w:bottom w:val="single" w:sz="4" w:space="0" w:color="999999"/>
              <w:right w:val="single" w:sz="4" w:space="0" w:color="999999"/>
            </w:tcBorders>
            <w:shd w:val="clear" w:color="auto" w:fill="FFFFFF"/>
            <w:tcMar>
              <w:top w:w="70" w:type="dxa"/>
              <w:left w:w="120" w:type="dxa"/>
              <w:bottom w:w="70" w:type="dxa"/>
              <w:right w:w="120" w:type="dxa"/>
            </w:tcMar>
            <w:vAlign w:val="center"/>
          </w:tcPr>
          <w:p w14:paraId="4DF7BF33" w14:textId="77777777" w:rsidR="006C6D9A" w:rsidRPr="00ED1B00" w:rsidRDefault="00F158CE">
            <w:pPr>
              <w:jc w:val="center"/>
              <w:rPr>
                <w:rFonts w:asciiTheme="majorBidi" w:hAnsiTheme="majorBidi" w:cstheme="majorBidi"/>
              </w:rPr>
            </w:pPr>
            <w:sdt>
              <w:sdtPr>
                <w:rPr>
                  <w:rFonts w:asciiTheme="majorBidi" w:hAnsiTheme="majorBidi" w:cstheme="majorBidi"/>
                </w:rPr>
                <w:tag w:val="goog_rdk_6"/>
                <w:id w:val="-1747632009"/>
              </w:sdtPr>
              <w:sdtEndPr/>
              <w:sdtContent>
                <w:r w:rsidR="00A255F5" w:rsidRPr="00ED1B00">
                  <w:rPr>
                    <w:rFonts w:ascii="Segoe UI Symbol" w:eastAsia="Arial Unicode MS" w:hAnsi="Segoe UI Symbol" w:cs="Segoe UI Symbol"/>
                    <w:b/>
                    <w:bCs/>
                  </w:rPr>
                  <w:t>✓</w:t>
                </w:r>
              </w:sdtContent>
            </w:sdt>
          </w:p>
        </w:tc>
      </w:tr>
    </w:tbl>
    <w:sdt>
      <w:sdtPr>
        <w:rPr>
          <w:rFonts w:asciiTheme="majorBidi" w:hAnsiTheme="majorBidi" w:cstheme="majorBidi"/>
        </w:rPr>
        <w:tag w:val="goog_rdk_7"/>
        <w:id w:val="1463744830"/>
      </w:sdtPr>
      <w:sdtEndPr/>
      <w:sdtContent>
        <w:p w14:paraId="10BB0D99" w14:textId="77777777" w:rsidR="006C3AEB" w:rsidRDefault="006C3AEB">
          <w:pPr>
            <w:spacing w:before="60" w:after="160"/>
            <w:jc w:val="both"/>
            <w:rPr>
              <w:rFonts w:asciiTheme="majorBidi" w:hAnsiTheme="majorBidi" w:cstheme="majorBidi"/>
            </w:rPr>
          </w:pPr>
        </w:p>
        <w:p w14:paraId="1D21C0D0" w14:textId="7CB04103" w:rsidR="006C6D9A" w:rsidRPr="00ED1B00" w:rsidRDefault="00A255F5">
          <w:pPr>
            <w:spacing w:before="60" w:after="160"/>
            <w:jc w:val="both"/>
            <w:rPr>
              <w:rFonts w:asciiTheme="majorBidi" w:hAnsiTheme="majorBidi" w:cstheme="majorBidi"/>
            </w:rPr>
          </w:pPr>
          <w:r w:rsidRPr="00ED1B00">
            <w:rPr>
              <w:rFonts w:asciiTheme="majorBidi" w:eastAsia="Arial Unicode MS" w:hAnsiTheme="majorBidi" w:cstheme="majorBidi"/>
              <w:i/>
              <w:iCs/>
              <w:color w:val="555555"/>
            </w:rPr>
            <w:t xml:space="preserve">Note. β (O) = original sample path coefficient; M = bootstrap sample mean; STDEV = bootstrap standard deviation; T-Stat = T-statistic (|O/STDEV|). </w:t>
          </w:r>
          <w:r w:rsidRPr="00ED1B00">
            <w:rPr>
              <w:rFonts w:ascii="Segoe UI Symbol" w:eastAsia="Arial Unicode MS" w:hAnsi="Segoe UI Symbol" w:cs="Segoe UI Symbol"/>
              <w:i/>
              <w:iCs/>
              <w:color w:val="555555"/>
            </w:rPr>
            <w:t>✓</w:t>
          </w:r>
          <w:r w:rsidRPr="00ED1B00">
            <w:rPr>
              <w:rFonts w:asciiTheme="majorBidi" w:eastAsia="Arial Unicode MS" w:hAnsiTheme="majorBidi" w:cstheme="majorBidi"/>
              <w:i/>
              <w:iCs/>
              <w:color w:val="555555"/>
            </w:rPr>
            <w:t xml:space="preserve"> = Hypothesis Supported. *** p &lt; 0.001. R² (JBP) = 0.676. SA = Self-Awareness; SR = Self-Regulation; SC = Social Competence; JBP = Job Performance.</w:t>
          </w:r>
        </w:p>
      </w:sdtContent>
    </w:sdt>
    <w:p w14:paraId="0B20C8BA" w14:textId="77777777" w:rsidR="006C6D9A" w:rsidRPr="00ED1B00" w:rsidRDefault="00A255F5">
      <w:pPr>
        <w:pStyle w:val="Heading3"/>
        <w:rPr>
          <w:rFonts w:asciiTheme="majorBidi" w:hAnsiTheme="majorBidi" w:cstheme="majorBidi"/>
        </w:rPr>
      </w:pPr>
      <w:r w:rsidRPr="00ED1B00">
        <w:rPr>
          <w:rFonts w:asciiTheme="majorBidi" w:hAnsiTheme="majorBidi" w:cstheme="majorBidi"/>
        </w:rPr>
        <w:t>4.2.3 Summary of Results</w:t>
      </w:r>
    </w:p>
    <w:p w14:paraId="25C9BB21" w14:textId="7810C105" w:rsidR="006C6D9A" w:rsidRPr="00ED1B00" w:rsidRDefault="00A255F5" w:rsidP="00DB5803">
      <w:pPr>
        <w:spacing w:after="160" w:line="360" w:lineRule="auto"/>
        <w:jc w:val="both"/>
        <w:rPr>
          <w:rFonts w:asciiTheme="majorBidi" w:hAnsiTheme="majorBidi" w:cstheme="majorBidi"/>
        </w:rPr>
      </w:pPr>
      <w:r w:rsidRPr="00ED1B00">
        <w:rPr>
          <w:rFonts w:asciiTheme="majorBidi" w:hAnsiTheme="majorBidi" w:cstheme="majorBidi"/>
        </w:rPr>
        <w:t>All three hypotheses are supported. Self-regulation (β = 0.488, T = 4.259, p &lt; 0.001) emerges as the strongest predictor of job performance, followed by social competence (β = 0.400, T = 6.346, p &lt; 0.001) and self-awareness (β = 0.232, T = 2.189, p &lt; 0.001). Together, these three EI dimensions account for 67.6% of the variance in job performance among academic staff in higher education in Jammu and Kashmir.</w:t>
      </w:r>
      <w:r w:rsidRPr="00ED1B00">
        <w:rPr>
          <w:rFonts w:asciiTheme="majorBidi" w:hAnsiTheme="majorBidi" w:cstheme="majorBidi"/>
          <w:color w:val="000000"/>
        </w:rPr>
        <w:t>4.3 PLS-SEM Path Model</w:t>
      </w:r>
    </w:p>
    <w:p w14:paraId="471CAF37" w14:textId="77777777" w:rsidR="006C6D9A" w:rsidRPr="00ED1B00" w:rsidRDefault="006C6D9A">
      <w:pPr>
        <w:spacing w:after="60"/>
        <w:rPr>
          <w:rFonts w:asciiTheme="majorBidi" w:hAnsiTheme="majorBidi" w:cstheme="majorBidi"/>
        </w:rPr>
      </w:pPr>
    </w:p>
    <w:p w14:paraId="5832A19C" w14:textId="77777777" w:rsidR="00DB5803" w:rsidRDefault="00DB5803">
      <w:pPr>
        <w:spacing w:after="80"/>
        <w:jc w:val="center"/>
        <w:rPr>
          <w:rFonts w:asciiTheme="majorBidi" w:hAnsiTheme="majorBidi" w:cstheme="majorBidi"/>
          <w:b/>
          <w:bCs/>
          <w:i/>
          <w:iCs/>
        </w:rPr>
      </w:pPr>
    </w:p>
    <w:p w14:paraId="19D8D35D" w14:textId="77777777" w:rsidR="00DB5803" w:rsidRDefault="00DB5803">
      <w:pPr>
        <w:spacing w:after="80"/>
        <w:jc w:val="center"/>
        <w:rPr>
          <w:rFonts w:asciiTheme="majorBidi" w:hAnsiTheme="majorBidi" w:cstheme="majorBidi"/>
          <w:b/>
          <w:bCs/>
          <w:i/>
          <w:iCs/>
        </w:rPr>
      </w:pPr>
    </w:p>
    <w:p w14:paraId="37AF5356" w14:textId="77777777" w:rsidR="00DB5803" w:rsidRDefault="00DB5803">
      <w:pPr>
        <w:spacing w:after="80"/>
        <w:jc w:val="center"/>
        <w:rPr>
          <w:rFonts w:asciiTheme="majorBidi" w:hAnsiTheme="majorBidi" w:cstheme="majorBidi"/>
          <w:b/>
          <w:bCs/>
          <w:i/>
          <w:iCs/>
        </w:rPr>
      </w:pPr>
    </w:p>
    <w:p w14:paraId="58C069D2" w14:textId="77777777" w:rsidR="00DB5803" w:rsidRDefault="00DB5803">
      <w:pPr>
        <w:spacing w:after="80"/>
        <w:jc w:val="center"/>
        <w:rPr>
          <w:rFonts w:asciiTheme="majorBidi" w:hAnsiTheme="majorBidi" w:cstheme="majorBidi"/>
          <w:b/>
          <w:bCs/>
          <w:i/>
          <w:iCs/>
        </w:rPr>
      </w:pPr>
    </w:p>
    <w:p w14:paraId="23E32829" w14:textId="77777777" w:rsidR="00DB5803" w:rsidRDefault="00DB5803">
      <w:pPr>
        <w:spacing w:after="80"/>
        <w:jc w:val="center"/>
        <w:rPr>
          <w:rFonts w:asciiTheme="majorBidi" w:hAnsiTheme="majorBidi" w:cstheme="majorBidi"/>
          <w:b/>
          <w:bCs/>
          <w:i/>
          <w:iCs/>
        </w:rPr>
      </w:pPr>
    </w:p>
    <w:p w14:paraId="035F237E" w14:textId="77777777" w:rsidR="001B4D38" w:rsidRDefault="001B4D38" w:rsidP="006F7E5C">
      <w:pPr>
        <w:spacing w:after="80"/>
        <w:rPr>
          <w:rFonts w:asciiTheme="majorBidi" w:hAnsiTheme="majorBidi" w:cstheme="majorBidi"/>
          <w:b/>
          <w:bCs/>
          <w:i/>
          <w:iCs/>
        </w:rPr>
      </w:pPr>
    </w:p>
    <w:p w14:paraId="14D696D4" w14:textId="77777777" w:rsidR="001B4D38" w:rsidRDefault="001B4D38" w:rsidP="006F7E5C">
      <w:pPr>
        <w:spacing w:after="80"/>
        <w:rPr>
          <w:rFonts w:asciiTheme="majorBidi" w:hAnsiTheme="majorBidi" w:cstheme="majorBidi"/>
          <w:b/>
          <w:bCs/>
          <w:i/>
          <w:iCs/>
        </w:rPr>
      </w:pPr>
    </w:p>
    <w:p w14:paraId="24DBA447" w14:textId="05351170" w:rsidR="006C6D9A" w:rsidRPr="00ED1B00" w:rsidRDefault="00A255F5" w:rsidP="006F7E5C">
      <w:pPr>
        <w:spacing w:after="80"/>
        <w:rPr>
          <w:rFonts w:asciiTheme="majorBidi" w:hAnsiTheme="majorBidi" w:cstheme="majorBidi"/>
        </w:rPr>
      </w:pPr>
      <w:r w:rsidRPr="00ED1B00">
        <w:rPr>
          <w:rFonts w:asciiTheme="majorBidi" w:hAnsiTheme="majorBidi" w:cstheme="majorBidi"/>
          <w:b/>
          <w:bCs/>
          <w:i/>
          <w:iCs/>
        </w:rPr>
        <w:t xml:space="preserve">Figure </w:t>
      </w:r>
      <w:r w:rsidR="00F158CE">
        <w:rPr>
          <w:rFonts w:asciiTheme="majorBidi" w:hAnsiTheme="majorBidi" w:cstheme="majorBidi"/>
          <w:b/>
          <w:bCs/>
          <w:i/>
          <w:iCs/>
        </w:rPr>
        <w:t>2</w:t>
      </w:r>
      <w:r w:rsidR="00F158CE">
        <w:rPr>
          <w:rFonts w:asciiTheme="majorBidi" w:hAnsiTheme="majorBidi" w:cstheme="majorBidi"/>
        </w:rPr>
        <w:t xml:space="preserve">. </w:t>
      </w:r>
      <w:r w:rsidRPr="00ED1B00">
        <w:rPr>
          <w:rFonts w:asciiTheme="majorBidi" w:hAnsiTheme="majorBidi" w:cstheme="majorBidi"/>
          <w:b/>
          <w:bCs/>
        </w:rPr>
        <w:t>PLS-SEM Path Diagram: Emotional Intelligence Dimensions and Job Performance</w:t>
      </w:r>
    </w:p>
    <w:p w14:paraId="1939F251" w14:textId="77777777" w:rsidR="006C6D9A" w:rsidRPr="00ED1B00" w:rsidRDefault="00A255F5">
      <w:pPr>
        <w:spacing w:before="60" w:after="140"/>
        <w:jc w:val="center"/>
        <w:rPr>
          <w:rFonts w:asciiTheme="majorBidi" w:hAnsiTheme="majorBidi" w:cstheme="majorBidi"/>
        </w:rPr>
      </w:pPr>
      <w:r w:rsidRPr="00ED1B00">
        <w:rPr>
          <w:rFonts w:asciiTheme="majorBidi" w:hAnsiTheme="majorBidi" w:cstheme="majorBidi"/>
          <w:noProof/>
        </w:rPr>
        <w:drawing>
          <wp:inline distT="0" distB="0" distL="0" distR="0" wp14:anchorId="10E24C05" wp14:editId="39581D35">
            <wp:extent cx="5853352" cy="3215640"/>
            <wp:effectExtent l="0" t="0" r="1905" b="0"/>
            <wp:docPr id="1" name="image1.jpg" descr="PLS-SEM model results"/>
            <wp:cNvGraphicFramePr/>
            <a:graphic xmlns:a="http://schemas.openxmlformats.org/drawingml/2006/main">
              <a:graphicData uri="http://schemas.openxmlformats.org/drawingml/2006/picture">
                <pic:pic xmlns:pic="http://schemas.openxmlformats.org/drawingml/2006/picture">
                  <pic:nvPicPr>
                    <pic:cNvPr id="0" name="image1.jpg" descr="PLS-SEM model results"/>
                    <pic:cNvPicPr preferRelativeResize="0"/>
                  </pic:nvPicPr>
                  <pic:blipFill>
                    <a:blip r:embed="rId6"/>
                    <a:srcRect/>
                    <a:stretch>
                      <a:fillRect/>
                    </a:stretch>
                  </pic:blipFill>
                  <pic:spPr>
                    <a:xfrm>
                      <a:off x="0" y="0"/>
                      <a:ext cx="5915600" cy="3249837"/>
                    </a:xfrm>
                    <a:prstGeom prst="rect">
                      <a:avLst/>
                    </a:prstGeom>
                    <a:ln/>
                  </pic:spPr>
                </pic:pic>
              </a:graphicData>
            </a:graphic>
          </wp:inline>
        </w:drawing>
      </w:r>
    </w:p>
    <w:p w14:paraId="5F11BB94" w14:textId="77777777" w:rsidR="006C6D9A" w:rsidRPr="00ED1B00" w:rsidRDefault="00A255F5">
      <w:pPr>
        <w:spacing w:before="60" w:after="160"/>
        <w:jc w:val="both"/>
        <w:rPr>
          <w:rFonts w:asciiTheme="majorBidi" w:hAnsiTheme="majorBidi" w:cstheme="majorBidi"/>
        </w:rPr>
      </w:pPr>
      <w:r w:rsidRPr="00ED1B00">
        <w:rPr>
          <w:rFonts w:asciiTheme="majorBidi" w:hAnsiTheme="majorBidi" w:cstheme="majorBidi"/>
          <w:i/>
          <w:iCs/>
          <w:color w:val="555555"/>
        </w:rPr>
        <w:t>Note. Values adjacent to arrows are standardized path coefficients; values in parentheses are p-values. The R² = 0.676 is displayed inside the JBP latent variable circle. All outer loadings shown are significant at p &lt; 0.001. SA = Self-Awareness; SR = Self-Regulation; SC = Social Competence; JBP = Job Performance.</w:t>
      </w:r>
    </w:p>
    <w:p w14:paraId="70012F01" w14:textId="77777777" w:rsidR="006C6D9A" w:rsidRPr="00ED1B00" w:rsidRDefault="00A255F5">
      <w:pPr>
        <w:pStyle w:val="Heading1"/>
        <w:rPr>
          <w:rFonts w:asciiTheme="majorBidi" w:hAnsiTheme="majorBidi" w:cstheme="majorBidi"/>
          <w:sz w:val="24"/>
          <w:szCs w:val="24"/>
        </w:rPr>
      </w:pPr>
      <w:r w:rsidRPr="00ED1B00">
        <w:rPr>
          <w:rFonts w:asciiTheme="majorBidi" w:hAnsiTheme="majorBidi" w:cstheme="majorBidi"/>
          <w:sz w:val="24"/>
          <w:szCs w:val="24"/>
        </w:rPr>
        <w:t>5. Discussion</w:t>
      </w:r>
    </w:p>
    <w:p w14:paraId="4434012A" w14:textId="3A748E73"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The present study examined the differential effects of three emotional intelligence dimensions</w:t>
      </w:r>
      <w:r w:rsidR="0095612A">
        <w:rPr>
          <w:rFonts w:asciiTheme="majorBidi" w:hAnsiTheme="majorBidi" w:cstheme="majorBidi"/>
        </w:rPr>
        <w:t>-</w:t>
      </w:r>
      <w:r w:rsidRPr="00ED1B00">
        <w:rPr>
          <w:rFonts w:asciiTheme="majorBidi" w:hAnsiTheme="majorBidi" w:cstheme="majorBidi"/>
        </w:rPr>
        <w:t>self-awareness, self-regulation</w:t>
      </w:r>
      <w:r w:rsidR="005F260C">
        <w:rPr>
          <w:rFonts w:asciiTheme="majorBidi" w:hAnsiTheme="majorBidi" w:cstheme="majorBidi"/>
        </w:rPr>
        <w:t xml:space="preserve"> and</w:t>
      </w:r>
      <w:r w:rsidRPr="00ED1B00">
        <w:rPr>
          <w:rFonts w:asciiTheme="majorBidi" w:hAnsiTheme="majorBidi" w:cstheme="majorBidi"/>
        </w:rPr>
        <w:t xml:space="preserve"> social competence</w:t>
      </w:r>
      <w:r w:rsidR="0095612A">
        <w:rPr>
          <w:rFonts w:asciiTheme="majorBidi" w:hAnsiTheme="majorBidi" w:cstheme="majorBidi"/>
        </w:rPr>
        <w:t xml:space="preserve">, </w:t>
      </w:r>
      <w:r w:rsidRPr="00ED1B00">
        <w:rPr>
          <w:rFonts w:asciiTheme="majorBidi" w:hAnsiTheme="majorBidi" w:cstheme="majorBidi"/>
        </w:rPr>
        <w:t>on job performance among academic staff in higher education institutions in Jammu and Kashmir. All three hypotheses were supported, with each EI dimension exerting a statistically significant positive effect on job performance. The structural model explains 67.6% of the variance in job performance (R² = 0.676), reflecting the substantial collective predictive power of the EI dimensions examined. These findings affirm the multidimensional relevance of emotional intelligence in higher education performance contexts and extend prior research by providing dimension-specific evidence from a geographically and contextually distinctive setting.</w:t>
      </w:r>
    </w:p>
    <w:p w14:paraId="1DE2971C" w14:textId="77777777" w:rsidR="006C3AEB" w:rsidRDefault="006C3AEB">
      <w:pPr>
        <w:pStyle w:val="Heading2"/>
        <w:rPr>
          <w:rFonts w:asciiTheme="majorBidi" w:hAnsiTheme="majorBidi" w:cstheme="majorBidi"/>
        </w:rPr>
      </w:pPr>
    </w:p>
    <w:p w14:paraId="1A1D8073" w14:textId="468597A8" w:rsidR="006C6D9A" w:rsidRPr="00ED1B00" w:rsidRDefault="00A255F5">
      <w:pPr>
        <w:pStyle w:val="Heading2"/>
        <w:rPr>
          <w:rFonts w:asciiTheme="majorBidi" w:hAnsiTheme="majorBidi" w:cstheme="majorBidi"/>
        </w:rPr>
      </w:pPr>
      <w:r w:rsidRPr="00ED1B00">
        <w:rPr>
          <w:rFonts w:asciiTheme="majorBidi" w:hAnsiTheme="majorBidi" w:cstheme="majorBidi"/>
        </w:rPr>
        <w:lastRenderedPageBreak/>
        <w:t>5.</w:t>
      </w:r>
      <w:r w:rsidR="00F158CE">
        <w:rPr>
          <w:rFonts w:asciiTheme="majorBidi" w:hAnsiTheme="majorBidi" w:cstheme="majorBidi"/>
        </w:rPr>
        <w:t>1</w:t>
      </w:r>
      <w:r w:rsidRPr="00ED1B00">
        <w:rPr>
          <w:rFonts w:asciiTheme="majorBidi" w:hAnsiTheme="majorBidi" w:cstheme="majorBidi"/>
        </w:rPr>
        <w:t xml:space="preserve"> Self-Regulation and Job Performance (H2 Supported)</w:t>
      </w:r>
    </w:p>
    <w:p w14:paraId="78D58D99" w14:textId="70FE0DC2"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Self-regulation emerged as the strongest predictor of job performance in this study (β = 0.488, p &lt; 0.001), consistent with the process model of emotional regulation proposed by Gross (1998) and with extant empirical evidence in organizational settings. The primacy of self-regulation as a performance driver is particularly interpretable in the J&amp;K higher education context, where academic staff routinely navigate institutionally complex environments marked by resource constraints, socio-political stressors</w:t>
      </w:r>
      <w:r w:rsidR="005F260C">
        <w:rPr>
          <w:rFonts w:asciiTheme="majorBidi" w:hAnsiTheme="majorBidi" w:cstheme="majorBidi"/>
        </w:rPr>
        <w:t xml:space="preserve"> and</w:t>
      </w:r>
      <w:r w:rsidRPr="00ED1B00">
        <w:rPr>
          <w:rFonts w:asciiTheme="majorBidi" w:hAnsiTheme="majorBidi" w:cstheme="majorBidi"/>
        </w:rPr>
        <w:t xml:space="preserve"> evolving organizational demands. The capacity to modulate emotional responses</w:t>
      </w:r>
      <w:r w:rsidR="0095612A">
        <w:rPr>
          <w:rFonts w:asciiTheme="majorBidi" w:hAnsiTheme="majorBidi" w:cstheme="majorBidi"/>
        </w:rPr>
        <w:t xml:space="preserve"> </w:t>
      </w:r>
      <w:r w:rsidRPr="00ED1B00">
        <w:rPr>
          <w:rFonts w:asciiTheme="majorBidi" w:hAnsiTheme="majorBidi" w:cstheme="majorBidi"/>
        </w:rPr>
        <w:t xml:space="preserve">to remain professionally composed under pressure, avoid reactive </w:t>
      </w:r>
      <w:proofErr w:type="spellStart"/>
      <w:r w:rsidRPr="00ED1B00">
        <w:rPr>
          <w:rFonts w:asciiTheme="majorBidi" w:hAnsiTheme="majorBidi" w:cstheme="majorBidi"/>
        </w:rPr>
        <w:t>behavior</w:t>
      </w:r>
      <w:proofErr w:type="spellEnd"/>
      <w:r w:rsidR="005F260C">
        <w:rPr>
          <w:rFonts w:asciiTheme="majorBidi" w:hAnsiTheme="majorBidi" w:cstheme="majorBidi"/>
        </w:rPr>
        <w:t xml:space="preserve"> and</w:t>
      </w:r>
      <w:r w:rsidRPr="00ED1B00">
        <w:rPr>
          <w:rFonts w:asciiTheme="majorBidi" w:hAnsiTheme="majorBidi" w:cstheme="majorBidi"/>
        </w:rPr>
        <w:t xml:space="preserve"> sustain goal-directed effort</w:t>
      </w:r>
      <w:r w:rsidR="0095612A">
        <w:rPr>
          <w:rFonts w:asciiTheme="majorBidi" w:hAnsiTheme="majorBidi" w:cstheme="majorBidi"/>
        </w:rPr>
        <w:t xml:space="preserve">, </w:t>
      </w:r>
      <w:r w:rsidRPr="00ED1B00">
        <w:rPr>
          <w:rFonts w:asciiTheme="majorBidi" w:hAnsiTheme="majorBidi" w:cstheme="majorBidi"/>
        </w:rPr>
        <w:t>appears to be the most consequential emotional competency for job performance in this context.</w:t>
      </w:r>
    </w:p>
    <w:p w14:paraId="33A60DE9" w14:textId="77777777" w:rsidR="006C6D9A" w:rsidRPr="00ED1B00" w:rsidRDefault="00A255F5" w:rsidP="00AF5F92">
      <w:pPr>
        <w:spacing w:after="160" w:line="360" w:lineRule="auto"/>
        <w:jc w:val="both"/>
        <w:rPr>
          <w:rFonts w:asciiTheme="majorBidi" w:hAnsiTheme="majorBidi" w:cstheme="majorBidi"/>
        </w:rPr>
      </w:pPr>
      <w:r w:rsidRPr="00ED1B00">
        <w:rPr>
          <w:rFonts w:asciiTheme="majorBidi" w:hAnsiTheme="majorBidi" w:cstheme="majorBidi"/>
        </w:rPr>
        <w:t>These findings resonate with Conservation of Resources Theory (</w:t>
      </w:r>
      <w:proofErr w:type="spellStart"/>
      <w:r w:rsidRPr="00ED1B00">
        <w:rPr>
          <w:rFonts w:asciiTheme="majorBidi" w:hAnsiTheme="majorBidi" w:cstheme="majorBidi"/>
        </w:rPr>
        <w:t>Hobfoll</w:t>
      </w:r>
      <w:proofErr w:type="spellEnd"/>
      <w:r w:rsidRPr="00ED1B00">
        <w:rPr>
          <w:rFonts w:asciiTheme="majorBidi" w:hAnsiTheme="majorBidi" w:cstheme="majorBidi"/>
        </w:rPr>
        <w:t>, 1989) and the Job Demands-Resources model (Bakker &amp; Demerouti, 2023), both of which posit that emotional regulation constitutes a key psychosocial resource that buffers against stressor-induced performance depletion. Faculty members with strong self-regulation may effectively conserve emotional resources, thereby maintaining consistent and high-quality performance across demanding academic responsibilities. Chen et al. (2025) provided direct empirical corroboration in a comparable educational context, finding that self-regulation-anchored EI predicts both job satisfaction and resilience among college teachers under occupational stress. The result also aligns with Joseph and Newman's (2010) cascading model, wherein self-regulation mediates the pathway from emotional perception to performance outcomes.</w:t>
      </w:r>
    </w:p>
    <w:p w14:paraId="047069B5" w14:textId="4574B75B" w:rsidR="006C6D9A" w:rsidRPr="00ED1B00" w:rsidRDefault="00A255F5">
      <w:pPr>
        <w:pStyle w:val="Heading2"/>
        <w:rPr>
          <w:rFonts w:asciiTheme="majorBidi" w:hAnsiTheme="majorBidi" w:cstheme="majorBidi"/>
        </w:rPr>
      </w:pPr>
      <w:r w:rsidRPr="00ED1B00">
        <w:rPr>
          <w:rFonts w:asciiTheme="majorBidi" w:hAnsiTheme="majorBidi" w:cstheme="majorBidi"/>
        </w:rPr>
        <w:t>5.</w:t>
      </w:r>
      <w:r w:rsidR="00F158CE">
        <w:rPr>
          <w:rFonts w:asciiTheme="majorBidi" w:hAnsiTheme="majorBidi" w:cstheme="majorBidi"/>
        </w:rPr>
        <w:t>2</w:t>
      </w:r>
      <w:r w:rsidRPr="00ED1B00">
        <w:rPr>
          <w:rFonts w:asciiTheme="majorBidi" w:hAnsiTheme="majorBidi" w:cstheme="majorBidi"/>
        </w:rPr>
        <w:t xml:space="preserve"> Social Competence and Job Performance (H3 Supported)</w:t>
      </w:r>
    </w:p>
    <w:p w14:paraId="6793F1DC" w14:textId="4DD658BC"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Social competence was the second-strongest predictor of job performance (β = 0.400, p &lt; 0.001), underscoring the centrality of interpersonal emotional capacities in academic work. Higher education is inherently an interpersonal profession: faculty members are expected to engage meaningfully with students across diverse backgrounds, collaborate with colleagues across disciplines</w:t>
      </w:r>
      <w:r w:rsidR="005F260C">
        <w:rPr>
          <w:rFonts w:asciiTheme="majorBidi" w:hAnsiTheme="majorBidi" w:cstheme="majorBidi"/>
        </w:rPr>
        <w:t xml:space="preserve"> and</w:t>
      </w:r>
      <w:r w:rsidRPr="00ED1B00">
        <w:rPr>
          <w:rFonts w:asciiTheme="majorBidi" w:hAnsiTheme="majorBidi" w:cstheme="majorBidi"/>
        </w:rPr>
        <w:t xml:space="preserve"> interact productively with institutional leadership. The ability to accurately read, empathize with</w:t>
      </w:r>
      <w:r w:rsidR="005F260C">
        <w:rPr>
          <w:rFonts w:asciiTheme="majorBidi" w:hAnsiTheme="majorBidi" w:cstheme="majorBidi"/>
        </w:rPr>
        <w:t xml:space="preserve"> and</w:t>
      </w:r>
      <w:r w:rsidRPr="00ED1B00">
        <w:rPr>
          <w:rFonts w:asciiTheme="majorBidi" w:hAnsiTheme="majorBidi" w:cstheme="majorBidi"/>
        </w:rPr>
        <w:t xml:space="preserve"> respond strategically to the emotions of others</w:t>
      </w:r>
      <w:r w:rsidR="0095612A">
        <w:rPr>
          <w:rFonts w:asciiTheme="majorBidi" w:hAnsiTheme="majorBidi" w:cstheme="majorBidi"/>
        </w:rPr>
        <w:t xml:space="preserve">, </w:t>
      </w:r>
      <w:r w:rsidRPr="00ED1B00">
        <w:rPr>
          <w:rFonts w:asciiTheme="majorBidi" w:hAnsiTheme="majorBidi" w:cstheme="majorBidi"/>
        </w:rPr>
        <w:t>the defining elements of social competence</w:t>
      </w:r>
      <w:r w:rsidR="0095612A">
        <w:rPr>
          <w:rFonts w:asciiTheme="majorBidi" w:hAnsiTheme="majorBidi" w:cstheme="majorBidi"/>
        </w:rPr>
        <w:t xml:space="preserve">, </w:t>
      </w:r>
      <w:r w:rsidRPr="00ED1B00">
        <w:rPr>
          <w:rFonts w:asciiTheme="majorBidi" w:hAnsiTheme="majorBidi" w:cstheme="majorBidi"/>
        </w:rPr>
        <w:t>directly supports the quality of these interactions and by extension, overall job performance.</w:t>
      </w:r>
    </w:p>
    <w:p w14:paraId="31B26C19" w14:textId="16EF2A46" w:rsidR="006C6D9A" w:rsidRPr="00ED1B00" w:rsidRDefault="00A255F5" w:rsidP="00ED1B00">
      <w:pPr>
        <w:spacing w:after="160" w:line="360" w:lineRule="auto"/>
        <w:jc w:val="both"/>
        <w:rPr>
          <w:rFonts w:asciiTheme="majorBidi" w:hAnsiTheme="majorBidi" w:cstheme="majorBidi"/>
        </w:rPr>
      </w:pPr>
      <w:proofErr w:type="spellStart"/>
      <w:r w:rsidRPr="00ED1B00">
        <w:rPr>
          <w:rFonts w:asciiTheme="majorBidi" w:hAnsiTheme="majorBidi" w:cstheme="majorBidi"/>
        </w:rPr>
        <w:lastRenderedPageBreak/>
        <w:t>Côté</w:t>
      </w:r>
      <w:proofErr w:type="spellEnd"/>
      <w:r w:rsidRPr="00ED1B00">
        <w:rPr>
          <w:rFonts w:asciiTheme="majorBidi" w:hAnsiTheme="majorBidi" w:cstheme="majorBidi"/>
        </w:rPr>
        <w:t xml:space="preserve"> (2022) emphasizes that socially competent individuals are better equipped to manage the relational demands of interpersonal-intensive roles. Coronado-Maldonado and Benítez-Márquez (2023) further confirmed that social EI dimensions are central to effective team performance and leadership, while </w:t>
      </w:r>
      <w:proofErr w:type="spellStart"/>
      <w:r w:rsidRPr="00ED1B00">
        <w:rPr>
          <w:rFonts w:asciiTheme="majorBidi" w:hAnsiTheme="majorBidi" w:cstheme="majorBidi"/>
        </w:rPr>
        <w:t>Korakis</w:t>
      </w:r>
      <w:proofErr w:type="spellEnd"/>
      <w:r w:rsidRPr="00ED1B00">
        <w:rPr>
          <w:rFonts w:asciiTheme="majorBidi" w:hAnsiTheme="majorBidi" w:cstheme="majorBidi"/>
        </w:rPr>
        <w:t xml:space="preserve"> et al. (2025) established that the relational competencies embedded in EI consistently predict transformational leadership effectiveness across organizational contexts. In J&amp;K's higher education setting, social competence provides faculty with the interpersonal capital necessary to build trust, navigate relational complexity</w:t>
      </w:r>
      <w:r w:rsidR="005F260C">
        <w:rPr>
          <w:rFonts w:asciiTheme="majorBidi" w:hAnsiTheme="majorBidi" w:cstheme="majorBidi"/>
        </w:rPr>
        <w:t xml:space="preserve"> and</w:t>
      </w:r>
      <w:r w:rsidRPr="00ED1B00">
        <w:rPr>
          <w:rFonts w:asciiTheme="majorBidi" w:hAnsiTheme="majorBidi" w:cstheme="majorBidi"/>
        </w:rPr>
        <w:t xml:space="preserve"> achieve strong performance outcomes. These findings also align with Brackett et al. (2012) and Li and Zhang (2024), who collectively established that emotional competencies positively influence educational effectiveness through improved social and relational processes.</w:t>
      </w:r>
    </w:p>
    <w:p w14:paraId="24E9D97E" w14:textId="1F45809C" w:rsidR="006C6D9A" w:rsidRPr="00ED1B00" w:rsidRDefault="00A255F5">
      <w:pPr>
        <w:pStyle w:val="Heading2"/>
        <w:rPr>
          <w:rFonts w:asciiTheme="majorBidi" w:hAnsiTheme="majorBidi" w:cstheme="majorBidi"/>
        </w:rPr>
      </w:pPr>
      <w:r w:rsidRPr="00ED1B00">
        <w:rPr>
          <w:rFonts w:asciiTheme="majorBidi" w:hAnsiTheme="majorBidi" w:cstheme="majorBidi"/>
        </w:rPr>
        <w:t>5.</w:t>
      </w:r>
      <w:r w:rsidR="00F158CE">
        <w:rPr>
          <w:rFonts w:asciiTheme="majorBidi" w:hAnsiTheme="majorBidi" w:cstheme="majorBidi"/>
        </w:rPr>
        <w:t>3</w:t>
      </w:r>
      <w:r w:rsidRPr="00ED1B00">
        <w:rPr>
          <w:rFonts w:asciiTheme="majorBidi" w:hAnsiTheme="majorBidi" w:cstheme="majorBidi"/>
        </w:rPr>
        <w:t xml:space="preserve"> Self-Awareness and Job Performance (H1 Supported)</w:t>
      </w:r>
    </w:p>
    <w:p w14:paraId="3A498B85" w14:textId="77777777"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Self-awareness exerted a significant positive effect on job performance (β = 0.232, T = 2.189, p &lt; 0.001), supporting H1 and confirming the direct performance relevance of this foundational EI dimension. While self-awareness registered a comparatively smaller path coefficient than self-regulation and social competence, its significance is both statistically and theoretically meaningful. As the foundational layer of emotional intelligence (Goleman, 1998; Salovey &amp; Mayer, 1990), self-awareness provides the emotional self-knowledge from which effective self-regulation and interpersonal responsiveness are believed to develop.</w:t>
      </w:r>
    </w:p>
    <w:p w14:paraId="327A3181" w14:textId="4FD62550"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The positive effect of self-awareness on job performance aligns with Sánchez-Álvarez et al. (2020), who established that self-awareness predicts psychological well-being and adaptive functioning</w:t>
      </w:r>
      <w:r w:rsidR="005F260C">
        <w:rPr>
          <w:rFonts w:asciiTheme="majorBidi" w:hAnsiTheme="majorBidi" w:cstheme="majorBidi"/>
        </w:rPr>
        <w:t xml:space="preserve"> </w:t>
      </w:r>
      <w:r w:rsidRPr="00ED1B00">
        <w:rPr>
          <w:rFonts w:asciiTheme="majorBidi" w:hAnsiTheme="majorBidi" w:cstheme="majorBidi"/>
        </w:rPr>
        <w:t xml:space="preserve">both of which support occupational effectiveness. Merlin and </w:t>
      </w:r>
      <w:proofErr w:type="spellStart"/>
      <w:r w:rsidRPr="00ED1B00">
        <w:rPr>
          <w:rFonts w:asciiTheme="majorBidi" w:hAnsiTheme="majorBidi" w:cstheme="majorBidi"/>
        </w:rPr>
        <w:t>Soubramanian</w:t>
      </w:r>
      <w:proofErr w:type="spellEnd"/>
      <w:r w:rsidRPr="00ED1B00">
        <w:rPr>
          <w:rFonts w:asciiTheme="majorBidi" w:hAnsiTheme="majorBidi" w:cstheme="majorBidi"/>
        </w:rPr>
        <w:t xml:space="preserve"> (2024) further demonstrated that self-awareness is the intrapersonal gateway to interpersonal effectiveness, while Ruiz-Ortega et al. (2025) provided structural equation evidence that EI anchored in self-awareness predicts academic performance through engagement and burnout reduction. In the J&amp;K higher education context, faculty members who maintain accurate awareness of their emotional states may be better positioned to recognize stress-related patterns early, seek appropriate support</w:t>
      </w:r>
      <w:r w:rsidR="005F260C">
        <w:rPr>
          <w:rFonts w:asciiTheme="majorBidi" w:hAnsiTheme="majorBidi" w:cstheme="majorBidi"/>
        </w:rPr>
        <w:t xml:space="preserve"> and</w:t>
      </w:r>
      <w:r w:rsidRPr="00ED1B00">
        <w:rPr>
          <w:rFonts w:asciiTheme="majorBidi" w:hAnsiTheme="majorBidi" w:cstheme="majorBidi"/>
        </w:rPr>
        <w:t xml:space="preserve"> calibrate their professional conduct in ways that preserve and enhance performance.</w:t>
      </w:r>
    </w:p>
    <w:p w14:paraId="6E38364A" w14:textId="77777777" w:rsidR="00DB5803" w:rsidRDefault="00DB5803">
      <w:pPr>
        <w:pStyle w:val="Heading2"/>
        <w:rPr>
          <w:rFonts w:asciiTheme="majorBidi" w:hAnsiTheme="majorBidi" w:cstheme="majorBidi"/>
        </w:rPr>
      </w:pPr>
    </w:p>
    <w:p w14:paraId="14C9E095" w14:textId="2F1A88C5" w:rsidR="006C6D9A" w:rsidRPr="00ED1B00" w:rsidRDefault="00A255F5">
      <w:pPr>
        <w:pStyle w:val="Heading2"/>
        <w:rPr>
          <w:rFonts w:asciiTheme="majorBidi" w:hAnsiTheme="majorBidi" w:cstheme="majorBidi"/>
        </w:rPr>
      </w:pPr>
      <w:r w:rsidRPr="00ED1B00">
        <w:rPr>
          <w:rFonts w:asciiTheme="majorBidi" w:hAnsiTheme="majorBidi" w:cstheme="majorBidi"/>
        </w:rPr>
        <w:lastRenderedPageBreak/>
        <w:t>5.</w:t>
      </w:r>
      <w:r w:rsidR="00F158CE">
        <w:rPr>
          <w:rFonts w:asciiTheme="majorBidi" w:hAnsiTheme="majorBidi" w:cstheme="majorBidi"/>
        </w:rPr>
        <w:t>4</w:t>
      </w:r>
      <w:r w:rsidRPr="00ED1B00">
        <w:rPr>
          <w:rFonts w:asciiTheme="majorBidi" w:hAnsiTheme="majorBidi" w:cstheme="majorBidi"/>
        </w:rPr>
        <w:t xml:space="preserve"> Theoretical Contributions</w:t>
      </w:r>
    </w:p>
    <w:p w14:paraId="1FB968E1" w14:textId="059E43E8"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From a theoretical standpoint, this study advances the multidimensional understanding of emotional intelligence in organizational contexts. By demonstrating that all three EI dimensions</w:t>
      </w:r>
      <w:r w:rsidR="005F260C">
        <w:rPr>
          <w:rFonts w:asciiTheme="majorBidi" w:hAnsiTheme="majorBidi" w:cstheme="majorBidi"/>
        </w:rPr>
        <w:t>-</w:t>
      </w:r>
      <w:r w:rsidRPr="00ED1B00">
        <w:rPr>
          <w:rFonts w:asciiTheme="majorBidi" w:hAnsiTheme="majorBidi" w:cstheme="majorBidi"/>
        </w:rPr>
        <w:t>self-awareness, self-regulation</w:t>
      </w:r>
      <w:r w:rsidR="005F260C">
        <w:rPr>
          <w:rFonts w:asciiTheme="majorBidi" w:hAnsiTheme="majorBidi" w:cstheme="majorBidi"/>
        </w:rPr>
        <w:t xml:space="preserve"> and</w:t>
      </w:r>
      <w:r w:rsidRPr="00ED1B00">
        <w:rPr>
          <w:rFonts w:asciiTheme="majorBidi" w:hAnsiTheme="majorBidi" w:cstheme="majorBidi"/>
        </w:rPr>
        <w:t xml:space="preserve"> social competence</w:t>
      </w:r>
      <w:r w:rsidR="005F260C">
        <w:rPr>
          <w:rFonts w:asciiTheme="majorBidi" w:hAnsiTheme="majorBidi" w:cstheme="majorBidi"/>
        </w:rPr>
        <w:t xml:space="preserve">, </w:t>
      </w:r>
      <w:r w:rsidRPr="00ED1B00">
        <w:rPr>
          <w:rFonts w:asciiTheme="majorBidi" w:hAnsiTheme="majorBidi" w:cstheme="majorBidi"/>
        </w:rPr>
        <w:t>independently and positively predict job performance, the findings affirm the theoretical completeness of multidimensional EI models (Goleman, 1998; Mayer et al., 2004) and challenge the practice of collapsing EI into a single composite score. The study extends Joseph and Newman's (2010) cascading EI model by demonstrating that all three dimensions carry independent predictive value for performance when examined in a context of high emotional demand. Additionally, by incorporating the JD-R framework (Bakker &amp; Demerouti, 2023), the study enriches understanding of how EI dimensions function as personal resources that mitigate work demands</w:t>
      </w:r>
      <w:r w:rsidR="005F260C">
        <w:rPr>
          <w:rFonts w:asciiTheme="majorBidi" w:hAnsiTheme="majorBidi" w:cstheme="majorBidi"/>
        </w:rPr>
        <w:t xml:space="preserve">, </w:t>
      </w:r>
      <w:r w:rsidRPr="00ED1B00">
        <w:rPr>
          <w:rFonts w:asciiTheme="majorBidi" w:hAnsiTheme="majorBidi" w:cstheme="majorBidi"/>
        </w:rPr>
        <w:t>an insight with particular relevance to the growing global phenomenon of EI decline identified by Freedman et al. (2025).</w:t>
      </w:r>
    </w:p>
    <w:p w14:paraId="26F954C9" w14:textId="4E33AE50" w:rsidR="006C6D9A" w:rsidRPr="00ED1B00" w:rsidRDefault="00A255F5">
      <w:pPr>
        <w:pStyle w:val="Heading2"/>
        <w:rPr>
          <w:rFonts w:asciiTheme="majorBidi" w:hAnsiTheme="majorBidi" w:cstheme="majorBidi"/>
        </w:rPr>
      </w:pPr>
      <w:r w:rsidRPr="00ED1B00">
        <w:rPr>
          <w:rFonts w:asciiTheme="majorBidi" w:hAnsiTheme="majorBidi" w:cstheme="majorBidi"/>
        </w:rPr>
        <w:t>5.</w:t>
      </w:r>
      <w:r w:rsidR="00F158CE">
        <w:rPr>
          <w:rFonts w:asciiTheme="majorBidi" w:hAnsiTheme="majorBidi" w:cstheme="majorBidi"/>
        </w:rPr>
        <w:t>5</w:t>
      </w:r>
      <w:r w:rsidRPr="00ED1B00">
        <w:rPr>
          <w:rFonts w:asciiTheme="majorBidi" w:hAnsiTheme="majorBidi" w:cstheme="majorBidi"/>
        </w:rPr>
        <w:t xml:space="preserve"> Contextual Contributions</w:t>
      </w:r>
    </w:p>
    <w:p w14:paraId="46365CB7" w14:textId="43338C83"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Contextually, this study offers one of the first comprehensive empirical investigations of EI and job performance in the higher education sector of Jammu and Kashmir. The region's distinctive characteristics</w:t>
      </w:r>
      <w:r w:rsidR="005F260C">
        <w:rPr>
          <w:rFonts w:asciiTheme="majorBidi" w:hAnsiTheme="majorBidi" w:cstheme="majorBidi"/>
        </w:rPr>
        <w:t xml:space="preserve"> </w:t>
      </w:r>
      <w:r w:rsidRPr="00ED1B00">
        <w:rPr>
          <w:rFonts w:asciiTheme="majorBidi" w:hAnsiTheme="majorBidi" w:cstheme="majorBidi"/>
        </w:rPr>
        <w:t>including ongoing socio-political complexity, institutional transitions</w:t>
      </w:r>
      <w:r w:rsidR="005F260C">
        <w:rPr>
          <w:rFonts w:asciiTheme="majorBidi" w:hAnsiTheme="majorBidi" w:cstheme="majorBidi"/>
        </w:rPr>
        <w:t xml:space="preserve"> and</w:t>
      </w:r>
      <w:r w:rsidRPr="00ED1B00">
        <w:rPr>
          <w:rFonts w:asciiTheme="majorBidi" w:hAnsiTheme="majorBidi" w:cstheme="majorBidi"/>
        </w:rPr>
        <w:t xml:space="preserve"> resource challenges</w:t>
      </w:r>
      <w:r w:rsidR="005F260C">
        <w:rPr>
          <w:rFonts w:asciiTheme="majorBidi" w:hAnsiTheme="majorBidi" w:cstheme="majorBidi"/>
        </w:rPr>
        <w:t xml:space="preserve"> </w:t>
      </w:r>
      <w:r w:rsidRPr="00ED1B00">
        <w:rPr>
          <w:rFonts w:asciiTheme="majorBidi" w:hAnsiTheme="majorBidi" w:cstheme="majorBidi"/>
        </w:rPr>
        <w:t>appear to amplify the performance relevance of all three EI dimensions, each serving a distinct adaptive function. Self-regulation supports emotional resilience under stress; social competence enables effective interpersonal navigation; and self-awareness facilitates self-directed professional adaptation. Collectively, the findings extend the ecological validity of EI-performance research</w:t>
      </w:r>
      <w:r w:rsidR="005F260C">
        <w:rPr>
          <w:rFonts w:asciiTheme="majorBidi" w:hAnsiTheme="majorBidi" w:cstheme="majorBidi"/>
        </w:rPr>
        <w:t xml:space="preserve"> </w:t>
      </w:r>
      <w:r w:rsidRPr="00ED1B00">
        <w:rPr>
          <w:rFonts w:asciiTheme="majorBidi" w:hAnsiTheme="majorBidi" w:cstheme="majorBidi"/>
        </w:rPr>
        <w:t>aligned with the cross-cultural evidence synthesized by Li et al. (2025)</w:t>
      </w:r>
      <w:r w:rsidR="005F260C">
        <w:rPr>
          <w:rFonts w:asciiTheme="majorBidi" w:hAnsiTheme="majorBidi" w:cstheme="majorBidi"/>
        </w:rPr>
        <w:t xml:space="preserve"> </w:t>
      </w:r>
      <w:r w:rsidRPr="00ED1B00">
        <w:rPr>
          <w:rFonts w:asciiTheme="majorBidi" w:hAnsiTheme="majorBidi" w:cstheme="majorBidi"/>
        </w:rPr>
        <w:t>while highlighting the importance of local contextual factors in shaping EI-performance dynamics.</w:t>
      </w:r>
    </w:p>
    <w:p w14:paraId="58EF8E83" w14:textId="77777777" w:rsidR="006C6D9A" w:rsidRPr="00ED1B00" w:rsidRDefault="00A255F5">
      <w:pPr>
        <w:pStyle w:val="Heading1"/>
        <w:rPr>
          <w:rFonts w:asciiTheme="majorBidi" w:hAnsiTheme="majorBidi" w:cstheme="majorBidi"/>
          <w:sz w:val="24"/>
          <w:szCs w:val="24"/>
        </w:rPr>
      </w:pPr>
      <w:r w:rsidRPr="00ED1B00">
        <w:rPr>
          <w:rFonts w:asciiTheme="majorBidi" w:hAnsiTheme="majorBidi" w:cstheme="majorBidi"/>
          <w:sz w:val="24"/>
          <w:szCs w:val="24"/>
        </w:rPr>
        <w:t>6. Implications</w:t>
      </w:r>
    </w:p>
    <w:p w14:paraId="793B24E8" w14:textId="77777777" w:rsidR="006C6D9A" w:rsidRPr="00ED1B00" w:rsidRDefault="00A255F5">
      <w:pPr>
        <w:pStyle w:val="Heading2"/>
        <w:rPr>
          <w:rFonts w:asciiTheme="majorBidi" w:hAnsiTheme="majorBidi" w:cstheme="majorBidi"/>
        </w:rPr>
      </w:pPr>
      <w:r w:rsidRPr="00ED1B00">
        <w:rPr>
          <w:rFonts w:asciiTheme="majorBidi" w:hAnsiTheme="majorBidi" w:cstheme="majorBidi"/>
        </w:rPr>
        <w:t>6.1 Theoretical Implications</w:t>
      </w:r>
    </w:p>
    <w:p w14:paraId="6D03D901" w14:textId="0F65589A"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 xml:space="preserve">The findings make several theoretical contributions. First, by demonstrating that all three EI dimensions independently predict job performance, the study reinforces the case for multidimensional EI theorization and measurement. Second, the differential effect sizes across dimensions provide empirical grounding for theoretical models that posit EI as a hierarchically organized, sequentially operative construct. Third, the study situates EI research within the </w:t>
      </w:r>
      <w:r w:rsidRPr="00ED1B00">
        <w:rPr>
          <w:rFonts w:asciiTheme="majorBidi" w:hAnsiTheme="majorBidi" w:cstheme="majorBidi"/>
        </w:rPr>
        <w:lastRenderedPageBreak/>
        <w:t>understudied context of conflict-affected higher education, broadening the ecological validity of EI-performance theory. Fourth, the integration of the JD-R model (Bakker &amp; Demerouti, 2023) with EI-performance theorizing offers a productive conceptual bridge between organizational stress research and emotional competency scholarship. Future theoretical development should elaborate on how contextual characteristics</w:t>
      </w:r>
      <w:r w:rsidR="005F260C">
        <w:rPr>
          <w:rFonts w:asciiTheme="majorBidi" w:hAnsiTheme="majorBidi" w:cstheme="majorBidi"/>
        </w:rPr>
        <w:t xml:space="preserve"> </w:t>
      </w:r>
      <w:r w:rsidRPr="00ED1B00">
        <w:rPr>
          <w:rFonts w:asciiTheme="majorBidi" w:hAnsiTheme="majorBidi" w:cstheme="majorBidi"/>
        </w:rPr>
        <w:t>including institutional volatility, socio-political stressors</w:t>
      </w:r>
      <w:r w:rsidR="005F260C">
        <w:rPr>
          <w:rFonts w:asciiTheme="majorBidi" w:hAnsiTheme="majorBidi" w:cstheme="majorBidi"/>
        </w:rPr>
        <w:t xml:space="preserve"> and</w:t>
      </w:r>
      <w:r w:rsidRPr="00ED1B00">
        <w:rPr>
          <w:rFonts w:asciiTheme="majorBidi" w:hAnsiTheme="majorBidi" w:cstheme="majorBidi"/>
        </w:rPr>
        <w:t xml:space="preserve"> resource constraints</w:t>
      </w:r>
      <w:r w:rsidR="005F260C">
        <w:rPr>
          <w:rFonts w:asciiTheme="majorBidi" w:hAnsiTheme="majorBidi" w:cstheme="majorBidi"/>
        </w:rPr>
        <w:t xml:space="preserve"> </w:t>
      </w:r>
      <w:r w:rsidRPr="00ED1B00">
        <w:rPr>
          <w:rFonts w:asciiTheme="majorBidi" w:hAnsiTheme="majorBidi" w:cstheme="majorBidi"/>
        </w:rPr>
        <w:t>moderate the relationships between specific EI dimensions and performance.</w:t>
      </w:r>
    </w:p>
    <w:p w14:paraId="47A8FDF7" w14:textId="77777777" w:rsidR="006C6D9A" w:rsidRPr="00ED1B00" w:rsidRDefault="00A255F5">
      <w:pPr>
        <w:pStyle w:val="Heading2"/>
        <w:rPr>
          <w:rFonts w:asciiTheme="majorBidi" w:hAnsiTheme="majorBidi" w:cstheme="majorBidi"/>
        </w:rPr>
      </w:pPr>
      <w:r w:rsidRPr="00ED1B00">
        <w:rPr>
          <w:rFonts w:asciiTheme="majorBidi" w:hAnsiTheme="majorBidi" w:cstheme="majorBidi"/>
        </w:rPr>
        <w:t>6.2 Practical Implications for Higher Education Institutions</w:t>
      </w:r>
    </w:p>
    <w:p w14:paraId="3923B749" w14:textId="6728163D"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The study's findings carry actionable implications for higher education administrators, faculty development coordinators</w:t>
      </w:r>
      <w:r w:rsidR="005F260C">
        <w:rPr>
          <w:rFonts w:asciiTheme="majorBidi" w:hAnsiTheme="majorBidi" w:cstheme="majorBidi"/>
        </w:rPr>
        <w:t xml:space="preserve"> and</w:t>
      </w:r>
      <w:r w:rsidRPr="00ED1B00">
        <w:rPr>
          <w:rFonts w:asciiTheme="majorBidi" w:hAnsiTheme="majorBidi" w:cstheme="majorBidi"/>
        </w:rPr>
        <w:t xml:space="preserve"> human resource professionals. Given the strong predictive power of self-regulation, institutions should prioritize investment in professional development programs that cultivate emotional regulation skills among academic staff. Mindfulness-based training, stress resilience workshops</w:t>
      </w:r>
      <w:r w:rsidR="005F260C">
        <w:rPr>
          <w:rFonts w:asciiTheme="majorBidi" w:hAnsiTheme="majorBidi" w:cstheme="majorBidi"/>
        </w:rPr>
        <w:t xml:space="preserve"> and</w:t>
      </w:r>
      <w:r w:rsidRPr="00ED1B00">
        <w:rPr>
          <w:rFonts w:asciiTheme="majorBidi" w:hAnsiTheme="majorBidi" w:cstheme="majorBidi"/>
        </w:rPr>
        <w:t xml:space="preserve"> emotion regulation coaching should be embedded within institutional faculty development frameworks, particularly in environments characterized by high occupational stress. The findings of Freedman et al. (2025) on global EI decline further underscore the urgency of proactive institutional investment in sustaining emotional competencies.</w:t>
      </w:r>
    </w:p>
    <w:p w14:paraId="2A3B3B18" w14:textId="37D40DE5"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The significant effect of social competence supports the inclusion of interpersonal effectiveness training</w:t>
      </w:r>
      <w:r w:rsidR="005F260C">
        <w:rPr>
          <w:rFonts w:asciiTheme="majorBidi" w:hAnsiTheme="majorBidi" w:cstheme="majorBidi"/>
        </w:rPr>
        <w:t xml:space="preserve"> </w:t>
      </w:r>
      <w:r w:rsidRPr="00ED1B00">
        <w:rPr>
          <w:rFonts w:asciiTheme="majorBidi" w:hAnsiTheme="majorBidi" w:cstheme="majorBidi"/>
        </w:rPr>
        <w:t>encompassing empathy, communication skills</w:t>
      </w:r>
      <w:r w:rsidR="005F260C">
        <w:rPr>
          <w:rFonts w:asciiTheme="majorBidi" w:hAnsiTheme="majorBidi" w:cstheme="majorBidi"/>
        </w:rPr>
        <w:t xml:space="preserve"> and</w:t>
      </w:r>
      <w:r w:rsidRPr="00ED1B00">
        <w:rPr>
          <w:rFonts w:asciiTheme="majorBidi" w:hAnsiTheme="majorBidi" w:cstheme="majorBidi"/>
        </w:rPr>
        <w:t xml:space="preserve"> conflict management</w:t>
      </w:r>
      <w:r w:rsidR="005F260C">
        <w:rPr>
          <w:rFonts w:asciiTheme="majorBidi" w:hAnsiTheme="majorBidi" w:cstheme="majorBidi"/>
        </w:rPr>
        <w:t xml:space="preserve"> </w:t>
      </w:r>
      <w:r w:rsidRPr="00ED1B00">
        <w:rPr>
          <w:rFonts w:asciiTheme="majorBidi" w:hAnsiTheme="majorBidi" w:cstheme="majorBidi"/>
        </w:rPr>
        <w:t xml:space="preserve">within leadership and faculty development curricula. Institutions should also consider creating emotionally supportive workplace cultures that normalize the acknowledgment of emotional experiences and reward interpersonally effective </w:t>
      </w:r>
      <w:proofErr w:type="spellStart"/>
      <w:r w:rsidRPr="00ED1B00">
        <w:rPr>
          <w:rFonts w:asciiTheme="majorBidi" w:hAnsiTheme="majorBidi" w:cstheme="majorBidi"/>
        </w:rPr>
        <w:t>behavior</w:t>
      </w:r>
      <w:proofErr w:type="spellEnd"/>
      <w:r w:rsidRPr="00ED1B00">
        <w:rPr>
          <w:rFonts w:asciiTheme="majorBidi" w:hAnsiTheme="majorBidi" w:cstheme="majorBidi"/>
        </w:rPr>
        <w:t xml:space="preserve">. </w:t>
      </w:r>
    </w:p>
    <w:p w14:paraId="3D56DDD0" w14:textId="10FD6057" w:rsidR="006C6D9A" w:rsidRPr="00ED1B00" w:rsidRDefault="00A255F5">
      <w:pPr>
        <w:spacing w:after="160" w:line="360" w:lineRule="auto"/>
        <w:jc w:val="both"/>
        <w:rPr>
          <w:rFonts w:asciiTheme="majorBidi" w:hAnsiTheme="majorBidi" w:cstheme="majorBidi"/>
        </w:rPr>
      </w:pPr>
      <w:r w:rsidRPr="00ED1B00">
        <w:rPr>
          <w:rFonts w:asciiTheme="majorBidi" w:hAnsiTheme="majorBidi" w:cstheme="majorBidi"/>
        </w:rPr>
        <w:t>Zhou et al. (2026) affirm that cultivating emotionally intelligent leadership has cascading positive effects on staff satisfaction, engagement</w:t>
      </w:r>
      <w:r w:rsidR="005F260C">
        <w:rPr>
          <w:rFonts w:asciiTheme="majorBidi" w:hAnsiTheme="majorBidi" w:cstheme="majorBidi"/>
        </w:rPr>
        <w:t xml:space="preserve"> and</w:t>
      </w:r>
      <w:r w:rsidRPr="00ED1B00">
        <w:rPr>
          <w:rFonts w:asciiTheme="majorBidi" w:hAnsiTheme="majorBidi" w:cstheme="majorBidi"/>
        </w:rPr>
        <w:t xml:space="preserve"> performance in academic organizations.</w:t>
      </w:r>
    </w:p>
    <w:p w14:paraId="48884316" w14:textId="4EC62397"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The significant contribution of self-awareness further implies that reflective professional practice should be actively encouraged and institutionally supported. Mentoring programs, structured peer-feedback mechanisms</w:t>
      </w:r>
      <w:r w:rsidR="005F260C">
        <w:rPr>
          <w:rFonts w:asciiTheme="majorBidi" w:hAnsiTheme="majorBidi" w:cstheme="majorBidi"/>
        </w:rPr>
        <w:t xml:space="preserve"> and</w:t>
      </w:r>
      <w:r w:rsidRPr="00ED1B00">
        <w:rPr>
          <w:rFonts w:asciiTheme="majorBidi" w:hAnsiTheme="majorBidi" w:cstheme="majorBidi"/>
        </w:rPr>
        <w:t xml:space="preserve"> personal development coaching can serve as vehicles for cultivating self-awareness among academic staff at all career stages. For recruitment and appraisal purposes, the findings suggest that emotional competencies should be formally assessed alongside cognitive </w:t>
      </w:r>
      <w:r w:rsidRPr="00ED1B00">
        <w:rPr>
          <w:rFonts w:asciiTheme="majorBidi" w:hAnsiTheme="majorBidi" w:cstheme="majorBidi"/>
        </w:rPr>
        <w:lastRenderedPageBreak/>
        <w:t>qualifications, using validated instruments such as the WLEIS (Wong &amp; Law, 2002) to enhance the predictive validity of hiring and promotion decisions.</w:t>
      </w:r>
    </w:p>
    <w:p w14:paraId="610CB141" w14:textId="77777777" w:rsidR="006C6D9A" w:rsidRPr="00ED1B00" w:rsidRDefault="00A255F5">
      <w:pPr>
        <w:pStyle w:val="Heading1"/>
        <w:rPr>
          <w:rFonts w:asciiTheme="majorBidi" w:hAnsiTheme="majorBidi" w:cstheme="majorBidi"/>
          <w:sz w:val="24"/>
          <w:szCs w:val="24"/>
        </w:rPr>
      </w:pPr>
      <w:r w:rsidRPr="00ED1B00">
        <w:rPr>
          <w:rFonts w:asciiTheme="majorBidi" w:hAnsiTheme="majorBidi" w:cstheme="majorBidi"/>
          <w:sz w:val="24"/>
          <w:szCs w:val="24"/>
        </w:rPr>
        <w:t>7. Limitations and Future Research Directions</w:t>
      </w:r>
    </w:p>
    <w:p w14:paraId="3EF8ECFF" w14:textId="49C7C1A4"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This study is subject to several limitations that should be considered when interpreting the findings. First, the cross-sectional research design precludes causal inference. While the study establishes statistically significant associations between EI dimensions and job performance, temporal precedence cannot be established. Longitudinal research designs</w:t>
      </w:r>
      <w:r w:rsidR="005F260C">
        <w:rPr>
          <w:rFonts w:asciiTheme="majorBidi" w:hAnsiTheme="majorBidi" w:cstheme="majorBidi"/>
        </w:rPr>
        <w:t xml:space="preserve"> </w:t>
      </w:r>
      <w:r w:rsidRPr="00ED1B00">
        <w:rPr>
          <w:rFonts w:asciiTheme="majorBidi" w:hAnsiTheme="majorBidi" w:cstheme="majorBidi"/>
        </w:rPr>
        <w:t>such as the cross-lagged panel approach employed by Zhou et al. (2026)</w:t>
      </w:r>
      <w:r w:rsidR="005F260C">
        <w:rPr>
          <w:rFonts w:asciiTheme="majorBidi" w:hAnsiTheme="majorBidi" w:cstheme="majorBidi"/>
        </w:rPr>
        <w:t xml:space="preserve"> </w:t>
      </w:r>
      <w:r w:rsidRPr="00ED1B00">
        <w:rPr>
          <w:rFonts w:asciiTheme="majorBidi" w:hAnsiTheme="majorBidi" w:cstheme="majorBidi"/>
        </w:rPr>
        <w:t>are needed to confirm the directional causality implied by the theoretical framework.</w:t>
      </w:r>
    </w:p>
    <w:p w14:paraId="6EA8B911" w14:textId="4D27739E"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Second, the reliance on self-report measures introduces the possibility of socially desirable responding and common method variance, though VIF analyses suggest that common method bias is not a substantive concern in this dataset. Future studies may benefit from multi-source performance ratings</w:t>
      </w:r>
      <w:r w:rsidR="005F260C">
        <w:rPr>
          <w:rFonts w:asciiTheme="majorBidi" w:hAnsiTheme="majorBidi" w:cstheme="majorBidi"/>
        </w:rPr>
        <w:t xml:space="preserve"> </w:t>
      </w:r>
      <w:r w:rsidRPr="00ED1B00">
        <w:rPr>
          <w:rFonts w:asciiTheme="majorBidi" w:hAnsiTheme="majorBidi" w:cstheme="majorBidi"/>
        </w:rPr>
        <w:t>incorporating supervisor or peer assessments</w:t>
      </w:r>
      <w:r w:rsidR="005F260C">
        <w:rPr>
          <w:rFonts w:asciiTheme="majorBidi" w:hAnsiTheme="majorBidi" w:cstheme="majorBidi"/>
        </w:rPr>
        <w:t xml:space="preserve"> </w:t>
      </w:r>
      <w:r w:rsidRPr="00ED1B00">
        <w:rPr>
          <w:rFonts w:asciiTheme="majorBidi" w:hAnsiTheme="majorBidi" w:cstheme="majorBidi"/>
        </w:rPr>
        <w:t>to provide more objective performance indicators.</w:t>
      </w:r>
    </w:p>
    <w:p w14:paraId="59D0B77C" w14:textId="77777777"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Third, the sample is restricted to academic staff in Jammu and Kashmir, which may limit the generalizability of the findings to other geographic regions and organizational contexts. Comparative multi-regional or cross-national studies would enrich understanding of how contextual factors moderate the EI-performance relationship across settings.</w:t>
      </w:r>
    </w:p>
    <w:p w14:paraId="371C090F" w14:textId="7A5E4205"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Fourth, the study does not examine potential mediating or moderating variables. Several theoretically relevant candidates</w:t>
      </w:r>
      <w:r w:rsidR="005F260C">
        <w:rPr>
          <w:rFonts w:asciiTheme="majorBidi" w:hAnsiTheme="majorBidi" w:cstheme="majorBidi"/>
        </w:rPr>
        <w:t xml:space="preserve"> </w:t>
      </w:r>
      <w:r w:rsidRPr="00ED1B00">
        <w:rPr>
          <w:rFonts w:asciiTheme="majorBidi" w:hAnsiTheme="majorBidi" w:cstheme="majorBidi"/>
        </w:rPr>
        <w:t>including work engagement, organizational support, psychological safety, job demands</w:t>
      </w:r>
      <w:r w:rsidR="005F260C">
        <w:rPr>
          <w:rFonts w:asciiTheme="majorBidi" w:hAnsiTheme="majorBidi" w:cstheme="majorBidi"/>
        </w:rPr>
        <w:t xml:space="preserve"> and</w:t>
      </w:r>
      <w:r w:rsidRPr="00ED1B00">
        <w:rPr>
          <w:rFonts w:asciiTheme="majorBidi" w:hAnsiTheme="majorBidi" w:cstheme="majorBidi"/>
        </w:rPr>
        <w:t xml:space="preserve"> personality traits such as conscientiousness</w:t>
      </w:r>
      <w:r w:rsidR="005F260C">
        <w:rPr>
          <w:rFonts w:asciiTheme="majorBidi" w:hAnsiTheme="majorBidi" w:cstheme="majorBidi"/>
        </w:rPr>
        <w:t xml:space="preserve"> </w:t>
      </w:r>
      <w:r w:rsidRPr="00ED1B00">
        <w:rPr>
          <w:rFonts w:asciiTheme="majorBidi" w:hAnsiTheme="majorBidi" w:cstheme="majorBidi"/>
        </w:rPr>
        <w:t>may clarify the mechanisms and boundary conditions through which EI dimensions influence performance. Future research employing mediation and moderation analyses</w:t>
      </w:r>
      <w:r w:rsidR="005F260C">
        <w:rPr>
          <w:rFonts w:asciiTheme="majorBidi" w:hAnsiTheme="majorBidi" w:cstheme="majorBidi"/>
        </w:rPr>
        <w:t xml:space="preserve"> </w:t>
      </w:r>
      <w:r w:rsidRPr="00ED1B00">
        <w:rPr>
          <w:rFonts w:asciiTheme="majorBidi" w:hAnsiTheme="majorBidi" w:cstheme="majorBidi"/>
        </w:rPr>
        <w:t>guided by the JD-R framework (Bakker &amp; Demerouti, 2023) and the leadership moderation models of Li et al. (2024) and Pulido-</w:t>
      </w:r>
      <w:proofErr w:type="spellStart"/>
      <w:r w:rsidRPr="00ED1B00">
        <w:rPr>
          <w:rFonts w:asciiTheme="majorBidi" w:hAnsiTheme="majorBidi" w:cstheme="majorBidi"/>
        </w:rPr>
        <w:t>Martos</w:t>
      </w:r>
      <w:proofErr w:type="spellEnd"/>
      <w:r w:rsidRPr="00ED1B00">
        <w:rPr>
          <w:rFonts w:asciiTheme="majorBidi" w:hAnsiTheme="majorBidi" w:cstheme="majorBidi"/>
        </w:rPr>
        <w:t xml:space="preserve"> et al. (2024)</w:t>
      </w:r>
      <w:r w:rsidR="005F260C">
        <w:rPr>
          <w:rFonts w:asciiTheme="majorBidi" w:hAnsiTheme="majorBidi" w:cstheme="majorBidi"/>
        </w:rPr>
        <w:t xml:space="preserve"> </w:t>
      </w:r>
      <w:r w:rsidRPr="00ED1B00">
        <w:rPr>
          <w:rFonts w:asciiTheme="majorBidi" w:hAnsiTheme="majorBidi" w:cstheme="majorBidi"/>
        </w:rPr>
        <w:t>would substantially advance the theoretical richness of this area.</w:t>
      </w:r>
    </w:p>
    <w:p w14:paraId="49944556" w14:textId="77777777"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 xml:space="preserve">Finally, although the </w:t>
      </w:r>
      <w:proofErr w:type="spellStart"/>
      <w:r w:rsidRPr="00ED1B00">
        <w:rPr>
          <w:rFonts w:asciiTheme="majorBidi" w:hAnsiTheme="majorBidi" w:cstheme="majorBidi"/>
        </w:rPr>
        <w:t>Fornell-Larcker</w:t>
      </w:r>
      <w:proofErr w:type="spellEnd"/>
      <w:r w:rsidRPr="00ED1B00">
        <w:rPr>
          <w:rFonts w:asciiTheme="majorBidi" w:hAnsiTheme="majorBidi" w:cstheme="majorBidi"/>
        </w:rPr>
        <w:t xml:space="preserve"> criterion supports discriminant validity, future studies may wish to additionally report the </w:t>
      </w:r>
      <w:proofErr w:type="spellStart"/>
      <w:r w:rsidRPr="00ED1B00">
        <w:rPr>
          <w:rFonts w:asciiTheme="majorBidi" w:hAnsiTheme="majorBidi" w:cstheme="majorBidi"/>
        </w:rPr>
        <w:t>Heterotrait-Monotrait</w:t>
      </w:r>
      <w:proofErr w:type="spellEnd"/>
      <w:r w:rsidRPr="00ED1B00">
        <w:rPr>
          <w:rFonts w:asciiTheme="majorBidi" w:hAnsiTheme="majorBidi" w:cstheme="majorBidi"/>
        </w:rPr>
        <w:t xml:space="preserve"> Ratio (HTMT), which provides a more conservative and increasingly recommended test of discriminant validity in PLS-SEM contexts (</w:t>
      </w:r>
      <w:proofErr w:type="spellStart"/>
      <w:r w:rsidRPr="00ED1B00">
        <w:rPr>
          <w:rFonts w:asciiTheme="majorBidi" w:hAnsiTheme="majorBidi" w:cstheme="majorBidi"/>
        </w:rPr>
        <w:t>Henseler</w:t>
      </w:r>
      <w:proofErr w:type="spellEnd"/>
      <w:r w:rsidRPr="00ED1B00">
        <w:rPr>
          <w:rFonts w:asciiTheme="majorBidi" w:hAnsiTheme="majorBidi" w:cstheme="majorBidi"/>
        </w:rPr>
        <w:t xml:space="preserve"> et al., 2015).</w:t>
      </w:r>
    </w:p>
    <w:p w14:paraId="7E8D7962" w14:textId="255F5E2E" w:rsidR="006C6D9A" w:rsidRPr="00ED1B00" w:rsidRDefault="00A255F5">
      <w:pPr>
        <w:pStyle w:val="Heading1"/>
        <w:rPr>
          <w:rFonts w:asciiTheme="majorBidi" w:hAnsiTheme="majorBidi" w:cstheme="majorBidi"/>
          <w:sz w:val="24"/>
          <w:szCs w:val="24"/>
        </w:rPr>
      </w:pPr>
      <w:r w:rsidRPr="00ED1B00">
        <w:rPr>
          <w:rFonts w:asciiTheme="majorBidi" w:hAnsiTheme="majorBidi" w:cstheme="majorBidi"/>
          <w:sz w:val="24"/>
          <w:szCs w:val="24"/>
        </w:rPr>
        <w:lastRenderedPageBreak/>
        <w:t xml:space="preserve">8. </w:t>
      </w:r>
      <w:r w:rsidR="00F158CE">
        <w:rPr>
          <w:rFonts w:asciiTheme="majorBidi" w:hAnsiTheme="majorBidi" w:cstheme="majorBidi"/>
          <w:sz w:val="24"/>
          <w:szCs w:val="24"/>
        </w:rPr>
        <w:t xml:space="preserve">Summary and </w:t>
      </w:r>
      <w:r w:rsidRPr="00ED1B00">
        <w:rPr>
          <w:rFonts w:asciiTheme="majorBidi" w:hAnsiTheme="majorBidi" w:cstheme="majorBidi"/>
          <w:sz w:val="24"/>
          <w:szCs w:val="24"/>
        </w:rPr>
        <w:t>Conclusion</w:t>
      </w:r>
    </w:p>
    <w:p w14:paraId="3018BD20" w14:textId="77777777" w:rsidR="005F260C" w:rsidRDefault="00A255F5" w:rsidP="005F260C">
      <w:pPr>
        <w:spacing w:after="160" w:line="360" w:lineRule="auto"/>
        <w:jc w:val="both"/>
        <w:rPr>
          <w:rFonts w:asciiTheme="majorBidi" w:hAnsiTheme="majorBidi" w:cstheme="majorBidi"/>
        </w:rPr>
      </w:pPr>
      <w:r w:rsidRPr="00ED1B00">
        <w:rPr>
          <w:rFonts w:asciiTheme="majorBidi" w:hAnsiTheme="majorBidi" w:cstheme="majorBidi"/>
        </w:rPr>
        <w:t>This study provides comprehensive empirical evidence for the positive effects of all three emotional intelligence dimensions</w:t>
      </w:r>
      <w:r w:rsidR="005F260C">
        <w:rPr>
          <w:rFonts w:asciiTheme="majorBidi" w:hAnsiTheme="majorBidi" w:cstheme="majorBidi"/>
        </w:rPr>
        <w:t xml:space="preserve">- </w:t>
      </w:r>
      <w:r w:rsidRPr="00ED1B00">
        <w:rPr>
          <w:rFonts w:asciiTheme="majorBidi" w:hAnsiTheme="majorBidi" w:cstheme="majorBidi"/>
        </w:rPr>
        <w:t>self-awareness, self-regulation</w:t>
      </w:r>
      <w:r w:rsidR="005F260C">
        <w:rPr>
          <w:rFonts w:asciiTheme="majorBidi" w:hAnsiTheme="majorBidi" w:cstheme="majorBidi"/>
        </w:rPr>
        <w:t xml:space="preserve"> and</w:t>
      </w:r>
      <w:r w:rsidRPr="00ED1B00">
        <w:rPr>
          <w:rFonts w:asciiTheme="majorBidi" w:hAnsiTheme="majorBidi" w:cstheme="majorBidi"/>
        </w:rPr>
        <w:t xml:space="preserve"> social competence</w:t>
      </w:r>
      <w:r w:rsidR="005F260C">
        <w:rPr>
          <w:rFonts w:asciiTheme="majorBidi" w:hAnsiTheme="majorBidi" w:cstheme="majorBidi"/>
        </w:rPr>
        <w:t xml:space="preserve"> </w:t>
      </w:r>
      <w:r w:rsidRPr="00ED1B00">
        <w:rPr>
          <w:rFonts w:asciiTheme="majorBidi" w:hAnsiTheme="majorBidi" w:cstheme="majorBidi"/>
        </w:rPr>
        <w:t>on job performance among academic staff in higher education institutions in Jammu and Kashmir, India. Employing PLS-SEM, the findings demonstrate that self-regulation (β = 0.488, p &lt; 0.001) is the strongest predictor of job performance, followed by social competence (β = 0.400, p &lt; 0.001) and self-awareness (β = 0.232, p &lt; 0.001). Together, these three dimensions explain 67.6% of the variance in job performance (R² = 0.676), reflecting the substantial and collective explanatory power of emotional intelligence in this context.</w:t>
      </w:r>
    </w:p>
    <w:p w14:paraId="236CE950" w14:textId="4EE130C4" w:rsidR="006C6D9A" w:rsidRPr="00ED1B00" w:rsidRDefault="00A255F5" w:rsidP="005F260C">
      <w:pPr>
        <w:spacing w:after="160" w:line="360" w:lineRule="auto"/>
        <w:jc w:val="both"/>
        <w:rPr>
          <w:rFonts w:asciiTheme="majorBidi" w:hAnsiTheme="majorBidi" w:cstheme="majorBidi"/>
        </w:rPr>
      </w:pPr>
      <w:r w:rsidRPr="00ED1B00">
        <w:rPr>
          <w:rFonts w:asciiTheme="majorBidi" w:hAnsiTheme="majorBidi" w:cstheme="majorBidi"/>
        </w:rPr>
        <w:t>These results affirm the multidimensional relevance of emotional intelligence in higher education and underscore that each dimension</w:t>
      </w:r>
      <w:r w:rsidR="005F260C">
        <w:rPr>
          <w:rFonts w:asciiTheme="majorBidi" w:hAnsiTheme="majorBidi" w:cstheme="majorBidi"/>
        </w:rPr>
        <w:t xml:space="preserve"> </w:t>
      </w:r>
      <w:r w:rsidRPr="00ED1B00">
        <w:rPr>
          <w:rFonts w:asciiTheme="majorBidi" w:hAnsiTheme="majorBidi" w:cstheme="majorBidi"/>
        </w:rPr>
        <w:t>whether intrapersonal recognition (self-awareness), intrapersonal regulation (self-regulation)</w:t>
      </w:r>
      <w:r w:rsidR="005F260C">
        <w:rPr>
          <w:rFonts w:asciiTheme="majorBidi" w:hAnsiTheme="majorBidi" w:cstheme="majorBidi"/>
        </w:rPr>
        <w:t xml:space="preserve"> </w:t>
      </w:r>
      <w:r w:rsidRPr="00ED1B00">
        <w:rPr>
          <w:rFonts w:asciiTheme="majorBidi" w:hAnsiTheme="majorBidi" w:cstheme="majorBidi"/>
        </w:rPr>
        <w:t>or interpersonal application (social competence)</w:t>
      </w:r>
      <w:r w:rsidR="005F260C">
        <w:rPr>
          <w:rFonts w:asciiTheme="majorBidi" w:hAnsiTheme="majorBidi" w:cstheme="majorBidi"/>
        </w:rPr>
        <w:t xml:space="preserve"> </w:t>
      </w:r>
      <w:r w:rsidRPr="00ED1B00">
        <w:rPr>
          <w:rFonts w:asciiTheme="majorBidi" w:hAnsiTheme="majorBidi" w:cstheme="majorBidi"/>
        </w:rPr>
        <w:t>contributes independently and meaningfully to academic performance. The findings are consistent with the growing body of evidence from diverse educational contexts (</w:t>
      </w:r>
      <w:proofErr w:type="spellStart"/>
      <w:r w:rsidRPr="00ED1B00">
        <w:rPr>
          <w:rFonts w:asciiTheme="majorBidi" w:hAnsiTheme="majorBidi" w:cstheme="majorBidi"/>
        </w:rPr>
        <w:t>Caratiquit</w:t>
      </w:r>
      <w:proofErr w:type="spellEnd"/>
      <w:r w:rsidRPr="00ED1B00">
        <w:rPr>
          <w:rFonts w:asciiTheme="majorBidi" w:hAnsiTheme="majorBidi" w:cstheme="majorBidi"/>
        </w:rPr>
        <w:t>, 2025; Xu et al., 2024; Munir et al., 2025) and organizational settings (</w:t>
      </w:r>
      <w:proofErr w:type="spellStart"/>
      <w:r w:rsidRPr="00ED1B00">
        <w:rPr>
          <w:rFonts w:asciiTheme="majorBidi" w:hAnsiTheme="majorBidi" w:cstheme="majorBidi"/>
        </w:rPr>
        <w:t>Gebre</w:t>
      </w:r>
      <w:proofErr w:type="spellEnd"/>
      <w:r w:rsidRPr="00ED1B00">
        <w:rPr>
          <w:rFonts w:asciiTheme="majorBidi" w:hAnsiTheme="majorBidi" w:cstheme="majorBidi"/>
        </w:rPr>
        <w:t xml:space="preserve">, 2024; </w:t>
      </w:r>
      <w:proofErr w:type="spellStart"/>
      <w:r w:rsidRPr="00ED1B00">
        <w:rPr>
          <w:rFonts w:asciiTheme="majorBidi" w:hAnsiTheme="majorBidi" w:cstheme="majorBidi"/>
        </w:rPr>
        <w:t>Shahabi</w:t>
      </w:r>
      <w:proofErr w:type="spellEnd"/>
      <w:r w:rsidRPr="00ED1B00">
        <w:rPr>
          <w:rFonts w:asciiTheme="majorBidi" w:hAnsiTheme="majorBidi" w:cstheme="majorBidi"/>
        </w:rPr>
        <w:t xml:space="preserve"> et al., 2025), reinforcing the universality of EI's performance-enhancing properties while situating them within the specific demands of conflict-affected higher education.</w:t>
      </w:r>
    </w:p>
    <w:p w14:paraId="243F6F8A" w14:textId="67E3A8D6" w:rsidR="006C6D9A" w:rsidRPr="00ED1B00" w:rsidRDefault="00A255F5" w:rsidP="00ED1B00">
      <w:pPr>
        <w:spacing w:after="160" w:line="360" w:lineRule="auto"/>
        <w:jc w:val="both"/>
        <w:rPr>
          <w:rFonts w:asciiTheme="majorBidi" w:hAnsiTheme="majorBidi" w:cstheme="majorBidi"/>
        </w:rPr>
      </w:pPr>
      <w:r w:rsidRPr="00ED1B00">
        <w:rPr>
          <w:rFonts w:asciiTheme="majorBidi" w:hAnsiTheme="majorBidi" w:cstheme="majorBidi"/>
        </w:rPr>
        <w:t>For higher education institutions in J&amp;K and comparable settings, cultivating emotional intelligence across all three dimensions in academic staff represents a high-yield investment in institutional performance, faculty well-being</w:t>
      </w:r>
      <w:r w:rsidR="005F260C">
        <w:rPr>
          <w:rFonts w:asciiTheme="majorBidi" w:hAnsiTheme="majorBidi" w:cstheme="majorBidi"/>
        </w:rPr>
        <w:t xml:space="preserve"> and</w:t>
      </w:r>
      <w:r w:rsidRPr="00ED1B00">
        <w:rPr>
          <w:rFonts w:asciiTheme="majorBidi" w:hAnsiTheme="majorBidi" w:cstheme="majorBidi"/>
        </w:rPr>
        <w:t xml:space="preserve"> educational quality. As organizations in knowledge-intensive sectors increasingly recognize the strategic value of emotional competencies alongside cognitive ability</w:t>
      </w:r>
      <w:r w:rsidR="005F260C">
        <w:rPr>
          <w:rFonts w:asciiTheme="majorBidi" w:hAnsiTheme="majorBidi" w:cstheme="majorBidi"/>
        </w:rPr>
        <w:t xml:space="preserve"> </w:t>
      </w:r>
      <w:r w:rsidRPr="00ED1B00">
        <w:rPr>
          <w:rFonts w:asciiTheme="majorBidi" w:hAnsiTheme="majorBidi" w:cstheme="majorBidi"/>
        </w:rPr>
        <w:t>and as global EI decline poses growing risks to workforce resilience (Freedman et al., 2025)</w:t>
      </w:r>
      <w:r w:rsidR="005F260C">
        <w:rPr>
          <w:rFonts w:asciiTheme="majorBidi" w:hAnsiTheme="majorBidi" w:cstheme="majorBidi"/>
        </w:rPr>
        <w:t xml:space="preserve"> </w:t>
      </w:r>
      <w:r w:rsidRPr="00ED1B00">
        <w:rPr>
          <w:rFonts w:asciiTheme="majorBidi" w:hAnsiTheme="majorBidi" w:cstheme="majorBidi"/>
        </w:rPr>
        <w:t>this study offers timely, evidence-based guidance for scholars, practitioners</w:t>
      </w:r>
      <w:r w:rsidR="005F260C">
        <w:rPr>
          <w:rFonts w:asciiTheme="majorBidi" w:hAnsiTheme="majorBidi" w:cstheme="majorBidi"/>
        </w:rPr>
        <w:t xml:space="preserve"> and</w:t>
      </w:r>
      <w:r w:rsidRPr="00ED1B00">
        <w:rPr>
          <w:rFonts w:asciiTheme="majorBidi" w:hAnsiTheme="majorBidi" w:cstheme="majorBidi"/>
        </w:rPr>
        <w:t xml:space="preserve"> policymakers committed to enhancing human performance in higher education.</w:t>
      </w:r>
    </w:p>
    <w:p w14:paraId="77FA8408" w14:textId="77777777" w:rsidR="00F158CE" w:rsidRPr="00F158CE" w:rsidRDefault="00F158CE" w:rsidP="00F158CE">
      <w:pPr>
        <w:spacing w:after="80"/>
        <w:rPr>
          <w:rFonts w:asciiTheme="majorBidi" w:hAnsiTheme="majorBidi" w:cstheme="majorBidi"/>
          <w:b/>
        </w:rPr>
      </w:pPr>
      <w:r w:rsidRPr="00F158CE">
        <w:rPr>
          <w:rFonts w:asciiTheme="majorBidi" w:hAnsiTheme="majorBidi" w:cstheme="majorBidi"/>
          <w:b/>
        </w:rPr>
        <w:t xml:space="preserve">Consent </w:t>
      </w:r>
    </w:p>
    <w:p w14:paraId="30A6D3EE" w14:textId="5C4CE62C" w:rsidR="006C6D9A" w:rsidRDefault="00F158CE" w:rsidP="00F158CE">
      <w:pPr>
        <w:spacing w:after="80"/>
        <w:rPr>
          <w:rFonts w:asciiTheme="majorBidi" w:hAnsiTheme="majorBidi" w:cstheme="majorBidi"/>
        </w:rPr>
      </w:pPr>
      <w:r w:rsidRPr="00F158CE">
        <w:rPr>
          <w:rFonts w:asciiTheme="majorBidi" w:hAnsiTheme="majorBidi" w:cstheme="majorBidi"/>
        </w:rPr>
        <w:t>As per international standards or university standards, patient(s) written consent has been collected and preserved by the author(s).</w:t>
      </w:r>
    </w:p>
    <w:p w14:paraId="0D27139C" w14:textId="2F27F12F" w:rsidR="00F158CE" w:rsidRDefault="00F158CE" w:rsidP="00F158CE">
      <w:pPr>
        <w:spacing w:after="80"/>
        <w:rPr>
          <w:rFonts w:asciiTheme="majorBidi" w:hAnsiTheme="majorBidi" w:cstheme="majorBidi"/>
        </w:rPr>
      </w:pPr>
    </w:p>
    <w:p w14:paraId="484673D2" w14:textId="77777777" w:rsidR="00F158CE" w:rsidRPr="00F158CE" w:rsidRDefault="00F158CE" w:rsidP="00F158CE">
      <w:pPr>
        <w:spacing w:after="80"/>
        <w:rPr>
          <w:rFonts w:asciiTheme="majorBidi" w:hAnsiTheme="majorBidi" w:cstheme="majorBidi"/>
          <w:b/>
        </w:rPr>
      </w:pPr>
      <w:r w:rsidRPr="00F158CE">
        <w:rPr>
          <w:rFonts w:asciiTheme="majorBidi" w:hAnsiTheme="majorBidi" w:cstheme="majorBidi"/>
          <w:b/>
        </w:rPr>
        <w:t>Disclaimer (Artificial intelligence)</w:t>
      </w:r>
    </w:p>
    <w:p w14:paraId="2A5C63AE" w14:textId="1E2CF18D" w:rsidR="00F158CE" w:rsidRPr="00ED1B00" w:rsidRDefault="00F158CE" w:rsidP="00F158CE">
      <w:pPr>
        <w:spacing w:after="80"/>
        <w:rPr>
          <w:rFonts w:asciiTheme="majorBidi" w:hAnsiTheme="majorBidi" w:cstheme="majorBidi"/>
        </w:rPr>
      </w:pPr>
      <w:r w:rsidRPr="00F158CE">
        <w:rPr>
          <w:rFonts w:asciiTheme="majorBidi" w:hAnsiTheme="majorBidi" w:cstheme="majorBidi"/>
        </w:rPr>
        <w:lastRenderedPageBreak/>
        <w:t>Author(s) hereby declare that NO generative AI technologies such as Large Language Models (</w:t>
      </w:r>
      <w:proofErr w:type="spellStart"/>
      <w:r w:rsidRPr="00F158CE">
        <w:rPr>
          <w:rFonts w:asciiTheme="majorBidi" w:hAnsiTheme="majorBidi" w:cstheme="majorBidi"/>
        </w:rPr>
        <w:t>ChatGPT</w:t>
      </w:r>
      <w:proofErr w:type="spellEnd"/>
      <w:r w:rsidRPr="00F158CE">
        <w:rPr>
          <w:rFonts w:asciiTheme="majorBidi" w:hAnsiTheme="majorBidi" w:cstheme="majorBidi"/>
        </w:rPr>
        <w:t>, COPILOT, etc.) and text-to-image generators have been used during the writing or editing of this manuscript.</w:t>
      </w:r>
    </w:p>
    <w:p w14:paraId="6CC073F0" w14:textId="77777777" w:rsidR="00DB5803" w:rsidRDefault="00DB5803">
      <w:pPr>
        <w:pStyle w:val="Heading1"/>
        <w:rPr>
          <w:rFonts w:asciiTheme="majorBidi" w:hAnsiTheme="majorBidi" w:cstheme="majorBidi"/>
          <w:sz w:val="24"/>
          <w:szCs w:val="24"/>
        </w:rPr>
      </w:pPr>
    </w:p>
    <w:p w14:paraId="05B072BB" w14:textId="77777777" w:rsidR="00DB5803" w:rsidRDefault="00DB5803">
      <w:pPr>
        <w:pStyle w:val="Heading1"/>
        <w:rPr>
          <w:rFonts w:asciiTheme="majorBidi" w:hAnsiTheme="majorBidi" w:cstheme="majorBidi"/>
          <w:sz w:val="24"/>
          <w:szCs w:val="24"/>
        </w:rPr>
      </w:pPr>
    </w:p>
    <w:p w14:paraId="4F0B5990" w14:textId="77777777" w:rsidR="00DB5803" w:rsidRDefault="00DB5803">
      <w:pPr>
        <w:pStyle w:val="Heading1"/>
        <w:rPr>
          <w:rFonts w:asciiTheme="majorBidi" w:hAnsiTheme="majorBidi" w:cstheme="majorBidi"/>
          <w:sz w:val="24"/>
          <w:szCs w:val="24"/>
        </w:rPr>
      </w:pPr>
    </w:p>
    <w:p w14:paraId="0B1D204A" w14:textId="5D2E29ED" w:rsidR="006C6D9A" w:rsidRPr="00ED1B00" w:rsidRDefault="00A255F5">
      <w:pPr>
        <w:pStyle w:val="Heading1"/>
        <w:rPr>
          <w:rFonts w:asciiTheme="majorBidi" w:hAnsiTheme="majorBidi" w:cstheme="majorBidi"/>
          <w:sz w:val="24"/>
          <w:szCs w:val="24"/>
        </w:rPr>
      </w:pPr>
      <w:r w:rsidRPr="00ED1B00">
        <w:rPr>
          <w:rFonts w:asciiTheme="majorBidi" w:hAnsiTheme="majorBidi" w:cstheme="majorBidi"/>
          <w:sz w:val="24"/>
          <w:szCs w:val="24"/>
        </w:rPr>
        <w:t>References</w:t>
      </w:r>
    </w:p>
    <w:p w14:paraId="30B29194"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Anderson, J. C., &amp; </w:t>
      </w:r>
      <w:proofErr w:type="spellStart"/>
      <w:r w:rsidRPr="00AF5F92">
        <w:rPr>
          <w:rFonts w:asciiTheme="majorBidi" w:hAnsiTheme="majorBidi" w:cstheme="majorBidi"/>
        </w:rPr>
        <w:t>Gerbing</w:t>
      </w:r>
      <w:proofErr w:type="spellEnd"/>
      <w:r w:rsidRPr="00AF5F92">
        <w:rPr>
          <w:rFonts w:asciiTheme="majorBidi" w:hAnsiTheme="majorBidi" w:cstheme="majorBidi"/>
        </w:rPr>
        <w:t xml:space="preserve">, D. W. (1988). Structural equation </w:t>
      </w:r>
      <w:proofErr w:type="spellStart"/>
      <w:r w:rsidRPr="00AF5F92">
        <w:rPr>
          <w:rFonts w:asciiTheme="majorBidi" w:hAnsiTheme="majorBidi" w:cstheme="majorBidi"/>
        </w:rPr>
        <w:t>modeling</w:t>
      </w:r>
      <w:proofErr w:type="spellEnd"/>
      <w:r w:rsidRPr="00AF5F92">
        <w:rPr>
          <w:rFonts w:asciiTheme="majorBidi" w:hAnsiTheme="majorBidi" w:cstheme="majorBidi"/>
        </w:rPr>
        <w:t xml:space="preserve"> in practice: A review and recommended two-step approach. Psychological Bulletin, 103(3), 411–423. </w:t>
      </w:r>
      <w:hyperlink r:id="rId7">
        <w:r w:rsidRPr="00AF5F92">
          <w:rPr>
            <w:rFonts w:asciiTheme="majorBidi" w:hAnsiTheme="majorBidi" w:cstheme="majorBidi"/>
            <w:color w:val="1155CC"/>
            <w:u w:val="single"/>
          </w:rPr>
          <w:t>https://doi.org/10.1037/0033-2909.103.3.411</w:t>
        </w:r>
      </w:hyperlink>
      <w:r w:rsidRPr="00AF5F92">
        <w:rPr>
          <w:rFonts w:asciiTheme="majorBidi" w:hAnsiTheme="majorBidi" w:cstheme="majorBidi"/>
        </w:rPr>
        <w:t xml:space="preserve"> </w:t>
      </w:r>
    </w:p>
    <w:p w14:paraId="77842122"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Bakker, A. B., &amp; Demerouti, E. (2023). Job demands-resources theory: Taking stock and looking forward. Journal of Occupational Health Psychology, 28(3), 157–172. </w:t>
      </w:r>
      <w:hyperlink r:id="rId8">
        <w:r w:rsidRPr="00AF5F92">
          <w:rPr>
            <w:rFonts w:asciiTheme="majorBidi" w:hAnsiTheme="majorBidi" w:cstheme="majorBidi"/>
            <w:color w:val="1155CC"/>
            <w:highlight w:val="white"/>
            <w:u w:val="single"/>
          </w:rPr>
          <w:t>https://doi.org/10.1037/ocp0000056</w:t>
        </w:r>
      </w:hyperlink>
      <w:r w:rsidRPr="00AF5F92">
        <w:rPr>
          <w:rFonts w:asciiTheme="majorBidi" w:hAnsiTheme="majorBidi" w:cstheme="majorBidi"/>
          <w:color w:val="666666"/>
          <w:highlight w:val="white"/>
        </w:rPr>
        <w:t xml:space="preserve"> </w:t>
      </w:r>
      <w:r w:rsidRPr="00AF5F92">
        <w:rPr>
          <w:rFonts w:asciiTheme="majorBidi" w:hAnsiTheme="majorBidi" w:cstheme="majorBidi"/>
        </w:rPr>
        <w:t xml:space="preserve"> </w:t>
      </w:r>
    </w:p>
    <w:p w14:paraId="292446AA"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Bhat, W. A., Farooq, B., Zamir, R. H., &amp; Hakim, I. A. (2024). Total quality management and organizational performance in healthcare: A systematic literature review. Journal of Healthcare Management. </w:t>
      </w:r>
      <w:hyperlink r:id="rId9">
        <w:r w:rsidRPr="00AF5F92">
          <w:rPr>
            <w:rFonts w:asciiTheme="majorBidi" w:hAnsiTheme="majorBidi" w:cstheme="majorBidi"/>
            <w:color w:val="1155CC"/>
            <w:u w:val="single"/>
          </w:rPr>
          <w:t>https://doi.org/10.1097/JHM</w:t>
        </w:r>
      </w:hyperlink>
      <w:r w:rsidRPr="00AF5F92">
        <w:rPr>
          <w:rFonts w:asciiTheme="majorBidi" w:hAnsiTheme="majorBidi" w:cstheme="majorBidi"/>
        </w:rPr>
        <w:t xml:space="preserve"> </w:t>
      </w:r>
    </w:p>
    <w:p w14:paraId="7F6544BC"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Bilal, H., &amp; Kashif, A. (2026). Emotional intelligence and ethical leadership as predictors of employee innovative </w:t>
      </w:r>
      <w:proofErr w:type="spellStart"/>
      <w:r w:rsidRPr="00AF5F92">
        <w:rPr>
          <w:rFonts w:asciiTheme="majorBidi" w:hAnsiTheme="majorBidi" w:cstheme="majorBidi"/>
        </w:rPr>
        <w:t>behavior</w:t>
      </w:r>
      <w:proofErr w:type="spellEnd"/>
      <w:r w:rsidRPr="00AF5F92">
        <w:rPr>
          <w:rFonts w:asciiTheme="majorBidi" w:hAnsiTheme="majorBidi" w:cstheme="majorBidi"/>
        </w:rPr>
        <w:t xml:space="preserve">: The mediating roles of psychological safety and learning orientation. Contemporary Issues in Social Sciences and Management Practices, 5(1), 51–65. </w:t>
      </w:r>
      <w:hyperlink r:id="rId10">
        <w:r w:rsidRPr="00AF5F92">
          <w:rPr>
            <w:rFonts w:asciiTheme="majorBidi" w:hAnsiTheme="majorBidi" w:cstheme="majorBidi"/>
            <w:color w:val="1155CC"/>
            <w:u w:val="single"/>
          </w:rPr>
          <w:t>https://doi.org/10.61503/cissmp.v5i1.384</w:t>
        </w:r>
      </w:hyperlink>
      <w:r w:rsidRPr="00AF5F92">
        <w:rPr>
          <w:rFonts w:asciiTheme="majorBidi" w:hAnsiTheme="majorBidi" w:cstheme="majorBidi"/>
        </w:rPr>
        <w:t xml:space="preserve"> </w:t>
      </w:r>
    </w:p>
    <w:p w14:paraId="20433D6D"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Boyatzis, R. E., Goleman, D., &amp; Rhee, K. (2000). Clustering competence in emotional intelligence: Insights from the emotional competence inventory (ECI). In R. Bar-On &amp; J. D. A. Parker (Eds.), Handbook of emotional intelligence (pp. 343–362). Jossey-Bass.  </w:t>
      </w:r>
    </w:p>
    <w:p w14:paraId="28C95FD2" w14:textId="27D76AD9"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Brackett, M. A., Rivers, S. E., &amp; Salovey, P. (2012). Emotional intelligence: Implications for personal, social, academic</w:t>
      </w:r>
      <w:r w:rsidR="005F260C">
        <w:rPr>
          <w:rFonts w:asciiTheme="majorBidi" w:hAnsiTheme="majorBidi" w:cstheme="majorBidi"/>
        </w:rPr>
        <w:t xml:space="preserve"> and</w:t>
      </w:r>
      <w:r w:rsidRPr="00AF5F92">
        <w:rPr>
          <w:rFonts w:asciiTheme="majorBidi" w:hAnsiTheme="majorBidi" w:cstheme="majorBidi"/>
        </w:rPr>
        <w:t xml:space="preserve"> workplace success. Social and Personality Psychology Compass, 6(1), 88–103. </w:t>
      </w:r>
      <w:hyperlink r:id="rId11">
        <w:r w:rsidRPr="00AF5F92">
          <w:rPr>
            <w:rFonts w:asciiTheme="majorBidi" w:hAnsiTheme="majorBidi" w:cstheme="majorBidi"/>
            <w:color w:val="1155CC"/>
            <w:highlight w:val="white"/>
            <w:u w:val="single"/>
          </w:rPr>
          <w:t>http://dx.doi.org/10.1111/j.1751-9004.2010.00334.x</w:t>
        </w:r>
      </w:hyperlink>
      <w:r w:rsidRPr="00AF5F92">
        <w:rPr>
          <w:rFonts w:asciiTheme="majorBidi" w:hAnsiTheme="majorBidi" w:cstheme="majorBidi"/>
          <w:color w:val="232323"/>
          <w:highlight w:val="white"/>
        </w:rPr>
        <w:t xml:space="preserve"> </w:t>
      </w:r>
      <w:r w:rsidRPr="00AF5F92">
        <w:rPr>
          <w:rFonts w:asciiTheme="majorBidi" w:hAnsiTheme="majorBidi" w:cstheme="majorBidi"/>
        </w:rPr>
        <w:t xml:space="preserve">  </w:t>
      </w:r>
    </w:p>
    <w:p w14:paraId="4933B74A"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proofErr w:type="spellStart"/>
      <w:r w:rsidRPr="00AF5F92">
        <w:rPr>
          <w:rFonts w:asciiTheme="majorBidi" w:hAnsiTheme="majorBidi" w:cstheme="majorBidi"/>
        </w:rPr>
        <w:t>Caratiquit</w:t>
      </w:r>
      <w:proofErr w:type="spellEnd"/>
      <w:r w:rsidRPr="00AF5F92">
        <w:rPr>
          <w:rFonts w:asciiTheme="majorBidi" w:hAnsiTheme="majorBidi" w:cstheme="majorBidi"/>
        </w:rPr>
        <w:t xml:space="preserve">, A. C. (2025). Emotional intelligence as predictor of learning performance in higher education: A SEM approach. Frontiers in Education, 10, 1685826. </w:t>
      </w:r>
      <w:hyperlink r:id="rId12">
        <w:r w:rsidRPr="00AF5F92">
          <w:rPr>
            <w:rFonts w:asciiTheme="majorBidi" w:hAnsiTheme="majorBidi" w:cstheme="majorBidi"/>
            <w:color w:val="1155CC"/>
            <w:u w:val="single"/>
          </w:rPr>
          <w:t>https://doi.org/10.3389/feduc.2025.1685826</w:t>
        </w:r>
      </w:hyperlink>
      <w:r w:rsidRPr="00AF5F92">
        <w:rPr>
          <w:rFonts w:asciiTheme="majorBidi" w:hAnsiTheme="majorBidi" w:cstheme="majorBidi"/>
        </w:rPr>
        <w:t xml:space="preserve"> </w:t>
      </w:r>
    </w:p>
    <w:p w14:paraId="10E6D74F"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Chan, D. W. (2006). Emotional intelligence and components of burnout among Chinese secondary school teachers in Hong Kong. Teaching and Teacher Education, 22(8), 1042–1054. </w:t>
      </w:r>
      <w:hyperlink r:id="rId13">
        <w:r w:rsidRPr="00AF5F92">
          <w:rPr>
            <w:rFonts w:asciiTheme="majorBidi" w:hAnsiTheme="majorBidi" w:cstheme="majorBidi"/>
            <w:color w:val="1155CC"/>
            <w:u w:val="single"/>
          </w:rPr>
          <w:t>https://doi.org/10.1016/j.tate.2006.04.005</w:t>
        </w:r>
      </w:hyperlink>
      <w:r w:rsidRPr="00AF5F92">
        <w:rPr>
          <w:rFonts w:asciiTheme="majorBidi" w:hAnsiTheme="majorBidi" w:cstheme="majorBidi"/>
        </w:rPr>
        <w:t xml:space="preserve"> </w:t>
      </w:r>
    </w:p>
    <w:p w14:paraId="486F2635" w14:textId="19652CED"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lastRenderedPageBreak/>
        <w:t xml:space="preserve">Chen, X., </w:t>
      </w:r>
      <w:proofErr w:type="spellStart"/>
      <w:r w:rsidRPr="00AF5F92">
        <w:rPr>
          <w:rFonts w:asciiTheme="majorBidi" w:hAnsiTheme="majorBidi" w:cstheme="majorBidi"/>
        </w:rPr>
        <w:t>Xie</w:t>
      </w:r>
      <w:proofErr w:type="spellEnd"/>
      <w:r w:rsidRPr="00AF5F92">
        <w:rPr>
          <w:rFonts w:asciiTheme="majorBidi" w:hAnsiTheme="majorBidi" w:cstheme="majorBidi"/>
        </w:rPr>
        <w:t>, Q. The relationship between job stress, resilience, emotional intelligence</w:t>
      </w:r>
      <w:r w:rsidR="005F260C">
        <w:rPr>
          <w:rFonts w:asciiTheme="majorBidi" w:hAnsiTheme="majorBidi" w:cstheme="majorBidi"/>
        </w:rPr>
        <w:t xml:space="preserve"> and</w:t>
      </w:r>
      <w:r w:rsidRPr="00AF5F92">
        <w:rPr>
          <w:rFonts w:asciiTheme="majorBidi" w:hAnsiTheme="majorBidi" w:cstheme="majorBidi"/>
        </w:rPr>
        <w:t xml:space="preserve"> job satisfaction among college teachers. Sci Rep 15, 20390 (2025). </w:t>
      </w:r>
      <w:hyperlink r:id="rId14">
        <w:r w:rsidRPr="00AF5F92">
          <w:rPr>
            <w:rFonts w:asciiTheme="majorBidi" w:hAnsiTheme="majorBidi" w:cstheme="majorBidi"/>
            <w:color w:val="1155CC"/>
            <w:u w:val="single"/>
          </w:rPr>
          <w:t>https://doi.org/10.1038/s41598-025-08692-x</w:t>
        </w:r>
      </w:hyperlink>
      <w:r w:rsidRPr="00AF5F92">
        <w:rPr>
          <w:rFonts w:asciiTheme="majorBidi" w:hAnsiTheme="majorBidi" w:cstheme="majorBidi"/>
        </w:rPr>
        <w:t xml:space="preserve"> </w:t>
      </w:r>
    </w:p>
    <w:p w14:paraId="26340307"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Coleman, A., &amp; Ali, A. (2025). Emotional intelligence: Its importance to HE professional services team members during challenging times. Management in Education. </w:t>
      </w:r>
      <w:hyperlink r:id="rId15">
        <w:r w:rsidRPr="00AF5F92">
          <w:rPr>
            <w:rFonts w:asciiTheme="majorBidi" w:hAnsiTheme="majorBidi" w:cstheme="majorBidi"/>
            <w:color w:val="1155CC"/>
            <w:u w:val="single"/>
          </w:rPr>
          <w:t>https://doi.org/10.1177/08920206221085794</w:t>
        </w:r>
      </w:hyperlink>
      <w:r w:rsidRPr="00AF5F92">
        <w:rPr>
          <w:rFonts w:asciiTheme="majorBidi" w:hAnsiTheme="majorBidi" w:cstheme="majorBidi"/>
        </w:rPr>
        <w:t xml:space="preserve"> </w:t>
      </w:r>
    </w:p>
    <w:p w14:paraId="50D7250D" w14:textId="18AE2C3C"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Coronado-Maldonado, I., &amp; Benítez-Márquez, M. D. (2023). Emotional intelligence, leadership</w:t>
      </w:r>
      <w:r w:rsidR="005F260C">
        <w:rPr>
          <w:rFonts w:asciiTheme="majorBidi" w:hAnsiTheme="majorBidi" w:cstheme="majorBidi"/>
        </w:rPr>
        <w:t xml:space="preserve"> and</w:t>
      </w:r>
      <w:r w:rsidRPr="00AF5F92">
        <w:rPr>
          <w:rFonts w:asciiTheme="majorBidi" w:hAnsiTheme="majorBidi" w:cstheme="majorBidi"/>
        </w:rPr>
        <w:t xml:space="preserve"> work teams: A hybrid literature review. </w:t>
      </w:r>
      <w:proofErr w:type="spellStart"/>
      <w:r w:rsidRPr="00AF5F92">
        <w:rPr>
          <w:rFonts w:asciiTheme="majorBidi" w:hAnsiTheme="majorBidi" w:cstheme="majorBidi"/>
        </w:rPr>
        <w:t>Heliyon</w:t>
      </w:r>
      <w:proofErr w:type="spellEnd"/>
      <w:r w:rsidRPr="00AF5F92">
        <w:rPr>
          <w:rFonts w:asciiTheme="majorBidi" w:hAnsiTheme="majorBidi" w:cstheme="majorBidi"/>
        </w:rPr>
        <w:t xml:space="preserve">, 9(10), e20356. </w:t>
      </w:r>
      <w:hyperlink r:id="rId16">
        <w:r w:rsidRPr="00AF5F92">
          <w:rPr>
            <w:rFonts w:asciiTheme="majorBidi" w:hAnsiTheme="majorBidi" w:cstheme="majorBidi"/>
            <w:color w:val="1155CC"/>
            <w:u w:val="single"/>
          </w:rPr>
          <w:t>https://doi.org/10.1016/j.heliyon.2023.e20356</w:t>
        </w:r>
      </w:hyperlink>
      <w:r w:rsidRPr="00AF5F92">
        <w:rPr>
          <w:rFonts w:asciiTheme="majorBidi" w:hAnsiTheme="majorBidi" w:cstheme="majorBidi"/>
        </w:rPr>
        <w:t xml:space="preserve"> </w:t>
      </w:r>
    </w:p>
    <w:p w14:paraId="696A390F"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proofErr w:type="spellStart"/>
      <w:r w:rsidRPr="00AF5F92">
        <w:rPr>
          <w:rFonts w:asciiTheme="majorBidi" w:hAnsiTheme="majorBidi" w:cstheme="majorBidi"/>
        </w:rPr>
        <w:t>Côté</w:t>
      </w:r>
      <w:proofErr w:type="spellEnd"/>
      <w:r w:rsidRPr="00AF5F92">
        <w:rPr>
          <w:rFonts w:asciiTheme="majorBidi" w:hAnsiTheme="majorBidi" w:cstheme="majorBidi"/>
        </w:rPr>
        <w:t xml:space="preserve">, S. (2022). Emotional intelligence and leadership effectiveness. Annual Review of Organizational Psychology and Organizational </w:t>
      </w:r>
      <w:proofErr w:type="spellStart"/>
      <w:r w:rsidRPr="00AF5F92">
        <w:rPr>
          <w:rFonts w:asciiTheme="majorBidi" w:hAnsiTheme="majorBidi" w:cstheme="majorBidi"/>
        </w:rPr>
        <w:t>Behavior</w:t>
      </w:r>
      <w:proofErr w:type="spellEnd"/>
      <w:r w:rsidRPr="00AF5F92">
        <w:rPr>
          <w:rFonts w:asciiTheme="majorBidi" w:hAnsiTheme="majorBidi" w:cstheme="majorBidi"/>
        </w:rPr>
        <w:t xml:space="preserve">, 9, 443–470. </w:t>
      </w:r>
      <w:hyperlink r:id="rId17">
        <w:r w:rsidRPr="00AF5F92">
          <w:rPr>
            <w:rFonts w:asciiTheme="majorBidi" w:hAnsiTheme="majorBidi" w:cstheme="majorBidi"/>
            <w:color w:val="1155CC"/>
            <w:u w:val="single"/>
          </w:rPr>
          <w:t>https://doi.org/10.1146/annurev-orgpsych-012420-062858</w:t>
        </w:r>
      </w:hyperlink>
      <w:r w:rsidRPr="00AF5F92">
        <w:rPr>
          <w:rFonts w:asciiTheme="majorBidi" w:hAnsiTheme="majorBidi" w:cstheme="majorBidi"/>
        </w:rPr>
        <w:t xml:space="preserve"> </w:t>
      </w:r>
    </w:p>
    <w:p w14:paraId="126E68B7"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Demir, S., &amp; </w:t>
      </w:r>
      <w:proofErr w:type="spellStart"/>
      <w:r w:rsidRPr="00AF5F92">
        <w:rPr>
          <w:rFonts w:asciiTheme="majorBidi" w:hAnsiTheme="majorBidi" w:cstheme="majorBidi"/>
        </w:rPr>
        <w:t>Usak</w:t>
      </w:r>
      <w:proofErr w:type="spellEnd"/>
      <w:r w:rsidRPr="00AF5F92">
        <w:rPr>
          <w:rFonts w:asciiTheme="majorBidi" w:hAnsiTheme="majorBidi" w:cstheme="majorBidi"/>
        </w:rPr>
        <w:t xml:space="preserve">, M. (2025). </w:t>
      </w:r>
      <w:proofErr w:type="spellStart"/>
      <w:r w:rsidRPr="00AF5F92">
        <w:rPr>
          <w:rFonts w:asciiTheme="majorBidi" w:hAnsiTheme="majorBidi" w:cstheme="majorBidi"/>
        </w:rPr>
        <w:t>Analyzing</w:t>
      </w:r>
      <w:proofErr w:type="spellEnd"/>
      <w:r w:rsidRPr="00AF5F92">
        <w:rPr>
          <w:rFonts w:asciiTheme="majorBidi" w:hAnsiTheme="majorBidi" w:cstheme="majorBidi"/>
        </w:rPr>
        <w:t xml:space="preserve"> the implementation of PLS-SEM in educational technology research: A review of the past 10 years. SAGE Open, 15(2). </w:t>
      </w:r>
      <w:hyperlink r:id="rId18">
        <w:r w:rsidRPr="00AF5F92">
          <w:rPr>
            <w:rFonts w:asciiTheme="majorBidi" w:hAnsiTheme="majorBidi" w:cstheme="majorBidi"/>
            <w:color w:val="1155CC"/>
            <w:u w:val="single"/>
          </w:rPr>
          <w:t>https://doi.org/10.1177/21582440251345950</w:t>
        </w:r>
      </w:hyperlink>
      <w:r w:rsidRPr="00AF5F92">
        <w:rPr>
          <w:rFonts w:asciiTheme="majorBidi" w:hAnsiTheme="majorBidi" w:cstheme="majorBidi"/>
        </w:rPr>
        <w:t xml:space="preserve"> </w:t>
      </w:r>
    </w:p>
    <w:p w14:paraId="1B6040D6"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proofErr w:type="spellStart"/>
      <w:r w:rsidRPr="00AF5F92">
        <w:rPr>
          <w:rFonts w:asciiTheme="majorBidi" w:hAnsiTheme="majorBidi" w:cstheme="majorBidi"/>
        </w:rPr>
        <w:t>Extremera</w:t>
      </w:r>
      <w:proofErr w:type="spellEnd"/>
      <w:r w:rsidRPr="00AF5F92">
        <w:rPr>
          <w:rFonts w:asciiTheme="majorBidi" w:hAnsiTheme="majorBidi" w:cstheme="majorBidi"/>
        </w:rPr>
        <w:t xml:space="preserve">, N., Rey, L., &amp; Sánchez-Álvarez, N. (2020). Validation of the Spanish version of the Wong-Law Emotional Intelligence Scale (WLEIS-S). Personality and Individual Differences, 139, 145–151. </w:t>
      </w:r>
      <w:r w:rsidRPr="00AF5F92">
        <w:rPr>
          <w:rFonts w:asciiTheme="majorBidi" w:hAnsiTheme="majorBidi" w:cstheme="majorBidi"/>
          <w:color w:val="555555"/>
        </w:rPr>
        <w:t>DOI:</w:t>
      </w:r>
      <w:hyperlink r:id="rId19">
        <w:r w:rsidRPr="00AF5F92">
          <w:rPr>
            <w:rFonts w:asciiTheme="majorBidi" w:hAnsiTheme="majorBidi" w:cstheme="majorBidi"/>
            <w:color w:val="1155CC"/>
            <w:u w:val="single"/>
          </w:rPr>
          <w:t>10.7334/psicothema2018.147</w:t>
        </w:r>
      </w:hyperlink>
      <w:r w:rsidRPr="00AF5F92">
        <w:rPr>
          <w:rFonts w:asciiTheme="majorBidi" w:hAnsiTheme="majorBidi" w:cstheme="majorBidi"/>
        </w:rPr>
        <w:t xml:space="preserve"> </w:t>
      </w:r>
    </w:p>
    <w:p w14:paraId="0139E1C4" w14:textId="75F9A269"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Freedman, J., Ferraro, F., &amp; Morrison, J. (2025). The emotional recession: Global declines in emotional intelligence and its impact on organizational retention, burnout</w:t>
      </w:r>
      <w:r w:rsidR="005F260C">
        <w:rPr>
          <w:rFonts w:asciiTheme="majorBidi" w:hAnsiTheme="majorBidi" w:cstheme="majorBidi"/>
        </w:rPr>
        <w:t xml:space="preserve"> and</w:t>
      </w:r>
      <w:r w:rsidRPr="00AF5F92">
        <w:rPr>
          <w:rFonts w:asciiTheme="majorBidi" w:hAnsiTheme="majorBidi" w:cstheme="majorBidi"/>
        </w:rPr>
        <w:t xml:space="preserve"> workforce resilience. Frontiers in Psychology, 16, 1701703. </w:t>
      </w:r>
      <w:hyperlink r:id="rId20">
        <w:r w:rsidRPr="00AF5F92">
          <w:rPr>
            <w:rFonts w:asciiTheme="majorBidi" w:hAnsiTheme="majorBidi" w:cstheme="majorBidi"/>
            <w:color w:val="1155CC"/>
            <w:u w:val="single"/>
          </w:rPr>
          <w:t>https://doi.org/10.3389/fpsyg.2025.1701703</w:t>
        </w:r>
      </w:hyperlink>
      <w:r w:rsidRPr="00AF5F92">
        <w:rPr>
          <w:rFonts w:asciiTheme="majorBidi" w:hAnsiTheme="majorBidi" w:cstheme="majorBidi"/>
        </w:rPr>
        <w:t xml:space="preserve"> </w:t>
      </w:r>
    </w:p>
    <w:p w14:paraId="45BA2CFB"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proofErr w:type="spellStart"/>
      <w:r w:rsidRPr="00AF5F92">
        <w:rPr>
          <w:rFonts w:asciiTheme="majorBidi" w:hAnsiTheme="majorBidi" w:cstheme="majorBidi"/>
        </w:rPr>
        <w:t>Gebre</w:t>
      </w:r>
      <w:proofErr w:type="spellEnd"/>
      <w:r w:rsidRPr="00AF5F92">
        <w:rPr>
          <w:rFonts w:asciiTheme="majorBidi" w:hAnsiTheme="majorBidi" w:cstheme="majorBidi"/>
        </w:rPr>
        <w:t xml:space="preserve">, T. W. (2024). Does emotional intelligence have a contribution to employee performance enhancement? Empirical evidence from the public sectors. Cogent Business &amp; Management, 11(1), 2415525. </w:t>
      </w:r>
      <w:hyperlink r:id="rId21">
        <w:r w:rsidRPr="00AF5F92">
          <w:rPr>
            <w:rFonts w:asciiTheme="majorBidi" w:hAnsiTheme="majorBidi" w:cstheme="majorBidi"/>
            <w:color w:val="1155CC"/>
            <w:u w:val="single"/>
          </w:rPr>
          <w:t>https://doi.org/10.1080/23311975.2024.2415525</w:t>
        </w:r>
      </w:hyperlink>
      <w:r w:rsidRPr="00AF5F92">
        <w:rPr>
          <w:rFonts w:asciiTheme="majorBidi" w:hAnsiTheme="majorBidi" w:cstheme="majorBidi"/>
        </w:rPr>
        <w:t xml:space="preserve"> </w:t>
      </w:r>
    </w:p>
    <w:p w14:paraId="2517EE44"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Goleman, D. (1998). Working with emotional intelligence. Bantam Books.</w:t>
      </w:r>
    </w:p>
    <w:p w14:paraId="37761E6B"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Gross, J. J. (1998). The emerging field of emotion regulation: An integrative review. Review of General Psychology, 2(3), 271–299. </w:t>
      </w:r>
      <w:hyperlink r:id="rId22">
        <w:r w:rsidRPr="00AF5F92">
          <w:rPr>
            <w:rFonts w:asciiTheme="majorBidi" w:hAnsiTheme="majorBidi" w:cstheme="majorBidi"/>
            <w:color w:val="1155CC"/>
            <w:u w:val="single"/>
          </w:rPr>
          <w:t>https://doi.org/10.1037/1089-2680.2.3.271</w:t>
        </w:r>
      </w:hyperlink>
      <w:r w:rsidRPr="00AF5F92">
        <w:rPr>
          <w:rFonts w:asciiTheme="majorBidi" w:hAnsiTheme="majorBidi" w:cstheme="majorBidi"/>
        </w:rPr>
        <w:t xml:space="preserve"> </w:t>
      </w:r>
    </w:p>
    <w:p w14:paraId="26600206"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Hair, J. F., </w:t>
      </w:r>
      <w:proofErr w:type="spellStart"/>
      <w:r w:rsidRPr="00AF5F92">
        <w:rPr>
          <w:rFonts w:asciiTheme="majorBidi" w:hAnsiTheme="majorBidi" w:cstheme="majorBidi"/>
        </w:rPr>
        <w:t>Risher</w:t>
      </w:r>
      <w:proofErr w:type="spellEnd"/>
      <w:r w:rsidRPr="00AF5F92">
        <w:rPr>
          <w:rFonts w:asciiTheme="majorBidi" w:hAnsiTheme="majorBidi" w:cstheme="majorBidi"/>
        </w:rPr>
        <w:t xml:space="preserve">, J. J., </w:t>
      </w:r>
      <w:proofErr w:type="spellStart"/>
      <w:r w:rsidRPr="00AF5F92">
        <w:rPr>
          <w:rFonts w:asciiTheme="majorBidi" w:hAnsiTheme="majorBidi" w:cstheme="majorBidi"/>
        </w:rPr>
        <w:t>Sarstedt</w:t>
      </w:r>
      <w:proofErr w:type="spellEnd"/>
      <w:r w:rsidRPr="00AF5F92">
        <w:rPr>
          <w:rFonts w:asciiTheme="majorBidi" w:hAnsiTheme="majorBidi" w:cstheme="majorBidi"/>
        </w:rPr>
        <w:t xml:space="preserve">, M., &amp; </w:t>
      </w:r>
      <w:proofErr w:type="spellStart"/>
      <w:r w:rsidRPr="00AF5F92">
        <w:rPr>
          <w:rFonts w:asciiTheme="majorBidi" w:hAnsiTheme="majorBidi" w:cstheme="majorBidi"/>
        </w:rPr>
        <w:t>Ringle</w:t>
      </w:r>
      <w:proofErr w:type="spellEnd"/>
      <w:r w:rsidRPr="00AF5F92">
        <w:rPr>
          <w:rFonts w:asciiTheme="majorBidi" w:hAnsiTheme="majorBidi" w:cstheme="majorBidi"/>
        </w:rPr>
        <w:t xml:space="preserve">, C. M. (2019). When to use and how to report results of PLS-SEM. European Business Review, 31(1), 2–24. </w:t>
      </w:r>
      <w:hyperlink r:id="rId23">
        <w:r w:rsidRPr="00AF5F92">
          <w:rPr>
            <w:rFonts w:asciiTheme="majorBidi" w:hAnsiTheme="majorBidi" w:cstheme="majorBidi"/>
            <w:color w:val="1155CC"/>
            <w:u w:val="single"/>
          </w:rPr>
          <w:t>https://doi.org/10.1108/EBR-11-2018-0203</w:t>
        </w:r>
      </w:hyperlink>
      <w:r w:rsidRPr="00AF5F92">
        <w:rPr>
          <w:rFonts w:asciiTheme="majorBidi" w:hAnsiTheme="majorBidi" w:cstheme="majorBidi"/>
        </w:rPr>
        <w:t xml:space="preserve"> </w:t>
      </w:r>
    </w:p>
    <w:p w14:paraId="486F6856"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proofErr w:type="spellStart"/>
      <w:r w:rsidRPr="00AF5F92">
        <w:rPr>
          <w:rFonts w:asciiTheme="majorBidi" w:hAnsiTheme="majorBidi" w:cstheme="majorBidi"/>
        </w:rPr>
        <w:t>Henseler</w:t>
      </w:r>
      <w:proofErr w:type="spellEnd"/>
      <w:r w:rsidRPr="00AF5F92">
        <w:rPr>
          <w:rFonts w:asciiTheme="majorBidi" w:hAnsiTheme="majorBidi" w:cstheme="majorBidi"/>
        </w:rPr>
        <w:t xml:space="preserve">, J., </w:t>
      </w:r>
      <w:proofErr w:type="spellStart"/>
      <w:r w:rsidRPr="00AF5F92">
        <w:rPr>
          <w:rFonts w:asciiTheme="majorBidi" w:hAnsiTheme="majorBidi" w:cstheme="majorBidi"/>
        </w:rPr>
        <w:t>Ringle</w:t>
      </w:r>
      <w:proofErr w:type="spellEnd"/>
      <w:r w:rsidRPr="00AF5F92">
        <w:rPr>
          <w:rFonts w:asciiTheme="majorBidi" w:hAnsiTheme="majorBidi" w:cstheme="majorBidi"/>
        </w:rPr>
        <w:t xml:space="preserve">, C. M., &amp; </w:t>
      </w:r>
      <w:proofErr w:type="spellStart"/>
      <w:r w:rsidRPr="00AF5F92">
        <w:rPr>
          <w:rFonts w:asciiTheme="majorBidi" w:hAnsiTheme="majorBidi" w:cstheme="majorBidi"/>
        </w:rPr>
        <w:t>Sarstedt</w:t>
      </w:r>
      <w:proofErr w:type="spellEnd"/>
      <w:r w:rsidRPr="00AF5F92">
        <w:rPr>
          <w:rFonts w:asciiTheme="majorBidi" w:hAnsiTheme="majorBidi" w:cstheme="majorBidi"/>
        </w:rPr>
        <w:t xml:space="preserve">, M. (2015). A new criterion for assessing discriminant validity in variance-based structural equation </w:t>
      </w:r>
      <w:proofErr w:type="spellStart"/>
      <w:r w:rsidRPr="00AF5F92">
        <w:rPr>
          <w:rFonts w:asciiTheme="majorBidi" w:hAnsiTheme="majorBidi" w:cstheme="majorBidi"/>
        </w:rPr>
        <w:t>modeling</w:t>
      </w:r>
      <w:proofErr w:type="spellEnd"/>
      <w:r w:rsidRPr="00AF5F92">
        <w:rPr>
          <w:rFonts w:asciiTheme="majorBidi" w:hAnsiTheme="majorBidi" w:cstheme="majorBidi"/>
        </w:rPr>
        <w:t xml:space="preserve">. Journal of the Academy of Marketing Science, 43(1), 115–135. </w:t>
      </w:r>
      <w:hyperlink r:id="rId24">
        <w:r w:rsidRPr="00AF5F92">
          <w:rPr>
            <w:rFonts w:asciiTheme="majorBidi" w:hAnsiTheme="majorBidi" w:cstheme="majorBidi"/>
            <w:color w:val="1155CC"/>
            <w:u w:val="single"/>
          </w:rPr>
          <w:t>https://doi.org/10.1007/s11747-014-0403-8</w:t>
        </w:r>
      </w:hyperlink>
      <w:r w:rsidRPr="00AF5F92">
        <w:rPr>
          <w:rFonts w:asciiTheme="majorBidi" w:hAnsiTheme="majorBidi" w:cstheme="majorBidi"/>
        </w:rPr>
        <w:t xml:space="preserve"> </w:t>
      </w:r>
    </w:p>
    <w:p w14:paraId="46E7507B"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proofErr w:type="spellStart"/>
      <w:r w:rsidRPr="00AF5F92">
        <w:rPr>
          <w:rFonts w:asciiTheme="majorBidi" w:hAnsiTheme="majorBidi" w:cstheme="majorBidi"/>
        </w:rPr>
        <w:lastRenderedPageBreak/>
        <w:t>Hobfoll</w:t>
      </w:r>
      <w:proofErr w:type="spellEnd"/>
      <w:r w:rsidRPr="00AF5F92">
        <w:rPr>
          <w:rFonts w:asciiTheme="majorBidi" w:hAnsiTheme="majorBidi" w:cstheme="majorBidi"/>
        </w:rPr>
        <w:t xml:space="preserve">, S. E. (1989). Conservation of resources: A new attempt at conceptualizing stress. American Psychologist, 44(3), 513–524. </w:t>
      </w:r>
      <w:hyperlink r:id="rId25">
        <w:r w:rsidRPr="00AF5F92">
          <w:rPr>
            <w:rFonts w:asciiTheme="majorBidi" w:hAnsiTheme="majorBidi" w:cstheme="majorBidi"/>
            <w:color w:val="1155CC"/>
            <w:u w:val="single"/>
          </w:rPr>
          <w:t>https://doi.org/10.1037/0003-066X.44.3.513</w:t>
        </w:r>
      </w:hyperlink>
      <w:r w:rsidRPr="00AF5F92">
        <w:rPr>
          <w:rFonts w:asciiTheme="majorBidi" w:hAnsiTheme="majorBidi" w:cstheme="majorBidi"/>
        </w:rPr>
        <w:t xml:space="preserve"> </w:t>
      </w:r>
    </w:p>
    <w:p w14:paraId="6AA1A27B"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Joseph, D. L., &amp; Newman, D. A. (2010). Emotional intelligence: An integrative meta-analysis and cascading model. Journal of Applied Psychology, 95(1), 54–78. </w:t>
      </w:r>
      <w:hyperlink r:id="rId26">
        <w:r w:rsidRPr="00AF5F92">
          <w:rPr>
            <w:rFonts w:asciiTheme="majorBidi" w:hAnsiTheme="majorBidi" w:cstheme="majorBidi"/>
            <w:color w:val="1155CC"/>
            <w:u w:val="single"/>
          </w:rPr>
          <w:t>https://doi.org/10.1037/a0017286</w:t>
        </w:r>
      </w:hyperlink>
      <w:r w:rsidRPr="00AF5F92">
        <w:rPr>
          <w:rFonts w:asciiTheme="majorBidi" w:hAnsiTheme="majorBidi" w:cstheme="majorBidi"/>
        </w:rPr>
        <w:t xml:space="preserve"> </w:t>
      </w:r>
    </w:p>
    <w:p w14:paraId="762F132B"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Kaur, J., &amp; Sharma, A. (2019). Emotional Intelligence and Work Performance. International Journal of Recent Technology and Engineering. </w:t>
      </w:r>
      <w:hyperlink r:id="rId27">
        <w:r w:rsidRPr="00AF5F92">
          <w:rPr>
            <w:rFonts w:asciiTheme="majorBidi" w:hAnsiTheme="majorBidi" w:cstheme="majorBidi"/>
            <w:color w:val="1155CC"/>
            <w:u w:val="single"/>
          </w:rPr>
          <w:t>https://doi.org/10.35940/ijrte.b1301.0782s319</w:t>
        </w:r>
      </w:hyperlink>
      <w:r w:rsidRPr="00AF5F92">
        <w:rPr>
          <w:rFonts w:asciiTheme="majorBidi" w:hAnsiTheme="majorBidi" w:cstheme="majorBidi"/>
        </w:rPr>
        <w:t xml:space="preserve">    </w:t>
      </w:r>
    </w:p>
    <w:p w14:paraId="0CC5B1DD"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Kock, N. (2015). Common method bias in PLS-SEM: A full collinearity assessment approach. International Journal of e-Collaboration, 11(4), 1–10. </w:t>
      </w:r>
      <w:hyperlink r:id="rId28">
        <w:r w:rsidRPr="00AF5F92">
          <w:rPr>
            <w:rFonts w:asciiTheme="majorBidi" w:hAnsiTheme="majorBidi" w:cstheme="majorBidi"/>
            <w:color w:val="1155CC"/>
            <w:u w:val="single"/>
          </w:rPr>
          <w:t>https://doi.org/10.4018/ijec.2015100101</w:t>
        </w:r>
      </w:hyperlink>
      <w:r w:rsidRPr="00AF5F92">
        <w:rPr>
          <w:rFonts w:asciiTheme="majorBidi" w:hAnsiTheme="majorBidi" w:cstheme="majorBidi"/>
        </w:rPr>
        <w:t xml:space="preserve"> </w:t>
      </w:r>
    </w:p>
    <w:p w14:paraId="609F2B03"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Koopmans, L., </w:t>
      </w:r>
      <w:proofErr w:type="spellStart"/>
      <w:r w:rsidRPr="00AF5F92">
        <w:rPr>
          <w:rFonts w:asciiTheme="majorBidi" w:hAnsiTheme="majorBidi" w:cstheme="majorBidi"/>
        </w:rPr>
        <w:t>Bernaards</w:t>
      </w:r>
      <w:proofErr w:type="spellEnd"/>
      <w:r w:rsidRPr="00AF5F92">
        <w:rPr>
          <w:rFonts w:asciiTheme="majorBidi" w:hAnsiTheme="majorBidi" w:cstheme="majorBidi"/>
        </w:rPr>
        <w:t xml:space="preserve">, C. M., Hildebrandt, V. H., Schaufeli, W. B., de Vet, H. C. W., &amp; van der Beek, A. J. (2014). Construct validity of the individual work performance questionnaire. Journal of Occupational and Environmental Medicine, 56(3), 331–337. </w:t>
      </w:r>
      <w:hyperlink r:id="rId29">
        <w:r w:rsidRPr="00AF5F92">
          <w:rPr>
            <w:rFonts w:asciiTheme="majorBidi" w:hAnsiTheme="majorBidi" w:cstheme="majorBidi"/>
            <w:color w:val="1155CC"/>
            <w:u w:val="single"/>
          </w:rPr>
          <w:t>https://doi.org/10.1097/JOM.0000000000000113</w:t>
        </w:r>
      </w:hyperlink>
      <w:r w:rsidRPr="00AF5F92">
        <w:rPr>
          <w:rFonts w:asciiTheme="majorBidi" w:hAnsiTheme="majorBidi" w:cstheme="majorBidi"/>
        </w:rPr>
        <w:t xml:space="preserve"> </w:t>
      </w:r>
    </w:p>
    <w:p w14:paraId="79EE2817" w14:textId="3602867E" w:rsidR="00AF5F92" w:rsidRDefault="00A255F5" w:rsidP="00AF5F92">
      <w:pPr>
        <w:pStyle w:val="ListParagraph"/>
        <w:numPr>
          <w:ilvl w:val="0"/>
          <w:numId w:val="1"/>
        </w:numPr>
        <w:spacing w:after="120" w:line="320" w:lineRule="auto"/>
        <w:jc w:val="both"/>
        <w:rPr>
          <w:rFonts w:asciiTheme="majorBidi" w:hAnsiTheme="majorBidi" w:cstheme="majorBidi"/>
        </w:rPr>
      </w:pPr>
      <w:proofErr w:type="spellStart"/>
      <w:r w:rsidRPr="00AF5F92">
        <w:rPr>
          <w:rFonts w:asciiTheme="majorBidi" w:hAnsiTheme="majorBidi" w:cstheme="majorBidi"/>
        </w:rPr>
        <w:t>Korakis</w:t>
      </w:r>
      <w:proofErr w:type="spellEnd"/>
      <w:r w:rsidRPr="00AF5F92">
        <w:rPr>
          <w:rFonts w:asciiTheme="majorBidi" w:hAnsiTheme="majorBidi" w:cstheme="majorBidi"/>
        </w:rPr>
        <w:t xml:space="preserve">, G., &amp; </w:t>
      </w:r>
      <w:proofErr w:type="spellStart"/>
      <w:r w:rsidRPr="00AF5F92">
        <w:rPr>
          <w:rFonts w:asciiTheme="majorBidi" w:hAnsiTheme="majorBidi" w:cstheme="majorBidi"/>
        </w:rPr>
        <w:t>Poulaki</w:t>
      </w:r>
      <w:proofErr w:type="spellEnd"/>
      <w:r w:rsidRPr="00AF5F92">
        <w:rPr>
          <w:rFonts w:asciiTheme="majorBidi" w:hAnsiTheme="majorBidi" w:cstheme="majorBidi"/>
        </w:rPr>
        <w:t>, I. (2025). A Systematic Literature Review on the Relationship Between Emotional Intelligence and Transformational Leadership</w:t>
      </w:r>
      <w:r w:rsidR="005F260C">
        <w:rPr>
          <w:rFonts w:asciiTheme="majorBidi" w:hAnsiTheme="majorBidi" w:cstheme="majorBidi"/>
        </w:rPr>
        <w:t xml:space="preserve">: </w:t>
      </w:r>
      <w:r w:rsidRPr="00AF5F92">
        <w:rPr>
          <w:rFonts w:asciiTheme="majorBidi" w:hAnsiTheme="majorBidi" w:cstheme="majorBidi"/>
        </w:rPr>
        <w:t xml:space="preserve">A Critical Approach. Businesses, 5(1), 4. </w:t>
      </w:r>
      <w:hyperlink r:id="rId30">
        <w:r w:rsidRPr="00AF5F92">
          <w:rPr>
            <w:rFonts w:asciiTheme="majorBidi" w:hAnsiTheme="majorBidi" w:cstheme="majorBidi"/>
            <w:color w:val="1155CC"/>
            <w:u w:val="single"/>
          </w:rPr>
          <w:t>https://doi.org/10.3390/businesses5010004</w:t>
        </w:r>
      </w:hyperlink>
      <w:r w:rsidRPr="00AF5F92">
        <w:rPr>
          <w:rFonts w:asciiTheme="majorBidi" w:hAnsiTheme="majorBidi" w:cstheme="majorBidi"/>
        </w:rPr>
        <w:t xml:space="preserve"> </w:t>
      </w:r>
    </w:p>
    <w:p w14:paraId="1ADE40C0" w14:textId="7FD3D6B4"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Lee, C.-C., &amp; Yeh, W.-C. (2023). The relationships between leader emotional intelligence, transformational leadership</w:t>
      </w:r>
      <w:r w:rsidR="005F260C">
        <w:rPr>
          <w:rFonts w:asciiTheme="majorBidi" w:hAnsiTheme="majorBidi" w:cstheme="majorBidi"/>
        </w:rPr>
        <w:t xml:space="preserve"> and</w:t>
      </w:r>
      <w:r w:rsidRPr="00AF5F92">
        <w:rPr>
          <w:rFonts w:asciiTheme="majorBidi" w:hAnsiTheme="majorBidi" w:cstheme="majorBidi"/>
        </w:rPr>
        <w:t xml:space="preserve"> transactional leadership and job performance: A mediator model of trust. </w:t>
      </w:r>
      <w:proofErr w:type="spellStart"/>
      <w:r w:rsidRPr="00AF5F92">
        <w:rPr>
          <w:rFonts w:asciiTheme="majorBidi" w:hAnsiTheme="majorBidi" w:cstheme="majorBidi"/>
        </w:rPr>
        <w:t>Heliyon</w:t>
      </w:r>
      <w:proofErr w:type="spellEnd"/>
      <w:r w:rsidRPr="00AF5F92">
        <w:rPr>
          <w:rFonts w:asciiTheme="majorBidi" w:hAnsiTheme="majorBidi" w:cstheme="majorBidi"/>
        </w:rPr>
        <w:t xml:space="preserve">, 9(8), e18007. </w:t>
      </w:r>
      <w:hyperlink r:id="rId31">
        <w:r w:rsidRPr="00AF5F92">
          <w:rPr>
            <w:rFonts w:asciiTheme="majorBidi" w:hAnsiTheme="majorBidi" w:cstheme="majorBidi"/>
            <w:color w:val="1155CC"/>
            <w:u w:val="single"/>
          </w:rPr>
          <w:t>https://doi.org/10.1016/j.heliyon.2023.e18007</w:t>
        </w:r>
      </w:hyperlink>
      <w:r w:rsidRPr="00AF5F92">
        <w:rPr>
          <w:rFonts w:asciiTheme="majorBidi" w:hAnsiTheme="majorBidi" w:cstheme="majorBidi"/>
        </w:rPr>
        <w:t xml:space="preserve"> </w:t>
      </w:r>
    </w:p>
    <w:p w14:paraId="4E6C0351"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Li, M., Liu, F., &amp; Yang, C. (2024). Teachers' emotional intelligence and organizational commitment: A moderated mediation model of teachers' psychological well-being and principal transformational leadership. </w:t>
      </w:r>
      <w:proofErr w:type="spellStart"/>
      <w:r w:rsidRPr="00AF5F92">
        <w:rPr>
          <w:rFonts w:asciiTheme="majorBidi" w:hAnsiTheme="majorBidi" w:cstheme="majorBidi"/>
        </w:rPr>
        <w:t>Behavioral</w:t>
      </w:r>
      <w:proofErr w:type="spellEnd"/>
      <w:r w:rsidRPr="00AF5F92">
        <w:rPr>
          <w:rFonts w:asciiTheme="majorBidi" w:hAnsiTheme="majorBidi" w:cstheme="majorBidi"/>
        </w:rPr>
        <w:t xml:space="preserve"> Sciences, 14(4), 345. </w:t>
      </w:r>
      <w:hyperlink r:id="rId32">
        <w:r w:rsidRPr="00AF5F92">
          <w:rPr>
            <w:rFonts w:asciiTheme="majorBidi" w:hAnsiTheme="majorBidi" w:cstheme="majorBidi"/>
            <w:color w:val="1155CC"/>
            <w:u w:val="single"/>
          </w:rPr>
          <w:t>https://doi.org/10.3390/bs14040345</w:t>
        </w:r>
      </w:hyperlink>
      <w:r w:rsidRPr="00AF5F92">
        <w:rPr>
          <w:rFonts w:asciiTheme="majorBidi" w:hAnsiTheme="majorBidi" w:cstheme="majorBidi"/>
        </w:rPr>
        <w:t xml:space="preserve"> </w:t>
      </w:r>
    </w:p>
    <w:p w14:paraId="237AD35B" w14:textId="51695123"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Li, Y., &amp; Zhang, M. (2024). Exploring the relationships among teacher–student dynamics, learning enjoyment</w:t>
      </w:r>
      <w:r w:rsidR="005F260C">
        <w:rPr>
          <w:rFonts w:asciiTheme="majorBidi" w:hAnsiTheme="majorBidi" w:cstheme="majorBidi"/>
        </w:rPr>
        <w:t xml:space="preserve"> and</w:t>
      </w:r>
      <w:r w:rsidRPr="00AF5F92">
        <w:rPr>
          <w:rFonts w:asciiTheme="majorBidi" w:hAnsiTheme="majorBidi" w:cstheme="majorBidi"/>
        </w:rPr>
        <w:t xml:space="preserve"> burnout in EFL students: The role of emotional intelligence. Frontiers in Psychology, 14, 1329400. </w:t>
      </w:r>
      <w:hyperlink r:id="rId33">
        <w:r w:rsidRPr="00AF5F92">
          <w:rPr>
            <w:rFonts w:asciiTheme="majorBidi" w:hAnsiTheme="majorBidi" w:cstheme="majorBidi"/>
            <w:color w:val="1155CC"/>
            <w:u w:val="single"/>
          </w:rPr>
          <w:t>https://doi.org/10.3389/fpsyg.2023.1329400</w:t>
        </w:r>
      </w:hyperlink>
      <w:r w:rsidRPr="00AF5F92">
        <w:rPr>
          <w:rFonts w:asciiTheme="majorBidi" w:hAnsiTheme="majorBidi" w:cstheme="majorBidi"/>
        </w:rPr>
        <w:t xml:space="preserve"> </w:t>
      </w:r>
    </w:p>
    <w:p w14:paraId="0C94BECF"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Li, Z., Li, X., &amp; Chen, J. (2025). Emotional intelligence of educators: A bibliometric review, 1998–2024. Social Psychology of Education, 28, 99. </w:t>
      </w:r>
      <w:hyperlink r:id="rId34">
        <w:r w:rsidRPr="00AF5F92">
          <w:rPr>
            <w:rFonts w:asciiTheme="majorBidi" w:hAnsiTheme="majorBidi" w:cstheme="majorBidi"/>
            <w:color w:val="1155CC"/>
            <w:u w:val="single"/>
          </w:rPr>
          <w:t>https://doi.org/10.1007/s11218-025-10048-2</w:t>
        </w:r>
      </w:hyperlink>
      <w:r w:rsidRPr="00AF5F92">
        <w:rPr>
          <w:rFonts w:asciiTheme="majorBidi" w:hAnsiTheme="majorBidi" w:cstheme="majorBidi"/>
        </w:rPr>
        <w:t xml:space="preserve"> </w:t>
      </w:r>
    </w:p>
    <w:p w14:paraId="1DCA3D37" w14:textId="3EC4C799"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Mayer, J. D., Salovey, P., &amp; Caruso, D. R. (2004). Emotional intelligence: Theory, findings</w:t>
      </w:r>
      <w:r w:rsidR="005F260C">
        <w:rPr>
          <w:rFonts w:asciiTheme="majorBidi" w:hAnsiTheme="majorBidi" w:cstheme="majorBidi"/>
        </w:rPr>
        <w:t xml:space="preserve"> and</w:t>
      </w:r>
      <w:r w:rsidRPr="00AF5F92">
        <w:rPr>
          <w:rFonts w:asciiTheme="majorBidi" w:hAnsiTheme="majorBidi" w:cstheme="majorBidi"/>
        </w:rPr>
        <w:t xml:space="preserve"> implications. Psychological Inquiry, 15(3), 197–215. </w:t>
      </w:r>
      <w:hyperlink r:id="rId35">
        <w:r w:rsidRPr="00AF5F92">
          <w:rPr>
            <w:rFonts w:asciiTheme="majorBidi" w:hAnsiTheme="majorBidi" w:cstheme="majorBidi"/>
            <w:color w:val="1155CC"/>
            <w:u w:val="single"/>
          </w:rPr>
          <w:t>https://doi.org/10.1207/s15327965pli1503_02</w:t>
        </w:r>
      </w:hyperlink>
      <w:r w:rsidRPr="00AF5F92">
        <w:rPr>
          <w:rFonts w:asciiTheme="majorBidi" w:hAnsiTheme="majorBidi" w:cstheme="majorBidi"/>
        </w:rPr>
        <w:t xml:space="preserve"> </w:t>
      </w:r>
    </w:p>
    <w:p w14:paraId="7D925A28"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lastRenderedPageBreak/>
        <w:t xml:space="preserve">Merlin, J. I., &amp; </w:t>
      </w:r>
      <w:proofErr w:type="spellStart"/>
      <w:r w:rsidRPr="00AF5F92">
        <w:rPr>
          <w:rFonts w:asciiTheme="majorBidi" w:hAnsiTheme="majorBidi" w:cstheme="majorBidi"/>
        </w:rPr>
        <w:t>Soubramanian</w:t>
      </w:r>
      <w:proofErr w:type="spellEnd"/>
      <w:r w:rsidRPr="00AF5F92">
        <w:rPr>
          <w:rFonts w:asciiTheme="majorBidi" w:hAnsiTheme="majorBidi" w:cstheme="majorBidi"/>
        </w:rPr>
        <w:t xml:space="preserve">, P. (2024). From self-awareness to social savvy: How intrapersonal skills shape interpersonal competence in university students. Frontiers in Psychology, 15, 1469746. </w:t>
      </w:r>
      <w:hyperlink r:id="rId36">
        <w:r w:rsidRPr="00AF5F92">
          <w:rPr>
            <w:rFonts w:asciiTheme="majorBidi" w:hAnsiTheme="majorBidi" w:cstheme="majorBidi"/>
            <w:color w:val="1155CC"/>
            <w:u w:val="single"/>
          </w:rPr>
          <w:t>https://doi.org/10.3389/fpsyg.2024.1469746</w:t>
        </w:r>
      </w:hyperlink>
      <w:r w:rsidRPr="00AF5F92">
        <w:rPr>
          <w:rFonts w:asciiTheme="majorBidi" w:hAnsiTheme="majorBidi" w:cstheme="majorBidi"/>
        </w:rPr>
        <w:t xml:space="preserve"> </w:t>
      </w:r>
    </w:p>
    <w:p w14:paraId="24768B46" w14:textId="494C63F1"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Miao, C., Humphrey, R. H., &amp; Qian, S. (2020). The cross-cultural moderators of the influence of emotional intelligence on organizational citizenship </w:t>
      </w:r>
      <w:proofErr w:type="spellStart"/>
      <w:r w:rsidRPr="00AF5F92">
        <w:rPr>
          <w:rFonts w:asciiTheme="majorBidi" w:hAnsiTheme="majorBidi" w:cstheme="majorBidi"/>
        </w:rPr>
        <w:t>behavior</w:t>
      </w:r>
      <w:proofErr w:type="spellEnd"/>
      <w:r w:rsidRPr="00AF5F92">
        <w:rPr>
          <w:rFonts w:asciiTheme="majorBidi" w:hAnsiTheme="majorBidi" w:cstheme="majorBidi"/>
        </w:rPr>
        <w:t xml:space="preserve"> and counterproductive work </w:t>
      </w:r>
      <w:proofErr w:type="spellStart"/>
      <w:r w:rsidRPr="00AF5F92">
        <w:rPr>
          <w:rFonts w:asciiTheme="majorBidi" w:hAnsiTheme="majorBidi" w:cstheme="majorBidi"/>
        </w:rPr>
        <w:t>behavior</w:t>
      </w:r>
      <w:proofErr w:type="spellEnd"/>
      <w:r w:rsidRPr="00AF5F92">
        <w:rPr>
          <w:rFonts w:asciiTheme="majorBidi" w:hAnsiTheme="majorBidi" w:cstheme="majorBidi"/>
        </w:rPr>
        <w:t xml:space="preserve">. Human Resource Development Review, 17(2), 105–128. </w:t>
      </w:r>
      <w:r w:rsidRPr="00AF5F92">
        <w:rPr>
          <w:rFonts w:asciiTheme="majorBidi" w:hAnsiTheme="majorBidi" w:cstheme="majorBidi"/>
          <w:color w:val="555555"/>
          <w:highlight w:val="white"/>
        </w:rPr>
        <w:t>DOI:</w:t>
      </w:r>
      <w:hyperlink r:id="rId37">
        <w:r w:rsidRPr="00AF5F92">
          <w:rPr>
            <w:rFonts w:asciiTheme="majorBidi" w:hAnsiTheme="majorBidi" w:cstheme="majorBidi"/>
            <w:color w:val="1155CC"/>
            <w:highlight w:val="white"/>
            <w:u w:val="single"/>
          </w:rPr>
          <w:t>10.1002/hrdq.21385</w:t>
        </w:r>
      </w:hyperlink>
      <w:r w:rsidRPr="00AF5F92">
        <w:rPr>
          <w:rFonts w:asciiTheme="majorBidi" w:hAnsiTheme="majorBidi" w:cstheme="majorBidi"/>
        </w:rPr>
        <w:t xml:space="preserve"> </w:t>
      </w:r>
    </w:p>
    <w:p w14:paraId="12A2FF1A" w14:textId="5036BDB7" w:rsidR="00AF5F92" w:rsidRPr="00AF5F92" w:rsidRDefault="00AF5F92"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Munir, S., </w:t>
      </w:r>
      <w:proofErr w:type="spellStart"/>
      <w:r w:rsidRPr="00AF5F92">
        <w:rPr>
          <w:rFonts w:asciiTheme="majorBidi" w:hAnsiTheme="majorBidi" w:cstheme="majorBidi"/>
        </w:rPr>
        <w:t>Anser</w:t>
      </w:r>
      <w:proofErr w:type="spellEnd"/>
      <w:r w:rsidRPr="00AF5F92">
        <w:rPr>
          <w:rFonts w:asciiTheme="majorBidi" w:hAnsiTheme="majorBidi" w:cstheme="majorBidi"/>
        </w:rPr>
        <w:t>, M.K., Shah, S.T.H. et al. Emotional intelligence, support</w:t>
      </w:r>
      <w:r w:rsidR="005F260C">
        <w:rPr>
          <w:rFonts w:asciiTheme="majorBidi" w:hAnsiTheme="majorBidi" w:cstheme="majorBidi"/>
        </w:rPr>
        <w:t xml:space="preserve"> and</w:t>
      </w:r>
      <w:r w:rsidRPr="00AF5F92">
        <w:rPr>
          <w:rFonts w:asciiTheme="majorBidi" w:hAnsiTheme="majorBidi" w:cstheme="majorBidi"/>
        </w:rPr>
        <w:t xml:space="preserve"> organizational culture’s impact on decision-making: mediation and moderation analysis in academia. </w:t>
      </w:r>
      <w:proofErr w:type="spellStart"/>
      <w:r w:rsidRPr="00AF5F92">
        <w:rPr>
          <w:rFonts w:asciiTheme="majorBidi" w:hAnsiTheme="majorBidi" w:cstheme="majorBidi"/>
        </w:rPr>
        <w:t>Discov</w:t>
      </w:r>
      <w:proofErr w:type="spellEnd"/>
      <w:r w:rsidRPr="00AF5F92">
        <w:rPr>
          <w:rFonts w:asciiTheme="majorBidi" w:hAnsiTheme="majorBidi" w:cstheme="majorBidi"/>
        </w:rPr>
        <w:t xml:space="preserve"> </w:t>
      </w:r>
      <w:proofErr w:type="spellStart"/>
      <w:r w:rsidRPr="00AF5F92">
        <w:rPr>
          <w:rFonts w:asciiTheme="majorBidi" w:hAnsiTheme="majorBidi" w:cstheme="majorBidi"/>
        </w:rPr>
        <w:t>Educ</w:t>
      </w:r>
      <w:proofErr w:type="spellEnd"/>
      <w:r w:rsidRPr="00AF5F92">
        <w:rPr>
          <w:rFonts w:asciiTheme="majorBidi" w:hAnsiTheme="majorBidi" w:cstheme="majorBidi"/>
        </w:rPr>
        <w:t xml:space="preserve"> 4, 269 (2025). </w:t>
      </w:r>
      <w:hyperlink r:id="rId38">
        <w:r w:rsidRPr="00AF5F92">
          <w:rPr>
            <w:rFonts w:asciiTheme="majorBidi" w:hAnsiTheme="majorBidi" w:cstheme="majorBidi"/>
            <w:color w:val="1155CC"/>
            <w:u w:val="single"/>
          </w:rPr>
          <w:t>https://doi.org/10.1007/s44217-025-00720-2</w:t>
        </w:r>
      </w:hyperlink>
      <w:r w:rsidRPr="00AF5F92">
        <w:rPr>
          <w:rFonts w:asciiTheme="majorBidi" w:hAnsiTheme="majorBidi" w:cstheme="majorBidi"/>
        </w:rPr>
        <w:t xml:space="preserve"> </w:t>
      </w:r>
    </w:p>
    <w:p w14:paraId="428ED6D8"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O'Boyle, E. H., Humphrey, R. H., Pollack, J. M., </w:t>
      </w:r>
      <w:proofErr w:type="spellStart"/>
      <w:r w:rsidRPr="00AF5F92">
        <w:rPr>
          <w:rFonts w:asciiTheme="majorBidi" w:hAnsiTheme="majorBidi" w:cstheme="majorBidi"/>
        </w:rPr>
        <w:t>Hawver</w:t>
      </w:r>
      <w:proofErr w:type="spellEnd"/>
      <w:r w:rsidRPr="00AF5F92">
        <w:rPr>
          <w:rFonts w:asciiTheme="majorBidi" w:hAnsiTheme="majorBidi" w:cstheme="majorBidi"/>
        </w:rPr>
        <w:t xml:space="preserve">, T. H., &amp; Story, P. A. (2011). The relation between emotional intelligence and job performance: A meta-analysis. Journal of Organizational </w:t>
      </w:r>
      <w:proofErr w:type="spellStart"/>
      <w:r w:rsidRPr="00AF5F92">
        <w:rPr>
          <w:rFonts w:asciiTheme="majorBidi" w:hAnsiTheme="majorBidi" w:cstheme="majorBidi"/>
        </w:rPr>
        <w:t>Behavior</w:t>
      </w:r>
      <w:proofErr w:type="spellEnd"/>
      <w:r w:rsidRPr="00AF5F92">
        <w:rPr>
          <w:rFonts w:asciiTheme="majorBidi" w:hAnsiTheme="majorBidi" w:cstheme="majorBidi"/>
        </w:rPr>
        <w:t xml:space="preserve">, 32(5), 788–818. </w:t>
      </w:r>
      <w:hyperlink r:id="rId39">
        <w:r w:rsidRPr="00AF5F92">
          <w:rPr>
            <w:rFonts w:asciiTheme="majorBidi" w:hAnsiTheme="majorBidi" w:cstheme="majorBidi"/>
            <w:color w:val="1155CC"/>
            <w:u w:val="single"/>
          </w:rPr>
          <w:t>https://doi.org/10.1002/job.714</w:t>
        </w:r>
      </w:hyperlink>
      <w:r w:rsidRPr="00AF5F92">
        <w:rPr>
          <w:rFonts w:asciiTheme="majorBidi" w:hAnsiTheme="majorBidi" w:cstheme="majorBidi"/>
        </w:rPr>
        <w:t xml:space="preserve"> </w:t>
      </w:r>
    </w:p>
    <w:p w14:paraId="3CEB99EF"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Pulido-</w:t>
      </w:r>
      <w:proofErr w:type="spellStart"/>
      <w:r w:rsidRPr="00AF5F92">
        <w:rPr>
          <w:rFonts w:asciiTheme="majorBidi" w:hAnsiTheme="majorBidi" w:cstheme="majorBidi"/>
        </w:rPr>
        <w:t>Martos</w:t>
      </w:r>
      <w:proofErr w:type="spellEnd"/>
      <w:r w:rsidRPr="00AF5F92">
        <w:rPr>
          <w:rFonts w:asciiTheme="majorBidi" w:hAnsiTheme="majorBidi" w:cstheme="majorBidi"/>
        </w:rPr>
        <w:t xml:space="preserve">, M., </w:t>
      </w:r>
      <w:proofErr w:type="spellStart"/>
      <w:r w:rsidRPr="00AF5F92">
        <w:rPr>
          <w:rFonts w:asciiTheme="majorBidi" w:hAnsiTheme="majorBidi" w:cstheme="majorBidi"/>
        </w:rPr>
        <w:t>Gartzia</w:t>
      </w:r>
      <w:proofErr w:type="spellEnd"/>
      <w:r w:rsidRPr="00AF5F92">
        <w:rPr>
          <w:rFonts w:asciiTheme="majorBidi" w:hAnsiTheme="majorBidi" w:cstheme="majorBidi"/>
        </w:rPr>
        <w:t>, L., Augusto-</w:t>
      </w:r>
      <w:proofErr w:type="spellStart"/>
      <w:r w:rsidRPr="00AF5F92">
        <w:rPr>
          <w:rFonts w:asciiTheme="majorBidi" w:hAnsiTheme="majorBidi" w:cstheme="majorBidi"/>
        </w:rPr>
        <w:t>Landa</w:t>
      </w:r>
      <w:proofErr w:type="spellEnd"/>
      <w:r w:rsidRPr="00AF5F92">
        <w:rPr>
          <w:rFonts w:asciiTheme="majorBidi" w:hAnsiTheme="majorBidi" w:cstheme="majorBidi"/>
        </w:rPr>
        <w:t>, J. M., &amp; Lopez-</w:t>
      </w:r>
      <w:proofErr w:type="spellStart"/>
      <w:r w:rsidRPr="00AF5F92">
        <w:rPr>
          <w:rFonts w:asciiTheme="majorBidi" w:hAnsiTheme="majorBidi" w:cstheme="majorBidi"/>
        </w:rPr>
        <w:t>Zafra</w:t>
      </w:r>
      <w:proofErr w:type="spellEnd"/>
      <w:r w:rsidRPr="00AF5F92">
        <w:rPr>
          <w:rFonts w:asciiTheme="majorBidi" w:hAnsiTheme="majorBidi" w:cstheme="majorBidi"/>
        </w:rPr>
        <w:t xml:space="preserve">, E. (2024). Transformational leadership and emotional intelligence: Allies in the development of organizational affective commitment from a multilevel perspective and time-lagged data. Review of Managerial Science, 18, 2229–2253. </w:t>
      </w:r>
      <w:hyperlink r:id="rId40">
        <w:r w:rsidRPr="00AF5F92">
          <w:rPr>
            <w:rFonts w:asciiTheme="majorBidi" w:hAnsiTheme="majorBidi" w:cstheme="majorBidi"/>
            <w:color w:val="1155CC"/>
            <w:u w:val="single"/>
          </w:rPr>
          <w:t>https://doi.org/10.1007/s11846-023-00684-3</w:t>
        </w:r>
      </w:hyperlink>
      <w:r w:rsidRPr="00AF5F92">
        <w:rPr>
          <w:rFonts w:asciiTheme="majorBidi" w:hAnsiTheme="majorBidi" w:cstheme="majorBidi"/>
        </w:rPr>
        <w:t xml:space="preserve"> </w:t>
      </w:r>
    </w:p>
    <w:p w14:paraId="269F4D59" w14:textId="77777777" w:rsidR="00AF5F92" w:rsidRP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Rodrigues, R., Teixeira, N., &amp; Costa, B. (2024). The Impact of Perceived Leadership Effectiveness and Emotional Intelligence on Employee Satisfaction in the Workplace. Merits, 4(4), 490-501. </w:t>
      </w:r>
      <w:hyperlink r:id="rId41">
        <w:r w:rsidRPr="00AF5F92">
          <w:rPr>
            <w:rFonts w:asciiTheme="majorBidi" w:hAnsiTheme="majorBidi" w:cstheme="majorBidi"/>
            <w:color w:val="1155CC"/>
            <w:u w:val="single"/>
          </w:rPr>
          <w:t>https://doi.org/10.3390/merits4040035</w:t>
        </w:r>
      </w:hyperlink>
    </w:p>
    <w:p w14:paraId="4A1ABD16"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Ruiz-Ortega, A. M., &amp; Berrios-</w:t>
      </w:r>
      <w:proofErr w:type="spellStart"/>
      <w:r w:rsidRPr="00AF5F92">
        <w:rPr>
          <w:rFonts w:asciiTheme="majorBidi" w:hAnsiTheme="majorBidi" w:cstheme="majorBidi"/>
        </w:rPr>
        <w:t>Martos</w:t>
      </w:r>
      <w:proofErr w:type="spellEnd"/>
      <w:r w:rsidRPr="00AF5F92">
        <w:rPr>
          <w:rFonts w:asciiTheme="majorBidi" w:hAnsiTheme="majorBidi" w:cstheme="majorBidi"/>
        </w:rPr>
        <w:t xml:space="preserve">, M. P. (2025). The Role of Emotional Intelligence and Frustration Intolerance in the Academic Performance of University Students: A Structural Equation Model. Journal of Intelligence, 13(8), 101. </w:t>
      </w:r>
      <w:hyperlink r:id="rId42">
        <w:r w:rsidRPr="00AF5F92">
          <w:rPr>
            <w:rFonts w:asciiTheme="majorBidi" w:hAnsiTheme="majorBidi" w:cstheme="majorBidi"/>
            <w:color w:val="1155CC"/>
            <w:u w:val="single"/>
          </w:rPr>
          <w:t>https://doi.org/10.3390/jintelligence13080101</w:t>
        </w:r>
      </w:hyperlink>
      <w:r w:rsidRPr="00AF5F92">
        <w:rPr>
          <w:rFonts w:asciiTheme="majorBidi" w:hAnsiTheme="majorBidi" w:cstheme="majorBidi"/>
        </w:rPr>
        <w:t xml:space="preserve"> </w:t>
      </w:r>
    </w:p>
    <w:p w14:paraId="399A8F8B"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Sánchez-Álvarez, N., </w:t>
      </w:r>
      <w:proofErr w:type="spellStart"/>
      <w:r w:rsidRPr="00AF5F92">
        <w:rPr>
          <w:rFonts w:asciiTheme="majorBidi" w:hAnsiTheme="majorBidi" w:cstheme="majorBidi"/>
        </w:rPr>
        <w:t>Extremera</w:t>
      </w:r>
      <w:proofErr w:type="spellEnd"/>
      <w:r w:rsidRPr="00AF5F92">
        <w:rPr>
          <w:rFonts w:asciiTheme="majorBidi" w:hAnsiTheme="majorBidi" w:cstheme="majorBidi"/>
        </w:rPr>
        <w:t>, N., &amp; Fernández-</w:t>
      </w:r>
      <w:proofErr w:type="spellStart"/>
      <w:r w:rsidRPr="00AF5F92">
        <w:rPr>
          <w:rFonts w:asciiTheme="majorBidi" w:hAnsiTheme="majorBidi" w:cstheme="majorBidi"/>
        </w:rPr>
        <w:t>Berrocal</w:t>
      </w:r>
      <w:proofErr w:type="spellEnd"/>
      <w:r w:rsidRPr="00AF5F92">
        <w:rPr>
          <w:rFonts w:asciiTheme="majorBidi" w:hAnsiTheme="majorBidi" w:cstheme="majorBidi"/>
        </w:rPr>
        <w:t xml:space="preserve">, P. (2020). The relation between emotional intelligence and subjective well-being: A meta-analytic investigation. Journal of Positive Psychology, 11(3), 276–285. </w:t>
      </w:r>
      <w:hyperlink r:id="rId43">
        <w:r w:rsidRPr="00AF5F92">
          <w:rPr>
            <w:rFonts w:asciiTheme="majorBidi" w:hAnsiTheme="majorBidi" w:cstheme="majorBidi"/>
            <w:color w:val="1155CC"/>
            <w:u w:val="single"/>
          </w:rPr>
          <w:t>https://doi.org/10.3389/fpsyg.2020.01517</w:t>
        </w:r>
      </w:hyperlink>
      <w:r w:rsidRPr="00AF5F92">
        <w:rPr>
          <w:rFonts w:asciiTheme="majorBidi" w:hAnsiTheme="majorBidi" w:cstheme="majorBidi"/>
        </w:rPr>
        <w:t xml:space="preserve"> </w:t>
      </w:r>
    </w:p>
    <w:p w14:paraId="243084AC"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Salovey, P., &amp; Mayer, J. D. (1990). Emotional intelligence. Imagination, Cognition and Personality, 9(3), 185–211. </w:t>
      </w:r>
      <w:hyperlink r:id="rId44">
        <w:r w:rsidRPr="00AF5F92">
          <w:rPr>
            <w:rFonts w:asciiTheme="majorBidi" w:hAnsiTheme="majorBidi" w:cstheme="majorBidi"/>
            <w:color w:val="1155CC"/>
            <w:u w:val="single"/>
          </w:rPr>
          <w:t>https://doi.org/10.2190/DUGG-P24E-52WK-6CDG</w:t>
        </w:r>
      </w:hyperlink>
      <w:r w:rsidRPr="00AF5F92">
        <w:rPr>
          <w:rFonts w:asciiTheme="majorBidi" w:hAnsiTheme="majorBidi" w:cstheme="majorBidi"/>
        </w:rPr>
        <w:t xml:space="preserve"> </w:t>
      </w:r>
    </w:p>
    <w:p w14:paraId="14BB9407"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proofErr w:type="spellStart"/>
      <w:r w:rsidRPr="00AF5F92">
        <w:rPr>
          <w:rFonts w:asciiTheme="majorBidi" w:hAnsiTheme="majorBidi" w:cstheme="majorBidi"/>
        </w:rPr>
        <w:t>Sariraei</w:t>
      </w:r>
      <w:proofErr w:type="spellEnd"/>
      <w:r w:rsidRPr="00AF5F92">
        <w:rPr>
          <w:rFonts w:asciiTheme="majorBidi" w:hAnsiTheme="majorBidi" w:cstheme="majorBidi"/>
        </w:rPr>
        <w:t xml:space="preserve"> SA, </w:t>
      </w:r>
      <w:proofErr w:type="spellStart"/>
      <w:r w:rsidRPr="00AF5F92">
        <w:rPr>
          <w:rFonts w:asciiTheme="majorBidi" w:hAnsiTheme="majorBidi" w:cstheme="majorBidi"/>
        </w:rPr>
        <w:t>Shkoler</w:t>
      </w:r>
      <w:proofErr w:type="spellEnd"/>
      <w:r w:rsidRPr="00AF5F92">
        <w:rPr>
          <w:rFonts w:asciiTheme="majorBidi" w:hAnsiTheme="majorBidi" w:cstheme="majorBidi"/>
        </w:rPr>
        <w:t xml:space="preserve"> O, </w:t>
      </w:r>
      <w:proofErr w:type="spellStart"/>
      <w:r w:rsidRPr="00AF5F92">
        <w:rPr>
          <w:rFonts w:asciiTheme="majorBidi" w:hAnsiTheme="majorBidi" w:cstheme="majorBidi"/>
        </w:rPr>
        <w:t>Giamos</w:t>
      </w:r>
      <w:proofErr w:type="spellEnd"/>
      <w:r w:rsidRPr="00AF5F92">
        <w:rPr>
          <w:rFonts w:asciiTheme="majorBidi" w:hAnsiTheme="majorBidi" w:cstheme="majorBidi"/>
        </w:rPr>
        <w:t xml:space="preserve"> D, </w:t>
      </w:r>
      <w:proofErr w:type="spellStart"/>
      <w:r w:rsidRPr="00AF5F92">
        <w:rPr>
          <w:rFonts w:asciiTheme="majorBidi" w:hAnsiTheme="majorBidi" w:cstheme="majorBidi"/>
        </w:rPr>
        <w:t>Chênevert</w:t>
      </w:r>
      <w:proofErr w:type="spellEnd"/>
      <w:r w:rsidRPr="00AF5F92">
        <w:rPr>
          <w:rFonts w:asciiTheme="majorBidi" w:hAnsiTheme="majorBidi" w:cstheme="majorBidi"/>
        </w:rPr>
        <w:t xml:space="preserve"> D, </w:t>
      </w:r>
      <w:proofErr w:type="spellStart"/>
      <w:r w:rsidRPr="00AF5F92">
        <w:rPr>
          <w:rFonts w:asciiTheme="majorBidi" w:hAnsiTheme="majorBidi" w:cstheme="majorBidi"/>
        </w:rPr>
        <w:t>Vandenberghe</w:t>
      </w:r>
      <w:proofErr w:type="spellEnd"/>
      <w:r w:rsidRPr="00AF5F92">
        <w:rPr>
          <w:rFonts w:asciiTheme="majorBidi" w:hAnsiTheme="majorBidi" w:cstheme="majorBidi"/>
        </w:rPr>
        <w:t xml:space="preserve"> C, </w:t>
      </w:r>
      <w:proofErr w:type="spellStart"/>
      <w:r w:rsidRPr="00AF5F92">
        <w:rPr>
          <w:rFonts w:asciiTheme="majorBidi" w:hAnsiTheme="majorBidi" w:cstheme="majorBidi"/>
        </w:rPr>
        <w:t>Tziner</w:t>
      </w:r>
      <w:proofErr w:type="spellEnd"/>
      <w:r w:rsidRPr="00AF5F92">
        <w:rPr>
          <w:rFonts w:asciiTheme="majorBidi" w:hAnsiTheme="majorBidi" w:cstheme="majorBidi"/>
        </w:rPr>
        <w:t xml:space="preserve"> A and </w:t>
      </w:r>
      <w:proofErr w:type="spellStart"/>
      <w:r w:rsidRPr="00AF5F92">
        <w:rPr>
          <w:rFonts w:asciiTheme="majorBidi" w:hAnsiTheme="majorBidi" w:cstheme="majorBidi"/>
        </w:rPr>
        <w:t>Vasiliu</w:t>
      </w:r>
      <w:proofErr w:type="spellEnd"/>
      <w:r w:rsidRPr="00AF5F92">
        <w:rPr>
          <w:rFonts w:asciiTheme="majorBidi" w:hAnsiTheme="majorBidi" w:cstheme="majorBidi"/>
        </w:rPr>
        <w:t xml:space="preserve"> C (2024) From burnout to </w:t>
      </w:r>
      <w:proofErr w:type="spellStart"/>
      <w:r w:rsidRPr="00AF5F92">
        <w:rPr>
          <w:rFonts w:asciiTheme="majorBidi" w:hAnsiTheme="majorBidi" w:cstheme="majorBidi"/>
        </w:rPr>
        <w:t>behavior</w:t>
      </w:r>
      <w:proofErr w:type="spellEnd"/>
      <w:r w:rsidRPr="00AF5F92">
        <w:rPr>
          <w:rFonts w:asciiTheme="majorBidi" w:hAnsiTheme="majorBidi" w:cstheme="majorBidi"/>
        </w:rPr>
        <w:t xml:space="preserve">: the dark side of emotional intelligence on optimal functioning across three managerial levels. Front. Psychol. 15:1338691. </w:t>
      </w:r>
      <w:hyperlink r:id="rId45">
        <w:r w:rsidRPr="00AF5F92">
          <w:rPr>
            <w:rFonts w:asciiTheme="majorBidi" w:hAnsiTheme="majorBidi" w:cstheme="majorBidi"/>
            <w:color w:val="1155CC"/>
            <w:u w:val="single"/>
          </w:rPr>
          <w:t>https://doi.org/10.3389/fpsyg.2024.1338691</w:t>
        </w:r>
      </w:hyperlink>
      <w:r w:rsidRPr="00AF5F92">
        <w:rPr>
          <w:rFonts w:asciiTheme="majorBidi" w:hAnsiTheme="majorBidi" w:cstheme="majorBidi"/>
        </w:rPr>
        <w:t xml:space="preserve">    </w:t>
      </w:r>
    </w:p>
    <w:p w14:paraId="1D239928"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proofErr w:type="spellStart"/>
      <w:r w:rsidRPr="00AF5F92">
        <w:rPr>
          <w:rFonts w:asciiTheme="majorBidi" w:hAnsiTheme="majorBidi" w:cstheme="majorBidi"/>
        </w:rPr>
        <w:lastRenderedPageBreak/>
        <w:t>Shahabi</w:t>
      </w:r>
      <w:proofErr w:type="spellEnd"/>
      <w:r w:rsidRPr="00AF5F92">
        <w:rPr>
          <w:rFonts w:asciiTheme="majorBidi" w:hAnsiTheme="majorBidi" w:cstheme="majorBidi"/>
        </w:rPr>
        <w:t xml:space="preserve">, M., </w:t>
      </w:r>
      <w:proofErr w:type="spellStart"/>
      <w:r w:rsidRPr="00AF5F92">
        <w:rPr>
          <w:rFonts w:asciiTheme="majorBidi" w:hAnsiTheme="majorBidi" w:cstheme="majorBidi"/>
        </w:rPr>
        <w:t>Lankarani</w:t>
      </w:r>
      <w:proofErr w:type="spellEnd"/>
      <w:r w:rsidRPr="00AF5F92">
        <w:rPr>
          <w:rFonts w:asciiTheme="majorBidi" w:hAnsiTheme="majorBidi" w:cstheme="majorBidi"/>
        </w:rPr>
        <w:t xml:space="preserve">, K. B., </w:t>
      </w:r>
      <w:proofErr w:type="spellStart"/>
      <w:r w:rsidRPr="00AF5F92">
        <w:rPr>
          <w:rFonts w:asciiTheme="majorBidi" w:hAnsiTheme="majorBidi" w:cstheme="majorBidi"/>
        </w:rPr>
        <w:t>Heydari</w:t>
      </w:r>
      <w:proofErr w:type="spellEnd"/>
      <w:r w:rsidRPr="00AF5F92">
        <w:rPr>
          <w:rFonts w:asciiTheme="majorBidi" w:hAnsiTheme="majorBidi" w:cstheme="majorBidi"/>
        </w:rPr>
        <w:t xml:space="preserve">, S. T., &amp; </w:t>
      </w:r>
      <w:proofErr w:type="spellStart"/>
      <w:r w:rsidRPr="00AF5F92">
        <w:rPr>
          <w:rFonts w:asciiTheme="majorBidi" w:hAnsiTheme="majorBidi" w:cstheme="majorBidi"/>
        </w:rPr>
        <w:t>Rezaee</w:t>
      </w:r>
      <w:proofErr w:type="spellEnd"/>
      <w:r w:rsidRPr="00AF5F92">
        <w:rPr>
          <w:rFonts w:asciiTheme="majorBidi" w:hAnsiTheme="majorBidi" w:cstheme="majorBidi"/>
        </w:rPr>
        <w:t xml:space="preserve">, R. (2025). Examining the impact of emotional intelligence on job performance with the mediating role of clinical competence in nurses: A structural equation approach. BMC Nursing, 24, 384. </w:t>
      </w:r>
      <w:hyperlink r:id="rId46">
        <w:r w:rsidRPr="00AF5F92">
          <w:rPr>
            <w:rFonts w:asciiTheme="majorBidi" w:hAnsiTheme="majorBidi" w:cstheme="majorBidi"/>
            <w:color w:val="1155CC"/>
            <w:u w:val="single"/>
          </w:rPr>
          <w:t>https://doi.org/10.1186/s12912-025-03002-2</w:t>
        </w:r>
      </w:hyperlink>
      <w:r w:rsidRPr="00AF5F92">
        <w:rPr>
          <w:rFonts w:asciiTheme="majorBidi" w:hAnsiTheme="majorBidi" w:cstheme="majorBidi"/>
        </w:rPr>
        <w:t xml:space="preserve"> </w:t>
      </w:r>
    </w:p>
    <w:p w14:paraId="1F61A6DC"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Sharma RK, Kaur S (2024), "Analysing the mediating role of organisational citizenship behaviour between transformational leadership and education 4.0 using PLS-SEM approach". International Journal of Educational Management, Vol. 38 No. 2 pp. 391–412, </w:t>
      </w:r>
      <w:proofErr w:type="spellStart"/>
      <w:r w:rsidRPr="00AF5F92">
        <w:rPr>
          <w:rFonts w:asciiTheme="majorBidi" w:hAnsiTheme="majorBidi" w:cstheme="majorBidi"/>
        </w:rPr>
        <w:t>doi</w:t>
      </w:r>
      <w:proofErr w:type="spellEnd"/>
      <w:r w:rsidRPr="00AF5F92">
        <w:rPr>
          <w:rFonts w:asciiTheme="majorBidi" w:hAnsiTheme="majorBidi" w:cstheme="majorBidi"/>
        </w:rPr>
        <w:t xml:space="preserve">: </w:t>
      </w:r>
      <w:hyperlink r:id="rId47">
        <w:r w:rsidRPr="00AF5F92">
          <w:rPr>
            <w:rFonts w:asciiTheme="majorBidi" w:hAnsiTheme="majorBidi" w:cstheme="majorBidi"/>
            <w:color w:val="1155CC"/>
            <w:u w:val="single"/>
          </w:rPr>
          <w:t>https://doi.org/10.1108/IJEM-07-2023-0322</w:t>
        </w:r>
      </w:hyperlink>
      <w:r w:rsidRPr="00AF5F92">
        <w:rPr>
          <w:rFonts w:asciiTheme="majorBidi" w:hAnsiTheme="majorBidi" w:cstheme="majorBidi"/>
        </w:rPr>
        <w:t xml:space="preserve">  </w:t>
      </w:r>
    </w:p>
    <w:p w14:paraId="017FB616"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Soliman, M., Sinha, R., Di Virgilio, F., Sousa, M. J., &amp; </w:t>
      </w:r>
      <w:proofErr w:type="spellStart"/>
      <w:r w:rsidRPr="00AF5F92">
        <w:rPr>
          <w:rFonts w:asciiTheme="majorBidi" w:hAnsiTheme="majorBidi" w:cstheme="majorBidi"/>
        </w:rPr>
        <w:t>Figueiredo</w:t>
      </w:r>
      <w:proofErr w:type="spellEnd"/>
      <w:r w:rsidRPr="00AF5F92">
        <w:rPr>
          <w:rFonts w:asciiTheme="majorBidi" w:hAnsiTheme="majorBidi" w:cstheme="majorBidi"/>
        </w:rPr>
        <w:t xml:space="preserve">, R. (2025). Emotional intelligence outcomes in higher education institutions: Empirical evidence from a Western context. Psychological Reports. </w:t>
      </w:r>
      <w:hyperlink r:id="rId48">
        <w:r w:rsidRPr="00AF5F92">
          <w:rPr>
            <w:rFonts w:asciiTheme="majorBidi" w:hAnsiTheme="majorBidi" w:cstheme="majorBidi"/>
            <w:color w:val="1155CC"/>
            <w:u w:val="single"/>
          </w:rPr>
          <w:t>https://doi.org/10.1177/00332941231197165</w:t>
        </w:r>
      </w:hyperlink>
      <w:r w:rsidRPr="00AF5F92">
        <w:rPr>
          <w:rFonts w:asciiTheme="majorBidi" w:hAnsiTheme="majorBidi" w:cstheme="majorBidi"/>
        </w:rPr>
        <w:t xml:space="preserve"> </w:t>
      </w:r>
    </w:p>
    <w:p w14:paraId="216F054F"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Wong, C. S., &amp; Law, K. S. (2002). The effects of leader and follower emotional intelligence on performance and attitude: An exploratory study. The Leadership Quarterly, 13(3), 243–274. </w:t>
      </w:r>
      <w:hyperlink r:id="rId49">
        <w:r w:rsidRPr="00AF5F92">
          <w:rPr>
            <w:rFonts w:asciiTheme="majorBidi" w:hAnsiTheme="majorBidi" w:cstheme="majorBidi"/>
            <w:color w:val="1155CC"/>
            <w:u w:val="single"/>
          </w:rPr>
          <w:t>https://doi.org/10.1016/S1048-9843(02)00099-1</w:t>
        </w:r>
      </w:hyperlink>
      <w:r w:rsidRPr="00AF5F92">
        <w:rPr>
          <w:rFonts w:asciiTheme="majorBidi" w:hAnsiTheme="majorBidi" w:cstheme="majorBidi"/>
        </w:rPr>
        <w:t xml:space="preserve"> </w:t>
      </w:r>
    </w:p>
    <w:p w14:paraId="3265EE2E"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Xu, Z., Pang, N. S.-K., &amp; Chen, B. (2024). Promoting teachers' organizational commitment: The effects of authentic leadership, teachers' well-being and social-emotional competence. </w:t>
      </w:r>
      <w:proofErr w:type="spellStart"/>
      <w:r w:rsidRPr="00AF5F92">
        <w:rPr>
          <w:rFonts w:asciiTheme="majorBidi" w:hAnsiTheme="majorBidi" w:cstheme="majorBidi"/>
        </w:rPr>
        <w:t>Behavioral</w:t>
      </w:r>
      <w:proofErr w:type="spellEnd"/>
      <w:r w:rsidRPr="00AF5F92">
        <w:rPr>
          <w:rFonts w:asciiTheme="majorBidi" w:hAnsiTheme="majorBidi" w:cstheme="majorBidi"/>
        </w:rPr>
        <w:t xml:space="preserve"> Sciences, 14(10), 862. </w:t>
      </w:r>
      <w:hyperlink r:id="rId50">
        <w:r w:rsidRPr="00AF5F92">
          <w:rPr>
            <w:rFonts w:asciiTheme="majorBidi" w:hAnsiTheme="majorBidi" w:cstheme="majorBidi"/>
            <w:color w:val="1155CC"/>
            <w:u w:val="single"/>
          </w:rPr>
          <w:t>https://doi.org/10.3390/bs14100862</w:t>
        </w:r>
      </w:hyperlink>
      <w:r w:rsidRPr="00AF5F92">
        <w:rPr>
          <w:rFonts w:asciiTheme="majorBidi" w:hAnsiTheme="majorBidi" w:cstheme="majorBidi"/>
        </w:rPr>
        <w:t xml:space="preserve"> </w:t>
      </w:r>
    </w:p>
    <w:p w14:paraId="7C7742AE" w14:textId="77777777" w:rsid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Yousuf, A., &amp; Mir, A. (2024). Emotional intelligence and organizational outcomes in Jammu and Kashmir higher education. SSRN. </w:t>
      </w:r>
      <w:hyperlink r:id="rId51">
        <w:r w:rsidRPr="00AF5F92">
          <w:rPr>
            <w:rFonts w:asciiTheme="majorBidi" w:hAnsiTheme="majorBidi" w:cstheme="majorBidi"/>
            <w:color w:val="1155CC"/>
            <w:u w:val="single"/>
          </w:rPr>
          <w:t>https://papers.ssrn.com/sol3/papers.cfm?abstract_id=5330130</w:t>
        </w:r>
      </w:hyperlink>
      <w:r w:rsidRPr="00AF5F92">
        <w:rPr>
          <w:rFonts w:asciiTheme="majorBidi" w:hAnsiTheme="majorBidi" w:cstheme="majorBidi"/>
        </w:rPr>
        <w:t xml:space="preserve"> </w:t>
      </w:r>
    </w:p>
    <w:p w14:paraId="72BFFFA1" w14:textId="21D827B0" w:rsidR="006C6D9A" w:rsidRPr="00AF5F92" w:rsidRDefault="00A255F5" w:rsidP="00AF5F92">
      <w:pPr>
        <w:pStyle w:val="ListParagraph"/>
        <w:numPr>
          <w:ilvl w:val="0"/>
          <w:numId w:val="1"/>
        </w:numPr>
        <w:spacing w:after="120" w:line="320" w:lineRule="auto"/>
        <w:jc w:val="both"/>
        <w:rPr>
          <w:rFonts w:asciiTheme="majorBidi" w:hAnsiTheme="majorBidi" w:cstheme="majorBidi"/>
        </w:rPr>
      </w:pPr>
      <w:r w:rsidRPr="00AF5F92">
        <w:rPr>
          <w:rFonts w:asciiTheme="majorBidi" w:hAnsiTheme="majorBidi" w:cstheme="majorBidi"/>
        </w:rPr>
        <w:t xml:space="preserve">Zhou L and Wang X (2026) The longitudinal impact of emotional intelligence and psychological empowerment on work engagement among university administrators: a cross-lagged panel model approach. Front. Psychol. 16:1667110. </w:t>
      </w:r>
      <w:hyperlink r:id="rId52">
        <w:r w:rsidRPr="00AF5F92">
          <w:rPr>
            <w:rFonts w:asciiTheme="majorBidi" w:hAnsiTheme="majorBidi" w:cstheme="majorBidi"/>
            <w:color w:val="1155CC"/>
            <w:highlight w:val="white"/>
          </w:rPr>
          <w:t>https://doi.org/10.3389/fpsyg.2025.1667110</w:t>
        </w:r>
      </w:hyperlink>
      <w:r w:rsidRPr="00AF5F92">
        <w:rPr>
          <w:rFonts w:asciiTheme="majorBidi" w:hAnsiTheme="majorBidi" w:cstheme="majorBidi"/>
        </w:rPr>
        <w:t xml:space="preserve">    </w:t>
      </w:r>
    </w:p>
    <w:sectPr w:rsidR="006C6D9A" w:rsidRPr="00AF5F92">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FB02B8F-5473-4404-834E-FFB3D9F437AF}"/>
  </w:font>
  <w:font w:name="Gungsuh">
    <w:charset w:val="81"/>
    <w:family w:val="roman"/>
    <w:pitch w:val="variable"/>
    <w:sig w:usb0="B00002AF" w:usb1="69D77CFB" w:usb2="00000030" w:usb3="00000000" w:csb0="0008009F" w:csb1="00000000"/>
  </w:font>
  <w:font w:name="Cardo">
    <w:charset w:val="00"/>
    <w:family w:val="auto"/>
    <w:pitch w:val="default"/>
    <w:embedRegular r:id="rId2" w:fontKey="{E63297C8-0B03-4C8B-98E6-C3B9C1F96EC7}"/>
  </w:font>
  <w:font w:name="Segoe UI Symbol">
    <w:panose1 w:val="020B0502040204020203"/>
    <w:charset w:val="00"/>
    <w:family w:val="swiss"/>
    <w:pitch w:val="variable"/>
    <w:sig w:usb0="800001E3" w:usb1="1200FFEF" w:usb2="00040000" w:usb3="00000000" w:csb0="00000001" w:csb1="00000000"/>
    <w:embedBold r:id="rId3" w:fontKey="{9BE01E6B-A455-4BF2-ABBB-E977C0C51F0B}"/>
    <w:embedItalic r:id="rId4" w:fontKey="{6F498ED5-22C3-49B5-A5DC-6BA337261EB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5" w:fontKey="{7B4F07FA-B6B2-4A60-A47A-C31D64CCC04A}"/>
  </w:font>
  <w:font w:name="Cambria">
    <w:panose1 w:val="02040503050406030204"/>
    <w:charset w:val="00"/>
    <w:family w:val="roman"/>
    <w:pitch w:val="variable"/>
    <w:sig w:usb0="E00006FF" w:usb1="420024FF" w:usb2="02000000" w:usb3="00000000" w:csb0="0000019F" w:csb1="00000000"/>
    <w:embedRegular r:id="rId6" w:fontKey="{482079CD-8CBF-493C-9885-52676A181EF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1168"/>
    <w:multiLevelType w:val="hybridMultilevel"/>
    <w:tmpl w:val="02328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F396210"/>
    <w:multiLevelType w:val="multilevel"/>
    <w:tmpl w:val="8D78CD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D9A"/>
    <w:rsid w:val="001B4D38"/>
    <w:rsid w:val="005F260C"/>
    <w:rsid w:val="006C3AEB"/>
    <w:rsid w:val="006C6D9A"/>
    <w:rsid w:val="006F7E5C"/>
    <w:rsid w:val="0073153F"/>
    <w:rsid w:val="00863E57"/>
    <w:rsid w:val="0095612A"/>
    <w:rsid w:val="00A255F5"/>
    <w:rsid w:val="00AF5F92"/>
    <w:rsid w:val="00B9034C"/>
    <w:rsid w:val="00CE0C28"/>
    <w:rsid w:val="00DB5803"/>
    <w:rsid w:val="00ED1B00"/>
    <w:rsid w:val="00F158C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FE26C1"/>
  <w15:docId w15:val="{FAAE09A1-08A8-2C46-92FE-4279E1DEC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400" w:after="180"/>
      <w:outlineLvl w:val="0"/>
    </w:pPr>
    <w:rPr>
      <w:b/>
      <w:bCs/>
      <w:color w:val="000000"/>
      <w:sz w:val="26"/>
      <w:szCs w:val="26"/>
    </w:rPr>
  </w:style>
  <w:style w:type="paragraph" w:styleId="Heading2">
    <w:name w:val="heading 2"/>
    <w:basedOn w:val="Normal"/>
    <w:next w:val="Normal"/>
    <w:uiPriority w:val="9"/>
    <w:unhideWhenUsed/>
    <w:qFormat/>
    <w:pPr>
      <w:pBdr>
        <w:top w:val="nil"/>
        <w:left w:val="nil"/>
        <w:bottom w:val="nil"/>
        <w:right w:val="nil"/>
        <w:between w:val="nil"/>
      </w:pBdr>
      <w:spacing w:before="280" w:after="120"/>
      <w:outlineLvl w:val="1"/>
    </w:pPr>
    <w:rPr>
      <w:b/>
      <w:bCs/>
      <w:color w:val="000000"/>
    </w:rPr>
  </w:style>
  <w:style w:type="paragraph" w:styleId="Heading3">
    <w:name w:val="heading 3"/>
    <w:basedOn w:val="Normal"/>
    <w:next w:val="Normal"/>
    <w:uiPriority w:val="9"/>
    <w:unhideWhenUsed/>
    <w:qFormat/>
    <w:pPr>
      <w:pBdr>
        <w:top w:val="nil"/>
        <w:left w:val="nil"/>
        <w:bottom w:val="nil"/>
        <w:right w:val="nil"/>
        <w:between w:val="nil"/>
      </w:pBdr>
      <w:spacing w:before="200" w:after="80"/>
      <w:outlineLvl w:val="2"/>
    </w:pPr>
    <w:rPr>
      <w:b/>
      <w:bCs/>
      <w:i/>
      <w:iCs/>
      <w:color w:val="000000"/>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ListParagraph">
    <w:name w:val="List Paragraph"/>
    <w:basedOn w:val="Normal"/>
    <w:uiPriority w:val="34"/>
    <w:qFormat/>
    <w:rsid w:val="00AF5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016/j.tate.2006.04.005" TargetMode="External"/><Relationship Id="rId18" Type="http://schemas.openxmlformats.org/officeDocument/2006/relationships/hyperlink" Target="https://doi.org/10.1177/21582440251345950" TargetMode="External"/><Relationship Id="rId26" Type="http://schemas.openxmlformats.org/officeDocument/2006/relationships/hyperlink" Target="https://doi.org/10.1037/a0017286" TargetMode="External"/><Relationship Id="rId39" Type="http://schemas.openxmlformats.org/officeDocument/2006/relationships/hyperlink" Target="https://doi.org/10.1002/job.714" TargetMode="External"/><Relationship Id="rId21" Type="http://schemas.openxmlformats.org/officeDocument/2006/relationships/hyperlink" Target="https://doi.org/10.1080/23311975.2024.2415525" TargetMode="External"/><Relationship Id="rId34" Type="http://schemas.openxmlformats.org/officeDocument/2006/relationships/hyperlink" Target="https://doi.org/10.1007/s11218-025-10048-2" TargetMode="External"/><Relationship Id="rId42" Type="http://schemas.openxmlformats.org/officeDocument/2006/relationships/hyperlink" Target="https://doi.org/10.3390/jintelligence13080101" TargetMode="External"/><Relationship Id="rId47" Type="http://schemas.openxmlformats.org/officeDocument/2006/relationships/hyperlink" Target="https://doi.org/10.1108/IJEM-07-2023-0322" TargetMode="External"/><Relationship Id="rId50" Type="http://schemas.openxmlformats.org/officeDocument/2006/relationships/hyperlink" Target="https://doi.org/10.3390/bs14100862" TargetMode="External"/><Relationship Id="rId7" Type="http://schemas.openxmlformats.org/officeDocument/2006/relationships/hyperlink" Target="https://doi.org/10.1037/0033-2909.103.3.411" TargetMode="External"/><Relationship Id="rId2" Type="http://schemas.openxmlformats.org/officeDocument/2006/relationships/numbering" Target="numbering.xml"/><Relationship Id="rId16" Type="http://schemas.openxmlformats.org/officeDocument/2006/relationships/hyperlink" Target="https://doi.org/10.1016/j.heliyon.2023.e20356" TargetMode="External"/><Relationship Id="rId29" Type="http://schemas.openxmlformats.org/officeDocument/2006/relationships/hyperlink" Target="https://doi.org/10.1097/JOM.0000000000000113" TargetMode="External"/><Relationship Id="rId11" Type="http://schemas.openxmlformats.org/officeDocument/2006/relationships/hyperlink" Target="http://dx.doi.org/10.1111/j.1751-9004.2010.00334.x" TargetMode="External"/><Relationship Id="rId24" Type="http://schemas.openxmlformats.org/officeDocument/2006/relationships/hyperlink" Target="https://doi.org/10.1007/s11747-014-0403-8" TargetMode="External"/><Relationship Id="rId32" Type="http://schemas.openxmlformats.org/officeDocument/2006/relationships/hyperlink" Target="https://doi.org/10.3390/bs14040345" TargetMode="External"/><Relationship Id="rId37" Type="http://schemas.openxmlformats.org/officeDocument/2006/relationships/hyperlink" Target="https://doi.org/10.1002/hrdq.21385?urlappend=%3Futm_source%3Dresearchgate.net%26utm_medium%3Darticle" TargetMode="External"/><Relationship Id="rId40" Type="http://schemas.openxmlformats.org/officeDocument/2006/relationships/hyperlink" Target="https://doi.org/10.1007/s11846-023-00684-3" TargetMode="External"/><Relationship Id="rId45" Type="http://schemas.openxmlformats.org/officeDocument/2006/relationships/hyperlink" Target="https://doi.org/10.3389/fpsyg.2024.1338691"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oi.org/10.61503/cissmp.v5i1.384" TargetMode="External"/><Relationship Id="rId19" Type="http://schemas.openxmlformats.org/officeDocument/2006/relationships/hyperlink" Target="https://www.researchgate.net/publication/330687022_Validation_of_the_Spanish_version_of_the_Wong_Law_Emotional_Intelligence_Scale_WLEIS-S" TargetMode="External"/><Relationship Id="rId31" Type="http://schemas.openxmlformats.org/officeDocument/2006/relationships/hyperlink" Target="https://doi.org/10.1016/j.heliyon.2023.e18007" TargetMode="External"/><Relationship Id="rId44" Type="http://schemas.openxmlformats.org/officeDocument/2006/relationships/hyperlink" Target="https://doi.org/10.2190/DUGG-P24E-52WK-6CDG" TargetMode="External"/><Relationship Id="rId52" Type="http://schemas.openxmlformats.org/officeDocument/2006/relationships/hyperlink" Target="https://doi.org/10.3389/fpsyg.2025.1667110" TargetMode="External"/><Relationship Id="rId4" Type="http://schemas.openxmlformats.org/officeDocument/2006/relationships/settings" Target="settings.xml"/><Relationship Id="rId9" Type="http://schemas.openxmlformats.org/officeDocument/2006/relationships/hyperlink" Target="https://doi.org/10.1097/JHM" TargetMode="External"/><Relationship Id="rId14" Type="http://schemas.openxmlformats.org/officeDocument/2006/relationships/hyperlink" Target="https://doi.org/10.1038/s41598-025-08692-x" TargetMode="External"/><Relationship Id="rId22" Type="http://schemas.openxmlformats.org/officeDocument/2006/relationships/hyperlink" Target="https://doi.org/10.1037/1089-2680.2.3.271" TargetMode="External"/><Relationship Id="rId27" Type="http://schemas.openxmlformats.org/officeDocument/2006/relationships/hyperlink" Target="https://doi.org/10.35940/ijrte.b1301.0782s319" TargetMode="External"/><Relationship Id="rId30" Type="http://schemas.openxmlformats.org/officeDocument/2006/relationships/hyperlink" Target="https://doi.org/10.3390/businesses5010004" TargetMode="External"/><Relationship Id="rId35" Type="http://schemas.openxmlformats.org/officeDocument/2006/relationships/hyperlink" Target="https://doi.org/10.1207/s15327965pli1503_02" TargetMode="External"/><Relationship Id="rId43" Type="http://schemas.openxmlformats.org/officeDocument/2006/relationships/hyperlink" Target="https://doi.org/10.3389/fpsyg.2020.01517" TargetMode="External"/><Relationship Id="rId48" Type="http://schemas.openxmlformats.org/officeDocument/2006/relationships/hyperlink" Target="https://doi.org/10.1177/00332941231197165" TargetMode="External"/><Relationship Id="rId8" Type="http://schemas.openxmlformats.org/officeDocument/2006/relationships/hyperlink" Target="https://doi.org/10.1037/ocp0000056" TargetMode="External"/><Relationship Id="rId51" Type="http://schemas.openxmlformats.org/officeDocument/2006/relationships/hyperlink" Target="https://papers.ssrn.com/sol3/papers.cfm?abstract_id=5330130" TargetMode="External"/><Relationship Id="rId3" Type="http://schemas.openxmlformats.org/officeDocument/2006/relationships/styles" Target="styles.xml"/><Relationship Id="rId12" Type="http://schemas.openxmlformats.org/officeDocument/2006/relationships/hyperlink" Target="https://doi.org/10.3389/feduc.2025.1685826" TargetMode="External"/><Relationship Id="rId17" Type="http://schemas.openxmlformats.org/officeDocument/2006/relationships/hyperlink" Target="https://doi.org/10.1146/annurev-orgpsych-012420-062858" TargetMode="External"/><Relationship Id="rId25" Type="http://schemas.openxmlformats.org/officeDocument/2006/relationships/hyperlink" Target="https://doi.org/10.1037/0003-066X.44.3.513" TargetMode="External"/><Relationship Id="rId33" Type="http://schemas.openxmlformats.org/officeDocument/2006/relationships/hyperlink" Target="https://doi.org/10.3389/fpsyg.2023.1329400" TargetMode="External"/><Relationship Id="rId38" Type="http://schemas.openxmlformats.org/officeDocument/2006/relationships/hyperlink" Target="https://doi.org/10.1007/s44217-025-00720-2" TargetMode="External"/><Relationship Id="rId46" Type="http://schemas.openxmlformats.org/officeDocument/2006/relationships/hyperlink" Target="https://doi.org/10.1186/s12912-025-03002-2" TargetMode="External"/><Relationship Id="rId20" Type="http://schemas.openxmlformats.org/officeDocument/2006/relationships/hyperlink" Target="https://doi.org/10.3389/fpsyg.2025.1701703" TargetMode="External"/><Relationship Id="rId41" Type="http://schemas.openxmlformats.org/officeDocument/2006/relationships/hyperlink" Target="https://doi.org/10.3390/merits404003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hyperlink" Target="https://doi.org/10.1177/08920206221085794" TargetMode="External"/><Relationship Id="rId23" Type="http://schemas.openxmlformats.org/officeDocument/2006/relationships/hyperlink" Target="https://doi.org/10.1108/EBR-11-2018-0203" TargetMode="External"/><Relationship Id="rId28" Type="http://schemas.openxmlformats.org/officeDocument/2006/relationships/hyperlink" Target="https://doi.org/10.4018/ijec.2015100101" TargetMode="External"/><Relationship Id="rId36" Type="http://schemas.openxmlformats.org/officeDocument/2006/relationships/hyperlink" Target="https://doi.org/10.3389/fpsyg.2024.1469746" TargetMode="External"/><Relationship Id="rId49" Type="http://schemas.openxmlformats.org/officeDocument/2006/relationships/hyperlink" Target="https://doi.org/10.1016/S1048-9843(02)00099-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JZ5du1XHwqa+z9P3BiWQ1qVIMQ==">CgMxLjAaFAoBMBIPCg0IB0IJEgdHdW5nc3VoGhIKATESDQoLCAdCBxIFQ2FyZG8aHQoBMhIYChYIB0ISEhBBcmlhbCBVbmljb2RlIE1TGhIKATMSDQoLCAdCBxIFQ2FyZG8aHQoBNBIYChYIB0ISEhBBcmlhbCBVbmljb2RlIE1TGhIKATUSDQoLCAdCBxIFQ2FyZG8aHQoBNhIYChYIB0ISEhBBcmlhbCBVbmljb2RlIE1TGh0KATcSGAoWCAdCEhIQQXJpYWwgVW5pY29kZSBNUzgAciExT3BWU2FMazNkeHV5WmFIYldreUhOTjZ0UlhTa1pNdE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8859</Words>
  <Characters>50500</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4</cp:revision>
  <cp:lastPrinted>2026-04-09T14:18:00Z</cp:lastPrinted>
  <dcterms:created xsi:type="dcterms:W3CDTF">2026-04-09T14:27:00Z</dcterms:created>
  <dcterms:modified xsi:type="dcterms:W3CDTF">2026-04-16T13:17:00Z</dcterms:modified>
</cp:coreProperties>
</file>