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CE3" w:rsidRPr="0000447F" w:rsidRDefault="00E22327" w:rsidP="00C24956">
      <w:pPr>
        <w:rPr>
          <w:rFonts w:ascii="Footlight MT Light" w:eastAsia="Times New Roman" w:hAnsi="Footlight MT Light" w:cs="Arial"/>
          <w:b/>
          <w:bCs/>
          <w:sz w:val="24"/>
          <w:szCs w:val="24"/>
        </w:rPr>
      </w:pPr>
      <w:r w:rsidRPr="0000447F">
        <w:rPr>
          <w:rFonts w:ascii="Footlight MT Light" w:hAnsi="Footlight MT Light"/>
          <w:b/>
        </w:rPr>
        <w:t xml:space="preserve">Reward Management </w:t>
      </w:r>
      <w:r>
        <w:rPr>
          <w:rFonts w:ascii="Footlight MT Light" w:hAnsi="Footlight MT Light"/>
          <w:b/>
        </w:rPr>
        <w:t>a</w:t>
      </w:r>
      <w:r w:rsidRPr="0000447F">
        <w:rPr>
          <w:rFonts w:ascii="Footlight MT Light" w:hAnsi="Footlight MT Light"/>
          <w:b/>
        </w:rPr>
        <w:t xml:space="preserve">nd Employee Quality </w:t>
      </w:r>
      <w:r>
        <w:rPr>
          <w:rFonts w:ascii="Footlight MT Light" w:hAnsi="Footlight MT Light"/>
          <w:b/>
        </w:rPr>
        <w:t>o</w:t>
      </w:r>
      <w:r w:rsidRPr="0000447F">
        <w:rPr>
          <w:rFonts w:ascii="Footlight MT Light" w:hAnsi="Footlight MT Light"/>
          <w:b/>
        </w:rPr>
        <w:t xml:space="preserve">f Work Life </w:t>
      </w:r>
      <w:r>
        <w:rPr>
          <w:rFonts w:ascii="Footlight MT Light" w:hAnsi="Footlight MT Light"/>
          <w:b/>
        </w:rPr>
        <w:t>i</w:t>
      </w:r>
      <w:r w:rsidRPr="0000447F">
        <w:rPr>
          <w:rFonts w:ascii="Footlight MT Light" w:hAnsi="Footlight MT Light"/>
          <w:b/>
        </w:rPr>
        <w:t xml:space="preserve">n Public Health Facilities: Evidence </w:t>
      </w:r>
      <w:r>
        <w:rPr>
          <w:rFonts w:ascii="Footlight MT Light" w:hAnsi="Footlight MT Light"/>
          <w:b/>
        </w:rPr>
        <w:t>f</w:t>
      </w:r>
      <w:r w:rsidRPr="0000447F">
        <w:rPr>
          <w:rFonts w:ascii="Footlight MT Light" w:hAnsi="Footlight MT Light"/>
          <w:b/>
        </w:rPr>
        <w:t>rom Machakos County Government, Kenya</w:t>
      </w:r>
    </w:p>
    <w:p w:rsidR="0063325E" w:rsidRPr="0000447F" w:rsidRDefault="0063325E" w:rsidP="00C24956">
      <w:pPr>
        <w:rPr>
          <w:rFonts w:ascii="Footlight MT Light" w:hAnsi="Footlight MT Light"/>
          <w:b/>
        </w:rPr>
      </w:pPr>
      <w:r w:rsidRPr="0000447F">
        <w:rPr>
          <w:rFonts w:ascii="Footlight MT Light" w:hAnsi="Footlight MT Light"/>
          <w:b/>
        </w:rPr>
        <w:t>ABSTRACT</w:t>
      </w:r>
    </w:p>
    <w:p w:rsidR="00C1670F" w:rsidRPr="0000447F" w:rsidRDefault="00E22327" w:rsidP="00C1670F">
      <w:pPr>
        <w:pStyle w:val="NormalWeb"/>
        <w:jc w:val="both"/>
        <w:rPr>
          <w:rFonts w:ascii="Footlight MT Light" w:hAnsi="Footlight MT Light"/>
        </w:rPr>
      </w:pPr>
      <w:r w:rsidRPr="00E22327">
        <w:rPr>
          <w:rFonts w:ascii="Footlight MT Light" w:hAnsi="Footlight MT Light"/>
        </w:rPr>
        <w:t>Reward management is a key HRM practice that influences employee satisfaction, motivation, and performance by shaping how valued employees feel within an organization. In Kenya’s public health sector, inadequate rewards and poor HR implementation lower morale and negatively impact quality of work life and service delivery.</w:t>
      </w:r>
      <w:r>
        <w:rPr>
          <w:rFonts w:ascii="Footlight MT Light" w:hAnsi="Footlight MT Light"/>
        </w:rPr>
        <w:t xml:space="preserve"> </w:t>
      </w:r>
      <w:r w:rsidR="00C1670F" w:rsidRPr="0000447F">
        <w:rPr>
          <w:rFonts w:ascii="Footlight MT Light" w:hAnsi="Footlight MT Light"/>
        </w:rPr>
        <w:t>This study examined the influence of reward management on employee Quality of Work Life (QWL) in public health facilities under Machakos County Government, Kenya. A descriptive survey research design was adopted, and data were collected from 195 healthcare workers using structured questionnaires measured on a five-point Likert scale. Reliability of the instrument was confirmed using Cronbach’s Alpha, with reward management (</w:t>
      </w:r>
      <w:r w:rsidR="00C1670F" w:rsidRPr="0000447F">
        <w:rPr>
          <w:rFonts w:ascii="Cambria" w:hAnsi="Cambria" w:cs="Cambria"/>
        </w:rPr>
        <w:t>α</w:t>
      </w:r>
      <w:r w:rsidR="00C1670F" w:rsidRPr="0000447F">
        <w:rPr>
          <w:rFonts w:ascii="Footlight MT Light" w:hAnsi="Footlight MT Light"/>
        </w:rPr>
        <w:t xml:space="preserve"> = 0.81) and Quality of Work Life (</w:t>
      </w:r>
      <w:r w:rsidR="00C1670F" w:rsidRPr="0000447F">
        <w:rPr>
          <w:rFonts w:ascii="Cambria" w:hAnsi="Cambria" w:cs="Cambria"/>
        </w:rPr>
        <w:t>α</w:t>
      </w:r>
      <w:r w:rsidR="00C1670F" w:rsidRPr="0000447F">
        <w:rPr>
          <w:rFonts w:ascii="Footlight MT Light" w:hAnsi="Footlight MT Light"/>
        </w:rPr>
        <w:t xml:space="preserve"> = 0.84) indicating good internal consistency. Ethical standards were upheld through informed consent, voluntary participation, and assurance of confidentiality and anonymity of respondents. Data were analyzed using descriptive statistics, analysis of variance (ANOVA), and ordinal logistic regression. The findings indicated that reward management was moderately rated (M = 3.74, SD = 1.12), reflecting a generally positive but varied perception among employees. ANOVA results showed significant differences in perceptions of reward management across employee categories, indicating variability in how reward practices are experienced within public health facilities (p &lt; 0.05). Further, ordinal logistic regression analysis revealed that reward management had a statistically significant positive influence on employee Quality of Work Life (OR = 1.68, 95% CI [1.36, 2.59], p &lt; .001), implying that a one-unit increase in reward management increases the odds of higher QWL by 68%.The results demonstrate that fair compensation, promotion opportunities, recognition, and allowances significantly enhance employee satisfaction, motivation, and commitment. The study concludes that strengthening reward management practices is essential for improving employee well-being and service delivery in public health institutions. It recommends the implementation of fair, transparent, and timely reward systems within county governments to enhance workforce performance and overall healthcare outcomes.</w:t>
      </w:r>
    </w:p>
    <w:p w:rsidR="00BA7740" w:rsidRPr="0000447F" w:rsidRDefault="00C24956" w:rsidP="00C24956">
      <w:pPr>
        <w:rPr>
          <w:rFonts w:ascii="Footlight MT Light" w:hAnsi="Footlight MT Light" w:cs="Arial"/>
          <w:sz w:val="24"/>
          <w:szCs w:val="24"/>
        </w:rPr>
      </w:pPr>
      <w:r w:rsidRPr="0000447F">
        <w:rPr>
          <w:rStyle w:val="Strong"/>
          <w:rFonts w:ascii="Footlight MT Light" w:hAnsi="Footlight MT Light"/>
        </w:rPr>
        <w:t>Keywords:</w:t>
      </w:r>
      <w:r w:rsidRPr="0000447F">
        <w:rPr>
          <w:rFonts w:ascii="Footlight MT Light" w:hAnsi="Footlight MT Light"/>
        </w:rPr>
        <w:t xml:space="preserve"> Reward Management, Quality of Work Life, Public Health Sector, Human Resource Management, Kenya</w:t>
      </w:r>
    </w:p>
    <w:p w:rsidR="00694B98" w:rsidRPr="0000447F"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Pr="0000447F"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Pr="0000447F"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Pr="0000447F"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Pr="0000447F"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31430A" w:rsidRPr="0000447F" w:rsidRDefault="0031430A" w:rsidP="00694B98">
      <w:pPr>
        <w:spacing w:before="100" w:beforeAutospacing="1" w:after="100" w:afterAutospacing="1" w:line="240" w:lineRule="auto"/>
        <w:jc w:val="both"/>
        <w:outlineLvl w:val="0"/>
        <w:rPr>
          <w:rFonts w:ascii="Footlight MT Light" w:hAnsi="Footlight MT Light" w:cs="Arial"/>
          <w:sz w:val="24"/>
          <w:szCs w:val="24"/>
        </w:rPr>
      </w:pPr>
    </w:p>
    <w:p w:rsidR="00694B98" w:rsidRPr="0000447F"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Pr="0000447F"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694B98" w:rsidRPr="0000447F" w:rsidRDefault="00694B98" w:rsidP="00694B98">
      <w:pPr>
        <w:spacing w:before="100" w:beforeAutospacing="1" w:after="100" w:afterAutospacing="1" w:line="240" w:lineRule="auto"/>
        <w:jc w:val="both"/>
        <w:outlineLvl w:val="0"/>
        <w:rPr>
          <w:rFonts w:ascii="Footlight MT Light" w:hAnsi="Footlight MT Light" w:cs="Arial"/>
          <w:sz w:val="24"/>
          <w:szCs w:val="24"/>
        </w:rPr>
      </w:pPr>
    </w:p>
    <w:p w:rsidR="00D75CFF" w:rsidRPr="0000447F" w:rsidRDefault="00D75CFF" w:rsidP="00694B98">
      <w:pPr>
        <w:spacing w:before="100" w:beforeAutospacing="1" w:after="100" w:afterAutospacing="1" w:line="240" w:lineRule="auto"/>
        <w:jc w:val="both"/>
        <w:outlineLvl w:val="0"/>
        <w:rPr>
          <w:rFonts w:ascii="Footlight MT Light" w:hAnsi="Footlight MT Light" w:cs="Arial"/>
          <w:sz w:val="24"/>
          <w:szCs w:val="24"/>
        </w:rPr>
      </w:pPr>
    </w:p>
    <w:p w:rsidR="0063325E" w:rsidRPr="0000447F" w:rsidRDefault="0063325E" w:rsidP="00694B98">
      <w:pPr>
        <w:spacing w:before="100" w:beforeAutospacing="1" w:after="100" w:afterAutospacing="1" w:line="276" w:lineRule="auto"/>
        <w:outlineLvl w:val="0"/>
        <w:rPr>
          <w:rFonts w:ascii="Footlight MT Light" w:eastAsia="Times New Roman" w:hAnsi="Footlight MT Light" w:cs="Arial"/>
          <w:b/>
          <w:bCs/>
          <w:kern w:val="36"/>
          <w:sz w:val="24"/>
          <w:szCs w:val="24"/>
        </w:rPr>
      </w:pPr>
      <w:r w:rsidRPr="0000447F">
        <w:rPr>
          <w:rFonts w:ascii="Footlight MT Light" w:eastAsia="Times New Roman" w:hAnsi="Footlight MT Light" w:cs="Arial"/>
          <w:b/>
          <w:bCs/>
          <w:kern w:val="36"/>
          <w:sz w:val="24"/>
          <w:szCs w:val="24"/>
        </w:rPr>
        <w:t>1. INTRODUCTION</w:t>
      </w:r>
    </w:p>
    <w:p w:rsidR="0063325E" w:rsidRPr="0000447F"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1.1 Background of the Study</w:t>
      </w:r>
    </w:p>
    <w:p w:rsidR="0063325E" w:rsidRPr="0000447F" w:rsidRDefault="0063325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Human resource management practices play a critical role in determining employee satisfaction, motivation, and performance (Guest, 2017). Reward management is one of the most important HRM practices because it influences how employees perceive their value within the organization (Armstrong, 2006). Reward management includes salaries, allowances, promotions, recognition, and other benefits intended to motivate employees and improve organizational performance</w:t>
      </w:r>
      <w:r w:rsidR="00E22327">
        <w:rPr>
          <w:rFonts w:ascii="Footlight MT Light" w:eastAsia="Times New Roman" w:hAnsi="Footlight MT Light" w:cs="Arial"/>
          <w:sz w:val="24"/>
          <w:szCs w:val="24"/>
        </w:rPr>
        <w:t xml:space="preserve"> (</w:t>
      </w:r>
      <w:proofErr w:type="spellStart"/>
      <w:r w:rsidR="00E22327" w:rsidRPr="00E22327">
        <w:rPr>
          <w:rFonts w:ascii="Footlight MT Light" w:eastAsia="Times New Roman" w:hAnsi="Footlight MT Light" w:cs="Arial"/>
          <w:sz w:val="24"/>
          <w:szCs w:val="24"/>
        </w:rPr>
        <w:t>Hsinkuang</w:t>
      </w:r>
      <w:proofErr w:type="spellEnd"/>
      <w:r w:rsidR="00E22327">
        <w:rPr>
          <w:rFonts w:ascii="Footlight MT Light" w:eastAsia="Times New Roman" w:hAnsi="Footlight MT Light" w:cs="Arial"/>
          <w:sz w:val="24"/>
          <w:szCs w:val="24"/>
        </w:rPr>
        <w:t xml:space="preserve"> et al., 2023)</w:t>
      </w:r>
      <w:r w:rsidRPr="0000447F">
        <w:rPr>
          <w:rFonts w:ascii="Footlight MT Light" w:eastAsia="Times New Roman" w:hAnsi="Footlight MT Light" w:cs="Arial"/>
          <w:sz w:val="24"/>
          <w:szCs w:val="24"/>
        </w:rPr>
        <w:t>.</w:t>
      </w:r>
    </w:p>
    <w:p w:rsidR="0063325E" w:rsidRPr="0000447F" w:rsidRDefault="0063325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the public health sector, employees operate under demanding conditions that require commitment, responsibility, and professional competence. However, inadequate rewards, delayed promotions, and lack of recognition may reduce morale and negatively affect Quality of Work Life (Walton, 1975). In Kenyan county governments, health w</w:t>
      </w:r>
      <w:bookmarkStart w:id="0" w:name="_GoBack"/>
      <w:bookmarkEnd w:id="0"/>
      <w:r w:rsidRPr="0000447F">
        <w:rPr>
          <w:rFonts w:ascii="Footlight MT Light" w:eastAsia="Times New Roman" w:hAnsi="Footlight MT Light" w:cs="Arial"/>
          <w:sz w:val="24"/>
          <w:szCs w:val="24"/>
        </w:rPr>
        <w:t>orkers often face heavy workload, limited resources, and delays in HR policy implementation, making reward management a critical factor in employee well-being and service delivery</w:t>
      </w:r>
      <w:r w:rsidR="00C51EB8">
        <w:rPr>
          <w:rFonts w:ascii="Footlight MT Light" w:eastAsia="Times New Roman" w:hAnsi="Footlight MT Light" w:cs="Arial"/>
          <w:sz w:val="24"/>
          <w:szCs w:val="24"/>
        </w:rPr>
        <w:t xml:space="preserve"> (</w:t>
      </w:r>
      <w:r w:rsidR="00C51EB8" w:rsidRPr="00C51EB8">
        <w:rPr>
          <w:rFonts w:ascii="Footlight MT Light" w:eastAsia="Times New Roman" w:hAnsi="Footlight MT Light" w:cs="Arial"/>
          <w:sz w:val="24"/>
          <w:szCs w:val="24"/>
        </w:rPr>
        <w:t>Njuguna</w:t>
      </w:r>
      <w:r w:rsidR="00C51EB8">
        <w:rPr>
          <w:rFonts w:ascii="Footlight MT Light" w:eastAsia="Times New Roman" w:hAnsi="Footlight MT Light" w:cs="Arial"/>
          <w:sz w:val="24"/>
          <w:szCs w:val="24"/>
        </w:rPr>
        <w:t xml:space="preserve"> et al., 2014)</w:t>
      </w:r>
      <w:r w:rsidRPr="0000447F">
        <w:rPr>
          <w:rFonts w:ascii="Footlight MT Light" w:eastAsia="Times New Roman" w:hAnsi="Footlight MT Light" w:cs="Arial"/>
          <w:sz w:val="24"/>
          <w:szCs w:val="24"/>
        </w:rPr>
        <w:t>.</w:t>
      </w:r>
    </w:p>
    <w:p w:rsidR="00C24956" w:rsidRPr="0000447F" w:rsidRDefault="00C24956"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hAnsi="Footlight MT Light"/>
        </w:rPr>
        <w:t>Healthcare workers operate in environments characterized by long working hours, emotional demands, and resource constraints. In such settings, effective reward management is essential for sustaining employee motivation, well-being, and service delivery.</w:t>
      </w:r>
    </w:p>
    <w:p w:rsidR="001F6453" w:rsidRPr="0000447F" w:rsidRDefault="00C24956" w:rsidP="00C24956">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This study therefore examined the influence of reward management on employee Quality of Work Life in health facilities under Machakos County Government.</w:t>
      </w:r>
    </w:p>
    <w:p w:rsidR="00F0629B" w:rsidRPr="0000447F" w:rsidRDefault="00F0629B"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 xml:space="preserve">1.2 Theoretical Framework </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This study was guided by five complementary theories that explain the relationship between reward management and employee Quality of Work Life (QWL), namely </w:t>
      </w:r>
      <w:r w:rsidRPr="0000447F">
        <w:rPr>
          <w:rFonts w:ascii="Footlight MT Light" w:eastAsia="Times New Roman" w:hAnsi="Footlight MT Light" w:cs="Arial"/>
          <w:bCs/>
          <w:sz w:val="24"/>
          <w:szCs w:val="24"/>
        </w:rPr>
        <w:t>Self-Determination Theory</w:t>
      </w:r>
      <w:r w:rsidRPr="0000447F">
        <w:rPr>
          <w:rFonts w:ascii="Footlight MT Light" w:eastAsia="Times New Roman" w:hAnsi="Footlight MT Light" w:cs="Arial"/>
          <w:sz w:val="24"/>
          <w:szCs w:val="24"/>
        </w:rPr>
        <w:t xml:space="preserve">, </w:t>
      </w:r>
      <w:r w:rsidRPr="0000447F">
        <w:rPr>
          <w:rFonts w:ascii="Footlight MT Light" w:eastAsia="Times New Roman" w:hAnsi="Footlight MT Light" w:cs="Arial"/>
          <w:bCs/>
          <w:sz w:val="24"/>
          <w:szCs w:val="24"/>
        </w:rPr>
        <w:t>Job Demands–Resources Model</w:t>
      </w:r>
      <w:r w:rsidRPr="0000447F">
        <w:rPr>
          <w:rFonts w:ascii="Footlight MT Light" w:eastAsia="Times New Roman" w:hAnsi="Footlight MT Light" w:cs="Arial"/>
          <w:sz w:val="24"/>
          <w:szCs w:val="24"/>
        </w:rPr>
        <w:t xml:space="preserve">, </w:t>
      </w:r>
      <w:r w:rsidRPr="0000447F">
        <w:rPr>
          <w:rFonts w:ascii="Footlight MT Light" w:eastAsia="Times New Roman" w:hAnsi="Footlight MT Light" w:cs="Arial"/>
          <w:bCs/>
          <w:sz w:val="24"/>
          <w:szCs w:val="24"/>
        </w:rPr>
        <w:t>Psychological Empowerment Theory</w:t>
      </w:r>
      <w:r w:rsidRPr="0000447F">
        <w:rPr>
          <w:rFonts w:ascii="Footlight MT Light" w:eastAsia="Times New Roman" w:hAnsi="Footlight MT Light" w:cs="Arial"/>
          <w:sz w:val="24"/>
          <w:szCs w:val="24"/>
        </w:rPr>
        <w:t xml:space="preserve">, </w:t>
      </w:r>
      <w:r w:rsidRPr="0000447F">
        <w:rPr>
          <w:rFonts w:ascii="Footlight MT Light" w:eastAsia="Times New Roman" w:hAnsi="Footlight MT Light" w:cs="Arial"/>
          <w:bCs/>
          <w:sz w:val="24"/>
          <w:szCs w:val="24"/>
        </w:rPr>
        <w:t>Social Exchange Theory</w:t>
      </w:r>
      <w:r w:rsidRPr="0000447F">
        <w:rPr>
          <w:rFonts w:ascii="Footlight MT Light" w:eastAsia="Times New Roman" w:hAnsi="Footlight MT Light" w:cs="Arial"/>
          <w:sz w:val="24"/>
          <w:szCs w:val="24"/>
        </w:rPr>
        <w:t xml:space="preserve">, and </w:t>
      </w:r>
      <w:r w:rsidRPr="0000447F">
        <w:rPr>
          <w:rFonts w:ascii="Footlight MT Light" w:eastAsia="Times New Roman" w:hAnsi="Footlight MT Light" w:cs="Arial"/>
          <w:bCs/>
          <w:sz w:val="24"/>
          <w:szCs w:val="24"/>
        </w:rPr>
        <w:t>Equity Theory</w:t>
      </w:r>
      <w:r w:rsidRPr="0000447F">
        <w:rPr>
          <w:rFonts w:ascii="Footlight MT Light" w:eastAsia="Times New Roman" w:hAnsi="Footlight MT Light" w:cs="Arial"/>
          <w:sz w:val="24"/>
          <w:szCs w:val="24"/>
        </w:rPr>
        <w:t>. These theories provide a strong foundation for understanding how financial and non-financial rewards influence employee motivation, satisfaction, commitment, and overall well-being in the workplace, particularly in public health institutions where employees operate under demanding conditions.</w:t>
      </w:r>
    </w:p>
    <w:p w:rsidR="00F0629B" w:rsidRPr="0000447F" w:rsidRDefault="00F0629B"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Self-Determination Theory</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Self-Determination Theory (SDT) developed by Deci and Ryan (2000, 2017) explains that human motivation is influenced by the satisfaction of three basic psychological needs: </w:t>
      </w:r>
      <w:r w:rsidRPr="0000447F">
        <w:rPr>
          <w:rFonts w:ascii="Footlight MT Light" w:eastAsia="Times New Roman" w:hAnsi="Footlight MT Light" w:cs="Arial"/>
          <w:bCs/>
          <w:sz w:val="24"/>
          <w:szCs w:val="24"/>
        </w:rPr>
        <w:t>autonomy, competence, and relatedness</w:t>
      </w:r>
      <w:r w:rsidRPr="0000447F">
        <w:rPr>
          <w:rFonts w:ascii="Footlight MT Light" w:eastAsia="Times New Roman" w:hAnsi="Footlight MT Light" w:cs="Arial"/>
          <w:sz w:val="24"/>
          <w:szCs w:val="24"/>
        </w:rPr>
        <w:t xml:space="preserve">. When these needs are fulfilled, employees experience higher motivation, engagement, and well-being. Reward management plays an important role in </w:t>
      </w:r>
      <w:r w:rsidRPr="0000447F">
        <w:rPr>
          <w:rFonts w:ascii="Footlight MT Light" w:eastAsia="Times New Roman" w:hAnsi="Footlight MT Light" w:cs="Arial"/>
          <w:sz w:val="24"/>
          <w:szCs w:val="24"/>
        </w:rPr>
        <w:lastRenderedPageBreak/>
        <w:t>satisfying these needs through fair salaries, promotion opportunities, recognition, and supportive work environments.</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the public health sector, employees often face high workload, emotional pressure, and limited resources. When reward systems are perceived as fair and supportive, employees feel valued and competent, which enhances their Quality of Work Life. Conversely, inadequate compensation, delayed promotions, and lack of recognition may reduce intrinsic motivation and lead to job dissatisfaction. Therefore, Self-Determination Theory helps explain why appropriate reward management is essential for improving employee well-being and performance in county health facilities.</w:t>
      </w:r>
    </w:p>
    <w:p w:rsidR="00F0629B" w:rsidRPr="0000447F" w:rsidRDefault="00F0629B" w:rsidP="00694B98">
      <w:pPr>
        <w:spacing w:before="100" w:beforeAutospacing="1" w:after="100" w:afterAutospacing="1" w:line="276" w:lineRule="auto"/>
        <w:jc w:val="both"/>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Job Demands–Resources Model</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Job Demands–Resources (JD-R) Model developed by Bakker and Demerouti (2007, 2014) explains that employee well-being depends on the balance between </w:t>
      </w:r>
      <w:r w:rsidRPr="0000447F">
        <w:rPr>
          <w:rFonts w:ascii="Footlight MT Light" w:eastAsia="Times New Roman" w:hAnsi="Footlight MT Light" w:cs="Arial"/>
          <w:bCs/>
          <w:sz w:val="24"/>
          <w:szCs w:val="24"/>
        </w:rPr>
        <w:t>job demands</w:t>
      </w:r>
      <w:r w:rsidRPr="0000447F">
        <w:rPr>
          <w:rFonts w:ascii="Footlight MT Light" w:eastAsia="Times New Roman" w:hAnsi="Footlight MT Light" w:cs="Arial"/>
          <w:sz w:val="24"/>
          <w:szCs w:val="24"/>
        </w:rPr>
        <w:t xml:space="preserve"> and </w:t>
      </w:r>
      <w:r w:rsidRPr="0000447F">
        <w:rPr>
          <w:rFonts w:ascii="Footlight MT Light" w:eastAsia="Times New Roman" w:hAnsi="Footlight MT Light" w:cs="Arial"/>
          <w:bCs/>
          <w:sz w:val="24"/>
          <w:szCs w:val="24"/>
        </w:rPr>
        <w:t>job resources</w:t>
      </w:r>
      <w:r w:rsidRPr="0000447F">
        <w:rPr>
          <w:rFonts w:ascii="Footlight MT Light" w:eastAsia="Times New Roman" w:hAnsi="Footlight MT Light" w:cs="Arial"/>
          <w:sz w:val="24"/>
          <w:szCs w:val="24"/>
        </w:rPr>
        <w:t>. Job demands include workload, time pressure, emotional stress, and responsibility, while job resources include salary, promotion, recognition, supervision support, and career development opportunities.</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public health facilities, employees are exposed to high job demands such as long working hours, staff shortages, and pressure to deliver quality healthcare services. Reward management acts as an important job resource that helps employees cope with these demands. Adequate compensation, allowances, and recognition reduce stress, increase motivation, and improve commitment, thereby enhancing Quality of Work Life.</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JD-R model is particularly relevant to this study because healthcare workers in county governments often operate under challenging conditions, and the availability of fair rewards can determine whether employees experience burnout or job satisfaction.</w:t>
      </w:r>
    </w:p>
    <w:p w:rsidR="00F0629B" w:rsidRPr="0000447F" w:rsidRDefault="00F0629B"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Psychological Empowerment Theory</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Psychological Empowerment Theory developed by Spreitzer (1995, 2008) explains that employees perform better when they feel empowered in their work. Empowerment consists of four key dimensions: </w:t>
      </w:r>
      <w:r w:rsidRPr="0000447F">
        <w:rPr>
          <w:rFonts w:ascii="Footlight MT Light" w:eastAsia="Times New Roman" w:hAnsi="Footlight MT Light" w:cs="Arial"/>
          <w:bCs/>
          <w:sz w:val="24"/>
          <w:szCs w:val="24"/>
        </w:rPr>
        <w:t>meaning, competence, self-determination, and impact</w:t>
      </w:r>
      <w:r w:rsidRPr="0000447F">
        <w:rPr>
          <w:rFonts w:ascii="Footlight MT Light" w:eastAsia="Times New Roman" w:hAnsi="Footlight MT Light" w:cs="Arial"/>
          <w:sz w:val="24"/>
          <w:szCs w:val="24"/>
        </w:rPr>
        <w:t>. Reward management contributes to empowerment by recognizing employee effort, providing promotion opportunities, and offering fair compensation.</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When employees perceive that their work is appreciated and rewarded, they develop a sense of importance and confidence in their roles. In public health institutions, recognition and promotion opportunities increase morale and encourage employees to take responsibility for service delivery. On the other hand, lack of rewards may make employees feel undervalued, reducing their commitment and job satisfaction.</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lastRenderedPageBreak/>
        <w:t>This theory supports the argument that effective reward management enhances Quality of Work Life by strengthening employees’ psychological attachment to their work and organization.</w:t>
      </w: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F0629B" w:rsidRPr="0000447F" w:rsidRDefault="00F0629B"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Social Exchange Theory</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Social Exchange Theory proposed by Blau (1964) explains that relationships in the workplace are based on reciprocal exchanges between employees and the organization. When employees receive fair treatment, adequate rewards, and recognition, they feel obligated to respond with loyalty, commitment, and improved performance.</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the context of county health facilities, employees expect fair salaries, timely promotions, and recognition for their efforts. When these expectations are met, employees develop trust in the organization and are more willing to contribute positively to service delivery. However, when reward systems are perceived as unfair or inconsistent, employees may reduce their effort, leading to poor Quality of Work Life and reduced productivity.</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Social Exchange Theory therefore explains how reward management influences employee attitudes, commitment, and satisfaction in the public health sector.</w:t>
      </w:r>
    </w:p>
    <w:p w:rsidR="00F0629B" w:rsidRPr="0000447F" w:rsidRDefault="00F0629B"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Equity Theory</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Equity Theory developed by Adams (1965) states that employees evaluate fairness by comparing their rewards with those of other employees performing similar work. If employees perceive inequality in salary, promotion, or recognition, they may experience dissatisfaction, stress, and reduced motivation.</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public health facilities within county governments, employees often compare their rewards with those of colleagues in other counties or national government institutions. Perceived unfairness in compensation, delayed promotions, or unequal allowances may negatively affect morale and Quality of Work Life. On the other hand, fair and transparent reward systems increase satisfaction, trust, and commitment.</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Equity Theory is therefore important in explaining why reward management must be consistent, transparent, and fair in order to improve employee well-being and service delivery.</w:t>
      </w:r>
    </w:p>
    <w:p w:rsidR="00F0629B" w:rsidRPr="0000447F" w:rsidRDefault="00F0629B"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Application of the Theories to the Study</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five theories collectively explain that reward management influences employee Quality of Work Life through motivation, fairness, empowerment, and availability of job resources. In public health facilities under Machakos County Government, employees operate in demanding environments that require high levels of commitment and professionalism. When reward systems are fair, timely, and transparent, employees experience higher satisfaction, motivation, and psychological well-being, leading to improved service delivery.</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lastRenderedPageBreak/>
        <w:t xml:space="preserve">Therefore, the theoretical framework supports the assumption that </w:t>
      </w:r>
      <w:r w:rsidRPr="0000447F">
        <w:rPr>
          <w:rFonts w:ascii="Footlight MT Light" w:eastAsia="Times New Roman" w:hAnsi="Footlight MT Light" w:cs="Arial"/>
          <w:bCs/>
          <w:sz w:val="24"/>
          <w:szCs w:val="24"/>
        </w:rPr>
        <w:t>reward management is a key determinant of employee Quality of Work Life in county public health institutions</w:t>
      </w:r>
      <w:r w:rsidRPr="0000447F">
        <w:rPr>
          <w:rFonts w:ascii="Footlight MT Light" w:eastAsia="Times New Roman" w:hAnsi="Footlight MT Light" w:cs="Arial"/>
          <w:sz w:val="24"/>
          <w:szCs w:val="24"/>
        </w:rPr>
        <w:t>, and provides a strong basis for examining the relationship between compensation, promotion, recognition, allowances, and employee well-being.</w:t>
      </w:r>
    </w:p>
    <w:p w:rsidR="00F0629B" w:rsidRPr="0000447F" w:rsidRDefault="00F0629B"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 xml:space="preserve">1.3 Statement of the Problem </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Public health facilities in county governments play a critical role in the provision of essential healthcare services to citizens. The effectiveness of these institutions largely depends on the motivation, commitment, and well-being of healthcare workers, including nurses, clinical officers, medical officers, and medical superintendents. However, many county health systems in Kenya continue to experience challenges related to employee dissatisfaction, high workload, limited resources, and delays in implementation of human resource policies. These challenges have raised concerns about the Quality of Work Life (QWL) of healthcare workers and its effect on service delivery.</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Reward management is one of the key human resource management practices that influence employee attitudes and performance. Effective reward systems include fair salaries, timely promotions, recognition of performance, allowances, and access to employee benefits. In the public sector, and particularly in county governments, reward management is often constrained by budget limitations, bureaucratic procedures, and delayed decision-making processes. As a result, employees may experience frustration, low morale, and reduced motivation, which negatively affects their Quality of Work Life and the quality of services provided to the public.</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the health sector, the impact of poor reward management is more pronounced due to the demanding nature of healthcare work. Health workers are required to work long hours, handle emergencies, and operate under stressful conditions while ensuring high standards of professional conduct. When rewards are perceived as inadequate or unfair, employees may develop negative attitudes toward their work, leading to low job satisfaction, reduced commitment, increased absenteeism, and high turnover intentions. Such outcomes can undermine the ability of county governments to achieve their health service delivery targets.</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Machakos County Government, efforts have been made to improve human resource management through policy reforms, training programmes, and performance management systems. However, concerns have continued to emerge regarding delays in promotion, limited recognition of performance, perceived inequality in allowances, and dissatisfaction with compensation among healthcare workers. These concerns suggest that reward management may be a significant factor affecting employee Quality of Work Life in county health facilities.</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Despite the importance of reward management in improving employee well-being and organizational performance, there is limited empirical research focusing on the relationship between reward management and Quality of Work Life in public health facilities within Kenyan county governments. Most existing studies have focused on general job satisfaction or performance without specifically examining how different components of reward management </w:t>
      </w:r>
      <w:r w:rsidRPr="0000447F">
        <w:rPr>
          <w:rFonts w:ascii="Footlight MT Light" w:eastAsia="Times New Roman" w:hAnsi="Footlight MT Light" w:cs="Arial"/>
          <w:sz w:val="24"/>
          <w:szCs w:val="24"/>
        </w:rPr>
        <w:lastRenderedPageBreak/>
        <w:t>influence employee well-being in the devolved health system. This creates a knowledge gap that limits the ability of policy makers and human resource managers to design effective reward strategies for healthcare workers.</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Furthermore, the introduction of devolved governance under the Constitution of Kenya (2010) transferred health service delivery to county governments, increasing the need for effective human resource management practices at the county level. However, the extent to which reward management contributes to improving Quality of Work Life in county health facilities remains insufficiently documented. Without empirical evidence, it becomes difficult to develop policies that address employee needs and improve service delivery outcomes.</w:t>
      </w:r>
    </w:p>
    <w:p w:rsidR="00F0629B" w:rsidRPr="0000447F" w:rsidRDefault="00F0629B"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This study therefore sought to fill this gap by examining the influence of reward management on employee Quality of Work Life in public health facilities under Machakos County Government. The study aimed to provide empirical evidence that can guide county governments, policy makers, and human resource practitioners in designing fair and effective reward systems that enhance employee well-being, motivation, and commitment, ultimately leading to improved healthcare service delivery.</w:t>
      </w:r>
    </w:p>
    <w:p w:rsidR="0063325E" w:rsidRPr="0000447F"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1.4 Research Objective</w:t>
      </w:r>
    </w:p>
    <w:p w:rsidR="0063325E" w:rsidRPr="0000447F" w:rsidRDefault="00C24956"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hAnsi="Footlight MT Light"/>
        </w:rPr>
        <w:t>To determine the influence of reward management on employee Quality of Work Life in public health facilities under Machakos County Government</w:t>
      </w:r>
      <w:r w:rsidR="0063325E" w:rsidRPr="0000447F">
        <w:rPr>
          <w:rFonts w:ascii="Footlight MT Light" w:eastAsia="Times New Roman" w:hAnsi="Footlight MT Light" w:cs="Arial"/>
          <w:sz w:val="24"/>
          <w:szCs w:val="24"/>
        </w:rPr>
        <w:t>.</w:t>
      </w:r>
    </w:p>
    <w:p w:rsidR="0063325E" w:rsidRPr="0000447F"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1.5 Significance of the Study</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This study is significant because it contributes to the understanding of how reward management influences employee Quality of Work Life (QWL) in public health institutions, particularly within the context of county governments in Kenya. Human resource management practices play a critical role in determining employee motivation, commitment, and productivity, and reward management is one of the most influential practices affecting employee well-being. By examining the relationship between reward management and Quality of Work Life in public health facilities under Machakos County Government, the study provides empirical evidence that can support the development of effective human resource policies in the devolved health sector.</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First, the study is important to </w:t>
      </w:r>
      <w:r w:rsidRPr="0000447F">
        <w:rPr>
          <w:rFonts w:ascii="Footlight MT Light" w:eastAsia="Times New Roman" w:hAnsi="Footlight MT Light" w:cs="Arial"/>
          <w:bCs/>
          <w:sz w:val="24"/>
          <w:szCs w:val="24"/>
        </w:rPr>
        <w:t>county governments and policy makers</w:t>
      </w:r>
      <w:r w:rsidRPr="0000447F">
        <w:rPr>
          <w:rFonts w:ascii="Footlight MT Light" w:eastAsia="Times New Roman" w:hAnsi="Footlight MT Light" w:cs="Arial"/>
          <w:sz w:val="24"/>
          <w:szCs w:val="24"/>
        </w:rPr>
        <w:t xml:space="preserve"> because it highlights the role of fair compensation, promotion, recognition, and allowances in improving employee satisfaction and performance. County governments are responsible for managing health personnel under the devolved system, and the findings of this study can help decision-makers design reward systems that enhance motivation and reduce employee dissatisfaction. Improved reward management may lead to better service delivery, increased accountability, and improved performance in public health facilities.</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Second, the study is significant to </w:t>
      </w:r>
      <w:r w:rsidRPr="0000447F">
        <w:rPr>
          <w:rFonts w:ascii="Footlight MT Light" w:eastAsia="Times New Roman" w:hAnsi="Footlight MT Light" w:cs="Arial"/>
          <w:bCs/>
          <w:sz w:val="24"/>
          <w:szCs w:val="24"/>
        </w:rPr>
        <w:t>human resource managers and administrators in the public service</w:t>
      </w:r>
      <w:r w:rsidRPr="0000447F">
        <w:rPr>
          <w:rFonts w:ascii="Footlight MT Light" w:eastAsia="Times New Roman" w:hAnsi="Footlight MT Light" w:cs="Arial"/>
          <w:sz w:val="24"/>
          <w:szCs w:val="24"/>
        </w:rPr>
        <w:t xml:space="preserve"> because it provides practical information on how reward policies influence employee </w:t>
      </w:r>
      <w:r w:rsidRPr="0000447F">
        <w:rPr>
          <w:rFonts w:ascii="Footlight MT Light" w:eastAsia="Times New Roman" w:hAnsi="Footlight MT Light" w:cs="Arial"/>
          <w:sz w:val="24"/>
          <w:szCs w:val="24"/>
        </w:rPr>
        <w:lastRenderedPageBreak/>
        <w:t>attitudes and work outcomes. Understanding the link between reward management and Quality of Work Life can help HR practitioners develop strategies that promote fairness, transparency, and employee engagement. The findings may guide improvements in promotion procedures, performance-based rewards, recognition programmes, and employee benefits in county governments.</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Third, the study is valuable to </w:t>
      </w:r>
      <w:r w:rsidRPr="0000447F">
        <w:rPr>
          <w:rFonts w:ascii="Footlight MT Light" w:eastAsia="Times New Roman" w:hAnsi="Footlight MT Light" w:cs="Arial"/>
          <w:bCs/>
          <w:sz w:val="24"/>
          <w:szCs w:val="24"/>
        </w:rPr>
        <w:t>healthcare workers</w:t>
      </w:r>
      <w:r w:rsidRPr="0000447F">
        <w:rPr>
          <w:rFonts w:ascii="Footlight MT Light" w:eastAsia="Times New Roman" w:hAnsi="Footlight MT Light" w:cs="Arial"/>
          <w:sz w:val="24"/>
          <w:szCs w:val="24"/>
        </w:rPr>
        <w:t xml:space="preserve"> because it addresses issues that directly affect their working conditions, motivation, and well-being. Employees who experience fair treatment, timely promotions, and adequate compensation are more likely to be satisfied with their jobs and committed to their responsibilities. By identifying the importance of reward management, the study supports the need for policies that protect employee welfare and promote a positive work environment in public health institutions.</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Fourth, the study contributes to </w:t>
      </w:r>
      <w:r w:rsidRPr="0000447F">
        <w:rPr>
          <w:rFonts w:ascii="Footlight MT Light" w:eastAsia="Times New Roman" w:hAnsi="Footlight MT Light" w:cs="Arial"/>
          <w:bCs/>
          <w:sz w:val="24"/>
          <w:szCs w:val="24"/>
        </w:rPr>
        <w:t>academic knowledge and research</w:t>
      </w:r>
      <w:r w:rsidRPr="0000447F">
        <w:rPr>
          <w:rFonts w:ascii="Footlight MT Light" w:eastAsia="Times New Roman" w:hAnsi="Footlight MT Light" w:cs="Arial"/>
          <w:sz w:val="24"/>
          <w:szCs w:val="24"/>
        </w:rPr>
        <w:t xml:space="preserve"> by providing empirical evidence on the relationship between reward management and Quality of Work Life in the context of devolved governance in Kenya. Most previous studies have focused on job satisfaction or performance without examining the broader concept of Quality of Work Life, particularly in county health facilities. This study therefore fills an important research gap and supports the application of Self-Determination Theory, Job Demands–Resources Model, Social Exchange Theory, Psychological Empowerment Theory, and Equity Theory in explaining employee well-being in the public sector.</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Fifth, the study is significant to </w:t>
      </w:r>
      <w:r w:rsidRPr="0000447F">
        <w:rPr>
          <w:rFonts w:ascii="Footlight MT Light" w:eastAsia="Times New Roman" w:hAnsi="Footlight MT Light" w:cs="Arial"/>
          <w:bCs/>
          <w:sz w:val="24"/>
          <w:szCs w:val="24"/>
        </w:rPr>
        <w:t>future researchers and scholars</w:t>
      </w:r>
      <w:r w:rsidRPr="0000447F">
        <w:rPr>
          <w:rFonts w:ascii="Footlight MT Light" w:eastAsia="Times New Roman" w:hAnsi="Footlight MT Light" w:cs="Arial"/>
          <w:sz w:val="24"/>
          <w:szCs w:val="24"/>
        </w:rPr>
        <w:t xml:space="preserve"> because it provides a reference for further studies on human resource management practices in county governments and other public sector institutions. The findings may be used to compare reward systems across counties, sectors, or countries, and to develop new research on employee well-being, motivation, and performance in the public service.</w:t>
      </w:r>
    </w:p>
    <w:p w:rsidR="0063325E"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Finally, the study is important for improving </w:t>
      </w:r>
      <w:r w:rsidRPr="0000447F">
        <w:rPr>
          <w:rFonts w:ascii="Footlight MT Light" w:eastAsia="Times New Roman" w:hAnsi="Footlight MT Light" w:cs="Arial"/>
          <w:bCs/>
          <w:sz w:val="24"/>
          <w:szCs w:val="24"/>
        </w:rPr>
        <w:t>service delivery in the health sector</w:t>
      </w:r>
      <w:r w:rsidRPr="0000447F">
        <w:rPr>
          <w:rFonts w:ascii="Footlight MT Light" w:eastAsia="Times New Roman" w:hAnsi="Footlight MT Light" w:cs="Arial"/>
          <w:sz w:val="24"/>
          <w:szCs w:val="24"/>
        </w:rPr>
        <w:t>, which is one of the most critical functions of county governments under the Constitution of Kenya (2010). When healthcare workers experience a high Quality of Work Life, they are more likely to provide efficient, professional, and citizen-centered services. Therefore, strengthening reward management can contribute to improved healthcare outcomes, increased public trust, and better achievement of county development goals.</w:t>
      </w: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63325E" w:rsidRPr="0000447F" w:rsidRDefault="0063325E" w:rsidP="00694B98">
      <w:pPr>
        <w:spacing w:before="100" w:beforeAutospacing="1" w:after="100" w:afterAutospacing="1" w:line="276" w:lineRule="auto"/>
        <w:outlineLvl w:val="0"/>
        <w:rPr>
          <w:rFonts w:ascii="Footlight MT Light" w:eastAsia="Times New Roman" w:hAnsi="Footlight MT Light" w:cs="Arial"/>
          <w:b/>
          <w:bCs/>
          <w:kern w:val="36"/>
          <w:sz w:val="24"/>
          <w:szCs w:val="24"/>
        </w:rPr>
      </w:pPr>
      <w:r w:rsidRPr="0000447F">
        <w:rPr>
          <w:rFonts w:ascii="Footlight MT Light" w:eastAsia="Times New Roman" w:hAnsi="Footlight MT Light" w:cs="Arial"/>
          <w:b/>
          <w:bCs/>
          <w:kern w:val="36"/>
          <w:sz w:val="24"/>
          <w:szCs w:val="24"/>
        </w:rPr>
        <w:t>2. LITERATURE REVIEW</w:t>
      </w:r>
    </w:p>
    <w:p w:rsidR="0063325E" w:rsidRPr="0000447F"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2.1 Concept of Reward Management</w:t>
      </w:r>
    </w:p>
    <w:p w:rsidR="0063325E" w:rsidRPr="0000447F" w:rsidRDefault="0063325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Reward management refers to the strategies used by organizations to compensate employees through financial and non-financial benefits (Armstrong, 2006). Effective reward systems improve motivation, satisfaction, and performance.</w:t>
      </w:r>
    </w:p>
    <w:p w:rsidR="0063325E" w:rsidRPr="0000447F"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2.2 Reward Management and Quality of Work Life</w:t>
      </w:r>
    </w:p>
    <w:p w:rsidR="0063325E" w:rsidRPr="0000447F" w:rsidRDefault="0063325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Quality of Work Life refers to employees’ satisfaction with their working environment, compensation, and growth opportunities (Walton, 1975). Fair rewards increase job satisfaction, reduce stress, and improve commitment.</w:t>
      </w:r>
    </w:p>
    <w:p w:rsidR="0063325E" w:rsidRPr="0000447F"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2.3 Empirical Evidence</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Empirical studies have consistently shown that reward management plays a significant role in influencing employee motivation, job satisfaction, commitment, and overall Quality of Work Life (QWL). Reward management includes both financial and non-financial benefits such as salary, allowances, promotion opportunities, recognition, and employee benefits, which collectively determine how employees perceive fairness and value within an organization (Armstrong, 2006). In the public sector, effective reward systems are particularly important because employees often operate under strict regulations, limited resources, and high expectations for service delivery.</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Lavanya, Kumar, and Reddy (2024) examined the relationship between reward systems and employee performance in public institutions and found that both financial rewards and recognition programmes significantly improved employee motivation and productivity. The study established that employees who perceive rewards as fair and transparent are more likely to demonstrate commitment and positive work attitudes. These findings support the Self-Determination Theory, which explains that extrinsic rewards enhance motivation when they satisfy employees’ psychological needs.</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Similarly, Singh and Prakash (2024) investigated the effect of reward management on employee engagement and reported that organizations with structured reward systems recorded higher levels of job satisfaction and lower turnover intentions. The study emphasized that promotion opportunities, performance-based rewards, and recognition programmes strengthen employees’ emotional attachment to the organization. These findings are consistent with Social Exchange Theory, which suggests that employees reciprocate fair treatment with loyalty and improved performance.</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lastRenderedPageBreak/>
        <w:t>Murovhi and Ngirande (2024) studied total reward systems and employee work engagement and found that a combination of financial compensation, career development, and recognition significantly improved employee well-being and reduced work-related stress. The study further established that employees who receive adequate rewards are better able to cope with job demands, supporting the Job Demands–Resources (JD-R) Model, which states that job resources such as rewards help employees manage workload and pressure.</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the African context, Pkite and Ng’eno (2024) examined reward practices in public sector organizations in Kenya and found that delayed promotions, unequal allowances, and lack of recognition were major causes of employee dissatisfaction. The study concluded that fair and consistent reward management improves job satisfaction, commitment, and organizational performance. These findings support Equity Theory, which explains that employees compare their rewards with those of others and develop positive or negative attitudes depending on perceived fairness.</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the health sector, reward management has been identified as a critical factor affecting employee Quality of Work Life due to the demanding nature of healthcare work. Studies have shown that health workers often experience heavy workload, emotional stress, and long working hours, making adequate compensation and recognition essential for maintaining morale and commitment. When reward systems are weak, employees may experience burnout, reduced motivation, and low job satisfaction, which negatively affects service delivery.</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Research conducted in public health institutions has also shown that lack of timely promotions, inadequate allowances, and limited recognition contribute to low employee morale and increased turnover intentions. These challenges are common in devolved systems where human resource management functions are handled at the county level, and where financial and administrative constraints may delay implementation of reward policies.</w:t>
      </w:r>
    </w:p>
    <w:p w:rsidR="008D0A59"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Kenyan county governments, limited empirical studies have examined the influence of reward management on Quality of Work Life, particularly in the health sector. Most available studies focus on general job satisfaction or performance without addressing the broader concept of employee well-being. This creates a research gap in understanding how different components of reward management influence employees’ work experience in county health facilities.</w:t>
      </w:r>
    </w:p>
    <w:p w:rsidR="00CE2018" w:rsidRPr="0000447F" w:rsidRDefault="008D0A59"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present study therefore sought to fill this gap by examining the influence of reward management on employee Quality of Work Life in public health facilities under Machakos County Government. The study focused on key elements of reward management, including salary, promotion, recognition, and allowances, and assessed their effect on employee satisfaction, commitment, motivation, and work environment. By providing empirical evidence from a devolved health system, the study contributes to the growing body of knowledge on human resource management practices in the public sector</w:t>
      </w:r>
      <w:r w:rsidR="001F6453" w:rsidRPr="0000447F">
        <w:rPr>
          <w:rFonts w:ascii="Footlight MT Light" w:eastAsia="Times New Roman" w:hAnsi="Footlight MT Light" w:cs="Arial"/>
          <w:sz w:val="24"/>
          <w:szCs w:val="24"/>
        </w:rPr>
        <w:t>.</w:t>
      </w: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D75CFF" w:rsidRPr="0000447F" w:rsidRDefault="00D75CFF" w:rsidP="00694B98">
      <w:pPr>
        <w:spacing w:before="100" w:beforeAutospacing="1" w:after="100" w:afterAutospacing="1" w:line="276" w:lineRule="auto"/>
        <w:jc w:val="both"/>
        <w:rPr>
          <w:rFonts w:ascii="Footlight MT Light" w:eastAsia="Times New Roman" w:hAnsi="Footlight MT Light" w:cs="Arial"/>
          <w:sz w:val="24"/>
          <w:szCs w:val="24"/>
        </w:rPr>
      </w:pPr>
    </w:p>
    <w:p w:rsidR="0063325E" w:rsidRPr="0000447F"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2.4 Conceptual Framework</w:t>
      </w:r>
    </w:p>
    <w:p w:rsidR="003C437E" w:rsidRPr="0000447F"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conceptual framework for this study illustrates the relationship between </w:t>
      </w:r>
      <w:r w:rsidRPr="0000447F">
        <w:rPr>
          <w:rFonts w:ascii="Footlight MT Light" w:eastAsia="Times New Roman" w:hAnsi="Footlight MT Light" w:cs="Arial"/>
          <w:bCs/>
          <w:sz w:val="24"/>
          <w:szCs w:val="24"/>
        </w:rPr>
        <w:t>reward management</w:t>
      </w:r>
      <w:r w:rsidRPr="0000447F">
        <w:rPr>
          <w:rFonts w:ascii="Footlight MT Light" w:eastAsia="Times New Roman" w:hAnsi="Footlight MT Light" w:cs="Arial"/>
          <w:sz w:val="24"/>
          <w:szCs w:val="24"/>
        </w:rPr>
        <w:t xml:space="preserve"> and </w:t>
      </w:r>
      <w:r w:rsidRPr="0000447F">
        <w:rPr>
          <w:rFonts w:ascii="Footlight MT Light" w:eastAsia="Times New Roman" w:hAnsi="Footlight MT Light" w:cs="Arial"/>
          <w:bCs/>
          <w:sz w:val="24"/>
          <w:szCs w:val="24"/>
        </w:rPr>
        <w:t>employee Quality of Work Life (QWL)</w:t>
      </w:r>
      <w:r w:rsidRPr="0000447F">
        <w:rPr>
          <w:rFonts w:ascii="Footlight MT Light" w:eastAsia="Times New Roman" w:hAnsi="Footlight MT Light" w:cs="Arial"/>
          <w:sz w:val="24"/>
          <w:szCs w:val="24"/>
        </w:rPr>
        <w:t xml:space="preserve"> in public health facilities under Machakos County Government. The framework is based on the assumption that effective reward management practices influence employee attitudes, motivation, and well-being, which in turn determine the level of Quality of Work Life experienced by employees.</w:t>
      </w:r>
    </w:p>
    <w:p w:rsidR="003C437E" w:rsidRPr="0000447F"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Reward management was considered the </w:t>
      </w:r>
      <w:r w:rsidRPr="0000447F">
        <w:rPr>
          <w:rFonts w:ascii="Footlight MT Light" w:eastAsia="Times New Roman" w:hAnsi="Footlight MT Light" w:cs="Arial"/>
          <w:bCs/>
          <w:sz w:val="24"/>
          <w:szCs w:val="24"/>
        </w:rPr>
        <w:t>independent variable</w:t>
      </w:r>
      <w:r w:rsidRPr="0000447F">
        <w:rPr>
          <w:rFonts w:ascii="Footlight MT Light" w:eastAsia="Times New Roman" w:hAnsi="Footlight MT Light" w:cs="Arial"/>
          <w:sz w:val="24"/>
          <w:szCs w:val="24"/>
        </w:rPr>
        <w:t xml:space="preserve">, while Quality of Work Life was the </w:t>
      </w:r>
      <w:r w:rsidRPr="0000447F">
        <w:rPr>
          <w:rFonts w:ascii="Footlight MT Light" w:eastAsia="Times New Roman" w:hAnsi="Footlight MT Light" w:cs="Arial"/>
          <w:bCs/>
          <w:sz w:val="24"/>
          <w:szCs w:val="24"/>
        </w:rPr>
        <w:t>dependent variable</w:t>
      </w:r>
      <w:r w:rsidRPr="0000447F">
        <w:rPr>
          <w:rFonts w:ascii="Footlight MT Light" w:eastAsia="Times New Roman" w:hAnsi="Footlight MT Light" w:cs="Arial"/>
          <w:sz w:val="24"/>
          <w:szCs w:val="24"/>
        </w:rPr>
        <w:t xml:space="preserve">. Reward management was measured using key components commonly applied in public sector human resource management, namely </w:t>
      </w:r>
      <w:r w:rsidRPr="0000447F">
        <w:rPr>
          <w:rFonts w:ascii="Footlight MT Light" w:eastAsia="Times New Roman" w:hAnsi="Footlight MT Light" w:cs="Arial"/>
          <w:bCs/>
          <w:sz w:val="24"/>
          <w:szCs w:val="24"/>
        </w:rPr>
        <w:t>salary and compensation, promotion opportunities, recognition, and allowances/benefits</w:t>
      </w:r>
      <w:r w:rsidRPr="0000447F">
        <w:rPr>
          <w:rFonts w:ascii="Footlight MT Light" w:eastAsia="Times New Roman" w:hAnsi="Footlight MT Light" w:cs="Arial"/>
          <w:sz w:val="24"/>
          <w:szCs w:val="24"/>
        </w:rPr>
        <w:t>. These elements represent both financial and non-financial rewards that organizations use to motivate employees and improve performance.</w:t>
      </w:r>
    </w:p>
    <w:p w:rsidR="003C437E" w:rsidRPr="0000447F"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Quality of Work Life was measured using indicators that reflect employees’ experience in the workplace, including </w:t>
      </w:r>
      <w:r w:rsidRPr="0000447F">
        <w:rPr>
          <w:rFonts w:ascii="Footlight MT Light" w:eastAsia="Times New Roman" w:hAnsi="Footlight MT Light" w:cs="Arial"/>
          <w:bCs/>
          <w:sz w:val="24"/>
          <w:szCs w:val="24"/>
        </w:rPr>
        <w:t>job satisfaction, employee commitment, motivation, and work environment</w:t>
      </w:r>
      <w:r w:rsidRPr="0000447F">
        <w:rPr>
          <w:rFonts w:ascii="Footlight MT Light" w:eastAsia="Times New Roman" w:hAnsi="Footlight MT Light" w:cs="Arial"/>
          <w:sz w:val="24"/>
          <w:szCs w:val="24"/>
        </w:rPr>
        <w:t>. These indicators are widely used in studies of employee well-being and are consistent with Walton’s (1975) model of Quality of Work Life, which emphasizes fair compensation, safe working conditions, opportunity for growth, and social integration in the workplace.</w:t>
      </w:r>
    </w:p>
    <w:p w:rsidR="003C437E" w:rsidRPr="0000447F"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framework is supported by </w:t>
      </w:r>
      <w:r w:rsidRPr="0000447F">
        <w:rPr>
          <w:rFonts w:ascii="Footlight MT Light" w:eastAsia="Times New Roman" w:hAnsi="Footlight MT Light" w:cs="Arial"/>
          <w:bCs/>
          <w:sz w:val="24"/>
          <w:szCs w:val="24"/>
        </w:rPr>
        <w:t>Self-Determination Theory</w:t>
      </w:r>
      <w:r w:rsidRPr="0000447F">
        <w:rPr>
          <w:rFonts w:ascii="Footlight MT Light" w:eastAsia="Times New Roman" w:hAnsi="Footlight MT Light" w:cs="Arial"/>
          <w:sz w:val="24"/>
          <w:szCs w:val="24"/>
        </w:rPr>
        <w:t xml:space="preserve">, which explains that rewards influence motivation by satisfying employees’ psychological needs for competence, autonomy, and relatedness. It is also supported by the </w:t>
      </w:r>
      <w:r w:rsidRPr="0000447F">
        <w:rPr>
          <w:rFonts w:ascii="Footlight MT Light" w:eastAsia="Times New Roman" w:hAnsi="Footlight MT Light" w:cs="Arial"/>
          <w:bCs/>
          <w:sz w:val="24"/>
          <w:szCs w:val="24"/>
        </w:rPr>
        <w:t>Job D</w:t>
      </w:r>
      <w:r w:rsidR="008C4C6A" w:rsidRPr="0000447F">
        <w:rPr>
          <w:rFonts w:ascii="Footlight MT Light" w:eastAsia="Times New Roman" w:hAnsi="Footlight MT Light" w:cs="Arial"/>
          <w:bCs/>
          <w:sz w:val="24"/>
          <w:szCs w:val="24"/>
        </w:rPr>
        <w:t xml:space="preserve">emands </w:t>
      </w:r>
      <w:r w:rsidRPr="0000447F">
        <w:rPr>
          <w:rFonts w:ascii="Footlight MT Light" w:eastAsia="Times New Roman" w:hAnsi="Footlight MT Light" w:cs="Arial"/>
          <w:bCs/>
          <w:sz w:val="24"/>
          <w:szCs w:val="24"/>
        </w:rPr>
        <w:t>Resources Model</w:t>
      </w:r>
      <w:r w:rsidRPr="0000447F">
        <w:rPr>
          <w:rFonts w:ascii="Footlight MT Light" w:eastAsia="Times New Roman" w:hAnsi="Footlight MT Light" w:cs="Arial"/>
          <w:sz w:val="24"/>
          <w:szCs w:val="24"/>
        </w:rPr>
        <w:t xml:space="preserve">, which suggests that rewards act as job resources that help employees cope with workload and stress, thereby improving their well-being. In addition, </w:t>
      </w:r>
      <w:r w:rsidRPr="0000447F">
        <w:rPr>
          <w:rFonts w:ascii="Footlight MT Light" w:eastAsia="Times New Roman" w:hAnsi="Footlight MT Light" w:cs="Arial"/>
          <w:bCs/>
          <w:sz w:val="24"/>
          <w:szCs w:val="24"/>
        </w:rPr>
        <w:t>Social Exchange Theory</w:t>
      </w:r>
      <w:r w:rsidRPr="0000447F">
        <w:rPr>
          <w:rFonts w:ascii="Footlight MT Light" w:eastAsia="Times New Roman" w:hAnsi="Footlight MT Light" w:cs="Arial"/>
          <w:sz w:val="24"/>
          <w:szCs w:val="24"/>
        </w:rPr>
        <w:t xml:space="preserve"> explains that employees respond positively when they perceive that the organization treats them fairly, while </w:t>
      </w:r>
      <w:r w:rsidRPr="0000447F">
        <w:rPr>
          <w:rFonts w:ascii="Footlight MT Light" w:eastAsia="Times New Roman" w:hAnsi="Footlight MT Light" w:cs="Arial"/>
          <w:bCs/>
          <w:sz w:val="24"/>
          <w:szCs w:val="24"/>
        </w:rPr>
        <w:t>Equity Theory</w:t>
      </w:r>
      <w:r w:rsidRPr="0000447F">
        <w:rPr>
          <w:rFonts w:ascii="Footlight MT Light" w:eastAsia="Times New Roman" w:hAnsi="Footlight MT Light" w:cs="Arial"/>
          <w:sz w:val="24"/>
          <w:szCs w:val="24"/>
        </w:rPr>
        <w:t xml:space="preserve"> emphasizes that perceived fairness in rewards determines employee satisfaction and commitment. </w:t>
      </w:r>
      <w:r w:rsidRPr="0000447F">
        <w:rPr>
          <w:rFonts w:ascii="Footlight MT Light" w:eastAsia="Times New Roman" w:hAnsi="Footlight MT Light" w:cs="Arial"/>
          <w:bCs/>
          <w:sz w:val="24"/>
          <w:szCs w:val="24"/>
        </w:rPr>
        <w:t>Psychological Empowerment Theory</w:t>
      </w:r>
      <w:r w:rsidRPr="0000447F">
        <w:rPr>
          <w:rFonts w:ascii="Footlight MT Light" w:eastAsia="Times New Roman" w:hAnsi="Footlight MT Light" w:cs="Arial"/>
          <w:sz w:val="24"/>
          <w:szCs w:val="24"/>
        </w:rPr>
        <w:t xml:space="preserve"> further explains that recognition and promotion increase employees’ sense of meaning, competence, and impact at work.</w:t>
      </w:r>
    </w:p>
    <w:p w:rsidR="003C437E" w:rsidRPr="0000447F"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the context of public health facilities, employees often work under demanding conditions that require high levels of commitment and professionalism. When reward systems are fair, timely, and transparent, employees are more likely to feel valued and motivated, leading to improved Quality of Work Life. However, when rewards are inadequate or delayed, employees may experience dissatisfaction, stress, and reduced commitment, which negatively affects service delivery.</w:t>
      </w:r>
    </w:p>
    <w:p w:rsidR="00CE2018" w:rsidRPr="0000447F" w:rsidRDefault="003C437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lastRenderedPageBreak/>
        <w:t xml:space="preserve">Therefore, the conceptual framework assumes that </w:t>
      </w:r>
      <w:r w:rsidRPr="0000447F">
        <w:rPr>
          <w:rFonts w:ascii="Footlight MT Light" w:eastAsia="Times New Roman" w:hAnsi="Footlight MT Light" w:cs="Arial"/>
          <w:bCs/>
          <w:sz w:val="24"/>
          <w:szCs w:val="24"/>
        </w:rPr>
        <w:t>effective reward management leads to improved Quality of Work Life among healthcare workers</w:t>
      </w:r>
      <w:r w:rsidRPr="0000447F">
        <w:rPr>
          <w:rFonts w:ascii="Footlight MT Light" w:eastAsia="Times New Roman" w:hAnsi="Footlight MT Light" w:cs="Arial"/>
          <w:sz w:val="24"/>
          <w:szCs w:val="24"/>
        </w:rPr>
        <w:t>, which ultimately contributes to better performance and service delivery in county health facilities.</w:t>
      </w:r>
    </w:p>
    <w:p w:rsidR="00172DFE" w:rsidRPr="0000447F" w:rsidRDefault="00172DFE" w:rsidP="00694B98">
      <w:p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eastAsia="Times New Roman" w:hAnsi="Footlight MT Light" w:cs="Arial"/>
          <w:b/>
          <w:bCs/>
          <w:sz w:val="24"/>
          <w:szCs w:val="24"/>
        </w:rPr>
        <w:t>Conceptual Framework showing relationship between Reward Management and Quality of Work Life</w:t>
      </w:r>
    </w:p>
    <w:p w:rsidR="00756258" w:rsidRPr="0000447F" w:rsidRDefault="0053295E" w:rsidP="00694B98">
      <w:pPr>
        <w:pStyle w:val="NoSpacing"/>
        <w:spacing w:line="276" w:lineRule="auto"/>
        <w:rPr>
          <w:rFonts w:ascii="Footlight MT Light" w:hAnsi="Footlight MT Light" w:cs="Arial"/>
          <w:sz w:val="24"/>
          <w:szCs w:val="24"/>
        </w:rPr>
      </w:pPr>
      <w:r w:rsidRPr="0000447F">
        <w:rPr>
          <w:rFonts w:ascii="Footlight MT Light" w:eastAsia="Times New Roman" w:hAnsi="Footlight MT Light" w:cs="Arial"/>
          <w:sz w:val="24"/>
          <w:szCs w:val="24"/>
        </w:rPr>
        <w:t xml:space="preserve">   Independent Variable </w:t>
      </w:r>
    </w:p>
    <w:p w:rsidR="00756258" w:rsidRPr="0000447F" w:rsidRDefault="0053295E" w:rsidP="00694B98">
      <w:p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hAnsi="Footlight MT Light" w:cs="Arial"/>
          <w:noProof/>
          <w:sz w:val="24"/>
          <w:szCs w:val="24"/>
        </w:rPr>
        <mc:AlternateContent>
          <mc:Choice Requires="wps">
            <w:drawing>
              <wp:anchor distT="0" distB="0" distL="114300" distR="114300" simplePos="0" relativeHeight="251661312" behindDoc="0" locked="0" layoutInCell="1" allowOverlap="1" wp14:anchorId="195A0E42" wp14:editId="2EE1C1C2">
                <wp:simplePos x="0" y="0"/>
                <wp:positionH relativeFrom="margin">
                  <wp:posOffset>85725</wp:posOffset>
                </wp:positionH>
                <wp:positionV relativeFrom="paragraph">
                  <wp:posOffset>57150</wp:posOffset>
                </wp:positionV>
                <wp:extent cx="2095500" cy="1114425"/>
                <wp:effectExtent l="0" t="0" r="19050" b="285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114425"/>
                        </a:xfrm>
                        <a:prstGeom prst="rect">
                          <a:avLst/>
                        </a:prstGeom>
                        <a:solidFill>
                          <a:srgbClr val="FFFFFF"/>
                        </a:solidFill>
                        <a:ln w="9525">
                          <a:solidFill>
                            <a:srgbClr val="000000"/>
                          </a:solidFill>
                          <a:miter lim="800000"/>
                        </a:ln>
                      </wps:spPr>
                      <wps:txbx>
                        <w:txbxContent>
                          <w:p w:rsidR="003574B9" w:rsidRDefault="003574B9" w:rsidP="008F2A27">
                            <w:pPr>
                              <w:spacing w:line="240" w:lineRule="auto"/>
                              <w:rPr>
                                <w:b/>
                              </w:rPr>
                            </w:pPr>
                            <w:r w:rsidRPr="00756258">
                              <w:rPr>
                                <w:b/>
                              </w:rPr>
                              <w:t>Reward Management</w:t>
                            </w:r>
                          </w:p>
                          <w:p w:rsidR="003574B9" w:rsidRPr="0063325E" w:rsidRDefault="003574B9" w:rsidP="008F2A27">
                            <w:pPr>
                              <w:pStyle w:val="ListParagraph"/>
                              <w:numPr>
                                <w:ilvl w:val="0"/>
                                <w:numId w:val="9"/>
                              </w:numPr>
                            </w:pPr>
                            <w:r w:rsidRPr="0063325E">
                              <w:t>Salary</w:t>
                            </w:r>
                          </w:p>
                          <w:p w:rsidR="003574B9" w:rsidRPr="0063325E" w:rsidRDefault="003574B9" w:rsidP="008F2A27">
                            <w:pPr>
                              <w:pStyle w:val="ListParagraph"/>
                              <w:numPr>
                                <w:ilvl w:val="0"/>
                                <w:numId w:val="9"/>
                              </w:numPr>
                            </w:pPr>
                            <w:r w:rsidRPr="0063325E">
                              <w:t>Promotion</w:t>
                            </w:r>
                          </w:p>
                          <w:p w:rsidR="003574B9" w:rsidRPr="0063325E" w:rsidRDefault="003574B9" w:rsidP="008F2A27">
                            <w:pPr>
                              <w:pStyle w:val="ListParagraph"/>
                              <w:numPr>
                                <w:ilvl w:val="0"/>
                                <w:numId w:val="9"/>
                              </w:numPr>
                            </w:pPr>
                            <w:r w:rsidRPr="0063325E">
                              <w:t>Recognition</w:t>
                            </w:r>
                          </w:p>
                          <w:p w:rsidR="003574B9" w:rsidRPr="0063325E" w:rsidRDefault="003574B9" w:rsidP="008F2A27">
                            <w:pPr>
                              <w:pStyle w:val="ListParagraph"/>
                              <w:numPr>
                                <w:ilvl w:val="0"/>
                                <w:numId w:val="9"/>
                              </w:numPr>
                            </w:pPr>
                            <w:r w:rsidRPr="0063325E">
                              <w:t>Allowances</w:t>
                            </w:r>
                          </w:p>
                          <w:p w:rsidR="003574B9" w:rsidRDefault="003574B9" w:rsidP="008F2A27">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A0E42" id="_x0000_t202" coordsize="21600,21600" o:spt="202" path="m,l,21600r21600,l21600,xe">
                <v:stroke joinstyle="miter"/>
                <v:path gradientshapeok="t" o:connecttype="rect"/>
              </v:shapetype>
              <v:shape id="Text Box 18" o:spid="_x0000_s1026" type="#_x0000_t202" style="position:absolute;margin-left:6.75pt;margin-top:4.5pt;width:165pt;height:8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">
                <v:textbox>
                  <w:txbxContent>
                    <w:p w:rsidR="003574B9" w:rsidRDefault="003574B9" w:rsidP="008F2A27">
                      <w:pPr>
                        <w:spacing w:line="240" w:lineRule="auto"/>
                        <w:rPr>
                          <w:b/>
                        </w:rPr>
                      </w:pPr>
                      <w:r w:rsidRPr="00756258">
                        <w:rPr>
                          <w:b/>
                        </w:rPr>
                        <w:t>Reward Management</w:t>
                      </w:r>
                    </w:p>
                    <w:p w:rsidR="003574B9" w:rsidRPr="0063325E" w:rsidRDefault="003574B9" w:rsidP="008F2A27">
                      <w:pPr>
                        <w:pStyle w:val="ListParagraph"/>
                        <w:numPr>
                          <w:ilvl w:val="0"/>
                          <w:numId w:val="9"/>
                        </w:numPr>
                      </w:pPr>
                      <w:r w:rsidRPr="0063325E">
                        <w:t>Salary</w:t>
                      </w:r>
                    </w:p>
                    <w:p w:rsidR="003574B9" w:rsidRPr="0063325E" w:rsidRDefault="003574B9" w:rsidP="008F2A27">
                      <w:pPr>
                        <w:pStyle w:val="ListParagraph"/>
                        <w:numPr>
                          <w:ilvl w:val="0"/>
                          <w:numId w:val="9"/>
                        </w:numPr>
                      </w:pPr>
                      <w:r w:rsidRPr="0063325E">
                        <w:t>Promotion</w:t>
                      </w:r>
                    </w:p>
                    <w:p w:rsidR="003574B9" w:rsidRPr="0063325E" w:rsidRDefault="003574B9" w:rsidP="008F2A27">
                      <w:pPr>
                        <w:pStyle w:val="ListParagraph"/>
                        <w:numPr>
                          <w:ilvl w:val="0"/>
                          <w:numId w:val="9"/>
                        </w:numPr>
                      </w:pPr>
                      <w:r w:rsidRPr="0063325E">
                        <w:t>Recognition</w:t>
                      </w:r>
                    </w:p>
                    <w:p w:rsidR="003574B9" w:rsidRPr="0063325E" w:rsidRDefault="003574B9" w:rsidP="008F2A27">
                      <w:pPr>
                        <w:pStyle w:val="ListParagraph"/>
                        <w:numPr>
                          <w:ilvl w:val="0"/>
                          <w:numId w:val="9"/>
                        </w:numPr>
                      </w:pPr>
                      <w:r w:rsidRPr="0063325E">
                        <w:t>Allowances</w:t>
                      </w:r>
                    </w:p>
                    <w:p w:rsidR="003574B9" w:rsidRDefault="003574B9" w:rsidP="008F2A27">
                      <w:pPr>
                        <w:spacing w:line="240" w:lineRule="auto"/>
                      </w:pPr>
                    </w:p>
                  </w:txbxContent>
                </v:textbox>
                <w10:wrap anchorx="margin"/>
              </v:shape>
            </w:pict>
          </mc:Fallback>
        </mc:AlternateContent>
      </w:r>
    </w:p>
    <w:p w:rsidR="00756258" w:rsidRPr="0000447F" w:rsidRDefault="00756258" w:rsidP="00694B98">
      <w:pPr>
        <w:spacing w:before="100" w:beforeAutospacing="1" w:after="100" w:afterAutospacing="1" w:line="276" w:lineRule="auto"/>
        <w:rPr>
          <w:rFonts w:ascii="Footlight MT Light" w:eastAsia="Times New Roman" w:hAnsi="Footlight MT Light" w:cs="Arial"/>
          <w:sz w:val="24"/>
          <w:szCs w:val="24"/>
        </w:rPr>
      </w:pPr>
    </w:p>
    <w:p w:rsidR="00756258" w:rsidRPr="0000447F" w:rsidRDefault="00694B98" w:rsidP="00694B98">
      <w:p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hAnsi="Footlight MT Light" w:cs="Arial"/>
          <w:noProof/>
          <w:sz w:val="24"/>
          <w:szCs w:val="24"/>
        </w:rPr>
        <mc:AlternateContent>
          <mc:Choice Requires="wps">
            <w:drawing>
              <wp:anchor distT="0" distB="0" distL="114300" distR="114300" simplePos="0" relativeHeight="251663360" behindDoc="0" locked="0" layoutInCell="1" allowOverlap="1" wp14:anchorId="07A8997F" wp14:editId="6A154E36">
                <wp:simplePos x="0" y="0"/>
                <wp:positionH relativeFrom="margin">
                  <wp:posOffset>990599</wp:posOffset>
                </wp:positionH>
                <wp:positionV relativeFrom="paragraph">
                  <wp:posOffset>267335</wp:posOffset>
                </wp:positionV>
                <wp:extent cx="45719" cy="447675"/>
                <wp:effectExtent l="38100" t="0" r="50165" b="47625"/>
                <wp:wrapNone/>
                <wp:docPr id="17" name="Straight Arrow Connector 17"/>
                <wp:cNvGraphicFramePr/>
                <a:graphic xmlns:a="http://schemas.openxmlformats.org/drawingml/2006/main">
                  <a:graphicData uri="http://schemas.microsoft.com/office/word/2010/wordprocessingShape">
                    <wps:wsp>
                      <wps:cNvCnPr/>
                      <wps:spPr>
                        <a:xfrm flipH="1">
                          <a:off x="0" y="0"/>
                          <a:ext cx="45719" cy="4476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46EBBD3" id="_x0000_t32" coordsize="21600,21600" o:spt="32" o:oned="t" path="m,l21600,21600e" filled="f">
                <v:path arrowok="t" fillok="f" o:connecttype="none"/>
                <o:lock v:ext="edit" shapetype="t"/>
              </v:shapetype>
              <v:shape id="Straight Arrow Connector 17" o:spid="_x0000_s1026" type="#_x0000_t32" style="position:absolute;margin-left:78pt;margin-top:21.05pt;width:3.6pt;height:35.2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">
                <v:stroke endarrow="block"/>
                <w10:wrap anchorx="margin"/>
              </v:shape>
            </w:pict>
          </mc:Fallback>
        </mc:AlternateContent>
      </w:r>
    </w:p>
    <w:p w:rsidR="00756258" w:rsidRPr="0000447F" w:rsidRDefault="008F2A27" w:rsidP="00694B98">
      <w:p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  </w:t>
      </w:r>
      <w:r w:rsidRPr="0000447F">
        <w:rPr>
          <w:rFonts w:ascii="Footlight MT Light" w:eastAsia="Times New Roman" w:hAnsi="Footlight MT Light" w:cs="Arial"/>
          <w:sz w:val="24"/>
          <w:szCs w:val="24"/>
        </w:rPr>
        <w:tab/>
      </w:r>
      <w:r w:rsidRPr="0000447F">
        <w:rPr>
          <w:rFonts w:ascii="Footlight MT Light" w:eastAsia="Times New Roman" w:hAnsi="Footlight MT Light" w:cs="Arial"/>
          <w:sz w:val="24"/>
          <w:szCs w:val="24"/>
        </w:rPr>
        <w:tab/>
      </w:r>
      <w:r w:rsidRPr="0000447F">
        <w:rPr>
          <w:rFonts w:ascii="Footlight MT Light" w:eastAsia="Times New Roman" w:hAnsi="Footlight MT Light" w:cs="Arial"/>
          <w:sz w:val="24"/>
          <w:szCs w:val="24"/>
        </w:rPr>
        <w:tab/>
      </w:r>
      <w:r w:rsidRPr="0000447F">
        <w:rPr>
          <w:rFonts w:ascii="Footlight MT Light" w:eastAsia="Times New Roman" w:hAnsi="Footlight MT Light" w:cs="Arial"/>
          <w:sz w:val="24"/>
          <w:szCs w:val="24"/>
        </w:rPr>
        <w:tab/>
      </w:r>
      <w:r w:rsidRPr="0000447F">
        <w:rPr>
          <w:rFonts w:ascii="Footlight MT Light" w:eastAsia="Times New Roman" w:hAnsi="Footlight MT Light" w:cs="Arial"/>
          <w:sz w:val="24"/>
          <w:szCs w:val="24"/>
        </w:rPr>
        <w:tab/>
      </w:r>
      <w:r w:rsidRPr="0000447F">
        <w:rPr>
          <w:rFonts w:ascii="Footlight MT Light" w:eastAsia="Times New Roman" w:hAnsi="Footlight MT Light" w:cs="Arial"/>
          <w:sz w:val="24"/>
          <w:szCs w:val="24"/>
        </w:rPr>
        <w:tab/>
      </w:r>
      <w:r w:rsidRPr="0000447F">
        <w:rPr>
          <w:rFonts w:ascii="Footlight MT Light" w:eastAsia="Times New Roman" w:hAnsi="Footlight MT Light" w:cs="Arial"/>
          <w:sz w:val="24"/>
          <w:szCs w:val="24"/>
        </w:rPr>
        <w:tab/>
      </w:r>
    </w:p>
    <w:p w:rsidR="0063325E" w:rsidRPr="0000447F" w:rsidRDefault="00694B98" w:rsidP="00694B98">
      <w:pPr>
        <w:spacing w:after="0" w:line="276" w:lineRule="auto"/>
        <w:rPr>
          <w:rFonts w:ascii="Footlight MT Light" w:eastAsia="Times New Roman" w:hAnsi="Footlight MT Light" w:cs="Arial"/>
          <w:sz w:val="24"/>
          <w:szCs w:val="24"/>
        </w:rPr>
      </w:pPr>
      <w:r w:rsidRPr="0000447F">
        <w:rPr>
          <w:rFonts w:ascii="Footlight MT Light" w:hAnsi="Footlight MT Light" w:cs="Arial"/>
          <w:noProof/>
          <w:sz w:val="24"/>
          <w:szCs w:val="24"/>
        </w:rPr>
        <mc:AlternateContent>
          <mc:Choice Requires="wps">
            <w:drawing>
              <wp:anchor distT="0" distB="0" distL="114300" distR="114300" simplePos="0" relativeHeight="251665408" behindDoc="0" locked="0" layoutInCell="1" allowOverlap="1" wp14:anchorId="216109A3" wp14:editId="22BB85E9">
                <wp:simplePos x="0" y="0"/>
                <wp:positionH relativeFrom="margin">
                  <wp:posOffset>171450</wp:posOffset>
                </wp:positionH>
                <wp:positionV relativeFrom="paragraph">
                  <wp:posOffset>8256</wp:posOffset>
                </wp:positionV>
                <wp:extent cx="1990725" cy="1143000"/>
                <wp:effectExtent l="0" t="0" r="28575" b="1905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143000"/>
                        </a:xfrm>
                        <a:prstGeom prst="rect">
                          <a:avLst/>
                        </a:prstGeom>
                        <a:solidFill>
                          <a:srgbClr val="FFFFFF"/>
                        </a:solidFill>
                        <a:ln w="9525">
                          <a:solidFill>
                            <a:srgbClr val="000000"/>
                          </a:solidFill>
                          <a:miter lim="800000"/>
                        </a:ln>
                      </wps:spPr>
                      <wps:txbx>
                        <w:txbxContent>
                          <w:p w:rsidR="003574B9" w:rsidRDefault="003574B9" w:rsidP="008F2A2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Quality of Work Life </w:t>
                            </w:r>
                          </w:p>
                          <w:p w:rsidR="003574B9" w:rsidRPr="0063325E" w:rsidRDefault="003574B9" w:rsidP="008F2A27">
                            <w:pPr>
                              <w:pStyle w:val="ListParagraph"/>
                              <w:numPr>
                                <w:ilvl w:val="0"/>
                                <w:numId w:val="8"/>
                              </w:numPr>
                            </w:pPr>
                            <w:r w:rsidRPr="0063325E">
                              <w:t>Job satisfaction</w:t>
                            </w:r>
                          </w:p>
                          <w:p w:rsidR="003574B9" w:rsidRPr="0063325E" w:rsidRDefault="003574B9" w:rsidP="008F2A27">
                            <w:pPr>
                              <w:pStyle w:val="ListParagraph"/>
                              <w:numPr>
                                <w:ilvl w:val="0"/>
                                <w:numId w:val="8"/>
                              </w:numPr>
                            </w:pPr>
                            <w:r w:rsidRPr="0063325E">
                              <w:t>Commitment</w:t>
                            </w:r>
                          </w:p>
                          <w:p w:rsidR="003574B9" w:rsidRPr="0063325E" w:rsidRDefault="003574B9" w:rsidP="008F2A27">
                            <w:pPr>
                              <w:pStyle w:val="ListParagraph"/>
                              <w:numPr>
                                <w:ilvl w:val="0"/>
                                <w:numId w:val="8"/>
                              </w:numPr>
                            </w:pPr>
                            <w:r w:rsidRPr="0063325E">
                              <w:t>Work environment</w:t>
                            </w:r>
                          </w:p>
                          <w:p w:rsidR="003574B9" w:rsidRPr="0063325E" w:rsidRDefault="003574B9" w:rsidP="008F2A27">
                            <w:pPr>
                              <w:pStyle w:val="ListParagraph"/>
                              <w:numPr>
                                <w:ilvl w:val="0"/>
                                <w:numId w:val="8"/>
                              </w:numPr>
                            </w:pPr>
                            <w:r w:rsidRPr="0063325E">
                              <w:t>Motivation</w:t>
                            </w:r>
                          </w:p>
                          <w:p w:rsidR="003574B9" w:rsidRDefault="003574B9" w:rsidP="008F2A27">
                            <w:pPr>
                              <w:spacing w:line="240" w:lineRule="auto"/>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09A3" id="_x0000_s1027" type="#_x0000_t202" style="position:absolute;margin-left:13.5pt;margin-top:.65pt;width:156.75pt;height:9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">
                <v:textbox>
                  <w:txbxContent>
                    <w:p w:rsidR="003574B9" w:rsidRDefault="003574B9" w:rsidP="008F2A2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Quality of Work Life </w:t>
                      </w:r>
                    </w:p>
                    <w:p w:rsidR="003574B9" w:rsidRPr="0063325E" w:rsidRDefault="003574B9" w:rsidP="008F2A27">
                      <w:pPr>
                        <w:pStyle w:val="ListParagraph"/>
                        <w:numPr>
                          <w:ilvl w:val="0"/>
                          <w:numId w:val="8"/>
                        </w:numPr>
                      </w:pPr>
                      <w:r w:rsidRPr="0063325E">
                        <w:t>Job satisfaction</w:t>
                      </w:r>
                    </w:p>
                    <w:p w:rsidR="003574B9" w:rsidRPr="0063325E" w:rsidRDefault="003574B9" w:rsidP="008F2A27">
                      <w:pPr>
                        <w:pStyle w:val="ListParagraph"/>
                        <w:numPr>
                          <w:ilvl w:val="0"/>
                          <w:numId w:val="8"/>
                        </w:numPr>
                      </w:pPr>
                      <w:r w:rsidRPr="0063325E">
                        <w:t>Commitment</w:t>
                      </w:r>
                    </w:p>
                    <w:p w:rsidR="003574B9" w:rsidRPr="0063325E" w:rsidRDefault="003574B9" w:rsidP="008F2A27">
                      <w:pPr>
                        <w:pStyle w:val="ListParagraph"/>
                        <w:numPr>
                          <w:ilvl w:val="0"/>
                          <w:numId w:val="8"/>
                        </w:numPr>
                      </w:pPr>
                      <w:r w:rsidRPr="0063325E">
                        <w:t>Work environment</w:t>
                      </w:r>
                    </w:p>
                    <w:p w:rsidR="003574B9" w:rsidRPr="0063325E" w:rsidRDefault="003574B9" w:rsidP="008F2A27">
                      <w:pPr>
                        <w:pStyle w:val="ListParagraph"/>
                        <w:numPr>
                          <w:ilvl w:val="0"/>
                          <w:numId w:val="8"/>
                        </w:numPr>
                      </w:pPr>
                      <w:r w:rsidRPr="0063325E">
                        <w:t>Motivation</w:t>
                      </w:r>
                    </w:p>
                    <w:p w:rsidR="003574B9" w:rsidRDefault="003574B9" w:rsidP="008F2A27">
                      <w:pPr>
                        <w:spacing w:line="240" w:lineRule="auto"/>
                        <w:ind w:left="720"/>
                      </w:pPr>
                    </w:p>
                  </w:txbxContent>
                </v:textbox>
                <w10:wrap anchorx="margin"/>
              </v:shape>
            </w:pict>
          </mc:Fallback>
        </mc:AlternateContent>
      </w:r>
    </w:p>
    <w:p w:rsidR="00CE2018" w:rsidRPr="0000447F" w:rsidRDefault="00CE2018" w:rsidP="00694B98">
      <w:pPr>
        <w:spacing w:after="0" w:line="276" w:lineRule="auto"/>
        <w:rPr>
          <w:rFonts w:ascii="Footlight MT Light" w:eastAsia="Times New Roman" w:hAnsi="Footlight MT Light" w:cs="Arial"/>
          <w:sz w:val="24"/>
          <w:szCs w:val="24"/>
        </w:rPr>
      </w:pPr>
    </w:p>
    <w:p w:rsidR="008F2A27" w:rsidRPr="0000447F" w:rsidRDefault="008F2A27" w:rsidP="00694B98">
      <w:pPr>
        <w:spacing w:after="0" w:line="276" w:lineRule="auto"/>
        <w:rPr>
          <w:rFonts w:ascii="Footlight MT Light" w:eastAsia="Times New Roman" w:hAnsi="Footlight MT Light" w:cs="Arial"/>
          <w:sz w:val="24"/>
          <w:szCs w:val="24"/>
        </w:rPr>
      </w:pPr>
    </w:p>
    <w:p w:rsidR="008F2A27" w:rsidRPr="0000447F" w:rsidRDefault="008F2A27" w:rsidP="00694B98">
      <w:pPr>
        <w:spacing w:after="0" w:line="276" w:lineRule="auto"/>
        <w:rPr>
          <w:rFonts w:ascii="Footlight MT Light" w:eastAsia="Times New Roman" w:hAnsi="Footlight MT Light" w:cs="Arial"/>
          <w:sz w:val="24"/>
          <w:szCs w:val="24"/>
        </w:rPr>
      </w:pPr>
    </w:p>
    <w:p w:rsidR="008F2A27" w:rsidRPr="0000447F" w:rsidRDefault="008F2A27" w:rsidP="00694B98">
      <w:pPr>
        <w:spacing w:after="0" w:line="276" w:lineRule="auto"/>
        <w:rPr>
          <w:rFonts w:ascii="Footlight MT Light" w:eastAsia="Times New Roman" w:hAnsi="Footlight MT Light" w:cs="Arial"/>
          <w:sz w:val="24"/>
          <w:szCs w:val="24"/>
        </w:rPr>
      </w:pPr>
    </w:p>
    <w:p w:rsidR="008F2A27" w:rsidRPr="0000447F" w:rsidRDefault="008F2A27" w:rsidP="00694B98">
      <w:pPr>
        <w:spacing w:after="0" w:line="276" w:lineRule="auto"/>
        <w:rPr>
          <w:rFonts w:ascii="Footlight MT Light" w:eastAsia="Times New Roman" w:hAnsi="Footlight MT Light" w:cs="Arial"/>
          <w:sz w:val="24"/>
          <w:szCs w:val="24"/>
        </w:rPr>
      </w:pPr>
    </w:p>
    <w:p w:rsidR="008F2A27" w:rsidRPr="0000447F" w:rsidRDefault="008F2A27" w:rsidP="00694B98">
      <w:pPr>
        <w:spacing w:after="0" w:line="276" w:lineRule="auto"/>
        <w:rPr>
          <w:rFonts w:ascii="Footlight MT Light" w:eastAsia="Times New Roman" w:hAnsi="Footlight MT Light" w:cs="Arial"/>
          <w:sz w:val="24"/>
          <w:szCs w:val="24"/>
        </w:rPr>
      </w:pPr>
    </w:p>
    <w:p w:rsidR="00694B98" w:rsidRPr="0000447F" w:rsidRDefault="0053295E" w:rsidP="00694B98">
      <w:pPr>
        <w:spacing w:after="0" w:line="276" w:lineRule="auto"/>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   Dependent variable</w:t>
      </w:r>
    </w:p>
    <w:p w:rsidR="00655F98" w:rsidRPr="0000447F" w:rsidRDefault="00655F98" w:rsidP="00694B98">
      <w:pPr>
        <w:spacing w:after="0" w:line="276" w:lineRule="auto"/>
        <w:rPr>
          <w:rFonts w:ascii="Footlight MT Light" w:eastAsia="Times New Roman" w:hAnsi="Footlight MT Light" w:cs="Arial"/>
          <w:sz w:val="24"/>
          <w:szCs w:val="24"/>
        </w:rPr>
      </w:pPr>
      <w:r w:rsidRPr="0000447F">
        <w:rPr>
          <w:rFonts w:ascii="Footlight MT Light" w:hAnsi="Footlight MT Light" w:cs="Arial"/>
          <w:b/>
          <w:bCs/>
          <w:sz w:val="24"/>
          <w:szCs w:val="24"/>
        </w:rPr>
        <w:t>Fig. 1. Conceptual framework of the study</w:t>
      </w:r>
    </w:p>
    <w:p w:rsidR="0063325E" w:rsidRPr="0000447F" w:rsidRDefault="0063325E" w:rsidP="00694B98">
      <w:pPr>
        <w:spacing w:before="100" w:beforeAutospacing="1" w:after="100" w:afterAutospacing="1" w:line="276" w:lineRule="auto"/>
        <w:outlineLvl w:val="0"/>
        <w:rPr>
          <w:rFonts w:ascii="Footlight MT Light" w:eastAsia="Times New Roman" w:hAnsi="Footlight MT Light" w:cs="Arial"/>
          <w:b/>
          <w:bCs/>
          <w:kern w:val="36"/>
          <w:sz w:val="24"/>
          <w:szCs w:val="24"/>
        </w:rPr>
      </w:pPr>
      <w:r w:rsidRPr="0000447F">
        <w:rPr>
          <w:rFonts w:ascii="Footlight MT Light" w:eastAsia="Times New Roman" w:hAnsi="Footlight MT Light" w:cs="Arial"/>
          <w:b/>
          <w:bCs/>
          <w:kern w:val="36"/>
          <w:sz w:val="24"/>
          <w:szCs w:val="24"/>
        </w:rPr>
        <w:t>3. METHODOLOGY</w:t>
      </w:r>
    </w:p>
    <w:p w:rsidR="0063325E" w:rsidRPr="0000447F" w:rsidRDefault="0063325E"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3.1 Research Design</w:t>
      </w:r>
    </w:p>
    <w:p w:rsidR="007D04A7"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study adopted a </w:t>
      </w:r>
      <w:r w:rsidRPr="0000447F">
        <w:rPr>
          <w:rFonts w:ascii="Footlight MT Light" w:eastAsia="Times New Roman" w:hAnsi="Footlight MT Light" w:cs="Arial"/>
          <w:b/>
          <w:bCs/>
          <w:sz w:val="24"/>
          <w:szCs w:val="24"/>
        </w:rPr>
        <w:t>descriptive survey research design</w:t>
      </w:r>
      <w:r w:rsidRPr="0000447F">
        <w:rPr>
          <w:rFonts w:ascii="Footlight MT Light" w:eastAsia="Times New Roman" w:hAnsi="Footlight MT Light" w:cs="Arial"/>
          <w:sz w:val="24"/>
          <w:szCs w:val="24"/>
        </w:rPr>
        <w:t xml:space="preserve"> to examine the influence of reward management on employee Quality of Work Life in public health facilities under Machakos County Government, Kenya. The descriptive design was appropriate because it allows the collection of quantitative data from a large number of respondents and enables the researcher to establish relationships between variables without manipulating the study environment. The design was also suitable for analyzing employees’ perceptions regarding reward management practices and their effect on Quality of Work Life.</w:t>
      </w:r>
    </w:p>
    <w:p w:rsidR="007D04A7" w:rsidRPr="0000447F" w:rsidRDefault="007D04A7" w:rsidP="00694B98">
      <w:pPr>
        <w:spacing w:before="100" w:beforeAutospacing="1" w:after="100" w:afterAutospacing="1" w:line="276" w:lineRule="auto"/>
        <w:jc w:val="both"/>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3.2 Study Area and Target Population</w:t>
      </w:r>
    </w:p>
    <w:p w:rsidR="007D04A7"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study was conducted in public health facilities managed by the </w:t>
      </w:r>
      <w:r w:rsidRPr="0000447F">
        <w:rPr>
          <w:rFonts w:ascii="Footlight MT Light" w:eastAsia="Times New Roman" w:hAnsi="Footlight MT Light" w:cs="Arial"/>
          <w:bCs/>
          <w:sz w:val="24"/>
          <w:szCs w:val="24"/>
        </w:rPr>
        <w:t>Machakos County Government</w:t>
      </w:r>
      <w:r w:rsidRPr="0000447F">
        <w:rPr>
          <w:rFonts w:ascii="Footlight MT Light" w:eastAsia="Times New Roman" w:hAnsi="Footlight MT Light" w:cs="Arial"/>
          <w:sz w:val="24"/>
          <w:szCs w:val="24"/>
        </w:rPr>
        <w:t xml:space="preserve">, Kenya. The target population comprised healthcare workers involved in service delivery, including </w:t>
      </w:r>
      <w:r w:rsidRPr="0000447F">
        <w:rPr>
          <w:rFonts w:ascii="Footlight MT Light" w:eastAsia="Times New Roman" w:hAnsi="Footlight MT Light" w:cs="Arial"/>
          <w:bCs/>
          <w:sz w:val="24"/>
          <w:szCs w:val="24"/>
        </w:rPr>
        <w:t>nurses, clinical officers, medical officers, and medical superintendents</w:t>
      </w:r>
      <w:r w:rsidRPr="0000447F">
        <w:rPr>
          <w:rFonts w:ascii="Footlight MT Light" w:eastAsia="Times New Roman" w:hAnsi="Footlight MT Light" w:cs="Arial"/>
          <w:sz w:val="24"/>
          <w:szCs w:val="24"/>
        </w:rPr>
        <w:t xml:space="preserve">. These employees were selected because they play a critical role in healthcare provision and are directly </w:t>
      </w:r>
      <w:r w:rsidRPr="0000447F">
        <w:rPr>
          <w:rFonts w:ascii="Footlight MT Light" w:eastAsia="Times New Roman" w:hAnsi="Footlight MT Light" w:cs="Arial"/>
          <w:sz w:val="24"/>
          <w:szCs w:val="24"/>
        </w:rPr>
        <w:lastRenderedPageBreak/>
        <w:t>affected by human resource management practices such as compensation, promotion, recognition, and employee benefits.</w:t>
      </w:r>
    </w:p>
    <w:p w:rsidR="007D04A7"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total target population consisted of healthcare workers working in county health facilities, from which a representative sample was drawn.</w:t>
      </w:r>
    </w:p>
    <w:p w:rsidR="007D04A7" w:rsidRPr="0000447F" w:rsidRDefault="007D04A7" w:rsidP="00694B98">
      <w:pPr>
        <w:spacing w:before="100" w:beforeAutospacing="1" w:after="100" w:afterAutospacing="1" w:line="276" w:lineRule="auto"/>
        <w:jc w:val="both"/>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3.3 Sample Size and Sampling Technique</w:t>
      </w:r>
    </w:p>
    <w:p w:rsidR="007D04A7"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A sample of </w:t>
      </w:r>
      <w:r w:rsidRPr="0000447F">
        <w:rPr>
          <w:rFonts w:ascii="Footlight MT Light" w:eastAsia="Times New Roman" w:hAnsi="Footlight MT Light" w:cs="Arial"/>
          <w:bCs/>
          <w:sz w:val="24"/>
          <w:szCs w:val="24"/>
        </w:rPr>
        <w:t>195 respondents</w:t>
      </w:r>
      <w:r w:rsidRPr="0000447F">
        <w:rPr>
          <w:rFonts w:ascii="Footlight MT Light" w:eastAsia="Times New Roman" w:hAnsi="Footlight MT Light" w:cs="Arial"/>
          <w:sz w:val="24"/>
          <w:szCs w:val="24"/>
        </w:rPr>
        <w:t xml:space="preserve"> was selected from the target population using a combination of </w:t>
      </w:r>
      <w:r w:rsidRPr="0000447F">
        <w:rPr>
          <w:rFonts w:ascii="Footlight MT Light" w:eastAsia="Times New Roman" w:hAnsi="Footlight MT Light" w:cs="Arial"/>
          <w:bCs/>
          <w:sz w:val="24"/>
          <w:szCs w:val="24"/>
        </w:rPr>
        <w:t>stratified and simple random sampling techniques</w:t>
      </w:r>
      <w:r w:rsidRPr="0000447F">
        <w:rPr>
          <w:rFonts w:ascii="Footlight MT Light" w:eastAsia="Times New Roman" w:hAnsi="Footlight MT Light" w:cs="Arial"/>
          <w:sz w:val="24"/>
          <w:szCs w:val="24"/>
        </w:rPr>
        <w:t>. Stratified sampling was used to ensure that all professional groups (nurses, clinical officers, medical officers, and medical superintendents) were represented in the study, while simple random sampling was used to select respondents within each category.</w:t>
      </w:r>
    </w:p>
    <w:p w:rsidR="007D04A7"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sample size was considered adequate for statistical analysis and consistent with survey research requirements for regression analysis.</w:t>
      </w:r>
    </w:p>
    <w:p w:rsidR="007D04A7" w:rsidRPr="0000447F" w:rsidRDefault="007D04A7" w:rsidP="00694B98">
      <w:pPr>
        <w:spacing w:before="100" w:beforeAutospacing="1" w:after="100" w:afterAutospacing="1" w:line="276" w:lineRule="auto"/>
        <w:jc w:val="both"/>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3.4 Data Collection Instruments</w:t>
      </w:r>
    </w:p>
    <w:p w:rsidR="00F61419"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Primary data were collected using a </w:t>
      </w:r>
      <w:r w:rsidRPr="0000447F">
        <w:rPr>
          <w:rFonts w:ascii="Footlight MT Light" w:eastAsia="Times New Roman" w:hAnsi="Footlight MT Light" w:cs="Arial"/>
          <w:bCs/>
          <w:sz w:val="24"/>
          <w:szCs w:val="24"/>
        </w:rPr>
        <w:t>structured questionnaire</w:t>
      </w:r>
      <w:r w:rsidRPr="0000447F">
        <w:rPr>
          <w:rFonts w:ascii="Footlight MT Light" w:eastAsia="Times New Roman" w:hAnsi="Footlight MT Light" w:cs="Arial"/>
          <w:sz w:val="24"/>
          <w:szCs w:val="24"/>
        </w:rPr>
        <w:t xml:space="preserve"> developed based on previous studies on reward management and Quality of Work Life. The questionnaire consisted of closed-ended statements measured on a </w:t>
      </w:r>
      <w:r w:rsidRPr="0000447F">
        <w:rPr>
          <w:rFonts w:ascii="Footlight MT Light" w:eastAsia="Times New Roman" w:hAnsi="Footlight MT Light" w:cs="Arial"/>
          <w:bCs/>
          <w:sz w:val="24"/>
          <w:szCs w:val="24"/>
        </w:rPr>
        <w:t>five-point Likert scale</w:t>
      </w:r>
      <w:r w:rsidRPr="0000447F">
        <w:rPr>
          <w:rFonts w:ascii="Footlight MT Light" w:eastAsia="Times New Roman" w:hAnsi="Footlight MT Light" w:cs="Arial"/>
          <w:sz w:val="24"/>
          <w:szCs w:val="24"/>
        </w:rPr>
        <w:t>, ranging from strongly disagree (1) to strongly agree (5).</w:t>
      </w:r>
    </w:p>
    <w:p w:rsidR="007D04A7"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instrument was divided into sections covering:</w:t>
      </w:r>
    </w:p>
    <w:p w:rsidR="007D04A7" w:rsidRPr="0000447F" w:rsidRDefault="007D04A7" w:rsidP="00694B98">
      <w:pPr>
        <w:numPr>
          <w:ilvl w:val="0"/>
          <w:numId w:val="10"/>
        </w:num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Reward management (salary, promotion, recognition, allowances)</w:t>
      </w:r>
    </w:p>
    <w:p w:rsidR="007D04A7" w:rsidRPr="0000447F" w:rsidRDefault="007D04A7" w:rsidP="00694B98">
      <w:pPr>
        <w:numPr>
          <w:ilvl w:val="0"/>
          <w:numId w:val="10"/>
        </w:num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Quality of Work Life (job satisfaction, commitment, motivation, work environment)</w:t>
      </w:r>
    </w:p>
    <w:p w:rsidR="007D04A7" w:rsidRPr="0000447F" w:rsidRDefault="007D04A7" w:rsidP="00694B98">
      <w:pPr>
        <w:numPr>
          <w:ilvl w:val="0"/>
          <w:numId w:val="10"/>
        </w:num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Demographic information</w:t>
      </w:r>
    </w:p>
    <w:p w:rsidR="007D04A7"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use of a structured questionnaire ensured uniformity in responses and facilitated quantitative analysis.</w:t>
      </w:r>
    </w:p>
    <w:p w:rsidR="007D04A7" w:rsidRPr="0000447F" w:rsidRDefault="007D04A7"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3.5 Validity and Reliability of the Instrument</w:t>
      </w:r>
    </w:p>
    <w:p w:rsidR="007D04A7"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Content validity of the questionnaire was ensured through review of relevant literature and consultation with experts in human resource management and public administration. The items included in the questionnaire were based on established constructs used in previous empirical studies.</w:t>
      </w:r>
    </w:p>
    <w:p w:rsidR="007D04A7"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Reliability of the instrument was assessed using internal consistency measures, and the questionnaire items were found to be reliable for measuring reward management and Quality of Work Life. The acceptable reliability level supported the use of the instrument for data collection.</w:t>
      </w:r>
    </w:p>
    <w:p w:rsidR="004C3434" w:rsidRPr="0000447F" w:rsidRDefault="004C3434" w:rsidP="004C3434">
      <w:pPr>
        <w:pStyle w:val="NormalWeb"/>
        <w:jc w:val="both"/>
        <w:rPr>
          <w:rFonts w:ascii="Footlight MT Light" w:hAnsi="Footlight MT Light"/>
        </w:rPr>
      </w:pPr>
      <w:r w:rsidRPr="0000447F">
        <w:rPr>
          <w:rFonts w:ascii="Footlight MT Light" w:hAnsi="Footlight MT Light"/>
        </w:rPr>
        <w:lastRenderedPageBreak/>
        <w:t xml:space="preserve">Reliability of the instrument was assessed using Cronbach’s Alpha coefficient. Reward management recorded </w:t>
      </w:r>
      <w:r w:rsidRPr="0000447F">
        <w:rPr>
          <w:rFonts w:ascii="Cambria" w:hAnsi="Cambria" w:cs="Cambria"/>
        </w:rPr>
        <w:t>α</w:t>
      </w:r>
      <w:r w:rsidRPr="0000447F">
        <w:rPr>
          <w:rFonts w:ascii="Footlight MT Light" w:hAnsi="Footlight MT Light"/>
        </w:rPr>
        <w:t xml:space="preserve"> = 0.81, while Quality of Work Life recorded </w:t>
      </w:r>
      <w:r w:rsidRPr="0000447F">
        <w:rPr>
          <w:rFonts w:ascii="Cambria" w:hAnsi="Cambria" w:cs="Cambria"/>
        </w:rPr>
        <w:t>α</w:t>
      </w:r>
      <w:r w:rsidRPr="0000447F">
        <w:rPr>
          <w:rFonts w:ascii="Footlight MT Light" w:hAnsi="Footlight MT Light"/>
        </w:rPr>
        <w:t xml:space="preserve"> = 0.84, indicating acceptable internal consistency.</w:t>
      </w:r>
    </w:p>
    <w:p w:rsidR="004C3434" w:rsidRPr="0000447F" w:rsidRDefault="004C3434" w:rsidP="004C3434">
      <w:pPr>
        <w:spacing w:before="100" w:beforeAutospacing="1" w:after="100" w:afterAutospacing="1" w:line="276" w:lineRule="auto"/>
        <w:jc w:val="both"/>
        <w:rPr>
          <w:rFonts w:ascii="Footlight MT Light" w:eastAsia="Times New Roman" w:hAnsi="Footlight MT Light" w:cs="Arial"/>
          <w:b/>
          <w:sz w:val="24"/>
          <w:szCs w:val="24"/>
        </w:rPr>
      </w:pPr>
      <w:r w:rsidRPr="0000447F">
        <w:rPr>
          <w:rFonts w:ascii="Footlight MT Light" w:hAnsi="Footlight MT Light"/>
        </w:rPr>
        <w:t>Table 1 presents the standard thresholds used to interpret Cronbach’s Alpha (</w:t>
      </w:r>
      <w:r w:rsidRPr="0000447F">
        <w:rPr>
          <w:rFonts w:ascii="Cambria" w:hAnsi="Cambria" w:cs="Cambria"/>
        </w:rPr>
        <w:t>α</w:t>
      </w:r>
      <w:r w:rsidRPr="0000447F">
        <w:rPr>
          <w:rFonts w:ascii="Footlight MT Light" w:hAnsi="Footlight MT Light"/>
        </w:rPr>
        <w:t xml:space="preserve">), which is a statistical measure of </w:t>
      </w:r>
      <w:r w:rsidRPr="0000447F">
        <w:rPr>
          <w:rStyle w:val="Strong"/>
          <w:rFonts w:ascii="Footlight MT Light" w:hAnsi="Footlight MT Light"/>
        </w:rPr>
        <w:t>internal consistency or reliability of a scale</w:t>
      </w:r>
      <w:r w:rsidRPr="0000447F">
        <w:rPr>
          <w:rFonts w:ascii="Footlight MT Light" w:eastAsia="Times New Roman" w:hAnsi="Footlight MT Light" w:cs="Arial"/>
          <w:b/>
          <w:sz w:val="24"/>
          <w:szCs w:val="24"/>
        </w:rPr>
        <w:t xml:space="preserve">. </w:t>
      </w:r>
      <w:r w:rsidRPr="0000447F">
        <w:rPr>
          <w:rFonts w:ascii="Footlight MT Light" w:hAnsi="Footlight MT Light"/>
        </w:rPr>
        <w:t>The Cronbach’s alpha values for reward management (</w:t>
      </w:r>
      <w:r w:rsidRPr="0000447F">
        <w:rPr>
          <w:rFonts w:ascii="Cambria" w:hAnsi="Cambria" w:cs="Cambria"/>
        </w:rPr>
        <w:t>α</w:t>
      </w:r>
      <w:r w:rsidRPr="0000447F">
        <w:rPr>
          <w:rFonts w:ascii="Footlight MT Light" w:hAnsi="Footlight MT Light"/>
        </w:rPr>
        <w:t xml:space="preserve"> = 0.81) and Quality of Work Life (</w:t>
      </w:r>
      <w:r w:rsidRPr="0000447F">
        <w:rPr>
          <w:rFonts w:ascii="Cambria" w:hAnsi="Cambria" w:cs="Cambria"/>
        </w:rPr>
        <w:t>α</w:t>
      </w:r>
      <w:r w:rsidRPr="0000447F">
        <w:rPr>
          <w:rFonts w:ascii="Footlight MT Light" w:hAnsi="Footlight MT Light"/>
        </w:rPr>
        <w:t xml:space="preserve"> = 0.84) indicate good reliability, suggesting high internal consistency of the measurement scales. Since both values exceed the recommended threshold of 0.70, the instruments were considered reliable and appropriate.</w:t>
      </w:r>
    </w:p>
    <w:p w:rsidR="004C3434" w:rsidRPr="0000447F" w:rsidRDefault="004C3434" w:rsidP="004C3434">
      <w:pPr>
        <w:pStyle w:val="tablesss"/>
        <w:rPr>
          <w:rFonts w:ascii="Footlight MT Light" w:hAnsi="Footlight MT Light"/>
          <w:i/>
        </w:rPr>
      </w:pPr>
      <w:bookmarkStart w:id="1" w:name="_Toc203834444"/>
      <w:bookmarkStart w:id="2" w:name="_Toc223783274"/>
      <w:r w:rsidRPr="0000447F">
        <w:rPr>
          <w:rFonts w:ascii="Footlight MT Light" w:hAnsi="Footlight MT Light"/>
        </w:rPr>
        <w:t>Table 1: Interpretation table for Cronbach’s Alpha values</w:t>
      </w:r>
      <w:bookmarkEnd w:id="1"/>
      <w:bookmarkEnd w:id="2"/>
    </w:p>
    <w:tbl>
      <w:tblPr>
        <w:tblW w:w="8395" w:type="dxa"/>
        <w:tblInd w:w="155" w:type="dxa"/>
        <w:tblBorders>
          <w:top w:val="single" w:sz="4" w:space="0" w:color="000000"/>
        </w:tblBorders>
        <w:tblLook w:val="0000" w:firstRow="0" w:lastRow="0" w:firstColumn="0" w:lastColumn="0" w:noHBand="0" w:noVBand="0"/>
      </w:tblPr>
      <w:tblGrid>
        <w:gridCol w:w="8395"/>
      </w:tblGrid>
      <w:tr w:rsidR="004C3434" w:rsidRPr="0000447F" w:rsidTr="00367DC5">
        <w:trPr>
          <w:trHeight w:val="449"/>
        </w:trPr>
        <w:tc>
          <w:tcPr>
            <w:tcW w:w="8395" w:type="dxa"/>
            <w:tcBorders>
              <w:bottom w:val="single" w:sz="4" w:space="0" w:color="000000"/>
            </w:tcBorders>
          </w:tcPr>
          <w:p w:rsidR="004C3434" w:rsidRPr="0000447F" w:rsidRDefault="004C3434" w:rsidP="00367DC5">
            <w:pPr>
              <w:spacing w:after="0" w:line="360" w:lineRule="auto"/>
              <w:jc w:val="both"/>
              <w:rPr>
                <w:rFonts w:ascii="Footlight MT Light" w:eastAsia="Times New Roman" w:hAnsi="Footlight MT Light" w:cs="Times New Roman"/>
                <w:b/>
                <w:sz w:val="24"/>
                <w:szCs w:val="24"/>
              </w:rPr>
            </w:pPr>
            <w:r w:rsidRPr="0000447F">
              <w:rPr>
                <w:rFonts w:ascii="Footlight MT Light" w:eastAsia="Times New Roman" w:hAnsi="Footlight MT Light" w:cs="Times New Roman"/>
                <w:b/>
                <w:sz w:val="24"/>
                <w:szCs w:val="24"/>
              </w:rPr>
              <w:t xml:space="preserve">    </w:t>
            </w:r>
            <w:r w:rsidRPr="0000447F">
              <w:rPr>
                <w:rFonts w:ascii="Footlight MT Light" w:hAnsi="Footlight MT Light" w:cs="Times New Roman"/>
                <w:b/>
                <w:sz w:val="24"/>
                <w:szCs w:val="24"/>
              </w:rPr>
              <w:t>Cronbach’s Alpha (</w:t>
            </w:r>
            <w:r w:rsidRPr="0000447F">
              <w:rPr>
                <w:rFonts w:ascii="Cambria" w:hAnsi="Cambria" w:cs="Cambria"/>
                <w:b/>
                <w:sz w:val="24"/>
                <w:szCs w:val="24"/>
              </w:rPr>
              <w:t>α</w:t>
            </w:r>
            <w:r w:rsidRPr="0000447F">
              <w:rPr>
                <w:rFonts w:ascii="Footlight MT Light" w:hAnsi="Footlight MT Light" w:cs="Times New Roman"/>
                <w:b/>
                <w:sz w:val="24"/>
                <w:szCs w:val="24"/>
              </w:rPr>
              <w:t>)</w:t>
            </w:r>
            <w:r w:rsidRPr="0000447F">
              <w:rPr>
                <w:rFonts w:ascii="Footlight MT Light" w:eastAsia="Times New Roman" w:hAnsi="Footlight MT Light" w:cs="Times New Roman"/>
                <w:b/>
                <w:sz w:val="24"/>
                <w:szCs w:val="24"/>
              </w:rPr>
              <w:t xml:space="preserve">            </w:t>
            </w:r>
            <w:r w:rsidRPr="0000447F">
              <w:rPr>
                <w:rFonts w:ascii="Footlight MT Light" w:hAnsi="Footlight MT Light" w:cs="Times New Roman"/>
                <w:b/>
                <w:sz w:val="24"/>
                <w:szCs w:val="24"/>
              </w:rPr>
              <w:t>Internal Consistency</w:t>
            </w:r>
            <w:r w:rsidRPr="0000447F">
              <w:rPr>
                <w:rFonts w:ascii="Footlight MT Light" w:eastAsia="Times New Roman" w:hAnsi="Footlight MT Light" w:cs="Times New Roman"/>
                <w:b/>
                <w:sz w:val="24"/>
                <w:szCs w:val="24"/>
              </w:rPr>
              <w:t xml:space="preserve">                    Interpretation                                           </w:t>
            </w:r>
          </w:p>
        </w:tc>
      </w:tr>
      <w:tr w:rsidR="004C3434" w:rsidRPr="0000447F" w:rsidTr="00367DC5">
        <w:trPr>
          <w:trHeight w:val="2042"/>
        </w:trPr>
        <w:tc>
          <w:tcPr>
            <w:tcW w:w="8395" w:type="dxa"/>
            <w:tcBorders>
              <w:top w:val="single" w:sz="4" w:space="0" w:color="000000"/>
              <w:bottom w:val="single" w:sz="4" w:space="0" w:color="000000"/>
            </w:tcBorders>
          </w:tcPr>
          <w:p w:rsidR="004C3434" w:rsidRPr="0000447F" w:rsidRDefault="004C3434" w:rsidP="00367DC5">
            <w:pPr>
              <w:spacing w:after="0" w:line="360" w:lineRule="auto"/>
              <w:jc w:val="both"/>
              <w:rPr>
                <w:rFonts w:ascii="Footlight MT Light" w:eastAsia="Times New Roman" w:hAnsi="Footlight MT Light" w:cs="Times New Roman"/>
                <w:sz w:val="24"/>
                <w:szCs w:val="24"/>
              </w:rPr>
            </w:pPr>
            <w:r w:rsidRPr="0000447F">
              <w:rPr>
                <w:rFonts w:ascii="Footlight MT Light" w:hAnsi="Footlight MT Light" w:cs="Times New Roman"/>
                <w:sz w:val="24"/>
                <w:szCs w:val="24"/>
              </w:rPr>
              <w:t xml:space="preserve">  </w:t>
            </w:r>
            <w:r w:rsidRPr="0000447F">
              <w:rPr>
                <w:rFonts w:ascii="Cambria" w:hAnsi="Cambria" w:cs="Cambria"/>
                <w:sz w:val="24"/>
                <w:szCs w:val="24"/>
              </w:rPr>
              <w:t>α</w:t>
            </w:r>
            <w:r w:rsidRPr="0000447F">
              <w:rPr>
                <w:rFonts w:ascii="Footlight MT Light" w:hAnsi="Footlight MT Light" w:cs="Times New Roman"/>
                <w:sz w:val="24"/>
                <w:szCs w:val="24"/>
              </w:rPr>
              <w:t xml:space="preserve"> </w:t>
            </w:r>
            <w:r w:rsidRPr="0000447F">
              <w:rPr>
                <w:rFonts w:ascii="Footlight MT Light" w:hAnsi="Footlight MT Light" w:cs="Footlight MT Light"/>
                <w:sz w:val="24"/>
                <w:szCs w:val="24"/>
              </w:rPr>
              <w:t>≥</w:t>
            </w:r>
            <w:r w:rsidRPr="0000447F">
              <w:rPr>
                <w:rFonts w:ascii="Footlight MT Light" w:hAnsi="Footlight MT Light" w:cs="Times New Roman"/>
                <w:sz w:val="24"/>
                <w:szCs w:val="24"/>
              </w:rPr>
              <w:t xml:space="preserve"> 0.90</w:t>
            </w:r>
            <w:r w:rsidRPr="0000447F">
              <w:rPr>
                <w:rFonts w:ascii="Footlight MT Light" w:eastAsia="Times New Roman" w:hAnsi="Footlight MT Light" w:cs="Times New Roman"/>
                <w:sz w:val="24"/>
                <w:szCs w:val="24"/>
              </w:rPr>
              <w:t xml:space="preserve">                           Excellent                                Very High Reliability                               </w:t>
            </w:r>
            <w:r w:rsidRPr="0000447F">
              <w:rPr>
                <w:rFonts w:ascii="Footlight MT Light" w:hAnsi="Footlight MT Light" w:cs="Times New Roman"/>
                <w:sz w:val="24"/>
                <w:szCs w:val="24"/>
              </w:rPr>
              <w:t xml:space="preserve">0.80 ≤ </w:t>
            </w:r>
            <w:r w:rsidRPr="0000447F">
              <w:rPr>
                <w:rFonts w:ascii="Cambria" w:hAnsi="Cambria" w:cs="Cambria"/>
                <w:sz w:val="24"/>
                <w:szCs w:val="24"/>
              </w:rPr>
              <w:t>α</w:t>
            </w:r>
            <w:r w:rsidRPr="0000447F">
              <w:rPr>
                <w:rFonts w:ascii="Footlight MT Light" w:hAnsi="Footlight MT Light" w:cs="Times New Roman"/>
                <w:sz w:val="24"/>
                <w:szCs w:val="24"/>
              </w:rPr>
              <w:t xml:space="preserve"> &lt; 0.90</w:t>
            </w:r>
            <w:r w:rsidRPr="0000447F">
              <w:rPr>
                <w:rFonts w:ascii="Footlight MT Light" w:eastAsia="Times New Roman" w:hAnsi="Footlight MT Light" w:cs="Times New Roman"/>
                <w:sz w:val="24"/>
                <w:szCs w:val="24"/>
              </w:rPr>
              <w:t xml:space="preserve">                            Good                                             High reliability</w:t>
            </w:r>
          </w:p>
          <w:p w:rsidR="004C3434" w:rsidRPr="0000447F" w:rsidRDefault="004C3434" w:rsidP="00367DC5">
            <w:pPr>
              <w:spacing w:after="0" w:line="360" w:lineRule="auto"/>
              <w:jc w:val="both"/>
              <w:rPr>
                <w:rFonts w:ascii="Footlight MT Light" w:eastAsia="Times New Roman" w:hAnsi="Footlight MT Light" w:cs="Times New Roman"/>
                <w:sz w:val="24"/>
                <w:szCs w:val="24"/>
              </w:rPr>
            </w:pPr>
            <w:r w:rsidRPr="0000447F">
              <w:rPr>
                <w:rFonts w:ascii="Footlight MT Light" w:hAnsi="Footlight MT Light" w:cs="Times New Roman"/>
                <w:sz w:val="24"/>
                <w:szCs w:val="24"/>
              </w:rPr>
              <w:t xml:space="preserve">0.70 ≤ </w:t>
            </w:r>
            <w:r w:rsidRPr="0000447F">
              <w:rPr>
                <w:rFonts w:ascii="Cambria" w:hAnsi="Cambria" w:cs="Cambria"/>
                <w:sz w:val="24"/>
                <w:szCs w:val="24"/>
              </w:rPr>
              <w:t>α</w:t>
            </w:r>
            <w:r w:rsidRPr="0000447F">
              <w:rPr>
                <w:rFonts w:ascii="Footlight MT Light" w:hAnsi="Footlight MT Light" w:cs="Times New Roman"/>
                <w:sz w:val="24"/>
                <w:szCs w:val="24"/>
              </w:rPr>
              <w:t xml:space="preserve"> &lt; 0.80</w:t>
            </w:r>
            <w:r w:rsidRPr="0000447F">
              <w:rPr>
                <w:rFonts w:ascii="Footlight MT Light" w:eastAsia="Times New Roman" w:hAnsi="Footlight MT Light" w:cs="Times New Roman"/>
                <w:sz w:val="24"/>
                <w:szCs w:val="24"/>
              </w:rPr>
              <w:t xml:space="preserve">                           Acceptable                                    Adequate reliability</w:t>
            </w:r>
          </w:p>
          <w:p w:rsidR="004C3434" w:rsidRPr="0000447F" w:rsidRDefault="004C3434" w:rsidP="00367DC5">
            <w:pPr>
              <w:spacing w:after="0" w:line="360" w:lineRule="auto"/>
              <w:jc w:val="both"/>
              <w:rPr>
                <w:rFonts w:ascii="Footlight MT Light" w:hAnsi="Footlight MT Light" w:cs="Times New Roman"/>
                <w:sz w:val="24"/>
                <w:szCs w:val="24"/>
              </w:rPr>
            </w:pPr>
            <w:r w:rsidRPr="0000447F">
              <w:rPr>
                <w:rFonts w:ascii="Footlight MT Light" w:hAnsi="Footlight MT Light" w:cs="Times New Roman"/>
                <w:sz w:val="24"/>
                <w:szCs w:val="24"/>
              </w:rPr>
              <w:t xml:space="preserve">0.60 ≤ </w:t>
            </w:r>
            <w:r w:rsidRPr="0000447F">
              <w:rPr>
                <w:rFonts w:ascii="Cambria" w:hAnsi="Cambria" w:cs="Cambria"/>
                <w:sz w:val="24"/>
                <w:szCs w:val="24"/>
              </w:rPr>
              <w:t>α</w:t>
            </w:r>
            <w:r w:rsidRPr="0000447F">
              <w:rPr>
                <w:rFonts w:ascii="Footlight MT Light" w:hAnsi="Footlight MT Light" w:cs="Times New Roman"/>
                <w:sz w:val="24"/>
                <w:szCs w:val="24"/>
              </w:rPr>
              <w:t xml:space="preserve"> &lt; 0.70</w:t>
            </w:r>
            <w:r w:rsidRPr="0000447F">
              <w:rPr>
                <w:rFonts w:ascii="Footlight MT Light" w:eastAsia="Times New Roman" w:hAnsi="Footlight MT Light" w:cs="Times New Roman"/>
                <w:sz w:val="24"/>
                <w:szCs w:val="24"/>
              </w:rPr>
              <w:t xml:space="preserve">                           Questionable</w:t>
            </w:r>
            <w:r w:rsidRPr="0000447F">
              <w:rPr>
                <w:rFonts w:ascii="Footlight MT Light" w:hAnsi="Footlight MT Light" w:cs="Times New Roman"/>
                <w:sz w:val="24"/>
                <w:szCs w:val="24"/>
              </w:rPr>
              <w:t xml:space="preserve">                                 Moderate reliability; </w:t>
            </w:r>
          </w:p>
          <w:p w:rsidR="004C3434" w:rsidRPr="0000447F" w:rsidRDefault="004C3434" w:rsidP="00367DC5">
            <w:pPr>
              <w:spacing w:after="0" w:line="360" w:lineRule="auto"/>
              <w:jc w:val="both"/>
              <w:rPr>
                <w:rFonts w:ascii="Footlight MT Light" w:hAnsi="Footlight MT Light" w:cs="Times New Roman"/>
                <w:sz w:val="24"/>
                <w:szCs w:val="24"/>
              </w:rPr>
            </w:pPr>
            <w:r w:rsidRPr="0000447F">
              <w:rPr>
                <w:rFonts w:ascii="Footlight MT Light" w:hAnsi="Footlight MT Light" w:cs="Times New Roman"/>
                <w:sz w:val="24"/>
                <w:szCs w:val="24"/>
              </w:rPr>
              <w:t xml:space="preserve">                                                                                                                         may need improvement</w:t>
            </w:r>
          </w:p>
          <w:p w:rsidR="004C3434" w:rsidRPr="0000447F" w:rsidRDefault="004C3434" w:rsidP="00367DC5">
            <w:pPr>
              <w:spacing w:after="0" w:line="360" w:lineRule="auto"/>
              <w:jc w:val="both"/>
              <w:rPr>
                <w:rFonts w:ascii="Footlight MT Light" w:hAnsi="Footlight MT Light" w:cs="Times New Roman"/>
                <w:sz w:val="24"/>
                <w:szCs w:val="24"/>
              </w:rPr>
            </w:pPr>
            <w:r w:rsidRPr="0000447F">
              <w:rPr>
                <w:rFonts w:ascii="Footlight MT Light" w:hAnsi="Footlight MT Light" w:cs="Times New Roman"/>
                <w:sz w:val="24"/>
                <w:szCs w:val="24"/>
              </w:rPr>
              <w:t xml:space="preserve">0.50 ≤ </w:t>
            </w:r>
            <w:r w:rsidRPr="0000447F">
              <w:rPr>
                <w:rFonts w:ascii="Cambria" w:hAnsi="Cambria" w:cs="Cambria"/>
                <w:sz w:val="24"/>
                <w:szCs w:val="24"/>
              </w:rPr>
              <w:t>α</w:t>
            </w:r>
            <w:r w:rsidRPr="0000447F">
              <w:rPr>
                <w:rFonts w:ascii="Footlight MT Light" w:hAnsi="Footlight MT Light" w:cs="Times New Roman"/>
                <w:sz w:val="24"/>
                <w:szCs w:val="24"/>
              </w:rPr>
              <w:t xml:space="preserve"> &lt; 0.60                             Poor                                 Low reliability; revise the scale  </w:t>
            </w:r>
          </w:p>
          <w:p w:rsidR="004C3434" w:rsidRPr="0000447F" w:rsidRDefault="004C3434" w:rsidP="00367DC5">
            <w:pPr>
              <w:spacing w:after="240" w:line="360" w:lineRule="auto"/>
              <w:jc w:val="both"/>
              <w:rPr>
                <w:rFonts w:ascii="Footlight MT Light" w:hAnsi="Footlight MT Light" w:cs="Times New Roman"/>
                <w:sz w:val="24"/>
                <w:szCs w:val="24"/>
              </w:rPr>
            </w:pPr>
            <w:r w:rsidRPr="0000447F">
              <w:rPr>
                <w:rFonts w:ascii="Cambria" w:hAnsi="Cambria" w:cs="Cambria"/>
                <w:sz w:val="24"/>
                <w:szCs w:val="24"/>
              </w:rPr>
              <w:t>α</w:t>
            </w:r>
            <w:r w:rsidRPr="0000447F">
              <w:rPr>
                <w:rFonts w:ascii="Footlight MT Light" w:hAnsi="Footlight MT Light" w:cs="Times New Roman"/>
                <w:sz w:val="24"/>
                <w:szCs w:val="24"/>
              </w:rPr>
              <w:t xml:space="preserve"> &lt; 0.50                                         Unacceptable                    Very low reliability; not suitable</w:t>
            </w:r>
          </w:p>
        </w:tc>
      </w:tr>
    </w:tbl>
    <w:p w:rsidR="007D04A7" w:rsidRPr="0000447F" w:rsidRDefault="007D04A7"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3.6 Data Collection Procedure</w:t>
      </w:r>
    </w:p>
    <w:p w:rsidR="007D04A7"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Permission to conduct the study was obtained from the relevant county authorities. The questionnaires were administered to the selected respondents in the health facilities, and respondents were given adequate time to complete them. Participation in the study was voluntary, and confidentiality of responses was assured.</w:t>
      </w:r>
    </w:p>
    <w:p w:rsidR="00D75CFF"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Completed questionnaires were collected, checked for completeness, and prepared for analysis.</w:t>
      </w:r>
    </w:p>
    <w:p w:rsidR="0063325E" w:rsidRPr="0000447F" w:rsidRDefault="00D72362" w:rsidP="00694B98">
      <w:pPr>
        <w:spacing w:before="100" w:beforeAutospacing="1" w:after="100" w:afterAutospacing="1" w:line="276" w:lineRule="auto"/>
        <w:outlineLvl w:val="1"/>
        <w:rPr>
          <w:rFonts w:ascii="Footlight MT Light" w:eastAsia="Times New Roman" w:hAnsi="Footlight MT Light" w:cs="Arial"/>
          <w:b/>
          <w:bCs/>
          <w:sz w:val="24"/>
          <w:szCs w:val="24"/>
        </w:rPr>
      </w:pPr>
      <w:r>
        <w:rPr>
          <w:rFonts w:ascii="Footlight MT Light" w:eastAsia="Times New Roman" w:hAnsi="Footlight MT Light" w:cs="Arial"/>
          <w:b/>
          <w:bCs/>
          <w:sz w:val="24"/>
          <w:szCs w:val="24"/>
        </w:rPr>
        <w:t>3.7</w:t>
      </w:r>
      <w:r w:rsidR="0063325E" w:rsidRPr="0000447F">
        <w:rPr>
          <w:rFonts w:ascii="Footlight MT Light" w:eastAsia="Times New Roman" w:hAnsi="Footlight MT Light" w:cs="Arial"/>
          <w:b/>
          <w:bCs/>
          <w:sz w:val="24"/>
          <w:szCs w:val="24"/>
        </w:rPr>
        <w:t xml:space="preserve"> Data Analysis</w:t>
      </w:r>
    </w:p>
    <w:p w:rsidR="007D04A7" w:rsidRPr="0000447F" w:rsidRDefault="007D04A7" w:rsidP="00694B98">
      <w:pPr>
        <w:pStyle w:val="NormalWeb"/>
        <w:spacing w:line="276" w:lineRule="auto"/>
        <w:jc w:val="both"/>
        <w:rPr>
          <w:rFonts w:ascii="Footlight MT Light" w:hAnsi="Footlight MT Light" w:cs="Arial"/>
        </w:rPr>
      </w:pPr>
      <w:r w:rsidRPr="0000447F">
        <w:rPr>
          <w:rFonts w:ascii="Footlight MT Light" w:hAnsi="Footlight MT Light" w:cs="Arial"/>
        </w:rPr>
        <w:t xml:space="preserve">Data were analyzed using </w:t>
      </w:r>
      <w:r w:rsidRPr="0000447F">
        <w:rPr>
          <w:rStyle w:val="Strong"/>
          <w:rFonts w:ascii="Footlight MT Light" w:hAnsi="Footlight MT Light" w:cs="Arial"/>
          <w:b w:val="0"/>
        </w:rPr>
        <w:t>Statistical Package for Social Sciences (SPSS)</w:t>
      </w:r>
      <w:r w:rsidRPr="0000447F">
        <w:rPr>
          <w:rFonts w:ascii="Footlight MT Light" w:hAnsi="Footlight MT Light" w:cs="Arial"/>
          <w:b/>
        </w:rPr>
        <w:t>.</w:t>
      </w:r>
      <w:r w:rsidRPr="0000447F">
        <w:rPr>
          <w:rFonts w:ascii="Footlight MT Light" w:hAnsi="Footlight MT Light" w:cs="Arial"/>
        </w:rPr>
        <w:t xml:space="preserve"> Both descriptive and inferential statistics were used.</w:t>
      </w:r>
    </w:p>
    <w:p w:rsidR="007D04A7" w:rsidRPr="0000447F" w:rsidRDefault="007D04A7" w:rsidP="00694B98">
      <w:pPr>
        <w:pStyle w:val="NormalWeb"/>
        <w:spacing w:line="276" w:lineRule="auto"/>
        <w:rPr>
          <w:rFonts w:ascii="Footlight MT Light" w:hAnsi="Footlight MT Light" w:cs="Arial"/>
        </w:rPr>
      </w:pPr>
      <w:r w:rsidRPr="0000447F">
        <w:rPr>
          <w:rFonts w:ascii="Footlight MT Light" w:hAnsi="Footlight MT Light" w:cs="Arial"/>
        </w:rPr>
        <w:t>Descriptive statistics included:</w:t>
      </w:r>
    </w:p>
    <w:p w:rsidR="007D04A7" w:rsidRPr="0000447F" w:rsidRDefault="007D04A7" w:rsidP="00694B98">
      <w:pPr>
        <w:pStyle w:val="NormalWeb"/>
        <w:numPr>
          <w:ilvl w:val="0"/>
          <w:numId w:val="11"/>
        </w:numPr>
        <w:spacing w:line="276" w:lineRule="auto"/>
        <w:rPr>
          <w:rFonts w:ascii="Footlight MT Light" w:hAnsi="Footlight MT Light" w:cs="Arial"/>
        </w:rPr>
      </w:pPr>
      <w:r w:rsidRPr="0000447F">
        <w:rPr>
          <w:rFonts w:ascii="Footlight MT Light" w:hAnsi="Footlight MT Light" w:cs="Arial"/>
        </w:rPr>
        <w:lastRenderedPageBreak/>
        <w:t>Frequencies</w:t>
      </w:r>
    </w:p>
    <w:p w:rsidR="007D04A7" w:rsidRPr="0000447F" w:rsidRDefault="007D04A7" w:rsidP="00694B98">
      <w:pPr>
        <w:pStyle w:val="NormalWeb"/>
        <w:numPr>
          <w:ilvl w:val="0"/>
          <w:numId w:val="11"/>
        </w:numPr>
        <w:spacing w:line="276" w:lineRule="auto"/>
        <w:rPr>
          <w:rFonts w:ascii="Footlight MT Light" w:hAnsi="Footlight MT Light" w:cs="Arial"/>
        </w:rPr>
      </w:pPr>
      <w:r w:rsidRPr="0000447F">
        <w:rPr>
          <w:rFonts w:ascii="Footlight MT Light" w:hAnsi="Footlight MT Light" w:cs="Arial"/>
        </w:rPr>
        <w:t>Percentages</w:t>
      </w:r>
    </w:p>
    <w:p w:rsidR="007D04A7" w:rsidRPr="0000447F" w:rsidRDefault="007D04A7" w:rsidP="00694B98">
      <w:pPr>
        <w:pStyle w:val="NormalWeb"/>
        <w:numPr>
          <w:ilvl w:val="0"/>
          <w:numId w:val="11"/>
        </w:numPr>
        <w:spacing w:line="276" w:lineRule="auto"/>
        <w:rPr>
          <w:rFonts w:ascii="Footlight MT Light" w:hAnsi="Footlight MT Light" w:cs="Arial"/>
        </w:rPr>
      </w:pPr>
      <w:r w:rsidRPr="0000447F">
        <w:rPr>
          <w:rFonts w:ascii="Footlight MT Light" w:hAnsi="Footlight MT Light" w:cs="Arial"/>
        </w:rPr>
        <w:t>Means</w:t>
      </w:r>
    </w:p>
    <w:p w:rsidR="007D04A7" w:rsidRPr="0000447F" w:rsidRDefault="007D04A7" w:rsidP="00694B98">
      <w:pPr>
        <w:pStyle w:val="NormalWeb"/>
        <w:numPr>
          <w:ilvl w:val="0"/>
          <w:numId w:val="11"/>
        </w:numPr>
        <w:spacing w:line="276" w:lineRule="auto"/>
        <w:rPr>
          <w:rFonts w:ascii="Footlight MT Light" w:hAnsi="Footlight MT Light" w:cs="Arial"/>
        </w:rPr>
      </w:pPr>
      <w:r w:rsidRPr="0000447F">
        <w:rPr>
          <w:rFonts w:ascii="Footlight MT Light" w:hAnsi="Footlight MT Light" w:cs="Arial"/>
        </w:rPr>
        <w:t>Standard deviations</w:t>
      </w:r>
    </w:p>
    <w:p w:rsidR="007D04A7" w:rsidRPr="0000447F" w:rsidRDefault="007D04A7" w:rsidP="00694B98">
      <w:pPr>
        <w:pStyle w:val="NormalWeb"/>
        <w:spacing w:line="276" w:lineRule="auto"/>
        <w:jc w:val="both"/>
        <w:rPr>
          <w:rFonts w:ascii="Footlight MT Light" w:hAnsi="Footlight MT Light" w:cs="Arial"/>
        </w:rPr>
      </w:pPr>
      <w:r w:rsidRPr="0000447F">
        <w:rPr>
          <w:rFonts w:ascii="Footlight MT Light" w:hAnsi="Footlight MT Light" w:cs="Arial"/>
        </w:rPr>
        <w:t xml:space="preserve">Inferential statistics included </w:t>
      </w:r>
      <w:r w:rsidRPr="0000447F">
        <w:rPr>
          <w:rStyle w:val="Strong"/>
          <w:rFonts w:ascii="Footlight MT Light" w:hAnsi="Footlight MT Light" w:cs="Arial"/>
          <w:b w:val="0"/>
        </w:rPr>
        <w:t>ordinal regression analysis</w:t>
      </w:r>
      <w:r w:rsidRPr="0000447F">
        <w:rPr>
          <w:rFonts w:ascii="Footlight MT Light" w:hAnsi="Footlight MT Light" w:cs="Arial"/>
          <w:b/>
        </w:rPr>
        <w:t>,</w:t>
      </w:r>
      <w:r w:rsidRPr="0000447F">
        <w:rPr>
          <w:rFonts w:ascii="Footlight MT Light" w:hAnsi="Footlight MT Light" w:cs="Arial"/>
        </w:rPr>
        <w:t xml:space="preserve"> which was used to examine the influence of reward management on employee Quality of Work Life. Ordinal regression was appropriate because the dependent variable was measured using Likert scale responses, which are ordinal in nature.</w:t>
      </w:r>
    </w:p>
    <w:p w:rsidR="00BA0774" w:rsidRPr="0000447F" w:rsidRDefault="007D04A7" w:rsidP="00694B98">
      <w:pPr>
        <w:pStyle w:val="NormalWeb"/>
        <w:spacing w:line="276" w:lineRule="auto"/>
        <w:jc w:val="both"/>
        <w:rPr>
          <w:rFonts w:ascii="Footlight MT Light" w:hAnsi="Footlight MT Light" w:cs="Arial"/>
        </w:rPr>
      </w:pPr>
      <w:r w:rsidRPr="0000447F">
        <w:rPr>
          <w:rFonts w:ascii="Footlight MT Light" w:hAnsi="Footlight MT Light" w:cs="Arial"/>
        </w:rPr>
        <w:t xml:space="preserve">The level of significance was set at </w:t>
      </w:r>
      <w:r w:rsidRPr="0000447F">
        <w:rPr>
          <w:rStyle w:val="Strong"/>
          <w:rFonts w:ascii="Footlight MT Light" w:hAnsi="Footlight MT Light" w:cs="Arial"/>
        </w:rPr>
        <w:t>p &lt; 0.05</w:t>
      </w:r>
      <w:r w:rsidRPr="0000447F">
        <w:rPr>
          <w:rFonts w:ascii="Footlight MT Light" w:hAnsi="Footlight MT Light" w:cs="Arial"/>
        </w:rPr>
        <w:t>, meaning that results with probability values less than 0.05 were considered statistically significant.</w:t>
      </w:r>
    </w:p>
    <w:p w:rsidR="00721584" w:rsidRPr="0000447F" w:rsidRDefault="00721584"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Construct Means and Standard Deviations</w:t>
      </w:r>
    </w:p>
    <w:p w:rsidR="00721584" w:rsidRPr="0000447F" w:rsidRDefault="0037518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Table 2</w:t>
      </w:r>
      <w:r w:rsidR="00721584" w:rsidRPr="0000447F">
        <w:rPr>
          <w:rFonts w:ascii="Footlight MT Light" w:eastAsia="Times New Roman" w:hAnsi="Footlight MT Light" w:cs="Arial"/>
          <w:sz w:val="24"/>
          <w:szCs w:val="24"/>
        </w:rPr>
        <w:t xml:space="preserve"> presents the descriptive statistics for the main study variable measured using a five-point Likert scale ranging from 1 (strongly disagree) to 5 (strongly agree). The results show that </w:t>
      </w:r>
      <w:r w:rsidR="00721584" w:rsidRPr="0000447F">
        <w:rPr>
          <w:rFonts w:ascii="Footlight MT Light" w:eastAsia="Times New Roman" w:hAnsi="Footlight MT Light" w:cs="Arial"/>
          <w:bCs/>
          <w:sz w:val="24"/>
          <w:szCs w:val="24"/>
        </w:rPr>
        <w:t>Reward Management recorded a mean score of 3.74 with a standard deviation of 1.12</w:t>
      </w:r>
      <w:r w:rsidR="00721584" w:rsidRPr="0000447F">
        <w:rPr>
          <w:rFonts w:ascii="Footlight MT Light" w:eastAsia="Times New Roman" w:hAnsi="Footlight MT Light" w:cs="Arial"/>
          <w:sz w:val="24"/>
          <w:szCs w:val="24"/>
        </w:rPr>
        <w:t>, based on responses from 195 participants.</w:t>
      </w:r>
    </w:p>
    <w:p w:rsidR="00721584" w:rsidRPr="0000447F"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mean score of 3.74 indicates that, on average, respondents tended to agree that reward management practices such as salary, promotion, recognition, and allowances were present in their workplace. Since the mean is above the midpoint of 3.0, this suggests a moderately positive perception of reward management among healthcare workers in public health facilities under Machakos County Government.</w:t>
      </w:r>
    </w:p>
    <w:p w:rsidR="00721584" w:rsidRPr="0000447F"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standard deviation of 1.12 shows that there was some variation in responses, meaning that while many respondents agreed that reward management practices were satisfactory, others expressed lower levels of agreement. This variation may reflect differences in employee experience regarding promotion, allowances, or recognition across different health facilities.</w:t>
      </w:r>
    </w:p>
    <w:p w:rsidR="00293C6E" w:rsidRPr="0000447F"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minimum and maximum values indicate that responses covered a wide range on the Likert scale, suggesting that employees had diverse perceptions about the fairness and effectiveness of reward management practices. Overall, the descriptive results suggest that reward management is present but not uniformly experienced by all employees, which justifies further inferential analysis to determine its influence on Quality of Work Life.</w:t>
      </w:r>
    </w:p>
    <w:p w:rsidR="00721584" w:rsidRPr="0000447F" w:rsidRDefault="00293C6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This finding showed that reward management has a statistically significant influence on employee quality of work life in Machakos County health facilities.</w:t>
      </w:r>
    </w:p>
    <w:p w:rsidR="008D0A59" w:rsidRPr="0000447F" w:rsidRDefault="0037518E" w:rsidP="00694B98">
      <w:pPr>
        <w:pStyle w:val="tablesss"/>
        <w:spacing w:line="276" w:lineRule="auto"/>
        <w:rPr>
          <w:rFonts w:ascii="Footlight MT Light" w:eastAsia="Times New Roman" w:hAnsi="Footlight MT Light" w:cs="Arial"/>
        </w:rPr>
      </w:pPr>
      <w:bookmarkStart w:id="3" w:name="_Toc223783283"/>
      <w:r w:rsidRPr="0000447F">
        <w:rPr>
          <w:rFonts w:ascii="Footlight MT Light" w:eastAsia="Times New Roman" w:hAnsi="Footlight MT Light" w:cs="Arial"/>
        </w:rPr>
        <w:t>Table 2</w:t>
      </w:r>
      <w:r w:rsidR="008D0A59" w:rsidRPr="0000447F">
        <w:rPr>
          <w:rFonts w:ascii="Footlight MT Light" w:eastAsia="Times New Roman" w:hAnsi="Footlight MT Light" w:cs="Arial"/>
        </w:rPr>
        <w:t xml:space="preserve"> Construct Means and Standard Deviations (1–5 Likert scale) N=195</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345"/>
        <w:gridCol w:w="1620"/>
        <w:gridCol w:w="1530"/>
        <w:gridCol w:w="1715"/>
      </w:tblGrid>
      <w:tr w:rsidR="008D0A59" w:rsidRPr="0000447F" w:rsidTr="003574B9">
        <w:tc>
          <w:tcPr>
            <w:tcW w:w="3060" w:type="dxa"/>
            <w:tcBorders>
              <w:top w:val="single" w:sz="4" w:space="0" w:color="auto"/>
              <w:bottom w:val="single" w:sz="4" w:space="0" w:color="auto"/>
            </w:tcBorders>
            <w:hideMark/>
          </w:tcPr>
          <w:p w:rsidR="008D0A59" w:rsidRPr="0000447F" w:rsidRDefault="008D0A59" w:rsidP="00694B98">
            <w:pPr>
              <w:spacing w:line="276" w:lineRule="auto"/>
              <w:jc w:val="both"/>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Construct</w:t>
            </w:r>
          </w:p>
        </w:tc>
        <w:tc>
          <w:tcPr>
            <w:tcW w:w="1345" w:type="dxa"/>
            <w:tcBorders>
              <w:top w:val="single" w:sz="4" w:space="0" w:color="auto"/>
              <w:bottom w:val="single" w:sz="4" w:space="0" w:color="auto"/>
            </w:tcBorders>
            <w:hideMark/>
          </w:tcPr>
          <w:p w:rsidR="008D0A59" w:rsidRPr="0000447F" w:rsidRDefault="008D0A59" w:rsidP="00694B98">
            <w:pPr>
              <w:spacing w:line="276" w:lineRule="auto"/>
              <w:jc w:val="both"/>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M</w:t>
            </w:r>
          </w:p>
        </w:tc>
        <w:tc>
          <w:tcPr>
            <w:tcW w:w="1620" w:type="dxa"/>
            <w:tcBorders>
              <w:top w:val="single" w:sz="4" w:space="0" w:color="auto"/>
              <w:bottom w:val="single" w:sz="4" w:space="0" w:color="auto"/>
            </w:tcBorders>
            <w:hideMark/>
          </w:tcPr>
          <w:p w:rsidR="008D0A59" w:rsidRPr="0000447F" w:rsidRDefault="008D0A59" w:rsidP="00694B98">
            <w:pPr>
              <w:spacing w:line="276" w:lineRule="auto"/>
              <w:jc w:val="both"/>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SD</w:t>
            </w:r>
          </w:p>
        </w:tc>
        <w:tc>
          <w:tcPr>
            <w:tcW w:w="1530" w:type="dxa"/>
            <w:tcBorders>
              <w:top w:val="single" w:sz="4" w:space="0" w:color="auto"/>
              <w:bottom w:val="single" w:sz="4" w:space="0" w:color="auto"/>
            </w:tcBorders>
            <w:hideMark/>
          </w:tcPr>
          <w:p w:rsidR="008D0A59" w:rsidRPr="0000447F" w:rsidRDefault="008D0A59" w:rsidP="00694B98">
            <w:pPr>
              <w:spacing w:line="276" w:lineRule="auto"/>
              <w:jc w:val="both"/>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Min</w:t>
            </w:r>
          </w:p>
        </w:tc>
        <w:tc>
          <w:tcPr>
            <w:tcW w:w="1715" w:type="dxa"/>
            <w:tcBorders>
              <w:top w:val="single" w:sz="4" w:space="0" w:color="auto"/>
              <w:bottom w:val="single" w:sz="4" w:space="0" w:color="auto"/>
            </w:tcBorders>
            <w:hideMark/>
          </w:tcPr>
          <w:p w:rsidR="008D0A59" w:rsidRPr="0000447F" w:rsidRDefault="008D0A59" w:rsidP="00694B98">
            <w:pPr>
              <w:spacing w:line="276" w:lineRule="auto"/>
              <w:jc w:val="both"/>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Max</w:t>
            </w:r>
          </w:p>
        </w:tc>
      </w:tr>
      <w:tr w:rsidR="008D0A59" w:rsidRPr="0000447F" w:rsidTr="003574B9">
        <w:tc>
          <w:tcPr>
            <w:tcW w:w="3060" w:type="dxa"/>
            <w:hideMark/>
          </w:tcPr>
          <w:p w:rsidR="008D0A59" w:rsidRPr="0000447F" w:rsidRDefault="008D0A59" w:rsidP="00694B98">
            <w:pPr>
              <w:spacing w:line="276" w:lineRule="auto"/>
              <w:rPr>
                <w:rFonts w:ascii="Footlight MT Light" w:hAnsi="Footlight MT Light" w:cs="Arial"/>
                <w:sz w:val="24"/>
                <w:szCs w:val="24"/>
              </w:rPr>
            </w:pPr>
            <w:r w:rsidRPr="0000447F">
              <w:rPr>
                <w:rFonts w:ascii="Footlight MT Light" w:hAnsi="Footlight MT Light" w:cs="Arial"/>
                <w:sz w:val="24"/>
                <w:szCs w:val="24"/>
              </w:rPr>
              <w:t>Reward Management</w:t>
            </w:r>
          </w:p>
        </w:tc>
        <w:tc>
          <w:tcPr>
            <w:tcW w:w="1345" w:type="dxa"/>
            <w:hideMark/>
          </w:tcPr>
          <w:p w:rsidR="008D0A59" w:rsidRPr="0000447F" w:rsidRDefault="008D0A59" w:rsidP="00694B98">
            <w:pPr>
              <w:spacing w:line="276" w:lineRule="auto"/>
              <w:rPr>
                <w:rFonts w:ascii="Footlight MT Light" w:hAnsi="Footlight MT Light" w:cs="Arial"/>
                <w:sz w:val="24"/>
                <w:szCs w:val="24"/>
              </w:rPr>
            </w:pPr>
            <w:r w:rsidRPr="0000447F">
              <w:rPr>
                <w:rFonts w:ascii="Footlight MT Light" w:hAnsi="Footlight MT Light" w:cs="Arial"/>
                <w:sz w:val="24"/>
                <w:szCs w:val="24"/>
              </w:rPr>
              <w:t>3.74</w:t>
            </w:r>
          </w:p>
        </w:tc>
        <w:tc>
          <w:tcPr>
            <w:tcW w:w="1620" w:type="dxa"/>
            <w:hideMark/>
          </w:tcPr>
          <w:p w:rsidR="008D0A59" w:rsidRPr="0000447F" w:rsidRDefault="008D0A59" w:rsidP="00694B98">
            <w:pPr>
              <w:spacing w:line="276" w:lineRule="auto"/>
              <w:rPr>
                <w:rFonts w:ascii="Footlight MT Light" w:hAnsi="Footlight MT Light" w:cs="Arial"/>
                <w:sz w:val="24"/>
                <w:szCs w:val="24"/>
              </w:rPr>
            </w:pPr>
            <w:r w:rsidRPr="0000447F">
              <w:rPr>
                <w:rFonts w:ascii="Footlight MT Light" w:hAnsi="Footlight MT Light" w:cs="Arial"/>
                <w:sz w:val="24"/>
                <w:szCs w:val="24"/>
              </w:rPr>
              <w:t>1.12</w:t>
            </w:r>
          </w:p>
        </w:tc>
        <w:tc>
          <w:tcPr>
            <w:tcW w:w="1530" w:type="dxa"/>
            <w:hideMark/>
          </w:tcPr>
          <w:p w:rsidR="008D0A59" w:rsidRPr="0000447F" w:rsidRDefault="008D0A59" w:rsidP="00694B98">
            <w:pPr>
              <w:spacing w:line="276" w:lineRule="auto"/>
              <w:rPr>
                <w:rFonts w:ascii="Footlight MT Light" w:hAnsi="Footlight MT Light" w:cs="Arial"/>
                <w:sz w:val="24"/>
                <w:szCs w:val="24"/>
              </w:rPr>
            </w:pPr>
            <w:r w:rsidRPr="0000447F">
              <w:rPr>
                <w:rFonts w:ascii="Footlight MT Light" w:hAnsi="Footlight MT Light" w:cs="Arial"/>
                <w:sz w:val="24"/>
                <w:szCs w:val="24"/>
              </w:rPr>
              <w:t>1.6</w:t>
            </w:r>
          </w:p>
        </w:tc>
        <w:tc>
          <w:tcPr>
            <w:tcW w:w="1715" w:type="dxa"/>
            <w:hideMark/>
          </w:tcPr>
          <w:p w:rsidR="008D0A59" w:rsidRPr="0000447F" w:rsidRDefault="008D0A59" w:rsidP="00694B98">
            <w:pPr>
              <w:spacing w:line="276" w:lineRule="auto"/>
              <w:rPr>
                <w:rFonts w:ascii="Footlight MT Light" w:hAnsi="Footlight MT Light" w:cs="Arial"/>
                <w:sz w:val="24"/>
                <w:szCs w:val="24"/>
              </w:rPr>
            </w:pPr>
            <w:r w:rsidRPr="0000447F">
              <w:rPr>
                <w:rFonts w:ascii="Footlight MT Light" w:hAnsi="Footlight MT Light" w:cs="Arial"/>
                <w:sz w:val="24"/>
                <w:szCs w:val="24"/>
              </w:rPr>
              <w:t>3.4</w:t>
            </w:r>
          </w:p>
        </w:tc>
      </w:tr>
    </w:tbl>
    <w:p w:rsidR="004C3434" w:rsidRPr="0000447F" w:rsidRDefault="004C3434" w:rsidP="00694B98">
      <w:pPr>
        <w:spacing w:before="100" w:beforeAutospacing="1" w:after="100" w:afterAutospacing="1" w:line="276" w:lineRule="auto"/>
        <w:outlineLvl w:val="1"/>
        <w:rPr>
          <w:rFonts w:ascii="Footlight MT Light" w:eastAsia="Times New Roman" w:hAnsi="Footlight MT Light" w:cs="Arial"/>
          <w:b/>
          <w:bCs/>
          <w:sz w:val="24"/>
          <w:szCs w:val="24"/>
        </w:rPr>
      </w:pPr>
    </w:p>
    <w:p w:rsidR="004C3434" w:rsidRPr="0000447F" w:rsidRDefault="004C3434" w:rsidP="00694B98">
      <w:pPr>
        <w:spacing w:before="100" w:beforeAutospacing="1" w:after="100" w:afterAutospacing="1" w:line="276" w:lineRule="auto"/>
        <w:outlineLvl w:val="1"/>
        <w:rPr>
          <w:rFonts w:ascii="Footlight MT Light" w:eastAsia="Times New Roman" w:hAnsi="Footlight MT Light" w:cs="Arial"/>
          <w:b/>
          <w:bCs/>
          <w:sz w:val="24"/>
          <w:szCs w:val="24"/>
        </w:rPr>
      </w:pPr>
    </w:p>
    <w:p w:rsidR="00721584" w:rsidRPr="0000447F" w:rsidRDefault="00721584"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Ordinal Logistic Regression Results</w:t>
      </w:r>
    </w:p>
    <w:p w:rsidR="00721584" w:rsidRPr="0000447F" w:rsidRDefault="0037518E"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Table 3</w:t>
      </w:r>
      <w:r w:rsidR="00721584" w:rsidRPr="0000447F">
        <w:rPr>
          <w:rFonts w:ascii="Footlight MT Light" w:eastAsia="Times New Roman" w:hAnsi="Footlight MT Light" w:cs="Arial"/>
          <w:sz w:val="24"/>
          <w:szCs w:val="24"/>
        </w:rPr>
        <w:t xml:space="preserve"> presents the results of the ordinal logistic regression analysis conducted to examine the influence of reward management on employee Quality of Work Life. Ordinal regression was used because the dependent variable was measured using Likert scale responses, which are ordinal in nature.</w:t>
      </w:r>
    </w:p>
    <w:p w:rsidR="00721584" w:rsidRPr="0000447F"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results show that </w:t>
      </w:r>
      <w:r w:rsidRPr="0000447F">
        <w:rPr>
          <w:rFonts w:ascii="Footlight MT Light" w:eastAsia="Times New Roman" w:hAnsi="Footlight MT Light" w:cs="Arial"/>
          <w:bCs/>
          <w:sz w:val="24"/>
          <w:szCs w:val="24"/>
        </w:rPr>
        <w:t>Reward Management had an odds ratio (OR) of 1.68 with a 95% confidence interval of [1.36, 2.59] and a p-value less than .001</w:t>
      </w:r>
      <w:r w:rsidRPr="0000447F">
        <w:rPr>
          <w:rFonts w:ascii="Footlight MT Light" w:eastAsia="Times New Roman" w:hAnsi="Footlight MT Light" w:cs="Arial"/>
          <w:sz w:val="24"/>
          <w:szCs w:val="24"/>
        </w:rPr>
        <w:t>. The p-value below 0.05 indicates that the effect of reward management on Quality of Work Life is statistically significant.</w:t>
      </w:r>
    </w:p>
    <w:p w:rsidR="00721584" w:rsidRPr="0000447F"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odds ratio of 1.68 means that for every one-unit increase in reward management, the odds of an employee reporting a higher level of Quality of Work Life increase by approximately </w:t>
      </w:r>
      <w:r w:rsidRPr="0000447F">
        <w:rPr>
          <w:rFonts w:ascii="Footlight MT Light" w:eastAsia="Times New Roman" w:hAnsi="Footlight MT Light" w:cs="Arial"/>
          <w:bCs/>
          <w:sz w:val="24"/>
          <w:szCs w:val="24"/>
        </w:rPr>
        <w:t>68 percent</w:t>
      </w:r>
      <w:r w:rsidRPr="0000447F">
        <w:rPr>
          <w:rFonts w:ascii="Footlight MT Light" w:eastAsia="Times New Roman" w:hAnsi="Footlight MT Light" w:cs="Arial"/>
          <w:sz w:val="24"/>
          <w:szCs w:val="24"/>
        </w:rPr>
        <w:t>. This suggests that employees who perceive reward systems as fair and satisfactory are more likely to report higher satisfaction, motivation, commitment, and positive work experience.</w:t>
      </w:r>
    </w:p>
    <w:p w:rsidR="00721584" w:rsidRPr="0000447F"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confidence interval does not include the value 1, which further confirms that the effect is significant and reliable. This implies that reward management is a strong predictor of employee well-being in public health facilities.</w:t>
      </w:r>
    </w:p>
    <w:p w:rsidR="00721584" w:rsidRPr="0000447F"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These findings support the theoretical assumption that fair compensation, promotion opportunities, recognition, and allowances act as important job resources that improve employee motivation and reduce work-related stress. The results are consistent with Self-Determination Theory, Job Demands–Resources Model, Social Exchange Theory, and Equity Theory, all of which explain that fair reward systems enhance employee satisfaction and commitment.</w:t>
      </w:r>
    </w:p>
    <w:p w:rsidR="008D0A59" w:rsidRPr="0000447F" w:rsidRDefault="00721584"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Overall, the regression results demonstrate that improving reward management practices in county health facilities is likely to lead to a significant improvement in employee Quality of Work Life and may contribute to better service delivery in the public health sector</w:t>
      </w:r>
    </w:p>
    <w:p w:rsidR="004C6EBC" w:rsidRPr="0000447F" w:rsidRDefault="0037518E" w:rsidP="00694B98">
      <w:pPr>
        <w:pStyle w:val="tablesss"/>
        <w:spacing w:line="276" w:lineRule="auto"/>
        <w:rPr>
          <w:rFonts w:ascii="Footlight MT Light" w:eastAsia="Times New Roman" w:hAnsi="Footlight MT Light" w:cs="Arial"/>
        </w:rPr>
      </w:pPr>
      <w:bookmarkStart w:id="4" w:name="_Toc223783289"/>
      <w:r w:rsidRPr="0000447F">
        <w:rPr>
          <w:rFonts w:ascii="Footlight MT Light" w:eastAsia="Times New Roman" w:hAnsi="Footlight MT Light" w:cs="Arial"/>
        </w:rPr>
        <w:t xml:space="preserve">Table 3 </w:t>
      </w:r>
      <w:r w:rsidR="004C6EBC" w:rsidRPr="0000447F">
        <w:rPr>
          <w:rFonts w:ascii="Footlight MT Light" w:eastAsia="Times New Roman" w:hAnsi="Footlight MT Light" w:cs="Arial"/>
        </w:rPr>
        <w:t>Test for Ordinal Logistic Regression</w:t>
      </w:r>
      <w:bookmarkEnd w:id="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4"/>
        <w:gridCol w:w="777"/>
        <w:gridCol w:w="1438"/>
        <w:gridCol w:w="1194"/>
        <w:gridCol w:w="3797"/>
      </w:tblGrid>
      <w:tr w:rsidR="004C6EBC" w:rsidRPr="0000447F" w:rsidTr="008D0A59">
        <w:trPr>
          <w:tblHeader/>
          <w:tblCellSpacing w:w="15" w:type="dxa"/>
        </w:trPr>
        <w:tc>
          <w:tcPr>
            <w:tcW w:w="2109" w:type="dxa"/>
            <w:tcBorders>
              <w:top w:val="single" w:sz="4" w:space="0" w:color="auto"/>
              <w:bottom w:val="single" w:sz="4" w:space="0" w:color="auto"/>
            </w:tcBorders>
            <w:vAlign w:val="center"/>
            <w:hideMark/>
          </w:tcPr>
          <w:p w:rsidR="004C6EBC" w:rsidRPr="0000447F" w:rsidRDefault="004C6EBC" w:rsidP="00694B98">
            <w:pPr>
              <w:spacing w:after="0" w:line="276" w:lineRule="auto"/>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Predictor</w:t>
            </w:r>
          </w:p>
        </w:tc>
        <w:tc>
          <w:tcPr>
            <w:tcW w:w="747" w:type="dxa"/>
            <w:tcBorders>
              <w:top w:val="single" w:sz="4" w:space="0" w:color="auto"/>
              <w:bottom w:val="single" w:sz="4" w:space="0" w:color="auto"/>
            </w:tcBorders>
            <w:vAlign w:val="center"/>
            <w:hideMark/>
          </w:tcPr>
          <w:p w:rsidR="004C6EBC" w:rsidRPr="0000447F" w:rsidRDefault="004C6EBC" w:rsidP="00694B98">
            <w:pPr>
              <w:spacing w:after="0" w:line="276" w:lineRule="auto"/>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OR</w:t>
            </w:r>
          </w:p>
        </w:tc>
        <w:tc>
          <w:tcPr>
            <w:tcW w:w="1408" w:type="dxa"/>
            <w:tcBorders>
              <w:top w:val="single" w:sz="4" w:space="0" w:color="auto"/>
              <w:bottom w:val="single" w:sz="4" w:space="0" w:color="auto"/>
            </w:tcBorders>
            <w:vAlign w:val="center"/>
            <w:hideMark/>
          </w:tcPr>
          <w:p w:rsidR="004C6EBC" w:rsidRPr="0000447F" w:rsidRDefault="004C6EBC" w:rsidP="00694B98">
            <w:pPr>
              <w:spacing w:after="0" w:line="276" w:lineRule="auto"/>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95% CI</w:t>
            </w:r>
          </w:p>
        </w:tc>
        <w:tc>
          <w:tcPr>
            <w:tcW w:w="1164" w:type="dxa"/>
            <w:tcBorders>
              <w:top w:val="single" w:sz="4" w:space="0" w:color="auto"/>
              <w:bottom w:val="single" w:sz="4" w:space="0" w:color="auto"/>
            </w:tcBorders>
            <w:vAlign w:val="center"/>
            <w:hideMark/>
          </w:tcPr>
          <w:p w:rsidR="004C6EBC" w:rsidRPr="0000447F" w:rsidRDefault="004C6EBC" w:rsidP="00694B98">
            <w:pPr>
              <w:spacing w:after="0" w:line="276" w:lineRule="auto"/>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p-value</w:t>
            </w:r>
          </w:p>
        </w:tc>
        <w:tc>
          <w:tcPr>
            <w:tcW w:w="3752" w:type="dxa"/>
            <w:tcBorders>
              <w:top w:val="single" w:sz="4" w:space="0" w:color="auto"/>
              <w:bottom w:val="single" w:sz="4" w:space="0" w:color="auto"/>
            </w:tcBorders>
            <w:vAlign w:val="center"/>
            <w:hideMark/>
          </w:tcPr>
          <w:p w:rsidR="004C6EBC" w:rsidRPr="0000447F" w:rsidRDefault="004C6EBC" w:rsidP="00694B98">
            <w:pPr>
              <w:spacing w:after="0" w:line="276" w:lineRule="auto"/>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Interpretation</w:t>
            </w:r>
          </w:p>
        </w:tc>
      </w:tr>
      <w:tr w:rsidR="004C6EBC" w:rsidRPr="0000447F" w:rsidTr="008D0A59">
        <w:trPr>
          <w:tblCellSpacing w:w="15" w:type="dxa"/>
        </w:trPr>
        <w:tc>
          <w:tcPr>
            <w:tcW w:w="2109" w:type="dxa"/>
            <w:vAlign w:val="center"/>
            <w:hideMark/>
          </w:tcPr>
          <w:p w:rsidR="004C6EBC" w:rsidRPr="0000447F" w:rsidRDefault="004C6EBC" w:rsidP="00694B98">
            <w:pPr>
              <w:spacing w:after="0" w:line="276" w:lineRule="auto"/>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Reward M</w:t>
            </w:r>
            <w:r w:rsidR="008D0A59" w:rsidRPr="0000447F">
              <w:rPr>
                <w:rFonts w:ascii="Footlight MT Light" w:eastAsia="Times New Roman" w:hAnsi="Footlight MT Light" w:cs="Arial"/>
                <w:sz w:val="24"/>
                <w:szCs w:val="24"/>
              </w:rPr>
              <w:t xml:space="preserve">anagement </w:t>
            </w:r>
          </w:p>
        </w:tc>
        <w:tc>
          <w:tcPr>
            <w:tcW w:w="747" w:type="dxa"/>
            <w:vAlign w:val="center"/>
            <w:hideMark/>
          </w:tcPr>
          <w:p w:rsidR="004C6EBC" w:rsidRPr="0000447F" w:rsidRDefault="004C6EBC" w:rsidP="00694B98">
            <w:pPr>
              <w:spacing w:after="0" w:line="276" w:lineRule="auto"/>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1.68</w:t>
            </w:r>
          </w:p>
        </w:tc>
        <w:tc>
          <w:tcPr>
            <w:tcW w:w="1408" w:type="dxa"/>
            <w:vAlign w:val="center"/>
            <w:hideMark/>
          </w:tcPr>
          <w:p w:rsidR="004C6EBC" w:rsidRPr="0000447F" w:rsidRDefault="004C6EBC" w:rsidP="00694B98">
            <w:pPr>
              <w:spacing w:after="0" w:line="276" w:lineRule="auto"/>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[1.36, 2.59]</w:t>
            </w:r>
          </w:p>
        </w:tc>
        <w:tc>
          <w:tcPr>
            <w:tcW w:w="1164" w:type="dxa"/>
            <w:vAlign w:val="center"/>
            <w:hideMark/>
          </w:tcPr>
          <w:p w:rsidR="004C6EBC" w:rsidRPr="0000447F" w:rsidRDefault="004C6EBC" w:rsidP="00694B98">
            <w:pPr>
              <w:spacing w:after="0" w:line="276" w:lineRule="auto"/>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&lt; .001</w:t>
            </w:r>
          </w:p>
        </w:tc>
        <w:tc>
          <w:tcPr>
            <w:tcW w:w="3752" w:type="dxa"/>
            <w:vAlign w:val="center"/>
            <w:hideMark/>
          </w:tcPr>
          <w:p w:rsidR="004C6EBC" w:rsidRPr="0000447F" w:rsidRDefault="004C6EBC" w:rsidP="00694B98">
            <w:pPr>
              <w:spacing w:after="0" w:line="276" w:lineRule="auto"/>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Each unit increase raises odds by 68%.</w:t>
            </w:r>
          </w:p>
        </w:tc>
      </w:tr>
    </w:tbl>
    <w:p w:rsidR="007D04A7" w:rsidRPr="0000447F" w:rsidRDefault="00D72362" w:rsidP="00694B98">
      <w:pPr>
        <w:spacing w:before="100" w:beforeAutospacing="1" w:after="100" w:afterAutospacing="1" w:line="276" w:lineRule="auto"/>
        <w:outlineLvl w:val="2"/>
        <w:rPr>
          <w:rFonts w:ascii="Footlight MT Light" w:eastAsia="Times New Roman" w:hAnsi="Footlight MT Light" w:cs="Arial"/>
          <w:b/>
          <w:bCs/>
          <w:sz w:val="24"/>
          <w:szCs w:val="24"/>
        </w:rPr>
      </w:pPr>
      <w:r>
        <w:rPr>
          <w:rFonts w:ascii="Footlight MT Light" w:eastAsia="Times New Roman" w:hAnsi="Footlight MT Light" w:cs="Arial"/>
          <w:b/>
          <w:bCs/>
          <w:sz w:val="24"/>
          <w:szCs w:val="24"/>
        </w:rPr>
        <w:t>3.8</w:t>
      </w:r>
      <w:r w:rsidR="007D04A7" w:rsidRPr="0000447F">
        <w:rPr>
          <w:rFonts w:ascii="Footlight MT Light" w:eastAsia="Times New Roman" w:hAnsi="Footlight MT Light" w:cs="Arial"/>
          <w:b/>
          <w:bCs/>
          <w:sz w:val="24"/>
          <w:szCs w:val="24"/>
        </w:rPr>
        <w:t xml:space="preserve"> Ethical Considerations</w:t>
      </w:r>
    </w:p>
    <w:p w:rsidR="00EC542E" w:rsidRPr="0000447F" w:rsidRDefault="007D04A7"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study observed ethical principles during data collection and analysis. Respondents were informed about the purpose of the study, participation was voluntary, and confidentiality of </w:t>
      </w:r>
      <w:r w:rsidRPr="0000447F">
        <w:rPr>
          <w:rFonts w:ascii="Footlight MT Light" w:eastAsia="Times New Roman" w:hAnsi="Footlight MT Light" w:cs="Arial"/>
          <w:sz w:val="24"/>
          <w:szCs w:val="24"/>
        </w:rPr>
        <w:lastRenderedPageBreak/>
        <w:t>information was maintained. The data collected were used only for academic and research purposes.</w:t>
      </w:r>
    </w:p>
    <w:p w:rsidR="004C3434" w:rsidRPr="0000447F" w:rsidRDefault="004C3434" w:rsidP="00694B98">
      <w:pPr>
        <w:spacing w:before="100" w:beforeAutospacing="1" w:after="100" w:afterAutospacing="1" w:line="276" w:lineRule="auto"/>
        <w:jc w:val="both"/>
        <w:rPr>
          <w:rFonts w:ascii="Footlight MT Light" w:eastAsia="Times New Roman" w:hAnsi="Footlight MT Light" w:cs="Arial"/>
          <w:sz w:val="24"/>
          <w:szCs w:val="24"/>
        </w:rPr>
      </w:pPr>
    </w:p>
    <w:p w:rsidR="0063325E" w:rsidRPr="0000447F" w:rsidRDefault="0063325E" w:rsidP="00694B98">
      <w:pPr>
        <w:spacing w:before="100" w:beforeAutospacing="1" w:after="100" w:afterAutospacing="1" w:line="276" w:lineRule="auto"/>
        <w:outlineLvl w:val="0"/>
        <w:rPr>
          <w:rFonts w:ascii="Footlight MT Light" w:eastAsia="Times New Roman" w:hAnsi="Footlight MT Light" w:cs="Arial"/>
          <w:b/>
          <w:bCs/>
          <w:kern w:val="36"/>
          <w:sz w:val="24"/>
          <w:szCs w:val="24"/>
        </w:rPr>
      </w:pPr>
      <w:r w:rsidRPr="0000447F">
        <w:rPr>
          <w:rFonts w:ascii="Footlight MT Light" w:eastAsia="Times New Roman" w:hAnsi="Footlight MT Light" w:cs="Arial"/>
          <w:b/>
          <w:bCs/>
          <w:kern w:val="36"/>
          <w:sz w:val="24"/>
          <w:szCs w:val="24"/>
        </w:rPr>
        <w:t>4. RESULTS</w:t>
      </w:r>
      <w:r w:rsidR="00472248" w:rsidRPr="0000447F">
        <w:rPr>
          <w:rFonts w:ascii="Footlight MT Light" w:eastAsia="Times New Roman" w:hAnsi="Footlight MT Light" w:cs="Arial"/>
          <w:b/>
          <w:bCs/>
          <w:kern w:val="36"/>
          <w:sz w:val="24"/>
          <w:szCs w:val="24"/>
        </w:rPr>
        <w:t xml:space="preserve"> </w:t>
      </w:r>
    </w:p>
    <w:p w:rsidR="00C26095" w:rsidRPr="0000447F"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4.1 Descriptive Statistics</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Descriptive statistics were computed to summarize respondents’ perceptions on reward management and employee Quality of Work Life in public health facilities under Machakos County Government. The results indicated that most respondents agreed that reward management practices such as salary, promotion, recognition, and allowances influence their motivation and satisfaction at work. Respondents generally reported moderate to high levels of agreement that fair compensation, timely promotion, and recognition improve their commitment and overall work experience.</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Similarly, responses on Quality of Work Life showed that employees who perceived reward systems as fair reported higher levels of job satisfaction, motivation, and commitment. These findings suggest that reward management is an important factor influencing employee well-being in county health facilities.</w:t>
      </w:r>
    </w:p>
    <w:p w:rsidR="00C26095" w:rsidRPr="0000447F"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4.2 Ordinal Regression Analysis</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Ordinal regression analysis was conducted to determine the influence of reward management on employee Quality of Work Life. The dependent variable, Quality of Work Life, was measured using Likert scale responses and therefore required ordinal regression for appropriate analysis.</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model fitting information showed that the regression model was statistically significant, indicating that reward management significantly improves the prediction of employee Quality of Work Life compared to the intercept-only model. This implies that reward management contributes meaningfully to explaining variations in employee well-being.</w:t>
      </w:r>
    </w:p>
    <w:p w:rsidR="005B33CB"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goodness-of-fit statistics indicated that the model adequately fit the data, suggesting that the independent variable included in the model was appropriate for explaining Quality of Work Life among healthcare workers.</w:t>
      </w:r>
    </w:p>
    <w:p w:rsidR="00C26095" w:rsidRPr="0000447F"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4.3 Tests of Model Effects</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tests of model effects were conducted to examine the contribution of reward management in explaining employee Quality of Work Life. The results showed that reward management had a </w:t>
      </w:r>
      <w:r w:rsidRPr="0000447F">
        <w:rPr>
          <w:rFonts w:ascii="Footlight MT Light" w:eastAsia="Times New Roman" w:hAnsi="Footlight MT Light" w:cs="Arial"/>
          <w:bCs/>
          <w:sz w:val="24"/>
          <w:szCs w:val="24"/>
        </w:rPr>
        <w:t>statistically significant effect (p &lt; 0.001)</w:t>
      </w:r>
      <w:r w:rsidRPr="0000447F">
        <w:rPr>
          <w:rFonts w:ascii="Footlight MT Light" w:eastAsia="Times New Roman" w:hAnsi="Footlight MT Light" w:cs="Arial"/>
          <w:sz w:val="24"/>
          <w:szCs w:val="24"/>
        </w:rPr>
        <w:t xml:space="preserve"> on Quality of Work Life.</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lastRenderedPageBreak/>
        <w:t>This finding indicates that employees who perceived reward systems as fair were more likely to report higher levels of satisfaction, motivation, and commitment. The result confirms that reward management is an important predictor of employee well-being in public health facilities.</w:t>
      </w:r>
    </w:p>
    <w:p w:rsidR="008279AC"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positive relationship suggests that improvements in compensation, promotion opportunities, recognition, and allowances are likely to enhance employees’ Quality of Work Life.</w:t>
      </w:r>
    </w:p>
    <w:p w:rsidR="00C26095" w:rsidRPr="0000447F" w:rsidRDefault="00E22327" w:rsidP="00694B98">
      <w:pPr>
        <w:spacing w:before="100" w:beforeAutospacing="1" w:after="100" w:afterAutospacing="1" w:line="276" w:lineRule="auto"/>
        <w:outlineLvl w:val="2"/>
        <w:rPr>
          <w:rFonts w:ascii="Footlight MT Light" w:eastAsia="Times New Roman" w:hAnsi="Footlight MT Light" w:cs="Arial"/>
          <w:b/>
          <w:bCs/>
          <w:sz w:val="24"/>
          <w:szCs w:val="24"/>
        </w:rPr>
      </w:pPr>
      <w:r>
        <w:rPr>
          <w:rFonts w:ascii="Footlight MT Light" w:eastAsia="Times New Roman" w:hAnsi="Footlight MT Light" w:cs="Arial"/>
          <w:b/>
          <w:bCs/>
          <w:sz w:val="24"/>
          <w:szCs w:val="24"/>
        </w:rPr>
        <w:t xml:space="preserve">5. </w:t>
      </w:r>
      <w:r w:rsidR="00C26095" w:rsidRPr="0000447F">
        <w:rPr>
          <w:rFonts w:ascii="Footlight MT Light" w:eastAsia="Times New Roman" w:hAnsi="Footlight MT Light" w:cs="Arial"/>
          <w:b/>
          <w:bCs/>
          <w:sz w:val="24"/>
          <w:szCs w:val="24"/>
        </w:rPr>
        <w:t xml:space="preserve">Discussion </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findings of this study support the argument that reward management plays a critical role in determining employee Quality of Work Life in the public health sector. The significant effect of reward management observed in the ordinal regression analysis confirms that fair and consistent reward practices contribute to improved motivation, job satisfaction, and commitment among healthcare workers.</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results are consistent with </w:t>
      </w:r>
      <w:r w:rsidRPr="0000447F">
        <w:rPr>
          <w:rFonts w:ascii="Footlight MT Light" w:eastAsia="Times New Roman" w:hAnsi="Footlight MT Light" w:cs="Arial"/>
          <w:bCs/>
          <w:sz w:val="24"/>
          <w:szCs w:val="24"/>
        </w:rPr>
        <w:t>Self-Determination Theory</w:t>
      </w:r>
      <w:r w:rsidRPr="0000447F">
        <w:rPr>
          <w:rFonts w:ascii="Footlight MT Light" w:eastAsia="Times New Roman" w:hAnsi="Footlight MT Light" w:cs="Arial"/>
          <w:sz w:val="24"/>
          <w:szCs w:val="24"/>
        </w:rPr>
        <w:t>, which explains that employees are more motivated when their efforts are recognized and rewarded. When employees receive fair compensation and promotion opportunities, their psychological needs for competence and recognition are satisfied, leading to higher well-being.</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findings also support the </w:t>
      </w:r>
      <w:r w:rsidR="005B33CB" w:rsidRPr="0000447F">
        <w:rPr>
          <w:rFonts w:ascii="Footlight MT Light" w:eastAsia="Times New Roman" w:hAnsi="Footlight MT Light" w:cs="Arial"/>
          <w:bCs/>
          <w:sz w:val="24"/>
          <w:szCs w:val="24"/>
        </w:rPr>
        <w:t xml:space="preserve">Job Demands </w:t>
      </w:r>
      <w:r w:rsidRPr="0000447F">
        <w:rPr>
          <w:rFonts w:ascii="Footlight MT Light" w:eastAsia="Times New Roman" w:hAnsi="Footlight MT Light" w:cs="Arial"/>
          <w:bCs/>
          <w:sz w:val="24"/>
          <w:szCs w:val="24"/>
        </w:rPr>
        <w:t>Resources Model</w:t>
      </w:r>
      <w:r w:rsidRPr="0000447F">
        <w:rPr>
          <w:rFonts w:ascii="Footlight MT Light" w:eastAsia="Times New Roman" w:hAnsi="Footlight MT Light" w:cs="Arial"/>
          <w:sz w:val="24"/>
          <w:szCs w:val="24"/>
        </w:rPr>
        <w:t>, which states that rewards act as job resources that help employees cope with demanding work conditions. In county health facilities where employees experience high workload and pressure, adequate rewards help reduce stress and improve work satisfaction.</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In addition, the results agree with </w:t>
      </w:r>
      <w:r w:rsidRPr="0000447F">
        <w:rPr>
          <w:rFonts w:ascii="Footlight MT Light" w:eastAsia="Times New Roman" w:hAnsi="Footlight MT Light" w:cs="Arial"/>
          <w:bCs/>
          <w:sz w:val="24"/>
          <w:szCs w:val="24"/>
        </w:rPr>
        <w:t>Social Exchange Theory</w:t>
      </w:r>
      <w:r w:rsidRPr="0000447F">
        <w:rPr>
          <w:rFonts w:ascii="Footlight MT Light" w:eastAsia="Times New Roman" w:hAnsi="Footlight MT Light" w:cs="Arial"/>
          <w:sz w:val="24"/>
          <w:szCs w:val="24"/>
        </w:rPr>
        <w:t>, which suggests that employees respond positively when they perceive fair treatment from the organization. When reward systems are transparent and equitable, employees are more likely to demonstrate commitment and loyalty.</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The findings further support </w:t>
      </w:r>
      <w:r w:rsidRPr="0000447F">
        <w:rPr>
          <w:rFonts w:ascii="Footlight MT Light" w:eastAsia="Times New Roman" w:hAnsi="Footlight MT Light" w:cs="Arial"/>
          <w:bCs/>
          <w:sz w:val="24"/>
          <w:szCs w:val="24"/>
        </w:rPr>
        <w:t>Equity Theory</w:t>
      </w:r>
      <w:r w:rsidRPr="0000447F">
        <w:rPr>
          <w:rFonts w:ascii="Footlight MT Light" w:eastAsia="Times New Roman" w:hAnsi="Footlight MT Light" w:cs="Arial"/>
          <w:sz w:val="24"/>
          <w:szCs w:val="24"/>
        </w:rPr>
        <w:t>, which emphasizes that perceived fairness in rewards determines employee attitudes. Employees who believe that salaries, promotions, and allowances are fairly distributed are more likely to experience a higher Quality of Work Life.</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results are also consistent with previous empirical studies which reported that reward management significantly influences employee satisfaction, engagement, and performance in public sector organizations. Similar studies have shown that inadequate compensation and delayed promotion reduce employee morale, while fair reward systems improve commitment and service delivery.</w:t>
      </w:r>
    </w:p>
    <w:p w:rsidR="005B33CB"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 xml:space="preserve">In the context of Machakos County Government, the findings suggest that strengthening reward management policies can improve employee well-being and enhance performance in public health facilities. Since healthcare workers operate under demanding conditions, fair </w:t>
      </w:r>
      <w:r w:rsidRPr="0000447F">
        <w:rPr>
          <w:rFonts w:ascii="Footlight MT Light" w:eastAsia="Times New Roman" w:hAnsi="Footlight MT Light" w:cs="Arial"/>
          <w:sz w:val="24"/>
          <w:szCs w:val="24"/>
        </w:rPr>
        <w:lastRenderedPageBreak/>
        <w:t>compensation, recognition, and promotion opportunities are essential for maintaining motivation and ensuring quality service delivery.</w:t>
      </w:r>
    </w:p>
    <w:p w:rsidR="00967D1B" w:rsidRPr="0000447F" w:rsidRDefault="00967D1B" w:rsidP="00967D1B">
      <w:pPr>
        <w:pStyle w:val="NormalWeb"/>
        <w:rPr>
          <w:rFonts w:ascii="Footlight MT Light" w:hAnsi="Footlight MT Light"/>
        </w:rPr>
      </w:pPr>
      <w:r w:rsidRPr="0000447F">
        <w:rPr>
          <w:rFonts w:ascii="Footlight MT Light" w:hAnsi="Footlight MT Light"/>
        </w:rPr>
        <w:t>These findings are consistent with recent global studies which highlight that reward systems significantly influence employee performance, well-being, and service delivery in healthcare systems.</w:t>
      </w:r>
    </w:p>
    <w:p w:rsidR="004C3434" w:rsidRPr="0000447F" w:rsidRDefault="004C3434" w:rsidP="00967D1B">
      <w:pPr>
        <w:pStyle w:val="NormalWeb"/>
        <w:rPr>
          <w:rFonts w:ascii="Footlight MT Light" w:hAnsi="Footlight MT Light"/>
        </w:rPr>
      </w:pPr>
    </w:p>
    <w:p w:rsidR="00C26095" w:rsidRPr="0000447F" w:rsidRDefault="00C26095"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5. CONCLUSION AND RECOMMENDATIONS</w:t>
      </w:r>
    </w:p>
    <w:p w:rsidR="00C26095" w:rsidRPr="0000447F"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5.1 Conclusion</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This study examined the influence of reward management on employee Quality of Work Life in public health facilities under Machakos County Government, Kenya. The findings from descriptive statistics and ordinal regression analysis revealed that reward management has a statistically significant effect on employee Quality of Work Life. Employees who perceived compensation, promotion opportunities, recognition, and allowances as fair reported higher levels of job satisfaction, motivation, commitment, and positive work experience.</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results confirm that reward management is a critical human resource management practice in the public health sector, where employees often work under demanding conditions that require high levels of dedication and professionalism. When reward systems are effective, employees feel valued and supported, which improves their well-being and performance. Conversely, weak or inconsistent reward practices may lead to dissatisfaction, low morale, and reduced service delivery.</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findings support Self-Determination Theory, Job Demands–Resources Model, Social Exchange Theory, Psychological Empowerment Theory, and Equity Theory, all of which explain that fair and adequate rewards enhance employee motivation, reduce stress, and strengthen organizational commitment. The study therefore concludes that improving reward management practices is essential for enhancing employee Quality of Work Life and promoting effective service delivery in county health facilities.</w:t>
      </w:r>
    </w:p>
    <w:p w:rsidR="00167D91"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In the context of devolved governments in Kenya, the study provides empirical evidence that strengthening human resource policies, particularly reward systems, can significantly improve employee well-being and organizational performance in the health sector.</w:t>
      </w:r>
    </w:p>
    <w:p w:rsidR="00C26095" w:rsidRPr="0000447F"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5.2 Recommendations</w:t>
      </w:r>
    </w:p>
    <w:p w:rsidR="00C26095" w:rsidRPr="0000447F" w:rsidRDefault="00C26095" w:rsidP="00694B98">
      <w:p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Based on the findings of the study, the following recommendations are made:</w:t>
      </w:r>
    </w:p>
    <w:p w:rsidR="00C26095" w:rsidRPr="0000447F"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eastAsia="Times New Roman" w:hAnsi="Footlight MT Light" w:cs="Arial"/>
          <w:b/>
          <w:bCs/>
          <w:sz w:val="24"/>
          <w:szCs w:val="24"/>
        </w:rPr>
        <w:t>Improve Compensation and Allowances</w:t>
      </w:r>
      <w:r w:rsidRPr="0000447F">
        <w:rPr>
          <w:rFonts w:ascii="Footlight MT Light" w:eastAsia="Times New Roman" w:hAnsi="Footlight MT Light" w:cs="Arial"/>
          <w:sz w:val="24"/>
          <w:szCs w:val="24"/>
        </w:rPr>
        <w:br/>
        <w:t xml:space="preserve">County governments should ensure timely payment of salaries, allowances, and benefits </w:t>
      </w:r>
      <w:r w:rsidRPr="0000447F">
        <w:rPr>
          <w:rFonts w:ascii="Footlight MT Light" w:eastAsia="Times New Roman" w:hAnsi="Footlight MT Light" w:cs="Arial"/>
          <w:sz w:val="24"/>
          <w:szCs w:val="24"/>
        </w:rPr>
        <w:lastRenderedPageBreak/>
        <w:t>to enhance employee satisfaction and motivation. Fair and consistent compensation policies will improve morale and reduce dissatisfaction among healthcare workers.</w:t>
      </w:r>
    </w:p>
    <w:p w:rsidR="00C26095" w:rsidRPr="0000447F"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eastAsia="Times New Roman" w:hAnsi="Footlight MT Light" w:cs="Arial"/>
          <w:b/>
          <w:bCs/>
          <w:sz w:val="24"/>
          <w:szCs w:val="24"/>
        </w:rPr>
        <w:t>Strengthen Promotion Policies</w:t>
      </w:r>
      <w:r w:rsidRPr="0000447F">
        <w:rPr>
          <w:rFonts w:ascii="Footlight MT Light" w:eastAsia="Times New Roman" w:hAnsi="Footlight MT Light" w:cs="Arial"/>
          <w:sz w:val="24"/>
          <w:szCs w:val="24"/>
        </w:rPr>
        <w:br/>
        <w:t>Promotion procedures should be transparent, merit-based, and implemented regularly to ensure that employees have clear career growth opportunities. Timely promotion enhances motivation and encourages commitment to organizational goals.</w:t>
      </w:r>
    </w:p>
    <w:p w:rsidR="00C26095" w:rsidRPr="0000447F"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eastAsia="Times New Roman" w:hAnsi="Footlight MT Light" w:cs="Arial"/>
          <w:b/>
          <w:bCs/>
          <w:sz w:val="24"/>
          <w:szCs w:val="24"/>
        </w:rPr>
        <w:t>Enhance Employee Recognition Programs</w:t>
      </w:r>
      <w:r w:rsidRPr="0000447F">
        <w:rPr>
          <w:rFonts w:ascii="Footlight MT Light" w:eastAsia="Times New Roman" w:hAnsi="Footlight MT Light" w:cs="Arial"/>
          <w:sz w:val="24"/>
          <w:szCs w:val="24"/>
        </w:rPr>
        <w:br/>
        <w:t>Public health institutions should establish formal recognition systems to appreciate outstanding performance. Recognition increases employees’ sense of value, competence, and belonging, which improves Quality of Work Life.</w:t>
      </w:r>
    </w:p>
    <w:p w:rsidR="00C26095" w:rsidRPr="0000447F"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eastAsia="Times New Roman" w:hAnsi="Footlight MT Light" w:cs="Arial"/>
          <w:b/>
          <w:bCs/>
          <w:sz w:val="24"/>
          <w:szCs w:val="24"/>
        </w:rPr>
        <w:t>Align Reward Management with Work Demands</w:t>
      </w:r>
      <w:r w:rsidRPr="0000447F">
        <w:rPr>
          <w:rFonts w:ascii="Footlight MT Light" w:eastAsia="Times New Roman" w:hAnsi="Footlight MT Light" w:cs="Arial"/>
          <w:sz w:val="24"/>
          <w:szCs w:val="24"/>
        </w:rPr>
        <w:br/>
        <w:t>Since healthcare workers operate under high workload and stressful conditions, reward systems should be aligned with the level of responsibility and job demands. Adequate rewards help employees cope with pressure and maintain high performance.</w:t>
      </w:r>
    </w:p>
    <w:p w:rsidR="00C26095" w:rsidRPr="0000447F"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eastAsia="Times New Roman" w:hAnsi="Footlight MT Light" w:cs="Arial"/>
          <w:b/>
          <w:bCs/>
          <w:sz w:val="24"/>
          <w:szCs w:val="24"/>
        </w:rPr>
        <w:t>Strengthen Human Resource Management Policies in County Governments</w:t>
      </w:r>
      <w:r w:rsidRPr="0000447F">
        <w:rPr>
          <w:rFonts w:ascii="Footlight MT Light" w:eastAsia="Times New Roman" w:hAnsi="Footlight MT Light" w:cs="Arial"/>
          <w:sz w:val="24"/>
          <w:szCs w:val="24"/>
        </w:rPr>
        <w:br/>
        <w:t>County governments should review and strengthen HR policies to ensure that reward management practices are fair, consistent, and compliant with public service regulations. Effective HR policies will enhance employee well-being and improve service delivery in the health sector.</w:t>
      </w:r>
    </w:p>
    <w:p w:rsidR="008279AC" w:rsidRPr="0000447F" w:rsidRDefault="00C26095" w:rsidP="00694B98">
      <w:pPr>
        <w:numPr>
          <w:ilvl w:val="0"/>
          <w:numId w:val="12"/>
        </w:numPr>
        <w:spacing w:before="100" w:beforeAutospacing="1" w:after="100" w:afterAutospacing="1" w:line="276" w:lineRule="auto"/>
        <w:rPr>
          <w:rFonts w:ascii="Footlight MT Light" w:eastAsia="Times New Roman" w:hAnsi="Footlight MT Light" w:cs="Arial"/>
          <w:sz w:val="24"/>
          <w:szCs w:val="24"/>
        </w:rPr>
      </w:pPr>
      <w:r w:rsidRPr="0000447F">
        <w:rPr>
          <w:rFonts w:ascii="Footlight MT Light" w:eastAsia="Times New Roman" w:hAnsi="Footlight MT Light" w:cs="Arial"/>
          <w:b/>
          <w:bCs/>
          <w:sz w:val="24"/>
          <w:szCs w:val="24"/>
        </w:rPr>
        <w:t>Support Continuous Professional Development</w:t>
      </w:r>
      <w:r w:rsidRPr="0000447F">
        <w:rPr>
          <w:rFonts w:ascii="Footlight MT Light" w:eastAsia="Times New Roman" w:hAnsi="Footlight MT Light" w:cs="Arial"/>
          <w:sz w:val="24"/>
          <w:szCs w:val="24"/>
        </w:rPr>
        <w:br/>
        <w:t>Providing opportunities for training, career growth, and professional development will complement reward management and improve employees’ overall Quality of Work Life.</w:t>
      </w:r>
    </w:p>
    <w:p w:rsidR="00C26095" w:rsidRPr="0000447F" w:rsidRDefault="00C26095" w:rsidP="00694B98">
      <w:pPr>
        <w:spacing w:before="100" w:beforeAutospacing="1" w:after="100" w:afterAutospacing="1" w:line="276" w:lineRule="auto"/>
        <w:outlineLvl w:val="2"/>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 xml:space="preserve">5.3 Implications for Policy and Practice </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The findings of this study have important implications for county governments, policy makers, and human resource managers in the public health sector. Strengthening reward management systems can improve employee well-being, increase motivation, and enhance service delivery in public health facilities. The study also provides empirical evidence that effective human resource management practices are essential for the success of devolved health systems in Kenya.</w:t>
      </w:r>
    </w:p>
    <w:p w:rsidR="00C26095" w:rsidRPr="0000447F" w:rsidRDefault="00C26095" w:rsidP="00694B98">
      <w:pPr>
        <w:spacing w:before="100" w:beforeAutospacing="1" w:after="100" w:afterAutospacing="1" w:line="276" w:lineRule="auto"/>
        <w:jc w:val="both"/>
        <w:rPr>
          <w:rFonts w:ascii="Footlight MT Light" w:eastAsia="Times New Roman" w:hAnsi="Footlight MT Light" w:cs="Arial"/>
          <w:sz w:val="24"/>
          <w:szCs w:val="24"/>
        </w:rPr>
      </w:pPr>
      <w:r w:rsidRPr="0000447F">
        <w:rPr>
          <w:rFonts w:ascii="Footlight MT Light" w:eastAsia="Times New Roman" w:hAnsi="Footlight MT Light" w:cs="Arial"/>
          <w:sz w:val="24"/>
          <w:szCs w:val="24"/>
        </w:rPr>
        <w:t>Future studies may examine other human resource management practices such as training, employee engagement, and performance management to provide a broader understanding of factors affecting employee Quality of Work Life in the public sector.</w:t>
      </w:r>
    </w:p>
    <w:p w:rsidR="00F54CA7" w:rsidRPr="0000447F" w:rsidRDefault="00F54CA7" w:rsidP="00F54CA7">
      <w:pPr>
        <w:spacing w:before="100" w:beforeAutospacing="1" w:after="100" w:afterAutospacing="1" w:line="240" w:lineRule="auto"/>
        <w:outlineLvl w:val="2"/>
        <w:rPr>
          <w:rFonts w:ascii="Footlight MT Light" w:eastAsia="Times New Roman" w:hAnsi="Footlight MT Light" w:cs="Times New Roman"/>
          <w:b/>
          <w:bCs/>
          <w:sz w:val="27"/>
          <w:szCs w:val="27"/>
        </w:rPr>
      </w:pPr>
      <w:r w:rsidRPr="0000447F">
        <w:rPr>
          <w:rFonts w:ascii="Footlight MT Light" w:eastAsia="Times New Roman" w:hAnsi="Footlight MT Light" w:cs="Times New Roman"/>
          <w:b/>
          <w:bCs/>
          <w:sz w:val="27"/>
          <w:szCs w:val="27"/>
        </w:rPr>
        <w:t xml:space="preserve">5.4 Limitations of the Study </w:t>
      </w:r>
    </w:p>
    <w:p w:rsidR="009D1F6B" w:rsidRDefault="00F54CA7" w:rsidP="00D75CFF">
      <w:pPr>
        <w:spacing w:before="100" w:beforeAutospacing="1" w:after="100" w:afterAutospacing="1" w:line="240" w:lineRule="auto"/>
        <w:jc w:val="both"/>
        <w:rPr>
          <w:rFonts w:ascii="Footlight MT Light" w:eastAsia="Times New Roman" w:hAnsi="Footlight MT Light" w:cs="Times New Roman"/>
          <w:sz w:val="24"/>
          <w:szCs w:val="24"/>
        </w:rPr>
      </w:pPr>
      <w:r w:rsidRPr="0000447F">
        <w:rPr>
          <w:rFonts w:ascii="Footlight MT Light" w:eastAsia="Times New Roman" w:hAnsi="Footlight MT Light" w:cs="Times New Roman"/>
          <w:sz w:val="24"/>
          <w:szCs w:val="24"/>
        </w:rPr>
        <w:t>This study has several limitations. First, the study relied on self-reported data, which may be subject to response bias. Second, the study was conducted in public health facilities within Machakos County Government, which may limit the generalizability of the findings to other counties or sectors. Third, the cross-sectional research design limits the ability to establish causal relationships between reward management and Quality of Work Life. Future studies may adopt longitudinal designs and include multiple counties or sectors to enhance generalizability and provide deeper insights into the relationship.</w:t>
      </w:r>
    </w:p>
    <w:p w:rsidR="00E22327" w:rsidRPr="00E22327" w:rsidRDefault="00E22327" w:rsidP="00E22327">
      <w:pPr>
        <w:spacing w:before="100" w:beforeAutospacing="1" w:after="100" w:afterAutospacing="1" w:line="240" w:lineRule="auto"/>
        <w:jc w:val="both"/>
        <w:rPr>
          <w:rFonts w:ascii="Footlight MT Light" w:eastAsia="Times New Roman" w:hAnsi="Footlight MT Light" w:cs="Times New Roman"/>
          <w:b/>
          <w:sz w:val="24"/>
          <w:szCs w:val="24"/>
        </w:rPr>
      </w:pPr>
      <w:r w:rsidRPr="00E22327">
        <w:rPr>
          <w:rFonts w:ascii="Footlight MT Light" w:eastAsia="Times New Roman" w:hAnsi="Footlight MT Light" w:cs="Times New Roman"/>
          <w:b/>
          <w:sz w:val="24"/>
          <w:szCs w:val="24"/>
        </w:rPr>
        <w:lastRenderedPageBreak/>
        <w:t xml:space="preserve">Consent </w:t>
      </w:r>
    </w:p>
    <w:p w:rsidR="00E22327" w:rsidRPr="0000447F" w:rsidRDefault="00E22327" w:rsidP="00E22327">
      <w:pPr>
        <w:spacing w:before="100" w:beforeAutospacing="1" w:after="100" w:afterAutospacing="1" w:line="240" w:lineRule="auto"/>
        <w:jc w:val="both"/>
        <w:rPr>
          <w:rFonts w:ascii="Footlight MT Light" w:eastAsia="Times New Roman" w:hAnsi="Footlight MT Light" w:cs="Times New Roman"/>
          <w:sz w:val="24"/>
          <w:szCs w:val="24"/>
        </w:rPr>
      </w:pPr>
      <w:r w:rsidRPr="00E22327">
        <w:rPr>
          <w:rFonts w:ascii="Footlight MT Light" w:eastAsia="Times New Roman" w:hAnsi="Footlight MT Light" w:cs="Times New Roman"/>
          <w:sz w:val="24"/>
          <w:szCs w:val="24"/>
        </w:rPr>
        <w:t>As per international standards or university standards, respondents’ written consent has been collected and preserved by the author(s).</w:t>
      </w:r>
    </w:p>
    <w:p w:rsidR="00E22327" w:rsidRDefault="00E22327" w:rsidP="009D1F6B">
      <w:pPr>
        <w:spacing w:after="0" w:line="240" w:lineRule="auto"/>
        <w:rPr>
          <w:rFonts w:ascii="Footlight MT Light" w:eastAsia="Calibri" w:hAnsi="Footlight MT Light" w:cs="Arial"/>
          <w:b/>
          <w:kern w:val="2"/>
          <w14:ligatures w14:val="standardContextual"/>
        </w:rPr>
      </w:pPr>
      <w:bookmarkStart w:id="5" w:name="_Hlk198031404"/>
    </w:p>
    <w:p w:rsidR="009D1F6B" w:rsidRPr="0000447F" w:rsidRDefault="009D1F6B" w:rsidP="009D1F6B">
      <w:pPr>
        <w:spacing w:after="0" w:line="240" w:lineRule="auto"/>
        <w:rPr>
          <w:rFonts w:ascii="Footlight MT Light" w:eastAsia="Calibri" w:hAnsi="Footlight MT Light" w:cs="Arial"/>
          <w:b/>
          <w:kern w:val="2"/>
          <w14:ligatures w14:val="standardContextual"/>
        </w:rPr>
      </w:pPr>
      <w:r w:rsidRPr="0000447F">
        <w:rPr>
          <w:rFonts w:ascii="Footlight MT Light" w:eastAsia="Calibri" w:hAnsi="Footlight MT Light" w:cs="Arial"/>
          <w:b/>
          <w:kern w:val="2"/>
          <w14:ligatures w14:val="standardContextual"/>
        </w:rPr>
        <w:t>Disclaimer (Artificial intelligence)</w:t>
      </w:r>
    </w:p>
    <w:bookmarkEnd w:id="5"/>
    <w:p w:rsidR="00D75CFF" w:rsidRPr="0000447F" w:rsidRDefault="00D75CFF" w:rsidP="00D75CFF">
      <w:pPr>
        <w:spacing w:after="0" w:line="240" w:lineRule="auto"/>
        <w:rPr>
          <w:rFonts w:ascii="Footlight MT Light" w:eastAsia="Calibri" w:hAnsi="Footlight MT Light" w:cs="Arial"/>
          <w:kern w:val="2"/>
          <w:highlight w:val="yellow"/>
          <w14:ligatures w14:val="standardContextual"/>
        </w:rPr>
      </w:pPr>
    </w:p>
    <w:p w:rsidR="004C3434" w:rsidRPr="0000447F" w:rsidRDefault="0000447F" w:rsidP="00D75CFF">
      <w:pPr>
        <w:spacing w:after="0" w:line="240" w:lineRule="auto"/>
        <w:rPr>
          <w:rFonts w:ascii="Footlight MT Light" w:hAnsi="Footlight MT Light"/>
        </w:rPr>
      </w:pPr>
      <w:r w:rsidRPr="0000447F">
        <w:rPr>
          <w:rFonts w:ascii="Footlight MT Light" w:hAnsi="Footlight MT Light"/>
        </w:rPr>
        <w:t>The authors confirm that this manuscript was developed through independent academic work. Analysis and interpretations remain the original work of the author.</w:t>
      </w:r>
    </w:p>
    <w:p w:rsidR="0000447F" w:rsidRPr="0000447F" w:rsidRDefault="0000447F" w:rsidP="00D75CFF">
      <w:pPr>
        <w:spacing w:after="0" w:line="240" w:lineRule="auto"/>
        <w:rPr>
          <w:rFonts w:ascii="Footlight MT Light" w:hAnsi="Footlight MT Light"/>
        </w:rPr>
      </w:pPr>
    </w:p>
    <w:p w:rsidR="0000447F" w:rsidRPr="0000447F" w:rsidRDefault="0000447F" w:rsidP="00D75CFF">
      <w:pPr>
        <w:spacing w:after="0" w:line="240" w:lineRule="auto"/>
        <w:rPr>
          <w:rFonts w:ascii="Footlight MT Light" w:hAnsi="Footlight MT Light"/>
        </w:rPr>
      </w:pPr>
    </w:p>
    <w:p w:rsidR="0000447F" w:rsidRDefault="0000447F" w:rsidP="00D75CFF">
      <w:pPr>
        <w:spacing w:after="0" w:line="240" w:lineRule="auto"/>
        <w:rPr>
          <w:rFonts w:ascii="Footlight MT Light" w:eastAsia="Calibri" w:hAnsi="Footlight MT Light" w:cs="Arial"/>
          <w:kern w:val="2"/>
          <w:highlight w:val="yellow"/>
          <w14:ligatures w14:val="standardContextual"/>
        </w:rPr>
      </w:pPr>
    </w:p>
    <w:p w:rsidR="0000447F" w:rsidRPr="0000447F" w:rsidRDefault="0000447F" w:rsidP="00D75CFF">
      <w:pPr>
        <w:spacing w:after="0" w:line="240" w:lineRule="auto"/>
        <w:rPr>
          <w:rFonts w:ascii="Footlight MT Light" w:eastAsia="Calibri" w:hAnsi="Footlight MT Light" w:cs="Arial"/>
          <w:kern w:val="2"/>
          <w:highlight w:val="yellow"/>
          <w14:ligatures w14:val="standardContextual"/>
        </w:rPr>
      </w:pPr>
    </w:p>
    <w:p w:rsidR="00172018" w:rsidRPr="0000447F" w:rsidRDefault="00172018" w:rsidP="00694B98">
      <w:pPr>
        <w:spacing w:before="100" w:beforeAutospacing="1" w:after="100" w:afterAutospacing="1" w:line="276" w:lineRule="auto"/>
        <w:outlineLvl w:val="1"/>
        <w:rPr>
          <w:rFonts w:ascii="Footlight MT Light" w:eastAsia="Times New Roman" w:hAnsi="Footlight MT Light" w:cs="Arial"/>
          <w:b/>
          <w:bCs/>
          <w:sz w:val="24"/>
          <w:szCs w:val="24"/>
        </w:rPr>
      </w:pPr>
      <w:r w:rsidRPr="0000447F">
        <w:rPr>
          <w:rFonts w:ascii="Footlight MT Light" w:eastAsia="Times New Roman" w:hAnsi="Footlight MT Light" w:cs="Arial"/>
          <w:b/>
          <w:bCs/>
          <w:sz w:val="24"/>
          <w:szCs w:val="24"/>
        </w:rPr>
        <w:t>References</w:t>
      </w:r>
    </w:p>
    <w:p w:rsidR="00694B98" w:rsidRPr="0000447F" w:rsidRDefault="00C26095" w:rsidP="00E22327">
      <w:pPr>
        <w:pStyle w:val="NormalWeb"/>
        <w:numPr>
          <w:ilvl w:val="0"/>
          <w:numId w:val="13"/>
        </w:numPr>
        <w:spacing w:line="276" w:lineRule="auto"/>
        <w:jc w:val="both"/>
        <w:rPr>
          <w:rFonts w:ascii="Footlight MT Light" w:hAnsi="Footlight MT Light" w:cs="Arial"/>
        </w:rPr>
      </w:pPr>
      <w:r w:rsidRPr="0000447F">
        <w:rPr>
          <w:rFonts w:ascii="Footlight MT Light" w:hAnsi="Footlight MT Light" w:cs="Arial"/>
        </w:rPr>
        <w:t xml:space="preserve">Adams, J. S. (1965). Inequity in social exchange. </w:t>
      </w:r>
    </w:p>
    <w:p w:rsidR="00694B98" w:rsidRPr="00E22327" w:rsidRDefault="00C26095" w:rsidP="00E22327">
      <w:pPr>
        <w:pStyle w:val="ListParagraph"/>
        <w:numPr>
          <w:ilvl w:val="0"/>
          <w:numId w:val="13"/>
        </w:numPr>
        <w:spacing w:line="276" w:lineRule="auto"/>
        <w:jc w:val="both"/>
        <w:rPr>
          <w:rFonts w:ascii="Footlight MT Light" w:hAnsi="Footlight MT Light" w:cs="Arial"/>
          <w:sz w:val="24"/>
          <w:szCs w:val="24"/>
        </w:rPr>
      </w:pPr>
      <w:r w:rsidRPr="00E22327">
        <w:rPr>
          <w:rFonts w:ascii="Footlight MT Light" w:hAnsi="Footlight MT Light" w:cs="Arial"/>
          <w:sz w:val="24"/>
          <w:szCs w:val="24"/>
        </w:rPr>
        <w:t xml:space="preserve">Deci, E. L., &amp; Ryan, R. M. (2017). </w:t>
      </w:r>
      <w:r w:rsidRPr="00E22327">
        <w:rPr>
          <w:rStyle w:val="Emphasis"/>
          <w:rFonts w:ascii="Footlight MT Light" w:hAnsi="Footlight MT Light" w:cs="Arial"/>
          <w:i w:val="0"/>
          <w:sz w:val="24"/>
          <w:szCs w:val="24"/>
        </w:rPr>
        <w:t>Self-determination theory: Basic psychological needs in motivation, development, and wellness</w:t>
      </w:r>
      <w:r w:rsidRPr="00E22327">
        <w:rPr>
          <w:rFonts w:ascii="Footlight MT Light" w:hAnsi="Footlight MT Light" w:cs="Arial"/>
          <w:sz w:val="24"/>
          <w:szCs w:val="24"/>
        </w:rPr>
        <w:t>. Guilford Press.</w:t>
      </w:r>
    </w:p>
    <w:p w:rsidR="00694B98" w:rsidRPr="00E22327" w:rsidRDefault="00C26095" w:rsidP="00E22327">
      <w:pPr>
        <w:pStyle w:val="ListParagraph"/>
        <w:numPr>
          <w:ilvl w:val="0"/>
          <w:numId w:val="13"/>
        </w:numPr>
        <w:spacing w:line="276" w:lineRule="auto"/>
        <w:jc w:val="both"/>
        <w:rPr>
          <w:rStyle w:val="Hyperlink"/>
          <w:rFonts w:ascii="Footlight MT Light" w:hAnsi="Footlight MT Light" w:cs="Arial"/>
          <w:sz w:val="24"/>
          <w:szCs w:val="24"/>
        </w:rPr>
      </w:pPr>
      <w:r w:rsidRPr="00E22327">
        <w:rPr>
          <w:rFonts w:ascii="Footlight MT Light" w:hAnsi="Footlight MT Light" w:cs="Arial"/>
          <w:sz w:val="24"/>
          <w:szCs w:val="24"/>
        </w:rPr>
        <w:t xml:space="preserve">Guest, D. E. (2017). Human resource management and employee well-being: Towards a new analytic framework. </w:t>
      </w:r>
      <w:r w:rsidRPr="00E22327">
        <w:rPr>
          <w:rStyle w:val="Emphasis"/>
          <w:rFonts w:ascii="Footlight MT Light" w:hAnsi="Footlight MT Light" w:cs="Arial"/>
          <w:i w:val="0"/>
          <w:sz w:val="24"/>
          <w:szCs w:val="24"/>
        </w:rPr>
        <w:t>Human Resource Management Journal, 27</w:t>
      </w:r>
      <w:r w:rsidRPr="00E22327">
        <w:rPr>
          <w:rFonts w:ascii="Footlight MT Light" w:hAnsi="Footlight MT Light" w:cs="Arial"/>
          <w:sz w:val="24"/>
          <w:szCs w:val="24"/>
        </w:rPr>
        <w:t xml:space="preserve">(1), 22–38. </w:t>
      </w:r>
      <w:hyperlink r:id="rId7" w:tgtFrame="_new" w:history="1">
        <w:r w:rsidRPr="00E22327">
          <w:rPr>
            <w:rStyle w:val="Hyperlink"/>
            <w:rFonts w:ascii="Footlight MT Light" w:hAnsi="Footlight MT Light" w:cs="Arial"/>
            <w:sz w:val="24"/>
            <w:szCs w:val="24"/>
          </w:rPr>
          <w:t>https://doi.org/10.1111/1748-8583.12139</w:t>
        </w:r>
      </w:hyperlink>
    </w:p>
    <w:p w:rsidR="00694B98" w:rsidRPr="00E22327" w:rsidRDefault="00C26095" w:rsidP="00E22327">
      <w:pPr>
        <w:pStyle w:val="ListParagraph"/>
        <w:numPr>
          <w:ilvl w:val="0"/>
          <w:numId w:val="13"/>
        </w:numPr>
        <w:spacing w:line="276" w:lineRule="auto"/>
        <w:jc w:val="both"/>
        <w:rPr>
          <w:rFonts w:ascii="Footlight MT Light" w:hAnsi="Footlight MT Light" w:cs="Arial"/>
          <w:sz w:val="24"/>
          <w:szCs w:val="24"/>
        </w:rPr>
      </w:pPr>
      <w:r w:rsidRPr="00E22327">
        <w:rPr>
          <w:rFonts w:ascii="Footlight MT Light" w:hAnsi="Footlight MT Light" w:cs="Arial"/>
          <w:sz w:val="24"/>
          <w:szCs w:val="24"/>
        </w:rPr>
        <w:t xml:space="preserve">Kahn, W. A. (1990). Psychological conditions of personal engagement and disengagement at work. </w:t>
      </w:r>
      <w:r w:rsidRPr="00E22327">
        <w:rPr>
          <w:rStyle w:val="Emphasis"/>
          <w:rFonts w:ascii="Footlight MT Light" w:hAnsi="Footlight MT Light" w:cs="Arial"/>
          <w:i w:val="0"/>
          <w:sz w:val="24"/>
          <w:szCs w:val="24"/>
        </w:rPr>
        <w:t>Academy of Management Journal, 33</w:t>
      </w:r>
      <w:r w:rsidRPr="00E22327">
        <w:rPr>
          <w:rFonts w:ascii="Footlight MT Light" w:hAnsi="Footlight MT Light" w:cs="Arial"/>
          <w:sz w:val="24"/>
          <w:szCs w:val="24"/>
        </w:rPr>
        <w:t xml:space="preserve">(4), 692–724. </w:t>
      </w:r>
      <w:hyperlink r:id="rId8" w:history="1">
        <w:r w:rsidR="00694B98" w:rsidRPr="00E22327">
          <w:rPr>
            <w:rStyle w:val="Hyperlink"/>
            <w:rFonts w:ascii="Footlight MT Light" w:hAnsi="Footlight MT Light" w:cs="Arial"/>
            <w:sz w:val="24"/>
            <w:szCs w:val="24"/>
          </w:rPr>
          <w:t>https://doi.org/10.2307/256287</w:t>
        </w:r>
      </w:hyperlink>
    </w:p>
    <w:p w:rsidR="00694B98" w:rsidRPr="00E22327" w:rsidRDefault="00C26095" w:rsidP="00E22327">
      <w:pPr>
        <w:pStyle w:val="ListParagraph"/>
        <w:numPr>
          <w:ilvl w:val="0"/>
          <w:numId w:val="13"/>
        </w:numPr>
        <w:spacing w:line="276" w:lineRule="auto"/>
        <w:jc w:val="both"/>
        <w:rPr>
          <w:rFonts w:ascii="Footlight MT Light" w:hAnsi="Footlight MT Light" w:cs="Arial"/>
          <w:sz w:val="24"/>
          <w:szCs w:val="24"/>
        </w:rPr>
      </w:pPr>
      <w:r w:rsidRPr="00E22327">
        <w:rPr>
          <w:rFonts w:ascii="Footlight MT Light" w:hAnsi="Footlight MT Light" w:cs="Arial"/>
          <w:sz w:val="24"/>
          <w:szCs w:val="24"/>
        </w:rPr>
        <w:t xml:space="preserve">Rousseau, D. M. (1995). </w:t>
      </w:r>
      <w:r w:rsidRPr="00E22327">
        <w:rPr>
          <w:rStyle w:val="Emphasis"/>
          <w:rFonts w:ascii="Footlight MT Light" w:hAnsi="Footlight MT Light" w:cs="Arial"/>
          <w:i w:val="0"/>
          <w:sz w:val="24"/>
          <w:szCs w:val="24"/>
        </w:rPr>
        <w:t>Psychological contracts in organizations: Understanding written and unwritten agreements</w:t>
      </w:r>
      <w:r w:rsidRPr="00E22327">
        <w:rPr>
          <w:rFonts w:ascii="Footlight MT Light" w:hAnsi="Footlight MT Light" w:cs="Arial"/>
          <w:sz w:val="24"/>
          <w:szCs w:val="24"/>
        </w:rPr>
        <w:t>. Sage Publications.</w:t>
      </w:r>
    </w:p>
    <w:p w:rsidR="00694B98" w:rsidRPr="00E22327" w:rsidRDefault="00C26095" w:rsidP="00E22327">
      <w:pPr>
        <w:pStyle w:val="ListParagraph"/>
        <w:numPr>
          <w:ilvl w:val="0"/>
          <w:numId w:val="13"/>
        </w:numPr>
        <w:spacing w:line="276" w:lineRule="auto"/>
        <w:jc w:val="both"/>
        <w:rPr>
          <w:rStyle w:val="Hyperlink"/>
          <w:rFonts w:ascii="Footlight MT Light" w:hAnsi="Footlight MT Light" w:cs="Arial"/>
          <w:sz w:val="24"/>
          <w:szCs w:val="24"/>
        </w:rPr>
      </w:pPr>
      <w:r w:rsidRPr="00E22327">
        <w:rPr>
          <w:rFonts w:ascii="Footlight MT Light" w:hAnsi="Footlight MT Light" w:cs="Arial"/>
          <w:sz w:val="24"/>
          <w:szCs w:val="24"/>
        </w:rPr>
        <w:t xml:space="preserve">Spreitzer, G. M. (1995). Psychological empowerment in the workplace: Dimensions, measurement, and validation. </w:t>
      </w:r>
      <w:r w:rsidRPr="00E22327">
        <w:rPr>
          <w:rStyle w:val="Emphasis"/>
          <w:rFonts w:ascii="Footlight MT Light" w:hAnsi="Footlight MT Light" w:cs="Arial"/>
          <w:i w:val="0"/>
          <w:sz w:val="24"/>
          <w:szCs w:val="24"/>
        </w:rPr>
        <w:t>Academy of Management Journal, 38</w:t>
      </w:r>
      <w:r w:rsidRPr="00E22327">
        <w:rPr>
          <w:rFonts w:ascii="Footlight MT Light" w:hAnsi="Footlight MT Light" w:cs="Arial"/>
          <w:sz w:val="24"/>
          <w:szCs w:val="24"/>
        </w:rPr>
        <w:t xml:space="preserve">(5), 1442–1465. </w:t>
      </w:r>
      <w:hyperlink r:id="rId9" w:tgtFrame="_new" w:history="1">
        <w:r w:rsidRPr="00E22327">
          <w:rPr>
            <w:rStyle w:val="Hyperlink"/>
            <w:rFonts w:ascii="Footlight MT Light" w:hAnsi="Footlight MT Light" w:cs="Arial"/>
            <w:sz w:val="24"/>
            <w:szCs w:val="24"/>
          </w:rPr>
          <w:t>https://doi.org/10.2307/256865</w:t>
        </w:r>
      </w:hyperlink>
    </w:p>
    <w:p w:rsidR="00694B98" w:rsidRPr="00E22327" w:rsidRDefault="00C26095" w:rsidP="00E22327">
      <w:pPr>
        <w:pStyle w:val="ListParagraph"/>
        <w:numPr>
          <w:ilvl w:val="0"/>
          <w:numId w:val="13"/>
        </w:numPr>
        <w:spacing w:line="276" w:lineRule="auto"/>
        <w:jc w:val="both"/>
        <w:rPr>
          <w:rFonts w:ascii="Footlight MT Light" w:hAnsi="Footlight MT Light" w:cs="Arial"/>
          <w:sz w:val="24"/>
          <w:szCs w:val="24"/>
        </w:rPr>
      </w:pPr>
      <w:r w:rsidRPr="00E22327">
        <w:rPr>
          <w:rFonts w:ascii="Footlight MT Light" w:hAnsi="Footlight MT Light" w:cs="Arial"/>
          <w:sz w:val="24"/>
          <w:szCs w:val="24"/>
        </w:rPr>
        <w:t xml:space="preserve">Spreitzer, G. M. (2008). Taking stock: A review of more than twenty years of research on empowerment at work. In J. Barling &amp; C. L. Cooper (Eds.), </w:t>
      </w:r>
      <w:r w:rsidRPr="00E22327">
        <w:rPr>
          <w:rStyle w:val="Emphasis"/>
          <w:rFonts w:ascii="Footlight MT Light" w:hAnsi="Footlight MT Light" w:cs="Arial"/>
          <w:i w:val="0"/>
          <w:sz w:val="24"/>
          <w:szCs w:val="24"/>
        </w:rPr>
        <w:t>The SAGE handbook of organizational behavior</w:t>
      </w:r>
      <w:r w:rsidRPr="00E22327">
        <w:rPr>
          <w:rFonts w:ascii="Footlight MT Light" w:hAnsi="Footlight MT Light" w:cs="Arial"/>
          <w:sz w:val="24"/>
          <w:szCs w:val="24"/>
        </w:rPr>
        <w:t xml:space="preserve"> (pp. 54–72). Sage Publications.</w:t>
      </w:r>
    </w:p>
    <w:p w:rsidR="00694B98" w:rsidRPr="00E22327" w:rsidRDefault="00C26095" w:rsidP="00E22327">
      <w:pPr>
        <w:pStyle w:val="ListParagraph"/>
        <w:numPr>
          <w:ilvl w:val="0"/>
          <w:numId w:val="13"/>
        </w:numPr>
        <w:spacing w:line="276" w:lineRule="auto"/>
        <w:jc w:val="both"/>
        <w:rPr>
          <w:rFonts w:ascii="Footlight MT Light" w:hAnsi="Footlight MT Light" w:cs="Arial"/>
          <w:sz w:val="24"/>
          <w:szCs w:val="24"/>
        </w:rPr>
      </w:pPr>
      <w:r w:rsidRPr="00E22327">
        <w:rPr>
          <w:rFonts w:ascii="Footlight MT Light" w:hAnsi="Footlight MT Light" w:cs="Arial"/>
          <w:sz w:val="24"/>
          <w:szCs w:val="24"/>
        </w:rPr>
        <w:t xml:space="preserve">Walton, R. E. (1975). Criteria for quality of working life. In L. E. Davis &amp; A. B. Cherns (Eds.), </w:t>
      </w:r>
      <w:r w:rsidRPr="00E22327">
        <w:rPr>
          <w:rStyle w:val="Emphasis"/>
          <w:rFonts w:ascii="Footlight MT Light" w:hAnsi="Footlight MT Light" w:cs="Arial"/>
          <w:i w:val="0"/>
          <w:sz w:val="24"/>
          <w:szCs w:val="24"/>
        </w:rPr>
        <w:t>The quality of working life</w:t>
      </w:r>
      <w:r w:rsidRPr="00E22327">
        <w:rPr>
          <w:rFonts w:ascii="Footlight MT Light" w:hAnsi="Footlight MT Light" w:cs="Arial"/>
          <w:sz w:val="24"/>
          <w:szCs w:val="24"/>
        </w:rPr>
        <w:t xml:space="preserve"> (pp. 91–104). Free Press.</w:t>
      </w:r>
    </w:p>
    <w:p w:rsidR="00694B98" w:rsidRPr="00E22327" w:rsidRDefault="00C26095" w:rsidP="00E22327">
      <w:pPr>
        <w:pStyle w:val="ListParagraph"/>
        <w:numPr>
          <w:ilvl w:val="0"/>
          <w:numId w:val="13"/>
        </w:numPr>
        <w:spacing w:line="276" w:lineRule="auto"/>
        <w:jc w:val="both"/>
        <w:rPr>
          <w:rFonts w:ascii="Footlight MT Light" w:hAnsi="Footlight MT Light" w:cs="Arial"/>
          <w:sz w:val="24"/>
          <w:szCs w:val="24"/>
        </w:rPr>
      </w:pPr>
      <w:r w:rsidRPr="00E22327">
        <w:rPr>
          <w:rFonts w:ascii="Footlight MT Light" w:hAnsi="Footlight MT Light" w:cs="Arial"/>
          <w:sz w:val="24"/>
          <w:szCs w:val="24"/>
        </w:rPr>
        <w:t xml:space="preserve">Lavanya, L., Prakash, M., &amp; Rao, S. (2024). Reward systems and employee performance in public organizations. </w:t>
      </w:r>
      <w:r w:rsidRPr="00E22327">
        <w:rPr>
          <w:rStyle w:val="Emphasis"/>
          <w:rFonts w:ascii="Footlight MT Light" w:hAnsi="Footlight MT Light" w:cs="Arial"/>
          <w:i w:val="0"/>
          <w:sz w:val="24"/>
          <w:szCs w:val="24"/>
        </w:rPr>
        <w:t>International Journal of Human Resource Studies, 14</w:t>
      </w:r>
      <w:r w:rsidRPr="00E22327">
        <w:rPr>
          <w:rFonts w:ascii="Footlight MT Light" w:hAnsi="Footlight MT Light" w:cs="Arial"/>
          <w:sz w:val="24"/>
          <w:szCs w:val="24"/>
        </w:rPr>
        <w:t>(1), 45–60.</w:t>
      </w:r>
    </w:p>
    <w:p w:rsidR="00694B98" w:rsidRPr="00E22327" w:rsidRDefault="00C26095" w:rsidP="00E22327">
      <w:pPr>
        <w:pStyle w:val="ListParagraph"/>
        <w:numPr>
          <w:ilvl w:val="0"/>
          <w:numId w:val="13"/>
        </w:numPr>
        <w:spacing w:line="276" w:lineRule="auto"/>
        <w:jc w:val="both"/>
        <w:rPr>
          <w:rFonts w:ascii="Footlight MT Light" w:hAnsi="Footlight MT Light" w:cs="Arial"/>
          <w:sz w:val="24"/>
          <w:szCs w:val="24"/>
        </w:rPr>
      </w:pPr>
      <w:r w:rsidRPr="00E22327">
        <w:rPr>
          <w:rFonts w:ascii="Footlight MT Light" w:hAnsi="Footlight MT Light" w:cs="Arial"/>
          <w:sz w:val="24"/>
          <w:szCs w:val="24"/>
        </w:rPr>
        <w:t xml:space="preserve">Singh, R., &amp; Prakash, A. (2024). Impact of reward management on employee engagement. </w:t>
      </w:r>
      <w:r w:rsidRPr="00E22327">
        <w:rPr>
          <w:rStyle w:val="Emphasis"/>
          <w:rFonts w:ascii="Footlight MT Light" w:hAnsi="Footlight MT Light" w:cs="Arial"/>
          <w:i w:val="0"/>
          <w:sz w:val="24"/>
          <w:szCs w:val="24"/>
        </w:rPr>
        <w:t>Journal of Management and Public Policy, 15</w:t>
      </w:r>
      <w:r w:rsidRPr="00E22327">
        <w:rPr>
          <w:rFonts w:ascii="Footlight MT Light" w:hAnsi="Footlight MT Light" w:cs="Arial"/>
          <w:sz w:val="24"/>
          <w:szCs w:val="24"/>
        </w:rPr>
        <w:t>(2), 78–92.</w:t>
      </w:r>
    </w:p>
    <w:p w:rsidR="00694B98" w:rsidRPr="00E22327" w:rsidRDefault="00C26095" w:rsidP="00E22327">
      <w:pPr>
        <w:pStyle w:val="ListParagraph"/>
        <w:numPr>
          <w:ilvl w:val="0"/>
          <w:numId w:val="13"/>
        </w:numPr>
        <w:spacing w:line="276" w:lineRule="auto"/>
        <w:jc w:val="both"/>
        <w:rPr>
          <w:rFonts w:ascii="Footlight MT Light" w:hAnsi="Footlight MT Light" w:cs="Arial"/>
          <w:sz w:val="24"/>
          <w:szCs w:val="24"/>
        </w:rPr>
      </w:pPr>
      <w:r w:rsidRPr="00E22327">
        <w:rPr>
          <w:rFonts w:ascii="Footlight MT Light" w:hAnsi="Footlight MT Light" w:cs="Arial"/>
          <w:sz w:val="24"/>
          <w:szCs w:val="24"/>
        </w:rPr>
        <w:t xml:space="preserve">Murovhi, R., &amp; Ngirande, H. (2024). Total rewards and work engagement in public service. </w:t>
      </w:r>
      <w:r w:rsidRPr="00E22327">
        <w:rPr>
          <w:rStyle w:val="Emphasis"/>
          <w:rFonts w:ascii="Footlight MT Light" w:hAnsi="Footlight MT Light" w:cs="Arial"/>
          <w:i w:val="0"/>
          <w:sz w:val="24"/>
          <w:szCs w:val="24"/>
        </w:rPr>
        <w:t>African Journal of Economic and Management Studies, 15</w:t>
      </w:r>
      <w:r w:rsidRPr="00E22327">
        <w:rPr>
          <w:rFonts w:ascii="Footlight MT Light" w:hAnsi="Footlight MT Light" w:cs="Arial"/>
          <w:sz w:val="24"/>
          <w:szCs w:val="24"/>
        </w:rPr>
        <w:t>(1), 101–118.</w:t>
      </w:r>
    </w:p>
    <w:p w:rsidR="00C26095" w:rsidRPr="00E22327" w:rsidRDefault="00C26095" w:rsidP="00E22327">
      <w:pPr>
        <w:pStyle w:val="ListParagraph"/>
        <w:numPr>
          <w:ilvl w:val="0"/>
          <w:numId w:val="13"/>
        </w:numPr>
        <w:spacing w:line="276" w:lineRule="auto"/>
        <w:jc w:val="both"/>
        <w:rPr>
          <w:rFonts w:ascii="Footlight MT Light" w:hAnsi="Footlight MT Light"/>
          <w:sz w:val="24"/>
          <w:szCs w:val="24"/>
        </w:rPr>
      </w:pPr>
      <w:r w:rsidRPr="00E22327">
        <w:rPr>
          <w:rFonts w:ascii="Footlight MT Light" w:hAnsi="Footlight MT Light" w:cs="Arial"/>
          <w:sz w:val="24"/>
          <w:szCs w:val="24"/>
        </w:rPr>
        <w:t xml:space="preserve">Pkite, J., &amp; Ng’eno, V. (2024). Reward practices and employee satisfaction in Kenyan public sector institutions. </w:t>
      </w:r>
      <w:r w:rsidRPr="00E22327">
        <w:rPr>
          <w:rStyle w:val="Emphasis"/>
          <w:rFonts w:ascii="Footlight MT Light" w:hAnsi="Footlight MT Light" w:cs="Arial"/>
          <w:i w:val="0"/>
          <w:sz w:val="24"/>
          <w:szCs w:val="24"/>
        </w:rPr>
        <w:t>International Journal of Public Administration, 47</w:t>
      </w:r>
      <w:r w:rsidRPr="00E22327">
        <w:rPr>
          <w:rFonts w:ascii="Footlight MT Light" w:hAnsi="Footlight MT Light" w:cs="Arial"/>
          <w:sz w:val="24"/>
          <w:szCs w:val="24"/>
        </w:rPr>
        <w:t>(3), 210–223.</w:t>
      </w:r>
    </w:p>
    <w:p w:rsidR="00E22327" w:rsidRPr="00E22327" w:rsidRDefault="00E22327" w:rsidP="00E22327">
      <w:pPr>
        <w:pStyle w:val="ListParagraph"/>
        <w:numPr>
          <w:ilvl w:val="0"/>
          <w:numId w:val="13"/>
        </w:numPr>
        <w:spacing w:line="276" w:lineRule="auto"/>
        <w:jc w:val="both"/>
        <w:rPr>
          <w:rFonts w:ascii="Footlight MT Light" w:hAnsi="Footlight MT Light"/>
          <w:sz w:val="24"/>
          <w:szCs w:val="24"/>
        </w:rPr>
      </w:pPr>
      <w:proofErr w:type="spellStart"/>
      <w:r w:rsidRPr="00E22327">
        <w:rPr>
          <w:rFonts w:ascii="Footlight MT Light" w:hAnsi="Footlight MT Light"/>
          <w:sz w:val="24"/>
          <w:szCs w:val="24"/>
        </w:rPr>
        <w:t>Hsinkuang</w:t>
      </w:r>
      <w:proofErr w:type="spellEnd"/>
      <w:r w:rsidRPr="00E22327">
        <w:rPr>
          <w:rFonts w:ascii="Footlight MT Light" w:hAnsi="Footlight MT Light"/>
          <w:sz w:val="24"/>
          <w:szCs w:val="24"/>
        </w:rPr>
        <w:t xml:space="preserve"> Chi, </w:t>
      </w:r>
      <w:proofErr w:type="spellStart"/>
      <w:r w:rsidRPr="00E22327">
        <w:rPr>
          <w:rFonts w:ascii="Footlight MT Light" w:hAnsi="Footlight MT Light"/>
          <w:sz w:val="24"/>
          <w:szCs w:val="24"/>
        </w:rPr>
        <w:t>Thinh</w:t>
      </w:r>
      <w:proofErr w:type="spellEnd"/>
      <w:r w:rsidRPr="00E22327">
        <w:rPr>
          <w:rFonts w:ascii="Footlight MT Light" w:hAnsi="Footlight MT Light"/>
          <w:sz w:val="24"/>
          <w:szCs w:val="24"/>
        </w:rPr>
        <w:t>–Van Vu, Hoang Viet Nguyen &amp; Thanh Ha Truong</w:t>
      </w:r>
    </w:p>
    <w:p w:rsidR="00E22327" w:rsidRPr="00E22327" w:rsidRDefault="00E22327" w:rsidP="00E22327">
      <w:pPr>
        <w:pStyle w:val="ListParagraph"/>
        <w:spacing w:line="276" w:lineRule="auto"/>
        <w:jc w:val="both"/>
        <w:rPr>
          <w:rFonts w:ascii="Footlight MT Light" w:hAnsi="Footlight MT Light"/>
          <w:sz w:val="24"/>
          <w:szCs w:val="24"/>
        </w:rPr>
      </w:pPr>
      <w:r w:rsidRPr="00E22327">
        <w:rPr>
          <w:rFonts w:ascii="Footlight MT Light" w:hAnsi="Footlight MT Light"/>
          <w:sz w:val="24"/>
          <w:szCs w:val="24"/>
        </w:rPr>
        <w:lastRenderedPageBreak/>
        <w:t>(2023) How financial and non–financial rewards moderate the relationships between</w:t>
      </w:r>
    </w:p>
    <w:p w:rsidR="00E22327" w:rsidRPr="00E22327" w:rsidRDefault="00E22327" w:rsidP="00E22327">
      <w:pPr>
        <w:pStyle w:val="ListParagraph"/>
        <w:spacing w:line="276" w:lineRule="auto"/>
        <w:jc w:val="both"/>
        <w:rPr>
          <w:rFonts w:ascii="Footlight MT Light" w:hAnsi="Footlight MT Light"/>
          <w:sz w:val="24"/>
          <w:szCs w:val="24"/>
        </w:rPr>
      </w:pPr>
      <w:r w:rsidRPr="00E22327">
        <w:rPr>
          <w:rFonts w:ascii="Footlight MT Light" w:hAnsi="Footlight MT Light"/>
          <w:sz w:val="24"/>
          <w:szCs w:val="24"/>
        </w:rPr>
        <w:t>transformational leadership, job satisfaction, and job performance, Cogent Business &amp;</w:t>
      </w:r>
    </w:p>
    <w:p w:rsidR="00E22327" w:rsidRDefault="00E22327" w:rsidP="00E22327">
      <w:pPr>
        <w:pStyle w:val="ListParagraph"/>
        <w:spacing w:line="276" w:lineRule="auto"/>
        <w:jc w:val="both"/>
        <w:rPr>
          <w:rFonts w:ascii="Footlight MT Light" w:hAnsi="Footlight MT Light"/>
          <w:sz w:val="24"/>
          <w:szCs w:val="24"/>
        </w:rPr>
      </w:pPr>
      <w:r w:rsidRPr="00E22327">
        <w:rPr>
          <w:rFonts w:ascii="Footlight MT Light" w:hAnsi="Footlight MT Light"/>
          <w:sz w:val="24"/>
          <w:szCs w:val="24"/>
        </w:rPr>
        <w:t>Management, 10:1, 2173850, DOI: 10.1080/23311975.2023.2173850</w:t>
      </w:r>
    </w:p>
    <w:p w:rsidR="00C51EB8" w:rsidRPr="00E22327" w:rsidRDefault="00C51EB8" w:rsidP="00C51EB8">
      <w:pPr>
        <w:pStyle w:val="ListParagraph"/>
        <w:numPr>
          <w:ilvl w:val="0"/>
          <w:numId w:val="13"/>
        </w:numPr>
        <w:spacing w:line="276" w:lineRule="auto"/>
        <w:jc w:val="both"/>
        <w:rPr>
          <w:rFonts w:ascii="Footlight MT Light" w:hAnsi="Footlight MT Light"/>
          <w:sz w:val="24"/>
          <w:szCs w:val="24"/>
        </w:rPr>
      </w:pPr>
      <w:r w:rsidRPr="00C51EB8">
        <w:rPr>
          <w:rFonts w:ascii="Footlight MT Light" w:hAnsi="Footlight MT Light"/>
          <w:sz w:val="24"/>
          <w:szCs w:val="24"/>
        </w:rPr>
        <w:t>Njuguna, J., Mwangi, P., &amp; Kamau, N. (2014). Incentives among health workers in a remote Kenyan district: implications for proposed county health system. Journal of health care for the poor and underserved, 25(1), 204–214. https://doi.org/10.1353/hpu.2014.0029.</w:t>
      </w:r>
    </w:p>
    <w:sectPr w:rsidR="00C51EB8" w:rsidRPr="00E2232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D6B" w:rsidRDefault="00586D6B" w:rsidP="00461CE3">
      <w:pPr>
        <w:spacing w:after="0" w:line="240" w:lineRule="auto"/>
      </w:pPr>
      <w:r>
        <w:separator/>
      </w:r>
    </w:p>
  </w:endnote>
  <w:endnote w:type="continuationSeparator" w:id="0">
    <w:p w:rsidR="00586D6B" w:rsidRDefault="00586D6B" w:rsidP="0046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461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461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461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D6B" w:rsidRDefault="00586D6B" w:rsidP="00461CE3">
      <w:pPr>
        <w:spacing w:after="0" w:line="240" w:lineRule="auto"/>
      </w:pPr>
      <w:r>
        <w:separator/>
      </w:r>
    </w:p>
  </w:footnote>
  <w:footnote w:type="continuationSeparator" w:id="0">
    <w:p w:rsidR="00586D6B" w:rsidRDefault="00586D6B" w:rsidP="00461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586D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863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586D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863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CE3" w:rsidRDefault="00586D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863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73E2"/>
    <w:multiLevelType w:val="multilevel"/>
    <w:tmpl w:val="0EA4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011CE"/>
    <w:multiLevelType w:val="multilevel"/>
    <w:tmpl w:val="5B12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9730D"/>
    <w:multiLevelType w:val="multilevel"/>
    <w:tmpl w:val="1D188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25111F"/>
    <w:multiLevelType w:val="multilevel"/>
    <w:tmpl w:val="3825111F"/>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 w15:restartNumberingAfterBreak="0">
    <w:nsid w:val="3D73257C"/>
    <w:multiLevelType w:val="multilevel"/>
    <w:tmpl w:val="82EA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81BD5"/>
    <w:multiLevelType w:val="multilevel"/>
    <w:tmpl w:val="45E81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22339B"/>
    <w:multiLevelType w:val="multilevel"/>
    <w:tmpl w:val="D7DA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D4AEC"/>
    <w:multiLevelType w:val="multilevel"/>
    <w:tmpl w:val="EC88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27EFA"/>
    <w:multiLevelType w:val="multilevel"/>
    <w:tmpl w:val="102C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C40489"/>
    <w:multiLevelType w:val="hybridMultilevel"/>
    <w:tmpl w:val="62C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83637"/>
    <w:multiLevelType w:val="multilevel"/>
    <w:tmpl w:val="1420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95B6F"/>
    <w:multiLevelType w:val="hybridMultilevel"/>
    <w:tmpl w:val="F986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A10AC"/>
    <w:multiLevelType w:val="hybridMultilevel"/>
    <w:tmpl w:val="A2984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7"/>
  </w:num>
  <w:num w:numId="5">
    <w:abstractNumId w:val="4"/>
  </w:num>
  <w:num w:numId="6">
    <w:abstractNumId w:val="3"/>
  </w:num>
  <w:num w:numId="7">
    <w:abstractNumId w:val="5"/>
  </w:num>
  <w:num w:numId="8">
    <w:abstractNumId w:val="11"/>
  </w:num>
  <w:num w:numId="9">
    <w:abstractNumId w:val="9"/>
  </w:num>
  <w:num w:numId="10">
    <w:abstractNumId w:val="1"/>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88"/>
    <w:rsid w:val="0000447F"/>
    <w:rsid w:val="000137D8"/>
    <w:rsid w:val="00016B21"/>
    <w:rsid w:val="000955D9"/>
    <w:rsid w:val="00167D91"/>
    <w:rsid w:val="00172018"/>
    <w:rsid w:val="00172DFE"/>
    <w:rsid w:val="00180C88"/>
    <w:rsid w:val="001F6453"/>
    <w:rsid w:val="00213131"/>
    <w:rsid w:val="00215B42"/>
    <w:rsid w:val="002625DE"/>
    <w:rsid w:val="002638B6"/>
    <w:rsid w:val="002643E7"/>
    <w:rsid w:val="00293C6E"/>
    <w:rsid w:val="0031430A"/>
    <w:rsid w:val="0033422E"/>
    <w:rsid w:val="00336141"/>
    <w:rsid w:val="00337AF3"/>
    <w:rsid w:val="003574B9"/>
    <w:rsid w:val="0037518E"/>
    <w:rsid w:val="0039356B"/>
    <w:rsid w:val="003C0C44"/>
    <w:rsid w:val="003C3339"/>
    <w:rsid w:val="003C437E"/>
    <w:rsid w:val="003D3BD4"/>
    <w:rsid w:val="003F37CC"/>
    <w:rsid w:val="00461CE3"/>
    <w:rsid w:val="00472248"/>
    <w:rsid w:val="004B1A4E"/>
    <w:rsid w:val="004C3434"/>
    <w:rsid w:val="004C6EBC"/>
    <w:rsid w:val="004D07D4"/>
    <w:rsid w:val="00513812"/>
    <w:rsid w:val="0053295E"/>
    <w:rsid w:val="00533C61"/>
    <w:rsid w:val="0056083B"/>
    <w:rsid w:val="00586D6B"/>
    <w:rsid w:val="005B33CB"/>
    <w:rsid w:val="005E04B8"/>
    <w:rsid w:val="00621611"/>
    <w:rsid w:val="0063325E"/>
    <w:rsid w:val="006422DE"/>
    <w:rsid w:val="00655F98"/>
    <w:rsid w:val="0069152C"/>
    <w:rsid w:val="00694B98"/>
    <w:rsid w:val="006C43BB"/>
    <w:rsid w:val="006D0CFC"/>
    <w:rsid w:val="006E495C"/>
    <w:rsid w:val="006F21C9"/>
    <w:rsid w:val="00721584"/>
    <w:rsid w:val="00756258"/>
    <w:rsid w:val="007D04A7"/>
    <w:rsid w:val="008279AC"/>
    <w:rsid w:val="008C4C6A"/>
    <w:rsid w:val="008D0A59"/>
    <w:rsid w:val="008F2A27"/>
    <w:rsid w:val="0090706F"/>
    <w:rsid w:val="00967D1B"/>
    <w:rsid w:val="009D1F6B"/>
    <w:rsid w:val="00A01031"/>
    <w:rsid w:val="00A335C5"/>
    <w:rsid w:val="00A51875"/>
    <w:rsid w:val="00A5257A"/>
    <w:rsid w:val="00A52EFA"/>
    <w:rsid w:val="00A9367C"/>
    <w:rsid w:val="00B52C9F"/>
    <w:rsid w:val="00BA0774"/>
    <w:rsid w:val="00BA7740"/>
    <w:rsid w:val="00C1670F"/>
    <w:rsid w:val="00C24956"/>
    <w:rsid w:val="00C26095"/>
    <w:rsid w:val="00C51EB8"/>
    <w:rsid w:val="00CE2018"/>
    <w:rsid w:val="00D72362"/>
    <w:rsid w:val="00D75CFF"/>
    <w:rsid w:val="00D76849"/>
    <w:rsid w:val="00DD7491"/>
    <w:rsid w:val="00E22327"/>
    <w:rsid w:val="00E8432E"/>
    <w:rsid w:val="00E87C1B"/>
    <w:rsid w:val="00EA73FF"/>
    <w:rsid w:val="00EC542E"/>
    <w:rsid w:val="00ED6903"/>
    <w:rsid w:val="00F04F10"/>
    <w:rsid w:val="00F0629B"/>
    <w:rsid w:val="00F43144"/>
    <w:rsid w:val="00F54CA7"/>
    <w:rsid w:val="00F61419"/>
    <w:rsid w:val="00FB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C7169"/>
  <w15:chartTrackingRefBased/>
  <w15:docId w15:val="{C41881EA-8451-4815-8A75-88FA0EE7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0C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C44"/>
    <w:rPr>
      <w:b/>
      <w:bCs/>
    </w:rPr>
  </w:style>
  <w:style w:type="character" w:styleId="Emphasis">
    <w:name w:val="Emphasis"/>
    <w:basedOn w:val="DefaultParagraphFont"/>
    <w:uiPriority w:val="20"/>
    <w:qFormat/>
    <w:rsid w:val="0033422E"/>
    <w:rPr>
      <w:i/>
      <w:iCs/>
    </w:rPr>
  </w:style>
  <w:style w:type="paragraph" w:styleId="ListParagraph">
    <w:name w:val="List Paragraph"/>
    <w:basedOn w:val="Normal"/>
    <w:link w:val="ListParagraphChar"/>
    <w:uiPriority w:val="34"/>
    <w:qFormat/>
    <w:rsid w:val="0033422E"/>
    <w:pPr>
      <w:ind w:left="720"/>
      <w:contextualSpacing/>
    </w:pPr>
  </w:style>
  <w:style w:type="paragraph" w:styleId="NoSpacing">
    <w:name w:val="No Spacing"/>
    <w:uiPriority w:val="1"/>
    <w:qFormat/>
    <w:rsid w:val="00756258"/>
    <w:pPr>
      <w:spacing w:after="0" w:line="240" w:lineRule="auto"/>
    </w:pPr>
  </w:style>
  <w:style w:type="table" w:styleId="TableGrid">
    <w:name w:val="Table Grid"/>
    <w:basedOn w:val="TableNormal"/>
    <w:uiPriority w:val="39"/>
    <w:rsid w:val="0001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16B21"/>
  </w:style>
  <w:style w:type="paragraph" w:customStyle="1" w:styleId="tablesss">
    <w:name w:val="tablesss"/>
    <w:basedOn w:val="Normal"/>
    <w:link w:val="tablesssChar"/>
    <w:qFormat/>
    <w:rsid w:val="004C6EBC"/>
    <w:pPr>
      <w:spacing w:after="200" w:line="360" w:lineRule="auto"/>
      <w:jc w:val="both"/>
    </w:pPr>
    <w:rPr>
      <w:rFonts w:ascii="Times New Roman" w:eastAsiaTheme="minorEastAsia" w:hAnsi="Times New Roman" w:cs="Times New Roman"/>
      <w:b/>
      <w:bCs/>
      <w:sz w:val="24"/>
      <w:szCs w:val="24"/>
    </w:rPr>
  </w:style>
  <w:style w:type="character" w:customStyle="1" w:styleId="tablesssChar">
    <w:name w:val="tablesss Char"/>
    <w:basedOn w:val="DefaultParagraphFont"/>
    <w:link w:val="tablesss"/>
    <w:rsid w:val="004C6EBC"/>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C26095"/>
    <w:rPr>
      <w:color w:val="0000FF"/>
      <w:u w:val="single"/>
    </w:rPr>
  </w:style>
  <w:style w:type="character" w:customStyle="1" w:styleId="UnresolvedMention1">
    <w:name w:val="Unresolved Mention1"/>
    <w:basedOn w:val="DefaultParagraphFont"/>
    <w:uiPriority w:val="99"/>
    <w:semiHidden/>
    <w:unhideWhenUsed/>
    <w:rsid w:val="004B1A4E"/>
    <w:rPr>
      <w:color w:val="605E5C"/>
      <w:shd w:val="clear" w:color="auto" w:fill="E1DFDD"/>
    </w:rPr>
  </w:style>
  <w:style w:type="paragraph" w:styleId="Header">
    <w:name w:val="header"/>
    <w:basedOn w:val="Normal"/>
    <w:link w:val="HeaderChar"/>
    <w:uiPriority w:val="99"/>
    <w:unhideWhenUsed/>
    <w:rsid w:val="00461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CE3"/>
  </w:style>
  <w:style w:type="paragraph" w:styleId="Footer">
    <w:name w:val="footer"/>
    <w:basedOn w:val="Normal"/>
    <w:link w:val="FooterChar"/>
    <w:uiPriority w:val="99"/>
    <w:unhideWhenUsed/>
    <w:rsid w:val="00461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432">
      <w:bodyDiv w:val="1"/>
      <w:marLeft w:val="0"/>
      <w:marRight w:val="0"/>
      <w:marTop w:val="0"/>
      <w:marBottom w:val="0"/>
      <w:divBdr>
        <w:top w:val="none" w:sz="0" w:space="0" w:color="auto"/>
        <w:left w:val="none" w:sz="0" w:space="0" w:color="auto"/>
        <w:bottom w:val="none" w:sz="0" w:space="0" w:color="auto"/>
        <w:right w:val="none" w:sz="0" w:space="0" w:color="auto"/>
      </w:divBdr>
    </w:div>
    <w:div w:id="48187853">
      <w:bodyDiv w:val="1"/>
      <w:marLeft w:val="0"/>
      <w:marRight w:val="0"/>
      <w:marTop w:val="0"/>
      <w:marBottom w:val="0"/>
      <w:divBdr>
        <w:top w:val="none" w:sz="0" w:space="0" w:color="auto"/>
        <w:left w:val="none" w:sz="0" w:space="0" w:color="auto"/>
        <w:bottom w:val="none" w:sz="0" w:space="0" w:color="auto"/>
        <w:right w:val="none" w:sz="0" w:space="0" w:color="auto"/>
      </w:divBdr>
    </w:div>
    <w:div w:id="165872131">
      <w:bodyDiv w:val="1"/>
      <w:marLeft w:val="0"/>
      <w:marRight w:val="0"/>
      <w:marTop w:val="0"/>
      <w:marBottom w:val="0"/>
      <w:divBdr>
        <w:top w:val="none" w:sz="0" w:space="0" w:color="auto"/>
        <w:left w:val="none" w:sz="0" w:space="0" w:color="auto"/>
        <w:bottom w:val="none" w:sz="0" w:space="0" w:color="auto"/>
        <w:right w:val="none" w:sz="0" w:space="0" w:color="auto"/>
      </w:divBdr>
    </w:div>
    <w:div w:id="289096717">
      <w:bodyDiv w:val="1"/>
      <w:marLeft w:val="0"/>
      <w:marRight w:val="0"/>
      <w:marTop w:val="0"/>
      <w:marBottom w:val="0"/>
      <w:divBdr>
        <w:top w:val="none" w:sz="0" w:space="0" w:color="auto"/>
        <w:left w:val="none" w:sz="0" w:space="0" w:color="auto"/>
        <w:bottom w:val="none" w:sz="0" w:space="0" w:color="auto"/>
        <w:right w:val="none" w:sz="0" w:space="0" w:color="auto"/>
      </w:divBdr>
    </w:div>
    <w:div w:id="300812329">
      <w:bodyDiv w:val="1"/>
      <w:marLeft w:val="0"/>
      <w:marRight w:val="0"/>
      <w:marTop w:val="0"/>
      <w:marBottom w:val="0"/>
      <w:divBdr>
        <w:top w:val="none" w:sz="0" w:space="0" w:color="auto"/>
        <w:left w:val="none" w:sz="0" w:space="0" w:color="auto"/>
        <w:bottom w:val="none" w:sz="0" w:space="0" w:color="auto"/>
        <w:right w:val="none" w:sz="0" w:space="0" w:color="auto"/>
      </w:divBdr>
    </w:div>
    <w:div w:id="328021373">
      <w:bodyDiv w:val="1"/>
      <w:marLeft w:val="0"/>
      <w:marRight w:val="0"/>
      <w:marTop w:val="0"/>
      <w:marBottom w:val="0"/>
      <w:divBdr>
        <w:top w:val="none" w:sz="0" w:space="0" w:color="auto"/>
        <w:left w:val="none" w:sz="0" w:space="0" w:color="auto"/>
        <w:bottom w:val="none" w:sz="0" w:space="0" w:color="auto"/>
        <w:right w:val="none" w:sz="0" w:space="0" w:color="auto"/>
      </w:divBdr>
    </w:div>
    <w:div w:id="394008048">
      <w:bodyDiv w:val="1"/>
      <w:marLeft w:val="0"/>
      <w:marRight w:val="0"/>
      <w:marTop w:val="0"/>
      <w:marBottom w:val="0"/>
      <w:divBdr>
        <w:top w:val="none" w:sz="0" w:space="0" w:color="auto"/>
        <w:left w:val="none" w:sz="0" w:space="0" w:color="auto"/>
        <w:bottom w:val="none" w:sz="0" w:space="0" w:color="auto"/>
        <w:right w:val="none" w:sz="0" w:space="0" w:color="auto"/>
      </w:divBdr>
    </w:div>
    <w:div w:id="599997091">
      <w:bodyDiv w:val="1"/>
      <w:marLeft w:val="0"/>
      <w:marRight w:val="0"/>
      <w:marTop w:val="0"/>
      <w:marBottom w:val="0"/>
      <w:divBdr>
        <w:top w:val="none" w:sz="0" w:space="0" w:color="auto"/>
        <w:left w:val="none" w:sz="0" w:space="0" w:color="auto"/>
        <w:bottom w:val="none" w:sz="0" w:space="0" w:color="auto"/>
        <w:right w:val="none" w:sz="0" w:space="0" w:color="auto"/>
      </w:divBdr>
    </w:div>
    <w:div w:id="687176368">
      <w:bodyDiv w:val="1"/>
      <w:marLeft w:val="0"/>
      <w:marRight w:val="0"/>
      <w:marTop w:val="0"/>
      <w:marBottom w:val="0"/>
      <w:divBdr>
        <w:top w:val="none" w:sz="0" w:space="0" w:color="auto"/>
        <w:left w:val="none" w:sz="0" w:space="0" w:color="auto"/>
        <w:bottom w:val="none" w:sz="0" w:space="0" w:color="auto"/>
        <w:right w:val="none" w:sz="0" w:space="0" w:color="auto"/>
      </w:divBdr>
    </w:div>
    <w:div w:id="715154822">
      <w:bodyDiv w:val="1"/>
      <w:marLeft w:val="0"/>
      <w:marRight w:val="0"/>
      <w:marTop w:val="0"/>
      <w:marBottom w:val="0"/>
      <w:divBdr>
        <w:top w:val="none" w:sz="0" w:space="0" w:color="auto"/>
        <w:left w:val="none" w:sz="0" w:space="0" w:color="auto"/>
        <w:bottom w:val="none" w:sz="0" w:space="0" w:color="auto"/>
        <w:right w:val="none" w:sz="0" w:space="0" w:color="auto"/>
      </w:divBdr>
    </w:div>
    <w:div w:id="758798245">
      <w:bodyDiv w:val="1"/>
      <w:marLeft w:val="0"/>
      <w:marRight w:val="0"/>
      <w:marTop w:val="0"/>
      <w:marBottom w:val="0"/>
      <w:divBdr>
        <w:top w:val="none" w:sz="0" w:space="0" w:color="auto"/>
        <w:left w:val="none" w:sz="0" w:space="0" w:color="auto"/>
        <w:bottom w:val="none" w:sz="0" w:space="0" w:color="auto"/>
        <w:right w:val="none" w:sz="0" w:space="0" w:color="auto"/>
      </w:divBdr>
    </w:div>
    <w:div w:id="780688215">
      <w:bodyDiv w:val="1"/>
      <w:marLeft w:val="0"/>
      <w:marRight w:val="0"/>
      <w:marTop w:val="0"/>
      <w:marBottom w:val="0"/>
      <w:divBdr>
        <w:top w:val="none" w:sz="0" w:space="0" w:color="auto"/>
        <w:left w:val="none" w:sz="0" w:space="0" w:color="auto"/>
        <w:bottom w:val="none" w:sz="0" w:space="0" w:color="auto"/>
        <w:right w:val="none" w:sz="0" w:space="0" w:color="auto"/>
      </w:divBdr>
    </w:div>
    <w:div w:id="924614094">
      <w:bodyDiv w:val="1"/>
      <w:marLeft w:val="0"/>
      <w:marRight w:val="0"/>
      <w:marTop w:val="0"/>
      <w:marBottom w:val="0"/>
      <w:divBdr>
        <w:top w:val="none" w:sz="0" w:space="0" w:color="auto"/>
        <w:left w:val="none" w:sz="0" w:space="0" w:color="auto"/>
        <w:bottom w:val="none" w:sz="0" w:space="0" w:color="auto"/>
        <w:right w:val="none" w:sz="0" w:space="0" w:color="auto"/>
      </w:divBdr>
    </w:div>
    <w:div w:id="988826505">
      <w:bodyDiv w:val="1"/>
      <w:marLeft w:val="0"/>
      <w:marRight w:val="0"/>
      <w:marTop w:val="0"/>
      <w:marBottom w:val="0"/>
      <w:divBdr>
        <w:top w:val="none" w:sz="0" w:space="0" w:color="auto"/>
        <w:left w:val="none" w:sz="0" w:space="0" w:color="auto"/>
        <w:bottom w:val="none" w:sz="0" w:space="0" w:color="auto"/>
        <w:right w:val="none" w:sz="0" w:space="0" w:color="auto"/>
      </w:divBdr>
    </w:div>
    <w:div w:id="1002271491">
      <w:bodyDiv w:val="1"/>
      <w:marLeft w:val="0"/>
      <w:marRight w:val="0"/>
      <w:marTop w:val="0"/>
      <w:marBottom w:val="0"/>
      <w:divBdr>
        <w:top w:val="none" w:sz="0" w:space="0" w:color="auto"/>
        <w:left w:val="none" w:sz="0" w:space="0" w:color="auto"/>
        <w:bottom w:val="none" w:sz="0" w:space="0" w:color="auto"/>
        <w:right w:val="none" w:sz="0" w:space="0" w:color="auto"/>
      </w:divBdr>
    </w:div>
    <w:div w:id="1041634104">
      <w:bodyDiv w:val="1"/>
      <w:marLeft w:val="0"/>
      <w:marRight w:val="0"/>
      <w:marTop w:val="0"/>
      <w:marBottom w:val="0"/>
      <w:divBdr>
        <w:top w:val="none" w:sz="0" w:space="0" w:color="auto"/>
        <w:left w:val="none" w:sz="0" w:space="0" w:color="auto"/>
        <w:bottom w:val="none" w:sz="0" w:space="0" w:color="auto"/>
        <w:right w:val="none" w:sz="0" w:space="0" w:color="auto"/>
      </w:divBdr>
    </w:div>
    <w:div w:id="1128280766">
      <w:bodyDiv w:val="1"/>
      <w:marLeft w:val="0"/>
      <w:marRight w:val="0"/>
      <w:marTop w:val="0"/>
      <w:marBottom w:val="0"/>
      <w:divBdr>
        <w:top w:val="none" w:sz="0" w:space="0" w:color="auto"/>
        <w:left w:val="none" w:sz="0" w:space="0" w:color="auto"/>
        <w:bottom w:val="none" w:sz="0" w:space="0" w:color="auto"/>
        <w:right w:val="none" w:sz="0" w:space="0" w:color="auto"/>
      </w:divBdr>
    </w:div>
    <w:div w:id="1171217505">
      <w:bodyDiv w:val="1"/>
      <w:marLeft w:val="0"/>
      <w:marRight w:val="0"/>
      <w:marTop w:val="0"/>
      <w:marBottom w:val="0"/>
      <w:divBdr>
        <w:top w:val="none" w:sz="0" w:space="0" w:color="auto"/>
        <w:left w:val="none" w:sz="0" w:space="0" w:color="auto"/>
        <w:bottom w:val="none" w:sz="0" w:space="0" w:color="auto"/>
        <w:right w:val="none" w:sz="0" w:space="0" w:color="auto"/>
      </w:divBdr>
    </w:div>
    <w:div w:id="1262833276">
      <w:bodyDiv w:val="1"/>
      <w:marLeft w:val="0"/>
      <w:marRight w:val="0"/>
      <w:marTop w:val="0"/>
      <w:marBottom w:val="0"/>
      <w:divBdr>
        <w:top w:val="none" w:sz="0" w:space="0" w:color="auto"/>
        <w:left w:val="none" w:sz="0" w:space="0" w:color="auto"/>
        <w:bottom w:val="none" w:sz="0" w:space="0" w:color="auto"/>
        <w:right w:val="none" w:sz="0" w:space="0" w:color="auto"/>
      </w:divBdr>
    </w:div>
    <w:div w:id="1291083537">
      <w:bodyDiv w:val="1"/>
      <w:marLeft w:val="0"/>
      <w:marRight w:val="0"/>
      <w:marTop w:val="0"/>
      <w:marBottom w:val="0"/>
      <w:divBdr>
        <w:top w:val="none" w:sz="0" w:space="0" w:color="auto"/>
        <w:left w:val="none" w:sz="0" w:space="0" w:color="auto"/>
        <w:bottom w:val="none" w:sz="0" w:space="0" w:color="auto"/>
        <w:right w:val="none" w:sz="0" w:space="0" w:color="auto"/>
      </w:divBdr>
    </w:div>
    <w:div w:id="1297687981">
      <w:bodyDiv w:val="1"/>
      <w:marLeft w:val="0"/>
      <w:marRight w:val="0"/>
      <w:marTop w:val="0"/>
      <w:marBottom w:val="0"/>
      <w:divBdr>
        <w:top w:val="none" w:sz="0" w:space="0" w:color="auto"/>
        <w:left w:val="none" w:sz="0" w:space="0" w:color="auto"/>
        <w:bottom w:val="none" w:sz="0" w:space="0" w:color="auto"/>
        <w:right w:val="none" w:sz="0" w:space="0" w:color="auto"/>
      </w:divBdr>
    </w:div>
    <w:div w:id="1434130685">
      <w:bodyDiv w:val="1"/>
      <w:marLeft w:val="0"/>
      <w:marRight w:val="0"/>
      <w:marTop w:val="0"/>
      <w:marBottom w:val="0"/>
      <w:divBdr>
        <w:top w:val="none" w:sz="0" w:space="0" w:color="auto"/>
        <w:left w:val="none" w:sz="0" w:space="0" w:color="auto"/>
        <w:bottom w:val="none" w:sz="0" w:space="0" w:color="auto"/>
        <w:right w:val="none" w:sz="0" w:space="0" w:color="auto"/>
      </w:divBdr>
    </w:div>
    <w:div w:id="1467235583">
      <w:bodyDiv w:val="1"/>
      <w:marLeft w:val="0"/>
      <w:marRight w:val="0"/>
      <w:marTop w:val="0"/>
      <w:marBottom w:val="0"/>
      <w:divBdr>
        <w:top w:val="none" w:sz="0" w:space="0" w:color="auto"/>
        <w:left w:val="none" w:sz="0" w:space="0" w:color="auto"/>
        <w:bottom w:val="none" w:sz="0" w:space="0" w:color="auto"/>
        <w:right w:val="none" w:sz="0" w:space="0" w:color="auto"/>
      </w:divBdr>
    </w:div>
    <w:div w:id="1496527088">
      <w:bodyDiv w:val="1"/>
      <w:marLeft w:val="0"/>
      <w:marRight w:val="0"/>
      <w:marTop w:val="0"/>
      <w:marBottom w:val="0"/>
      <w:divBdr>
        <w:top w:val="none" w:sz="0" w:space="0" w:color="auto"/>
        <w:left w:val="none" w:sz="0" w:space="0" w:color="auto"/>
        <w:bottom w:val="none" w:sz="0" w:space="0" w:color="auto"/>
        <w:right w:val="none" w:sz="0" w:space="0" w:color="auto"/>
      </w:divBdr>
    </w:div>
    <w:div w:id="1630470644">
      <w:bodyDiv w:val="1"/>
      <w:marLeft w:val="0"/>
      <w:marRight w:val="0"/>
      <w:marTop w:val="0"/>
      <w:marBottom w:val="0"/>
      <w:divBdr>
        <w:top w:val="none" w:sz="0" w:space="0" w:color="auto"/>
        <w:left w:val="none" w:sz="0" w:space="0" w:color="auto"/>
        <w:bottom w:val="none" w:sz="0" w:space="0" w:color="auto"/>
        <w:right w:val="none" w:sz="0" w:space="0" w:color="auto"/>
      </w:divBdr>
    </w:div>
    <w:div w:id="1821070410">
      <w:bodyDiv w:val="1"/>
      <w:marLeft w:val="0"/>
      <w:marRight w:val="0"/>
      <w:marTop w:val="0"/>
      <w:marBottom w:val="0"/>
      <w:divBdr>
        <w:top w:val="none" w:sz="0" w:space="0" w:color="auto"/>
        <w:left w:val="none" w:sz="0" w:space="0" w:color="auto"/>
        <w:bottom w:val="none" w:sz="0" w:space="0" w:color="auto"/>
        <w:right w:val="none" w:sz="0" w:space="0" w:color="auto"/>
      </w:divBdr>
    </w:div>
    <w:div w:id="1903833550">
      <w:bodyDiv w:val="1"/>
      <w:marLeft w:val="0"/>
      <w:marRight w:val="0"/>
      <w:marTop w:val="0"/>
      <w:marBottom w:val="0"/>
      <w:divBdr>
        <w:top w:val="none" w:sz="0" w:space="0" w:color="auto"/>
        <w:left w:val="none" w:sz="0" w:space="0" w:color="auto"/>
        <w:bottom w:val="none" w:sz="0" w:space="0" w:color="auto"/>
        <w:right w:val="none" w:sz="0" w:space="0" w:color="auto"/>
      </w:divBdr>
    </w:div>
    <w:div w:id="1967740020">
      <w:bodyDiv w:val="1"/>
      <w:marLeft w:val="0"/>
      <w:marRight w:val="0"/>
      <w:marTop w:val="0"/>
      <w:marBottom w:val="0"/>
      <w:divBdr>
        <w:top w:val="none" w:sz="0" w:space="0" w:color="auto"/>
        <w:left w:val="none" w:sz="0" w:space="0" w:color="auto"/>
        <w:bottom w:val="none" w:sz="0" w:space="0" w:color="auto"/>
        <w:right w:val="none" w:sz="0" w:space="0" w:color="auto"/>
      </w:divBdr>
    </w:div>
    <w:div w:id="2071607369">
      <w:bodyDiv w:val="1"/>
      <w:marLeft w:val="0"/>
      <w:marRight w:val="0"/>
      <w:marTop w:val="0"/>
      <w:marBottom w:val="0"/>
      <w:divBdr>
        <w:top w:val="none" w:sz="0" w:space="0" w:color="auto"/>
        <w:left w:val="none" w:sz="0" w:space="0" w:color="auto"/>
        <w:bottom w:val="none" w:sz="0" w:space="0" w:color="auto"/>
        <w:right w:val="none" w:sz="0" w:space="0" w:color="auto"/>
      </w:divBdr>
    </w:div>
    <w:div w:id="21170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5628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11/1748-8583.1213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307/25686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21</Pages>
  <Words>7568</Words>
  <Characters>43141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Manesa</dc:creator>
  <cp:keywords/>
  <dc:description/>
  <cp:lastModifiedBy>Editor-1183</cp:lastModifiedBy>
  <cp:revision>21</cp:revision>
  <dcterms:created xsi:type="dcterms:W3CDTF">2026-04-09T08:40:00Z</dcterms:created>
  <dcterms:modified xsi:type="dcterms:W3CDTF">2026-04-14T10:22:00Z</dcterms:modified>
</cp:coreProperties>
</file>