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598BE" w14:textId="77777777" w:rsidR="00E16BE7" w:rsidRDefault="001E39E8">
      <w:pPr>
        <w:spacing w:line="360" w:lineRule="auto"/>
        <w:jc w:val="center"/>
        <w:rPr>
          <w:b/>
          <w:bCs/>
        </w:rPr>
      </w:pPr>
      <w:r>
        <w:rPr>
          <w:b/>
          <w:bCs/>
        </w:rPr>
        <w:t>AWARENESS TOWARDS STOCK MARKET AMONG COLLEGE STUDENTS</w:t>
      </w:r>
    </w:p>
    <w:p w14:paraId="75846032" w14:textId="77777777" w:rsidR="00E16BE7" w:rsidRDefault="001E39E8">
      <w:pPr>
        <w:spacing w:line="360" w:lineRule="auto"/>
        <w:jc w:val="both"/>
        <w:rPr>
          <w:rFonts w:cs="Times New Roman"/>
          <w:b/>
          <w:bCs/>
        </w:rPr>
      </w:pPr>
      <w:r>
        <w:rPr>
          <w:rFonts w:cs="Times New Roman"/>
          <w:b/>
          <w:bCs/>
        </w:rPr>
        <w:t>ABSTRACT</w:t>
      </w:r>
      <w:bookmarkStart w:id="0" w:name="_GoBack"/>
      <w:bookmarkEnd w:id="0"/>
    </w:p>
    <w:p w14:paraId="155C8C3E" w14:textId="77777777" w:rsidR="00E16BE7" w:rsidRDefault="001E39E8">
      <w:pPr>
        <w:spacing w:line="360" w:lineRule="auto"/>
        <w:jc w:val="both"/>
        <w:rPr>
          <w:rFonts w:cs="Times New Roman"/>
        </w:rPr>
      </w:pPr>
      <w:r>
        <w:rPr>
          <w:rFonts w:cs="Times New Roman"/>
        </w:rPr>
        <w:tab/>
        <w:t>The</w:t>
      </w:r>
      <w:r>
        <w:rPr>
          <w:rFonts w:eastAsia="SimSun" w:cs="Times New Roman"/>
        </w:rPr>
        <w:t xml:space="preserve"> study aims to examine the level of awareness of the stock market among college students and to analyze the relationship between selected socio-economic variables and awareness levels. The study is based </w:t>
      </w:r>
      <w:r>
        <w:rPr>
          <w:rFonts w:eastAsia="SimSun" w:cs="Times New Roman"/>
        </w:rPr>
        <w:t>on both primary and secondary data. Primary data were collected from 45 undergraduate students through a structured questionnaire using a random sampling technique. Statistical tools such as simple percentage analysis, chi-square test, and paired t-test we</w:t>
      </w:r>
      <w:r>
        <w:rPr>
          <w:rFonts w:eastAsia="SimSun" w:cs="Times New Roman"/>
        </w:rPr>
        <w:t>re applied for data analysis. The results reveal that students possess basic knowledge of the stock market</w:t>
      </w:r>
      <w:r>
        <w:rPr>
          <w:rFonts w:eastAsia="SimSun" w:cs="Times New Roman"/>
        </w:rPr>
        <w:t>;</w:t>
      </w:r>
      <w:r>
        <w:rPr>
          <w:rFonts w:eastAsia="SimSun" w:cs="Times New Roman"/>
        </w:rPr>
        <w:t xml:space="preserve"> however, awareness regarding risk factors, regulatory bodies, and technical and fundamental analysis </w:t>
      </w:r>
      <w:r>
        <w:rPr>
          <w:rFonts w:eastAsia="SimSun" w:cs="Times New Roman"/>
        </w:rPr>
        <w:t>is</w:t>
      </w:r>
      <w:r>
        <w:rPr>
          <w:rFonts w:eastAsia="SimSun" w:cs="Times New Roman"/>
        </w:rPr>
        <w:t xml:space="preserve"> relatively low. The chi-square analysis indi</w:t>
      </w:r>
      <w:r>
        <w:rPr>
          <w:rFonts w:eastAsia="SimSun" w:cs="Times New Roman"/>
        </w:rPr>
        <w:t xml:space="preserve">cates that socio economic factors such as area of residence, family income, family savings, and source of information significantly influence awareness levels. The paired t-test confirms that participation in a stock market awareness program significantly </w:t>
      </w:r>
      <w:r>
        <w:rPr>
          <w:rFonts w:eastAsia="SimSun" w:cs="Times New Roman"/>
        </w:rPr>
        <w:t>improved students</w:t>
      </w:r>
      <w:r>
        <w:rPr>
          <w:rFonts w:eastAsia="SimSun" w:cs="Times New Roman"/>
        </w:rPr>
        <w:t>’</w:t>
      </w:r>
      <w:r>
        <w:rPr>
          <w:rFonts w:eastAsia="SimSun" w:cs="Times New Roman"/>
        </w:rPr>
        <w:t xml:space="preserve"> knowledge. The study concluded that</w:t>
      </w:r>
      <w:r>
        <w:rPr>
          <w:rFonts w:eastAsia="SimSun" w:cs="Times New Roman"/>
        </w:rPr>
        <w:t xml:space="preserve"> there is a </w:t>
      </w:r>
      <w:r>
        <w:rPr>
          <w:rFonts w:eastAsia="SimSun" w:cs="Times New Roman"/>
        </w:rPr>
        <w:t>need for structured financial education and practical exposure to enhance stock market awareness among college students.</w:t>
      </w:r>
    </w:p>
    <w:p w14:paraId="4FCA7F11" w14:textId="77777777" w:rsidR="00E16BE7" w:rsidRDefault="001E39E8">
      <w:pPr>
        <w:spacing w:line="360" w:lineRule="auto"/>
        <w:jc w:val="both"/>
        <w:rPr>
          <w:b/>
          <w:bCs/>
        </w:rPr>
      </w:pPr>
      <w:r>
        <w:rPr>
          <w:b/>
          <w:bCs/>
        </w:rPr>
        <w:t xml:space="preserve">Keywords: </w:t>
      </w:r>
      <w:r>
        <w:rPr>
          <w:rFonts w:eastAsia="SimSun" w:cs="Times New Roman"/>
        </w:rPr>
        <w:t>Stock Market Awareness, Financial Literacy, College Student</w:t>
      </w:r>
      <w:r>
        <w:rPr>
          <w:rFonts w:eastAsia="SimSun" w:cs="Times New Roman"/>
        </w:rPr>
        <w:t xml:space="preserve">s, Investment </w:t>
      </w:r>
      <w:proofErr w:type="spellStart"/>
      <w:r>
        <w:rPr>
          <w:rFonts w:eastAsia="SimSun" w:cs="Times New Roman"/>
        </w:rPr>
        <w:t>Behaviour</w:t>
      </w:r>
      <w:proofErr w:type="spellEnd"/>
      <w:r>
        <w:rPr>
          <w:rFonts w:eastAsia="SimSun" w:cs="Times New Roman"/>
        </w:rPr>
        <w:t>, Financial Education, Stock Market Participation</w:t>
      </w:r>
    </w:p>
    <w:p w14:paraId="16981997" w14:textId="77777777" w:rsidR="00E16BE7" w:rsidRDefault="001E39E8">
      <w:pPr>
        <w:spacing w:before="120" w:after="120" w:line="360" w:lineRule="auto"/>
        <w:rPr>
          <w:b/>
          <w:bCs/>
        </w:rPr>
      </w:pPr>
      <w:r>
        <w:rPr>
          <w:b/>
          <w:bCs/>
        </w:rPr>
        <w:t>INTRODUCTION</w:t>
      </w:r>
    </w:p>
    <w:p w14:paraId="639A19A8" w14:textId="77777777" w:rsidR="00E16BE7" w:rsidRDefault="001E39E8">
      <w:pPr>
        <w:spacing w:line="360" w:lineRule="auto"/>
        <w:ind w:firstLine="720"/>
        <w:jc w:val="both"/>
        <w:rPr>
          <w:rFonts w:eastAsia="SimSun" w:cs="Times New Roman"/>
        </w:rPr>
      </w:pPr>
      <w:r>
        <w:rPr>
          <w:rFonts w:eastAsia="SimSun" w:cs="Times New Roman"/>
        </w:rPr>
        <w:t>The stock market is a financial marketplace where securities such as shares, bonds, and other financial instruments are bought and sold. It plays a crucial role in the ec</w:t>
      </w:r>
      <w:r>
        <w:rPr>
          <w:rFonts w:eastAsia="SimSun" w:cs="Times New Roman"/>
        </w:rPr>
        <w:t xml:space="preserve">onomic development of a country by mobilizing savings from individuals and channeling them into productive investments for companies and industries. Through the stock market, companies raise capital to expand their operations, while </w:t>
      </w:r>
      <w:proofErr w:type="gramStart"/>
      <w:r>
        <w:rPr>
          <w:rFonts w:eastAsia="SimSun" w:cs="Times New Roman"/>
        </w:rPr>
        <w:t>investors</w:t>
      </w:r>
      <w:r>
        <w:rPr>
          <w:rFonts w:eastAsia="SimSun" w:cs="Times New Roman"/>
        </w:rPr>
        <w:t>’</w:t>
      </w:r>
      <w:proofErr w:type="gramEnd"/>
      <w:r>
        <w:rPr>
          <w:rFonts w:eastAsia="SimSun" w:cs="Times New Roman"/>
        </w:rPr>
        <w:t xml:space="preserve"> earn returns</w:t>
      </w:r>
      <w:r>
        <w:rPr>
          <w:rFonts w:eastAsia="SimSun" w:cs="Times New Roman"/>
        </w:rPr>
        <w:t xml:space="preserve"> in the form of dividends and capital appreciation.</w:t>
      </w:r>
    </w:p>
    <w:p w14:paraId="53C74B09" w14:textId="77777777" w:rsidR="00E16BE7" w:rsidRDefault="001E39E8">
      <w:pPr>
        <w:spacing w:line="360" w:lineRule="auto"/>
        <w:jc w:val="both"/>
        <w:rPr>
          <w:rFonts w:eastAsia="SimSun" w:cs="Times New Roman"/>
        </w:rPr>
      </w:pPr>
      <w:r>
        <w:rPr>
          <w:rFonts w:eastAsia="SimSun" w:cs="Times New Roman"/>
        </w:rPr>
        <w:tab/>
        <w:t>In India, major stock exchanges such as the Bombay Stock Exchange and the National Stock Exchange provide organized and regulated platforms for trading securities. These exchanges ensure transparency, li</w:t>
      </w:r>
      <w:r>
        <w:rPr>
          <w:rFonts w:eastAsia="SimSun" w:cs="Times New Roman"/>
        </w:rPr>
        <w:t>quidity, and fair pricing through electronic trading systems. The functioning of the stock market is regulated by the Securities and Exchange Board of India to protect investors</w:t>
      </w:r>
      <w:r>
        <w:rPr>
          <w:rFonts w:eastAsia="SimSun" w:cs="Times New Roman"/>
        </w:rPr>
        <w:t>’</w:t>
      </w:r>
      <w:r>
        <w:rPr>
          <w:rFonts w:eastAsia="SimSun" w:cs="Times New Roman"/>
        </w:rPr>
        <w:t xml:space="preserve"> interests and maintain market transparency.</w:t>
      </w:r>
    </w:p>
    <w:p w14:paraId="6BCFF9A4" w14:textId="77777777" w:rsidR="00E16BE7" w:rsidRDefault="001E39E8">
      <w:pPr>
        <w:spacing w:line="360" w:lineRule="auto"/>
        <w:jc w:val="both"/>
        <w:rPr>
          <w:rFonts w:eastAsia="SimSun" w:cs="Times New Roman"/>
        </w:rPr>
      </w:pPr>
      <w:r>
        <w:rPr>
          <w:rFonts w:eastAsia="SimSun" w:cs="Times New Roman"/>
        </w:rPr>
        <w:lastRenderedPageBreak/>
        <w:tab/>
        <w:t xml:space="preserve">In recent years, there has been </w:t>
      </w:r>
      <w:r>
        <w:rPr>
          <w:rFonts w:eastAsia="SimSun" w:cs="Times New Roman"/>
        </w:rPr>
        <w:t>a noticeable increase in interest among college students toward stock market investments. However, awareness levels may vary depending on factors such as financial literacy, educational background, family income and exposure to financial information throug</w:t>
      </w:r>
      <w:r>
        <w:rPr>
          <w:rFonts w:eastAsia="SimSun" w:cs="Times New Roman"/>
        </w:rPr>
        <w:t xml:space="preserve">h digital media. </w:t>
      </w:r>
      <w:proofErr w:type="gramStart"/>
      <w:r>
        <w:rPr>
          <w:rFonts w:eastAsia="SimSun" w:cs="Times New Roman"/>
        </w:rPr>
        <w:t>Sufficient  awareness</w:t>
      </w:r>
      <w:proofErr w:type="gramEnd"/>
      <w:r>
        <w:rPr>
          <w:rFonts w:eastAsia="SimSun" w:cs="Times New Roman"/>
        </w:rPr>
        <w:t xml:space="preserve"> </w:t>
      </w:r>
      <w:r>
        <w:rPr>
          <w:rFonts w:eastAsia="SimSun" w:cs="Times New Roman"/>
        </w:rPr>
        <w:t>is considered important for students to make informed investment decisions and to develop responsible financial habits at an early stage.</w:t>
      </w:r>
    </w:p>
    <w:p w14:paraId="785931F5" w14:textId="77777777" w:rsidR="00E16BE7" w:rsidRDefault="001E39E8">
      <w:pPr>
        <w:spacing w:before="120" w:after="120" w:line="360" w:lineRule="auto"/>
        <w:jc w:val="both"/>
        <w:rPr>
          <w:rFonts w:cs="Times New Roman"/>
          <w:b/>
          <w:bCs/>
        </w:rPr>
      </w:pPr>
      <w:r>
        <w:rPr>
          <w:rFonts w:cs="Times New Roman"/>
          <w:b/>
          <w:bCs/>
        </w:rPr>
        <w:t>REVIEW OF LITERATURE</w:t>
      </w:r>
    </w:p>
    <w:p w14:paraId="193D71E2" w14:textId="77777777" w:rsidR="00E16BE7" w:rsidRDefault="001E39E8">
      <w:pPr>
        <w:spacing w:before="120" w:after="120" w:line="360" w:lineRule="auto"/>
        <w:jc w:val="both"/>
        <w:rPr>
          <w:rFonts w:cs="Times New Roman"/>
        </w:rPr>
      </w:pPr>
      <w:r>
        <w:rPr>
          <w:b/>
          <w:bCs/>
          <w:i/>
          <w:iCs/>
        </w:rPr>
        <w:t xml:space="preserve">Maarten van </w:t>
      </w:r>
      <w:proofErr w:type="spellStart"/>
      <w:r>
        <w:rPr>
          <w:b/>
          <w:bCs/>
          <w:i/>
          <w:iCs/>
        </w:rPr>
        <w:t>Rooij</w:t>
      </w:r>
      <w:proofErr w:type="spellEnd"/>
      <w:r>
        <w:rPr>
          <w:rStyle w:val="Strong"/>
          <w:i/>
          <w:iCs/>
        </w:rPr>
        <w:t xml:space="preserve">, </w:t>
      </w:r>
      <w:r>
        <w:rPr>
          <w:b/>
          <w:bCs/>
          <w:i/>
          <w:iCs/>
        </w:rPr>
        <w:t>Annamaria Lusardi</w:t>
      </w:r>
      <w:r>
        <w:rPr>
          <w:rStyle w:val="Strong"/>
          <w:i/>
          <w:iCs/>
        </w:rPr>
        <w:t xml:space="preserve"> and </w:t>
      </w:r>
      <w:r>
        <w:rPr>
          <w:b/>
          <w:bCs/>
          <w:i/>
          <w:iCs/>
        </w:rPr>
        <w:t xml:space="preserve">Rob </w:t>
      </w:r>
      <w:proofErr w:type="spellStart"/>
      <w:r>
        <w:rPr>
          <w:b/>
          <w:bCs/>
          <w:i/>
          <w:iCs/>
        </w:rPr>
        <w:t>Alessie</w:t>
      </w:r>
      <w:proofErr w:type="spellEnd"/>
      <w:r>
        <w:rPr>
          <w:rStyle w:val="Strong"/>
          <w:i/>
          <w:iCs/>
        </w:rPr>
        <w:t xml:space="preserve"> </w:t>
      </w:r>
      <w:r>
        <w:rPr>
          <w:rStyle w:val="Strong"/>
        </w:rPr>
        <w:t>(2011</w:t>
      </w:r>
      <w:r>
        <w:rPr>
          <w:rStyle w:val="Strong"/>
        </w:rPr>
        <w:t>)</w:t>
      </w:r>
      <w:r>
        <w:t xml:space="preserve"> found a strong positive relationship between financial literacy and stock market participation. Their findings indicate that individuals with better financial understanding are significantly more likely to invest in stocks, suggesting that awareness play</w:t>
      </w:r>
      <w:r>
        <w:t xml:space="preserve">s a crucial role in investment </w:t>
      </w:r>
      <w:proofErr w:type="spellStart"/>
      <w:r>
        <w:t>behaviour</w:t>
      </w:r>
      <w:proofErr w:type="spellEnd"/>
      <w:r>
        <w:t xml:space="preserve">. </w:t>
      </w:r>
      <w:r>
        <w:rPr>
          <w:b/>
          <w:bCs/>
          <w:i/>
          <w:iCs/>
        </w:rPr>
        <w:t>Annamaria Lusardi</w:t>
      </w:r>
      <w:r>
        <w:rPr>
          <w:rStyle w:val="Strong"/>
          <w:i/>
          <w:iCs/>
        </w:rPr>
        <w:t xml:space="preserve"> and </w:t>
      </w:r>
      <w:r>
        <w:rPr>
          <w:b/>
          <w:bCs/>
          <w:i/>
          <w:iCs/>
        </w:rPr>
        <w:t>Olivia S. Mitchell</w:t>
      </w:r>
      <w:r>
        <w:rPr>
          <w:rStyle w:val="Strong"/>
        </w:rPr>
        <w:t xml:space="preserve"> (2014)</w:t>
      </w:r>
      <w:r>
        <w:t xml:space="preserve"> emphasized the economic importance of financial literacy and demonstrated that individuals with higher financial knowledge are more likely to participate in financial markets, including the stock market. The study highlights that lack of financial literac</w:t>
      </w:r>
      <w:r>
        <w:t xml:space="preserve">y is a major barrier to effective investment decision-making. </w:t>
      </w:r>
      <w:proofErr w:type="spellStart"/>
      <w:r>
        <w:rPr>
          <w:b/>
          <w:bCs/>
          <w:i/>
          <w:iCs/>
        </w:rPr>
        <w:t>Aabida</w:t>
      </w:r>
      <w:proofErr w:type="spellEnd"/>
      <w:r>
        <w:rPr>
          <w:b/>
          <w:bCs/>
          <w:i/>
          <w:iCs/>
        </w:rPr>
        <w:t xml:space="preserve"> Akhter</w:t>
      </w:r>
      <w:r>
        <w:rPr>
          <w:rStyle w:val="Strong"/>
          <w:i/>
          <w:iCs/>
        </w:rPr>
        <w:t xml:space="preserve"> and </w:t>
      </w:r>
      <w:proofErr w:type="spellStart"/>
      <w:r>
        <w:rPr>
          <w:b/>
          <w:bCs/>
          <w:i/>
          <w:iCs/>
        </w:rPr>
        <w:t>Mohi</w:t>
      </w:r>
      <w:proofErr w:type="spellEnd"/>
      <w:r>
        <w:rPr>
          <w:b/>
          <w:bCs/>
          <w:i/>
          <w:iCs/>
        </w:rPr>
        <w:t>-</w:t>
      </w:r>
      <w:proofErr w:type="spellStart"/>
      <w:r>
        <w:rPr>
          <w:b/>
          <w:bCs/>
          <w:i/>
          <w:iCs/>
        </w:rPr>
        <w:t>ud</w:t>
      </w:r>
      <w:proofErr w:type="spellEnd"/>
      <w:r>
        <w:rPr>
          <w:b/>
          <w:bCs/>
          <w:i/>
          <w:iCs/>
        </w:rPr>
        <w:t xml:space="preserve">-Din </w:t>
      </w:r>
      <w:proofErr w:type="spellStart"/>
      <w:r>
        <w:rPr>
          <w:b/>
          <w:bCs/>
          <w:i/>
          <w:iCs/>
        </w:rPr>
        <w:t>Sangmi</w:t>
      </w:r>
      <w:proofErr w:type="spellEnd"/>
      <w:r>
        <w:rPr>
          <w:rStyle w:val="Strong"/>
          <w:i/>
          <w:iCs/>
        </w:rPr>
        <w:t xml:space="preserve"> </w:t>
      </w:r>
      <w:r>
        <w:rPr>
          <w:rStyle w:val="Strong"/>
        </w:rPr>
        <w:t>(2015)</w:t>
      </w:r>
      <w:r>
        <w:rPr>
          <w:b/>
          <w:bCs/>
          <w:i/>
          <w:iCs/>
        </w:rPr>
        <w:t xml:space="preserve"> </w:t>
      </w:r>
      <w:r>
        <w:t>examined stock market awareness among educated youth in India and found that awareness levels were generally low to moderate. The study highlighted th</w:t>
      </w:r>
      <w:r>
        <w:t xml:space="preserve">at lack of financial education and practical exposure are the key reasons for limited participation in stock market </w:t>
      </w:r>
      <w:proofErr w:type="spellStart"/>
      <w:r>
        <w:t>activities.</w:t>
      </w:r>
      <w:r>
        <w:rPr>
          <w:b/>
          <w:bCs/>
          <w:i/>
          <w:iCs/>
        </w:rPr>
        <w:t>Kapil</w:t>
      </w:r>
      <w:proofErr w:type="spellEnd"/>
      <w:r>
        <w:rPr>
          <w:b/>
          <w:bCs/>
          <w:i/>
          <w:iCs/>
        </w:rPr>
        <w:t xml:space="preserve"> Choudhary</w:t>
      </w:r>
      <w:r>
        <w:rPr>
          <w:rStyle w:val="Strong"/>
          <w:i/>
          <w:iCs/>
        </w:rPr>
        <w:t xml:space="preserve"> and </w:t>
      </w:r>
      <w:proofErr w:type="spellStart"/>
      <w:r>
        <w:rPr>
          <w:b/>
          <w:bCs/>
          <w:i/>
          <w:iCs/>
        </w:rPr>
        <w:t>Samriti</w:t>
      </w:r>
      <w:proofErr w:type="spellEnd"/>
      <w:r>
        <w:rPr>
          <w:b/>
          <w:bCs/>
          <w:i/>
          <w:iCs/>
        </w:rPr>
        <w:t xml:space="preserve"> Kamboj</w:t>
      </w:r>
      <w:r>
        <w:rPr>
          <w:rStyle w:val="Strong"/>
        </w:rPr>
        <w:t xml:space="preserve"> (2017)</w:t>
      </w:r>
      <w:r>
        <w:t xml:space="preserve"> analyzed the determinants of financial literacy in India and concluded that factors suc</w:t>
      </w:r>
      <w:r>
        <w:t xml:space="preserve">h as education, income, and access to financial information significantly influence financial awareness, which in turn affects investment </w:t>
      </w:r>
      <w:proofErr w:type="spellStart"/>
      <w:r>
        <w:t>decisions.</w:t>
      </w:r>
      <w:r>
        <w:rPr>
          <w:b/>
          <w:bCs/>
          <w:i/>
          <w:iCs/>
        </w:rPr>
        <w:t>Tek</w:t>
      </w:r>
      <w:proofErr w:type="spellEnd"/>
      <w:r>
        <w:rPr>
          <w:b/>
          <w:bCs/>
          <w:i/>
          <w:iCs/>
        </w:rPr>
        <w:t xml:space="preserve"> Chand</w:t>
      </w:r>
      <w:r>
        <w:rPr>
          <w:rStyle w:val="Strong"/>
          <w:i/>
          <w:iCs/>
        </w:rPr>
        <w:t xml:space="preserve"> </w:t>
      </w:r>
      <w:r>
        <w:rPr>
          <w:rStyle w:val="Strong"/>
        </w:rPr>
        <w:t>(2022)</w:t>
      </w:r>
      <w:r>
        <w:t xml:space="preserve"> studied retail investors’ awareness in the Delhi-NCR region and found that demographic fact</w:t>
      </w:r>
      <w:r>
        <w:t xml:space="preserve">ors such as income and education level play a significant role in shaping stock market awareness and participation </w:t>
      </w:r>
      <w:proofErr w:type="spellStart"/>
      <w:r>
        <w:t>behaviour.</w:t>
      </w:r>
      <w:r>
        <w:rPr>
          <w:b/>
          <w:bCs/>
          <w:i/>
          <w:iCs/>
        </w:rPr>
        <w:t>Amit</w:t>
      </w:r>
      <w:proofErr w:type="spellEnd"/>
      <w:r>
        <w:rPr>
          <w:b/>
          <w:bCs/>
          <w:i/>
          <w:iCs/>
        </w:rPr>
        <w:t xml:space="preserve"> Kumar Nag</w:t>
      </w:r>
      <w:r>
        <w:rPr>
          <w:rStyle w:val="Strong"/>
          <w:i/>
          <w:iCs/>
        </w:rPr>
        <w:t xml:space="preserve"> and </w:t>
      </w:r>
      <w:proofErr w:type="spellStart"/>
      <w:r>
        <w:rPr>
          <w:b/>
          <w:bCs/>
          <w:i/>
          <w:iCs/>
        </w:rPr>
        <w:t>Janil</w:t>
      </w:r>
      <w:proofErr w:type="spellEnd"/>
      <w:r>
        <w:rPr>
          <w:b/>
          <w:bCs/>
          <w:i/>
          <w:iCs/>
        </w:rPr>
        <w:t xml:space="preserve"> Shah</w:t>
      </w:r>
      <w:r>
        <w:rPr>
          <w:rStyle w:val="Strong"/>
        </w:rPr>
        <w:t xml:space="preserve"> (2022)</w:t>
      </w:r>
      <w:r>
        <w:t xml:space="preserve"> focused on Gen Z investors and observed that financial literacy has a strong positive impact o</w:t>
      </w:r>
      <w:r>
        <w:t xml:space="preserve">n stock market participation. However, they noted that many young investors still lack deep understanding of risk and </w:t>
      </w:r>
      <w:proofErr w:type="spellStart"/>
      <w:r>
        <w:t>diversification.</w:t>
      </w:r>
      <w:r>
        <w:rPr>
          <w:b/>
          <w:bCs/>
          <w:i/>
          <w:iCs/>
        </w:rPr>
        <w:t>Sayali</w:t>
      </w:r>
      <w:proofErr w:type="spellEnd"/>
      <w:r>
        <w:rPr>
          <w:b/>
          <w:bCs/>
          <w:i/>
          <w:iCs/>
        </w:rPr>
        <w:t xml:space="preserve"> R. Patil</w:t>
      </w:r>
      <w:r>
        <w:rPr>
          <w:rStyle w:val="Strong"/>
          <w:i/>
          <w:iCs/>
        </w:rPr>
        <w:t xml:space="preserve"> and </w:t>
      </w:r>
      <w:r>
        <w:rPr>
          <w:b/>
          <w:bCs/>
          <w:i/>
          <w:iCs/>
        </w:rPr>
        <w:t>Sudarshan D. Jadhav</w:t>
      </w:r>
      <w:r>
        <w:rPr>
          <w:rStyle w:val="Strong"/>
          <w:i/>
          <w:iCs/>
        </w:rPr>
        <w:t xml:space="preserve"> </w:t>
      </w:r>
      <w:r>
        <w:rPr>
          <w:rStyle w:val="Strong"/>
        </w:rPr>
        <w:t>(2023)</w:t>
      </w:r>
      <w:r>
        <w:t xml:space="preserve"> found that although students show interest in stock market investment, thei</w:t>
      </w:r>
      <w:r>
        <w:t xml:space="preserve">r actual participation is low due to limited knowledge, fear of risk, and lack of financial </w:t>
      </w:r>
      <w:proofErr w:type="spellStart"/>
      <w:r>
        <w:t>resources.</w:t>
      </w:r>
      <w:r>
        <w:rPr>
          <w:b/>
          <w:bCs/>
          <w:i/>
          <w:iCs/>
        </w:rPr>
        <w:t>Devansh</w:t>
      </w:r>
      <w:proofErr w:type="spellEnd"/>
      <w:r>
        <w:rPr>
          <w:b/>
          <w:bCs/>
          <w:i/>
          <w:iCs/>
        </w:rPr>
        <w:t xml:space="preserve"> </w:t>
      </w:r>
      <w:proofErr w:type="spellStart"/>
      <w:r>
        <w:rPr>
          <w:b/>
          <w:bCs/>
          <w:i/>
          <w:iCs/>
        </w:rPr>
        <w:t>Priye</w:t>
      </w:r>
      <w:proofErr w:type="spellEnd"/>
      <w:r>
        <w:rPr>
          <w:rStyle w:val="Strong"/>
          <w:i/>
          <w:iCs/>
        </w:rPr>
        <w:t xml:space="preserve"> and </w:t>
      </w:r>
      <w:proofErr w:type="spellStart"/>
      <w:r>
        <w:rPr>
          <w:b/>
          <w:bCs/>
          <w:i/>
          <w:iCs/>
        </w:rPr>
        <w:t>Sumit</w:t>
      </w:r>
      <w:proofErr w:type="spellEnd"/>
      <w:r>
        <w:rPr>
          <w:b/>
          <w:bCs/>
          <w:i/>
          <w:iCs/>
        </w:rPr>
        <w:t xml:space="preserve"> </w:t>
      </w:r>
      <w:proofErr w:type="spellStart"/>
      <w:r>
        <w:rPr>
          <w:b/>
          <w:bCs/>
          <w:i/>
          <w:iCs/>
        </w:rPr>
        <w:t>Sangwan</w:t>
      </w:r>
      <w:proofErr w:type="spellEnd"/>
      <w:r>
        <w:rPr>
          <w:rStyle w:val="Strong"/>
        </w:rPr>
        <w:t xml:space="preserve"> (2023)</w:t>
      </w:r>
      <w:r>
        <w:t xml:space="preserve"> reported that students possess basic awareness of stock </w:t>
      </w:r>
      <w:r>
        <w:lastRenderedPageBreak/>
        <w:t>market concepts, but their understanding of risk and tradin</w:t>
      </w:r>
      <w:r>
        <w:t>g strategies remains inadequate, restricting their active involvement.</w:t>
      </w:r>
      <w:r>
        <w:t xml:space="preserve"> </w:t>
      </w:r>
      <w:r>
        <w:rPr>
          <w:rFonts w:eastAsia="SimSun" w:cs="Times New Roman"/>
          <w:b/>
          <w:bCs/>
          <w:i/>
          <w:iCs/>
        </w:rPr>
        <w:t xml:space="preserve">Sangeeta Mangesh Bhosale1, Bharati </w:t>
      </w:r>
      <w:proofErr w:type="gramStart"/>
      <w:r>
        <w:rPr>
          <w:rFonts w:eastAsia="SimSun" w:cs="Times New Roman"/>
          <w:b/>
          <w:bCs/>
          <w:i/>
          <w:iCs/>
        </w:rPr>
        <w:t>Makhijani</w:t>
      </w:r>
      <w:r>
        <w:rPr>
          <w:rFonts w:eastAsia="SimSun" w:cs="Times New Roman"/>
          <w:b/>
          <w:bCs/>
        </w:rPr>
        <w:t>(</w:t>
      </w:r>
      <w:proofErr w:type="gramEnd"/>
      <w:r>
        <w:rPr>
          <w:rFonts w:eastAsia="SimSun" w:cs="Times New Roman"/>
          <w:b/>
          <w:bCs/>
        </w:rPr>
        <w:t xml:space="preserve">2025) </w:t>
      </w:r>
      <w:r>
        <w:rPr>
          <w:rFonts w:eastAsia="SimSun" w:cs="Times New Roman"/>
        </w:rPr>
        <w:t xml:space="preserve"> examine students’ attitudes towards the stock market, identify the reasons for their non-participation, and </w:t>
      </w:r>
      <w:proofErr w:type="spellStart"/>
      <w:r>
        <w:rPr>
          <w:rFonts w:eastAsia="SimSun" w:cs="Times New Roman"/>
        </w:rPr>
        <w:t>analyse</w:t>
      </w:r>
      <w:proofErr w:type="spellEnd"/>
      <w:r>
        <w:rPr>
          <w:rFonts w:eastAsia="SimSun" w:cs="Times New Roman"/>
        </w:rPr>
        <w:t xml:space="preserve"> their level of sa</w:t>
      </w:r>
      <w:r>
        <w:rPr>
          <w:rFonts w:eastAsia="SimSun" w:cs="Times New Roman"/>
        </w:rPr>
        <w:t>tisfaction with investments</w:t>
      </w:r>
      <w:r>
        <w:rPr>
          <w:rFonts w:eastAsia="SimSun" w:cs="Times New Roman"/>
        </w:rPr>
        <w:t>, t</w:t>
      </w:r>
      <w:r>
        <w:rPr>
          <w:rFonts w:eastAsia="SimSun" w:cs="Times New Roman"/>
        </w:rPr>
        <w:t xml:space="preserve">he findings indicate that </w:t>
      </w:r>
      <w:r>
        <w:rPr>
          <w:rFonts w:eastAsia="SimSun" w:cs="Times New Roman"/>
        </w:rPr>
        <w:t>there is a</w:t>
      </w:r>
      <w:r>
        <w:rPr>
          <w:rFonts w:eastAsia="SimSun" w:cs="Times New Roman"/>
        </w:rPr>
        <w:t xml:space="preserve"> lack</w:t>
      </w:r>
      <w:r>
        <w:rPr>
          <w:rFonts w:eastAsia="SimSun" w:cs="Times New Roman"/>
        </w:rPr>
        <w:t xml:space="preserve"> of</w:t>
      </w:r>
      <w:r>
        <w:rPr>
          <w:rFonts w:eastAsia="SimSun" w:cs="Times New Roman"/>
        </w:rPr>
        <w:t xml:space="preserve"> adequate awareness and avoids investing due to perceived risk and misconceptions about the need for financial expertise.</w:t>
      </w:r>
    </w:p>
    <w:p w14:paraId="3CAB6D5F" w14:textId="77777777" w:rsidR="00E16BE7" w:rsidRDefault="001E39E8">
      <w:pPr>
        <w:spacing w:before="120" w:after="120" w:line="360" w:lineRule="auto"/>
        <w:jc w:val="both"/>
        <w:rPr>
          <w:rFonts w:eastAsia="SimSun" w:cs="Times New Roman"/>
          <w:b/>
          <w:bCs/>
        </w:rPr>
      </w:pPr>
      <w:r>
        <w:rPr>
          <w:rFonts w:eastAsia="SimSun" w:cs="Times New Roman"/>
          <w:b/>
          <w:bCs/>
        </w:rPr>
        <w:t>STATEMENT OF PROBLEM</w:t>
      </w:r>
    </w:p>
    <w:p w14:paraId="5B2723CA" w14:textId="77777777" w:rsidR="00E16BE7" w:rsidRDefault="001E39E8">
      <w:pPr>
        <w:spacing w:line="360" w:lineRule="auto"/>
        <w:ind w:firstLine="720"/>
        <w:jc w:val="both"/>
      </w:pPr>
      <w:r>
        <w:t>The stock market has emerged as an impo</w:t>
      </w:r>
      <w:r>
        <w:t>rtant platform for investment and wealth creation in India which is supported by institutions such as the Bombay Stock Exchange and the National Stock Exchange. With the rapid growth of digital trading platforms and increased access to financial informatio</w:t>
      </w:r>
      <w:r>
        <w:t>n, young individuals, particularly college students, are increasingly exposed to stock market activities.</w:t>
      </w:r>
    </w:p>
    <w:p w14:paraId="57B70078" w14:textId="77777777" w:rsidR="00E16BE7" w:rsidRDefault="001E39E8">
      <w:pPr>
        <w:spacing w:line="360" w:lineRule="auto"/>
        <w:ind w:firstLine="720"/>
        <w:jc w:val="both"/>
      </w:pPr>
      <w:r>
        <w:t>However, despite greater accessibility, many college students are facing lack of adequate knowledge, practical exposure, and confidence to participate</w:t>
      </w:r>
      <w:r>
        <w:t xml:space="preserve"> effectively in the stock market. Limited financial literacy, misunderstanding about risk, insufficient guidance, and dependence on informal sources of information such as social media may influence their awareness and investment decisions.</w:t>
      </w:r>
    </w:p>
    <w:p w14:paraId="5426D7D8" w14:textId="77777777" w:rsidR="00E16BE7" w:rsidRDefault="001E39E8">
      <w:pPr>
        <w:spacing w:before="120" w:after="120" w:line="360" w:lineRule="auto"/>
        <w:jc w:val="both"/>
        <w:rPr>
          <w:rFonts w:eastAsia="SimSun" w:cs="Times New Roman"/>
          <w:b/>
          <w:bCs/>
          <w:color w:val="000000"/>
          <w:lang w:bidi="ar"/>
        </w:rPr>
      </w:pPr>
      <w:r>
        <w:rPr>
          <w:rFonts w:eastAsia="SimSun" w:cs="Times New Roman"/>
          <w:b/>
          <w:bCs/>
          <w:color w:val="000000"/>
          <w:lang w:bidi="ar"/>
        </w:rPr>
        <w:t xml:space="preserve">OBJECTIVE OF </w:t>
      </w:r>
      <w:r>
        <w:rPr>
          <w:rFonts w:eastAsia="SimSun" w:cs="Times New Roman"/>
          <w:b/>
          <w:bCs/>
          <w:color w:val="000000"/>
          <w:lang w:bidi="ar"/>
        </w:rPr>
        <w:t>THE STUDY</w:t>
      </w:r>
    </w:p>
    <w:p w14:paraId="4D7E017F" w14:textId="77777777" w:rsidR="00E16BE7" w:rsidRDefault="001E39E8">
      <w:pPr>
        <w:numPr>
          <w:ilvl w:val="0"/>
          <w:numId w:val="11"/>
        </w:numPr>
        <w:spacing w:line="360" w:lineRule="auto"/>
        <w:jc w:val="both"/>
        <w:rPr>
          <w:rFonts w:eastAsia="SimSun" w:cs="Times New Roman"/>
          <w:color w:val="000000"/>
          <w:lang w:bidi="ar"/>
        </w:rPr>
      </w:pPr>
      <w:r>
        <w:rPr>
          <w:rFonts w:eastAsia="SimSun" w:cs="Times New Roman"/>
          <w:color w:val="000000"/>
          <w:lang w:bidi="ar"/>
        </w:rPr>
        <w:t xml:space="preserve">To know the </w:t>
      </w:r>
      <w:proofErr w:type="gramStart"/>
      <w:r>
        <w:rPr>
          <w:rFonts w:eastAsia="SimSun" w:cs="Times New Roman"/>
          <w:color w:val="000000"/>
          <w:lang w:bidi="ar"/>
        </w:rPr>
        <w:t>Socio Economic</w:t>
      </w:r>
      <w:proofErr w:type="gramEnd"/>
      <w:r>
        <w:rPr>
          <w:rFonts w:eastAsia="SimSun" w:cs="Times New Roman"/>
          <w:color w:val="000000"/>
          <w:lang w:bidi="ar"/>
        </w:rPr>
        <w:t xml:space="preserve"> profile of the students.</w:t>
      </w:r>
    </w:p>
    <w:p w14:paraId="05032EFA" w14:textId="77777777" w:rsidR="00E16BE7" w:rsidRDefault="001E39E8">
      <w:pPr>
        <w:numPr>
          <w:ilvl w:val="0"/>
          <w:numId w:val="11"/>
        </w:numPr>
        <w:spacing w:line="360" w:lineRule="auto"/>
        <w:jc w:val="both"/>
        <w:rPr>
          <w:rFonts w:eastAsia="SimSun" w:cs="Times New Roman"/>
          <w:color w:val="000000"/>
          <w:lang w:bidi="ar"/>
        </w:rPr>
      </w:pPr>
      <w:r>
        <w:rPr>
          <w:rFonts w:eastAsia="SimSun" w:cs="Times New Roman"/>
          <w:color w:val="000000"/>
          <w:lang w:bidi="ar"/>
        </w:rPr>
        <w:t>To find the relationship between select variable with level of awareness</w:t>
      </w:r>
    </w:p>
    <w:p w14:paraId="2C2323E6" w14:textId="77777777" w:rsidR="00E16BE7" w:rsidRDefault="001E39E8">
      <w:pPr>
        <w:numPr>
          <w:ilvl w:val="0"/>
          <w:numId w:val="11"/>
        </w:numPr>
        <w:spacing w:line="360" w:lineRule="auto"/>
        <w:jc w:val="both"/>
        <w:rPr>
          <w:rFonts w:eastAsia="SimSun" w:cs="Times New Roman"/>
          <w:color w:val="000000"/>
          <w:lang w:bidi="ar"/>
        </w:rPr>
      </w:pPr>
      <w:r>
        <w:rPr>
          <w:rFonts w:eastAsia="SimSun" w:cs="Times New Roman"/>
          <w:color w:val="000000"/>
          <w:lang w:bidi="ar"/>
        </w:rPr>
        <w:t xml:space="preserve">To know the impact of </w:t>
      </w:r>
      <w:proofErr w:type="gramStart"/>
      <w:r>
        <w:rPr>
          <w:rFonts w:eastAsia="SimSun" w:cs="Times New Roman"/>
          <w:color w:val="000000"/>
          <w:lang w:bidi="ar"/>
        </w:rPr>
        <w:t>students</w:t>
      </w:r>
      <w:proofErr w:type="gramEnd"/>
      <w:r>
        <w:rPr>
          <w:rFonts w:eastAsia="SimSun" w:cs="Times New Roman"/>
          <w:color w:val="000000"/>
          <w:lang w:bidi="ar"/>
        </w:rPr>
        <w:t xml:space="preserve"> level on stock market before and after attending the program.</w:t>
      </w:r>
    </w:p>
    <w:p w14:paraId="11F1E16F" w14:textId="77777777" w:rsidR="00E16BE7" w:rsidRDefault="001E39E8">
      <w:pPr>
        <w:spacing w:before="120" w:after="120" w:line="360" w:lineRule="auto"/>
        <w:jc w:val="both"/>
        <w:rPr>
          <w:rFonts w:eastAsia="SimSun" w:cs="Times New Roman"/>
          <w:b/>
          <w:bCs/>
        </w:rPr>
      </w:pPr>
      <w:r>
        <w:rPr>
          <w:rFonts w:eastAsia="SimSun" w:cs="Times New Roman"/>
          <w:b/>
          <w:bCs/>
        </w:rPr>
        <w:t>METHODOLOGY</w:t>
      </w:r>
    </w:p>
    <w:p w14:paraId="2EAC25CB" w14:textId="77777777" w:rsidR="00E16BE7" w:rsidRDefault="001E39E8">
      <w:pPr>
        <w:spacing w:line="360" w:lineRule="auto"/>
        <w:ind w:firstLine="720"/>
        <w:jc w:val="both"/>
        <w:rPr>
          <w:rFonts w:eastAsia="SimSun" w:cs="Times New Roman"/>
          <w:b/>
          <w:bCs/>
        </w:rPr>
      </w:pPr>
      <w:r>
        <w:rPr>
          <w:rFonts w:eastAsia="SimSun" w:cs="Times New Roman"/>
        </w:rPr>
        <w:t xml:space="preserve">The study is based on both primary and secondary data. Primary data </w:t>
      </w:r>
      <w:r>
        <w:rPr>
          <w:rFonts w:eastAsia="SimSun" w:cs="Times New Roman"/>
        </w:rPr>
        <w:t xml:space="preserve">were </w:t>
      </w:r>
      <w:r>
        <w:rPr>
          <w:rFonts w:eastAsia="SimSun" w:cs="Times New Roman"/>
        </w:rPr>
        <w:t>collected through</w:t>
      </w:r>
      <w:r>
        <w:rPr>
          <w:rFonts w:eastAsia="SimSun" w:cs="Times New Roman"/>
        </w:rPr>
        <w:t xml:space="preserve"> a </w:t>
      </w:r>
      <w:r>
        <w:rPr>
          <w:rFonts w:eastAsia="SimSun" w:cs="Times New Roman"/>
        </w:rPr>
        <w:t xml:space="preserve">structured questionnaire. Secondary data were collected from </w:t>
      </w:r>
      <w:proofErr w:type="gramStart"/>
      <w:r>
        <w:rPr>
          <w:rFonts w:eastAsia="SimSun" w:cs="Times New Roman"/>
        </w:rPr>
        <w:t>various  sources</w:t>
      </w:r>
      <w:proofErr w:type="gramEnd"/>
      <w:r>
        <w:rPr>
          <w:rFonts w:eastAsia="SimSun" w:cs="Times New Roman"/>
        </w:rPr>
        <w:t xml:space="preserve"> such as research articles, journals and websites. 45 UG students have been chosen for</w:t>
      </w:r>
      <w:r>
        <w:rPr>
          <w:rFonts w:eastAsia="SimSun" w:cs="Times New Roman"/>
        </w:rPr>
        <w:t xml:space="preserve"> the study to collect required data by adapting random sampling technique. Statistical tools namely Simple Percentage analysis, Chi-square test and Paired ‘t’ test are used for the study.</w:t>
      </w:r>
    </w:p>
    <w:p w14:paraId="0A3F862C" w14:textId="77777777" w:rsidR="00E16BE7" w:rsidRDefault="001E39E8">
      <w:pPr>
        <w:spacing w:before="120" w:after="120" w:line="360" w:lineRule="auto"/>
        <w:jc w:val="both"/>
        <w:rPr>
          <w:rFonts w:eastAsia="SimSun" w:cs="Times New Roman"/>
          <w:b/>
          <w:bCs/>
        </w:rPr>
      </w:pPr>
      <w:r>
        <w:rPr>
          <w:rFonts w:eastAsia="SimSun" w:cs="Times New Roman"/>
          <w:b/>
          <w:bCs/>
        </w:rPr>
        <w:t>FINDINGS OF THE STUDY</w:t>
      </w:r>
    </w:p>
    <w:p w14:paraId="653B601E" w14:textId="77777777" w:rsidR="00E16BE7" w:rsidRDefault="001E39E8">
      <w:pPr>
        <w:spacing w:line="360" w:lineRule="auto"/>
        <w:jc w:val="center"/>
        <w:rPr>
          <w:rFonts w:eastAsia="SimSun" w:cs="Times New Roman"/>
          <w:b/>
          <w:bCs/>
        </w:rPr>
      </w:pPr>
      <w:r>
        <w:rPr>
          <w:rFonts w:eastAsia="SimSun" w:cs="Times New Roman"/>
          <w:b/>
          <w:bCs/>
        </w:rPr>
        <w:lastRenderedPageBreak/>
        <w:t xml:space="preserve">Table No </w:t>
      </w:r>
      <w:proofErr w:type="gramStart"/>
      <w:r>
        <w:rPr>
          <w:rFonts w:eastAsia="SimSun" w:cs="Times New Roman"/>
          <w:b/>
          <w:bCs/>
        </w:rPr>
        <w:t>1 :</w:t>
      </w:r>
      <w:proofErr w:type="gramEnd"/>
      <w:r>
        <w:rPr>
          <w:rFonts w:eastAsia="SimSun" w:cs="Times New Roman"/>
          <w:b/>
          <w:bCs/>
        </w:rPr>
        <w:t xml:space="preserve"> Socio Economic Profile - Simple P</w:t>
      </w:r>
      <w:r>
        <w:rPr>
          <w:rFonts w:eastAsia="SimSun" w:cs="Times New Roman"/>
          <w:b/>
          <w:bCs/>
        </w:rPr>
        <w:t>ercentage Test</w:t>
      </w:r>
    </w:p>
    <w:tbl>
      <w:tblPr>
        <w:tblStyle w:val="TableGrid"/>
        <w:tblW w:w="4998" w:type="pct"/>
        <w:tblLook w:val="04A0" w:firstRow="1" w:lastRow="0" w:firstColumn="1" w:lastColumn="0" w:noHBand="0" w:noVBand="1"/>
      </w:tblPr>
      <w:tblGrid>
        <w:gridCol w:w="2835"/>
        <w:gridCol w:w="2839"/>
        <w:gridCol w:w="2845"/>
      </w:tblGrid>
      <w:tr w:rsidR="00E16BE7" w14:paraId="29CB4FD1" w14:textId="77777777">
        <w:tc>
          <w:tcPr>
            <w:tcW w:w="1664" w:type="pct"/>
            <w:vAlign w:val="center"/>
          </w:tcPr>
          <w:p w14:paraId="0FD50AEE" w14:textId="77777777" w:rsidR="00E16BE7" w:rsidRDefault="001E39E8">
            <w:pPr>
              <w:jc w:val="center"/>
              <w:rPr>
                <w:b/>
                <w:bCs/>
              </w:rPr>
            </w:pPr>
            <w:r>
              <w:rPr>
                <w:b/>
                <w:bCs/>
              </w:rPr>
              <w:t>Socio Economic variables</w:t>
            </w:r>
          </w:p>
        </w:tc>
        <w:tc>
          <w:tcPr>
            <w:tcW w:w="1666" w:type="pct"/>
            <w:vAlign w:val="center"/>
          </w:tcPr>
          <w:p w14:paraId="41B9545F" w14:textId="77777777" w:rsidR="00E16BE7" w:rsidRDefault="001E39E8">
            <w:pPr>
              <w:jc w:val="center"/>
              <w:rPr>
                <w:b/>
                <w:bCs/>
              </w:rPr>
            </w:pPr>
            <w:r>
              <w:rPr>
                <w:b/>
                <w:bCs/>
              </w:rPr>
              <w:t>Frequency</w:t>
            </w:r>
          </w:p>
          <w:p w14:paraId="5321BBA9" w14:textId="77777777" w:rsidR="00E16BE7" w:rsidRDefault="001E39E8">
            <w:pPr>
              <w:jc w:val="center"/>
              <w:rPr>
                <w:b/>
                <w:bCs/>
              </w:rPr>
            </w:pPr>
            <w:r>
              <w:rPr>
                <w:b/>
                <w:bCs/>
              </w:rPr>
              <w:t>(N=45)</w:t>
            </w:r>
          </w:p>
        </w:tc>
        <w:tc>
          <w:tcPr>
            <w:tcW w:w="1669" w:type="pct"/>
            <w:vAlign w:val="center"/>
          </w:tcPr>
          <w:p w14:paraId="6FBF43E6" w14:textId="77777777" w:rsidR="00E16BE7" w:rsidRDefault="001E39E8">
            <w:pPr>
              <w:jc w:val="center"/>
              <w:rPr>
                <w:b/>
                <w:bCs/>
              </w:rPr>
            </w:pPr>
            <w:r>
              <w:rPr>
                <w:b/>
                <w:bCs/>
              </w:rPr>
              <w:t>Percentage (%)</w:t>
            </w:r>
          </w:p>
        </w:tc>
      </w:tr>
      <w:tr w:rsidR="00E16BE7" w14:paraId="492F6915" w14:textId="77777777">
        <w:trPr>
          <w:trHeight w:val="469"/>
        </w:trPr>
        <w:tc>
          <w:tcPr>
            <w:tcW w:w="5000" w:type="pct"/>
            <w:gridSpan w:val="3"/>
            <w:vAlign w:val="center"/>
          </w:tcPr>
          <w:p w14:paraId="11F9EF47" w14:textId="77777777" w:rsidR="00E16BE7" w:rsidRDefault="001E39E8">
            <w:pPr>
              <w:jc w:val="center"/>
            </w:pPr>
            <w:r>
              <w:rPr>
                <w:b/>
                <w:bCs/>
              </w:rPr>
              <w:t>Gender</w:t>
            </w:r>
          </w:p>
        </w:tc>
      </w:tr>
      <w:tr w:rsidR="00E16BE7" w14:paraId="01BED1AC" w14:textId="77777777">
        <w:trPr>
          <w:trHeight w:val="343"/>
        </w:trPr>
        <w:tc>
          <w:tcPr>
            <w:tcW w:w="1664" w:type="pct"/>
            <w:vAlign w:val="center"/>
          </w:tcPr>
          <w:p w14:paraId="0EF28136" w14:textId="77777777" w:rsidR="00E16BE7" w:rsidRDefault="001E39E8">
            <w:pPr>
              <w:jc w:val="left"/>
            </w:pPr>
            <w:r>
              <w:t>Male</w:t>
            </w:r>
          </w:p>
        </w:tc>
        <w:tc>
          <w:tcPr>
            <w:tcW w:w="1666" w:type="pct"/>
            <w:vAlign w:val="center"/>
          </w:tcPr>
          <w:p w14:paraId="2260BEA6" w14:textId="77777777" w:rsidR="00E16BE7" w:rsidRDefault="001E39E8">
            <w:pPr>
              <w:jc w:val="center"/>
            </w:pPr>
            <w:r>
              <w:t>12</w:t>
            </w:r>
          </w:p>
        </w:tc>
        <w:tc>
          <w:tcPr>
            <w:tcW w:w="1669" w:type="pct"/>
            <w:vAlign w:val="center"/>
          </w:tcPr>
          <w:p w14:paraId="4E48968F" w14:textId="77777777" w:rsidR="00E16BE7" w:rsidRDefault="001E39E8">
            <w:pPr>
              <w:jc w:val="center"/>
            </w:pPr>
            <w:r>
              <w:t>26.70</w:t>
            </w:r>
          </w:p>
        </w:tc>
      </w:tr>
      <w:tr w:rsidR="00E16BE7" w14:paraId="78210349" w14:textId="77777777">
        <w:trPr>
          <w:trHeight w:val="301"/>
        </w:trPr>
        <w:tc>
          <w:tcPr>
            <w:tcW w:w="1664" w:type="pct"/>
            <w:vAlign w:val="center"/>
          </w:tcPr>
          <w:p w14:paraId="51B88CCF" w14:textId="77777777" w:rsidR="00E16BE7" w:rsidRDefault="001E39E8">
            <w:pPr>
              <w:jc w:val="left"/>
            </w:pPr>
            <w:r>
              <w:t>Female</w:t>
            </w:r>
          </w:p>
        </w:tc>
        <w:tc>
          <w:tcPr>
            <w:tcW w:w="1666" w:type="pct"/>
            <w:vAlign w:val="center"/>
          </w:tcPr>
          <w:p w14:paraId="4389056C" w14:textId="77777777" w:rsidR="00E16BE7" w:rsidRDefault="001E39E8">
            <w:pPr>
              <w:jc w:val="center"/>
            </w:pPr>
            <w:r>
              <w:rPr>
                <w:rFonts w:eastAsia="Aptos" w:cs="Times New Roman"/>
                <w:kern w:val="2"/>
                <w:sz w:val="22"/>
                <w:szCs w:val="22"/>
                <w:lang w:bidi="ar"/>
              </w:rPr>
              <w:t>33</w:t>
            </w:r>
          </w:p>
        </w:tc>
        <w:tc>
          <w:tcPr>
            <w:tcW w:w="1669" w:type="pct"/>
            <w:vAlign w:val="center"/>
          </w:tcPr>
          <w:p w14:paraId="39CD8BF1" w14:textId="77777777" w:rsidR="00E16BE7" w:rsidRDefault="001E39E8">
            <w:pPr>
              <w:jc w:val="center"/>
            </w:pPr>
            <w:r>
              <w:t>73.30</w:t>
            </w:r>
          </w:p>
        </w:tc>
      </w:tr>
      <w:tr w:rsidR="00E16BE7" w14:paraId="254B19D9" w14:textId="77777777">
        <w:tc>
          <w:tcPr>
            <w:tcW w:w="5000" w:type="pct"/>
            <w:gridSpan w:val="3"/>
            <w:vAlign w:val="center"/>
          </w:tcPr>
          <w:p w14:paraId="506DEFB1" w14:textId="77777777" w:rsidR="00E16BE7" w:rsidRDefault="001E39E8">
            <w:pPr>
              <w:widowControl/>
              <w:jc w:val="center"/>
              <w:rPr>
                <w:rFonts w:eastAsia="Aptos" w:cs="Times New Roman"/>
                <w:kern w:val="2"/>
                <w:sz w:val="22"/>
                <w:szCs w:val="22"/>
                <w:lang w:bidi="ar"/>
              </w:rPr>
            </w:pPr>
            <w:r>
              <w:rPr>
                <w:b/>
                <w:bCs/>
              </w:rPr>
              <w:t>Age</w:t>
            </w:r>
          </w:p>
        </w:tc>
      </w:tr>
      <w:tr w:rsidR="00E16BE7" w14:paraId="304A3FEB" w14:textId="77777777">
        <w:tc>
          <w:tcPr>
            <w:tcW w:w="1664" w:type="pct"/>
            <w:vAlign w:val="center"/>
          </w:tcPr>
          <w:p w14:paraId="7AB6D162" w14:textId="77777777" w:rsidR="00E16BE7" w:rsidRDefault="001E39E8">
            <w:pPr>
              <w:jc w:val="left"/>
            </w:pPr>
            <w:r>
              <w:t>Up to 20</w:t>
            </w:r>
          </w:p>
        </w:tc>
        <w:tc>
          <w:tcPr>
            <w:tcW w:w="1666" w:type="pct"/>
            <w:shd w:val="clear" w:color="auto" w:fill="FFFFFF"/>
            <w:vAlign w:val="center"/>
          </w:tcPr>
          <w:p w14:paraId="66911A3D" w14:textId="77777777" w:rsidR="00E16BE7" w:rsidRDefault="001E39E8">
            <w:pPr>
              <w:widowControl/>
              <w:jc w:val="center"/>
              <w:rPr>
                <w:rFonts w:cs="Times New Roman"/>
                <w:kern w:val="2"/>
              </w:rPr>
            </w:pPr>
            <w:r>
              <w:rPr>
                <w:rFonts w:eastAsia="Aptos" w:cs="Times New Roman"/>
                <w:kern w:val="2"/>
                <w:sz w:val="22"/>
                <w:szCs w:val="22"/>
                <w:lang w:bidi="ar"/>
              </w:rPr>
              <w:t>30</w:t>
            </w:r>
          </w:p>
        </w:tc>
        <w:tc>
          <w:tcPr>
            <w:tcW w:w="1669" w:type="pct"/>
            <w:shd w:val="clear" w:color="auto" w:fill="FFFFFF"/>
            <w:vAlign w:val="center"/>
          </w:tcPr>
          <w:p w14:paraId="481DE46B" w14:textId="77777777" w:rsidR="00E16BE7" w:rsidRDefault="001E39E8">
            <w:pPr>
              <w:widowControl/>
              <w:jc w:val="center"/>
              <w:rPr>
                <w:rFonts w:cs="Times New Roman"/>
                <w:kern w:val="2"/>
              </w:rPr>
            </w:pPr>
            <w:r>
              <w:rPr>
                <w:rFonts w:eastAsia="Aptos" w:cs="Times New Roman"/>
                <w:kern w:val="2"/>
                <w:sz w:val="22"/>
                <w:szCs w:val="22"/>
                <w:lang w:bidi="ar"/>
              </w:rPr>
              <w:t>66.70</w:t>
            </w:r>
          </w:p>
        </w:tc>
      </w:tr>
      <w:tr w:rsidR="00E16BE7" w14:paraId="6F726533" w14:textId="77777777">
        <w:tc>
          <w:tcPr>
            <w:tcW w:w="1664" w:type="pct"/>
            <w:vAlign w:val="center"/>
          </w:tcPr>
          <w:p w14:paraId="3205CEC7" w14:textId="77777777" w:rsidR="00E16BE7" w:rsidRDefault="001E39E8">
            <w:pPr>
              <w:jc w:val="left"/>
            </w:pPr>
            <w:r>
              <w:t>Above 20</w:t>
            </w:r>
          </w:p>
        </w:tc>
        <w:tc>
          <w:tcPr>
            <w:tcW w:w="1666" w:type="pct"/>
            <w:shd w:val="clear" w:color="auto" w:fill="FFFFFF"/>
            <w:vAlign w:val="center"/>
          </w:tcPr>
          <w:p w14:paraId="30DA66F1" w14:textId="77777777" w:rsidR="00E16BE7" w:rsidRDefault="001E39E8">
            <w:pPr>
              <w:widowControl/>
              <w:jc w:val="center"/>
              <w:rPr>
                <w:rFonts w:cs="Times New Roman"/>
                <w:kern w:val="2"/>
              </w:rPr>
            </w:pPr>
            <w:r>
              <w:rPr>
                <w:rFonts w:eastAsia="Aptos" w:cs="Times New Roman"/>
                <w:kern w:val="2"/>
                <w:sz w:val="22"/>
                <w:szCs w:val="22"/>
                <w:lang w:bidi="ar"/>
              </w:rPr>
              <w:t>15</w:t>
            </w:r>
          </w:p>
        </w:tc>
        <w:tc>
          <w:tcPr>
            <w:tcW w:w="1669" w:type="pct"/>
            <w:shd w:val="clear" w:color="auto" w:fill="FFFFFF"/>
            <w:vAlign w:val="center"/>
          </w:tcPr>
          <w:p w14:paraId="67019363" w14:textId="77777777" w:rsidR="00E16BE7" w:rsidRDefault="001E39E8">
            <w:pPr>
              <w:widowControl/>
              <w:jc w:val="center"/>
              <w:rPr>
                <w:rFonts w:cs="Times New Roman"/>
                <w:kern w:val="2"/>
              </w:rPr>
            </w:pPr>
            <w:r>
              <w:rPr>
                <w:rFonts w:eastAsia="Aptos" w:cs="Times New Roman"/>
                <w:kern w:val="2"/>
                <w:sz w:val="22"/>
                <w:szCs w:val="22"/>
                <w:lang w:bidi="ar"/>
              </w:rPr>
              <w:t>33.30</w:t>
            </w:r>
          </w:p>
        </w:tc>
      </w:tr>
      <w:tr w:rsidR="00E16BE7" w14:paraId="45B6CC9D" w14:textId="77777777">
        <w:tc>
          <w:tcPr>
            <w:tcW w:w="5000" w:type="pct"/>
            <w:gridSpan w:val="3"/>
            <w:vAlign w:val="center"/>
          </w:tcPr>
          <w:p w14:paraId="42DCDE55" w14:textId="77777777" w:rsidR="00E16BE7" w:rsidRDefault="001E39E8">
            <w:pPr>
              <w:widowControl/>
              <w:jc w:val="center"/>
              <w:rPr>
                <w:rFonts w:eastAsia="Aptos" w:cs="Times New Roman"/>
                <w:kern w:val="2"/>
                <w:sz w:val="22"/>
                <w:szCs w:val="22"/>
                <w:lang w:bidi="ar"/>
              </w:rPr>
            </w:pPr>
            <w:r>
              <w:rPr>
                <w:b/>
                <w:bCs/>
              </w:rPr>
              <w:t>Area of residence</w:t>
            </w:r>
          </w:p>
        </w:tc>
      </w:tr>
      <w:tr w:rsidR="00E16BE7" w14:paraId="3F1FAA04" w14:textId="77777777">
        <w:tc>
          <w:tcPr>
            <w:tcW w:w="1664" w:type="pct"/>
            <w:vAlign w:val="center"/>
          </w:tcPr>
          <w:p w14:paraId="0E64AA93" w14:textId="77777777" w:rsidR="00E16BE7" w:rsidRDefault="001E39E8">
            <w:pPr>
              <w:jc w:val="left"/>
            </w:pPr>
            <w:r>
              <w:t>Village</w:t>
            </w:r>
          </w:p>
        </w:tc>
        <w:tc>
          <w:tcPr>
            <w:tcW w:w="1666" w:type="pct"/>
            <w:shd w:val="clear" w:color="auto" w:fill="FFFFFF"/>
            <w:vAlign w:val="center"/>
          </w:tcPr>
          <w:p w14:paraId="1DD1E314" w14:textId="77777777" w:rsidR="00E16BE7" w:rsidRDefault="001E39E8">
            <w:pPr>
              <w:widowControl/>
              <w:jc w:val="center"/>
              <w:rPr>
                <w:rFonts w:cs="Times New Roman"/>
                <w:kern w:val="2"/>
              </w:rPr>
            </w:pPr>
            <w:r>
              <w:rPr>
                <w:rFonts w:eastAsia="Aptos" w:cs="Times New Roman"/>
                <w:kern w:val="2"/>
                <w:sz w:val="22"/>
                <w:szCs w:val="22"/>
                <w:lang w:bidi="ar"/>
              </w:rPr>
              <w:t>38</w:t>
            </w:r>
          </w:p>
        </w:tc>
        <w:tc>
          <w:tcPr>
            <w:tcW w:w="1669" w:type="pct"/>
            <w:shd w:val="clear" w:color="auto" w:fill="FFFFFF"/>
            <w:vAlign w:val="center"/>
          </w:tcPr>
          <w:p w14:paraId="7106A44C" w14:textId="77777777" w:rsidR="00E16BE7" w:rsidRDefault="001E39E8">
            <w:pPr>
              <w:widowControl/>
              <w:jc w:val="center"/>
              <w:rPr>
                <w:rFonts w:cs="Times New Roman"/>
                <w:kern w:val="2"/>
              </w:rPr>
            </w:pPr>
            <w:r>
              <w:rPr>
                <w:rFonts w:eastAsia="Aptos" w:cs="Times New Roman"/>
                <w:kern w:val="2"/>
                <w:sz w:val="22"/>
                <w:szCs w:val="22"/>
                <w:lang w:bidi="ar"/>
              </w:rPr>
              <w:t>84.40</w:t>
            </w:r>
          </w:p>
        </w:tc>
      </w:tr>
      <w:tr w:rsidR="00E16BE7" w14:paraId="3F1A4E2C" w14:textId="77777777">
        <w:tc>
          <w:tcPr>
            <w:tcW w:w="1664" w:type="pct"/>
            <w:vAlign w:val="center"/>
          </w:tcPr>
          <w:p w14:paraId="65DA56DB" w14:textId="77777777" w:rsidR="00E16BE7" w:rsidRDefault="001E39E8">
            <w:pPr>
              <w:jc w:val="left"/>
            </w:pPr>
            <w:r>
              <w:t>Town</w:t>
            </w:r>
          </w:p>
        </w:tc>
        <w:tc>
          <w:tcPr>
            <w:tcW w:w="1666" w:type="pct"/>
            <w:shd w:val="clear" w:color="auto" w:fill="FFFFFF"/>
            <w:vAlign w:val="center"/>
          </w:tcPr>
          <w:p w14:paraId="57D07097" w14:textId="77777777" w:rsidR="00E16BE7" w:rsidRDefault="001E39E8">
            <w:pPr>
              <w:widowControl/>
              <w:jc w:val="center"/>
              <w:rPr>
                <w:rFonts w:cs="Times New Roman"/>
                <w:kern w:val="2"/>
              </w:rPr>
            </w:pPr>
            <w:r>
              <w:rPr>
                <w:rFonts w:eastAsia="Aptos" w:cs="Times New Roman"/>
                <w:kern w:val="2"/>
                <w:sz w:val="22"/>
                <w:szCs w:val="22"/>
                <w:lang w:bidi="ar"/>
              </w:rPr>
              <w:t>7</w:t>
            </w:r>
          </w:p>
        </w:tc>
        <w:tc>
          <w:tcPr>
            <w:tcW w:w="1669" w:type="pct"/>
            <w:shd w:val="clear" w:color="auto" w:fill="FFFFFF"/>
            <w:vAlign w:val="center"/>
          </w:tcPr>
          <w:p w14:paraId="29555E70" w14:textId="77777777" w:rsidR="00E16BE7" w:rsidRDefault="001E39E8">
            <w:pPr>
              <w:widowControl/>
              <w:jc w:val="center"/>
              <w:rPr>
                <w:rFonts w:cs="Times New Roman"/>
                <w:kern w:val="2"/>
              </w:rPr>
            </w:pPr>
            <w:r>
              <w:rPr>
                <w:rFonts w:eastAsia="Aptos" w:cs="Times New Roman"/>
                <w:kern w:val="2"/>
                <w:sz w:val="22"/>
                <w:szCs w:val="22"/>
                <w:lang w:bidi="ar"/>
              </w:rPr>
              <w:t>15.60</w:t>
            </w:r>
          </w:p>
        </w:tc>
      </w:tr>
      <w:tr w:rsidR="00E16BE7" w14:paraId="4108F9A9" w14:textId="77777777">
        <w:tc>
          <w:tcPr>
            <w:tcW w:w="5000" w:type="pct"/>
            <w:gridSpan w:val="3"/>
            <w:vAlign w:val="center"/>
          </w:tcPr>
          <w:p w14:paraId="6D2C7548" w14:textId="77777777" w:rsidR="00E16BE7" w:rsidRDefault="001E39E8">
            <w:pPr>
              <w:widowControl/>
              <w:jc w:val="center"/>
              <w:rPr>
                <w:rFonts w:eastAsia="Aptos" w:cs="Times New Roman"/>
                <w:kern w:val="2"/>
                <w:sz w:val="22"/>
                <w:szCs w:val="22"/>
                <w:lang w:bidi="ar"/>
              </w:rPr>
            </w:pPr>
            <w:r>
              <w:rPr>
                <w:b/>
                <w:bCs/>
              </w:rPr>
              <w:t>Marital Status</w:t>
            </w:r>
          </w:p>
        </w:tc>
      </w:tr>
      <w:tr w:rsidR="00E16BE7" w14:paraId="19436A4A" w14:textId="77777777">
        <w:tc>
          <w:tcPr>
            <w:tcW w:w="1664" w:type="pct"/>
            <w:vAlign w:val="center"/>
          </w:tcPr>
          <w:p w14:paraId="0EC312E8" w14:textId="77777777" w:rsidR="00E16BE7" w:rsidRDefault="001E39E8">
            <w:pPr>
              <w:jc w:val="left"/>
            </w:pPr>
            <w:r>
              <w:t>Married</w:t>
            </w:r>
          </w:p>
        </w:tc>
        <w:tc>
          <w:tcPr>
            <w:tcW w:w="1666" w:type="pct"/>
            <w:shd w:val="clear" w:color="auto" w:fill="FFFFFF"/>
            <w:vAlign w:val="center"/>
          </w:tcPr>
          <w:p w14:paraId="65D22E70" w14:textId="77777777" w:rsidR="00E16BE7" w:rsidRDefault="001E39E8">
            <w:pPr>
              <w:widowControl/>
              <w:jc w:val="center"/>
              <w:rPr>
                <w:rFonts w:cs="Times New Roman"/>
                <w:kern w:val="2"/>
              </w:rPr>
            </w:pPr>
            <w:r>
              <w:rPr>
                <w:rFonts w:eastAsia="Aptos" w:cs="Times New Roman"/>
                <w:kern w:val="2"/>
                <w:sz w:val="22"/>
                <w:szCs w:val="22"/>
                <w:lang w:bidi="ar"/>
              </w:rPr>
              <w:t>4</w:t>
            </w:r>
          </w:p>
        </w:tc>
        <w:tc>
          <w:tcPr>
            <w:tcW w:w="1669" w:type="pct"/>
            <w:shd w:val="clear" w:color="auto" w:fill="FFFFFF"/>
            <w:vAlign w:val="center"/>
          </w:tcPr>
          <w:p w14:paraId="3644C8CB" w14:textId="77777777" w:rsidR="00E16BE7" w:rsidRDefault="001E39E8">
            <w:pPr>
              <w:widowControl/>
              <w:jc w:val="center"/>
              <w:rPr>
                <w:rFonts w:cs="Times New Roman"/>
                <w:kern w:val="2"/>
              </w:rPr>
            </w:pPr>
            <w:r>
              <w:rPr>
                <w:rFonts w:eastAsia="Aptos" w:cs="Times New Roman"/>
                <w:kern w:val="2"/>
                <w:sz w:val="22"/>
                <w:szCs w:val="22"/>
                <w:lang w:bidi="ar"/>
              </w:rPr>
              <w:t>8.90</w:t>
            </w:r>
          </w:p>
        </w:tc>
      </w:tr>
      <w:tr w:rsidR="00E16BE7" w14:paraId="74C54DB0" w14:textId="77777777">
        <w:tc>
          <w:tcPr>
            <w:tcW w:w="1664" w:type="pct"/>
            <w:vAlign w:val="center"/>
          </w:tcPr>
          <w:p w14:paraId="3123DE40" w14:textId="77777777" w:rsidR="00E16BE7" w:rsidRDefault="001E39E8">
            <w:pPr>
              <w:jc w:val="left"/>
            </w:pPr>
            <w:r>
              <w:t>Unmarried</w:t>
            </w:r>
          </w:p>
        </w:tc>
        <w:tc>
          <w:tcPr>
            <w:tcW w:w="1666" w:type="pct"/>
            <w:shd w:val="clear" w:color="auto" w:fill="FFFFFF"/>
            <w:vAlign w:val="center"/>
          </w:tcPr>
          <w:p w14:paraId="76A623A5" w14:textId="77777777" w:rsidR="00E16BE7" w:rsidRDefault="001E39E8">
            <w:pPr>
              <w:widowControl/>
              <w:jc w:val="center"/>
              <w:rPr>
                <w:rFonts w:cs="Times New Roman"/>
                <w:kern w:val="2"/>
              </w:rPr>
            </w:pPr>
            <w:r>
              <w:rPr>
                <w:rFonts w:eastAsia="Aptos" w:cs="Times New Roman"/>
                <w:kern w:val="2"/>
                <w:sz w:val="22"/>
                <w:szCs w:val="22"/>
                <w:lang w:bidi="ar"/>
              </w:rPr>
              <w:t>41</w:t>
            </w:r>
          </w:p>
        </w:tc>
        <w:tc>
          <w:tcPr>
            <w:tcW w:w="1669" w:type="pct"/>
            <w:shd w:val="clear" w:color="auto" w:fill="FFFFFF"/>
            <w:vAlign w:val="center"/>
          </w:tcPr>
          <w:p w14:paraId="37A72288" w14:textId="77777777" w:rsidR="00E16BE7" w:rsidRDefault="001E39E8">
            <w:pPr>
              <w:widowControl/>
              <w:jc w:val="center"/>
              <w:rPr>
                <w:rFonts w:cs="Times New Roman"/>
                <w:kern w:val="2"/>
              </w:rPr>
            </w:pPr>
            <w:r>
              <w:rPr>
                <w:rFonts w:eastAsia="Aptos" w:cs="Times New Roman"/>
                <w:kern w:val="2"/>
                <w:sz w:val="22"/>
                <w:szCs w:val="22"/>
                <w:lang w:bidi="ar"/>
              </w:rPr>
              <w:t>91.10</w:t>
            </w:r>
          </w:p>
        </w:tc>
      </w:tr>
      <w:tr w:rsidR="00E16BE7" w14:paraId="31B4D530" w14:textId="77777777">
        <w:tc>
          <w:tcPr>
            <w:tcW w:w="5000" w:type="pct"/>
            <w:gridSpan w:val="3"/>
            <w:vAlign w:val="center"/>
          </w:tcPr>
          <w:p w14:paraId="5D1B7524" w14:textId="77777777" w:rsidR="00E16BE7" w:rsidRDefault="001E39E8">
            <w:pPr>
              <w:widowControl/>
              <w:jc w:val="center"/>
              <w:rPr>
                <w:rFonts w:eastAsia="Aptos" w:cs="Times New Roman"/>
                <w:kern w:val="2"/>
                <w:sz w:val="22"/>
                <w:szCs w:val="22"/>
                <w:lang w:bidi="ar"/>
              </w:rPr>
            </w:pPr>
            <w:r>
              <w:rPr>
                <w:b/>
                <w:bCs/>
              </w:rPr>
              <w:t>Type of family</w:t>
            </w:r>
          </w:p>
        </w:tc>
      </w:tr>
      <w:tr w:rsidR="00E16BE7" w14:paraId="0A06F708" w14:textId="77777777">
        <w:tc>
          <w:tcPr>
            <w:tcW w:w="1664" w:type="pct"/>
            <w:vAlign w:val="center"/>
          </w:tcPr>
          <w:p w14:paraId="2D890A62" w14:textId="77777777" w:rsidR="00E16BE7" w:rsidRDefault="001E39E8">
            <w:pPr>
              <w:jc w:val="left"/>
            </w:pPr>
            <w:r>
              <w:t>Joint family</w:t>
            </w:r>
          </w:p>
        </w:tc>
        <w:tc>
          <w:tcPr>
            <w:tcW w:w="1666" w:type="pct"/>
            <w:shd w:val="clear" w:color="auto" w:fill="FFFFFF"/>
            <w:vAlign w:val="center"/>
          </w:tcPr>
          <w:p w14:paraId="63182850" w14:textId="77777777" w:rsidR="00E16BE7" w:rsidRDefault="001E39E8">
            <w:pPr>
              <w:widowControl/>
              <w:jc w:val="center"/>
              <w:rPr>
                <w:rFonts w:cs="Times New Roman"/>
                <w:kern w:val="2"/>
              </w:rPr>
            </w:pPr>
            <w:r>
              <w:rPr>
                <w:rFonts w:eastAsia="Aptos" w:cs="Times New Roman"/>
                <w:kern w:val="2"/>
                <w:sz w:val="22"/>
                <w:szCs w:val="22"/>
                <w:lang w:bidi="ar"/>
              </w:rPr>
              <w:t>10</w:t>
            </w:r>
          </w:p>
        </w:tc>
        <w:tc>
          <w:tcPr>
            <w:tcW w:w="1669" w:type="pct"/>
            <w:shd w:val="clear" w:color="auto" w:fill="FFFFFF"/>
            <w:vAlign w:val="center"/>
          </w:tcPr>
          <w:p w14:paraId="64618612" w14:textId="77777777" w:rsidR="00E16BE7" w:rsidRDefault="001E39E8">
            <w:pPr>
              <w:widowControl/>
              <w:jc w:val="center"/>
              <w:rPr>
                <w:rFonts w:cs="Times New Roman"/>
                <w:kern w:val="2"/>
              </w:rPr>
            </w:pPr>
            <w:r>
              <w:rPr>
                <w:rFonts w:eastAsia="Aptos" w:cs="Times New Roman"/>
                <w:kern w:val="2"/>
                <w:sz w:val="22"/>
                <w:szCs w:val="22"/>
                <w:lang w:bidi="ar"/>
              </w:rPr>
              <w:t>22.20</w:t>
            </w:r>
          </w:p>
        </w:tc>
      </w:tr>
      <w:tr w:rsidR="00E16BE7" w14:paraId="1C910310" w14:textId="77777777">
        <w:tc>
          <w:tcPr>
            <w:tcW w:w="1664" w:type="pct"/>
            <w:vAlign w:val="center"/>
          </w:tcPr>
          <w:p w14:paraId="091344A4" w14:textId="77777777" w:rsidR="00E16BE7" w:rsidRDefault="001E39E8">
            <w:pPr>
              <w:jc w:val="left"/>
            </w:pPr>
            <w:r>
              <w:t>Nuclear family</w:t>
            </w:r>
          </w:p>
        </w:tc>
        <w:tc>
          <w:tcPr>
            <w:tcW w:w="1666" w:type="pct"/>
            <w:shd w:val="clear" w:color="auto" w:fill="FFFFFF"/>
            <w:vAlign w:val="center"/>
          </w:tcPr>
          <w:p w14:paraId="6F96B9AC" w14:textId="77777777" w:rsidR="00E16BE7" w:rsidRDefault="001E39E8">
            <w:pPr>
              <w:widowControl/>
              <w:jc w:val="center"/>
              <w:rPr>
                <w:rFonts w:cs="Times New Roman"/>
                <w:kern w:val="2"/>
              </w:rPr>
            </w:pPr>
            <w:r>
              <w:rPr>
                <w:rFonts w:eastAsia="Aptos" w:cs="Times New Roman"/>
                <w:kern w:val="2"/>
                <w:sz w:val="22"/>
                <w:szCs w:val="22"/>
                <w:lang w:bidi="ar"/>
              </w:rPr>
              <w:t>35</w:t>
            </w:r>
          </w:p>
        </w:tc>
        <w:tc>
          <w:tcPr>
            <w:tcW w:w="1669" w:type="pct"/>
            <w:shd w:val="clear" w:color="auto" w:fill="FFFFFF"/>
            <w:vAlign w:val="center"/>
          </w:tcPr>
          <w:p w14:paraId="6BED565C" w14:textId="77777777" w:rsidR="00E16BE7" w:rsidRDefault="001E39E8">
            <w:pPr>
              <w:widowControl/>
              <w:jc w:val="center"/>
              <w:rPr>
                <w:rFonts w:cs="Times New Roman"/>
                <w:kern w:val="2"/>
              </w:rPr>
            </w:pPr>
            <w:r>
              <w:rPr>
                <w:rFonts w:eastAsia="Aptos" w:cs="Times New Roman"/>
                <w:kern w:val="2"/>
                <w:sz w:val="22"/>
                <w:szCs w:val="22"/>
                <w:lang w:bidi="ar"/>
              </w:rPr>
              <w:t>77.80</w:t>
            </w:r>
          </w:p>
        </w:tc>
      </w:tr>
      <w:tr w:rsidR="00E16BE7" w14:paraId="1C9A8C32" w14:textId="77777777">
        <w:tc>
          <w:tcPr>
            <w:tcW w:w="5000" w:type="pct"/>
            <w:gridSpan w:val="3"/>
            <w:vAlign w:val="center"/>
          </w:tcPr>
          <w:p w14:paraId="7B403477" w14:textId="77777777" w:rsidR="00E16BE7" w:rsidRDefault="001E39E8">
            <w:pPr>
              <w:widowControl/>
              <w:jc w:val="center"/>
              <w:rPr>
                <w:rFonts w:eastAsia="Aptos" w:cs="Times New Roman"/>
                <w:kern w:val="2"/>
                <w:sz w:val="22"/>
                <w:szCs w:val="22"/>
                <w:lang w:bidi="ar"/>
              </w:rPr>
            </w:pPr>
            <w:r>
              <w:rPr>
                <w:b/>
                <w:bCs/>
              </w:rPr>
              <w:t>No. of members</w:t>
            </w:r>
          </w:p>
        </w:tc>
      </w:tr>
      <w:tr w:rsidR="00E16BE7" w14:paraId="58EC7AF8" w14:textId="77777777">
        <w:tc>
          <w:tcPr>
            <w:tcW w:w="1664" w:type="pct"/>
            <w:vAlign w:val="center"/>
          </w:tcPr>
          <w:p w14:paraId="427090BC" w14:textId="77777777" w:rsidR="00E16BE7" w:rsidRDefault="001E39E8">
            <w:pPr>
              <w:jc w:val="left"/>
            </w:pPr>
            <w:r>
              <w:t>2</w:t>
            </w:r>
          </w:p>
        </w:tc>
        <w:tc>
          <w:tcPr>
            <w:tcW w:w="1666" w:type="pct"/>
            <w:shd w:val="clear" w:color="auto" w:fill="FFFFFF"/>
            <w:vAlign w:val="center"/>
          </w:tcPr>
          <w:p w14:paraId="2AD0F541" w14:textId="77777777" w:rsidR="00E16BE7" w:rsidRDefault="001E39E8">
            <w:pPr>
              <w:widowControl/>
              <w:jc w:val="center"/>
              <w:rPr>
                <w:rFonts w:cs="Times New Roman"/>
                <w:kern w:val="2"/>
              </w:rPr>
            </w:pPr>
            <w:r>
              <w:rPr>
                <w:rFonts w:eastAsia="Aptos" w:cs="Times New Roman"/>
                <w:kern w:val="2"/>
                <w:sz w:val="22"/>
                <w:szCs w:val="22"/>
                <w:lang w:bidi="ar"/>
              </w:rPr>
              <w:t>3</w:t>
            </w:r>
          </w:p>
        </w:tc>
        <w:tc>
          <w:tcPr>
            <w:tcW w:w="1669" w:type="pct"/>
            <w:shd w:val="clear" w:color="auto" w:fill="FFFFFF"/>
            <w:vAlign w:val="center"/>
          </w:tcPr>
          <w:p w14:paraId="43AB4F44" w14:textId="77777777" w:rsidR="00E16BE7" w:rsidRDefault="001E39E8">
            <w:pPr>
              <w:widowControl/>
              <w:jc w:val="center"/>
              <w:rPr>
                <w:rFonts w:cs="Times New Roman"/>
                <w:kern w:val="2"/>
              </w:rPr>
            </w:pPr>
            <w:r>
              <w:rPr>
                <w:rFonts w:eastAsia="Aptos" w:cs="Times New Roman"/>
                <w:kern w:val="2"/>
                <w:sz w:val="22"/>
                <w:szCs w:val="22"/>
                <w:lang w:bidi="ar"/>
              </w:rPr>
              <w:t>6.70</w:t>
            </w:r>
          </w:p>
        </w:tc>
      </w:tr>
      <w:tr w:rsidR="00E16BE7" w14:paraId="0C2674EC" w14:textId="77777777">
        <w:tc>
          <w:tcPr>
            <w:tcW w:w="1664" w:type="pct"/>
            <w:vAlign w:val="center"/>
          </w:tcPr>
          <w:p w14:paraId="010C3DB2" w14:textId="77777777" w:rsidR="00E16BE7" w:rsidRDefault="001E39E8">
            <w:pPr>
              <w:jc w:val="left"/>
            </w:pPr>
            <w:r>
              <w:t>3</w:t>
            </w:r>
          </w:p>
        </w:tc>
        <w:tc>
          <w:tcPr>
            <w:tcW w:w="1666" w:type="pct"/>
            <w:shd w:val="clear" w:color="auto" w:fill="FFFFFF"/>
            <w:vAlign w:val="center"/>
          </w:tcPr>
          <w:p w14:paraId="0F8829CC" w14:textId="77777777" w:rsidR="00E16BE7" w:rsidRDefault="001E39E8">
            <w:pPr>
              <w:widowControl/>
              <w:jc w:val="center"/>
              <w:rPr>
                <w:rFonts w:cs="Times New Roman"/>
                <w:kern w:val="2"/>
              </w:rPr>
            </w:pPr>
            <w:r>
              <w:rPr>
                <w:rFonts w:eastAsia="Aptos" w:cs="Times New Roman"/>
                <w:kern w:val="2"/>
                <w:sz w:val="22"/>
                <w:szCs w:val="22"/>
                <w:lang w:bidi="ar"/>
              </w:rPr>
              <w:t>7</w:t>
            </w:r>
          </w:p>
        </w:tc>
        <w:tc>
          <w:tcPr>
            <w:tcW w:w="1669" w:type="pct"/>
            <w:shd w:val="clear" w:color="auto" w:fill="FFFFFF"/>
            <w:vAlign w:val="center"/>
          </w:tcPr>
          <w:p w14:paraId="5F0057FD" w14:textId="77777777" w:rsidR="00E16BE7" w:rsidRDefault="001E39E8">
            <w:pPr>
              <w:widowControl/>
              <w:jc w:val="center"/>
              <w:rPr>
                <w:rFonts w:cs="Times New Roman"/>
                <w:kern w:val="2"/>
              </w:rPr>
            </w:pPr>
            <w:r>
              <w:rPr>
                <w:rFonts w:eastAsia="Aptos" w:cs="Times New Roman"/>
                <w:kern w:val="2"/>
                <w:sz w:val="22"/>
                <w:szCs w:val="22"/>
                <w:lang w:bidi="ar"/>
              </w:rPr>
              <w:t>15.60</w:t>
            </w:r>
          </w:p>
        </w:tc>
      </w:tr>
      <w:tr w:rsidR="00E16BE7" w14:paraId="2D9F7F41" w14:textId="77777777">
        <w:tc>
          <w:tcPr>
            <w:tcW w:w="1664" w:type="pct"/>
            <w:vAlign w:val="center"/>
          </w:tcPr>
          <w:p w14:paraId="691ED4EC" w14:textId="77777777" w:rsidR="00E16BE7" w:rsidRDefault="001E39E8">
            <w:pPr>
              <w:jc w:val="left"/>
            </w:pPr>
            <w:r>
              <w:t>Above 3</w:t>
            </w:r>
          </w:p>
        </w:tc>
        <w:tc>
          <w:tcPr>
            <w:tcW w:w="1666" w:type="pct"/>
            <w:shd w:val="clear" w:color="auto" w:fill="FFFFFF"/>
            <w:vAlign w:val="center"/>
          </w:tcPr>
          <w:p w14:paraId="173493E9" w14:textId="77777777" w:rsidR="00E16BE7" w:rsidRDefault="001E39E8">
            <w:pPr>
              <w:widowControl/>
              <w:jc w:val="center"/>
              <w:rPr>
                <w:rFonts w:cs="Times New Roman"/>
                <w:kern w:val="2"/>
              </w:rPr>
            </w:pPr>
            <w:r>
              <w:rPr>
                <w:rFonts w:eastAsia="Aptos" w:cs="Times New Roman"/>
                <w:kern w:val="2"/>
                <w:sz w:val="22"/>
                <w:szCs w:val="22"/>
                <w:lang w:bidi="ar"/>
              </w:rPr>
              <w:t>35</w:t>
            </w:r>
          </w:p>
        </w:tc>
        <w:tc>
          <w:tcPr>
            <w:tcW w:w="1669" w:type="pct"/>
            <w:shd w:val="clear" w:color="auto" w:fill="FFFFFF"/>
            <w:vAlign w:val="center"/>
          </w:tcPr>
          <w:p w14:paraId="31B8BFC4" w14:textId="77777777" w:rsidR="00E16BE7" w:rsidRDefault="001E39E8">
            <w:pPr>
              <w:widowControl/>
              <w:jc w:val="center"/>
              <w:rPr>
                <w:rFonts w:cs="Times New Roman"/>
                <w:kern w:val="2"/>
              </w:rPr>
            </w:pPr>
            <w:r>
              <w:rPr>
                <w:rFonts w:eastAsia="Aptos" w:cs="Times New Roman"/>
                <w:kern w:val="2"/>
                <w:sz w:val="22"/>
                <w:szCs w:val="22"/>
                <w:lang w:bidi="ar"/>
              </w:rPr>
              <w:t>77.80</w:t>
            </w:r>
          </w:p>
        </w:tc>
      </w:tr>
      <w:tr w:rsidR="00E16BE7" w14:paraId="29586B97" w14:textId="77777777">
        <w:tc>
          <w:tcPr>
            <w:tcW w:w="5000" w:type="pct"/>
            <w:gridSpan w:val="3"/>
            <w:vAlign w:val="center"/>
          </w:tcPr>
          <w:p w14:paraId="77EA342E" w14:textId="77777777" w:rsidR="00E16BE7" w:rsidRDefault="001E39E8">
            <w:pPr>
              <w:widowControl/>
              <w:jc w:val="center"/>
              <w:rPr>
                <w:rFonts w:eastAsia="Aptos" w:cs="Times New Roman"/>
                <w:kern w:val="2"/>
                <w:sz w:val="22"/>
                <w:szCs w:val="22"/>
                <w:lang w:bidi="ar"/>
              </w:rPr>
            </w:pPr>
            <w:r>
              <w:rPr>
                <w:b/>
                <w:bCs/>
              </w:rPr>
              <w:t>No. of earning member</w:t>
            </w:r>
          </w:p>
        </w:tc>
      </w:tr>
      <w:tr w:rsidR="00E16BE7" w14:paraId="7C84A4C0" w14:textId="77777777">
        <w:tc>
          <w:tcPr>
            <w:tcW w:w="1664" w:type="pct"/>
            <w:vAlign w:val="center"/>
          </w:tcPr>
          <w:p w14:paraId="3998100B" w14:textId="77777777" w:rsidR="00E16BE7" w:rsidRDefault="001E39E8">
            <w:pPr>
              <w:jc w:val="left"/>
            </w:pPr>
            <w:r>
              <w:t>1</w:t>
            </w:r>
          </w:p>
        </w:tc>
        <w:tc>
          <w:tcPr>
            <w:tcW w:w="1666" w:type="pct"/>
            <w:shd w:val="clear" w:color="auto" w:fill="FFFFFF"/>
            <w:vAlign w:val="center"/>
          </w:tcPr>
          <w:p w14:paraId="0EA47E75" w14:textId="77777777" w:rsidR="00E16BE7" w:rsidRDefault="001E39E8">
            <w:pPr>
              <w:widowControl/>
              <w:jc w:val="center"/>
              <w:rPr>
                <w:rFonts w:cs="Times New Roman"/>
                <w:kern w:val="2"/>
              </w:rPr>
            </w:pPr>
            <w:r>
              <w:rPr>
                <w:rFonts w:eastAsia="Aptos" w:cs="Times New Roman"/>
                <w:kern w:val="2"/>
                <w:sz w:val="22"/>
                <w:szCs w:val="22"/>
                <w:lang w:bidi="ar"/>
              </w:rPr>
              <w:t>20</w:t>
            </w:r>
          </w:p>
        </w:tc>
        <w:tc>
          <w:tcPr>
            <w:tcW w:w="1669" w:type="pct"/>
            <w:shd w:val="clear" w:color="auto" w:fill="FFFFFF"/>
            <w:vAlign w:val="center"/>
          </w:tcPr>
          <w:p w14:paraId="46C4A4EE" w14:textId="77777777" w:rsidR="00E16BE7" w:rsidRDefault="001E39E8">
            <w:pPr>
              <w:widowControl/>
              <w:jc w:val="center"/>
              <w:rPr>
                <w:rFonts w:cs="Times New Roman"/>
                <w:kern w:val="2"/>
              </w:rPr>
            </w:pPr>
            <w:r>
              <w:rPr>
                <w:rFonts w:eastAsia="Aptos" w:cs="Times New Roman"/>
                <w:kern w:val="2"/>
                <w:sz w:val="22"/>
                <w:szCs w:val="22"/>
                <w:lang w:bidi="ar"/>
              </w:rPr>
              <w:t>44.40</w:t>
            </w:r>
          </w:p>
        </w:tc>
      </w:tr>
      <w:tr w:rsidR="00E16BE7" w14:paraId="5D3061BC" w14:textId="77777777">
        <w:tc>
          <w:tcPr>
            <w:tcW w:w="1664" w:type="pct"/>
            <w:vAlign w:val="center"/>
          </w:tcPr>
          <w:p w14:paraId="42DB4327" w14:textId="77777777" w:rsidR="00E16BE7" w:rsidRDefault="001E39E8">
            <w:pPr>
              <w:jc w:val="left"/>
            </w:pPr>
            <w:r>
              <w:t>2</w:t>
            </w:r>
          </w:p>
        </w:tc>
        <w:tc>
          <w:tcPr>
            <w:tcW w:w="1666" w:type="pct"/>
            <w:shd w:val="clear" w:color="auto" w:fill="FFFFFF"/>
            <w:vAlign w:val="center"/>
          </w:tcPr>
          <w:p w14:paraId="40492A71" w14:textId="77777777" w:rsidR="00E16BE7" w:rsidRDefault="001E39E8">
            <w:pPr>
              <w:widowControl/>
              <w:jc w:val="center"/>
              <w:rPr>
                <w:rFonts w:cs="Times New Roman"/>
                <w:kern w:val="2"/>
              </w:rPr>
            </w:pPr>
            <w:r>
              <w:rPr>
                <w:rFonts w:eastAsia="Aptos" w:cs="Times New Roman"/>
                <w:kern w:val="2"/>
                <w:sz w:val="22"/>
                <w:szCs w:val="22"/>
                <w:lang w:bidi="ar"/>
              </w:rPr>
              <w:t>22</w:t>
            </w:r>
          </w:p>
        </w:tc>
        <w:tc>
          <w:tcPr>
            <w:tcW w:w="1669" w:type="pct"/>
            <w:shd w:val="clear" w:color="auto" w:fill="FFFFFF"/>
            <w:vAlign w:val="center"/>
          </w:tcPr>
          <w:p w14:paraId="3927383E" w14:textId="77777777" w:rsidR="00E16BE7" w:rsidRDefault="001E39E8">
            <w:pPr>
              <w:widowControl/>
              <w:jc w:val="center"/>
              <w:rPr>
                <w:rFonts w:cs="Times New Roman"/>
                <w:kern w:val="2"/>
              </w:rPr>
            </w:pPr>
            <w:r>
              <w:rPr>
                <w:rFonts w:eastAsia="Aptos" w:cs="Times New Roman"/>
                <w:kern w:val="2"/>
                <w:sz w:val="22"/>
                <w:szCs w:val="22"/>
                <w:lang w:bidi="ar"/>
              </w:rPr>
              <w:t>48.90</w:t>
            </w:r>
          </w:p>
        </w:tc>
      </w:tr>
      <w:tr w:rsidR="00E16BE7" w14:paraId="22FD756A" w14:textId="77777777">
        <w:tc>
          <w:tcPr>
            <w:tcW w:w="1664" w:type="pct"/>
            <w:vAlign w:val="center"/>
          </w:tcPr>
          <w:p w14:paraId="2CA6AB5D" w14:textId="77777777" w:rsidR="00E16BE7" w:rsidRDefault="001E39E8">
            <w:pPr>
              <w:jc w:val="left"/>
            </w:pPr>
            <w:r>
              <w:t>Above 2</w:t>
            </w:r>
          </w:p>
        </w:tc>
        <w:tc>
          <w:tcPr>
            <w:tcW w:w="1666" w:type="pct"/>
            <w:shd w:val="clear" w:color="auto" w:fill="FFFFFF"/>
            <w:vAlign w:val="center"/>
          </w:tcPr>
          <w:p w14:paraId="53A5189A" w14:textId="77777777" w:rsidR="00E16BE7" w:rsidRDefault="001E39E8">
            <w:pPr>
              <w:widowControl/>
              <w:jc w:val="center"/>
              <w:rPr>
                <w:rFonts w:cs="Times New Roman"/>
                <w:kern w:val="2"/>
              </w:rPr>
            </w:pPr>
            <w:r>
              <w:rPr>
                <w:rFonts w:eastAsia="Aptos" w:cs="Times New Roman"/>
                <w:kern w:val="2"/>
                <w:sz w:val="22"/>
                <w:szCs w:val="22"/>
                <w:lang w:bidi="ar"/>
              </w:rPr>
              <w:t>3</w:t>
            </w:r>
          </w:p>
        </w:tc>
        <w:tc>
          <w:tcPr>
            <w:tcW w:w="1669" w:type="pct"/>
            <w:shd w:val="clear" w:color="auto" w:fill="FFFFFF"/>
            <w:vAlign w:val="center"/>
          </w:tcPr>
          <w:p w14:paraId="4D29BCE3" w14:textId="77777777" w:rsidR="00E16BE7" w:rsidRDefault="001E39E8">
            <w:pPr>
              <w:widowControl/>
              <w:jc w:val="center"/>
              <w:rPr>
                <w:rFonts w:cs="Times New Roman"/>
                <w:kern w:val="2"/>
              </w:rPr>
            </w:pPr>
            <w:r>
              <w:rPr>
                <w:rFonts w:eastAsia="Aptos" w:cs="Times New Roman"/>
                <w:kern w:val="2"/>
                <w:sz w:val="22"/>
                <w:szCs w:val="22"/>
                <w:lang w:bidi="ar"/>
              </w:rPr>
              <w:t>6.70</w:t>
            </w:r>
          </w:p>
        </w:tc>
      </w:tr>
      <w:tr w:rsidR="00E16BE7" w14:paraId="1A12B860" w14:textId="77777777">
        <w:tc>
          <w:tcPr>
            <w:tcW w:w="5000" w:type="pct"/>
            <w:gridSpan w:val="3"/>
            <w:vAlign w:val="center"/>
          </w:tcPr>
          <w:p w14:paraId="548DB815" w14:textId="77777777" w:rsidR="00E16BE7" w:rsidRDefault="001E39E8">
            <w:pPr>
              <w:widowControl/>
              <w:jc w:val="center"/>
              <w:rPr>
                <w:rFonts w:eastAsia="Aptos" w:cs="Times New Roman"/>
                <w:kern w:val="2"/>
                <w:sz w:val="22"/>
                <w:szCs w:val="22"/>
                <w:lang w:bidi="ar"/>
              </w:rPr>
            </w:pPr>
            <w:r>
              <w:rPr>
                <w:b/>
                <w:bCs/>
              </w:rPr>
              <w:t xml:space="preserve">Annual Family income </w:t>
            </w:r>
          </w:p>
        </w:tc>
      </w:tr>
      <w:tr w:rsidR="00E16BE7" w14:paraId="4592E68A" w14:textId="77777777">
        <w:tc>
          <w:tcPr>
            <w:tcW w:w="1664" w:type="pct"/>
            <w:vAlign w:val="center"/>
          </w:tcPr>
          <w:p w14:paraId="2645C585" w14:textId="77777777" w:rsidR="00E16BE7" w:rsidRDefault="001E39E8">
            <w:pPr>
              <w:jc w:val="left"/>
            </w:pPr>
            <w:proofErr w:type="spellStart"/>
            <w:r>
              <w:t>Upto</w:t>
            </w:r>
            <w:proofErr w:type="spellEnd"/>
            <w:r>
              <w:t xml:space="preserve"> 1,00,000</w:t>
            </w:r>
          </w:p>
        </w:tc>
        <w:tc>
          <w:tcPr>
            <w:tcW w:w="1666" w:type="pct"/>
            <w:shd w:val="clear" w:color="auto" w:fill="FFFFFF"/>
            <w:vAlign w:val="center"/>
          </w:tcPr>
          <w:p w14:paraId="43CCF88E" w14:textId="77777777" w:rsidR="00E16BE7" w:rsidRDefault="001E39E8">
            <w:pPr>
              <w:widowControl/>
              <w:jc w:val="center"/>
              <w:rPr>
                <w:rFonts w:cs="Times New Roman"/>
                <w:kern w:val="2"/>
              </w:rPr>
            </w:pPr>
            <w:r>
              <w:rPr>
                <w:rFonts w:eastAsia="Aptos" w:cs="Times New Roman"/>
                <w:kern w:val="2"/>
                <w:sz w:val="22"/>
                <w:szCs w:val="22"/>
                <w:lang w:bidi="ar"/>
              </w:rPr>
              <w:t>37</w:t>
            </w:r>
          </w:p>
        </w:tc>
        <w:tc>
          <w:tcPr>
            <w:tcW w:w="1669" w:type="pct"/>
            <w:shd w:val="clear" w:color="auto" w:fill="FFFFFF"/>
            <w:vAlign w:val="center"/>
          </w:tcPr>
          <w:p w14:paraId="343BD84F" w14:textId="77777777" w:rsidR="00E16BE7" w:rsidRDefault="001E39E8">
            <w:pPr>
              <w:widowControl/>
              <w:jc w:val="center"/>
              <w:rPr>
                <w:rFonts w:cs="Times New Roman"/>
                <w:kern w:val="2"/>
              </w:rPr>
            </w:pPr>
            <w:r>
              <w:rPr>
                <w:rFonts w:eastAsia="Aptos" w:cs="Times New Roman"/>
                <w:kern w:val="2"/>
                <w:sz w:val="22"/>
                <w:szCs w:val="22"/>
                <w:lang w:bidi="ar"/>
              </w:rPr>
              <w:t>82.20</w:t>
            </w:r>
          </w:p>
        </w:tc>
      </w:tr>
      <w:tr w:rsidR="00E16BE7" w14:paraId="2D122763" w14:textId="77777777">
        <w:tc>
          <w:tcPr>
            <w:tcW w:w="1664" w:type="pct"/>
            <w:vAlign w:val="center"/>
          </w:tcPr>
          <w:p w14:paraId="0407CD4F" w14:textId="77777777" w:rsidR="00E16BE7" w:rsidRDefault="001E39E8">
            <w:pPr>
              <w:jc w:val="left"/>
            </w:pPr>
            <w:r>
              <w:t>1,00,001-2,00,000</w:t>
            </w:r>
          </w:p>
        </w:tc>
        <w:tc>
          <w:tcPr>
            <w:tcW w:w="1666" w:type="pct"/>
            <w:shd w:val="clear" w:color="auto" w:fill="FFFFFF"/>
            <w:vAlign w:val="center"/>
          </w:tcPr>
          <w:p w14:paraId="4B25B88B" w14:textId="77777777" w:rsidR="00E16BE7" w:rsidRDefault="001E39E8">
            <w:pPr>
              <w:widowControl/>
              <w:jc w:val="center"/>
              <w:rPr>
                <w:rFonts w:cs="Times New Roman"/>
                <w:kern w:val="2"/>
              </w:rPr>
            </w:pPr>
            <w:r>
              <w:rPr>
                <w:rFonts w:eastAsia="Aptos" w:cs="Times New Roman"/>
                <w:kern w:val="2"/>
                <w:sz w:val="22"/>
                <w:szCs w:val="22"/>
                <w:lang w:bidi="ar"/>
              </w:rPr>
              <w:t>8</w:t>
            </w:r>
          </w:p>
        </w:tc>
        <w:tc>
          <w:tcPr>
            <w:tcW w:w="1669" w:type="pct"/>
            <w:shd w:val="clear" w:color="auto" w:fill="FFFFFF"/>
            <w:vAlign w:val="center"/>
          </w:tcPr>
          <w:p w14:paraId="1BB74A3B" w14:textId="77777777" w:rsidR="00E16BE7" w:rsidRDefault="001E39E8">
            <w:pPr>
              <w:widowControl/>
              <w:jc w:val="center"/>
              <w:rPr>
                <w:rFonts w:cs="Times New Roman"/>
                <w:kern w:val="2"/>
              </w:rPr>
            </w:pPr>
            <w:r>
              <w:rPr>
                <w:rFonts w:eastAsia="Aptos" w:cs="Times New Roman"/>
                <w:kern w:val="2"/>
                <w:sz w:val="22"/>
                <w:szCs w:val="22"/>
                <w:lang w:bidi="ar"/>
              </w:rPr>
              <w:t>17.80</w:t>
            </w:r>
          </w:p>
        </w:tc>
      </w:tr>
      <w:tr w:rsidR="00E16BE7" w14:paraId="3B1E95C6" w14:textId="77777777">
        <w:tc>
          <w:tcPr>
            <w:tcW w:w="5000" w:type="pct"/>
            <w:gridSpan w:val="3"/>
            <w:vAlign w:val="center"/>
          </w:tcPr>
          <w:p w14:paraId="16E90670" w14:textId="77777777" w:rsidR="00E16BE7" w:rsidRDefault="001E39E8">
            <w:pPr>
              <w:widowControl/>
              <w:jc w:val="center"/>
              <w:rPr>
                <w:rFonts w:eastAsia="Aptos" w:cs="Times New Roman"/>
                <w:kern w:val="2"/>
                <w:sz w:val="22"/>
                <w:szCs w:val="22"/>
                <w:lang w:bidi="ar"/>
              </w:rPr>
            </w:pPr>
            <w:r>
              <w:rPr>
                <w:b/>
                <w:bCs/>
              </w:rPr>
              <w:t>Family savings per month</w:t>
            </w:r>
          </w:p>
        </w:tc>
      </w:tr>
      <w:tr w:rsidR="00E16BE7" w14:paraId="5C5080DA" w14:textId="77777777">
        <w:tc>
          <w:tcPr>
            <w:tcW w:w="1664" w:type="pct"/>
            <w:vAlign w:val="center"/>
          </w:tcPr>
          <w:p w14:paraId="12B640F8" w14:textId="77777777" w:rsidR="00E16BE7" w:rsidRDefault="001E39E8">
            <w:pPr>
              <w:jc w:val="left"/>
            </w:pPr>
            <w:proofErr w:type="spellStart"/>
            <w:r>
              <w:t>Upto</w:t>
            </w:r>
            <w:proofErr w:type="spellEnd"/>
            <w:r>
              <w:t xml:space="preserve"> 5000</w:t>
            </w:r>
          </w:p>
        </w:tc>
        <w:tc>
          <w:tcPr>
            <w:tcW w:w="1666" w:type="pct"/>
            <w:shd w:val="clear" w:color="auto" w:fill="FFFFFF"/>
            <w:vAlign w:val="center"/>
          </w:tcPr>
          <w:p w14:paraId="3E3A836B" w14:textId="77777777" w:rsidR="00E16BE7" w:rsidRDefault="001E39E8">
            <w:pPr>
              <w:widowControl/>
              <w:jc w:val="center"/>
              <w:rPr>
                <w:rFonts w:cs="Times New Roman"/>
                <w:kern w:val="2"/>
              </w:rPr>
            </w:pPr>
            <w:r>
              <w:rPr>
                <w:rFonts w:eastAsia="Aptos" w:cs="Times New Roman"/>
                <w:kern w:val="2"/>
                <w:sz w:val="22"/>
                <w:szCs w:val="22"/>
                <w:lang w:bidi="ar"/>
              </w:rPr>
              <w:t>34</w:t>
            </w:r>
          </w:p>
        </w:tc>
        <w:tc>
          <w:tcPr>
            <w:tcW w:w="1669" w:type="pct"/>
            <w:shd w:val="clear" w:color="auto" w:fill="FFFFFF"/>
            <w:vAlign w:val="center"/>
          </w:tcPr>
          <w:p w14:paraId="0D46BC7D" w14:textId="77777777" w:rsidR="00E16BE7" w:rsidRDefault="001E39E8">
            <w:pPr>
              <w:widowControl/>
              <w:jc w:val="center"/>
              <w:rPr>
                <w:rFonts w:cs="Times New Roman"/>
                <w:kern w:val="2"/>
              </w:rPr>
            </w:pPr>
            <w:r>
              <w:rPr>
                <w:rFonts w:eastAsia="Aptos" w:cs="Times New Roman"/>
                <w:kern w:val="2"/>
                <w:sz w:val="22"/>
                <w:szCs w:val="22"/>
                <w:lang w:bidi="ar"/>
              </w:rPr>
              <w:t>75.60</w:t>
            </w:r>
          </w:p>
        </w:tc>
      </w:tr>
      <w:tr w:rsidR="00E16BE7" w14:paraId="41F145B7" w14:textId="77777777">
        <w:tc>
          <w:tcPr>
            <w:tcW w:w="1664" w:type="pct"/>
            <w:vAlign w:val="center"/>
          </w:tcPr>
          <w:p w14:paraId="32289FCA" w14:textId="77777777" w:rsidR="00E16BE7" w:rsidRDefault="001E39E8">
            <w:pPr>
              <w:jc w:val="left"/>
            </w:pPr>
            <w:r>
              <w:t>5001-10,000</w:t>
            </w:r>
          </w:p>
        </w:tc>
        <w:tc>
          <w:tcPr>
            <w:tcW w:w="1666" w:type="pct"/>
            <w:shd w:val="clear" w:color="auto" w:fill="FFFFFF"/>
            <w:vAlign w:val="center"/>
          </w:tcPr>
          <w:p w14:paraId="268A132F" w14:textId="77777777" w:rsidR="00E16BE7" w:rsidRDefault="001E39E8">
            <w:pPr>
              <w:widowControl/>
              <w:jc w:val="center"/>
              <w:rPr>
                <w:rFonts w:cs="Times New Roman"/>
                <w:kern w:val="2"/>
              </w:rPr>
            </w:pPr>
            <w:r>
              <w:rPr>
                <w:rFonts w:eastAsia="Aptos" w:cs="Times New Roman"/>
                <w:kern w:val="2"/>
                <w:sz w:val="22"/>
                <w:szCs w:val="22"/>
                <w:lang w:bidi="ar"/>
              </w:rPr>
              <w:t>6</w:t>
            </w:r>
          </w:p>
        </w:tc>
        <w:tc>
          <w:tcPr>
            <w:tcW w:w="1669" w:type="pct"/>
            <w:shd w:val="clear" w:color="auto" w:fill="FFFFFF"/>
            <w:vAlign w:val="center"/>
          </w:tcPr>
          <w:p w14:paraId="2492832B" w14:textId="77777777" w:rsidR="00E16BE7" w:rsidRDefault="001E39E8">
            <w:pPr>
              <w:widowControl/>
              <w:jc w:val="center"/>
              <w:rPr>
                <w:rFonts w:cs="Times New Roman"/>
                <w:kern w:val="2"/>
              </w:rPr>
            </w:pPr>
            <w:r>
              <w:rPr>
                <w:rFonts w:eastAsia="Aptos" w:cs="Times New Roman"/>
                <w:kern w:val="2"/>
                <w:sz w:val="22"/>
                <w:szCs w:val="22"/>
                <w:lang w:bidi="ar"/>
              </w:rPr>
              <w:t>13.30</w:t>
            </w:r>
          </w:p>
        </w:tc>
      </w:tr>
      <w:tr w:rsidR="00E16BE7" w14:paraId="34EA9508" w14:textId="77777777">
        <w:trPr>
          <w:trHeight w:val="90"/>
        </w:trPr>
        <w:tc>
          <w:tcPr>
            <w:tcW w:w="1664" w:type="pct"/>
            <w:vAlign w:val="center"/>
          </w:tcPr>
          <w:p w14:paraId="7E82529E" w14:textId="77777777" w:rsidR="00E16BE7" w:rsidRDefault="001E39E8">
            <w:pPr>
              <w:jc w:val="left"/>
            </w:pPr>
            <w:r>
              <w:t>Above 10,000</w:t>
            </w:r>
          </w:p>
        </w:tc>
        <w:tc>
          <w:tcPr>
            <w:tcW w:w="1666" w:type="pct"/>
            <w:shd w:val="clear" w:color="auto" w:fill="FFFFFF"/>
            <w:vAlign w:val="center"/>
          </w:tcPr>
          <w:p w14:paraId="269060DD" w14:textId="77777777" w:rsidR="00E16BE7" w:rsidRDefault="001E39E8">
            <w:pPr>
              <w:widowControl/>
              <w:jc w:val="center"/>
              <w:rPr>
                <w:rFonts w:cs="Times New Roman"/>
                <w:kern w:val="2"/>
              </w:rPr>
            </w:pPr>
            <w:r>
              <w:rPr>
                <w:rFonts w:eastAsia="Aptos" w:cs="Times New Roman"/>
                <w:kern w:val="2"/>
                <w:sz w:val="22"/>
                <w:szCs w:val="22"/>
                <w:lang w:bidi="ar"/>
              </w:rPr>
              <w:t>5</w:t>
            </w:r>
          </w:p>
        </w:tc>
        <w:tc>
          <w:tcPr>
            <w:tcW w:w="1669" w:type="pct"/>
            <w:shd w:val="clear" w:color="auto" w:fill="FFFFFF"/>
            <w:vAlign w:val="center"/>
          </w:tcPr>
          <w:p w14:paraId="39073A56" w14:textId="77777777" w:rsidR="00E16BE7" w:rsidRDefault="001E39E8">
            <w:pPr>
              <w:widowControl/>
              <w:jc w:val="center"/>
              <w:rPr>
                <w:rFonts w:cs="Times New Roman"/>
                <w:kern w:val="2"/>
              </w:rPr>
            </w:pPr>
            <w:r>
              <w:rPr>
                <w:rFonts w:eastAsia="Aptos" w:cs="Times New Roman"/>
                <w:kern w:val="2"/>
                <w:sz w:val="22"/>
                <w:szCs w:val="22"/>
                <w:lang w:bidi="ar"/>
              </w:rPr>
              <w:t>11.10</w:t>
            </w:r>
          </w:p>
        </w:tc>
      </w:tr>
      <w:tr w:rsidR="00E16BE7" w14:paraId="6640D7D6" w14:textId="77777777">
        <w:trPr>
          <w:trHeight w:val="90"/>
        </w:trPr>
        <w:tc>
          <w:tcPr>
            <w:tcW w:w="1664" w:type="pct"/>
            <w:vAlign w:val="center"/>
          </w:tcPr>
          <w:p w14:paraId="2AAA07BC" w14:textId="77777777" w:rsidR="00E16BE7" w:rsidRDefault="001E39E8">
            <w:pPr>
              <w:jc w:val="left"/>
              <w:rPr>
                <w:b/>
                <w:bCs/>
              </w:rPr>
            </w:pPr>
            <w:r>
              <w:rPr>
                <w:b/>
                <w:bCs/>
              </w:rPr>
              <w:t>Total</w:t>
            </w:r>
          </w:p>
        </w:tc>
        <w:tc>
          <w:tcPr>
            <w:tcW w:w="1666" w:type="pct"/>
            <w:shd w:val="clear" w:color="auto" w:fill="FFFFFF"/>
            <w:vAlign w:val="center"/>
          </w:tcPr>
          <w:p w14:paraId="22547213" w14:textId="77777777" w:rsidR="00E16BE7" w:rsidRDefault="001E39E8">
            <w:pPr>
              <w:widowControl/>
              <w:jc w:val="center"/>
              <w:rPr>
                <w:rFonts w:eastAsia="Aptos" w:cs="Times New Roman"/>
                <w:b/>
                <w:bCs/>
                <w:kern w:val="2"/>
                <w:sz w:val="22"/>
                <w:szCs w:val="22"/>
                <w:lang w:bidi="ar"/>
              </w:rPr>
            </w:pPr>
            <w:r>
              <w:rPr>
                <w:rFonts w:eastAsia="Aptos" w:cs="Times New Roman"/>
                <w:b/>
                <w:bCs/>
                <w:kern w:val="2"/>
                <w:sz w:val="22"/>
                <w:szCs w:val="22"/>
                <w:lang w:bidi="ar"/>
              </w:rPr>
              <w:t>45</w:t>
            </w:r>
          </w:p>
        </w:tc>
        <w:tc>
          <w:tcPr>
            <w:tcW w:w="1669" w:type="pct"/>
            <w:shd w:val="clear" w:color="auto" w:fill="FFFFFF"/>
            <w:vAlign w:val="center"/>
          </w:tcPr>
          <w:p w14:paraId="220CA5D4" w14:textId="77777777" w:rsidR="00E16BE7" w:rsidRDefault="001E39E8">
            <w:pPr>
              <w:widowControl/>
              <w:jc w:val="center"/>
              <w:rPr>
                <w:rFonts w:eastAsia="Aptos" w:cs="Times New Roman"/>
                <w:b/>
                <w:bCs/>
                <w:kern w:val="2"/>
                <w:sz w:val="22"/>
                <w:szCs w:val="22"/>
                <w:lang w:bidi="ar"/>
              </w:rPr>
            </w:pPr>
            <w:r>
              <w:rPr>
                <w:rFonts w:eastAsia="Aptos" w:cs="Times New Roman"/>
                <w:b/>
                <w:bCs/>
                <w:kern w:val="2"/>
                <w:sz w:val="22"/>
                <w:szCs w:val="22"/>
                <w:lang w:bidi="ar"/>
              </w:rPr>
              <w:t>100.00</w:t>
            </w:r>
          </w:p>
        </w:tc>
      </w:tr>
    </w:tbl>
    <w:p w14:paraId="0A6001B2" w14:textId="77777777" w:rsidR="00E16BE7" w:rsidRDefault="00E16BE7">
      <w:pPr>
        <w:rPr>
          <w:b/>
          <w:bCs/>
        </w:rPr>
      </w:pPr>
    </w:p>
    <w:p w14:paraId="2042F112" w14:textId="77777777" w:rsidR="00E16BE7" w:rsidRDefault="001E39E8">
      <w:pPr>
        <w:spacing w:line="360" w:lineRule="auto"/>
        <w:jc w:val="both"/>
        <w:rPr>
          <w:rFonts w:eastAsia="SimSun" w:cs="Times New Roman"/>
        </w:rPr>
      </w:pPr>
      <w:r>
        <w:tab/>
        <w:t xml:space="preserve">Table No 1 </w:t>
      </w:r>
      <w:r>
        <w:t>shows</w:t>
      </w:r>
      <w:r>
        <w:t xml:space="preserve"> that, ou</w:t>
      </w:r>
      <w:r>
        <w:rPr>
          <w:rFonts w:eastAsia="SimSun" w:cs="Times New Roman"/>
        </w:rPr>
        <w:t xml:space="preserve">t of 45 students, the majority of the students </w:t>
      </w:r>
      <w:proofErr w:type="gramStart"/>
      <w:r>
        <w:rPr>
          <w:rFonts w:eastAsia="SimSun" w:cs="Times New Roman"/>
        </w:rPr>
        <w:t>are(</w:t>
      </w:r>
      <w:proofErr w:type="gramEnd"/>
      <w:r>
        <w:rPr>
          <w:rFonts w:eastAsia="SimSun" w:cs="Times New Roman"/>
        </w:rPr>
        <w:t>33, 73.30%) female. In age category majority of the students (</w:t>
      </w:r>
      <w:r>
        <w:rPr>
          <w:rFonts w:eastAsia="Aptos" w:cs="Times New Roman"/>
          <w:kern w:val="2"/>
          <w:sz w:val="22"/>
          <w:szCs w:val="22"/>
          <w:lang w:bidi="ar"/>
        </w:rPr>
        <w:t xml:space="preserve">30, </w:t>
      </w:r>
      <w:r>
        <w:rPr>
          <w:rFonts w:eastAsia="SimSun" w:cs="Times New Roman"/>
        </w:rPr>
        <w:t>66.70%) are up</w:t>
      </w:r>
      <w:r>
        <w:rPr>
          <w:rFonts w:eastAsia="SimSun" w:cs="Times New Roman"/>
        </w:rPr>
        <w:t xml:space="preserve"> </w:t>
      </w:r>
      <w:r>
        <w:rPr>
          <w:rFonts w:eastAsia="SimSun" w:cs="Times New Roman"/>
        </w:rPr>
        <w:t>to 20. Most of the students, (38, 84.40%) reside in villages. In marital status category majority of the students (</w:t>
      </w:r>
      <w:r>
        <w:rPr>
          <w:rFonts w:eastAsia="Aptos" w:cs="Times New Roman"/>
          <w:kern w:val="2"/>
          <w:sz w:val="22"/>
          <w:szCs w:val="22"/>
          <w:lang w:bidi="ar"/>
        </w:rPr>
        <w:t xml:space="preserve">41, </w:t>
      </w:r>
      <w:r>
        <w:rPr>
          <w:rFonts w:eastAsia="SimSun" w:cs="Times New Roman"/>
        </w:rPr>
        <w:t xml:space="preserve">91.10%) are unmarried. </w:t>
      </w:r>
      <w:r>
        <w:rPr>
          <w:rFonts w:eastAsia="Aptos" w:cs="Times New Roman"/>
          <w:kern w:val="2"/>
          <w:lang w:bidi="ar"/>
        </w:rPr>
        <w:t>35 (</w:t>
      </w:r>
      <w:r>
        <w:rPr>
          <w:rFonts w:eastAsia="SimSun" w:cs="Times New Roman"/>
        </w:rPr>
        <w:t xml:space="preserve">77.80%) students belong to nuclear family. In earning members category nearly half of the </w:t>
      </w:r>
      <w:proofErr w:type="gramStart"/>
      <w:r>
        <w:rPr>
          <w:rFonts w:eastAsia="SimSun" w:cs="Times New Roman"/>
        </w:rPr>
        <w:t>s</w:t>
      </w:r>
      <w:r>
        <w:rPr>
          <w:rFonts w:eastAsia="SimSun" w:cs="Times New Roman"/>
        </w:rPr>
        <w:t>tudents  (</w:t>
      </w:r>
      <w:proofErr w:type="gramEnd"/>
      <w:r>
        <w:rPr>
          <w:rFonts w:eastAsia="Aptos" w:cs="Times New Roman"/>
          <w:kern w:val="2"/>
          <w:lang w:bidi="ar"/>
        </w:rPr>
        <w:t xml:space="preserve">22, </w:t>
      </w:r>
      <w:r>
        <w:rPr>
          <w:rFonts w:eastAsia="SimSun" w:cs="Times New Roman"/>
        </w:rPr>
        <w:t>48.90%) have two earning members in their family, while (</w:t>
      </w:r>
      <w:r>
        <w:rPr>
          <w:rFonts w:eastAsia="Aptos" w:cs="Times New Roman"/>
          <w:kern w:val="2"/>
          <w:lang w:bidi="ar"/>
        </w:rPr>
        <w:t>20,</w:t>
      </w:r>
      <w:r>
        <w:rPr>
          <w:rFonts w:eastAsia="Aptos" w:cs="Times New Roman"/>
          <w:kern w:val="2"/>
          <w:sz w:val="22"/>
          <w:szCs w:val="22"/>
          <w:lang w:bidi="ar"/>
        </w:rPr>
        <w:t xml:space="preserve"> </w:t>
      </w:r>
      <w:r>
        <w:rPr>
          <w:rFonts w:eastAsia="SimSun" w:cs="Times New Roman"/>
        </w:rPr>
        <w:t>44.40%) have only one earning member and (</w:t>
      </w:r>
      <w:r>
        <w:rPr>
          <w:rFonts w:eastAsia="Aptos" w:cs="Times New Roman"/>
          <w:kern w:val="2"/>
          <w:lang w:bidi="ar"/>
        </w:rPr>
        <w:t>3</w:t>
      </w:r>
      <w:r>
        <w:rPr>
          <w:rFonts w:eastAsia="Aptos" w:cs="Times New Roman"/>
          <w:kern w:val="2"/>
          <w:sz w:val="22"/>
          <w:szCs w:val="22"/>
          <w:lang w:bidi="ar"/>
        </w:rPr>
        <w:t xml:space="preserve">, </w:t>
      </w:r>
      <w:r>
        <w:rPr>
          <w:rFonts w:eastAsia="SimSun" w:cs="Times New Roman"/>
        </w:rPr>
        <w:t xml:space="preserve">6.70%) have more than two earning members. A majority of the </w:t>
      </w:r>
      <w:r>
        <w:rPr>
          <w:rFonts w:eastAsia="SimSun" w:cs="Times New Roman"/>
        </w:rPr>
        <w:lastRenderedPageBreak/>
        <w:t>students (</w:t>
      </w:r>
      <w:r>
        <w:rPr>
          <w:rFonts w:eastAsia="Aptos" w:cs="Times New Roman"/>
          <w:kern w:val="2"/>
          <w:lang w:bidi="ar"/>
        </w:rPr>
        <w:t xml:space="preserve">37, </w:t>
      </w:r>
      <w:r>
        <w:rPr>
          <w:rFonts w:eastAsia="SimSun" w:cs="Times New Roman"/>
        </w:rPr>
        <w:t>82.20%), belong to families with an annual income up to ₹1,00</w:t>
      </w:r>
      <w:r>
        <w:rPr>
          <w:rFonts w:eastAsia="SimSun" w:cs="Times New Roman"/>
        </w:rPr>
        <w:t xml:space="preserve">,000. Most of the </w:t>
      </w:r>
      <w:proofErr w:type="gramStart"/>
      <w:r>
        <w:rPr>
          <w:rFonts w:eastAsia="SimSun" w:cs="Times New Roman"/>
        </w:rPr>
        <w:t>students,  (</w:t>
      </w:r>
      <w:proofErr w:type="gramEnd"/>
      <w:r>
        <w:rPr>
          <w:rFonts w:eastAsia="SimSun" w:cs="Times New Roman"/>
        </w:rPr>
        <w:t xml:space="preserve">34, 75.60%), report monthly family savings up to ₹5,000. </w:t>
      </w:r>
    </w:p>
    <w:p w14:paraId="7D8A8A3B" w14:textId="77777777" w:rsidR="00E16BE7" w:rsidRDefault="00E16BE7">
      <w:pPr>
        <w:spacing w:line="360" w:lineRule="auto"/>
        <w:jc w:val="both"/>
        <w:rPr>
          <w:rFonts w:eastAsia="SimSun" w:cs="Times New Roman"/>
        </w:rPr>
      </w:pPr>
    </w:p>
    <w:p w14:paraId="4E30AD89" w14:textId="77777777" w:rsidR="00E16BE7" w:rsidRDefault="001E39E8">
      <w:pPr>
        <w:spacing w:line="360" w:lineRule="auto"/>
        <w:jc w:val="center"/>
        <w:rPr>
          <w:rFonts w:eastAsia="SimSun" w:cs="Times New Roman"/>
          <w:b/>
          <w:bCs/>
        </w:rPr>
      </w:pPr>
      <w:r>
        <w:rPr>
          <w:rFonts w:eastAsia="SimSun" w:cs="Times New Roman"/>
          <w:b/>
          <w:bCs/>
        </w:rPr>
        <w:t>Table No 2: Outcome of the Program - Simple Percentage Test</w:t>
      </w:r>
    </w:p>
    <w:p w14:paraId="5AE27F3F" w14:textId="77777777" w:rsidR="00E16BE7" w:rsidRDefault="00E16BE7"/>
    <w:tbl>
      <w:tblPr>
        <w:tblStyle w:val="TableGrid"/>
        <w:tblW w:w="0" w:type="auto"/>
        <w:tblLook w:val="04A0" w:firstRow="1" w:lastRow="0" w:firstColumn="1" w:lastColumn="0" w:noHBand="0" w:noVBand="1"/>
      </w:tblPr>
      <w:tblGrid>
        <w:gridCol w:w="2130"/>
        <w:gridCol w:w="2130"/>
        <w:gridCol w:w="2131"/>
        <w:gridCol w:w="2131"/>
      </w:tblGrid>
      <w:tr w:rsidR="00E16BE7" w14:paraId="66030C49" w14:textId="77777777">
        <w:trPr>
          <w:trHeight w:val="583"/>
        </w:trPr>
        <w:tc>
          <w:tcPr>
            <w:tcW w:w="2130" w:type="dxa"/>
            <w:tcBorders>
              <w:top w:val="single" w:sz="4" w:space="0" w:color="auto"/>
              <w:left w:val="single" w:sz="4" w:space="0" w:color="auto"/>
              <w:bottom w:val="single" w:sz="4" w:space="0" w:color="auto"/>
              <w:right w:val="single" w:sz="4" w:space="0" w:color="auto"/>
            </w:tcBorders>
            <w:vAlign w:val="center"/>
          </w:tcPr>
          <w:p w14:paraId="547D71E0" w14:textId="77777777" w:rsidR="00E16BE7" w:rsidRDefault="001E39E8">
            <w:pPr>
              <w:jc w:val="center"/>
              <w:rPr>
                <w:b/>
                <w:bCs/>
              </w:rPr>
            </w:pPr>
            <w:r>
              <w:rPr>
                <w:b/>
                <w:bCs/>
              </w:rPr>
              <w:t>ASPECTS</w:t>
            </w:r>
          </w:p>
        </w:tc>
        <w:tc>
          <w:tcPr>
            <w:tcW w:w="2130" w:type="dxa"/>
            <w:tcBorders>
              <w:top w:val="single" w:sz="4" w:space="0" w:color="auto"/>
              <w:left w:val="single" w:sz="4" w:space="0" w:color="auto"/>
              <w:bottom w:val="single" w:sz="4" w:space="0" w:color="auto"/>
              <w:right w:val="single" w:sz="4" w:space="0" w:color="auto"/>
            </w:tcBorders>
            <w:vAlign w:val="center"/>
          </w:tcPr>
          <w:p w14:paraId="0763CCEE" w14:textId="77777777" w:rsidR="00E16BE7" w:rsidRDefault="001E39E8">
            <w:pPr>
              <w:jc w:val="center"/>
              <w:rPr>
                <w:b/>
                <w:bCs/>
              </w:rPr>
            </w:pPr>
            <w:r>
              <w:rPr>
                <w:b/>
                <w:bCs/>
              </w:rPr>
              <w:t>YES</w:t>
            </w:r>
          </w:p>
        </w:tc>
        <w:tc>
          <w:tcPr>
            <w:tcW w:w="2131" w:type="dxa"/>
            <w:tcBorders>
              <w:top w:val="single" w:sz="4" w:space="0" w:color="auto"/>
              <w:left w:val="single" w:sz="4" w:space="0" w:color="auto"/>
              <w:bottom w:val="single" w:sz="4" w:space="0" w:color="auto"/>
              <w:right w:val="single" w:sz="4" w:space="0" w:color="auto"/>
            </w:tcBorders>
            <w:vAlign w:val="center"/>
          </w:tcPr>
          <w:p w14:paraId="0CD05294" w14:textId="77777777" w:rsidR="00E16BE7" w:rsidRDefault="001E39E8">
            <w:pPr>
              <w:jc w:val="center"/>
              <w:rPr>
                <w:b/>
                <w:bCs/>
              </w:rPr>
            </w:pPr>
            <w:r>
              <w:rPr>
                <w:b/>
                <w:bCs/>
              </w:rPr>
              <w:t>NO</w:t>
            </w:r>
          </w:p>
        </w:tc>
        <w:tc>
          <w:tcPr>
            <w:tcW w:w="2131" w:type="dxa"/>
            <w:tcBorders>
              <w:top w:val="single" w:sz="4" w:space="0" w:color="auto"/>
              <w:left w:val="single" w:sz="4" w:space="0" w:color="auto"/>
              <w:bottom w:val="single" w:sz="4" w:space="0" w:color="auto"/>
              <w:right w:val="single" w:sz="4" w:space="0" w:color="auto"/>
            </w:tcBorders>
            <w:vAlign w:val="center"/>
          </w:tcPr>
          <w:p w14:paraId="39531DA8" w14:textId="77777777" w:rsidR="00E16BE7" w:rsidRDefault="001E39E8">
            <w:pPr>
              <w:jc w:val="center"/>
              <w:rPr>
                <w:b/>
                <w:bCs/>
              </w:rPr>
            </w:pPr>
            <w:r>
              <w:rPr>
                <w:b/>
                <w:bCs/>
              </w:rPr>
              <w:t>TOTAL</w:t>
            </w:r>
          </w:p>
        </w:tc>
      </w:tr>
      <w:tr w:rsidR="00E16BE7" w14:paraId="25F55179" w14:textId="77777777">
        <w:trPr>
          <w:trHeight w:val="405"/>
        </w:trPr>
        <w:tc>
          <w:tcPr>
            <w:tcW w:w="2130" w:type="dxa"/>
            <w:vMerge w:val="restart"/>
            <w:tcBorders>
              <w:top w:val="single" w:sz="4" w:space="0" w:color="auto"/>
              <w:left w:val="single" w:sz="4" w:space="0" w:color="auto"/>
              <w:bottom w:val="single" w:sz="4" w:space="0" w:color="auto"/>
              <w:right w:val="single" w:sz="4" w:space="0" w:color="auto"/>
            </w:tcBorders>
            <w:vAlign w:val="center"/>
          </w:tcPr>
          <w:p w14:paraId="08856944" w14:textId="77777777" w:rsidR="00E16BE7" w:rsidRDefault="001E39E8">
            <w:pPr>
              <w:jc w:val="center"/>
            </w:pPr>
            <w:r>
              <w:t>Basics of stock market</w:t>
            </w:r>
          </w:p>
        </w:tc>
        <w:tc>
          <w:tcPr>
            <w:tcW w:w="2130" w:type="dxa"/>
            <w:tcBorders>
              <w:top w:val="single" w:sz="4" w:space="0" w:color="auto"/>
              <w:left w:val="single" w:sz="4" w:space="0" w:color="auto"/>
              <w:bottom w:val="single" w:sz="4" w:space="0" w:color="auto"/>
              <w:right w:val="single" w:sz="4" w:space="0" w:color="auto"/>
            </w:tcBorders>
            <w:vAlign w:val="center"/>
          </w:tcPr>
          <w:p w14:paraId="613D1645" w14:textId="77777777" w:rsidR="00E16BE7" w:rsidRDefault="001E39E8">
            <w:pPr>
              <w:jc w:val="center"/>
            </w:pPr>
            <w:r>
              <w:t>39</w:t>
            </w:r>
          </w:p>
        </w:tc>
        <w:tc>
          <w:tcPr>
            <w:tcW w:w="2131" w:type="dxa"/>
            <w:tcBorders>
              <w:top w:val="single" w:sz="4" w:space="0" w:color="auto"/>
              <w:left w:val="single" w:sz="4" w:space="0" w:color="auto"/>
              <w:bottom w:val="single" w:sz="4" w:space="0" w:color="auto"/>
              <w:right w:val="single" w:sz="4" w:space="0" w:color="auto"/>
            </w:tcBorders>
            <w:vAlign w:val="center"/>
          </w:tcPr>
          <w:p w14:paraId="55C76CE1" w14:textId="77777777" w:rsidR="00E16BE7" w:rsidRDefault="001E39E8">
            <w:pPr>
              <w:jc w:val="center"/>
            </w:pPr>
            <w:r>
              <w:t>6</w:t>
            </w:r>
          </w:p>
        </w:tc>
        <w:tc>
          <w:tcPr>
            <w:tcW w:w="2131" w:type="dxa"/>
            <w:tcBorders>
              <w:top w:val="single" w:sz="4" w:space="0" w:color="auto"/>
              <w:left w:val="single" w:sz="4" w:space="0" w:color="auto"/>
              <w:bottom w:val="single" w:sz="4" w:space="0" w:color="auto"/>
              <w:right w:val="single" w:sz="4" w:space="0" w:color="auto"/>
            </w:tcBorders>
            <w:vAlign w:val="center"/>
          </w:tcPr>
          <w:p w14:paraId="42E3DB22" w14:textId="77777777" w:rsidR="00E16BE7" w:rsidRDefault="001E39E8">
            <w:pPr>
              <w:jc w:val="center"/>
            </w:pPr>
            <w:r>
              <w:t>45</w:t>
            </w:r>
          </w:p>
        </w:tc>
      </w:tr>
      <w:tr w:rsidR="00E16BE7" w14:paraId="6A6F330E" w14:textId="77777777">
        <w:trPr>
          <w:trHeight w:val="404"/>
        </w:trPr>
        <w:tc>
          <w:tcPr>
            <w:tcW w:w="2130" w:type="dxa"/>
            <w:vMerge/>
            <w:tcBorders>
              <w:top w:val="single" w:sz="4" w:space="0" w:color="auto"/>
              <w:left w:val="single" w:sz="4" w:space="0" w:color="auto"/>
              <w:bottom w:val="single" w:sz="4" w:space="0" w:color="auto"/>
              <w:right w:val="single" w:sz="4" w:space="0" w:color="auto"/>
            </w:tcBorders>
            <w:vAlign w:val="center"/>
          </w:tcPr>
          <w:p w14:paraId="04F6E063" w14:textId="77777777" w:rsidR="00E16BE7" w:rsidRDefault="00E16BE7">
            <w:pPr>
              <w:jc w:val="left"/>
            </w:pPr>
          </w:p>
        </w:tc>
        <w:tc>
          <w:tcPr>
            <w:tcW w:w="2130" w:type="dxa"/>
            <w:tcBorders>
              <w:top w:val="single" w:sz="4" w:space="0" w:color="auto"/>
              <w:left w:val="single" w:sz="4" w:space="0" w:color="auto"/>
              <w:bottom w:val="single" w:sz="4" w:space="0" w:color="auto"/>
              <w:right w:val="single" w:sz="4" w:space="0" w:color="auto"/>
            </w:tcBorders>
            <w:vAlign w:val="center"/>
          </w:tcPr>
          <w:p w14:paraId="3E37B292" w14:textId="77777777" w:rsidR="00E16BE7" w:rsidRDefault="001E39E8">
            <w:pPr>
              <w:jc w:val="center"/>
            </w:pPr>
            <w:r>
              <w:t>(86.67%)</w:t>
            </w:r>
          </w:p>
        </w:tc>
        <w:tc>
          <w:tcPr>
            <w:tcW w:w="2131" w:type="dxa"/>
            <w:tcBorders>
              <w:top w:val="single" w:sz="4" w:space="0" w:color="auto"/>
              <w:left w:val="single" w:sz="4" w:space="0" w:color="auto"/>
              <w:bottom w:val="single" w:sz="4" w:space="0" w:color="auto"/>
              <w:right w:val="single" w:sz="4" w:space="0" w:color="auto"/>
            </w:tcBorders>
            <w:vAlign w:val="center"/>
          </w:tcPr>
          <w:p w14:paraId="263FD9B1" w14:textId="77777777" w:rsidR="00E16BE7" w:rsidRDefault="001E39E8">
            <w:pPr>
              <w:jc w:val="center"/>
            </w:pPr>
            <w:r>
              <w:t>(13.33%)</w:t>
            </w:r>
          </w:p>
        </w:tc>
        <w:tc>
          <w:tcPr>
            <w:tcW w:w="2131" w:type="dxa"/>
            <w:tcBorders>
              <w:top w:val="single" w:sz="4" w:space="0" w:color="auto"/>
              <w:left w:val="single" w:sz="4" w:space="0" w:color="auto"/>
              <w:bottom w:val="single" w:sz="4" w:space="0" w:color="auto"/>
              <w:right w:val="single" w:sz="4" w:space="0" w:color="auto"/>
            </w:tcBorders>
            <w:vAlign w:val="center"/>
          </w:tcPr>
          <w:p w14:paraId="3922DB9D" w14:textId="77777777" w:rsidR="00E16BE7" w:rsidRDefault="001E39E8">
            <w:pPr>
              <w:jc w:val="center"/>
            </w:pPr>
            <w:r>
              <w:t>(100.00%)</w:t>
            </w:r>
          </w:p>
        </w:tc>
      </w:tr>
      <w:tr w:rsidR="00E16BE7" w14:paraId="41A4E396" w14:textId="77777777">
        <w:trPr>
          <w:trHeight w:val="374"/>
        </w:trPr>
        <w:tc>
          <w:tcPr>
            <w:tcW w:w="2130" w:type="dxa"/>
            <w:vMerge w:val="restart"/>
            <w:tcBorders>
              <w:top w:val="single" w:sz="4" w:space="0" w:color="auto"/>
              <w:left w:val="single" w:sz="4" w:space="0" w:color="auto"/>
              <w:bottom w:val="single" w:sz="4" w:space="0" w:color="auto"/>
              <w:right w:val="single" w:sz="4" w:space="0" w:color="auto"/>
            </w:tcBorders>
            <w:vAlign w:val="center"/>
          </w:tcPr>
          <w:p w14:paraId="4B586B10" w14:textId="77777777" w:rsidR="00E16BE7" w:rsidRDefault="001E39E8">
            <w:pPr>
              <w:jc w:val="center"/>
            </w:pPr>
            <w:r>
              <w:t>Trading procedures</w:t>
            </w:r>
          </w:p>
        </w:tc>
        <w:tc>
          <w:tcPr>
            <w:tcW w:w="2130" w:type="dxa"/>
            <w:tcBorders>
              <w:top w:val="single" w:sz="4" w:space="0" w:color="auto"/>
              <w:left w:val="single" w:sz="4" w:space="0" w:color="auto"/>
              <w:bottom w:val="single" w:sz="4" w:space="0" w:color="auto"/>
              <w:right w:val="single" w:sz="4" w:space="0" w:color="auto"/>
            </w:tcBorders>
            <w:vAlign w:val="center"/>
          </w:tcPr>
          <w:p w14:paraId="51BE43D1" w14:textId="77777777" w:rsidR="00E16BE7" w:rsidRDefault="001E39E8">
            <w:pPr>
              <w:jc w:val="center"/>
            </w:pPr>
            <w:r>
              <w:t>23</w:t>
            </w:r>
          </w:p>
        </w:tc>
        <w:tc>
          <w:tcPr>
            <w:tcW w:w="2131" w:type="dxa"/>
            <w:tcBorders>
              <w:top w:val="single" w:sz="4" w:space="0" w:color="auto"/>
              <w:left w:val="single" w:sz="4" w:space="0" w:color="auto"/>
              <w:bottom w:val="single" w:sz="4" w:space="0" w:color="auto"/>
              <w:right w:val="single" w:sz="4" w:space="0" w:color="auto"/>
            </w:tcBorders>
            <w:vAlign w:val="center"/>
          </w:tcPr>
          <w:p w14:paraId="700C0CE1" w14:textId="77777777" w:rsidR="00E16BE7" w:rsidRDefault="001E39E8">
            <w:pPr>
              <w:jc w:val="center"/>
            </w:pPr>
            <w:r>
              <w:t>22</w:t>
            </w:r>
          </w:p>
        </w:tc>
        <w:tc>
          <w:tcPr>
            <w:tcW w:w="2131" w:type="dxa"/>
            <w:tcBorders>
              <w:top w:val="single" w:sz="4" w:space="0" w:color="auto"/>
              <w:left w:val="single" w:sz="4" w:space="0" w:color="auto"/>
              <w:bottom w:val="single" w:sz="4" w:space="0" w:color="auto"/>
              <w:right w:val="single" w:sz="4" w:space="0" w:color="auto"/>
            </w:tcBorders>
            <w:vAlign w:val="center"/>
          </w:tcPr>
          <w:p w14:paraId="7EEC57EF" w14:textId="77777777" w:rsidR="00E16BE7" w:rsidRDefault="001E39E8">
            <w:pPr>
              <w:jc w:val="center"/>
            </w:pPr>
            <w:r>
              <w:t>45</w:t>
            </w:r>
          </w:p>
        </w:tc>
      </w:tr>
      <w:tr w:rsidR="00E16BE7" w14:paraId="724A7657" w14:textId="77777777">
        <w:trPr>
          <w:trHeight w:val="515"/>
        </w:trPr>
        <w:tc>
          <w:tcPr>
            <w:tcW w:w="2130" w:type="dxa"/>
            <w:vMerge/>
            <w:tcBorders>
              <w:top w:val="single" w:sz="4" w:space="0" w:color="auto"/>
              <w:left w:val="single" w:sz="4" w:space="0" w:color="auto"/>
              <w:bottom w:val="single" w:sz="4" w:space="0" w:color="auto"/>
              <w:right w:val="single" w:sz="4" w:space="0" w:color="auto"/>
            </w:tcBorders>
            <w:vAlign w:val="center"/>
          </w:tcPr>
          <w:p w14:paraId="5FC148FD" w14:textId="77777777" w:rsidR="00E16BE7" w:rsidRDefault="00E16BE7">
            <w:pPr>
              <w:jc w:val="center"/>
            </w:pPr>
          </w:p>
        </w:tc>
        <w:tc>
          <w:tcPr>
            <w:tcW w:w="2130" w:type="dxa"/>
            <w:tcBorders>
              <w:top w:val="single" w:sz="4" w:space="0" w:color="auto"/>
              <w:left w:val="single" w:sz="4" w:space="0" w:color="auto"/>
              <w:bottom w:val="single" w:sz="4" w:space="0" w:color="auto"/>
              <w:right w:val="single" w:sz="4" w:space="0" w:color="auto"/>
            </w:tcBorders>
            <w:vAlign w:val="center"/>
          </w:tcPr>
          <w:p w14:paraId="5FD29EED" w14:textId="77777777" w:rsidR="00E16BE7" w:rsidRDefault="001E39E8">
            <w:pPr>
              <w:jc w:val="center"/>
            </w:pPr>
            <w:r>
              <w:t>(51.11%)</w:t>
            </w:r>
          </w:p>
        </w:tc>
        <w:tc>
          <w:tcPr>
            <w:tcW w:w="2131" w:type="dxa"/>
            <w:tcBorders>
              <w:top w:val="single" w:sz="4" w:space="0" w:color="auto"/>
              <w:left w:val="single" w:sz="4" w:space="0" w:color="auto"/>
              <w:bottom w:val="single" w:sz="4" w:space="0" w:color="auto"/>
              <w:right w:val="single" w:sz="4" w:space="0" w:color="auto"/>
            </w:tcBorders>
            <w:vAlign w:val="center"/>
          </w:tcPr>
          <w:p w14:paraId="670BC689" w14:textId="77777777" w:rsidR="00E16BE7" w:rsidRDefault="001E39E8">
            <w:pPr>
              <w:jc w:val="center"/>
            </w:pPr>
            <w:r>
              <w:t>(48.89%)</w:t>
            </w:r>
          </w:p>
        </w:tc>
        <w:tc>
          <w:tcPr>
            <w:tcW w:w="2131" w:type="dxa"/>
            <w:tcBorders>
              <w:top w:val="single" w:sz="4" w:space="0" w:color="auto"/>
              <w:left w:val="single" w:sz="4" w:space="0" w:color="auto"/>
              <w:bottom w:val="single" w:sz="4" w:space="0" w:color="auto"/>
              <w:right w:val="single" w:sz="4" w:space="0" w:color="auto"/>
            </w:tcBorders>
            <w:vAlign w:val="center"/>
          </w:tcPr>
          <w:p w14:paraId="3F4EF088" w14:textId="77777777" w:rsidR="00E16BE7" w:rsidRDefault="001E39E8">
            <w:pPr>
              <w:jc w:val="center"/>
            </w:pPr>
            <w:r>
              <w:t>(100.00%)</w:t>
            </w:r>
          </w:p>
        </w:tc>
      </w:tr>
      <w:tr w:rsidR="00E16BE7" w14:paraId="5D3A7B4D" w14:textId="77777777">
        <w:trPr>
          <w:trHeight w:val="412"/>
        </w:trPr>
        <w:tc>
          <w:tcPr>
            <w:tcW w:w="2130" w:type="dxa"/>
            <w:vMerge w:val="restart"/>
            <w:tcBorders>
              <w:top w:val="single" w:sz="4" w:space="0" w:color="auto"/>
              <w:left w:val="single" w:sz="4" w:space="0" w:color="auto"/>
              <w:bottom w:val="single" w:sz="4" w:space="0" w:color="auto"/>
              <w:right w:val="single" w:sz="4" w:space="0" w:color="auto"/>
            </w:tcBorders>
            <w:vAlign w:val="center"/>
          </w:tcPr>
          <w:p w14:paraId="13613A04" w14:textId="77777777" w:rsidR="00E16BE7" w:rsidRDefault="001E39E8">
            <w:pPr>
              <w:jc w:val="center"/>
            </w:pPr>
            <w:r>
              <w:t>Investment option</w:t>
            </w:r>
          </w:p>
        </w:tc>
        <w:tc>
          <w:tcPr>
            <w:tcW w:w="2130" w:type="dxa"/>
            <w:tcBorders>
              <w:top w:val="single" w:sz="4" w:space="0" w:color="auto"/>
              <w:left w:val="single" w:sz="4" w:space="0" w:color="auto"/>
              <w:bottom w:val="single" w:sz="4" w:space="0" w:color="auto"/>
              <w:right w:val="single" w:sz="4" w:space="0" w:color="auto"/>
            </w:tcBorders>
            <w:vAlign w:val="center"/>
          </w:tcPr>
          <w:p w14:paraId="07532756" w14:textId="77777777" w:rsidR="00E16BE7" w:rsidRDefault="001E39E8">
            <w:pPr>
              <w:jc w:val="center"/>
            </w:pPr>
            <w:r>
              <w:t>24</w:t>
            </w:r>
          </w:p>
        </w:tc>
        <w:tc>
          <w:tcPr>
            <w:tcW w:w="2131" w:type="dxa"/>
            <w:tcBorders>
              <w:top w:val="single" w:sz="4" w:space="0" w:color="auto"/>
              <w:left w:val="single" w:sz="4" w:space="0" w:color="auto"/>
              <w:bottom w:val="single" w:sz="4" w:space="0" w:color="auto"/>
              <w:right w:val="single" w:sz="4" w:space="0" w:color="auto"/>
            </w:tcBorders>
            <w:vAlign w:val="center"/>
          </w:tcPr>
          <w:p w14:paraId="0A4596DE" w14:textId="77777777" w:rsidR="00E16BE7" w:rsidRDefault="001E39E8">
            <w:pPr>
              <w:jc w:val="center"/>
            </w:pPr>
            <w:r>
              <w:t>21</w:t>
            </w:r>
          </w:p>
        </w:tc>
        <w:tc>
          <w:tcPr>
            <w:tcW w:w="2131" w:type="dxa"/>
            <w:tcBorders>
              <w:top w:val="single" w:sz="4" w:space="0" w:color="auto"/>
              <w:left w:val="single" w:sz="4" w:space="0" w:color="auto"/>
              <w:bottom w:val="single" w:sz="4" w:space="0" w:color="auto"/>
              <w:right w:val="single" w:sz="4" w:space="0" w:color="auto"/>
            </w:tcBorders>
            <w:vAlign w:val="center"/>
          </w:tcPr>
          <w:p w14:paraId="36BB882A" w14:textId="77777777" w:rsidR="00E16BE7" w:rsidRDefault="001E39E8">
            <w:pPr>
              <w:jc w:val="center"/>
            </w:pPr>
            <w:r>
              <w:t>45</w:t>
            </w:r>
          </w:p>
        </w:tc>
      </w:tr>
      <w:tr w:rsidR="00E16BE7" w14:paraId="4F97E06F" w14:textId="77777777">
        <w:trPr>
          <w:trHeight w:val="421"/>
        </w:trPr>
        <w:tc>
          <w:tcPr>
            <w:tcW w:w="2130" w:type="dxa"/>
            <w:vMerge/>
            <w:tcBorders>
              <w:top w:val="single" w:sz="4" w:space="0" w:color="auto"/>
              <w:left w:val="single" w:sz="4" w:space="0" w:color="auto"/>
              <w:bottom w:val="single" w:sz="4" w:space="0" w:color="auto"/>
              <w:right w:val="single" w:sz="4" w:space="0" w:color="auto"/>
            </w:tcBorders>
            <w:vAlign w:val="center"/>
          </w:tcPr>
          <w:p w14:paraId="46206D36" w14:textId="77777777" w:rsidR="00E16BE7" w:rsidRDefault="00E16BE7">
            <w:pPr>
              <w:jc w:val="center"/>
            </w:pPr>
          </w:p>
        </w:tc>
        <w:tc>
          <w:tcPr>
            <w:tcW w:w="2130" w:type="dxa"/>
            <w:tcBorders>
              <w:top w:val="single" w:sz="4" w:space="0" w:color="auto"/>
              <w:left w:val="single" w:sz="4" w:space="0" w:color="auto"/>
              <w:bottom w:val="single" w:sz="4" w:space="0" w:color="auto"/>
              <w:right w:val="single" w:sz="4" w:space="0" w:color="auto"/>
            </w:tcBorders>
            <w:vAlign w:val="center"/>
          </w:tcPr>
          <w:p w14:paraId="7C277A9D" w14:textId="77777777" w:rsidR="00E16BE7" w:rsidRDefault="001E39E8">
            <w:pPr>
              <w:jc w:val="center"/>
            </w:pPr>
            <w:r>
              <w:t>(53.33%)</w:t>
            </w:r>
          </w:p>
        </w:tc>
        <w:tc>
          <w:tcPr>
            <w:tcW w:w="2131" w:type="dxa"/>
            <w:tcBorders>
              <w:top w:val="single" w:sz="4" w:space="0" w:color="auto"/>
              <w:left w:val="single" w:sz="4" w:space="0" w:color="auto"/>
              <w:bottom w:val="single" w:sz="4" w:space="0" w:color="auto"/>
              <w:right w:val="single" w:sz="4" w:space="0" w:color="auto"/>
            </w:tcBorders>
            <w:vAlign w:val="center"/>
          </w:tcPr>
          <w:p w14:paraId="1C6AEFC4" w14:textId="77777777" w:rsidR="00E16BE7" w:rsidRDefault="001E39E8">
            <w:pPr>
              <w:jc w:val="center"/>
            </w:pPr>
            <w:r>
              <w:t>(49.67%)</w:t>
            </w:r>
          </w:p>
        </w:tc>
        <w:tc>
          <w:tcPr>
            <w:tcW w:w="2131" w:type="dxa"/>
            <w:tcBorders>
              <w:top w:val="single" w:sz="4" w:space="0" w:color="auto"/>
              <w:left w:val="single" w:sz="4" w:space="0" w:color="auto"/>
              <w:bottom w:val="single" w:sz="4" w:space="0" w:color="auto"/>
              <w:right w:val="single" w:sz="4" w:space="0" w:color="auto"/>
            </w:tcBorders>
            <w:vAlign w:val="center"/>
          </w:tcPr>
          <w:p w14:paraId="71A7F9B5" w14:textId="77777777" w:rsidR="00E16BE7" w:rsidRDefault="001E39E8">
            <w:pPr>
              <w:jc w:val="center"/>
            </w:pPr>
            <w:r>
              <w:t>(100.00%)</w:t>
            </w:r>
          </w:p>
        </w:tc>
      </w:tr>
      <w:tr w:rsidR="00E16BE7" w14:paraId="577DBA4D" w14:textId="77777777">
        <w:trPr>
          <w:trHeight w:val="422"/>
        </w:trPr>
        <w:tc>
          <w:tcPr>
            <w:tcW w:w="2130" w:type="dxa"/>
            <w:vMerge w:val="restart"/>
            <w:tcBorders>
              <w:top w:val="single" w:sz="4" w:space="0" w:color="auto"/>
              <w:left w:val="single" w:sz="4" w:space="0" w:color="auto"/>
              <w:bottom w:val="single" w:sz="4" w:space="0" w:color="auto"/>
              <w:right w:val="single" w:sz="4" w:space="0" w:color="auto"/>
            </w:tcBorders>
            <w:vAlign w:val="center"/>
          </w:tcPr>
          <w:p w14:paraId="205D5AFC" w14:textId="77777777" w:rsidR="00E16BE7" w:rsidRDefault="001E39E8">
            <w:pPr>
              <w:jc w:val="center"/>
            </w:pPr>
            <w:r>
              <w:t>Risk factor involved</w:t>
            </w:r>
          </w:p>
        </w:tc>
        <w:tc>
          <w:tcPr>
            <w:tcW w:w="2130" w:type="dxa"/>
            <w:tcBorders>
              <w:top w:val="single" w:sz="4" w:space="0" w:color="auto"/>
              <w:left w:val="single" w:sz="4" w:space="0" w:color="auto"/>
              <w:bottom w:val="single" w:sz="4" w:space="0" w:color="auto"/>
              <w:right w:val="single" w:sz="4" w:space="0" w:color="auto"/>
            </w:tcBorders>
            <w:vAlign w:val="center"/>
          </w:tcPr>
          <w:p w14:paraId="70631221" w14:textId="77777777" w:rsidR="00E16BE7" w:rsidRDefault="001E39E8">
            <w:pPr>
              <w:jc w:val="center"/>
            </w:pPr>
            <w:r>
              <w:t>12</w:t>
            </w:r>
          </w:p>
        </w:tc>
        <w:tc>
          <w:tcPr>
            <w:tcW w:w="2131" w:type="dxa"/>
            <w:tcBorders>
              <w:top w:val="single" w:sz="4" w:space="0" w:color="auto"/>
              <w:left w:val="single" w:sz="4" w:space="0" w:color="auto"/>
              <w:bottom w:val="single" w:sz="4" w:space="0" w:color="auto"/>
              <w:right w:val="single" w:sz="4" w:space="0" w:color="auto"/>
            </w:tcBorders>
            <w:vAlign w:val="center"/>
          </w:tcPr>
          <w:p w14:paraId="748AA390" w14:textId="77777777" w:rsidR="00E16BE7" w:rsidRDefault="001E39E8">
            <w:pPr>
              <w:jc w:val="center"/>
            </w:pPr>
            <w:r>
              <w:t>33</w:t>
            </w:r>
          </w:p>
        </w:tc>
        <w:tc>
          <w:tcPr>
            <w:tcW w:w="2131" w:type="dxa"/>
            <w:tcBorders>
              <w:top w:val="single" w:sz="4" w:space="0" w:color="auto"/>
              <w:left w:val="single" w:sz="4" w:space="0" w:color="auto"/>
              <w:bottom w:val="single" w:sz="4" w:space="0" w:color="auto"/>
              <w:right w:val="single" w:sz="4" w:space="0" w:color="auto"/>
            </w:tcBorders>
            <w:vAlign w:val="center"/>
          </w:tcPr>
          <w:p w14:paraId="355E6F70" w14:textId="77777777" w:rsidR="00E16BE7" w:rsidRDefault="001E39E8">
            <w:pPr>
              <w:jc w:val="center"/>
            </w:pPr>
            <w:r>
              <w:t>45</w:t>
            </w:r>
          </w:p>
        </w:tc>
      </w:tr>
      <w:tr w:rsidR="00E16BE7" w14:paraId="64631BE4" w14:textId="77777777">
        <w:trPr>
          <w:trHeight w:val="499"/>
        </w:trPr>
        <w:tc>
          <w:tcPr>
            <w:tcW w:w="2130" w:type="dxa"/>
            <w:vMerge/>
            <w:tcBorders>
              <w:top w:val="single" w:sz="4" w:space="0" w:color="auto"/>
              <w:left w:val="single" w:sz="4" w:space="0" w:color="auto"/>
              <w:bottom w:val="single" w:sz="4" w:space="0" w:color="auto"/>
              <w:right w:val="single" w:sz="4" w:space="0" w:color="auto"/>
            </w:tcBorders>
            <w:vAlign w:val="center"/>
          </w:tcPr>
          <w:p w14:paraId="65E99641" w14:textId="77777777" w:rsidR="00E16BE7" w:rsidRDefault="00E16BE7">
            <w:pPr>
              <w:jc w:val="center"/>
            </w:pPr>
          </w:p>
        </w:tc>
        <w:tc>
          <w:tcPr>
            <w:tcW w:w="2130" w:type="dxa"/>
            <w:tcBorders>
              <w:top w:val="single" w:sz="4" w:space="0" w:color="auto"/>
              <w:left w:val="single" w:sz="4" w:space="0" w:color="auto"/>
              <w:bottom w:val="single" w:sz="4" w:space="0" w:color="auto"/>
              <w:right w:val="single" w:sz="4" w:space="0" w:color="auto"/>
            </w:tcBorders>
            <w:vAlign w:val="center"/>
          </w:tcPr>
          <w:p w14:paraId="60084347" w14:textId="77777777" w:rsidR="00E16BE7" w:rsidRDefault="001E39E8">
            <w:pPr>
              <w:jc w:val="center"/>
            </w:pPr>
            <w:r>
              <w:t>(26.67%)</w:t>
            </w:r>
          </w:p>
        </w:tc>
        <w:tc>
          <w:tcPr>
            <w:tcW w:w="2131" w:type="dxa"/>
            <w:tcBorders>
              <w:top w:val="single" w:sz="4" w:space="0" w:color="auto"/>
              <w:left w:val="single" w:sz="4" w:space="0" w:color="auto"/>
              <w:bottom w:val="single" w:sz="4" w:space="0" w:color="auto"/>
              <w:right w:val="single" w:sz="4" w:space="0" w:color="auto"/>
            </w:tcBorders>
            <w:vAlign w:val="center"/>
          </w:tcPr>
          <w:p w14:paraId="32B97D65" w14:textId="77777777" w:rsidR="00E16BE7" w:rsidRDefault="001E39E8">
            <w:pPr>
              <w:jc w:val="center"/>
            </w:pPr>
            <w:r>
              <w:t>(73.33%)</w:t>
            </w:r>
          </w:p>
        </w:tc>
        <w:tc>
          <w:tcPr>
            <w:tcW w:w="2131" w:type="dxa"/>
            <w:tcBorders>
              <w:top w:val="single" w:sz="4" w:space="0" w:color="auto"/>
              <w:left w:val="single" w:sz="4" w:space="0" w:color="auto"/>
              <w:bottom w:val="single" w:sz="4" w:space="0" w:color="auto"/>
              <w:right w:val="single" w:sz="4" w:space="0" w:color="auto"/>
            </w:tcBorders>
            <w:vAlign w:val="center"/>
          </w:tcPr>
          <w:p w14:paraId="5FC6DA6A" w14:textId="77777777" w:rsidR="00E16BE7" w:rsidRDefault="001E39E8">
            <w:pPr>
              <w:jc w:val="center"/>
            </w:pPr>
            <w:r>
              <w:t>(100.00%)</w:t>
            </w:r>
          </w:p>
        </w:tc>
      </w:tr>
      <w:tr w:rsidR="00E16BE7" w14:paraId="295F3E01" w14:textId="77777777">
        <w:trPr>
          <w:trHeight w:val="452"/>
        </w:trPr>
        <w:tc>
          <w:tcPr>
            <w:tcW w:w="2130" w:type="dxa"/>
            <w:vMerge w:val="restart"/>
            <w:tcBorders>
              <w:top w:val="single" w:sz="4" w:space="0" w:color="auto"/>
              <w:left w:val="single" w:sz="4" w:space="0" w:color="auto"/>
              <w:bottom w:val="single" w:sz="4" w:space="0" w:color="auto"/>
              <w:right w:val="single" w:sz="4" w:space="0" w:color="auto"/>
            </w:tcBorders>
            <w:vAlign w:val="center"/>
          </w:tcPr>
          <w:p w14:paraId="7963FB2E" w14:textId="77777777" w:rsidR="00E16BE7" w:rsidRDefault="001E39E8">
            <w:pPr>
              <w:jc w:val="center"/>
            </w:pPr>
            <w:r>
              <w:t>Regulatory Bodies</w:t>
            </w:r>
          </w:p>
        </w:tc>
        <w:tc>
          <w:tcPr>
            <w:tcW w:w="2130" w:type="dxa"/>
            <w:tcBorders>
              <w:top w:val="single" w:sz="4" w:space="0" w:color="auto"/>
              <w:left w:val="single" w:sz="4" w:space="0" w:color="auto"/>
              <w:bottom w:val="single" w:sz="4" w:space="0" w:color="auto"/>
              <w:right w:val="single" w:sz="4" w:space="0" w:color="auto"/>
            </w:tcBorders>
            <w:vAlign w:val="center"/>
          </w:tcPr>
          <w:p w14:paraId="70BBE96D" w14:textId="77777777" w:rsidR="00E16BE7" w:rsidRDefault="001E39E8">
            <w:pPr>
              <w:jc w:val="center"/>
            </w:pPr>
            <w:r>
              <w:t>9</w:t>
            </w:r>
          </w:p>
        </w:tc>
        <w:tc>
          <w:tcPr>
            <w:tcW w:w="2131" w:type="dxa"/>
            <w:tcBorders>
              <w:top w:val="single" w:sz="4" w:space="0" w:color="auto"/>
              <w:left w:val="single" w:sz="4" w:space="0" w:color="auto"/>
              <w:bottom w:val="single" w:sz="4" w:space="0" w:color="auto"/>
              <w:right w:val="single" w:sz="4" w:space="0" w:color="auto"/>
            </w:tcBorders>
            <w:vAlign w:val="center"/>
          </w:tcPr>
          <w:p w14:paraId="3ADDE34C" w14:textId="77777777" w:rsidR="00E16BE7" w:rsidRDefault="001E39E8">
            <w:pPr>
              <w:jc w:val="center"/>
            </w:pPr>
            <w:r>
              <w:t>36</w:t>
            </w:r>
          </w:p>
        </w:tc>
        <w:tc>
          <w:tcPr>
            <w:tcW w:w="2131" w:type="dxa"/>
            <w:tcBorders>
              <w:top w:val="single" w:sz="4" w:space="0" w:color="auto"/>
              <w:left w:val="single" w:sz="4" w:space="0" w:color="auto"/>
              <w:bottom w:val="single" w:sz="4" w:space="0" w:color="auto"/>
              <w:right w:val="single" w:sz="4" w:space="0" w:color="auto"/>
            </w:tcBorders>
            <w:vAlign w:val="center"/>
          </w:tcPr>
          <w:p w14:paraId="0522C3CC" w14:textId="77777777" w:rsidR="00E16BE7" w:rsidRDefault="001E39E8">
            <w:pPr>
              <w:jc w:val="center"/>
            </w:pPr>
            <w:r>
              <w:t>45</w:t>
            </w:r>
          </w:p>
        </w:tc>
      </w:tr>
      <w:tr w:rsidR="00E16BE7" w14:paraId="0219AEB8" w14:textId="77777777">
        <w:trPr>
          <w:trHeight w:val="495"/>
        </w:trPr>
        <w:tc>
          <w:tcPr>
            <w:tcW w:w="2130" w:type="dxa"/>
            <w:vMerge/>
            <w:tcBorders>
              <w:top w:val="single" w:sz="4" w:space="0" w:color="auto"/>
              <w:left w:val="single" w:sz="4" w:space="0" w:color="auto"/>
              <w:bottom w:val="single" w:sz="4" w:space="0" w:color="auto"/>
              <w:right w:val="single" w:sz="4" w:space="0" w:color="auto"/>
            </w:tcBorders>
            <w:vAlign w:val="center"/>
          </w:tcPr>
          <w:p w14:paraId="2D22DCDC" w14:textId="77777777" w:rsidR="00E16BE7" w:rsidRDefault="00E16BE7">
            <w:pPr>
              <w:jc w:val="center"/>
            </w:pPr>
          </w:p>
        </w:tc>
        <w:tc>
          <w:tcPr>
            <w:tcW w:w="2130" w:type="dxa"/>
            <w:tcBorders>
              <w:top w:val="single" w:sz="4" w:space="0" w:color="auto"/>
              <w:left w:val="single" w:sz="4" w:space="0" w:color="auto"/>
              <w:bottom w:val="single" w:sz="4" w:space="0" w:color="auto"/>
              <w:right w:val="single" w:sz="4" w:space="0" w:color="auto"/>
            </w:tcBorders>
            <w:vAlign w:val="center"/>
          </w:tcPr>
          <w:p w14:paraId="0CC838A7" w14:textId="77777777" w:rsidR="00E16BE7" w:rsidRDefault="001E39E8">
            <w:pPr>
              <w:jc w:val="center"/>
            </w:pPr>
            <w:r>
              <w:t>(20.00%)</w:t>
            </w:r>
          </w:p>
        </w:tc>
        <w:tc>
          <w:tcPr>
            <w:tcW w:w="2131" w:type="dxa"/>
            <w:tcBorders>
              <w:top w:val="single" w:sz="4" w:space="0" w:color="auto"/>
              <w:left w:val="single" w:sz="4" w:space="0" w:color="auto"/>
              <w:bottom w:val="single" w:sz="4" w:space="0" w:color="auto"/>
              <w:right w:val="single" w:sz="4" w:space="0" w:color="auto"/>
            </w:tcBorders>
            <w:vAlign w:val="center"/>
          </w:tcPr>
          <w:p w14:paraId="3812B1D9" w14:textId="77777777" w:rsidR="00E16BE7" w:rsidRDefault="001E39E8">
            <w:pPr>
              <w:jc w:val="center"/>
            </w:pPr>
            <w:r>
              <w:t>(80.00%)</w:t>
            </w:r>
          </w:p>
        </w:tc>
        <w:tc>
          <w:tcPr>
            <w:tcW w:w="2131" w:type="dxa"/>
            <w:tcBorders>
              <w:top w:val="single" w:sz="4" w:space="0" w:color="auto"/>
              <w:left w:val="single" w:sz="4" w:space="0" w:color="auto"/>
              <w:bottom w:val="single" w:sz="4" w:space="0" w:color="auto"/>
              <w:right w:val="single" w:sz="4" w:space="0" w:color="auto"/>
            </w:tcBorders>
            <w:vAlign w:val="center"/>
          </w:tcPr>
          <w:p w14:paraId="10A1B6D7" w14:textId="77777777" w:rsidR="00E16BE7" w:rsidRDefault="001E39E8">
            <w:pPr>
              <w:jc w:val="center"/>
            </w:pPr>
            <w:r>
              <w:t>(100.00%)</w:t>
            </w:r>
          </w:p>
        </w:tc>
      </w:tr>
      <w:tr w:rsidR="00E16BE7" w14:paraId="6A379EF0" w14:textId="77777777">
        <w:trPr>
          <w:trHeight w:val="488"/>
        </w:trPr>
        <w:tc>
          <w:tcPr>
            <w:tcW w:w="2130" w:type="dxa"/>
            <w:vMerge w:val="restart"/>
            <w:tcBorders>
              <w:top w:val="single" w:sz="4" w:space="0" w:color="auto"/>
              <w:left w:val="single" w:sz="4" w:space="0" w:color="auto"/>
              <w:bottom w:val="single" w:sz="4" w:space="0" w:color="auto"/>
              <w:right w:val="single" w:sz="4" w:space="0" w:color="auto"/>
            </w:tcBorders>
            <w:vAlign w:val="center"/>
          </w:tcPr>
          <w:p w14:paraId="3AC83E84" w14:textId="77777777" w:rsidR="00E16BE7" w:rsidRDefault="001E39E8">
            <w:pPr>
              <w:jc w:val="center"/>
            </w:pPr>
            <w:r>
              <w:t>Technical and fundamental analysis</w:t>
            </w:r>
          </w:p>
        </w:tc>
        <w:tc>
          <w:tcPr>
            <w:tcW w:w="2130" w:type="dxa"/>
            <w:tcBorders>
              <w:top w:val="single" w:sz="4" w:space="0" w:color="auto"/>
              <w:left w:val="single" w:sz="4" w:space="0" w:color="auto"/>
              <w:bottom w:val="single" w:sz="4" w:space="0" w:color="auto"/>
              <w:right w:val="single" w:sz="4" w:space="0" w:color="auto"/>
            </w:tcBorders>
            <w:vAlign w:val="center"/>
          </w:tcPr>
          <w:p w14:paraId="5C1492D8" w14:textId="77777777" w:rsidR="00E16BE7" w:rsidRDefault="001E39E8">
            <w:pPr>
              <w:jc w:val="center"/>
            </w:pPr>
            <w:r>
              <w:t>5</w:t>
            </w:r>
          </w:p>
        </w:tc>
        <w:tc>
          <w:tcPr>
            <w:tcW w:w="2131" w:type="dxa"/>
            <w:tcBorders>
              <w:top w:val="single" w:sz="4" w:space="0" w:color="auto"/>
              <w:left w:val="single" w:sz="4" w:space="0" w:color="auto"/>
              <w:bottom w:val="single" w:sz="4" w:space="0" w:color="auto"/>
              <w:right w:val="single" w:sz="4" w:space="0" w:color="auto"/>
            </w:tcBorders>
            <w:vAlign w:val="center"/>
          </w:tcPr>
          <w:p w14:paraId="1E0CFC45" w14:textId="77777777" w:rsidR="00E16BE7" w:rsidRDefault="001E39E8">
            <w:pPr>
              <w:jc w:val="center"/>
            </w:pPr>
            <w:r>
              <w:t>40</w:t>
            </w:r>
          </w:p>
        </w:tc>
        <w:tc>
          <w:tcPr>
            <w:tcW w:w="2131" w:type="dxa"/>
            <w:tcBorders>
              <w:top w:val="single" w:sz="4" w:space="0" w:color="auto"/>
              <w:left w:val="single" w:sz="4" w:space="0" w:color="auto"/>
              <w:bottom w:val="single" w:sz="4" w:space="0" w:color="auto"/>
              <w:right w:val="single" w:sz="4" w:space="0" w:color="auto"/>
            </w:tcBorders>
            <w:vAlign w:val="center"/>
          </w:tcPr>
          <w:p w14:paraId="21EF4369" w14:textId="77777777" w:rsidR="00E16BE7" w:rsidRDefault="001E39E8">
            <w:pPr>
              <w:jc w:val="center"/>
            </w:pPr>
            <w:r>
              <w:t>45</w:t>
            </w:r>
          </w:p>
        </w:tc>
      </w:tr>
      <w:tr w:rsidR="00E16BE7" w14:paraId="377ABE33" w14:textId="77777777">
        <w:trPr>
          <w:trHeight w:val="589"/>
        </w:trPr>
        <w:tc>
          <w:tcPr>
            <w:tcW w:w="2130" w:type="dxa"/>
            <w:vMerge/>
            <w:tcBorders>
              <w:top w:val="single" w:sz="4" w:space="0" w:color="auto"/>
              <w:left w:val="single" w:sz="4" w:space="0" w:color="auto"/>
              <w:bottom w:val="single" w:sz="4" w:space="0" w:color="auto"/>
              <w:right w:val="single" w:sz="4" w:space="0" w:color="auto"/>
            </w:tcBorders>
            <w:vAlign w:val="center"/>
          </w:tcPr>
          <w:p w14:paraId="0B5A6A0E" w14:textId="77777777" w:rsidR="00E16BE7" w:rsidRDefault="00E16BE7">
            <w:pPr>
              <w:jc w:val="center"/>
            </w:pPr>
          </w:p>
        </w:tc>
        <w:tc>
          <w:tcPr>
            <w:tcW w:w="2130" w:type="dxa"/>
            <w:tcBorders>
              <w:top w:val="single" w:sz="4" w:space="0" w:color="auto"/>
              <w:left w:val="single" w:sz="4" w:space="0" w:color="auto"/>
              <w:bottom w:val="single" w:sz="4" w:space="0" w:color="auto"/>
              <w:right w:val="single" w:sz="4" w:space="0" w:color="auto"/>
            </w:tcBorders>
            <w:vAlign w:val="center"/>
          </w:tcPr>
          <w:p w14:paraId="0B63BBC8" w14:textId="77777777" w:rsidR="00E16BE7" w:rsidRDefault="001E39E8">
            <w:pPr>
              <w:jc w:val="center"/>
            </w:pPr>
            <w:r>
              <w:t>(11.11%)</w:t>
            </w:r>
          </w:p>
        </w:tc>
        <w:tc>
          <w:tcPr>
            <w:tcW w:w="2131" w:type="dxa"/>
            <w:tcBorders>
              <w:top w:val="single" w:sz="4" w:space="0" w:color="auto"/>
              <w:left w:val="single" w:sz="4" w:space="0" w:color="auto"/>
              <w:bottom w:val="single" w:sz="4" w:space="0" w:color="auto"/>
              <w:right w:val="single" w:sz="4" w:space="0" w:color="auto"/>
            </w:tcBorders>
            <w:vAlign w:val="center"/>
          </w:tcPr>
          <w:p w14:paraId="7144AC15" w14:textId="77777777" w:rsidR="00E16BE7" w:rsidRDefault="001E39E8">
            <w:pPr>
              <w:jc w:val="center"/>
            </w:pPr>
            <w:r>
              <w:t>(88.89%)</w:t>
            </w:r>
          </w:p>
        </w:tc>
        <w:tc>
          <w:tcPr>
            <w:tcW w:w="2131" w:type="dxa"/>
            <w:tcBorders>
              <w:top w:val="single" w:sz="4" w:space="0" w:color="auto"/>
              <w:left w:val="single" w:sz="4" w:space="0" w:color="auto"/>
              <w:bottom w:val="single" w:sz="4" w:space="0" w:color="auto"/>
              <w:right w:val="single" w:sz="4" w:space="0" w:color="auto"/>
            </w:tcBorders>
            <w:vAlign w:val="center"/>
          </w:tcPr>
          <w:p w14:paraId="3D4ADA92" w14:textId="77777777" w:rsidR="00E16BE7" w:rsidRDefault="001E39E8">
            <w:pPr>
              <w:jc w:val="center"/>
            </w:pPr>
            <w:r>
              <w:t>(100.00%)</w:t>
            </w:r>
          </w:p>
        </w:tc>
      </w:tr>
    </w:tbl>
    <w:p w14:paraId="516AECC2" w14:textId="77777777" w:rsidR="00E16BE7" w:rsidRDefault="00E16BE7">
      <w:pPr>
        <w:spacing w:line="360" w:lineRule="auto"/>
        <w:jc w:val="both"/>
      </w:pPr>
    </w:p>
    <w:p w14:paraId="199C3DB5" w14:textId="77777777" w:rsidR="00E16BE7" w:rsidRDefault="001E39E8">
      <w:pPr>
        <w:spacing w:line="360" w:lineRule="auto"/>
        <w:jc w:val="both"/>
        <w:rPr>
          <w:rFonts w:eastAsia="SimSun" w:cs="Times New Roman"/>
        </w:rPr>
      </w:pPr>
      <w:r>
        <w:tab/>
        <w:t>Table No 2 represents that t</w:t>
      </w:r>
      <w:r>
        <w:rPr>
          <w:rFonts w:eastAsia="SimSun" w:cs="Times New Roman"/>
        </w:rPr>
        <w:t>he majority of the students (</w:t>
      </w:r>
      <w:r>
        <w:t xml:space="preserve">39, </w:t>
      </w:r>
      <w:r>
        <w:rPr>
          <w:rFonts w:eastAsia="SimSun" w:cs="Times New Roman"/>
        </w:rPr>
        <w:t>86.67%), are aware of the basic concepts of the stock market. About 23 students (51.11%) are aware of trading procedures. Nearly 24 students (53.33%) are aware of</w:t>
      </w:r>
      <w:r>
        <w:rPr>
          <w:rFonts w:eastAsia="SimSun" w:cs="Times New Roman"/>
        </w:rPr>
        <w:t xml:space="preserve"> different investment options in the stock market. Only 12 students (26.67%) are aware of the risks involved in stock market investment, whereas a majority of 33 (73.33%) are not aware. Only 9 students (20.00%) are aware of regulatory bodies governing the </w:t>
      </w:r>
      <w:r>
        <w:rPr>
          <w:rFonts w:eastAsia="SimSun" w:cs="Times New Roman"/>
        </w:rPr>
        <w:t>stock market, such as the Securities and Exchange Board of India, while 36 (80.00%) are unaware.</w:t>
      </w:r>
    </w:p>
    <w:p w14:paraId="2185106A" w14:textId="77777777" w:rsidR="00E16BE7" w:rsidRDefault="00E16BE7">
      <w:pPr>
        <w:spacing w:line="360" w:lineRule="auto"/>
        <w:jc w:val="both"/>
        <w:rPr>
          <w:rFonts w:eastAsia="SimSun" w:cs="Times New Roman"/>
        </w:rPr>
      </w:pPr>
    </w:p>
    <w:p w14:paraId="38C5DF2F" w14:textId="77777777" w:rsidR="00E16BE7" w:rsidRDefault="00E16BE7">
      <w:pPr>
        <w:spacing w:line="360" w:lineRule="auto"/>
        <w:jc w:val="both"/>
        <w:rPr>
          <w:rFonts w:eastAsia="SimSun" w:cs="Times New Roman"/>
        </w:rPr>
      </w:pPr>
    </w:p>
    <w:p w14:paraId="387FF707" w14:textId="77777777" w:rsidR="00E16BE7" w:rsidRDefault="00E16BE7">
      <w:pPr>
        <w:spacing w:line="360" w:lineRule="auto"/>
        <w:jc w:val="both"/>
        <w:rPr>
          <w:rFonts w:eastAsia="SimSun" w:cs="Times New Roman"/>
        </w:rPr>
      </w:pPr>
    </w:p>
    <w:p w14:paraId="331F0848" w14:textId="77777777" w:rsidR="00E16BE7" w:rsidRDefault="001E39E8">
      <w:pPr>
        <w:spacing w:line="360" w:lineRule="auto"/>
        <w:jc w:val="center"/>
        <w:rPr>
          <w:rFonts w:eastAsia="SimSun" w:cs="Times New Roman"/>
          <w:b/>
          <w:bCs/>
        </w:rPr>
      </w:pPr>
      <w:r>
        <w:rPr>
          <w:rFonts w:eastAsia="SimSun" w:cs="Times New Roman"/>
          <w:b/>
          <w:bCs/>
        </w:rPr>
        <w:t xml:space="preserve">Table No 3: Relationship between Select Variables with Level of Awareness </w:t>
      </w:r>
    </w:p>
    <w:p w14:paraId="20395B6B" w14:textId="77777777" w:rsidR="00E16BE7" w:rsidRDefault="001E39E8">
      <w:pPr>
        <w:numPr>
          <w:ilvl w:val="0"/>
          <w:numId w:val="12"/>
        </w:numPr>
        <w:spacing w:line="360" w:lineRule="auto"/>
        <w:jc w:val="center"/>
        <w:rPr>
          <w:rFonts w:eastAsia="SimSun" w:cs="Times New Roman"/>
        </w:rPr>
      </w:pPr>
      <w:r>
        <w:rPr>
          <w:rFonts w:eastAsia="SimSun" w:cs="Times New Roman"/>
          <w:b/>
          <w:bCs/>
        </w:rPr>
        <w:t>Chi-square Test</w:t>
      </w:r>
    </w:p>
    <w:tbl>
      <w:tblPr>
        <w:tblStyle w:val="TableGrid"/>
        <w:tblW w:w="8328" w:type="dxa"/>
        <w:tblLayout w:type="fixed"/>
        <w:tblLook w:val="04A0" w:firstRow="1" w:lastRow="0" w:firstColumn="1" w:lastColumn="0" w:noHBand="0" w:noVBand="1"/>
      </w:tblPr>
      <w:tblGrid>
        <w:gridCol w:w="2187"/>
        <w:gridCol w:w="995"/>
        <w:gridCol w:w="995"/>
        <w:gridCol w:w="995"/>
        <w:gridCol w:w="597"/>
        <w:gridCol w:w="1330"/>
        <w:gridCol w:w="1229"/>
      </w:tblGrid>
      <w:tr w:rsidR="00E16BE7" w14:paraId="2BE74903" w14:textId="77777777">
        <w:trPr>
          <w:tblHeader/>
        </w:trPr>
        <w:tc>
          <w:tcPr>
            <w:tcW w:w="2187" w:type="dxa"/>
            <w:vAlign w:val="center"/>
          </w:tcPr>
          <w:p w14:paraId="0D651BE2" w14:textId="77777777" w:rsidR="00E16BE7" w:rsidRDefault="001E39E8">
            <w:pPr>
              <w:jc w:val="center"/>
              <w:rPr>
                <w:rFonts w:cs="Times New Roman"/>
                <w:b/>
                <w:bCs/>
              </w:rPr>
            </w:pPr>
            <w:r>
              <w:rPr>
                <w:rFonts w:cs="Times New Roman"/>
                <w:b/>
                <w:bCs/>
              </w:rPr>
              <w:lastRenderedPageBreak/>
              <w:t>Demographic variable</w:t>
            </w:r>
          </w:p>
        </w:tc>
        <w:tc>
          <w:tcPr>
            <w:tcW w:w="995" w:type="dxa"/>
            <w:vAlign w:val="center"/>
          </w:tcPr>
          <w:p w14:paraId="686F71A3" w14:textId="77777777" w:rsidR="00E16BE7" w:rsidRDefault="001E39E8">
            <w:pPr>
              <w:jc w:val="center"/>
              <w:rPr>
                <w:rFonts w:cs="Times New Roman"/>
                <w:b/>
                <w:bCs/>
              </w:rPr>
            </w:pPr>
            <w:r>
              <w:rPr>
                <w:rFonts w:cs="Times New Roman"/>
                <w:b/>
                <w:bCs/>
              </w:rPr>
              <w:t>Aware</w:t>
            </w:r>
          </w:p>
        </w:tc>
        <w:tc>
          <w:tcPr>
            <w:tcW w:w="995" w:type="dxa"/>
            <w:vAlign w:val="center"/>
          </w:tcPr>
          <w:p w14:paraId="469CE0C9" w14:textId="77777777" w:rsidR="00E16BE7" w:rsidRDefault="001E39E8">
            <w:pPr>
              <w:jc w:val="center"/>
              <w:rPr>
                <w:rFonts w:cs="Times New Roman"/>
                <w:b/>
                <w:bCs/>
              </w:rPr>
            </w:pPr>
            <w:r>
              <w:rPr>
                <w:rFonts w:cs="Times New Roman"/>
                <w:b/>
                <w:bCs/>
              </w:rPr>
              <w:t>Not aware</w:t>
            </w:r>
          </w:p>
        </w:tc>
        <w:tc>
          <w:tcPr>
            <w:tcW w:w="995" w:type="dxa"/>
            <w:vAlign w:val="center"/>
          </w:tcPr>
          <w:p w14:paraId="67101624" w14:textId="77777777" w:rsidR="00E16BE7" w:rsidRDefault="001E39E8">
            <w:pPr>
              <w:jc w:val="center"/>
              <w:rPr>
                <w:rFonts w:cs="Times New Roman"/>
                <w:b/>
                <w:bCs/>
              </w:rPr>
            </w:pPr>
            <w:r>
              <w:rPr>
                <w:rFonts w:cs="Times New Roman"/>
                <w:b/>
                <w:bCs/>
              </w:rPr>
              <w:t>Total</w:t>
            </w:r>
          </w:p>
          <w:p w14:paraId="5FB562F9" w14:textId="77777777" w:rsidR="00E16BE7" w:rsidRDefault="001E39E8">
            <w:pPr>
              <w:jc w:val="center"/>
              <w:rPr>
                <w:rFonts w:cs="Times New Roman"/>
                <w:b/>
                <w:bCs/>
              </w:rPr>
            </w:pPr>
            <w:r>
              <w:rPr>
                <w:rFonts w:cs="Times New Roman"/>
                <w:b/>
                <w:bCs/>
              </w:rPr>
              <w:t>(N=45)</w:t>
            </w:r>
          </w:p>
        </w:tc>
        <w:tc>
          <w:tcPr>
            <w:tcW w:w="597" w:type="dxa"/>
            <w:vAlign w:val="center"/>
          </w:tcPr>
          <w:p w14:paraId="792E51E0" w14:textId="77777777" w:rsidR="00E16BE7" w:rsidRDefault="001E39E8">
            <w:pPr>
              <w:jc w:val="center"/>
              <w:rPr>
                <w:rFonts w:cs="Times New Roman"/>
                <w:b/>
                <w:bCs/>
              </w:rPr>
            </w:pPr>
            <w:r>
              <w:rPr>
                <w:rFonts w:cs="Times New Roman"/>
                <w:b/>
                <w:bCs/>
              </w:rPr>
              <w:t>df</w:t>
            </w:r>
          </w:p>
        </w:tc>
        <w:tc>
          <w:tcPr>
            <w:tcW w:w="1330" w:type="dxa"/>
            <w:vAlign w:val="center"/>
          </w:tcPr>
          <w:p w14:paraId="37D9B988" w14:textId="77777777" w:rsidR="00E16BE7" w:rsidRDefault="001E39E8">
            <w:pPr>
              <w:jc w:val="center"/>
              <w:rPr>
                <w:rFonts w:cs="Times New Roman"/>
                <w:b/>
                <w:bCs/>
              </w:rPr>
            </w:pPr>
            <w:r>
              <w:rPr>
                <w:rFonts w:cs="Times New Roman"/>
                <w:b/>
                <w:bCs/>
              </w:rPr>
              <w:t>Calculated x</w:t>
            </w:r>
            <w:r>
              <w:rPr>
                <w:rFonts w:cs="Times New Roman"/>
                <w:b/>
                <w:bCs/>
                <w:vertAlign w:val="superscript"/>
              </w:rPr>
              <w:t>2</w:t>
            </w:r>
            <w:r>
              <w:rPr>
                <w:rFonts w:cs="Times New Roman"/>
                <w:b/>
                <w:bCs/>
              </w:rPr>
              <w:t xml:space="preserve"> value</w:t>
            </w:r>
          </w:p>
        </w:tc>
        <w:tc>
          <w:tcPr>
            <w:tcW w:w="1229" w:type="dxa"/>
            <w:vAlign w:val="center"/>
          </w:tcPr>
          <w:p w14:paraId="64F1AD37" w14:textId="77777777" w:rsidR="00E16BE7" w:rsidRDefault="001E39E8">
            <w:pPr>
              <w:jc w:val="center"/>
              <w:rPr>
                <w:rFonts w:cs="Times New Roman"/>
                <w:b/>
                <w:bCs/>
              </w:rPr>
            </w:pPr>
            <w:r>
              <w:rPr>
                <w:rFonts w:cs="Times New Roman"/>
                <w:b/>
                <w:bCs/>
              </w:rPr>
              <w:t>P value</w:t>
            </w:r>
          </w:p>
        </w:tc>
      </w:tr>
      <w:tr w:rsidR="00E16BE7" w14:paraId="10D71694" w14:textId="77777777">
        <w:trPr>
          <w:trHeight w:val="406"/>
        </w:trPr>
        <w:tc>
          <w:tcPr>
            <w:tcW w:w="8328" w:type="dxa"/>
            <w:gridSpan w:val="7"/>
            <w:vAlign w:val="center"/>
          </w:tcPr>
          <w:p w14:paraId="4D1E02E8" w14:textId="77777777" w:rsidR="00E16BE7" w:rsidRDefault="001E39E8">
            <w:pPr>
              <w:jc w:val="center"/>
              <w:rPr>
                <w:rFonts w:cs="Times New Roman"/>
                <w:b/>
                <w:bCs/>
              </w:rPr>
            </w:pPr>
            <w:r>
              <w:rPr>
                <w:rFonts w:cs="Times New Roman"/>
                <w:b/>
                <w:bCs/>
              </w:rPr>
              <w:t>Gender</w:t>
            </w:r>
          </w:p>
        </w:tc>
      </w:tr>
      <w:tr w:rsidR="00E16BE7" w14:paraId="14DADB8D" w14:textId="77777777">
        <w:trPr>
          <w:trHeight w:val="851"/>
        </w:trPr>
        <w:tc>
          <w:tcPr>
            <w:tcW w:w="2187" w:type="dxa"/>
            <w:vAlign w:val="center"/>
          </w:tcPr>
          <w:p w14:paraId="570C9295" w14:textId="77777777" w:rsidR="00E16BE7" w:rsidRDefault="001E39E8">
            <w:pPr>
              <w:rPr>
                <w:rFonts w:cs="Times New Roman"/>
              </w:rPr>
            </w:pPr>
            <w:r>
              <w:rPr>
                <w:rFonts w:cs="Times New Roman"/>
              </w:rPr>
              <w:t>Male</w:t>
            </w:r>
          </w:p>
        </w:tc>
        <w:tc>
          <w:tcPr>
            <w:tcW w:w="995" w:type="dxa"/>
            <w:vAlign w:val="center"/>
          </w:tcPr>
          <w:p w14:paraId="7B17FB81" w14:textId="77777777" w:rsidR="00E16BE7" w:rsidRDefault="001E39E8">
            <w:pPr>
              <w:jc w:val="center"/>
              <w:rPr>
                <w:rFonts w:cs="Times New Roman"/>
              </w:rPr>
            </w:pPr>
            <w:r>
              <w:rPr>
                <w:rFonts w:cs="Times New Roman"/>
              </w:rPr>
              <w:t>3</w:t>
            </w:r>
          </w:p>
          <w:p w14:paraId="4BD0F3F5" w14:textId="77777777" w:rsidR="00E16BE7" w:rsidRDefault="001E39E8">
            <w:pPr>
              <w:jc w:val="center"/>
              <w:rPr>
                <w:rFonts w:cs="Times New Roman"/>
              </w:rPr>
            </w:pPr>
            <w:r>
              <w:rPr>
                <w:rFonts w:cs="Times New Roman"/>
              </w:rPr>
              <w:t>25.0%</w:t>
            </w:r>
          </w:p>
        </w:tc>
        <w:tc>
          <w:tcPr>
            <w:tcW w:w="995" w:type="dxa"/>
            <w:vAlign w:val="center"/>
          </w:tcPr>
          <w:p w14:paraId="48A406E2" w14:textId="77777777" w:rsidR="00E16BE7" w:rsidRDefault="001E39E8">
            <w:pPr>
              <w:jc w:val="center"/>
              <w:rPr>
                <w:rFonts w:cs="Times New Roman"/>
              </w:rPr>
            </w:pPr>
            <w:r>
              <w:rPr>
                <w:rFonts w:cs="Times New Roman"/>
              </w:rPr>
              <w:t>9</w:t>
            </w:r>
          </w:p>
          <w:p w14:paraId="3C558157" w14:textId="77777777" w:rsidR="00E16BE7" w:rsidRDefault="001E39E8">
            <w:pPr>
              <w:jc w:val="center"/>
              <w:rPr>
                <w:rFonts w:cs="Times New Roman"/>
              </w:rPr>
            </w:pPr>
            <w:r>
              <w:rPr>
                <w:rFonts w:cs="Times New Roman"/>
              </w:rPr>
              <w:t>75.0%</w:t>
            </w:r>
          </w:p>
        </w:tc>
        <w:tc>
          <w:tcPr>
            <w:tcW w:w="995" w:type="dxa"/>
            <w:vAlign w:val="center"/>
          </w:tcPr>
          <w:p w14:paraId="579F1539" w14:textId="77777777" w:rsidR="00E16BE7" w:rsidRDefault="001E39E8">
            <w:pPr>
              <w:jc w:val="center"/>
              <w:rPr>
                <w:rFonts w:cs="Times New Roman"/>
              </w:rPr>
            </w:pPr>
            <w:r>
              <w:rPr>
                <w:rFonts w:cs="Times New Roman"/>
              </w:rPr>
              <w:t>12</w:t>
            </w:r>
          </w:p>
          <w:p w14:paraId="381A80B3" w14:textId="77777777" w:rsidR="00E16BE7" w:rsidRDefault="001E39E8">
            <w:pPr>
              <w:jc w:val="center"/>
              <w:rPr>
                <w:rFonts w:cs="Times New Roman"/>
              </w:rPr>
            </w:pPr>
            <w:r>
              <w:rPr>
                <w:rFonts w:cs="Times New Roman"/>
              </w:rPr>
              <w:t>100.0%</w:t>
            </w:r>
          </w:p>
        </w:tc>
        <w:tc>
          <w:tcPr>
            <w:tcW w:w="597" w:type="dxa"/>
            <w:vMerge w:val="restart"/>
            <w:vAlign w:val="center"/>
          </w:tcPr>
          <w:p w14:paraId="35671E1B" w14:textId="77777777" w:rsidR="00E16BE7" w:rsidRDefault="00E16BE7">
            <w:pPr>
              <w:jc w:val="center"/>
              <w:rPr>
                <w:rFonts w:cs="Times New Roman"/>
              </w:rPr>
            </w:pPr>
          </w:p>
          <w:p w14:paraId="6F609F2B" w14:textId="77777777" w:rsidR="00E16BE7" w:rsidRDefault="001E39E8">
            <w:pPr>
              <w:jc w:val="center"/>
              <w:rPr>
                <w:rFonts w:cs="Times New Roman"/>
              </w:rPr>
            </w:pPr>
            <w:r>
              <w:rPr>
                <w:rFonts w:cs="Times New Roman"/>
              </w:rPr>
              <w:t>1</w:t>
            </w:r>
          </w:p>
        </w:tc>
        <w:tc>
          <w:tcPr>
            <w:tcW w:w="1330" w:type="dxa"/>
            <w:vMerge w:val="restart"/>
            <w:vAlign w:val="center"/>
          </w:tcPr>
          <w:p w14:paraId="068B7FB7" w14:textId="77777777" w:rsidR="00E16BE7" w:rsidRDefault="00E16BE7">
            <w:pPr>
              <w:rPr>
                <w:rFonts w:cs="Times New Roman"/>
              </w:rPr>
            </w:pPr>
          </w:p>
          <w:p w14:paraId="4D127F16" w14:textId="77777777" w:rsidR="00E16BE7" w:rsidRDefault="001E39E8">
            <w:pPr>
              <w:jc w:val="center"/>
              <w:rPr>
                <w:rFonts w:cs="Times New Roman"/>
              </w:rPr>
            </w:pPr>
            <w:r>
              <w:rPr>
                <w:rFonts w:cs="Times New Roman"/>
              </w:rPr>
              <w:t>0.511</w:t>
            </w:r>
          </w:p>
        </w:tc>
        <w:tc>
          <w:tcPr>
            <w:tcW w:w="1229" w:type="dxa"/>
            <w:vMerge w:val="restart"/>
            <w:vAlign w:val="center"/>
          </w:tcPr>
          <w:p w14:paraId="181CD506" w14:textId="77777777" w:rsidR="00E16BE7" w:rsidRDefault="00E16BE7">
            <w:pPr>
              <w:jc w:val="center"/>
              <w:rPr>
                <w:rFonts w:cs="Times New Roman"/>
              </w:rPr>
            </w:pPr>
          </w:p>
          <w:p w14:paraId="5BE1E491" w14:textId="77777777" w:rsidR="00E16BE7" w:rsidRDefault="001E39E8">
            <w:pPr>
              <w:jc w:val="center"/>
              <w:rPr>
                <w:rFonts w:cs="Times New Roman"/>
              </w:rPr>
            </w:pPr>
            <w:r>
              <w:rPr>
                <w:rFonts w:cs="Times New Roman"/>
              </w:rPr>
              <w:t>0.475</w:t>
            </w:r>
          </w:p>
        </w:tc>
      </w:tr>
      <w:tr w:rsidR="00E16BE7" w14:paraId="61C3A18E" w14:textId="77777777">
        <w:trPr>
          <w:trHeight w:val="687"/>
        </w:trPr>
        <w:tc>
          <w:tcPr>
            <w:tcW w:w="2187" w:type="dxa"/>
            <w:vAlign w:val="center"/>
          </w:tcPr>
          <w:p w14:paraId="364C02F9" w14:textId="77777777" w:rsidR="00E16BE7" w:rsidRDefault="001E39E8">
            <w:pPr>
              <w:rPr>
                <w:rFonts w:cs="Times New Roman"/>
              </w:rPr>
            </w:pPr>
            <w:r>
              <w:rPr>
                <w:rFonts w:cs="Times New Roman"/>
              </w:rPr>
              <w:t>Female</w:t>
            </w:r>
          </w:p>
        </w:tc>
        <w:tc>
          <w:tcPr>
            <w:tcW w:w="995" w:type="dxa"/>
            <w:vAlign w:val="center"/>
          </w:tcPr>
          <w:p w14:paraId="0F77534F" w14:textId="77777777" w:rsidR="00E16BE7" w:rsidRDefault="001E39E8">
            <w:pPr>
              <w:jc w:val="center"/>
              <w:rPr>
                <w:rFonts w:cs="Times New Roman"/>
              </w:rPr>
            </w:pPr>
            <w:r>
              <w:rPr>
                <w:rFonts w:cs="Times New Roman"/>
              </w:rPr>
              <w:t>12</w:t>
            </w:r>
          </w:p>
          <w:p w14:paraId="601CDEB7" w14:textId="77777777" w:rsidR="00E16BE7" w:rsidRDefault="001E39E8">
            <w:pPr>
              <w:jc w:val="center"/>
              <w:rPr>
                <w:rFonts w:cs="Times New Roman"/>
              </w:rPr>
            </w:pPr>
            <w:r>
              <w:rPr>
                <w:rFonts w:cs="Times New Roman"/>
              </w:rPr>
              <w:t>36.4%</w:t>
            </w:r>
          </w:p>
        </w:tc>
        <w:tc>
          <w:tcPr>
            <w:tcW w:w="995" w:type="dxa"/>
            <w:vAlign w:val="center"/>
          </w:tcPr>
          <w:p w14:paraId="2FE3F746" w14:textId="77777777" w:rsidR="00E16BE7" w:rsidRDefault="001E39E8">
            <w:pPr>
              <w:jc w:val="center"/>
              <w:rPr>
                <w:rFonts w:cs="Times New Roman"/>
              </w:rPr>
            </w:pPr>
            <w:r>
              <w:rPr>
                <w:rFonts w:cs="Times New Roman"/>
              </w:rPr>
              <w:t>21</w:t>
            </w:r>
          </w:p>
          <w:p w14:paraId="2D6FAF2D" w14:textId="77777777" w:rsidR="00E16BE7" w:rsidRDefault="001E39E8">
            <w:pPr>
              <w:jc w:val="center"/>
              <w:rPr>
                <w:rFonts w:cs="Times New Roman"/>
              </w:rPr>
            </w:pPr>
            <w:r>
              <w:rPr>
                <w:rFonts w:cs="Times New Roman"/>
              </w:rPr>
              <w:t>63.6%</w:t>
            </w:r>
          </w:p>
        </w:tc>
        <w:tc>
          <w:tcPr>
            <w:tcW w:w="995" w:type="dxa"/>
            <w:vAlign w:val="center"/>
          </w:tcPr>
          <w:p w14:paraId="0A47D6A9" w14:textId="77777777" w:rsidR="00E16BE7" w:rsidRDefault="001E39E8">
            <w:pPr>
              <w:jc w:val="center"/>
              <w:rPr>
                <w:rFonts w:cs="Times New Roman"/>
              </w:rPr>
            </w:pPr>
            <w:r>
              <w:rPr>
                <w:rFonts w:cs="Times New Roman"/>
              </w:rPr>
              <w:t>33</w:t>
            </w:r>
          </w:p>
          <w:p w14:paraId="47688F2B" w14:textId="77777777" w:rsidR="00E16BE7" w:rsidRDefault="001E39E8">
            <w:pPr>
              <w:jc w:val="center"/>
              <w:rPr>
                <w:rFonts w:cs="Times New Roman"/>
              </w:rPr>
            </w:pPr>
            <w:r>
              <w:rPr>
                <w:rFonts w:cs="Times New Roman"/>
              </w:rPr>
              <w:t>100.0%</w:t>
            </w:r>
          </w:p>
        </w:tc>
        <w:tc>
          <w:tcPr>
            <w:tcW w:w="597" w:type="dxa"/>
            <w:vMerge/>
            <w:vAlign w:val="center"/>
          </w:tcPr>
          <w:p w14:paraId="158FBFE7" w14:textId="77777777" w:rsidR="00E16BE7" w:rsidRDefault="00E16BE7">
            <w:pPr>
              <w:rPr>
                <w:rFonts w:cs="Times New Roman"/>
              </w:rPr>
            </w:pPr>
          </w:p>
        </w:tc>
        <w:tc>
          <w:tcPr>
            <w:tcW w:w="1330" w:type="dxa"/>
            <w:vMerge/>
            <w:vAlign w:val="center"/>
          </w:tcPr>
          <w:p w14:paraId="4751B273" w14:textId="77777777" w:rsidR="00E16BE7" w:rsidRDefault="00E16BE7">
            <w:pPr>
              <w:rPr>
                <w:rFonts w:cs="Times New Roman"/>
              </w:rPr>
            </w:pPr>
          </w:p>
        </w:tc>
        <w:tc>
          <w:tcPr>
            <w:tcW w:w="1229" w:type="dxa"/>
            <w:vMerge/>
            <w:vAlign w:val="center"/>
          </w:tcPr>
          <w:p w14:paraId="19DF9941" w14:textId="77777777" w:rsidR="00E16BE7" w:rsidRDefault="00E16BE7">
            <w:pPr>
              <w:rPr>
                <w:rFonts w:cs="Times New Roman"/>
              </w:rPr>
            </w:pPr>
          </w:p>
        </w:tc>
      </w:tr>
      <w:tr w:rsidR="00E16BE7" w14:paraId="530FB68C" w14:textId="77777777">
        <w:trPr>
          <w:trHeight w:val="536"/>
        </w:trPr>
        <w:tc>
          <w:tcPr>
            <w:tcW w:w="8328" w:type="dxa"/>
            <w:gridSpan w:val="7"/>
            <w:vAlign w:val="center"/>
          </w:tcPr>
          <w:p w14:paraId="0D6478E9" w14:textId="77777777" w:rsidR="00E16BE7" w:rsidRDefault="001E39E8">
            <w:pPr>
              <w:jc w:val="center"/>
              <w:rPr>
                <w:rFonts w:cs="Times New Roman"/>
              </w:rPr>
            </w:pPr>
            <w:r>
              <w:rPr>
                <w:rFonts w:cs="Times New Roman"/>
                <w:b/>
                <w:bCs/>
              </w:rPr>
              <w:t>Age</w:t>
            </w:r>
          </w:p>
        </w:tc>
      </w:tr>
      <w:tr w:rsidR="00E16BE7" w14:paraId="451A2F86" w14:textId="77777777">
        <w:tc>
          <w:tcPr>
            <w:tcW w:w="2187" w:type="dxa"/>
            <w:vAlign w:val="center"/>
          </w:tcPr>
          <w:p w14:paraId="2278AF26" w14:textId="77777777" w:rsidR="00E16BE7" w:rsidRDefault="001E39E8">
            <w:pPr>
              <w:rPr>
                <w:rFonts w:cs="Times New Roman"/>
              </w:rPr>
            </w:pPr>
            <w:proofErr w:type="spellStart"/>
            <w:r>
              <w:rPr>
                <w:rFonts w:cs="Times New Roman"/>
              </w:rPr>
              <w:t>Upto</w:t>
            </w:r>
            <w:proofErr w:type="spellEnd"/>
            <w:r>
              <w:rPr>
                <w:rFonts w:cs="Times New Roman"/>
              </w:rPr>
              <w:t xml:space="preserve"> 20</w:t>
            </w:r>
          </w:p>
        </w:tc>
        <w:tc>
          <w:tcPr>
            <w:tcW w:w="995" w:type="dxa"/>
            <w:vAlign w:val="center"/>
          </w:tcPr>
          <w:p w14:paraId="0F16B718" w14:textId="77777777" w:rsidR="00E16BE7" w:rsidRDefault="001E39E8">
            <w:pPr>
              <w:jc w:val="center"/>
              <w:rPr>
                <w:rFonts w:cs="Times New Roman"/>
              </w:rPr>
            </w:pPr>
            <w:r>
              <w:rPr>
                <w:rFonts w:cs="Times New Roman"/>
              </w:rPr>
              <w:t>8</w:t>
            </w:r>
          </w:p>
          <w:p w14:paraId="6E7A0912" w14:textId="77777777" w:rsidR="00E16BE7" w:rsidRDefault="001E39E8">
            <w:pPr>
              <w:jc w:val="center"/>
              <w:rPr>
                <w:rFonts w:cs="Times New Roman"/>
              </w:rPr>
            </w:pPr>
            <w:r>
              <w:rPr>
                <w:rFonts w:cs="Times New Roman"/>
              </w:rPr>
              <w:t>26.7%</w:t>
            </w:r>
          </w:p>
        </w:tc>
        <w:tc>
          <w:tcPr>
            <w:tcW w:w="995" w:type="dxa"/>
            <w:vAlign w:val="center"/>
          </w:tcPr>
          <w:p w14:paraId="1854BEFC" w14:textId="77777777" w:rsidR="00E16BE7" w:rsidRDefault="001E39E8">
            <w:pPr>
              <w:jc w:val="center"/>
              <w:rPr>
                <w:rFonts w:cs="Times New Roman"/>
              </w:rPr>
            </w:pPr>
            <w:r>
              <w:rPr>
                <w:rFonts w:cs="Times New Roman"/>
              </w:rPr>
              <w:t>22</w:t>
            </w:r>
          </w:p>
          <w:p w14:paraId="7BCBDED9" w14:textId="77777777" w:rsidR="00E16BE7" w:rsidRDefault="001E39E8">
            <w:pPr>
              <w:jc w:val="center"/>
              <w:rPr>
                <w:rFonts w:cs="Times New Roman"/>
              </w:rPr>
            </w:pPr>
            <w:r>
              <w:rPr>
                <w:rFonts w:cs="Times New Roman"/>
              </w:rPr>
              <w:t>73.3%</w:t>
            </w:r>
          </w:p>
        </w:tc>
        <w:tc>
          <w:tcPr>
            <w:tcW w:w="995" w:type="dxa"/>
            <w:vAlign w:val="center"/>
          </w:tcPr>
          <w:p w14:paraId="73A5A140" w14:textId="77777777" w:rsidR="00E16BE7" w:rsidRDefault="001E39E8">
            <w:pPr>
              <w:jc w:val="center"/>
              <w:rPr>
                <w:rFonts w:cs="Times New Roman"/>
              </w:rPr>
            </w:pPr>
            <w:r>
              <w:rPr>
                <w:rFonts w:cs="Times New Roman"/>
              </w:rPr>
              <w:t>30</w:t>
            </w:r>
          </w:p>
          <w:p w14:paraId="6BBE9CC9" w14:textId="77777777" w:rsidR="00E16BE7" w:rsidRDefault="001E39E8">
            <w:pPr>
              <w:jc w:val="center"/>
              <w:rPr>
                <w:rFonts w:cs="Times New Roman"/>
              </w:rPr>
            </w:pPr>
            <w:r>
              <w:rPr>
                <w:rFonts w:cs="Times New Roman"/>
              </w:rPr>
              <w:t>100.0%</w:t>
            </w:r>
          </w:p>
        </w:tc>
        <w:tc>
          <w:tcPr>
            <w:tcW w:w="597" w:type="dxa"/>
            <w:vMerge w:val="restart"/>
            <w:vAlign w:val="center"/>
          </w:tcPr>
          <w:p w14:paraId="6DC45082" w14:textId="77777777" w:rsidR="00E16BE7" w:rsidRDefault="00E16BE7">
            <w:pPr>
              <w:rPr>
                <w:rFonts w:cs="Times New Roman"/>
              </w:rPr>
            </w:pPr>
          </w:p>
          <w:p w14:paraId="44134741" w14:textId="77777777" w:rsidR="00E16BE7" w:rsidRDefault="00E16BE7">
            <w:pPr>
              <w:rPr>
                <w:rFonts w:cs="Times New Roman"/>
              </w:rPr>
            </w:pPr>
          </w:p>
          <w:p w14:paraId="6E774E9B" w14:textId="77777777" w:rsidR="00E16BE7" w:rsidRDefault="001E39E8">
            <w:pPr>
              <w:ind w:firstLineChars="50" w:firstLine="120"/>
              <w:rPr>
                <w:rFonts w:cs="Times New Roman"/>
              </w:rPr>
            </w:pPr>
            <w:r>
              <w:rPr>
                <w:rFonts w:cs="Times New Roman"/>
              </w:rPr>
              <w:t>1</w:t>
            </w:r>
          </w:p>
        </w:tc>
        <w:tc>
          <w:tcPr>
            <w:tcW w:w="1330" w:type="dxa"/>
            <w:vMerge w:val="restart"/>
            <w:vAlign w:val="center"/>
          </w:tcPr>
          <w:p w14:paraId="2A600539" w14:textId="77777777" w:rsidR="00E16BE7" w:rsidRDefault="00E16BE7">
            <w:pPr>
              <w:jc w:val="center"/>
              <w:rPr>
                <w:rFonts w:cs="Times New Roman"/>
              </w:rPr>
            </w:pPr>
          </w:p>
          <w:p w14:paraId="3F2ECE97" w14:textId="77777777" w:rsidR="00E16BE7" w:rsidRDefault="00E16BE7">
            <w:pPr>
              <w:jc w:val="center"/>
              <w:rPr>
                <w:rFonts w:cs="Times New Roman"/>
              </w:rPr>
            </w:pPr>
          </w:p>
          <w:p w14:paraId="0B8DFBE8" w14:textId="77777777" w:rsidR="00E16BE7" w:rsidRDefault="001E39E8">
            <w:pPr>
              <w:jc w:val="center"/>
              <w:rPr>
                <w:rFonts w:cs="Times New Roman"/>
              </w:rPr>
            </w:pPr>
            <w:r>
              <w:rPr>
                <w:rFonts w:cs="Times New Roman"/>
              </w:rPr>
              <w:t>1.800</w:t>
            </w:r>
          </w:p>
          <w:p w14:paraId="5A876115" w14:textId="77777777" w:rsidR="00E16BE7" w:rsidRDefault="00E16BE7">
            <w:pPr>
              <w:jc w:val="center"/>
              <w:rPr>
                <w:rFonts w:cs="Times New Roman"/>
              </w:rPr>
            </w:pPr>
          </w:p>
        </w:tc>
        <w:tc>
          <w:tcPr>
            <w:tcW w:w="1229" w:type="dxa"/>
            <w:vMerge w:val="restart"/>
            <w:vAlign w:val="center"/>
          </w:tcPr>
          <w:p w14:paraId="6D6876EE" w14:textId="77777777" w:rsidR="00E16BE7" w:rsidRDefault="00E16BE7">
            <w:pPr>
              <w:rPr>
                <w:rFonts w:cs="Times New Roman"/>
              </w:rPr>
            </w:pPr>
          </w:p>
          <w:p w14:paraId="7CF11B27" w14:textId="77777777" w:rsidR="00E16BE7" w:rsidRDefault="00E16BE7">
            <w:pPr>
              <w:rPr>
                <w:rFonts w:cs="Times New Roman"/>
              </w:rPr>
            </w:pPr>
          </w:p>
          <w:p w14:paraId="126766CF" w14:textId="77777777" w:rsidR="00E16BE7" w:rsidRDefault="001E39E8">
            <w:pPr>
              <w:rPr>
                <w:rFonts w:cs="Times New Roman"/>
              </w:rPr>
            </w:pPr>
            <w:r>
              <w:rPr>
                <w:rFonts w:cs="Times New Roman"/>
              </w:rPr>
              <w:t>0.180</w:t>
            </w:r>
          </w:p>
        </w:tc>
      </w:tr>
      <w:tr w:rsidR="00E16BE7" w14:paraId="2DD6FD84" w14:textId="77777777">
        <w:tc>
          <w:tcPr>
            <w:tcW w:w="2187" w:type="dxa"/>
            <w:vAlign w:val="center"/>
          </w:tcPr>
          <w:p w14:paraId="157EE197" w14:textId="77777777" w:rsidR="00E16BE7" w:rsidRDefault="001E39E8">
            <w:pPr>
              <w:rPr>
                <w:rFonts w:cs="Times New Roman"/>
              </w:rPr>
            </w:pPr>
            <w:r>
              <w:rPr>
                <w:rFonts w:cs="Times New Roman"/>
              </w:rPr>
              <w:t>Above 20</w:t>
            </w:r>
          </w:p>
        </w:tc>
        <w:tc>
          <w:tcPr>
            <w:tcW w:w="995" w:type="dxa"/>
            <w:vAlign w:val="center"/>
          </w:tcPr>
          <w:p w14:paraId="763F0A90" w14:textId="77777777" w:rsidR="00E16BE7" w:rsidRDefault="001E39E8">
            <w:pPr>
              <w:jc w:val="center"/>
              <w:rPr>
                <w:rFonts w:cs="Times New Roman"/>
              </w:rPr>
            </w:pPr>
            <w:r>
              <w:rPr>
                <w:rFonts w:cs="Times New Roman"/>
              </w:rPr>
              <w:t>7</w:t>
            </w:r>
          </w:p>
          <w:p w14:paraId="4943BAD1" w14:textId="77777777" w:rsidR="00E16BE7" w:rsidRDefault="001E39E8">
            <w:pPr>
              <w:jc w:val="center"/>
              <w:rPr>
                <w:rFonts w:cs="Times New Roman"/>
              </w:rPr>
            </w:pPr>
            <w:r>
              <w:rPr>
                <w:rFonts w:cs="Times New Roman"/>
              </w:rPr>
              <w:t>46.7%</w:t>
            </w:r>
          </w:p>
        </w:tc>
        <w:tc>
          <w:tcPr>
            <w:tcW w:w="995" w:type="dxa"/>
            <w:vAlign w:val="center"/>
          </w:tcPr>
          <w:p w14:paraId="5AF2A0CD" w14:textId="77777777" w:rsidR="00E16BE7" w:rsidRDefault="001E39E8">
            <w:pPr>
              <w:jc w:val="center"/>
              <w:rPr>
                <w:rFonts w:cs="Times New Roman"/>
              </w:rPr>
            </w:pPr>
            <w:r>
              <w:rPr>
                <w:rFonts w:cs="Times New Roman"/>
              </w:rPr>
              <w:t>8</w:t>
            </w:r>
          </w:p>
          <w:p w14:paraId="17DEDD29" w14:textId="77777777" w:rsidR="00E16BE7" w:rsidRDefault="001E39E8">
            <w:pPr>
              <w:jc w:val="center"/>
              <w:rPr>
                <w:rFonts w:cs="Times New Roman"/>
              </w:rPr>
            </w:pPr>
            <w:r>
              <w:rPr>
                <w:rFonts w:cs="Times New Roman"/>
              </w:rPr>
              <w:t>53.3%</w:t>
            </w:r>
          </w:p>
        </w:tc>
        <w:tc>
          <w:tcPr>
            <w:tcW w:w="995" w:type="dxa"/>
            <w:vAlign w:val="center"/>
          </w:tcPr>
          <w:p w14:paraId="02EFFE51" w14:textId="77777777" w:rsidR="00E16BE7" w:rsidRDefault="001E39E8">
            <w:pPr>
              <w:jc w:val="center"/>
              <w:rPr>
                <w:rFonts w:cs="Times New Roman"/>
              </w:rPr>
            </w:pPr>
            <w:r>
              <w:rPr>
                <w:rFonts w:cs="Times New Roman"/>
              </w:rPr>
              <w:t>15</w:t>
            </w:r>
          </w:p>
          <w:p w14:paraId="1D26D200" w14:textId="77777777" w:rsidR="00E16BE7" w:rsidRDefault="001E39E8">
            <w:pPr>
              <w:jc w:val="center"/>
              <w:rPr>
                <w:rFonts w:cs="Times New Roman"/>
              </w:rPr>
            </w:pPr>
            <w:r>
              <w:rPr>
                <w:rFonts w:cs="Times New Roman"/>
              </w:rPr>
              <w:t>100.0%</w:t>
            </w:r>
          </w:p>
        </w:tc>
        <w:tc>
          <w:tcPr>
            <w:tcW w:w="597" w:type="dxa"/>
            <w:vMerge/>
            <w:vAlign w:val="center"/>
          </w:tcPr>
          <w:p w14:paraId="03B747A0" w14:textId="77777777" w:rsidR="00E16BE7" w:rsidRDefault="00E16BE7">
            <w:pPr>
              <w:rPr>
                <w:rFonts w:cs="Times New Roman"/>
              </w:rPr>
            </w:pPr>
          </w:p>
        </w:tc>
        <w:tc>
          <w:tcPr>
            <w:tcW w:w="1330" w:type="dxa"/>
            <w:vMerge/>
            <w:vAlign w:val="center"/>
          </w:tcPr>
          <w:p w14:paraId="5357739C" w14:textId="77777777" w:rsidR="00E16BE7" w:rsidRDefault="00E16BE7">
            <w:pPr>
              <w:rPr>
                <w:rFonts w:cs="Times New Roman"/>
              </w:rPr>
            </w:pPr>
          </w:p>
        </w:tc>
        <w:tc>
          <w:tcPr>
            <w:tcW w:w="1229" w:type="dxa"/>
            <w:vMerge/>
            <w:vAlign w:val="center"/>
          </w:tcPr>
          <w:p w14:paraId="4B58295F" w14:textId="77777777" w:rsidR="00E16BE7" w:rsidRDefault="00E16BE7">
            <w:pPr>
              <w:rPr>
                <w:rFonts w:cs="Times New Roman"/>
              </w:rPr>
            </w:pPr>
          </w:p>
        </w:tc>
      </w:tr>
      <w:tr w:rsidR="00E16BE7" w14:paraId="1325CCE2" w14:textId="77777777">
        <w:trPr>
          <w:trHeight w:val="484"/>
        </w:trPr>
        <w:tc>
          <w:tcPr>
            <w:tcW w:w="8328" w:type="dxa"/>
            <w:gridSpan w:val="7"/>
            <w:vAlign w:val="center"/>
          </w:tcPr>
          <w:p w14:paraId="4B7B5B43" w14:textId="77777777" w:rsidR="00E16BE7" w:rsidRDefault="001E39E8">
            <w:pPr>
              <w:jc w:val="center"/>
              <w:rPr>
                <w:rFonts w:cs="Times New Roman"/>
                <w:b/>
                <w:bCs/>
              </w:rPr>
            </w:pPr>
            <w:r>
              <w:rPr>
                <w:rFonts w:cs="Times New Roman"/>
                <w:b/>
                <w:bCs/>
              </w:rPr>
              <w:t>Area of residence</w:t>
            </w:r>
          </w:p>
        </w:tc>
      </w:tr>
      <w:tr w:rsidR="00E16BE7" w14:paraId="7240B73B" w14:textId="77777777">
        <w:trPr>
          <w:trHeight w:val="940"/>
        </w:trPr>
        <w:tc>
          <w:tcPr>
            <w:tcW w:w="2187" w:type="dxa"/>
            <w:vAlign w:val="center"/>
          </w:tcPr>
          <w:p w14:paraId="23F1372C" w14:textId="77777777" w:rsidR="00E16BE7" w:rsidRDefault="001E39E8">
            <w:pPr>
              <w:rPr>
                <w:rFonts w:cs="Times New Roman"/>
              </w:rPr>
            </w:pPr>
            <w:r>
              <w:rPr>
                <w:rFonts w:cs="Times New Roman"/>
              </w:rPr>
              <w:t>Village</w:t>
            </w:r>
          </w:p>
        </w:tc>
        <w:tc>
          <w:tcPr>
            <w:tcW w:w="995" w:type="dxa"/>
            <w:vAlign w:val="center"/>
          </w:tcPr>
          <w:p w14:paraId="78981765" w14:textId="77777777" w:rsidR="00E16BE7" w:rsidRDefault="001E39E8">
            <w:pPr>
              <w:jc w:val="center"/>
              <w:rPr>
                <w:rFonts w:cs="Times New Roman"/>
              </w:rPr>
            </w:pPr>
            <w:r>
              <w:rPr>
                <w:rFonts w:cs="Times New Roman"/>
              </w:rPr>
              <w:t>13</w:t>
            </w:r>
          </w:p>
          <w:p w14:paraId="0053AB5E" w14:textId="77777777" w:rsidR="00E16BE7" w:rsidRDefault="001E39E8">
            <w:pPr>
              <w:jc w:val="center"/>
              <w:rPr>
                <w:rFonts w:cs="Times New Roman"/>
              </w:rPr>
            </w:pPr>
            <w:r>
              <w:rPr>
                <w:rFonts w:cs="Times New Roman"/>
              </w:rPr>
              <w:t>34.2%</w:t>
            </w:r>
          </w:p>
        </w:tc>
        <w:tc>
          <w:tcPr>
            <w:tcW w:w="995" w:type="dxa"/>
            <w:vAlign w:val="center"/>
          </w:tcPr>
          <w:p w14:paraId="2527E0E1" w14:textId="77777777" w:rsidR="00E16BE7" w:rsidRDefault="001E39E8">
            <w:pPr>
              <w:jc w:val="center"/>
              <w:rPr>
                <w:rFonts w:cs="Times New Roman"/>
              </w:rPr>
            </w:pPr>
            <w:r>
              <w:rPr>
                <w:rFonts w:cs="Times New Roman"/>
              </w:rPr>
              <w:t>25</w:t>
            </w:r>
          </w:p>
          <w:p w14:paraId="31E0E4C6" w14:textId="77777777" w:rsidR="00E16BE7" w:rsidRDefault="001E39E8">
            <w:pPr>
              <w:jc w:val="center"/>
              <w:rPr>
                <w:rFonts w:cs="Times New Roman"/>
              </w:rPr>
            </w:pPr>
            <w:r>
              <w:rPr>
                <w:rFonts w:cs="Times New Roman"/>
              </w:rPr>
              <w:t>65.8%</w:t>
            </w:r>
          </w:p>
        </w:tc>
        <w:tc>
          <w:tcPr>
            <w:tcW w:w="995" w:type="dxa"/>
            <w:vAlign w:val="center"/>
          </w:tcPr>
          <w:p w14:paraId="18F758F2" w14:textId="77777777" w:rsidR="00E16BE7" w:rsidRDefault="001E39E8">
            <w:pPr>
              <w:jc w:val="center"/>
              <w:rPr>
                <w:rFonts w:cs="Times New Roman"/>
              </w:rPr>
            </w:pPr>
            <w:r>
              <w:rPr>
                <w:rFonts w:cs="Times New Roman"/>
              </w:rPr>
              <w:t>38</w:t>
            </w:r>
          </w:p>
          <w:p w14:paraId="6B723980" w14:textId="77777777" w:rsidR="00E16BE7" w:rsidRDefault="001E39E8">
            <w:pPr>
              <w:jc w:val="center"/>
              <w:rPr>
                <w:rFonts w:cs="Times New Roman"/>
              </w:rPr>
            </w:pPr>
            <w:r>
              <w:rPr>
                <w:rFonts w:cs="Times New Roman"/>
              </w:rPr>
              <w:t>100.0%</w:t>
            </w:r>
          </w:p>
        </w:tc>
        <w:tc>
          <w:tcPr>
            <w:tcW w:w="597" w:type="dxa"/>
            <w:vMerge w:val="restart"/>
            <w:vAlign w:val="center"/>
          </w:tcPr>
          <w:p w14:paraId="20602470" w14:textId="77777777" w:rsidR="00E16BE7" w:rsidRDefault="00E16BE7">
            <w:pPr>
              <w:rPr>
                <w:rFonts w:cs="Times New Roman"/>
              </w:rPr>
            </w:pPr>
          </w:p>
          <w:p w14:paraId="1DE86AFC" w14:textId="77777777" w:rsidR="00E16BE7" w:rsidRDefault="001E39E8">
            <w:pPr>
              <w:ind w:firstLineChars="50" w:firstLine="120"/>
              <w:rPr>
                <w:rFonts w:cs="Times New Roman"/>
              </w:rPr>
            </w:pPr>
            <w:r>
              <w:rPr>
                <w:rFonts w:cs="Times New Roman"/>
              </w:rPr>
              <w:t>1</w:t>
            </w:r>
          </w:p>
        </w:tc>
        <w:tc>
          <w:tcPr>
            <w:tcW w:w="1330" w:type="dxa"/>
            <w:vMerge w:val="restart"/>
            <w:vAlign w:val="center"/>
          </w:tcPr>
          <w:p w14:paraId="524AD2D0" w14:textId="77777777" w:rsidR="00E16BE7" w:rsidRDefault="00E16BE7">
            <w:pPr>
              <w:jc w:val="center"/>
              <w:rPr>
                <w:rFonts w:cs="Times New Roman"/>
              </w:rPr>
            </w:pPr>
          </w:p>
          <w:p w14:paraId="24135053" w14:textId="77777777" w:rsidR="00E16BE7" w:rsidRDefault="001E39E8">
            <w:pPr>
              <w:jc w:val="center"/>
              <w:rPr>
                <w:rFonts w:cs="Times New Roman"/>
              </w:rPr>
            </w:pPr>
            <w:r>
              <w:rPr>
                <w:rFonts w:cs="Times New Roman"/>
              </w:rPr>
              <w:t>6.725**</w:t>
            </w:r>
          </w:p>
        </w:tc>
        <w:tc>
          <w:tcPr>
            <w:tcW w:w="1229" w:type="dxa"/>
            <w:vMerge w:val="restart"/>
            <w:vAlign w:val="center"/>
          </w:tcPr>
          <w:p w14:paraId="540F668E" w14:textId="77777777" w:rsidR="00E16BE7" w:rsidRDefault="00E16BE7">
            <w:pPr>
              <w:rPr>
                <w:rFonts w:cs="Times New Roman"/>
              </w:rPr>
            </w:pPr>
          </w:p>
          <w:p w14:paraId="7929B618" w14:textId="77777777" w:rsidR="00E16BE7" w:rsidRDefault="001E39E8">
            <w:pPr>
              <w:rPr>
                <w:rFonts w:cs="Times New Roman"/>
              </w:rPr>
            </w:pPr>
            <w:r>
              <w:rPr>
                <w:rFonts w:cs="Times New Roman"/>
              </w:rPr>
              <w:t>0.00582</w:t>
            </w:r>
          </w:p>
        </w:tc>
      </w:tr>
      <w:tr w:rsidR="00E16BE7" w14:paraId="0009F4B7" w14:textId="77777777">
        <w:tc>
          <w:tcPr>
            <w:tcW w:w="2187" w:type="dxa"/>
            <w:vAlign w:val="center"/>
          </w:tcPr>
          <w:p w14:paraId="0B3F67D1" w14:textId="77777777" w:rsidR="00E16BE7" w:rsidRDefault="001E39E8">
            <w:pPr>
              <w:rPr>
                <w:rFonts w:cs="Times New Roman"/>
              </w:rPr>
            </w:pPr>
            <w:r>
              <w:rPr>
                <w:rFonts w:cs="Times New Roman"/>
              </w:rPr>
              <w:t>Town</w:t>
            </w:r>
          </w:p>
        </w:tc>
        <w:tc>
          <w:tcPr>
            <w:tcW w:w="995" w:type="dxa"/>
            <w:vAlign w:val="center"/>
          </w:tcPr>
          <w:p w14:paraId="39A81E5E" w14:textId="77777777" w:rsidR="00E16BE7" w:rsidRDefault="001E39E8">
            <w:pPr>
              <w:jc w:val="center"/>
              <w:rPr>
                <w:rFonts w:cs="Times New Roman"/>
              </w:rPr>
            </w:pPr>
            <w:r>
              <w:rPr>
                <w:rFonts w:cs="Times New Roman"/>
              </w:rPr>
              <w:t>2</w:t>
            </w:r>
          </w:p>
          <w:p w14:paraId="0FB12BBB" w14:textId="77777777" w:rsidR="00E16BE7" w:rsidRDefault="001E39E8">
            <w:pPr>
              <w:jc w:val="center"/>
              <w:rPr>
                <w:rFonts w:cs="Times New Roman"/>
              </w:rPr>
            </w:pPr>
            <w:r>
              <w:rPr>
                <w:rFonts w:cs="Times New Roman"/>
              </w:rPr>
              <w:t>28.6%</w:t>
            </w:r>
          </w:p>
        </w:tc>
        <w:tc>
          <w:tcPr>
            <w:tcW w:w="995" w:type="dxa"/>
            <w:vAlign w:val="center"/>
          </w:tcPr>
          <w:p w14:paraId="4EE8864D" w14:textId="77777777" w:rsidR="00E16BE7" w:rsidRDefault="001E39E8">
            <w:pPr>
              <w:jc w:val="center"/>
              <w:rPr>
                <w:rFonts w:cs="Times New Roman"/>
              </w:rPr>
            </w:pPr>
            <w:r>
              <w:rPr>
                <w:rFonts w:cs="Times New Roman"/>
              </w:rPr>
              <w:t>5</w:t>
            </w:r>
          </w:p>
          <w:p w14:paraId="5BAD77F1" w14:textId="77777777" w:rsidR="00E16BE7" w:rsidRDefault="001E39E8">
            <w:pPr>
              <w:jc w:val="center"/>
              <w:rPr>
                <w:rFonts w:cs="Times New Roman"/>
              </w:rPr>
            </w:pPr>
            <w:r>
              <w:rPr>
                <w:rFonts w:cs="Times New Roman"/>
              </w:rPr>
              <w:t>71.4%</w:t>
            </w:r>
          </w:p>
        </w:tc>
        <w:tc>
          <w:tcPr>
            <w:tcW w:w="995" w:type="dxa"/>
            <w:vAlign w:val="center"/>
          </w:tcPr>
          <w:p w14:paraId="37C76CE2" w14:textId="77777777" w:rsidR="00E16BE7" w:rsidRDefault="001E39E8">
            <w:pPr>
              <w:jc w:val="center"/>
              <w:rPr>
                <w:rFonts w:cs="Times New Roman"/>
              </w:rPr>
            </w:pPr>
            <w:r>
              <w:rPr>
                <w:rFonts w:cs="Times New Roman"/>
              </w:rPr>
              <w:t>7</w:t>
            </w:r>
          </w:p>
          <w:p w14:paraId="20E62215" w14:textId="77777777" w:rsidR="00E16BE7" w:rsidRDefault="001E39E8">
            <w:pPr>
              <w:jc w:val="center"/>
              <w:rPr>
                <w:rFonts w:cs="Times New Roman"/>
              </w:rPr>
            </w:pPr>
            <w:r>
              <w:rPr>
                <w:rFonts w:cs="Times New Roman"/>
              </w:rPr>
              <w:t>100.0%</w:t>
            </w:r>
          </w:p>
        </w:tc>
        <w:tc>
          <w:tcPr>
            <w:tcW w:w="597" w:type="dxa"/>
            <w:vMerge/>
            <w:vAlign w:val="center"/>
          </w:tcPr>
          <w:p w14:paraId="6AB73C8D" w14:textId="77777777" w:rsidR="00E16BE7" w:rsidRDefault="00E16BE7">
            <w:pPr>
              <w:rPr>
                <w:rFonts w:cs="Times New Roman"/>
              </w:rPr>
            </w:pPr>
          </w:p>
        </w:tc>
        <w:tc>
          <w:tcPr>
            <w:tcW w:w="1330" w:type="dxa"/>
            <w:vMerge/>
            <w:vAlign w:val="center"/>
          </w:tcPr>
          <w:p w14:paraId="141BD853" w14:textId="77777777" w:rsidR="00E16BE7" w:rsidRDefault="00E16BE7">
            <w:pPr>
              <w:rPr>
                <w:rFonts w:cs="Times New Roman"/>
              </w:rPr>
            </w:pPr>
          </w:p>
        </w:tc>
        <w:tc>
          <w:tcPr>
            <w:tcW w:w="1229" w:type="dxa"/>
            <w:vMerge/>
            <w:vAlign w:val="center"/>
          </w:tcPr>
          <w:p w14:paraId="4B5C65AC" w14:textId="77777777" w:rsidR="00E16BE7" w:rsidRDefault="00E16BE7">
            <w:pPr>
              <w:rPr>
                <w:rFonts w:cs="Times New Roman"/>
              </w:rPr>
            </w:pPr>
          </w:p>
        </w:tc>
      </w:tr>
      <w:tr w:rsidR="00E16BE7" w14:paraId="196E919A" w14:textId="77777777">
        <w:trPr>
          <w:trHeight w:val="527"/>
        </w:trPr>
        <w:tc>
          <w:tcPr>
            <w:tcW w:w="8328" w:type="dxa"/>
            <w:gridSpan w:val="7"/>
            <w:vAlign w:val="center"/>
          </w:tcPr>
          <w:p w14:paraId="499D4F7C" w14:textId="77777777" w:rsidR="00E16BE7" w:rsidRDefault="001E39E8">
            <w:pPr>
              <w:jc w:val="center"/>
              <w:rPr>
                <w:rFonts w:cs="Times New Roman"/>
                <w:b/>
                <w:bCs/>
              </w:rPr>
            </w:pPr>
            <w:r>
              <w:rPr>
                <w:rFonts w:cs="Times New Roman"/>
                <w:b/>
                <w:bCs/>
              </w:rPr>
              <w:t>Marital status</w:t>
            </w:r>
          </w:p>
        </w:tc>
      </w:tr>
      <w:tr w:rsidR="00E16BE7" w14:paraId="4FE11DFE" w14:textId="77777777">
        <w:tc>
          <w:tcPr>
            <w:tcW w:w="2187" w:type="dxa"/>
            <w:vAlign w:val="center"/>
          </w:tcPr>
          <w:p w14:paraId="74BF4545" w14:textId="77777777" w:rsidR="00E16BE7" w:rsidRDefault="001E39E8">
            <w:pPr>
              <w:rPr>
                <w:rFonts w:cs="Times New Roman"/>
              </w:rPr>
            </w:pPr>
            <w:r>
              <w:rPr>
                <w:rFonts w:cs="Times New Roman"/>
              </w:rPr>
              <w:t>Married</w:t>
            </w:r>
          </w:p>
        </w:tc>
        <w:tc>
          <w:tcPr>
            <w:tcW w:w="995" w:type="dxa"/>
            <w:vAlign w:val="center"/>
          </w:tcPr>
          <w:p w14:paraId="055865A1" w14:textId="77777777" w:rsidR="00E16BE7" w:rsidRDefault="001E39E8">
            <w:pPr>
              <w:jc w:val="center"/>
              <w:rPr>
                <w:rFonts w:cs="Times New Roman"/>
              </w:rPr>
            </w:pPr>
            <w:r>
              <w:rPr>
                <w:rFonts w:cs="Times New Roman"/>
              </w:rPr>
              <w:t>1</w:t>
            </w:r>
          </w:p>
          <w:p w14:paraId="1557DB75" w14:textId="77777777" w:rsidR="00E16BE7" w:rsidRDefault="001E39E8">
            <w:pPr>
              <w:jc w:val="center"/>
              <w:rPr>
                <w:rFonts w:cs="Times New Roman"/>
              </w:rPr>
            </w:pPr>
            <w:r>
              <w:rPr>
                <w:rFonts w:cs="Times New Roman"/>
              </w:rPr>
              <w:t>25.0%</w:t>
            </w:r>
          </w:p>
        </w:tc>
        <w:tc>
          <w:tcPr>
            <w:tcW w:w="995" w:type="dxa"/>
            <w:vAlign w:val="center"/>
          </w:tcPr>
          <w:p w14:paraId="08DC78B6" w14:textId="77777777" w:rsidR="00E16BE7" w:rsidRDefault="001E39E8">
            <w:pPr>
              <w:jc w:val="center"/>
              <w:rPr>
                <w:rFonts w:cs="Times New Roman"/>
              </w:rPr>
            </w:pPr>
            <w:r>
              <w:rPr>
                <w:rFonts w:cs="Times New Roman"/>
              </w:rPr>
              <w:t>3</w:t>
            </w:r>
          </w:p>
          <w:p w14:paraId="260F436F" w14:textId="77777777" w:rsidR="00E16BE7" w:rsidRDefault="001E39E8">
            <w:pPr>
              <w:jc w:val="center"/>
              <w:rPr>
                <w:rFonts w:cs="Times New Roman"/>
              </w:rPr>
            </w:pPr>
            <w:r>
              <w:rPr>
                <w:rFonts w:cs="Times New Roman"/>
              </w:rPr>
              <w:t>75.0%</w:t>
            </w:r>
          </w:p>
        </w:tc>
        <w:tc>
          <w:tcPr>
            <w:tcW w:w="995" w:type="dxa"/>
            <w:vAlign w:val="center"/>
          </w:tcPr>
          <w:p w14:paraId="462C5C5E" w14:textId="77777777" w:rsidR="00E16BE7" w:rsidRDefault="001E39E8">
            <w:pPr>
              <w:jc w:val="center"/>
              <w:rPr>
                <w:rFonts w:cs="Times New Roman"/>
              </w:rPr>
            </w:pPr>
            <w:r>
              <w:rPr>
                <w:rFonts w:cs="Times New Roman"/>
              </w:rPr>
              <w:t>4</w:t>
            </w:r>
          </w:p>
          <w:p w14:paraId="38F14618" w14:textId="77777777" w:rsidR="00E16BE7" w:rsidRDefault="001E39E8">
            <w:pPr>
              <w:jc w:val="center"/>
              <w:rPr>
                <w:rFonts w:cs="Times New Roman"/>
              </w:rPr>
            </w:pPr>
            <w:r>
              <w:rPr>
                <w:rFonts w:cs="Times New Roman"/>
              </w:rPr>
              <w:t>100.0%</w:t>
            </w:r>
          </w:p>
        </w:tc>
        <w:tc>
          <w:tcPr>
            <w:tcW w:w="597" w:type="dxa"/>
            <w:vMerge w:val="restart"/>
            <w:vAlign w:val="center"/>
          </w:tcPr>
          <w:p w14:paraId="5FEAADDC" w14:textId="77777777" w:rsidR="00E16BE7" w:rsidRDefault="00E16BE7">
            <w:pPr>
              <w:jc w:val="center"/>
              <w:rPr>
                <w:rFonts w:cs="Times New Roman"/>
              </w:rPr>
            </w:pPr>
          </w:p>
          <w:p w14:paraId="268E9241" w14:textId="77777777" w:rsidR="00E16BE7" w:rsidRDefault="001E39E8">
            <w:pPr>
              <w:jc w:val="center"/>
              <w:rPr>
                <w:rFonts w:cs="Times New Roman"/>
              </w:rPr>
            </w:pPr>
            <w:r>
              <w:rPr>
                <w:rFonts w:cs="Times New Roman"/>
              </w:rPr>
              <w:t>1</w:t>
            </w:r>
          </w:p>
        </w:tc>
        <w:tc>
          <w:tcPr>
            <w:tcW w:w="1330" w:type="dxa"/>
            <w:vMerge w:val="restart"/>
            <w:vAlign w:val="center"/>
          </w:tcPr>
          <w:p w14:paraId="4DA49B99" w14:textId="77777777" w:rsidR="00E16BE7" w:rsidRDefault="00E16BE7">
            <w:pPr>
              <w:jc w:val="center"/>
              <w:rPr>
                <w:rFonts w:cs="Times New Roman"/>
              </w:rPr>
            </w:pPr>
          </w:p>
          <w:p w14:paraId="333167F1" w14:textId="77777777" w:rsidR="00E16BE7" w:rsidRDefault="00E16BE7">
            <w:pPr>
              <w:jc w:val="center"/>
              <w:rPr>
                <w:rFonts w:cs="Times New Roman"/>
              </w:rPr>
            </w:pPr>
          </w:p>
          <w:p w14:paraId="0556C5B7" w14:textId="77777777" w:rsidR="00E16BE7" w:rsidRDefault="001E39E8">
            <w:pPr>
              <w:jc w:val="center"/>
              <w:rPr>
                <w:rFonts w:cs="Times New Roman"/>
              </w:rPr>
            </w:pPr>
            <w:r>
              <w:rPr>
                <w:rFonts w:cs="Times New Roman"/>
              </w:rPr>
              <w:t>0.137</w:t>
            </w:r>
          </w:p>
        </w:tc>
        <w:tc>
          <w:tcPr>
            <w:tcW w:w="1229" w:type="dxa"/>
            <w:vMerge w:val="restart"/>
            <w:vAlign w:val="center"/>
          </w:tcPr>
          <w:p w14:paraId="15ED4942" w14:textId="77777777" w:rsidR="00E16BE7" w:rsidRDefault="00E16BE7">
            <w:pPr>
              <w:jc w:val="center"/>
              <w:rPr>
                <w:rFonts w:cs="Times New Roman"/>
              </w:rPr>
            </w:pPr>
          </w:p>
          <w:p w14:paraId="5E44CD93" w14:textId="77777777" w:rsidR="00E16BE7" w:rsidRDefault="00E16BE7">
            <w:pPr>
              <w:rPr>
                <w:rFonts w:cs="Times New Roman"/>
              </w:rPr>
            </w:pPr>
          </w:p>
          <w:p w14:paraId="4F561B7C" w14:textId="77777777" w:rsidR="00E16BE7" w:rsidRDefault="001E39E8">
            <w:pPr>
              <w:jc w:val="center"/>
              <w:rPr>
                <w:rFonts w:cs="Times New Roman"/>
              </w:rPr>
            </w:pPr>
            <w:r>
              <w:rPr>
                <w:rFonts w:cs="Times New Roman"/>
              </w:rPr>
              <w:t>0.711</w:t>
            </w:r>
          </w:p>
        </w:tc>
      </w:tr>
      <w:tr w:rsidR="00E16BE7" w14:paraId="3472DB4A" w14:textId="77777777">
        <w:tc>
          <w:tcPr>
            <w:tcW w:w="2187" w:type="dxa"/>
            <w:vAlign w:val="center"/>
          </w:tcPr>
          <w:p w14:paraId="465E7941" w14:textId="77777777" w:rsidR="00E16BE7" w:rsidRDefault="001E39E8">
            <w:pPr>
              <w:rPr>
                <w:rFonts w:cs="Times New Roman"/>
              </w:rPr>
            </w:pPr>
            <w:r>
              <w:rPr>
                <w:rFonts w:cs="Times New Roman"/>
              </w:rPr>
              <w:t>Unmarried</w:t>
            </w:r>
          </w:p>
        </w:tc>
        <w:tc>
          <w:tcPr>
            <w:tcW w:w="995" w:type="dxa"/>
            <w:vAlign w:val="center"/>
          </w:tcPr>
          <w:p w14:paraId="233F08CD" w14:textId="77777777" w:rsidR="00E16BE7" w:rsidRDefault="001E39E8">
            <w:pPr>
              <w:jc w:val="center"/>
              <w:rPr>
                <w:rFonts w:cs="Times New Roman"/>
              </w:rPr>
            </w:pPr>
            <w:r>
              <w:rPr>
                <w:rFonts w:cs="Times New Roman"/>
              </w:rPr>
              <w:t>14</w:t>
            </w:r>
          </w:p>
          <w:p w14:paraId="5C738E00" w14:textId="77777777" w:rsidR="00E16BE7" w:rsidRDefault="001E39E8">
            <w:pPr>
              <w:jc w:val="center"/>
              <w:rPr>
                <w:rFonts w:cs="Times New Roman"/>
              </w:rPr>
            </w:pPr>
            <w:r>
              <w:rPr>
                <w:rFonts w:cs="Times New Roman"/>
              </w:rPr>
              <w:t>34.1%</w:t>
            </w:r>
          </w:p>
        </w:tc>
        <w:tc>
          <w:tcPr>
            <w:tcW w:w="995" w:type="dxa"/>
            <w:vAlign w:val="center"/>
          </w:tcPr>
          <w:p w14:paraId="7FAD581D" w14:textId="77777777" w:rsidR="00E16BE7" w:rsidRDefault="001E39E8">
            <w:pPr>
              <w:jc w:val="center"/>
              <w:rPr>
                <w:rFonts w:cs="Times New Roman"/>
              </w:rPr>
            </w:pPr>
            <w:r>
              <w:rPr>
                <w:rFonts w:cs="Times New Roman"/>
              </w:rPr>
              <w:t>27</w:t>
            </w:r>
          </w:p>
          <w:p w14:paraId="2991F418" w14:textId="77777777" w:rsidR="00E16BE7" w:rsidRDefault="001E39E8">
            <w:pPr>
              <w:jc w:val="center"/>
              <w:rPr>
                <w:rFonts w:cs="Times New Roman"/>
              </w:rPr>
            </w:pPr>
            <w:r>
              <w:rPr>
                <w:rFonts w:cs="Times New Roman"/>
              </w:rPr>
              <w:t>65.9%</w:t>
            </w:r>
          </w:p>
        </w:tc>
        <w:tc>
          <w:tcPr>
            <w:tcW w:w="995" w:type="dxa"/>
            <w:vAlign w:val="center"/>
          </w:tcPr>
          <w:p w14:paraId="328522BC" w14:textId="77777777" w:rsidR="00E16BE7" w:rsidRDefault="001E39E8">
            <w:pPr>
              <w:jc w:val="center"/>
              <w:rPr>
                <w:rFonts w:cs="Times New Roman"/>
              </w:rPr>
            </w:pPr>
            <w:r>
              <w:rPr>
                <w:rFonts w:cs="Times New Roman"/>
              </w:rPr>
              <w:t>41</w:t>
            </w:r>
          </w:p>
          <w:p w14:paraId="2CFEE21D" w14:textId="77777777" w:rsidR="00E16BE7" w:rsidRDefault="001E39E8">
            <w:pPr>
              <w:jc w:val="center"/>
              <w:rPr>
                <w:rFonts w:cs="Times New Roman"/>
              </w:rPr>
            </w:pPr>
            <w:r>
              <w:rPr>
                <w:rFonts w:cs="Times New Roman"/>
              </w:rPr>
              <w:t>100.0%</w:t>
            </w:r>
          </w:p>
        </w:tc>
        <w:tc>
          <w:tcPr>
            <w:tcW w:w="597" w:type="dxa"/>
            <w:vMerge/>
            <w:vAlign w:val="center"/>
          </w:tcPr>
          <w:p w14:paraId="2997C127" w14:textId="77777777" w:rsidR="00E16BE7" w:rsidRDefault="00E16BE7">
            <w:pPr>
              <w:rPr>
                <w:rFonts w:cs="Times New Roman"/>
              </w:rPr>
            </w:pPr>
          </w:p>
        </w:tc>
        <w:tc>
          <w:tcPr>
            <w:tcW w:w="1330" w:type="dxa"/>
            <w:vMerge/>
            <w:vAlign w:val="center"/>
          </w:tcPr>
          <w:p w14:paraId="0C29AB7D" w14:textId="77777777" w:rsidR="00E16BE7" w:rsidRDefault="00E16BE7">
            <w:pPr>
              <w:rPr>
                <w:rFonts w:cs="Times New Roman"/>
              </w:rPr>
            </w:pPr>
          </w:p>
        </w:tc>
        <w:tc>
          <w:tcPr>
            <w:tcW w:w="1229" w:type="dxa"/>
            <w:vMerge/>
            <w:vAlign w:val="center"/>
          </w:tcPr>
          <w:p w14:paraId="648C77E8" w14:textId="77777777" w:rsidR="00E16BE7" w:rsidRDefault="00E16BE7">
            <w:pPr>
              <w:rPr>
                <w:rFonts w:cs="Times New Roman"/>
              </w:rPr>
            </w:pPr>
          </w:p>
        </w:tc>
      </w:tr>
      <w:tr w:rsidR="00E16BE7" w14:paraId="066E5A89" w14:textId="77777777">
        <w:trPr>
          <w:trHeight w:val="608"/>
        </w:trPr>
        <w:tc>
          <w:tcPr>
            <w:tcW w:w="8328" w:type="dxa"/>
            <w:gridSpan w:val="7"/>
            <w:vAlign w:val="center"/>
          </w:tcPr>
          <w:p w14:paraId="0E7FB515" w14:textId="77777777" w:rsidR="00E16BE7" w:rsidRDefault="001E39E8">
            <w:pPr>
              <w:jc w:val="center"/>
              <w:rPr>
                <w:rFonts w:cs="Times New Roman"/>
                <w:b/>
                <w:bCs/>
              </w:rPr>
            </w:pPr>
            <w:r>
              <w:rPr>
                <w:rFonts w:cs="Times New Roman"/>
                <w:b/>
                <w:bCs/>
              </w:rPr>
              <w:t>Nature of family</w:t>
            </w:r>
          </w:p>
        </w:tc>
      </w:tr>
      <w:tr w:rsidR="00E16BE7" w14:paraId="1D239736" w14:textId="77777777">
        <w:tc>
          <w:tcPr>
            <w:tcW w:w="2187" w:type="dxa"/>
            <w:vAlign w:val="center"/>
          </w:tcPr>
          <w:p w14:paraId="710B031F" w14:textId="77777777" w:rsidR="00E16BE7" w:rsidRDefault="001E39E8">
            <w:pPr>
              <w:rPr>
                <w:rFonts w:cs="Times New Roman"/>
              </w:rPr>
            </w:pPr>
            <w:r>
              <w:rPr>
                <w:rFonts w:cs="Times New Roman"/>
              </w:rPr>
              <w:t>Joint</w:t>
            </w:r>
          </w:p>
        </w:tc>
        <w:tc>
          <w:tcPr>
            <w:tcW w:w="995" w:type="dxa"/>
            <w:vAlign w:val="center"/>
          </w:tcPr>
          <w:p w14:paraId="7E833579" w14:textId="77777777" w:rsidR="00E16BE7" w:rsidRDefault="001E39E8">
            <w:pPr>
              <w:jc w:val="center"/>
              <w:rPr>
                <w:rFonts w:cs="Times New Roman"/>
              </w:rPr>
            </w:pPr>
            <w:r>
              <w:rPr>
                <w:rFonts w:cs="Times New Roman"/>
              </w:rPr>
              <w:t>3</w:t>
            </w:r>
          </w:p>
          <w:p w14:paraId="143E5EFB" w14:textId="77777777" w:rsidR="00E16BE7" w:rsidRDefault="001E39E8">
            <w:pPr>
              <w:jc w:val="center"/>
              <w:rPr>
                <w:rFonts w:cs="Times New Roman"/>
              </w:rPr>
            </w:pPr>
            <w:r>
              <w:rPr>
                <w:rFonts w:cs="Times New Roman"/>
              </w:rPr>
              <w:t>30.0%</w:t>
            </w:r>
          </w:p>
        </w:tc>
        <w:tc>
          <w:tcPr>
            <w:tcW w:w="995" w:type="dxa"/>
            <w:vAlign w:val="center"/>
          </w:tcPr>
          <w:p w14:paraId="5DD9E085" w14:textId="77777777" w:rsidR="00E16BE7" w:rsidRDefault="001E39E8">
            <w:pPr>
              <w:jc w:val="center"/>
              <w:rPr>
                <w:rFonts w:cs="Times New Roman"/>
              </w:rPr>
            </w:pPr>
            <w:r>
              <w:rPr>
                <w:rFonts w:cs="Times New Roman"/>
              </w:rPr>
              <w:t>7</w:t>
            </w:r>
          </w:p>
          <w:p w14:paraId="06524637" w14:textId="77777777" w:rsidR="00E16BE7" w:rsidRDefault="001E39E8">
            <w:pPr>
              <w:jc w:val="center"/>
              <w:rPr>
                <w:rFonts w:cs="Times New Roman"/>
              </w:rPr>
            </w:pPr>
            <w:r>
              <w:rPr>
                <w:rFonts w:cs="Times New Roman"/>
              </w:rPr>
              <w:t>70.0%</w:t>
            </w:r>
          </w:p>
        </w:tc>
        <w:tc>
          <w:tcPr>
            <w:tcW w:w="995" w:type="dxa"/>
            <w:vAlign w:val="center"/>
          </w:tcPr>
          <w:p w14:paraId="00A0C832" w14:textId="77777777" w:rsidR="00E16BE7" w:rsidRDefault="001E39E8">
            <w:pPr>
              <w:jc w:val="center"/>
              <w:rPr>
                <w:rFonts w:cs="Times New Roman"/>
              </w:rPr>
            </w:pPr>
            <w:r>
              <w:rPr>
                <w:rFonts w:cs="Times New Roman"/>
              </w:rPr>
              <w:t>10</w:t>
            </w:r>
          </w:p>
          <w:p w14:paraId="685C6C45" w14:textId="77777777" w:rsidR="00E16BE7" w:rsidRDefault="001E39E8">
            <w:pPr>
              <w:jc w:val="center"/>
              <w:rPr>
                <w:rFonts w:cs="Times New Roman"/>
              </w:rPr>
            </w:pPr>
            <w:r>
              <w:rPr>
                <w:rFonts w:cs="Times New Roman"/>
              </w:rPr>
              <w:t>100.0%</w:t>
            </w:r>
          </w:p>
        </w:tc>
        <w:tc>
          <w:tcPr>
            <w:tcW w:w="597" w:type="dxa"/>
            <w:vMerge w:val="restart"/>
            <w:vAlign w:val="center"/>
          </w:tcPr>
          <w:p w14:paraId="43388CF8" w14:textId="77777777" w:rsidR="00E16BE7" w:rsidRDefault="00E16BE7">
            <w:pPr>
              <w:rPr>
                <w:rFonts w:cs="Times New Roman"/>
              </w:rPr>
            </w:pPr>
          </w:p>
          <w:p w14:paraId="19DD1D6D" w14:textId="77777777" w:rsidR="00E16BE7" w:rsidRDefault="001E39E8">
            <w:pPr>
              <w:ind w:firstLineChars="50" w:firstLine="120"/>
              <w:rPr>
                <w:rFonts w:cs="Times New Roman"/>
              </w:rPr>
            </w:pPr>
            <w:r>
              <w:rPr>
                <w:rFonts w:cs="Times New Roman"/>
              </w:rPr>
              <w:t>1</w:t>
            </w:r>
          </w:p>
        </w:tc>
        <w:tc>
          <w:tcPr>
            <w:tcW w:w="1330" w:type="dxa"/>
            <w:vMerge w:val="restart"/>
            <w:vAlign w:val="center"/>
          </w:tcPr>
          <w:p w14:paraId="34607DFC" w14:textId="77777777" w:rsidR="00E16BE7" w:rsidRDefault="00E16BE7">
            <w:pPr>
              <w:rPr>
                <w:rFonts w:cs="Times New Roman"/>
              </w:rPr>
            </w:pPr>
          </w:p>
          <w:p w14:paraId="12BCBDD9" w14:textId="77777777" w:rsidR="00E16BE7" w:rsidRDefault="00E16BE7">
            <w:pPr>
              <w:jc w:val="center"/>
              <w:rPr>
                <w:rFonts w:cs="Times New Roman"/>
              </w:rPr>
            </w:pPr>
          </w:p>
          <w:p w14:paraId="7AA7F063" w14:textId="77777777" w:rsidR="00E16BE7" w:rsidRDefault="001E39E8">
            <w:pPr>
              <w:jc w:val="center"/>
              <w:rPr>
                <w:rFonts w:cs="Times New Roman"/>
              </w:rPr>
            </w:pPr>
            <w:r>
              <w:rPr>
                <w:rFonts w:cs="Times New Roman"/>
              </w:rPr>
              <w:t>7.325**</w:t>
            </w:r>
          </w:p>
        </w:tc>
        <w:tc>
          <w:tcPr>
            <w:tcW w:w="1229" w:type="dxa"/>
            <w:vMerge w:val="restart"/>
            <w:vAlign w:val="center"/>
          </w:tcPr>
          <w:p w14:paraId="477E1E22" w14:textId="77777777" w:rsidR="00E16BE7" w:rsidRDefault="00E16BE7">
            <w:pPr>
              <w:jc w:val="center"/>
              <w:rPr>
                <w:rFonts w:cs="Times New Roman"/>
              </w:rPr>
            </w:pPr>
          </w:p>
          <w:p w14:paraId="6923D6C5" w14:textId="77777777" w:rsidR="00E16BE7" w:rsidRDefault="00E16BE7">
            <w:pPr>
              <w:jc w:val="center"/>
              <w:rPr>
                <w:rFonts w:cs="Times New Roman"/>
              </w:rPr>
            </w:pPr>
          </w:p>
          <w:p w14:paraId="6D3740E6" w14:textId="77777777" w:rsidR="00E16BE7" w:rsidRDefault="001E39E8">
            <w:pPr>
              <w:jc w:val="center"/>
              <w:rPr>
                <w:rFonts w:cs="Times New Roman"/>
              </w:rPr>
            </w:pPr>
            <w:r>
              <w:rPr>
                <w:rFonts w:cs="Times New Roman"/>
              </w:rPr>
              <w:t>0.00427</w:t>
            </w:r>
          </w:p>
        </w:tc>
      </w:tr>
      <w:tr w:rsidR="00E16BE7" w14:paraId="1F2F4B35" w14:textId="77777777">
        <w:tc>
          <w:tcPr>
            <w:tcW w:w="2187" w:type="dxa"/>
            <w:vAlign w:val="center"/>
          </w:tcPr>
          <w:p w14:paraId="7E16A34E" w14:textId="77777777" w:rsidR="00E16BE7" w:rsidRDefault="001E39E8">
            <w:pPr>
              <w:rPr>
                <w:rFonts w:cs="Times New Roman"/>
              </w:rPr>
            </w:pPr>
            <w:r>
              <w:rPr>
                <w:rFonts w:cs="Times New Roman"/>
              </w:rPr>
              <w:t>Nuclear</w:t>
            </w:r>
          </w:p>
        </w:tc>
        <w:tc>
          <w:tcPr>
            <w:tcW w:w="995" w:type="dxa"/>
            <w:vAlign w:val="center"/>
          </w:tcPr>
          <w:p w14:paraId="7B1D2C29" w14:textId="77777777" w:rsidR="00E16BE7" w:rsidRDefault="001E39E8">
            <w:pPr>
              <w:jc w:val="center"/>
              <w:rPr>
                <w:rFonts w:cs="Times New Roman"/>
              </w:rPr>
            </w:pPr>
            <w:r>
              <w:rPr>
                <w:rFonts w:cs="Times New Roman"/>
              </w:rPr>
              <w:t>12</w:t>
            </w:r>
          </w:p>
          <w:p w14:paraId="12AAEB6F" w14:textId="77777777" w:rsidR="00E16BE7" w:rsidRDefault="001E39E8">
            <w:pPr>
              <w:jc w:val="center"/>
              <w:rPr>
                <w:rFonts w:cs="Times New Roman"/>
              </w:rPr>
            </w:pPr>
            <w:r>
              <w:rPr>
                <w:rFonts w:cs="Times New Roman"/>
              </w:rPr>
              <w:t>34.3%</w:t>
            </w:r>
          </w:p>
        </w:tc>
        <w:tc>
          <w:tcPr>
            <w:tcW w:w="995" w:type="dxa"/>
            <w:vAlign w:val="center"/>
          </w:tcPr>
          <w:p w14:paraId="07E8A128" w14:textId="77777777" w:rsidR="00E16BE7" w:rsidRDefault="001E39E8">
            <w:pPr>
              <w:jc w:val="center"/>
              <w:rPr>
                <w:rFonts w:cs="Times New Roman"/>
              </w:rPr>
            </w:pPr>
            <w:r>
              <w:rPr>
                <w:rFonts w:cs="Times New Roman"/>
              </w:rPr>
              <w:t>23</w:t>
            </w:r>
          </w:p>
          <w:p w14:paraId="2EBBD92F" w14:textId="77777777" w:rsidR="00E16BE7" w:rsidRDefault="001E39E8">
            <w:pPr>
              <w:jc w:val="center"/>
              <w:rPr>
                <w:rFonts w:cs="Times New Roman"/>
              </w:rPr>
            </w:pPr>
            <w:r>
              <w:rPr>
                <w:rFonts w:cs="Times New Roman"/>
              </w:rPr>
              <w:t>65.7%</w:t>
            </w:r>
          </w:p>
        </w:tc>
        <w:tc>
          <w:tcPr>
            <w:tcW w:w="995" w:type="dxa"/>
            <w:vAlign w:val="center"/>
          </w:tcPr>
          <w:p w14:paraId="0CDBB39B" w14:textId="77777777" w:rsidR="00E16BE7" w:rsidRDefault="001E39E8">
            <w:pPr>
              <w:jc w:val="center"/>
              <w:rPr>
                <w:rFonts w:cs="Times New Roman"/>
              </w:rPr>
            </w:pPr>
            <w:r>
              <w:rPr>
                <w:rFonts w:cs="Times New Roman"/>
              </w:rPr>
              <w:t>35</w:t>
            </w:r>
          </w:p>
          <w:p w14:paraId="24057CA2" w14:textId="77777777" w:rsidR="00E16BE7" w:rsidRDefault="001E39E8">
            <w:pPr>
              <w:jc w:val="center"/>
              <w:rPr>
                <w:rFonts w:cs="Times New Roman"/>
              </w:rPr>
            </w:pPr>
            <w:r>
              <w:rPr>
                <w:rFonts w:cs="Times New Roman"/>
              </w:rPr>
              <w:t>100.0%</w:t>
            </w:r>
          </w:p>
        </w:tc>
        <w:tc>
          <w:tcPr>
            <w:tcW w:w="597" w:type="dxa"/>
            <w:vMerge/>
            <w:vAlign w:val="center"/>
          </w:tcPr>
          <w:p w14:paraId="73C94933" w14:textId="77777777" w:rsidR="00E16BE7" w:rsidRDefault="00E16BE7">
            <w:pPr>
              <w:rPr>
                <w:rFonts w:cs="Times New Roman"/>
              </w:rPr>
            </w:pPr>
          </w:p>
        </w:tc>
        <w:tc>
          <w:tcPr>
            <w:tcW w:w="1330" w:type="dxa"/>
            <w:vMerge/>
            <w:vAlign w:val="center"/>
          </w:tcPr>
          <w:p w14:paraId="6939C58C" w14:textId="77777777" w:rsidR="00E16BE7" w:rsidRDefault="00E16BE7">
            <w:pPr>
              <w:rPr>
                <w:rFonts w:cs="Times New Roman"/>
              </w:rPr>
            </w:pPr>
          </w:p>
        </w:tc>
        <w:tc>
          <w:tcPr>
            <w:tcW w:w="1229" w:type="dxa"/>
            <w:vMerge/>
            <w:vAlign w:val="center"/>
          </w:tcPr>
          <w:p w14:paraId="7802293C" w14:textId="77777777" w:rsidR="00E16BE7" w:rsidRDefault="00E16BE7">
            <w:pPr>
              <w:rPr>
                <w:rFonts w:cs="Times New Roman"/>
              </w:rPr>
            </w:pPr>
          </w:p>
        </w:tc>
      </w:tr>
      <w:tr w:rsidR="00E16BE7" w14:paraId="52858472" w14:textId="77777777">
        <w:trPr>
          <w:trHeight w:val="520"/>
        </w:trPr>
        <w:tc>
          <w:tcPr>
            <w:tcW w:w="8328" w:type="dxa"/>
            <w:gridSpan w:val="7"/>
            <w:vAlign w:val="center"/>
          </w:tcPr>
          <w:p w14:paraId="2C7FD580" w14:textId="77777777" w:rsidR="00E16BE7" w:rsidRDefault="001E39E8">
            <w:pPr>
              <w:jc w:val="center"/>
              <w:rPr>
                <w:rFonts w:cs="Times New Roman"/>
                <w:b/>
                <w:bCs/>
              </w:rPr>
            </w:pPr>
            <w:r>
              <w:rPr>
                <w:rFonts w:cs="Times New Roman"/>
                <w:b/>
                <w:bCs/>
              </w:rPr>
              <w:t>No. of members</w:t>
            </w:r>
          </w:p>
        </w:tc>
      </w:tr>
      <w:tr w:rsidR="00E16BE7" w14:paraId="36175281" w14:textId="77777777">
        <w:trPr>
          <w:trHeight w:val="673"/>
        </w:trPr>
        <w:tc>
          <w:tcPr>
            <w:tcW w:w="2187" w:type="dxa"/>
            <w:vAlign w:val="center"/>
          </w:tcPr>
          <w:p w14:paraId="603C786E" w14:textId="77777777" w:rsidR="00E16BE7" w:rsidRDefault="00E16BE7">
            <w:pPr>
              <w:jc w:val="center"/>
              <w:rPr>
                <w:rFonts w:cs="Times New Roman"/>
              </w:rPr>
            </w:pPr>
          </w:p>
          <w:p w14:paraId="654BFD37" w14:textId="77777777" w:rsidR="00E16BE7" w:rsidRDefault="001E39E8">
            <w:pPr>
              <w:jc w:val="center"/>
              <w:rPr>
                <w:rFonts w:cs="Times New Roman"/>
              </w:rPr>
            </w:pPr>
            <w:r>
              <w:rPr>
                <w:rFonts w:cs="Times New Roman"/>
              </w:rPr>
              <w:t>Two</w:t>
            </w:r>
          </w:p>
        </w:tc>
        <w:tc>
          <w:tcPr>
            <w:tcW w:w="995" w:type="dxa"/>
            <w:vAlign w:val="center"/>
          </w:tcPr>
          <w:p w14:paraId="41801032" w14:textId="77777777" w:rsidR="00E16BE7" w:rsidRDefault="001E39E8">
            <w:pPr>
              <w:jc w:val="center"/>
              <w:rPr>
                <w:rFonts w:cs="Times New Roman"/>
              </w:rPr>
            </w:pPr>
            <w:r>
              <w:rPr>
                <w:rFonts w:cs="Times New Roman"/>
              </w:rPr>
              <w:t>0</w:t>
            </w:r>
          </w:p>
          <w:p w14:paraId="05C33C59" w14:textId="77777777" w:rsidR="00E16BE7" w:rsidRDefault="001E39E8">
            <w:pPr>
              <w:jc w:val="center"/>
              <w:rPr>
                <w:rFonts w:cs="Times New Roman"/>
              </w:rPr>
            </w:pPr>
            <w:r>
              <w:rPr>
                <w:rFonts w:cs="Times New Roman"/>
              </w:rPr>
              <w:t>0.0%</w:t>
            </w:r>
          </w:p>
        </w:tc>
        <w:tc>
          <w:tcPr>
            <w:tcW w:w="995" w:type="dxa"/>
            <w:vAlign w:val="center"/>
          </w:tcPr>
          <w:p w14:paraId="7005BDCB" w14:textId="77777777" w:rsidR="00E16BE7" w:rsidRDefault="001E39E8">
            <w:pPr>
              <w:jc w:val="center"/>
              <w:rPr>
                <w:rFonts w:cs="Times New Roman"/>
              </w:rPr>
            </w:pPr>
            <w:r>
              <w:rPr>
                <w:rFonts w:cs="Times New Roman"/>
              </w:rPr>
              <w:t>3</w:t>
            </w:r>
          </w:p>
          <w:p w14:paraId="41003BDA" w14:textId="77777777" w:rsidR="00E16BE7" w:rsidRDefault="001E39E8">
            <w:pPr>
              <w:jc w:val="center"/>
              <w:rPr>
                <w:rFonts w:cs="Times New Roman"/>
              </w:rPr>
            </w:pPr>
            <w:r>
              <w:rPr>
                <w:rFonts w:cs="Times New Roman"/>
              </w:rPr>
              <w:t>100.0%</w:t>
            </w:r>
          </w:p>
        </w:tc>
        <w:tc>
          <w:tcPr>
            <w:tcW w:w="995" w:type="dxa"/>
            <w:vAlign w:val="center"/>
          </w:tcPr>
          <w:p w14:paraId="1E2565A2" w14:textId="77777777" w:rsidR="00E16BE7" w:rsidRDefault="001E39E8">
            <w:pPr>
              <w:jc w:val="center"/>
              <w:rPr>
                <w:rFonts w:cs="Times New Roman"/>
              </w:rPr>
            </w:pPr>
            <w:r>
              <w:rPr>
                <w:rFonts w:cs="Times New Roman"/>
              </w:rPr>
              <w:t>3</w:t>
            </w:r>
          </w:p>
          <w:p w14:paraId="74D7DBB1" w14:textId="77777777" w:rsidR="00E16BE7" w:rsidRDefault="001E39E8">
            <w:pPr>
              <w:jc w:val="center"/>
              <w:rPr>
                <w:rFonts w:cs="Times New Roman"/>
              </w:rPr>
            </w:pPr>
            <w:r>
              <w:rPr>
                <w:rFonts w:cs="Times New Roman"/>
              </w:rPr>
              <w:t>100.0%</w:t>
            </w:r>
          </w:p>
        </w:tc>
        <w:tc>
          <w:tcPr>
            <w:tcW w:w="597" w:type="dxa"/>
            <w:vMerge w:val="restart"/>
            <w:vAlign w:val="center"/>
          </w:tcPr>
          <w:p w14:paraId="639EAEC1" w14:textId="77777777" w:rsidR="00E16BE7" w:rsidRDefault="00E16BE7">
            <w:pPr>
              <w:jc w:val="center"/>
              <w:rPr>
                <w:rFonts w:cs="Times New Roman"/>
              </w:rPr>
            </w:pPr>
          </w:p>
          <w:p w14:paraId="5E04B16F" w14:textId="77777777" w:rsidR="00E16BE7" w:rsidRDefault="00E16BE7">
            <w:pPr>
              <w:jc w:val="center"/>
              <w:rPr>
                <w:rFonts w:cs="Times New Roman"/>
              </w:rPr>
            </w:pPr>
          </w:p>
          <w:p w14:paraId="6F9BE535" w14:textId="77777777" w:rsidR="00E16BE7" w:rsidRDefault="001E39E8">
            <w:pPr>
              <w:jc w:val="center"/>
              <w:rPr>
                <w:rFonts w:cs="Times New Roman"/>
              </w:rPr>
            </w:pPr>
            <w:r>
              <w:rPr>
                <w:rFonts w:cs="Times New Roman"/>
              </w:rPr>
              <w:t>2</w:t>
            </w:r>
          </w:p>
        </w:tc>
        <w:tc>
          <w:tcPr>
            <w:tcW w:w="1330" w:type="dxa"/>
            <w:vMerge w:val="restart"/>
            <w:vAlign w:val="center"/>
          </w:tcPr>
          <w:p w14:paraId="44907566" w14:textId="77777777" w:rsidR="00E16BE7" w:rsidRDefault="00E16BE7">
            <w:pPr>
              <w:jc w:val="center"/>
              <w:rPr>
                <w:rFonts w:cs="Times New Roman"/>
              </w:rPr>
            </w:pPr>
          </w:p>
          <w:p w14:paraId="5021D6D7" w14:textId="77777777" w:rsidR="00E16BE7" w:rsidRDefault="00E16BE7">
            <w:pPr>
              <w:jc w:val="center"/>
              <w:rPr>
                <w:rFonts w:cs="Times New Roman"/>
              </w:rPr>
            </w:pPr>
          </w:p>
          <w:p w14:paraId="1C548EA4" w14:textId="77777777" w:rsidR="00E16BE7" w:rsidRDefault="001E39E8">
            <w:pPr>
              <w:jc w:val="center"/>
              <w:rPr>
                <w:rFonts w:cs="Times New Roman"/>
              </w:rPr>
            </w:pPr>
            <w:r>
              <w:rPr>
                <w:rFonts w:cs="Times New Roman"/>
              </w:rPr>
              <w:t>1.800</w:t>
            </w:r>
          </w:p>
          <w:p w14:paraId="1A0356E4" w14:textId="77777777" w:rsidR="00E16BE7" w:rsidRDefault="00E16BE7">
            <w:pPr>
              <w:jc w:val="center"/>
              <w:rPr>
                <w:rFonts w:cs="Times New Roman"/>
              </w:rPr>
            </w:pPr>
          </w:p>
          <w:p w14:paraId="5121FA92" w14:textId="77777777" w:rsidR="00E16BE7" w:rsidRDefault="00E16BE7">
            <w:pPr>
              <w:jc w:val="center"/>
              <w:rPr>
                <w:rFonts w:cs="Times New Roman"/>
              </w:rPr>
            </w:pPr>
          </w:p>
        </w:tc>
        <w:tc>
          <w:tcPr>
            <w:tcW w:w="1229" w:type="dxa"/>
            <w:vMerge w:val="restart"/>
            <w:vAlign w:val="center"/>
          </w:tcPr>
          <w:p w14:paraId="1145D05D" w14:textId="77777777" w:rsidR="00E16BE7" w:rsidRDefault="00E16BE7">
            <w:pPr>
              <w:rPr>
                <w:rFonts w:cs="Times New Roman"/>
              </w:rPr>
            </w:pPr>
          </w:p>
          <w:p w14:paraId="03B35F92" w14:textId="77777777" w:rsidR="00E16BE7" w:rsidRDefault="00E16BE7">
            <w:pPr>
              <w:rPr>
                <w:rFonts w:cs="Times New Roman"/>
              </w:rPr>
            </w:pPr>
          </w:p>
          <w:p w14:paraId="452D1DF5" w14:textId="77777777" w:rsidR="00E16BE7" w:rsidRDefault="001E39E8">
            <w:pPr>
              <w:ind w:firstLineChars="100" w:firstLine="240"/>
              <w:rPr>
                <w:rFonts w:cs="Times New Roman"/>
              </w:rPr>
            </w:pPr>
            <w:r>
              <w:rPr>
                <w:rFonts w:cs="Times New Roman"/>
              </w:rPr>
              <w:t>8.239</w:t>
            </w:r>
          </w:p>
        </w:tc>
      </w:tr>
      <w:tr w:rsidR="00E16BE7" w14:paraId="2988D053" w14:textId="77777777">
        <w:tc>
          <w:tcPr>
            <w:tcW w:w="2187" w:type="dxa"/>
            <w:vAlign w:val="center"/>
          </w:tcPr>
          <w:p w14:paraId="5E6CF88E" w14:textId="77777777" w:rsidR="00E16BE7" w:rsidRDefault="00E16BE7">
            <w:pPr>
              <w:jc w:val="center"/>
              <w:rPr>
                <w:rFonts w:cs="Times New Roman"/>
              </w:rPr>
            </w:pPr>
          </w:p>
          <w:p w14:paraId="1570865F" w14:textId="77777777" w:rsidR="00E16BE7" w:rsidRDefault="001E39E8">
            <w:pPr>
              <w:jc w:val="center"/>
              <w:rPr>
                <w:rFonts w:cs="Times New Roman"/>
              </w:rPr>
            </w:pPr>
            <w:r>
              <w:rPr>
                <w:rFonts w:cs="Times New Roman"/>
              </w:rPr>
              <w:t>Three</w:t>
            </w:r>
          </w:p>
        </w:tc>
        <w:tc>
          <w:tcPr>
            <w:tcW w:w="995" w:type="dxa"/>
            <w:vAlign w:val="center"/>
          </w:tcPr>
          <w:p w14:paraId="1DD62D92" w14:textId="77777777" w:rsidR="00E16BE7" w:rsidRDefault="001E39E8">
            <w:pPr>
              <w:jc w:val="center"/>
              <w:rPr>
                <w:rFonts w:cs="Times New Roman"/>
              </w:rPr>
            </w:pPr>
            <w:r>
              <w:rPr>
                <w:rFonts w:cs="Times New Roman"/>
              </w:rPr>
              <w:t>2</w:t>
            </w:r>
          </w:p>
          <w:p w14:paraId="5D5BC880" w14:textId="77777777" w:rsidR="00E16BE7" w:rsidRDefault="001E39E8">
            <w:pPr>
              <w:jc w:val="center"/>
              <w:rPr>
                <w:rFonts w:cs="Times New Roman"/>
              </w:rPr>
            </w:pPr>
            <w:r>
              <w:rPr>
                <w:rFonts w:cs="Times New Roman"/>
              </w:rPr>
              <w:t>28.6%</w:t>
            </w:r>
          </w:p>
        </w:tc>
        <w:tc>
          <w:tcPr>
            <w:tcW w:w="995" w:type="dxa"/>
            <w:vAlign w:val="center"/>
          </w:tcPr>
          <w:p w14:paraId="3E7ED32B" w14:textId="77777777" w:rsidR="00E16BE7" w:rsidRDefault="001E39E8">
            <w:pPr>
              <w:jc w:val="center"/>
              <w:rPr>
                <w:rFonts w:cs="Times New Roman"/>
              </w:rPr>
            </w:pPr>
            <w:r>
              <w:rPr>
                <w:rFonts w:cs="Times New Roman"/>
              </w:rPr>
              <w:t>5</w:t>
            </w:r>
          </w:p>
          <w:p w14:paraId="3A205658" w14:textId="77777777" w:rsidR="00E16BE7" w:rsidRDefault="001E39E8">
            <w:pPr>
              <w:jc w:val="center"/>
              <w:rPr>
                <w:rFonts w:cs="Times New Roman"/>
              </w:rPr>
            </w:pPr>
            <w:r>
              <w:rPr>
                <w:rFonts w:cs="Times New Roman"/>
              </w:rPr>
              <w:t>71.4%</w:t>
            </w:r>
          </w:p>
        </w:tc>
        <w:tc>
          <w:tcPr>
            <w:tcW w:w="995" w:type="dxa"/>
            <w:vAlign w:val="center"/>
          </w:tcPr>
          <w:p w14:paraId="3AB27928" w14:textId="77777777" w:rsidR="00E16BE7" w:rsidRDefault="001E39E8">
            <w:pPr>
              <w:jc w:val="center"/>
              <w:rPr>
                <w:rFonts w:cs="Times New Roman"/>
              </w:rPr>
            </w:pPr>
            <w:r>
              <w:rPr>
                <w:rFonts w:cs="Times New Roman"/>
              </w:rPr>
              <w:t>7</w:t>
            </w:r>
          </w:p>
          <w:p w14:paraId="02E59F10" w14:textId="77777777" w:rsidR="00E16BE7" w:rsidRDefault="001E39E8">
            <w:pPr>
              <w:jc w:val="center"/>
              <w:rPr>
                <w:rFonts w:cs="Times New Roman"/>
              </w:rPr>
            </w:pPr>
            <w:r>
              <w:rPr>
                <w:rFonts w:cs="Times New Roman"/>
              </w:rPr>
              <w:t>100.0%</w:t>
            </w:r>
          </w:p>
        </w:tc>
        <w:tc>
          <w:tcPr>
            <w:tcW w:w="597" w:type="dxa"/>
            <w:vMerge/>
            <w:vAlign w:val="center"/>
          </w:tcPr>
          <w:p w14:paraId="6C7A2069" w14:textId="77777777" w:rsidR="00E16BE7" w:rsidRDefault="00E16BE7">
            <w:pPr>
              <w:rPr>
                <w:rFonts w:cs="Times New Roman"/>
              </w:rPr>
            </w:pPr>
          </w:p>
        </w:tc>
        <w:tc>
          <w:tcPr>
            <w:tcW w:w="1330" w:type="dxa"/>
            <w:vMerge/>
            <w:vAlign w:val="center"/>
          </w:tcPr>
          <w:p w14:paraId="7F29B0C9" w14:textId="77777777" w:rsidR="00E16BE7" w:rsidRDefault="00E16BE7">
            <w:pPr>
              <w:rPr>
                <w:rFonts w:cs="Times New Roman"/>
              </w:rPr>
            </w:pPr>
          </w:p>
        </w:tc>
        <w:tc>
          <w:tcPr>
            <w:tcW w:w="1229" w:type="dxa"/>
            <w:vMerge/>
            <w:vAlign w:val="center"/>
          </w:tcPr>
          <w:p w14:paraId="46B38EF0" w14:textId="77777777" w:rsidR="00E16BE7" w:rsidRDefault="00E16BE7">
            <w:pPr>
              <w:rPr>
                <w:rFonts w:cs="Times New Roman"/>
              </w:rPr>
            </w:pPr>
          </w:p>
        </w:tc>
      </w:tr>
      <w:tr w:rsidR="00E16BE7" w14:paraId="5EA6B764" w14:textId="77777777">
        <w:trPr>
          <w:trHeight w:val="793"/>
        </w:trPr>
        <w:tc>
          <w:tcPr>
            <w:tcW w:w="2187" w:type="dxa"/>
            <w:vAlign w:val="center"/>
          </w:tcPr>
          <w:p w14:paraId="7FCCB35A" w14:textId="77777777" w:rsidR="00E16BE7" w:rsidRDefault="00E16BE7">
            <w:pPr>
              <w:jc w:val="center"/>
              <w:rPr>
                <w:rFonts w:cs="Times New Roman"/>
              </w:rPr>
            </w:pPr>
          </w:p>
          <w:p w14:paraId="12982549" w14:textId="77777777" w:rsidR="00E16BE7" w:rsidRDefault="001E39E8">
            <w:pPr>
              <w:jc w:val="center"/>
              <w:rPr>
                <w:rFonts w:cs="Times New Roman"/>
              </w:rPr>
            </w:pPr>
            <w:r>
              <w:rPr>
                <w:rFonts w:cs="Times New Roman"/>
              </w:rPr>
              <w:t>Above Three</w:t>
            </w:r>
          </w:p>
        </w:tc>
        <w:tc>
          <w:tcPr>
            <w:tcW w:w="995" w:type="dxa"/>
            <w:vAlign w:val="center"/>
          </w:tcPr>
          <w:p w14:paraId="45411E96" w14:textId="77777777" w:rsidR="00E16BE7" w:rsidRDefault="001E39E8">
            <w:pPr>
              <w:jc w:val="center"/>
              <w:rPr>
                <w:rFonts w:cs="Times New Roman"/>
              </w:rPr>
            </w:pPr>
            <w:r>
              <w:rPr>
                <w:rFonts w:cs="Times New Roman"/>
              </w:rPr>
              <w:t>13</w:t>
            </w:r>
          </w:p>
          <w:p w14:paraId="0A998434" w14:textId="77777777" w:rsidR="00E16BE7" w:rsidRDefault="001E39E8">
            <w:pPr>
              <w:jc w:val="center"/>
              <w:rPr>
                <w:rFonts w:cs="Times New Roman"/>
              </w:rPr>
            </w:pPr>
            <w:r>
              <w:rPr>
                <w:rFonts w:cs="Times New Roman"/>
              </w:rPr>
              <w:t>37.1%</w:t>
            </w:r>
          </w:p>
        </w:tc>
        <w:tc>
          <w:tcPr>
            <w:tcW w:w="995" w:type="dxa"/>
            <w:vAlign w:val="center"/>
          </w:tcPr>
          <w:p w14:paraId="3C7BB6AB" w14:textId="77777777" w:rsidR="00E16BE7" w:rsidRDefault="001E39E8">
            <w:pPr>
              <w:jc w:val="center"/>
              <w:rPr>
                <w:rFonts w:cs="Times New Roman"/>
              </w:rPr>
            </w:pPr>
            <w:r>
              <w:rPr>
                <w:rFonts w:cs="Times New Roman"/>
              </w:rPr>
              <w:t>22</w:t>
            </w:r>
          </w:p>
          <w:p w14:paraId="5BE8F704" w14:textId="77777777" w:rsidR="00E16BE7" w:rsidRDefault="001E39E8">
            <w:pPr>
              <w:jc w:val="center"/>
              <w:rPr>
                <w:rFonts w:cs="Times New Roman"/>
              </w:rPr>
            </w:pPr>
            <w:r>
              <w:rPr>
                <w:rFonts w:cs="Times New Roman"/>
              </w:rPr>
              <w:t>62.9%</w:t>
            </w:r>
          </w:p>
        </w:tc>
        <w:tc>
          <w:tcPr>
            <w:tcW w:w="995" w:type="dxa"/>
            <w:vAlign w:val="center"/>
          </w:tcPr>
          <w:p w14:paraId="662B1778" w14:textId="77777777" w:rsidR="00E16BE7" w:rsidRDefault="001E39E8">
            <w:pPr>
              <w:jc w:val="center"/>
              <w:rPr>
                <w:rFonts w:cs="Times New Roman"/>
              </w:rPr>
            </w:pPr>
            <w:r>
              <w:rPr>
                <w:rFonts w:cs="Times New Roman"/>
              </w:rPr>
              <w:t>35</w:t>
            </w:r>
          </w:p>
          <w:p w14:paraId="52BB3F8F" w14:textId="77777777" w:rsidR="00E16BE7" w:rsidRDefault="001E39E8">
            <w:pPr>
              <w:jc w:val="center"/>
              <w:rPr>
                <w:rFonts w:cs="Times New Roman"/>
              </w:rPr>
            </w:pPr>
            <w:r>
              <w:rPr>
                <w:rFonts w:cs="Times New Roman"/>
              </w:rPr>
              <w:t>100.0%</w:t>
            </w:r>
          </w:p>
        </w:tc>
        <w:tc>
          <w:tcPr>
            <w:tcW w:w="597" w:type="dxa"/>
            <w:vMerge/>
            <w:vAlign w:val="center"/>
          </w:tcPr>
          <w:p w14:paraId="28DDB7C8" w14:textId="77777777" w:rsidR="00E16BE7" w:rsidRDefault="00E16BE7">
            <w:pPr>
              <w:rPr>
                <w:rFonts w:cs="Times New Roman"/>
              </w:rPr>
            </w:pPr>
          </w:p>
        </w:tc>
        <w:tc>
          <w:tcPr>
            <w:tcW w:w="1330" w:type="dxa"/>
            <w:vMerge/>
            <w:vAlign w:val="center"/>
          </w:tcPr>
          <w:p w14:paraId="4DDEB094" w14:textId="77777777" w:rsidR="00E16BE7" w:rsidRDefault="00E16BE7">
            <w:pPr>
              <w:rPr>
                <w:rFonts w:cs="Times New Roman"/>
              </w:rPr>
            </w:pPr>
          </w:p>
        </w:tc>
        <w:tc>
          <w:tcPr>
            <w:tcW w:w="1229" w:type="dxa"/>
            <w:vMerge/>
            <w:vAlign w:val="center"/>
          </w:tcPr>
          <w:p w14:paraId="75C2DCD3" w14:textId="77777777" w:rsidR="00E16BE7" w:rsidRDefault="00E16BE7">
            <w:pPr>
              <w:rPr>
                <w:rFonts w:cs="Times New Roman"/>
              </w:rPr>
            </w:pPr>
          </w:p>
        </w:tc>
      </w:tr>
      <w:tr w:rsidR="00E16BE7" w14:paraId="1627B3F1" w14:textId="77777777">
        <w:trPr>
          <w:trHeight w:val="128"/>
        </w:trPr>
        <w:tc>
          <w:tcPr>
            <w:tcW w:w="8328" w:type="dxa"/>
            <w:gridSpan w:val="7"/>
            <w:vAlign w:val="center"/>
          </w:tcPr>
          <w:p w14:paraId="2744D2D8" w14:textId="77777777" w:rsidR="00E16BE7" w:rsidRDefault="00E16BE7">
            <w:pPr>
              <w:rPr>
                <w:rFonts w:cs="Times New Roman"/>
                <w:b/>
                <w:bCs/>
              </w:rPr>
            </w:pPr>
          </w:p>
          <w:p w14:paraId="42B8967F" w14:textId="77777777" w:rsidR="00E16BE7" w:rsidRDefault="001E39E8">
            <w:pPr>
              <w:jc w:val="center"/>
              <w:rPr>
                <w:rFonts w:cs="Times New Roman"/>
                <w:b/>
                <w:bCs/>
              </w:rPr>
            </w:pPr>
            <w:r>
              <w:rPr>
                <w:rFonts w:cs="Times New Roman"/>
                <w:b/>
                <w:bCs/>
              </w:rPr>
              <w:t>No of earning members</w:t>
            </w:r>
          </w:p>
        </w:tc>
      </w:tr>
      <w:tr w:rsidR="00E16BE7" w14:paraId="33F7851F" w14:textId="77777777">
        <w:tc>
          <w:tcPr>
            <w:tcW w:w="2187" w:type="dxa"/>
            <w:vAlign w:val="center"/>
          </w:tcPr>
          <w:p w14:paraId="3A3FF115" w14:textId="77777777" w:rsidR="00E16BE7" w:rsidRDefault="001E39E8">
            <w:pPr>
              <w:jc w:val="center"/>
              <w:rPr>
                <w:rFonts w:cs="Times New Roman"/>
              </w:rPr>
            </w:pPr>
            <w:r>
              <w:rPr>
                <w:rFonts w:cs="Times New Roman"/>
              </w:rPr>
              <w:t>One</w:t>
            </w:r>
          </w:p>
        </w:tc>
        <w:tc>
          <w:tcPr>
            <w:tcW w:w="995" w:type="dxa"/>
            <w:vAlign w:val="center"/>
          </w:tcPr>
          <w:p w14:paraId="6EB24CF8" w14:textId="77777777" w:rsidR="00E16BE7" w:rsidRDefault="001E39E8">
            <w:pPr>
              <w:jc w:val="center"/>
              <w:rPr>
                <w:rFonts w:cs="Times New Roman"/>
              </w:rPr>
            </w:pPr>
            <w:r>
              <w:rPr>
                <w:rFonts w:cs="Times New Roman"/>
              </w:rPr>
              <w:t>5</w:t>
            </w:r>
          </w:p>
          <w:p w14:paraId="3787A069" w14:textId="77777777" w:rsidR="00E16BE7" w:rsidRDefault="001E39E8">
            <w:pPr>
              <w:jc w:val="center"/>
              <w:rPr>
                <w:rFonts w:cs="Times New Roman"/>
              </w:rPr>
            </w:pPr>
            <w:r>
              <w:rPr>
                <w:rFonts w:cs="Times New Roman"/>
              </w:rPr>
              <w:t>25.0%</w:t>
            </w:r>
          </w:p>
        </w:tc>
        <w:tc>
          <w:tcPr>
            <w:tcW w:w="995" w:type="dxa"/>
            <w:vAlign w:val="center"/>
          </w:tcPr>
          <w:p w14:paraId="1ED9E551" w14:textId="77777777" w:rsidR="00E16BE7" w:rsidRDefault="001E39E8">
            <w:pPr>
              <w:jc w:val="center"/>
              <w:rPr>
                <w:rFonts w:cs="Times New Roman"/>
              </w:rPr>
            </w:pPr>
            <w:r>
              <w:rPr>
                <w:rFonts w:cs="Times New Roman"/>
              </w:rPr>
              <w:t>15</w:t>
            </w:r>
          </w:p>
          <w:p w14:paraId="4D532693" w14:textId="77777777" w:rsidR="00E16BE7" w:rsidRDefault="001E39E8">
            <w:pPr>
              <w:jc w:val="center"/>
              <w:rPr>
                <w:rFonts w:cs="Times New Roman"/>
              </w:rPr>
            </w:pPr>
            <w:r>
              <w:rPr>
                <w:rFonts w:cs="Times New Roman"/>
              </w:rPr>
              <w:t>75.0%</w:t>
            </w:r>
          </w:p>
        </w:tc>
        <w:tc>
          <w:tcPr>
            <w:tcW w:w="995" w:type="dxa"/>
            <w:vAlign w:val="center"/>
          </w:tcPr>
          <w:p w14:paraId="21C2E3C0" w14:textId="77777777" w:rsidR="00E16BE7" w:rsidRDefault="001E39E8">
            <w:pPr>
              <w:jc w:val="center"/>
              <w:rPr>
                <w:rFonts w:cs="Times New Roman"/>
              </w:rPr>
            </w:pPr>
            <w:r>
              <w:rPr>
                <w:rFonts w:cs="Times New Roman"/>
              </w:rPr>
              <w:t>20</w:t>
            </w:r>
          </w:p>
          <w:p w14:paraId="3C005B00" w14:textId="77777777" w:rsidR="00E16BE7" w:rsidRDefault="001E39E8">
            <w:pPr>
              <w:jc w:val="center"/>
              <w:rPr>
                <w:rFonts w:cs="Times New Roman"/>
              </w:rPr>
            </w:pPr>
            <w:r>
              <w:rPr>
                <w:rFonts w:cs="Times New Roman"/>
              </w:rPr>
              <w:t>100.0%</w:t>
            </w:r>
          </w:p>
        </w:tc>
        <w:tc>
          <w:tcPr>
            <w:tcW w:w="597" w:type="dxa"/>
            <w:vMerge w:val="restart"/>
            <w:vAlign w:val="center"/>
          </w:tcPr>
          <w:p w14:paraId="3B54A02B" w14:textId="77777777" w:rsidR="00E16BE7" w:rsidRDefault="00E16BE7">
            <w:pPr>
              <w:rPr>
                <w:rFonts w:cs="Times New Roman"/>
              </w:rPr>
            </w:pPr>
          </w:p>
          <w:p w14:paraId="3301B203" w14:textId="77777777" w:rsidR="00E16BE7" w:rsidRDefault="00E16BE7">
            <w:pPr>
              <w:rPr>
                <w:rFonts w:cs="Times New Roman"/>
              </w:rPr>
            </w:pPr>
          </w:p>
          <w:p w14:paraId="70F72C60" w14:textId="77777777" w:rsidR="00E16BE7" w:rsidRDefault="001E39E8">
            <w:pPr>
              <w:rPr>
                <w:rFonts w:cs="Times New Roman"/>
              </w:rPr>
            </w:pPr>
            <w:r>
              <w:rPr>
                <w:rFonts w:cs="Times New Roman"/>
              </w:rPr>
              <w:lastRenderedPageBreak/>
              <w:t>2</w:t>
            </w:r>
          </w:p>
        </w:tc>
        <w:tc>
          <w:tcPr>
            <w:tcW w:w="1330" w:type="dxa"/>
            <w:vMerge w:val="restart"/>
            <w:vAlign w:val="center"/>
          </w:tcPr>
          <w:p w14:paraId="267397B0" w14:textId="77777777" w:rsidR="00E16BE7" w:rsidRDefault="00E16BE7">
            <w:pPr>
              <w:jc w:val="center"/>
              <w:rPr>
                <w:rFonts w:cs="Times New Roman"/>
              </w:rPr>
            </w:pPr>
          </w:p>
          <w:p w14:paraId="0D0B0D40" w14:textId="77777777" w:rsidR="00E16BE7" w:rsidRDefault="00E16BE7">
            <w:pPr>
              <w:jc w:val="center"/>
              <w:rPr>
                <w:rFonts w:cs="Times New Roman"/>
              </w:rPr>
            </w:pPr>
          </w:p>
          <w:p w14:paraId="0F6AB327" w14:textId="77777777" w:rsidR="00E16BE7" w:rsidRDefault="001E39E8">
            <w:pPr>
              <w:jc w:val="center"/>
              <w:rPr>
                <w:rFonts w:cs="Times New Roman"/>
              </w:rPr>
            </w:pPr>
            <w:r>
              <w:rPr>
                <w:rFonts w:cs="Times New Roman"/>
              </w:rPr>
              <w:lastRenderedPageBreak/>
              <w:t>2.216</w:t>
            </w:r>
          </w:p>
          <w:p w14:paraId="0552828B" w14:textId="77777777" w:rsidR="00E16BE7" w:rsidRDefault="00E16BE7">
            <w:pPr>
              <w:jc w:val="center"/>
              <w:rPr>
                <w:rFonts w:cs="Times New Roman"/>
              </w:rPr>
            </w:pPr>
          </w:p>
        </w:tc>
        <w:tc>
          <w:tcPr>
            <w:tcW w:w="1229" w:type="dxa"/>
            <w:vMerge w:val="restart"/>
            <w:vAlign w:val="center"/>
          </w:tcPr>
          <w:p w14:paraId="6C421848" w14:textId="77777777" w:rsidR="00E16BE7" w:rsidRDefault="00E16BE7">
            <w:pPr>
              <w:rPr>
                <w:rFonts w:cs="Times New Roman"/>
              </w:rPr>
            </w:pPr>
          </w:p>
          <w:p w14:paraId="70074265" w14:textId="77777777" w:rsidR="00E16BE7" w:rsidRDefault="00E16BE7">
            <w:pPr>
              <w:rPr>
                <w:rFonts w:cs="Times New Roman"/>
              </w:rPr>
            </w:pPr>
          </w:p>
          <w:p w14:paraId="1AC46FC9" w14:textId="77777777" w:rsidR="00E16BE7" w:rsidRDefault="001E39E8">
            <w:pPr>
              <w:rPr>
                <w:rFonts w:cs="Times New Roman"/>
              </w:rPr>
            </w:pPr>
            <w:r>
              <w:rPr>
                <w:rFonts w:cs="Times New Roman"/>
              </w:rPr>
              <w:lastRenderedPageBreak/>
              <w:t>7.276</w:t>
            </w:r>
          </w:p>
        </w:tc>
      </w:tr>
      <w:tr w:rsidR="00E16BE7" w14:paraId="53724D26" w14:textId="77777777">
        <w:trPr>
          <w:trHeight w:val="778"/>
        </w:trPr>
        <w:tc>
          <w:tcPr>
            <w:tcW w:w="2187" w:type="dxa"/>
            <w:vAlign w:val="center"/>
          </w:tcPr>
          <w:p w14:paraId="234B29AD" w14:textId="77777777" w:rsidR="00E16BE7" w:rsidRDefault="001E39E8">
            <w:pPr>
              <w:jc w:val="center"/>
              <w:rPr>
                <w:rFonts w:cs="Times New Roman"/>
              </w:rPr>
            </w:pPr>
            <w:r>
              <w:rPr>
                <w:rFonts w:cs="Times New Roman"/>
              </w:rPr>
              <w:lastRenderedPageBreak/>
              <w:t>Two</w:t>
            </w:r>
          </w:p>
        </w:tc>
        <w:tc>
          <w:tcPr>
            <w:tcW w:w="995" w:type="dxa"/>
            <w:vAlign w:val="center"/>
          </w:tcPr>
          <w:p w14:paraId="5C740B5D" w14:textId="77777777" w:rsidR="00E16BE7" w:rsidRDefault="001E39E8">
            <w:pPr>
              <w:jc w:val="center"/>
              <w:rPr>
                <w:rFonts w:cs="Times New Roman"/>
              </w:rPr>
            </w:pPr>
            <w:r>
              <w:rPr>
                <w:rFonts w:cs="Times New Roman"/>
              </w:rPr>
              <w:t>8</w:t>
            </w:r>
          </w:p>
          <w:p w14:paraId="0B4082A9" w14:textId="77777777" w:rsidR="00E16BE7" w:rsidRDefault="001E39E8">
            <w:pPr>
              <w:jc w:val="center"/>
              <w:rPr>
                <w:rFonts w:cs="Times New Roman"/>
              </w:rPr>
            </w:pPr>
            <w:r>
              <w:rPr>
                <w:rFonts w:cs="Times New Roman"/>
              </w:rPr>
              <w:t>36.4%</w:t>
            </w:r>
          </w:p>
        </w:tc>
        <w:tc>
          <w:tcPr>
            <w:tcW w:w="995" w:type="dxa"/>
            <w:vAlign w:val="center"/>
          </w:tcPr>
          <w:p w14:paraId="2B0CEC3A" w14:textId="77777777" w:rsidR="00E16BE7" w:rsidRDefault="001E39E8">
            <w:pPr>
              <w:jc w:val="center"/>
              <w:rPr>
                <w:rFonts w:cs="Times New Roman"/>
              </w:rPr>
            </w:pPr>
            <w:r>
              <w:rPr>
                <w:rFonts w:cs="Times New Roman"/>
              </w:rPr>
              <w:t>14</w:t>
            </w:r>
          </w:p>
          <w:p w14:paraId="1D1C9459" w14:textId="77777777" w:rsidR="00E16BE7" w:rsidRDefault="001E39E8">
            <w:pPr>
              <w:jc w:val="center"/>
              <w:rPr>
                <w:rFonts w:cs="Times New Roman"/>
              </w:rPr>
            </w:pPr>
            <w:r>
              <w:rPr>
                <w:rFonts w:cs="Times New Roman"/>
              </w:rPr>
              <w:t>63.6%</w:t>
            </w:r>
          </w:p>
        </w:tc>
        <w:tc>
          <w:tcPr>
            <w:tcW w:w="995" w:type="dxa"/>
            <w:vAlign w:val="center"/>
          </w:tcPr>
          <w:p w14:paraId="6A68A416" w14:textId="77777777" w:rsidR="00E16BE7" w:rsidRDefault="001E39E8">
            <w:pPr>
              <w:jc w:val="center"/>
              <w:rPr>
                <w:rFonts w:cs="Times New Roman"/>
              </w:rPr>
            </w:pPr>
            <w:r>
              <w:rPr>
                <w:rFonts w:cs="Times New Roman"/>
              </w:rPr>
              <w:t>22</w:t>
            </w:r>
          </w:p>
          <w:p w14:paraId="6DCCB466" w14:textId="77777777" w:rsidR="00E16BE7" w:rsidRDefault="001E39E8">
            <w:pPr>
              <w:jc w:val="center"/>
              <w:rPr>
                <w:rFonts w:cs="Times New Roman"/>
              </w:rPr>
            </w:pPr>
            <w:r>
              <w:rPr>
                <w:rFonts w:cs="Times New Roman"/>
              </w:rPr>
              <w:t>100.0%</w:t>
            </w:r>
          </w:p>
        </w:tc>
        <w:tc>
          <w:tcPr>
            <w:tcW w:w="597" w:type="dxa"/>
            <w:vMerge/>
            <w:vAlign w:val="center"/>
          </w:tcPr>
          <w:p w14:paraId="2B777818" w14:textId="77777777" w:rsidR="00E16BE7" w:rsidRDefault="00E16BE7">
            <w:pPr>
              <w:rPr>
                <w:rFonts w:cs="Times New Roman"/>
              </w:rPr>
            </w:pPr>
          </w:p>
        </w:tc>
        <w:tc>
          <w:tcPr>
            <w:tcW w:w="1330" w:type="dxa"/>
            <w:vMerge/>
            <w:vAlign w:val="center"/>
          </w:tcPr>
          <w:p w14:paraId="3C57ED56" w14:textId="77777777" w:rsidR="00E16BE7" w:rsidRDefault="00E16BE7">
            <w:pPr>
              <w:rPr>
                <w:rFonts w:cs="Times New Roman"/>
              </w:rPr>
            </w:pPr>
          </w:p>
        </w:tc>
        <w:tc>
          <w:tcPr>
            <w:tcW w:w="1229" w:type="dxa"/>
            <w:vMerge/>
            <w:vAlign w:val="center"/>
          </w:tcPr>
          <w:p w14:paraId="31B11376" w14:textId="77777777" w:rsidR="00E16BE7" w:rsidRDefault="00E16BE7">
            <w:pPr>
              <w:rPr>
                <w:rFonts w:cs="Times New Roman"/>
              </w:rPr>
            </w:pPr>
          </w:p>
        </w:tc>
      </w:tr>
      <w:tr w:rsidR="00E16BE7" w14:paraId="3E7FFDEA" w14:textId="77777777">
        <w:tc>
          <w:tcPr>
            <w:tcW w:w="2187" w:type="dxa"/>
            <w:vAlign w:val="center"/>
          </w:tcPr>
          <w:p w14:paraId="660CFF26" w14:textId="77777777" w:rsidR="00E16BE7" w:rsidRDefault="001E39E8">
            <w:pPr>
              <w:ind w:firstLineChars="200" w:firstLine="480"/>
              <w:rPr>
                <w:rFonts w:cs="Times New Roman"/>
              </w:rPr>
            </w:pPr>
            <w:r>
              <w:rPr>
                <w:rFonts w:cs="Times New Roman"/>
              </w:rPr>
              <w:t>Above Two</w:t>
            </w:r>
          </w:p>
        </w:tc>
        <w:tc>
          <w:tcPr>
            <w:tcW w:w="995" w:type="dxa"/>
            <w:vAlign w:val="center"/>
          </w:tcPr>
          <w:p w14:paraId="1155E445" w14:textId="77777777" w:rsidR="00E16BE7" w:rsidRDefault="001E39E8">
            <w:pPr>
              <w:jc w:val="center"/>
              <w:rPr>
                <w:rFonts w:cs="Times New Roman"/>
              </w:rPr>
            </w:pPr>
            <w:r>
              <w:rPr>
                <w:rFonts w:cs="Times New Roman"/>
              </w:rPr>
              <w:t>2</w:t>
            </w:r>
          </w:p>
          <w:p w14:paraId="3DA318A2" w14:textId="77777777" w:rsidR="00E16BE7" w:rsidRDefault="001E39E8">
            <w:pPr>
              <w:jc w:val="center"/>
              <w:rPr>
                <w:rFonts w:cs="Times New Roman"/>
              </w:rPr>
            </w:pPr>
            <w:r>
              <w:rPr>
                <w:rFonts w:cs="Times New Roman"/>
              </w:rPr>
              <w:t>66.7%</w:t>
            </w:r>
          </w:p>
        </w:tc>
        <w:tc>
          <w:tcPr>
            <w:tcW w:w="995" w:type="dxa"/>
            <w:vAlign w:val="center"/>
          </w:tcPr>
          <w:p w14:paraId="65149EE7" w14:textId="77777777" w:rsidR="00E16BE7" w:rsidRDefault="001E39E8">
            <w:pPr>
              <w:jc w:val="center"/>
              <w:rPr>
                <w:rFonts w:cs="Times New Roman"/>
              </w:rPr>
            </w:pPr>
            <w:r>
              <w:rPr>
                <w:rFonts w:cs="Times New Roman"/>
              </w:rPr>
              <w:t>1</w:t>
            </w:r>
          </w:p>
          <w:p w14:paraId="6BFAD639" w14:textId="77777777" w:rsidR="00E16BE7" w:rsidRDefault="001E39E8">
            <w:pPr>
              <w:jc w:val="center"/>
              <w:rPr>
                <w:rFonts w:cs="Times New Roman"/>
              </w:rPr>
            </w:pPr>
            <w:r>
              <w:rPr>
                <w:rFonts w:cs="Times New Roman"/>
              </w:rPr>
              <w:t>33.3%</w:t>
            </w:r>
          </w:p>
        </w:tc>
        <w:tc>
          <w:tcPr>
            <w:tcW w:w="995" w:type="dxa"/>
            <w:vAlign w:val="center"/>
          </w:tcPr>
          <w:p w14:paraId="5FBAD9ED" w14:textId="77777777" w:rsidR="00E16BE7" w:rsidRDefault="001E39E8">
            <w:pPr>
              <w:jc w:val="center"/>
              <w:rPr>
                <w:rFonts w:cs="Times New Roman"/>
              </w:rPr>
            </w:pPr>
            <w:r>
              <w:rPr>
                <w:rFonts w:cs="Times New Roman"/>
              </w:rPr>
              <w:t>3</w:t>
            </w:r>
          </w:p>
          <w:p w14:paraId="7C6E386D" w14:textId="77777777" w:rsidR="00E16BE7" w:rsidRDefault="001E39E8">
            <w:pPr>
              <w:jc w:val="center"/>
              <w:rPr>
                <w:rFonts w:cs="Times New Roman"/>
              </w:rPr>
            </w:pPr>
            <w:r>
              <w:rPr>
                <w:rFonts w:cs="Times New Roman"/>
              </w:rPr>
              <w:t>100.0%</w:t>
            </w:r>
          </w:p>
        </w:tc>
        <w:tc>
          <w:tcPr>
            <w:tcW w:w="597" w:type="dxa"/>
            <w:vMerge/>
            <w:vAlign w:val="center"/>
          </w:tcPr>
          <w:p w14:paraId="539FD69A" w14:textId="77777777" w:rsidR="00E16BE7" w:rsidRDefault="00E16BE7">
            <w:pPr>
              <w:rPr>
                <w:rFonts w:cs="Times New Roman"/>
              </w:rPr>
            </w:pPr>
          </w:p>
        </w:tc>
        <w:tc>
          <w:tcPr>
            <w:tcW w:w="1330" w:type="dxa"/>
            <w:vMerge/>
            <w:vAlign w:val="center"/>
          </w:tcPr>
          <w:p w14:paraId="28136991" w14:textId="77777777" w:rsidR="00E16BE7" w:rsidRDefault="00E16BE7">
            <w:pPr>
              <w:rPr>
                <w:rFonts w:cs="Times New Roman"/>
              </w:rPr>
            </w:pPr>
          </w:p>
        </w:tc>
        <w:tc>
          <w:tcPr>
            <w:tcW w:w="1229" w:type="dxa"/>
            <w:vMerge/>
            <w:vAlign w:val="center"/>
          </w:tcPr>
          <w:p w14:paraId="2C5D2BF4" w14:textId="77777777" w:rsidR="00E16BE7" w:rsidRDefault="00E16BE7">
            <w:pPr>
              <w:rPr>
                <w:rFonts w:cs="Times New Roman"/>
              </w:rPr>
            </w:pPr>
          </w:p>
        </w:tc>
      </w:tr>
      <w:tr w:rsidR="00E16BE7" w14:paraId="745DF886" w14:textId="77777777">
        <w:trPr>
          <w:trHeight w:val="600"/>
        </w:trPr>
        <w:tc>
          <w:tcPr>
            <w:tcW w:w="8328" w:type="dxa"/>
            <w:gridSpan w:val="7"/>
            <w:vAlign w:val="center"/>
          </w:tcPr>
          <w:p w14:paraId="1CDD8F56" w14:textId="77777777" w:rsidR="00E16BE7" w:rsidRDefault="001E39E8">
            <w:pPr>
              <w:jc w:val="center"/>
              <w:rPr>
                <w:rFonts w:cs="Times New Roman"/>
                <w:b/>
                <w:bCs/>
              </w:rPr>
            </w:pPr>
            <w:r>
              <w:rPr>
                <w:rFonts w:cs="Times New Roman"/>
                <w:b/>
                <w:bCs/>
              </w:rPr>
              <w:t>Family income</w:t>
            </w:r>
          </w:p>
        </w:tc>
      </w:tr>
      <w:tr w:rsidR="00E16BE7" w14:paraId="1C265FB9" w14:textId="77777777">
        <w:trPr>
          <w:trHeight w:val="630"/>
        </w:trPr>
        <w:tc>
          <w:tcPr>
            <w:tcW w:w="2187" w:type="dxa"/>
            <w:vAlign w:val="center"/>
          </w:tcPr>
          <w:p w14:paraId="23C0BE9F" w14:textId="77777777" w:rsidR="00E16BE7" w:rsidRDefault="001E39E8">
            <w:pPr>
              <w:rPr>
                <w:rFonts w:cs="Times New Roman"/>
              </w:rPr>
            </w:pPr>
            <w:proofErr w:type="spellStart"/>
            <w:r>
              <w:rPr>
                <w:rFonts w:cs="Times New Roman"/>
              </w:rPr>
              <w:t>Upto</w:t>
            </w:r>
            <w:proofErr w:type="spellEnd"/>
            <w:r>
              <w:rPr>
                <w:rFonts w:cs="Times New Roman"/>
              </w:rPr>
              <w:t xml:space="preserve"> Rs.1,00,000</w:t>
            </w:r>
          </w:p>
        </w:tc>
        <w:tc>
          <w:tcPr>
            <w:tcW w:w="995" w:type="dxa"/>
            <w:vAlign w:val="center"/>
          </w:tcPr>
          <w:p w14:paraId="06B73137" w14:textId="77777777" w:rsidR="00E16BE7" w:rsidRDefault="001E39E8">
            <w:pPr>
              <w:jc w:val="center"/>
              <w:rPr>
                <w:rFonts w:cs="Times New Roman"/>
              </w:rPr>
            </w:pPr>
            <w:r>
              <w:rPr>
                <w:rFonts w:cs="Times New Roman"/>
              </w:rPr>
              <w:t>12</w:t>
            </w:r>
          </w:p>
          <w:p w14:paraId="24925160" w14:textId="77777777" w:rsidR="00E16BE7" w:rsidRDefault="001E39E8">
            <w:pPr>
              <w:jc w:val="center"/>
              <w:rPr>
                <w:rFonts w:cs="Times New Roman"/>
              </w:rPr>
            </w:pPr>
            <w:r>
              <w:rPr>
                <w:rFonts w:cs="Times New Roman"/>
              </w:rPr>
              <w:t>32.4%</w:t>
            </w:r>
          </w:p>
        </w:tc>
        <w:tc>
          <w:tcPr>
            <w:tcW w:w="995" w:type="dxa"/>
            <w:vAlign w:val="center"/>
          </w:tcPr>
          <w:p w14:paraId="5A24A1F9" w14:textId="77777777" w:rsidR="00E16BE7" w:rsidRDefault="001E39E8">
            <w:pPr>
              <w:jc w:val="center"/>
              <w:rPr>
                <w:rFonts w:cs="Times New Roman"/>
              </w:rPr>
            </w:pPr>
            <w:r>
              <w:rPr>
                <w:rFonts w:cs="Times New Roman"/>
              </w:rPr>
              <w:t>25</w:t>
            </w:r>
          </w:p>
          <w:p w14:paraId="7970DF71" w14:textId="77777777" w:rsidR="00E16BE7" w:rsidRDefault="001E39E8">
            <w:pPr>
              <w:jc w:val="center"/>
              <w:rPr>
                <w:rFonts w:cs="Times New Roman"/>
              </w:rPr>
            </w:pPr>
            <w:r>
              <w:rPr>
                <w:rFonts w:cs="Times New Roman"/>
              </w:rPr>
              <w:t>67.6%</w:t>
            </w:r>
          </w:p>
        </w:tc>
        <w:tc>
          <w:tcPr>
            <w:tcW w:w="995" w:type="dxa"/>
            <w:vAlign w:val="center"/>
          </w:tcPr>
          <w:p w14:paraId="60680630" w14:textId="77777777" w:rsidR="00E16BE7" w:rsidRDefault="001E39E8">
            <w:pPr>
              <w:jc w:val="center"/>
              <w:rPr>
                <w:rFonts w:cs="Times New Roman"/>
              </w:rPr>
            </w:pPr>
            <w:r>
              <w:rPr>
                <w:rFonts w:cs="Times New Roman"/>
              </w:rPr>
              <w:t>37</w:t>
            </w:r>
          </w:p>
          <w:p w14:paraId="4010F32F" w14:textId="77777777" w:rsidR="00E16BE7" w:rsidRDefault="001E39E8">
            <w:pPr>
              <w:jc w:val="center"/>
              <w:rPr>
                <w:rFonts w:cs="Times New Roman"/>
              </w:rPr>
            </w:pPr>
            <w:r>
              <w:rPr>
                <w:rFonts w:cs="Times New Roman"/>
              </w:rPr>
              <w:t>100.0%</w:t>
            </w:r>
          </w:p>
        </w:tc>
        <w:tc>
          <w:tcPr>
            <w:tcW w:w="597" w:type="dxa"/>
            <w:vMerge w:val="restart"/>
            <w:vAlign w:val="center"/>
          </w:tcPr>
          <w:p w14:paraId="63B3E586" w14:textId="77777777" w:rsidR="00E16BE7" w:rsidRDefault="00E16BE7">
            <w:pPr>
              <w:rPr>
                <w:rFonts w:cs="Times New Roman"/>
              </w:rPr>
            </w:pPr>
          </w:p>
          <w:p w14:paraId="3821E6FD" w14:textId="77777777" w:rsidR="00E16BE7" w:rsidRDefault="001E39E8">
            <w:pPr>
              <w:rPr>
                <w:rFonts w:cs="Times New Roman"/>
              </w:rPr>
            </w:pPr>
            <w:r>
              <w:rPr>
                <w:rFonts w:cs="Times New Roman"/>
              </w:rPr>
              <w:t>1</w:t>
            </w:r>
          </w:p>
        </w:tc>
        <w:tc>
          <w:tcPr>
            <w:tcW w:w="1330" w:type="dxa"/>
            <w:vMerge w:val="restart"/>
            <w:vAlign w:val="center"/>
          </w:tcPr>
          <w:p w14:paraId="7BC17885" w14:textId="77777777" w:rsidR="00E16BE7" w:rsidRDefault="00E16BE7">
            <w:pPr>
              <w:jc w:val="center"/>
              <w:rPr>
                <w:rFonts w:cs="Times New Roman"/>
              </w:rPr>
            </w:pPr>
          </w:p>
          <w:p w14:paraId="471F97F4" w14:textId="77777777" w:rsidR="00E16BE7" w:rsidRDefault="001E39E8">
            <w:pPr>
              <w:jc w:val="center"/>
              <w:rPr>
                <w:rFonts w:cs="Times New Roman"/>
              </w:rPr>
            </w:pPr>
            <w:r>
              <w:rPr>
                <w:rFonts w:cs="Times New Roman"/>
              </w:rPr>
              <w:t>5.267*</w:t>
            </w:r>
          </w:p>
        </w:tc>
        <w:tc>
          <w:tcPr>
            <w:tcW w:w="1229" w:type="dxa"/>
            <w:vMerge w:val="restart"/>
            <w:vAlign w:val="center"/>
          </w:tcPr>
          <w:p w14:paraId="665B55E9" w14:textId="77777777" w:rsidR="00E16BE7" w:rsidRDefault="00E16BE7">
            <w:pPr>
              <w:rPr>
                <w:rFonts w:cs="Times New Roman"/>
              </w:rPr>
            </w:pPr>
          </w:p>
          <w:p w14:paraId="74DF475D" w14:textId="77777777" w:rsidR="00E16BE7" w:rsidRDefault="001E39E8">
            <w:pPr>
              <w:rPr>
                <w:rFonts w:cs="Times New Roman"/>
              </w:rPr>
            </w:pPr>
            <w:r>
              <w:rPr>
                <w:rFonts w:cs="Times New Roman"/>
              </w:rPr>
              <w:t>0.0276</w:t>
            </w:r>
          </w:p>
        </w:tc>
      </w:tr>
      <w:tr w:rsidR="00E16BE7" w14:paraId="6153197F" w14:textId="77777777">
        <w:trPr>
          <w:trHeight w:val="682"/>
        </w:trPr>
        <w:tc>
          <w:tcPr>
            <w:tcW w:w="2187" w:type="dxa"/>
            <w:vAlign w:val="center"/>
          </w:tcPr>
          <w:p w14:paraId="2A572B8D" w14:textId="77777777" w:rsidR="00E16BE7" w:rsidRDefault="001E39E8">
            <w:pPr>
              <w:rPr>
                <w:rFonts w:cs="Times New Roman"/>
              </w:rPr>
            </w:pPr>
            <w:r>
              <w:rPr>
                <w:rFonts w:cs="Times New Roman"/>
              </w:rPr>
              <w:t>Rs.1,00,001-Rs.2,00,000</w:t>
            </w:r>
          </w:p>
        </w:tc>
        <w:tc>
          <w:tcPr>
            <w:tcW w:w="995" w:type="dxa"/>
            <w:vAlign w:val="center"/>
          </w:tcPr>
          <w:p w14:paraId="0BB968AA" w14:textId="77777777" w:rsidR="00E16BE7" w:rsidRDefault="001E39E8">
            <w:pPr>
              <w:jc w:val="center"/>
              <w:rPr>
                <w:rFonts w:cs="Times New Roman"/>
              </w:rPr>
            </w:pPr>
            <w:r>
              <w:rPr>
                <w:rFonts w:cs="Times New Roman"/>
              </w:rPr>
              <w:t>3</w:t>
            </w:r>
          </w:p>
          <w:p w14:paraId="45388EA3" w14:textId="77777777" w:rsidR="00E16BE7" w:rsidRDefault="001E39E8">
            <w:pPr>
              <w:jc w:val="center"/>
              <w:rPr>
                <w:rFonts w:cs="Times New Roman"/>
              </w:rPr>
            </w:pPr>
            <w:r>
              <w:rPr>
                <w:rFonts w:cs="Times New Roman"/>
              </w:rPr>
              <w:t>37.5%</w:t>
            </w:r>
          </w:p>
        </w:tc>
        <w:tc>
          <w:tcPr>
            <w:tcW w:w="995" w:type="dxa"/>
            <w:vAlign w:val="center"/>
          </w:tcPr>
          <w:p w14:paraId="0535DB01" w14:textId="77777777" w:rsidR="00E16BE7" w:rsidRDefault="001E39E8">
            <w:pPr>
              <w:jc w:val="center"/>
              <w:rPr>
                <w:rFonts w:cs="Times New Roman"/>
              </w:rPr>
            </w:pPr>
            <w:r>
              <w:rPr>
                <w:rFonts w:cs="Times New Roman"/>
              </w:rPr>
              <w:t>5</w:t>
            </w:r>
          </w:p>
          <w:p w14:paraId="0D81E53B" w14:textId="77777777" w:rsidR="00E16BE7" w:rsidRDefault="001E39E8">
            <w:pPr>
              <w:jc w:val="center"/>
              <w:rPr>
                <w:rFonts w:cs="Times New Roman"/>
              </w:rPr>
            </w:pPr>
            <w:r>
              <w:rPr>
                <w:rFonts w:cs="Times New Roman"/>
              </w:rPr>
              <w:t>62.5%</w:t>
            </w:r>
          </w:p>
        </w:tc>
        <w:tc>
          <w:tcPr>
            <w:tcW w:w="995" w:type="dxa"/>
            <w:vAlign w:val="center"/>
          </w:tcPr>
          <w:p w14:paraId="454E128A" w14:textId="77777777" w:rsidR="00E16BE7" w:rsidRDefault="001E39E8">
            <w:pPr>
              <w:jc w:val="center"/>
              <w:rPr>
                <w:rFonts w:cs="Times New Roman"/>
              </w:rPr>
            </w:pPr>
            <w:r>
              <w:rPr>
                <w:rFonts w:cs="Times New Roman"/>
              </w:rPr>
              <w:t>8</w:t>
            </w:r>
          </w:p>
          <w:p w14:paraId="12A66E85" w14:textId="77777777" w:rsidR="00E16BE7" w:rsidRDefault="001E39E8">
            <w:pPr>
              <w:jc w:val="center"/>
              <w:rPr>
                <w:rFonts w:cs="Times New Roman"/>
              </w:rPr>
            </w:pPr>
            <w:r>
              <w:rPr>
                <w:rFonts w:cs="Times New Roman"/>
              </w:rPr>
              <w:t>100.0%</w:t>
            </w:r>
          </w:p>
        </w:tc>
        <w:tc>
          <w:tcPr>
            <w:tcW w:w="597" w:type="dxa"/>
            <w:vMerge/>
            <w:vAlign w:val="center"/>
          </w:tcPr>
          <w:p w14:paraId="7B6D08CB" w14:textId="77777777" w:rsidR="00E16BE7" w:rsidRDefault="00E16BE7">
            <w:pPr>
              <w:rPr>
                <w:rFonts w:cs="Times New Roman"/>
              </w:rPr>
            </w:pPr>
          </w:p>
        </w:tc>
        <w:tc>
          <w:tcPr>
            <w:tcW w:w="1330" w:type="dxa"/>
            <w:vMerge/>
            <w:vAlign w:val="center"/>
          </w:tcPr>
          <w:p w14:paraId="390B9E87" w14:textId="77777777" w:rsidR="00E16BE7" w:rsidRDefault="00E16BE7">
            <w:pPr>
              <w:rPr>
                <w:rFonts w:cs="Times New Roman"/>
              </w:rPr>
            </w:pPr>
          </w:p>
        </w:tc>
        <w:tc>
          <w:tcPr>
            <w:tcW w:w="1229" w:type="dxa"/>
            <w:vMerge/>
            <w:vAlign w:val="center"/>
          </w:tcPr>
          <w:p w14:paraId="6115DA90" w14:textId="77777777" w:rsidR="00E16BE7" w:rsidRDefault="00E16BE7">
            <w:pPr>
              <w:rPr>
                <w:rFonts w:cs="Times New Roman"/>
              </w:rPr>
            </w:pPr>
          </w:p>
        </w:tc>
      </w:tr>
      <w:tr w:rsidR="00E16BE7" w14:paraId="1258F900" w14:textId="77777777">
        <w:trPr>
          <w:trHeight w:val="597"/>
        </w:trPr>
        <w:tc>
          <w:tcPr>
            <w:tcW w:w="8328" w:type="dxa"/>
            <w:gridSpan w:val="7"/>
            <w:vAlign w:val="center"/>
          </w:tcPr>
          <w:p w14:paraId="0A10A68E" w14:textId="77777777" w:rsidR="00E16BE7" w:rsidRDefault="001E39E8">
            <w:pPr>
              <w:jc w:val="center"/>
              <w:rPr>
                <w:rFonts w:cs="Times New Roman"/>
                <w:b/>
                <w:bCs/>
              </w:rPr>
            </w:pPr>
            <w:r>
              <w:rPr>
                <w:rFonts w:cs="Times New Roman"/>
                <w:b/>
                <w:bCs/>
              </w:rPr>
              <w:t>Family savings</w:t>
            </w:r>
          </w:p>
        </w:tc>
      </w:tr>
      <w:tr w:rsidR="00E16BE7" w14:paraId="62F2990D" w14:textId="77777777">
        <w:trPr>
          <w:trHeight w:val="753"/>
        </w:trPr>
        <w:tc>
          <w:tcPr>
            <w:tcW w:w="2187" w:type="dxa"/>
            <w:vAlign w:val="center"/>
          </w:tcPr>
          <w:p w14:paraId="16839CCE" w14:textId="77777777" w:rsidR="00E16BE7" w:rsidRDefault="001E39E8">
            <w:pPr>
              <w:tabs>
                <w:tab w:val="left" w:pos="480"/>
              </w:tabs>
              <w:jc w:val="center"/>
              <w:rPr>
                <w:rFonts w:cs="Times New Roman"/>
              </w:rPr>
            </w:pPr>
            <w:proofErr w:type="spellStart"/>
            <w:r>
              <w:rPr>
                <w:rFonts w:cs="Times New Roman"/>
              </w:rPr>
              <w:t>Upto</w:t>
            </w:r>
            <w:proofErr w:type="spellEnd"/>
            <w:r>
              <w:rPr>
                <w:rFonts w:cs="Times New Roman"/>
              </w:rPr>
              <w:t xml:space="preserve"> Rs.5000</w:t>
            </w:r>
          </w:p>
        </w:tc>
        <w:tc>
          <w:tcPr>
            <w:tcW w:w="995" w:type="dxa"/>
            <w:vAlign w:val="center"/>
          </w:tcPr>
          <w:p w14:paraId="45DF19DC" w14:textId="77777777" w:rsidR="00E16BE7" w:rsidRDefault="001E39E8">
            <w:pPr>
              <w:tabs>
                <w:tab w:val="left" w:pos="480"/>
              </w:tabs>
              <w:jc w:val="center"/>
              <w:rPr>
                <w:rFonts w:cs="Times New Roman"/>
              </w:rPr>
            </w:pPr>
            <w:r>
              <w:rPr>
                <w:rFonts w:cs="Times New Roman"/>
              </w:rPr>
              <w:t>10</w:t>
            </w:r>
          </w:p>
          <w:p w14:paraId="038F6786" w14:textId="77777777" w:rsidR="00E16BE7" w:rsidRDefault="001E39E8">
            <w:pPr>
              <w:tabs>
                <w:tab w:val="left" w:pos="480"/>
              </w:tabs>
              <w:jc w:val="center"/>
              <w:rPr>
                <w:rFonts w:cs="Times New Roman"/>
              </w:rPr>
            </w:pPr>
            <w:r>
              <w:rPr>
                <w:rFonts w:cs="Times New Roman"/>
              </w:rPr>
              <w:t>29.4%</w:t>
            </w:r>
          </w:p>
        </w:tc>
        <w:tc>
          <w:tcPr>
            <w:tcW w:w="995" w:type="dxa"/>
            <w:vAlign w:val="center"/>
          </w:tcPr>
          <w:p w14:paraId="0D5DC56D" w14:textId="77777777" w:rsidR="00E16BE7" w:rsidRDefault="001E39E8">
            <w:pPr>
              <w:tabs>
                <w:tab w:val="left" w:pos="480"/>
              </w:tabs>
              <w:jc w:val="center"/>
              <w:rPr>
                <w:rFonts w:cs="Times New Roman"/>
              </w:rPr>
            </w:pPr>
            <w:r>
              <w:rPr>
                <w:rFonts w:cs="Times New Roman"/>
              </w:rPr>
              <w:t>24</w:t>
            </w:r>
          </w:p>
          <w:p w14:paraId="799EB7AB" w14:textId="77777777" w:rsidR="00E16BE7" w:rsidRDefault="001E39E8">
            <w:pPr>
              <w:tabs>
                <w:tab w:val="left" w:pos="480"/>
              </w:tabs>
              <w:jc w:val="center"/>
              <w:rPr>
                <w:rFonts w:cs="Times New Roman"/>
              </w:rPr>
            </w:pPr>
            <w:r>
              <w:rPr>
                <w:rFonts w:cs="Times New Roman"/>
              </w:rPr>
              <w:t>70.6%</w:t>
            </w:r>
          </w:p>
        </w:tc>
        <w:tc>
          <w:tcPr>
            <w:tcW w:w="995" w:type="dxa"/>
            <w:vAlign w:val="center"/>
          </w:tcPr>
          <w:p w14:paraId="773C5FF2" w14:textId="77777777" w:rsidR="00E16BE7" w:rsidRDefault="001E39E8">
            <w:pPr>
              <w:tabs>
                <w:tab w:val="left" w:pos="480"/>
              </w:tabs>
              <w:jc w:val="center"/>
              <w:rPr>
                <w:rFonts w:cs="Times New Roman"/>
              </w:rPr>
            </w:pPr>
            <w:r>
              <w:rPr>
                <w:rFonts w:cs="Times New Roman"/>
              </w:rPr>
              <w:t>34</w:t>
            </w:r>
          </w:p>
          <w:p w14:paraId="59762312" w14:textId="77777777" w:rsidR="00E16BE7" w:rsidRDefault="001E39E8">
            <w:pPr>
              <w:tabs>
                <w:tab w:val="left" w:pos="480"/>
              </w:tabs>
              <w:jc w:val="center"/>
              <w:rPr>
                <w:rFonts w:cs="Times New Roman"/>
              </w:rPr>
            </w:pPr>
            <w:r>
              <w:rPr>
                <w:rFonts w:cs="Times New Roman"/>
              </w:rPr>
              <w:t>100.0%</w:t>
            </w:r>
          </w:p>
        </w:tc>
        <w:tc>
          <w:tcPr>
            <w:tcW w:w="597" w:type="dxa"/>
            <w:vMerge w:val="restart"/>
            <w:vAlign w:val="center"/>
          </w:tcPr>
          <w:p w14:paraId="0BA9CCCE" w14:textId="77777777" w:rsidR="00E16BE7" w:rsidRDefault="00E16BE7">
            <w:pPr>
              <w:tabs>
                <w:tab w:val="left" w:pos="480"/>
              </w:tabs>
              <w:jc w:val="center"/>
              <w:rPr>
                <w:rFonts w:cs="Times New Roman"/>
              </w:rPr>
            </w:pPr>
          </w:p>
          <w:p w14:paraId="3AF6AE5A" w14:textId="77777777" w:rsidR="00E16BE7" w:rsidRDefault="00E16BE7">
            <w:pPr>
              <w:tabs>
                <w:tab w:val="left" w:pos="480"/>
              </w:tabs>
              <w:jc w:val="center"/>
              <w:rPr>
                <w:rFonts w:cs="Times New Roman"/>
              </w:rPr>
            </w:pPr>
          </w:p>
          <w:p w14:paraId="14D0A3D7" w14:textId="77777777" w:rsidR="00E16BE7" w:rsidRDefault="001E39E8">
            <w:pPr>
              <w:tabs>
                <w:tab w:val="left" w:pos="480"/>
              </w:tabs>
              <w:jc w:val="center"/>
              <w:rPr>
                <w:rFonts w:cs="Times New Roman"/>
              </w:rPr>
            </w:pPr>
            <w:r>
              <w:rPr>
                <w:rFonts w:cs="Times New Roman"/>
              </w:rPr>
              <w:t>2</w:t>
            </w:r>
          </w:p>
        </w:tc>
        <w:tc>
          <w:tcPr>
            <w:tcW w:w="1330" w:type="dxa"/>
            <w:vMerge w:val="restart"/>
            <w:vAlign w:val="center"/>
          </w:tcPr>
          <w:p w14:paraId="59D25DA9" w14:textId="77777777" w:rsidR="00E16BE7" w:rsidRDefault="00E16BE7">
            <w:pPr>
              <w:tabs>
                <w:tab w:val="left" w:pos="480"/>
              </w:tabs>
              <w:jc w:val="center"/>
              <w:rPr>
                <w:rFonts w:cs="Times New Roman"/>
              </w:rPr>
            </w:pPr>
          </w:p>
          <w:p w14:paraId="16629A32" w14:textId="77777777" w:rsidR="00E16BE7" w:rsidRDefault="00E16BE7">
            <w:pPr>
              <w:tabs>
                <w:tab w:val="left" w:pos="480"/>
              </w:tabs>
              <w:jc w:val="center"/>
              <w:rPr>
                <w:rFonts w:cs="Times New Roman"/>
              </w:rPr>
            </w:pPr>
          </w:p>
          <w:p w14:paraId="418900DF" w14:textId="77777777" w:rsidR="00E16BE7" w:rsidRDefault="001E39E8">
            <w:pPr>
              <w:tabs>
                <w:tab w:val="left" w:pos="480"/>
              </w:tabs>
              <w:jc w:val="center"/>
              <w:rPr>
                <w:rFonts w:cs="Times New Roman"/>
              </w:rPr>
            </w:pPr>
            <w:r>
              <w:rPr>
                <w:rFonts w:cs="Times New Roman"/>
              </w:rPr>
              <w:t>9.278**</w:t>
            </w:r>
          </w:p>
        </w:tc>
        <w:tc>
          <w:tcPr>
            <w:tcW w:w="1229" w:type="dxa"/>
            <w:vMerge w:val="restart"/>
            <w:vAlign w:val="center"/>
          </w:tcPr>
          <w:p w14:paraId="30B0F561" w14:textId="77777777" w:rsidR="00E16BE7" w:rsidRDefault="00E16BE7">
            <w:pPr>
              <w:tabs>
                <w:tab w:val="left" w:pos="480"/>
              </w:tabs>
              <w:jc w:val="center"/>
              <w:rPr>
                <w:rFonts w:cs="Times New Roman"/>
              </w:rPr>
            </w:pPr>
          </w:p>
          <w:p w14:paraId="524D8675" w14:textId="77777777" w:rsidR="00E16BE7" w:rsidRDefault="00E16BE7">
            <w:pPr>
              <w:tabs>
                <w:tab w:val="left" w:pos="480"/>
              </w:tabs>
              <w:jc w:val="center"/>
              <w:rPr>
                <w:rFonts w:cs="Times New Roman"/>
              </w:rPr>
            </w:pPr>
          </w:p>
          <w:p w14:paraId="209BA1B0" w14:textId="77777777" w:rsidR="00E16BE7" w:rsidRDefault="001E39E8">
            <w:pPr>
              <w:tabs>
                <w:tab w:val="left" w:pos="480"/>
              </w:tabs>
              <w:jc w:val="center"/>
              <w:rPr>
                <w:rFonts w:cs="Times New Roman"/>
              </w:rPr>
            </w:pPr>
            <w:r>
              <w:rPr>
                <w:rFonts w:cs="Times New Roman"/>
              </w:rPr>
              <w:t>0.00128</w:t>
            </w:r>
          </w:p>
        </w:tc>
      </w:tr>
      <w:tr w:rsidR="00E16BE7" w14:paraId="2A52DA05" w14:textId="77777777">
        <w:trPr>
          <w:trHeight w:val="700"/>
        </w:trPr>
        <w:tc>
          <w:tcPr>
            <w:tcW w:w="2187" w:type="dxa"/>
            <w:vAlign w:val="center"/>
          </w:tcPr>
          <w:p w14:paraId="16D72734" w14:textId="77777777" w:rsidR="00E16BE7" w:rsidRDefault="001E39E8">
            <w:pPr>
              <w:tabs>
                <w:tab w:val="left" w:pos="480"/>
              </w:tabs>
              <w:jc w:val="center"/>
              <w:rPr>
                <w:rFonts w:cs="Times New Roman"/>
              </w:rPr>
            </w:pPr>
            <w:r>
              <w:rPr>
                <w:rFonts w:cs="Times New Roman"/>
              </w:rPr>
              <w:t>Rs.5001-Rs.10000</w:t>
            </w:r>
          </w:p>
        </w:tc>
        <w:tc>
          <w:tcPr>
            <w:tcW w:w="995" w:type="dxa"/>
            <w:vAlign w:val="center"/>
          </w:tcPr>
          <w:p w14:paraId="3E989860" w14:textId="77777777" w:rsidR="00E16BE7" w:rsidRDefault="001E39E8">
            <w:pPr>
              <w:tabs>
                <w:tab w:val="left" w:pos="480"/>
              </w:tabs>
              <w:jc w:val="center"/>
              <w:rPr>
                <w:rFonts w:cs="Times New Roman"/>
              </w:rPr>
            </w:pPr>
            <w:r>
              <w:rPr>
                <w:rFonts w:cs="Times New Roman"/>
              </w:rPr>
              <w:t>3</w:t>
            </w:r>
          </w:p>
          <w:p w14:paraId="15611F60" w14:textId="77777777" w:rsidR="00E16BE7" w:rsidRDefault="001E39E8">
            <w:pPr>
              <w:tabs>
                <w:tab w:val="left" w:pos="480"/>
              </w:tabs>
              <w:jc w:val="center"/>
              <w:rPr>
                <w:rFonts w:cs="Times New Roman"/>
              </w:rPr>
            </w:pPr>
            <w:r>
              <w:rPr>
                <w:rFonts w:cs="Times New Roman"/>
              </w:rPr>
              <w:t>50.0%</w:t>
            </w:r>
          </w:p>
        </w:tc>
        <w:tc>
          <w:tcPr>
            <w:tcW w:w="995" w:type="dxa"/>
            <w:vAlign w:val="center"/>
          </w:tcPr>
          <w:p w14:paraId="6F6AF81A" w14:textId="77777777" w:rsidR="00E16BE7" w:rsidRDefault="001E39E8">
            <w:pPr>
              <w:tabs>
                <w:tab w:val="left" w:pos="480"/>
              </w:tabs>
              <w:jc w:val="center"/>
              <w:rPr>
                <w:rFonts w:cs="Times New Roman"/>
              </w:rPr>
            </w:pPr>
            <w:r>
              <w:rPr>
                <w:rFonts w:cs="Times New Roman"/>
              </w:rPr>
              <w:t>3</w:t>
            </w:r>
          </w:p>
          <w:p w14:paraId="667AC210" w14:textId="77777777" w:rsidR="00E16BE7" w:rsidRDefault="001E39E8">
            <w:pPr>
              <w:tabs>
                <w:tab w:val="left" w:pos="480"/>
              </w:tabs>
              <w:jc w:val="center"/>
              <w:rPr>
                <w:rFonts w:cs="Times New Roman"/>
              </w:rPr>
            </w:pPr>
            <w:r>
              <w:rPr>
                <w:rFonts w:cs="Times New Roman"/>
              </w:rPr>
              <w:t>50.0%</w:t>
            </w:r>
          </w:p>
        </w:tc>
        <w:tc>
          <w:tcPr>
            <w:tcW w:w="995" w:type="dxa"/>
            <w:vAlign w:val="center"/>
          </w:tcPr>
          <w:p w14:paraId="531F4A01" w14:textId="77777777" w:rsidR="00E16BE7" w:rsidRDefault="001E39E8">
            <w:pPr>
              <w:tabs>
                <w:tab w:val="left" w:pos="480"/>
              </w:tabs>
              <w:jc w:val="center"/>
              <w:rPr>
                <w:rFonts w:cs="Times New Roman"/>
              </w:rPr>
            </w:pPr>
            <w:r>
              <w:rPr>
                <w:rFonts w:cs="Times New Roman"/>
              </w:rPr>
              <w:t>6</w:t>
            </w:r>
          </w:p>
          <w:p w14:paraId="4E934731" w14:textId="77777777" w:rsidR="00E16BE7" w:rsidRDefault="001E39E8">
            <w:pPr>
              <w:tabs>
                <w:tab w:val="left" w:pos="480"/>
              </w:tabs>
              <w:jc w:val="center"/>
              <w:rPr>
                <w:rFonts w:cs="Times New Roman"/>
              </w:rPr>
            </w:pPr>
            <w:r>
              <w:rPr>
                <w:rFonts w:cs="Times New Roman"/>
              </w:rPr>
              <w:t>100.0%</w:t>
            </w:r>
          </w:p>
        </w:tc>
        <w:tc>
          <w:tcPr>
            <w:tcW w:w="597" w:type="dxa"/>
            <w:vMerge/>
            <w:vAlign w:val="center"/>
          </w:tcPr>
          <w:p w14:paraId="699EA51E" w14:textId="77777777" w:rsidR="00E16BE7" w:rsidRDefault="00E16BE7">
            <w:pPr>
              <w:tabs>
                <w:tab w:val="left" w:pos="480"/>
              </w:tabs>
              <w:jc w:val="center"/>
              <w:rPr>
                <w:rFonts w:cs="Times New Roman"/>
              </w:rPr>
            </w:pPr>
          </w:p>
        </w:tc>
        <w:tc>
          <w:tcPr>
            <w:tcW w:w="1330" w:type="dxa"/>
            <w:vMerge/>
            <w:vAlign w:val="center"/>
          </w:tcPr>
          <w:p w14:paraId="46F03DC0" w14:textId="77777777" w:rsidR="00E16BE7" w:rsidRDefault="00E16BE7">
            <w:pPr>
              <w:tabs>
                <w:tab w:val="left" w:pos="480"/>
              </w:tabs>
              <w:jc w:val="center"/>
              <w:rPr>
                <w:rFonts w:cs="Times New Roman"/>
              </w:rPr>
            </w:pPr>
          </w:p>
        </w:tc>
        <w:tc>
          <w:tcPr>
            <w:tcW w:w="1229" w:type="dxa"/>
            <w:vMerge/>
            <w:vAlign w:val="center"/>
          </w:tcPr>
          <w:p w14:paraId="32090815" w14:textId="77777777" w:rsidR="00E16BE7" w:rsidRDefault="00E16BE7">
            <w:pPr>
              <w:tabs>
                <w:tab w:val="left" w:pos="480"/>
              </w:tabs>
              <w:jc w:val="center"/>
              <w:rPr>
                <w:rFonts w:cs="Times New Roman"/>
              </w:rPr>
            </w:pPr>
          </w:p>
        </w:tc>
      </w:tr>
      <w:tr w:rsidR="00E16BE7" w14:paraId="66EBFA1E" w14:textId="77777777">
        <w:tc>
          <w:tcPr>
            <w:tcW w:w="2187" w:type="dxa"/>
            <w:vAlign w:val="center"/>
          </w:tcPr>
          <w:p w14:paraId="5ED4153E" w14:textId="77777777" w:rsidR="00E16BE7" w:rsidRDefault="001E39E8">
            <w:pPr>
              <w:tabs>
                <w:tab w:val="left" w:pos="480"/>
              </w:tabs>
              <w:jc w:val="center"/>
              <w:rPr>
                <w:rFonts w:cs="Times New Roman"/>
              </w:rPr>
            </w:pPr>
            <w:r>
              <w:rPr>
                <w:rFonts w:cs="Times New Roman"/>
              </w:rPr>
              <w:t>Above 10000</w:t>
            </w:r>
          </w:p>
        </w:tc>
        <w:tc>
          <w:tcPr>
            <w:tcW w:w="995" w:type="dxa"/>
            <w:vAlign w:val="center"/>
          </w:tcPr>
          <w:p w14:paraId="3EB031B5" w14:textId="77777777" w:rsidR="00E16BE7" w:rsidRDefault="001E39E8">
            <w:pPr>
              <w:tabs>
                <w:tab w:val="left" w:pos="480"/>
              </w:tabs>
              <w:jc w:val="center"/>
              <w:rPr>
                <w:rFonts w:cs="Times New Roman"/>
              </w:rPr>
            </w:pPr>
            <w:r>
              <w:rPr>
                <w:rFonts w:cs="Times New Roman"/>
              </w:rPr>
              <w:t>2</w:t>
            </w:r>
          </w:p>
          <w:p w14:paraId="383348CC" w14:textId="77777777" w:rsidR="00E16BE7" w:rsidRDefault="001E39E8">
            <w:pPr>
              <w:tabs>
                <w:tab w:val="left" w:pos="480"/>
              </w:tabs>
              <w:jc w:val="center"/>
              <w:rPr>
                <w:rFonts w:cs="Times New Roman"/>
              </w:rPr>
            </w:pPr>
            <w:r>
              <w:rPr>
                <w:rFonts w:cs="Times New Roman"/>
              </w:rPr>
              <w:t>40.0%</w:t>
            </w:r>
          </w:p>
        </w:tc>
        <w:tc>
          <w:tcPr>
            <w:tcW w:w="995" w:type="dxa"/>
            <w:vAlign w:val="center"/>
          </w:tcPr>
          <w:p w14:paraId="3670EC1A" w14:textId="77777777" w:rsidR="00E16BE7" w:rsidRDefault="001E39E8">
            <w:pPr>
              <w:tabs>
                <w:tab w:val="left" w:pos="480"/>
              </w:tabs>
              <w:jc w:val="center"/>
              <w:rPr>
                <w:rFonts w:cs="Times New Roman"/>
              </w:rPr>
            </w:pPr>
            <w:r>
              <w:rPr>
                <w:rFonts w:cs="Times New Roman"/>
              </w:rPr>
              <w:t>3</w:t>
            </w:r>
          </w:p>
          <w:p w14:paraId="08F9929C" w14:textId="77777777" w:rsidR="00E16BE7" w:rsidRDefault="001E39E8">
            <w:pPr>
              <w:tabs>
                <w:tab w:val="left" w:pos="480"/>
              </w:tabs>
              <w:jc w:val="center"/>
              <w:rPr>
                <w:rFonts w:cs="Times New Roman"/>
              </w:rPr>
            </w:pPr>
            <w:r>
              <w:rPr>
                <w:rFonts w:cs="Times New Roman"/>
              </w:rPr>
              <w:t>60.0%</w:t>
            </w:r>
          </w:p>
        </w:tc>
        <w:tc>
          <w:tcPr>
            <w:tcW w:w="995" w:type="dxa"/>
            <w:vAlign w:val="center"/>
          </w:tcPr>
          <w:p w14:paraId="4CC932CF" w14:textId="77777777" w:rsidR="00E16BE7" w:rsidRDefault="001E39E8">
            <w:pPr>
              <w:tabs>
                <w:tab w:val="left" w:pos="480"/>
              </w:tabs>
              <w:jc w:val="center"/>
              <w:rPr>
                <w:rFonts w:cs="Times New Roman"/>
              </w:rPr>
            </w:pPr>
            <w:r>
              <w:rPr>
                <w:rFonts w:cs="Times New Roman"/>
              </w:rPr>
              <w:t>5</w:t>
            </w:r>
          </w:p>
          <w:p w14:paraId="563CEE31" w14:textId="77777777" w:rsidR="00E16BE7" w:rsidRDefault="001E39E8">
            <w:pPr>
              <w:tabs>
                <w:tab w:val="left" w:pos="480"/>
              </w:tabs>
              <w:jc w:val="center"/>
              <w:rPr>
                <w:rFonts w:cs="Times New Roman"/>
              </w:rPr>
            </w:pPr>
            <w:r>
              <w:rPr>
                <w:rFonts w:cs="Times New Roman"/>
              </w:rPr>
              <w:t>100.0%</w:t>
            </w:r>
          </w:p>
        </w:tc>
        <w:tc>
          <w:tcPr>
            <w:tcW w:w="597" w:type="dxa"/>
            <w:vMerge/>
            <w:vAlign w:val="center"/>
          </w:tcPr>
          <w:p w14:paraId="28773546" w14:textId="77777777" w:rsidR="00E16BE7" w:rsidRDefault="00E16BE7">
            <w:pPr>
              <w:tabs>
                <w:tab w:val="left" w:pos="480"/>
              </w:tabs>
              <w:jc w:val="center"/>
              <w:rPr>
                <w:rFonts w:cs="Times New Roman"/>
              </w:rPr>
            </w:pPr>
          </w:p>
        </w:tc>
        <w:tc>
          <w:tcPr>
            <w:tcW w:w="1330" w:type="dxa"/>
            <w:vMerge/>
            <w:vAlign w:val="center"/>
          </w:tcPr>
          <w:p w14:paraId="449E3810" w14:textId="77777777" w:rsidR="00E16BE7" w:rsidRDefault="00E16BE7">
            <w:pPr>
              <w:tabs>
                <w:tab w:val="left" w:pos="480"/>
              </w:tabs>
              <w:jc w:val="center"/>
              <w:rPr>
                <w:rFonts w:cs="Times New Roman"/>
              </w:rPr>
            </w:pPr>
          </w:p>
        </w:tc>
        <w:tc>
          <w:tcPr>
            <w:tcW w:w="1229" w:type="dxa"/>
            <w:vMerge/>
            <w:vAlign w:val="center"/>
          </w:tcPr>
          <w:p w14:paraId="48C67FDD" w14:textId="77777777" w:rsidR="00E16BE7" w:rsidRDefault="00E16BE7">
            <w:pPr>
              <w:tabs>
                <w:tab w:val="left" w:pos="480"/>
              </w:tabs>
              <w:jc w:val="center"/>
              <w:rPr>
                <w:rFonts w:cs="Times New Roman"/>
              </w:rPr>
            </w:pPr>
          </w:p>
        </w:tc>
      </w:tr>
      <w:tr w:rsidR="00E16BE7" w14:paraId="0ABE7337" w14:textId="77777777">
        <w:trPr>
          <w:trHeight w:val="591"/>
        </w:trPr>
        <w:tc>
          <w:tcPr>
            <w:tcW w:w="8328" w:type="dxa"/>
            <w:gridSpan w:val="7"/>
            <w:vAlign w:val="center"/>
          </w:tcPr>
          <w:p w14:paraId="4F103D85" w14:textId="77777777" w:rsidR="00E16BE7" w:rsidRDefault="001E39E8">
            <w:pPr>
              <w:tabs>
                <w:tab w:val="left" w:pos="480"/>
              </w:tabs>
              <w:jc w:val="center"/>
              <w:rPr>
                <w:rFonts w:cs="Times New Roman"/>
                <w:b/>
                <w:bCs/>
              </w:rPr>
            </w:pPr>
            <w:r>
              <w:rPr>
                <w:rFonts w:cs="Times New Roman"/>
                <w:b/>
                <w:bCs/>
              </w:rPr>
              <w:t>About stock market</w:t>
            </w:r>
          </w:p>
        </w:tc>
      </w:tr>
      <w:tr w:rsidR="00E16BE7" w14:paraId="11AD8BDE" w14:textId="77777777">
        <w:trPr>
          <w:trHeight w:val="771"/>
        </w:trPr>
        <w:tc>
          <w:tcPr>
            <w:tcW w:w="2187" w:type="dxa"/>
            <w:vAlign w:val="center"/>
          </w:tcPr>
          <w:p w14:paraId="12C6D4B7" w14:textId="77777777" w:rsidR="00E16BE7" w:rsidRDefault="001E39E8">
            <w:pPr>
              <w:tabs>
                <w:tab w:val="left" w:pos="480"/>
              </w:tabs>
              <w:jc w:val="center"/>
              <w:rPr>
                <w:rFonts w:cs="Times New Roman"/>
              </w:rPr>
            </w:pPr>
            <w:r>
              <w:rPr>
                <w:rFonts w:cs="Times New Roman"/>
              </w:rPr>
              <w:t>Social media</w:t>
            </w:r>
          </w:p>
        </w:tc>
        <w:tc>
          <w:tcPr>
            <w:tcW w:w="995" w:type="dxa"/>
            <w:vAlign w:val="center"/>
          </w:tcPr>
          <w:p w14:paraId="121F54ED" w14:textId="77777777" w:rsidR="00E16BE7" w:rsidRDefault="001E39E8">
            <w:pPr>
              <w:tabs>
                <w:tab w:val="left" w:pos="480"/>
              </w:tabs>
              <w:jc w:val="center"/>
              <w:rPr>
                <w:rFonts w:cs="Times New Roman"/>
              </w:rPr>
            </w:pPr>
            <w:r>
              <w:rPr>
                <w:rFonts w:cs="Times New Roman"/>
              </w:rPr>
              <w:t>14</w:t>
            </w:r>
          </w:p>
          <w:p w14:paraId="7DE4443E" w14:textId="77777777" w:rsidR="00E16BE7" w:rsidRDefault="001E39E8">
            <w:pPr>
              <w:tabs>
                <w:tab w:val="left" w:pos="480"/>
              </w:tabs>
              <w:jc w:val="center"/>
              <w:rPr>
                <w:rFonts w:cs="Times New Roman"/>
              </w:rPr>
            </w:pPr>
            <w:r>
              <w:rPr>
                <w:rFonts w:cs="Times New Roman"/>
              </w:rPr>
              <w:t>23.5%</w:t>
            </w:r>
          </w:p>
        </w:tc>
        <w:tc>
          <w:tcPr>
            <w:tcW w:w="995" w:type="dxa"/>
            <w:vAlign w:val="center"/>
          </w:tcPr>
          <w:p w14:paraId="2F8AD0A4" w14:textId="77777777" w:rsidR="00E16BE7" w:rsidRDefault="001E39E8">
            <w:pPr>
              <w:tabs>
                <w:tab w:val="left" w:pos="480"/>
              </w:tabs>
              <w:jc w:val="center"/>
              <w:rPr>
                <w:rFonts w:cs="Times New Roman"/>
              </w:rPr>
            </w:pPr>
            <w:r>
              <w:rPr>
                <w:rFonts w:cs="Times New Roman"/>
              </w:rPr>
              <w:t>13</w:t>
            </w:r>
          </w:p>
          <w:p w14:paraId="3BFB25E7" w14:textId="77777777" w:rsidR="00E16BE7" w:rsidRDefault="001E39E8">
            <w:pPr>
              <w:tabs>
                <w:tab w:val="left" w:pos="480"/>
              </w:tabs>
              <w:jc w:val="center"/>
              <w:rPr>
                <w:rFonts w:cs="Times New Roman"/>
              </w:rPr>
            </w:pPr>
            <w:r>
              <w:rPr>
                <w:rFonts w:cs="Times New Roman"/>
              </w:rPr>
              <w:t>76.5%</w:t>
            </w:r>
          </w:p>
        </w:tc>
        <w:tc>
          <w:tcPr>
            <w:tcW w:w="995" w:type="dxa"/>
            <w:vAlign w:val="center"/>
          </w:tcPr>
          <w:p w14:paraId="1D1FA175" w14:textId="77777777" w:rsidR="00E16BE7" w:rsidRDefault="001E39E8">
            <w:pPr>
              <w:tabs>
                <w:tab w:val="left" w:pos="480"/>
              </w:tabs>
              <w:jc w:val="center"/>
              <w:rPr>
                <w:rFonts w:cs="Times New Roman"/>
              </w:rPr>
            </w:pPr>
            <w:r>
              <w:rPr>
                <w:rFonts w:cs="Times New Roman"/>
              </w:rPr>
              <w:t>27</w:t>
            </w:r>
          </w:p>
          <w:p w14:paraId="590589C3" w14:textId="77777777" w:rsidR="00E16BE7" w:rsidRDefault="001E39E8">
            <w:pPr>
              <w:tabs>
                <w:tab w:val="left" w:pos="480"/>
              </w:tabs>
              <w:jc w:val="center"/>
              <w:rPr>
                <w:rFonts w:cs="Times New Roman"/>
              </w:rPr>
            </w:pPr>
            <w:r>
              <w:rPr>
                <w:rFonts w:cs="Times New Roman"/>
              </w:rPr>
              <w:t>100.0%</w:t>
            </w:r>
          </w:p>
        </w:tc>
        <w:tc>
          <w:tcPr>
            <w:tcW w:w="597" w:type="dxa"/>
            <w:vMerge w:val="restart"/>
            <w:vAlign w:val="center"/>
          </w:tcPr>
          <w:p w14:paraId="6AD9E5BB" w14:textId="77777777" w:rsidR="00E16BE7" w:rsidRDefault="00E16BE7">
            <w:pPr>
              <w:tabs>
                <w:tab w:val="left" w:pos="480"/>
              </w:tabs>
              <w:jc w:val="center"/>
              <w:rPr>
                <w:rFonts w:cs="Times New Roman"/>
              </w:rPr>
            </w:pPr>
          </w:p>
          <w:p w14:paraId="09394A7A" w14:textId="77777777" w:rsidR="00E16BE7" w:rsidRDefault="00E16BE7">
            <w:pPr>
              <w:tabs>
                <w:tab w:val="left" w:pos="480"/>
              </w:tabs>
              <w:jc w:val="center"/>
              <w:rPr>
                <w:rFonts w:cs="Times New Roman"/>
              </w:rPr>
            </w:pPr>
          </w:p>
          <w:p w14:paraId="7C70B239" w14:textId="77777777" w:rsidR="00E16BE7" w:rsidRDefault="00E16BE7">
            <w:pPr>
              <w:tabs>
                <w:tab w:val="left" w:pos="480"/>
              </w:tabs>
              <w:jc w:val="center"/>
              <w:rPr>
                <w:rFonts w:cs="Times New Roman"/>
              </w:rPr>
            </w:pPr>
          </w:p>
          <w:p w14:paraId="2156E925" w14:textId="77777777" w:rsidR="00E16BE7" w:rsidRDefault="001E39E8">
            <w:pPr>
              <w:tabs>
                <w:tab w:val="left" w:pos="480"/>
              </w:tabs>
              <w:jc w:val="center"/>
              <w:rPr>
                <w:rFonts w:cs="Times New Roman"/>
              </w:rPr>
            </w:pPr>
            <w:r>
              <w:rPr>
                <w:rFonts w:cs="Times New Roman"/>
              </w:rPr>
              <w:t>3</w:t>
            </w:r>
          </w:p>
        </w:tc>
        <w:tc>
          <w:tcPr>
            <w:tcW w:w="1330" w:type="dxa"/>
            <w:vMerge w:val="restart"/>
            <w:vAlign w:val="center"/>
          </w:tcPr>
          <w:p w14:paraId="3C3CC14A" w14:textId="77777777" w:rsidR="00E16BE7" w:rsidRDefault="00E16BE7">
            <w:pPr>
              <w:tabs>
                <w:tab w:val="left" w:pos="480"/>
              </w:tabs>
              <w:jc w:val="center"/>
              <w:rPr>
                <w:rFonts w:cs="Times New Roman"/>
              </w:rPr>
            </w:pPr>
          </w:p>
          <w:p w14:paraId="48678301" w14:textId="77777777" w:rsidR="00E16BE7" w:rsidRDefault="00E16BE7">
            <w:pPr>
              <w:tabs>
                <w:tab w:val="left" w:pos="480"/>
              </w:tabs>
              <w:jc w:val="center"/>
              <w:rPr>
                <w:rFonts w:cs="Times New Roman"/>
              </w:rPr>
            </w:pPr>
          </w:p>
          <w:p w14:paraId="20426CFD" w14:textId="77777777" w:rsidR="00E16BE7" w:rsidRDefault="00E16BE7">
            <w:pPr>
              <w:tabs>
                <w:tab w:val="left" w:pos="480"/>
              </w:tabs>
              <w:jc w:val="center"/>
              <w:rPr>
                <w:rFonts w:cs="Times New Roman"/>
              </w:rPr>
            </w:pPr>
          </w:p>
          <w:p w14:paraId="0E49002D" w14:textId="77777777" w:rsidR="00E16BE7" w:rsidRDefault="001E39E8">
            <w:pPr>
              <w:tabs>
                <w:tab w:val="left" w:pos="480"/>
              </w:tabs>
              <w:jc w:val="center"/>
              <w:rPr>
                <w:rFonts w:cs="Times New Roman"/>
              </w:rPr>
            </w:pPr>
            <w:r>
              <w:rPr>
                <w:rFonts w:cs="Times New Roman"/>
              </w:rPr>
              <w:t>11.348**</w:t>
            </w:r>
          </w:p>
        </w:tc>
        <w:tc>
          <w:tcPr>
            <w:tcW w:w="1229" w:type="dxa"/>
            <w:vMerge w:val="restart"/>
            <w:vAlign w:val="center"/>
          </w:tcPr>
          <w:p w14:paraId="041399FA" w14:textId="77777777" w:rsidR="00E16BE7" w:rsidRDefault="00E16BE7">
            <w:pPr>
              <w:tabs>
                <w:tab w:val="left" w:pos="480"/>
              </w:tabs>
              <w:jc w:val="center"/>
              <w:rPr>
                <w:rFonts w:cs="Times New Roman"/>
              </w:rPr>
            </w:pPr>
          </w:p>
          <w:p w14:paraId="00C60FBE" w14:textId="77777777" w:rsidR="00E16BE7" w:rsidRDefault="00E16BE7">
            <w:pPr>
              <w:tabs>
                <w:tab w:val="left" w:pos="480"/>
              </w:tabs>
              <w:jc w:val="center"/>
              <w:rPr>
                <w:rFonts w:cs="Times New Roman"/>
              </w:rPr>
            </w:pPr>
          </w:p>
          <w:p w14:paraId="19760963" w14:textId="77777777" w:rsidR="00E16BE7" w:rsidRDefault="00E16BE7">
            <w:pPr>
              <w:tabs>
                <w:tab w:val="left" w:pos="480"/>
              </w:tabs>
              <w:jc w:val="center"/>
              <w:rPr>
                <w:rFonts w:cs="Times New Roman"/>
              </w:rPr>
            </w:pPr>
          </w:p>
          <w:p w14:paraId="06395EC9" w14:textId="77777777" w:rsidR="00E16BE7" w:rsidRDefault="001E39E8">
            <w:pPr>
              <w:tabs>
                <w:tab w:val="left" w:pos="480"/>
              </w:tabs>
              <w:jc w:val="center"/>
              <w:rPr>
                <w:rFonts w:cs="Times New Roman"/>
              </w:rPr>
            </w:pPr>
            <w:r>
              <w:rPr>
                <w:rFonts w:cs="Times New Roman"/>
              </w:rPr>
              <w:t>0.00427</w:t>
            </w:r>
          </w:p>
        </w:tc>
      </w:tr>
      <w:tr w:rsidR="00E16BE7" w14:paraId="6F7CE706" w14:textId="77777777">
        <w:trPr>
          <w:trHeight w:val="664"/>
        </w:trPr>
        <w:tc>
          <w:tcPr>
            <w:tcW w:w="2187" w:type="dxa"/>
            <w:vAlign w:val="center"/>
          </w:tcPr>
          <w:p w14:paraId="4E711BF4" w14:textId="77777777" w:rsidR="00E16BE7" w:rsidRDefault="001E39E8">
            <w:pPr>
              <w:jc w:val="center"/>
              <w:rPr>
                <w:rFonts w:cs="Times New Roman"/>
              </w:rPr>
            </w:pPr>
            <w:r>
              <w:rPr>
                <w:rFonts w:cs="Times New Roman"/>
              </w:rPr>
              <w:t>Friends</w:t>
            </w:r>
          </w:p>
        </w:tc>
        <w:tc>
          <w:tcPr>
            <w:tcW w:w="995" w:type="dxa"/>
            <w:vAlign w:val="center"/>
          </w:tcPr>
          <w:p w14:paraId="46A651E2" w14:textId="77777777" w:rsidR="00E16BE7" w:rsidRDefault="001E39E8">
            <w:pPr>
              <w:jc w:val="center"/>
              <w:rPr>
                <w:rFonts w:cs="Times New Roman"/>
              </w:rPr>
            </w:pPr>
            <w:r>
              <w:rPr>
                <w:rFonts w:cs="Times New Roman"/>
              </w:rPr>
              <w:t>2</w:t>
            </w:r>
          </w:p>
          <w:p w14:paraId="551E85DE" w14:textId="77777777" w:rsidR="00E16BE7" w:rsidRDefault="001E39E8">
            <w:pPr>
              <w:jc w:val="center"/>
              <w:rPr>
                <w:rFonts w:cs="Times New Roman"/>
              </w:rPr>
            </w:pPr>
            <w:r>
              <w:rPr>
                <w:rFonts w:cs="Times New Roman"/>
              </w:rPr>
              <w:t>50.0%</w:t>
            </w:r>
          </w:p>
        </w:tc>
        <w:tc>
          <w:tcPr>
            <w:tcW w:w="995" w:type="dxa"/>
            <w:vAlign w:val="center"/>
          </w:tcPr>
          <w:p w14:paraId="21B7E1C4" w14:textId="77777777" w:rsidR="00E16BE7" w:rsidRDefault="001E39E8">
            <w:pPr>
              <w:jc w:val="center"/>
              <w:rPr>
                <w:rFonts w:cs="Times New Roman"/>
              </w:rPr>
            </w:pPr>
            <w:r>
              <w:rPr>
                <w:rFonts w:cs="Times New Roman"/>
              </w:rPr>
              <w:t>2</w:t>
            </w:r>
          </w:p>
          <w:p w14:paraId="68D241DD" w14:textId="77777777" w:rsidR="00E16BE7" w:rsidRDefault="001E39E8">
            <w:pPr>
              <w:jc w:val="center"/>
              <w:rPr>
                <w:rFonts w:cs="Times New Roman"/>
              </w:rPr>
            </w:pPr>
            <w:r>
              <w:rPr>
                <w:rFonts w:cs="Times New Roman"/>
              </w:rPr>
              <w:t>50.0%</w:t>
            </w:r>
          </w:p>
        </w:tc>
        <w:tc>
          <w:tcPr>
            <w:tcW w:w="995" w:type="dxa"/>
            <w:vAlign w:val="center"/>
          </w:tcPr>
          <w:p w14:paraId="14690A2B" w14:textId="77777777" w:rsidR="00E16BE7" w:rsidRDefault="001E39E8">
            <w:pPr>
              <w:jc w:val="center"/>
              <w:rPr>
                <w:rFonts w:cs="Times New Roman"/>
              </w:rPr>
            </w:pPr>
            <w:r>
              <w:rPr>
                <w:rFonts w:cs="Times New Roman"/>
              </w:rPr>
              <w:t>4</w:t>
            </w:r>
          </w:p>
          <w:p w14:paraId="47703A81" w14:textId="77777777" w:rsidR="00E16BE7" w:rsidRDefault="001E39E8">
            <w:pPr>
              <w:jc w:val="center"/>
              <w:rPr>
                <w:rFonts w:cs="Times New Roman"/>
              </w:rPr>
            </w:pPr>
            <w:r>
              <w:rPr>
                <w:rFonts w:cs="Times New Roman"/>
              </w:rPr>
              <w:t>100.0%</w:t>
            </w:r>
          </w:p>
        </w:tc>
        <w:tc>
          <w:tcPr>
            <w:tcW w:w="597" w:type="dxa"/>
            <w:vMerge/>
            <w:vAlign w:val="center"/>
          </w:tcPr>
          <w:p w14:paraId="15442CF9" w14:textId="77777777" w:rsidR="00E16BE7" w:rsidRDefault="00E16BE7">
            <w:pPr>
              <w:jc w:val="center"/>
              <w:rPr>
                <w:rFonts w:cs="Times New Roman"/>
              </w:rPr>
            </w:pPr>
          </w:p>
        </w:tc>
        <w:tc>
          <w:tcPr>
            <w:tcW w:w="1330" w:type="dxa"/>
            <w:vMerge/>
            <w:vAlign w:val="center"/>
          </w:tcPr>
          <w:p w14:paraId="22CCC336" w14:textId="77777777" w:rsidR="00E16BE7" w:rsidRDefault="00E16BE7">
            <w:pPr>
              <w:jc w:val="center"/>
              <w:rPr>
                <w:rFonts w:cs="Times New Roman"/>
              </w:rPr>
            </w:pPr>
          </w:p>
        </w:tc>
        <w:tc>
          <w:tcPr>
            <w:tcW w:w="1229" w:type="dxa"/>
            <w:vMerge/>
            <w:vAlign w:val="center"/>
          </w:tcPr>
          <w:p w14:paraId="43DF69EF" w14:textId="77777777" w:rsidR="00E16BE7" w:rsidRDefault="00E16BE7">
            <w:pPr>
              <w:jc w:val="center"/>
              <w:rPr>
                <w:rFonts w:cs="Times New Roman"/>
              </w:rPr>
            </w:pPr>
          </w:p>
        </w:tc>
      </w:tr>
      <w:tr w:rsidR="00E16BE7" w14:paraId="20E18970" w14:textId="77777777">
        <w:trPr>
          <w:trHeight w:val="629"/>
        </w:trPr>
        <w:tc>
          <w:tcPr>
            <w:tcW w:w="2187" w:type="dxa"/>
            <w:vAlign w:val="center"/>
          </w:tcPr>
          <w:p w14:paraId="0FC2E8A8" w14:textId="77777777" w:rsidR="00E16BE7" w:rsidRDefault="001E39E8">
            <w:pPr>
              <w:jc w:val="center"/>
              <w:rPr>
                <w:rFonts w:cs="Times New Roman"/>
              </w:rPr>
            </w:pPr>
            <w:r>
              <w:rPr>
                <w:rFonts w:cs="Times New Roman"/>
              </w:rPr>
              <w:t>Family</w:t>
            </w:r>
          </w:p>
        </w:tc>
        <w:tc>
          <w:tcPr>
            <w:tcW w:w="995" w:type="dxa"/>
            <w:vAlign w:val="center"/>
          </w:tcPr>
          <w:p w14:paraId="114E4FDC" w14:textId="77777777" w:rsidR="00E16BE7" w:rsidRDefault="001E39E8">
            <w:pPr>
              <w:jc w:val="center"/>
              <w:rPr>
                <w:rFonts w:cs="Times New Roman"/>
              </w:rPr>
            </w:pPr>
            <w:r>
              <w:rPr>
                <w:rFonts w:cs="Times New Roman"/>
              </w:rPr>
              <w:t>0</w:t>
            </w:r>
          </w:p>
          <w:p w14:paraId="7136299B" w14:textId="77777777" w:rsidR="00E16BE7" w:rsidRDefault="001E39E8">
            <w:pPr>
              <w:jc w:val="center"/>
              <w:rPr>
                <w:rFonts w:cs="Times New Roman"/>
              </w:rPr>
            </w:pPr>
            <w:r>
              <w:rPr>
                <w:rFonts w:cs="Times New Roman"/>
              </w:rPr>
              <w:t>0.0%</w:t>
            </w:r>
          </w:p>
        </w:tc>
        <w:tc>
          <w:tcPr>
            <w:tcW w:w="995" w:type="dxa"/>
            <w:vAlign w:val="center"/>
          </w:tcPr>
          <w:p w14:paraId="52D08828" w14:textId="77777777" w:rsidR="00E16BE7" w:rsidRDefault="001E39E8">
            <w:pPr>
              <w:jc w:val="center"/>
              <w:rPr>
                <w:rFonts w:cs="Times New Roman"/>
              </w:rPr>
            </w:pPr>
            <w:r>
              <w:rPr>
                <w:rFonts w:cs="Times New Roman"/>
              </w:rPr>
              <w:t>1</w:t>
            </w:r>
          </w:p>
          <w:p w14:paraId="778AA9EB" w14:textId="77777777" w:rsidR="00E16BE7" w:rsidRDefault="001E39E8">
            <w:pPr>
              <w:jc w:val="center"/>
              <w:rPr>
                <w:rFonts w:cs="Times New Roman"/>
              </w:rPr>
            </w:pPr>
            <w:r>
              <w:rPr>
                <w:rFonts w:cs="Times New Roman"/>
              </w:rPr>
              <w:t>100.0%</w:t>
            </w:r>
          </w:p>
        </w:tc>
        <w:tc>
          <w:tcPr>
            <w:tcW w:w="995" w:type="dxa"/>
            <w:vAlign w:val="center"/>
          </w:tcPr>
          <w:p w14:paraId="409892A5" w14:textId="77777777" w:rsidR="00E16BE7" w:rsidRDefault="001E39E8">
            <w:pPr>
              <w:jc w:val="center"/>
              <w:rPr>
                <w:rFonts w:cs="Times New Roman"/>
              </w:rPr>
            </w:pPr>
            <w:r>
              <w:rPr>
                <w:rFonts w:cs="Times New Roman"/>
              </w:rPr>
              <w:t>1</w:t>
            </w:r>
          </w:p>
          <w:p w14:paraId="1C9D0A09" w14:textId="77777777" w:rsidR="00E16BE7" w:rsidRDefault="001E39E8">
            <w:pPr>
              <w:jc w:val="center"/>
              <w:rPr>
                <w:rFonts w:cs="Times New Roman"/>
              </w:rPr>
            </w:pPr>
            <w:r>
              <w:rPr>
                <w:rFonts w:cs="Times New Roman"/>
              </w:rPr>
              <w:t>100.0%</w:t>
            </w:r>
          </w:p>
        </w:tc>
        <w:tc>
          <w:tcPr>
            <w:tcW w:w="597" w:type="dxa"/>
            <w:vMerge/>
            <w:vAlign w:val="center"/>
          </w:tcPr>
          <w:p w14:paraId="193FEDB9" w14:textId="77777777" w:rsidR="00E16BE7" w:rsidRDefault="00E16BE7">
            <w:pPr>
              <w:jc w:val="center"/>
              <w:rPr>
                <w:rFonts w:cs="Times New Roman"/>
              </w:rPr>
            </w:pPr>
          </w:p>
        </w:tc>
        <w:tc>
          <w:tcPr>
            <w:tcW w:w="1330" w:type="dxa"/>
            <w:vMerge/>
            <w:vAlign w:val="center"/>
          </w:tcPr>
          <w:p w14:paraId="0F143B44" w14:textId="77777777" w:rsidR="00E16BE7" w:rsidRDefault="00E16BE7">
            <w:pPr>
              <w:jc w:val="center"/>
              <w:rPr>
                <w:rFonts w:cs="Times New Roman"/>
              </w:rPr>
            </w:pPr>
          </w:p>
        </w:tc>
        <w:tc>
          <w:tcPr>
            <w:tcW w:w="1229" w:type="dxa"/>
            <w:vMerge/>
            <w:vAlign w:val="center"/>
          </w:tcPr>
          <w:p w14:paraId="232A9D62" w14:textId="77777777" w:rsidR="00E16BE7" w:rsidRDefault="00E16BE7">
            <w:pPr>
              <w:jc w:val="center"/>
              <w:rPr>
                <w:rFonts w:cs="Times New Roman"/>
              </w:rPr>
            </w:pPr>
          </w:p>
        </w:tc>
      </w:tr>
      <w:tr w:rsidR="00E16BE7" w14:paraId="1179915F" w14:textId="77777777">
        <w:trPr>
          <w:trHeight w:val="718"/>
        </w:trPr>
        <w:tc>
          <w:tcPr>
            <w:tcW w:w="2187" w:type="dxa"/>
            <w:vAlign w:val="center"/>
          </w:tcPr>
          <w:p w14:paraId="479E3608" w14:textId="77777777" w:rsidR="00E16BE7" w:rsidRDefault="001E39E8">
            <w:pPr>
              <w:jc w:val="center"/>
              <w:rPr>
                <w:rFonts w:cs="Times New Roman"/>
              </w:rPr>
            </w:pPr>
            <w:r>
              <w:rPr>
                <w:rFonts w:cs="Times New Roman"/>
              </w:rPr>
              <w:t>Academic courses</w:t>
            </w:r>
          </w:p>
        </w:tc>
        <w:tc>
          <w:tcPr>
            <w:tcW w:w="995" w:type="dxa"/>
            <w:vAlign w:val="center"/>
          </w:tcPr>
          <w:p w14:paraId="64D05551" w14:textId="77777777" w:rsidR="00E16BE7" w:rsidRDefault="001E39E8">
            <w:pPr>
              <w:jc w:val="center"/>
              <w:rPr>
                <w:rFonts w:cs="Times New Roman"/>
              </w:rPr>
            </w:pPr>
            <w:r>
              <w:rPr>
                <w:rFonts w:cs="Times New Roman"/>
              </w:rPr>
              <w:t>9</w:t>
            </w:r>
          </w:p>
          <w:p w14:paraId="45A7F91F" w14:textId="77777777" w:rsidR="00E16BE7" w:rsidRDefault="001E39E8">
            <w:pPr>
              <w:jc w:val="center"/>
              <w:rPr>
                <w:rFonts w:cs="Times New Roman"/>
              </w:rPr>
            </w:pPr>
            <w:r>
              <w:rPr>
                <w:rFonts w:cs="Times New Roman"/>
              </w:rPr>
              <w:t>39.1%</w:t>
            </w:r>
          </w:p>
        </w:tc>
        <w:tc>
          <w:tcPr>
            <w:tcW w:w="995" w:type="dxa"/>
            <w:vAlign w:val="center"/>
          </w:tcPr>
          <w:p w14:paraId="134D88F7" w14:textId="77777777" w:rsidR="00E16BE7" w:rsidRDefault="001E39E8">
            <w:pPr>
              <w:jc w:val="center"/>
              <w:rPr>
                <w:rFonts w:cs="Times New Roman"/>
              </w:rPr>
            </w:pPr>
            <w:r>
              <w:rPr>
                <w:rFonts w:cs="Times New Roman"/>
              </w:rPr>
              <w:t>14</w:t>
            </w:r>
          </w:p>
          <w:p w14:paraId="5C91F39A" w14:textId="77777777" w:rsidR="00E16BE7" w:rsidRDefault="001E39E8">
            <w:pPr>
              <w:jc w:val="center"/>
              <w:rPr>
                <w:rFonts w:cs="Times New Roman"/>
              </w:rPr>
            </w:pPr>
            <w:r>
              <w:rPr>
                <w:rFonts w:cs="Times New Roman"/>
              </w:rPr>
              <w:t>60.9%</w:t>
            </w:r>
          </w:p>
        </w:tc>
        <w:tc>
          <w:tcPr>
            <w:tcW w:w="995" w:type="dxa"/>
            <w:vAlign w:val="center"/>
          </w:tcPr>
          <w:p w14:paraId="77C492C2" w14:textId="77777777" w:rsidR="00E16BE7" w:rsidRDefault="001E39E8">
            <w:pPr>
              <w:jc w:val="center"/>
              <w:rPr>
                <w:rFonts w:cs="Times New Roman"/>
              </w:rPr>
            </w:pPr>
            <w:r>
              <w:rPr>
                <w:rFonts w:cs="Times New Roman"/>
              </w:rPr>
              <w:t>23</w:t>
            </w:r>
          </w:p>
          <w:p w14:paraId="65D936DB" w14:textId="77777777" w:rsidR="00E16BE7" w:rsidRDefault="001E39E8">
            <w:pPr>
              <w:jc w:val="center"/>
              <w:rPr>
                <w:rFonts w:cs="Times New Roman"/>
              </w:rPr>
            </w:pPr>
            <w:r>
              <w:rPr>
                <w:rFonts w:cs="Times New Roman"/>
              </w:rPr>
              <w:t>100.0%</w:t>
            </w:r>
          </w:p>
        </w:tc>
        <w:tc>
          <w:tcPr>
            <w:tcW w:w="597" w:type="dxa"/>
            <w:vMerge/>
            <w:vAlign w:val="center"/>
          </w:tcPr>
          <w:p w14:paraId="788A1731" w14:textId="77777777" w:rsidR="00E16BE7" w:rsidRDefault="00E16BE7">
            <w:pPr>
              <w:jc w:val="center"/>
              <w:rPr>
                <w:rFonts w:cs="Times New Roman"/>
              </w:rPr>
            </w:pPr>
          </w:p>
        </w:tc>
        <w:tc>
          <w:tcPr>
            <w:tcW w:w="1330" w:type="dxa"/>
            <w:vMerge/>
            <w:vAlign w:val="center"/>
          </w:tcPr>
          <w:p w14:paraId="778804B6" w14:textId="77777777" w:rsidR="00E16BE7" w:rsidRDefault="00E16BE7">
            <w:pPr>
              <w:jc w:val="center"/>
              <w:rPr>
                <w:rFonts w:cs="Times New Roman"/>
              </w:rPr>
            </w:pPr>
          </w:p>
        </w:tc>
        <w:tc>
          <w:tcPr>
            <w:tcW w:w="1229" w:type="dxa"/>
            <w:vMerge/>
            <w:vAlign w:val="center"/>
          </w:tcPr>
          <w:p w14:paraId="41D71877" w14:textId="77777777" w:rsidR="00E16BE7" w:rsidRDefault="00E16BE7">
            <w:pPr>
              <w:jc w:val="center"/>
              <w:rPr>
                <w:rFonts w:cs="Times New Roman"/>
              </w:rPr>
            </w:pPr>
          </w:p>
        </w:tc>
      </w:tr>
      <w:tr w:rsidR="00E16BE7" w14:paraId="02CB5C64" w14:textId="77777777">
        <w:trPr>
          <w:trHeight w:val="565"/>
        </w:trPr>
        <w:tc>
          <w:tcPr>
            <w:tcW w:w="8328" w:type="dxa"/>
            <w:gridSpan w:val="7"/>
            <w:vAlign w:val="center"/>
          </w:tcPr>
          <w:p w14:paraId="6201123E" w14:textId="77777777" w:rsidR="00E16BE7" w:rsidRDefault="001E39E8">
            <w:pPr>
              <w:jc w:val="center"/>
              <w:rPr>
                <w:rFonts w:cs="Times New Roman"/>
                <w:b/>
                <w:bCs/>
              </w:rPr>
            </w:pPr>
            <w:r>
              <w:rPr>
                <w:rFonts w:cs="Times New Roman"/>
                <w:b/>
                <w:bCs/>
              </w:rPr>
              <w:t>Mode of learning</w:t>
            </w:r>
          </w:p>
        </w:tc>
      </w:tr>
      <w:tr w:rsidR="00E16BE7" w14:paraId="51AB2059" w14:textId="77777777">
        <w:trPr>
          <w:trHeight w:val="629"/>
        </w:trPr>
        <w:tc>
          <w:tcPr>
            <w:tcW w:w="2187" w:type="dxa"/>
            <w:vAlign w:val="center"/>
          </w:tcPr>
          <w:p w14:paraId="7A668E14" w14:textId="77777777" w:rsidR="00E16BE7" w:rsidRDefault="001E39E8">
            <w:pPr>
              <w:jc w:val="center"/>
              <w:rPr>
                <w:rFonts w:cs="Times New Roman"/>
              </w:rPr>
            </w:pPr>
            <w:r>
              <w:rPr>
                <w:rFonts w:cs="Times New Roman"/>
              </w:rPr>
              <w:t>Online</w:t>
            </w:r>
          </w:p>
        </w:tc>
        <w:tc>
          <w:tcPr>
            <w:tcW w:w="995" w:type="dxa"/>
            <w:vAlign w:val="center"/>
          </w:tcPr>
          <w:p w14:paraId="055145EA" w14:textId="77777777" w:rsidR="00E16BE7" w:rsidRDefault="001E39E8">
            <w:pPr>
              <w:jc w:val="center"/>
              <w:rPr>
                <w:rFonts w:cs="Times New Roman"/>
              </w:rPr>
            </w:pPr>
            <w:r>
              <w:rPr>
                <w:rFonts w:cs="Times New Roman"/>
              </w:rPr>
              <w:t>3</w:t>
            </w:r>
          </w:p>
          <w:p w14:paraId="102428DD" w14:textId="77777777" w:rsidR="00E16BE7" w:rsidRDefault="001E39E8">
            <w:pPr>
              <w:jc w:val="center"/>
              <w:rPr>
                <w:rFonts w:cs="Times New Roman"/>
              </w:rPr>
            </w:pPr>
            <w:r>
              <w:rPr>
                <w:rFonts w:cs="Times New Roman"/>
              </w:rPr>
              <w:t>23.1%</w:t>
            </w:r>
          </w:p>
        </w:tc>
        <w:tc>
          <w:tcPr>
            <w:tcW w:w="995" w:type="dxa"/>
            <w:vAlign w:val="center"/>
          </w:tcPr>
          <w:p w14:paraId="1E88BBF5" w14:textId="77777777" w:rsidR="00E16BE7" w:rsidRDefault="001E39E8">
            <w:pPr>
              <w:jc w:val="center"/>
              <w:rPr>
                <w:rFonts w:cs="Times New Roman"/>
              </w:rPr>
            </w:pPr>
            <w:r>
              <w:rPr>
                <w:rFonts w:cs="Times New Roman"/>
              </w:rPr>
              <w:t>10</w:t>
            </w:r>
          </w:p>
          <w:p w14:paraId="258B2860" w14:textId="77777777" w:rsidR="00E16BE7" w:rsidRDefault="001E39E8">
            <w:pPr>
              <w:jc w:val="center"/>
              <w:rPr>
                <w:rFonts w:cs="Times New Roman"/>
              </w:rPr>
            </w:pPr>
            <w:r>
              <w:rPr>
                <w:rFonts w:cs="Times New Roman"/>
              </w:rPr>
              <w:t>76.9%</w:t>
            </w:r>
          </w:p>
        </w:tc>
        <w:tc>
          <w:tcPr>
            <w:tcW w:w="995" w:type="dxa"/>
            <w:vAlign w:val="center"/>
          </w:tcPr>
          <w:p w14:paraId="203FDEE3" w14:textId="77777777" w:rsidR="00E16BE7" w:rsidRDefault="001E39E8">
            <w:pPr>
              <w:jc w:val="center"/>
              <w:rPr>
                <w:rFonts w:cs="Times New Roman"/>
              </w:rPr>
            </w:pPr>
            <w:r>
              <w:rPr>
                <w:rFonts w:cs="Times New Roman"/>
              </w:rPr>
              <w:t>13</w:t>
            </w:r>
          </w:p>
          <w:p w14:paraId="3714E854" w14:textId="77777777" w:rsidR="00E16BE7" w:rsidRDefault="001E39E8">
            <w:pPr>
              <w:jc w:val="center"/>
              <w:rPr>
                <w:rFonts w:cs="Times New Roman"/>
              </w:rPr>
            </w:pPr>
            <w:r>
              <w:rPr>
                <w:rFonts w:cs="Times New Roman"/>
              </w:rPr>
              <w:t>100.0%</w:t>
            </w:r>
          </w:p>
        </w:tc>
        <w:tc>
          <w:tcPr>
            <w:tcW w:w="597" w:type="dxa"/>
            <w:vMerge w:val="restart"/>
            <w:vAlign w:val="center"/>
          </w:tcPr>
          <w:p w14:paraId="444F2BEC" w14:textId="77777777" w:rsidR="00E16BE7" w:rsidRDefault="00E16BE7">
            <w:pPr>
              <w:jc w:val="center"/>
              <w:rPr>
                <w:rFonts w:cs="Times New Roman"/>
              </w:rPr>
            </w:pPr>
          </w:p>
          <w:p w14:paraId="4423505C" w14:textId="77777777" w:rsidR="00E16BE7" w:rsidRDefault="001E39E8">
            <w:pPr>
              <w:jc w:val="center"/>
              <w:rPr>
                <w:rFonts w:cs="Times New Roman"/>
              </w:rPr>
            </w:pPr>
            <w:r>
              <w:rPr>
                <w:rFonts w:cs="Times New Roman"/>
              </w:rPr>
              <w:t>1</w:t>
            </w:r>
          </w:p>
        </w:tc>
        <w:tc>
          <w:tcPr>
            <w:tcW w:w="1330" w:type="dxa"/>
            <w:vMerge w:val="restart"/>
            <w:vAlign w:val="center"/>
          </w:tcPr>
          <w:p w14:paraId="7565250F" w14:textId="77777777" w:rsidR="00E16BE7" w:rsidRDefault="00E16BE7">
            <w:pPr>
              <w:jc w:val="center"/>
              <w:rPr>
                <w:rFonts w:cs="Times New Roman"/>
              </w:rPr>
            </w:pPr>
          </w:p>
          <w:p w14:paraId="6EC68488" w14:textId="77777777" w:rsidR="00E16BE7" w:rsidRDefault="001E39E8">
            <w:pPr>
              <w:jc w:val="center"/>
              <w:rPr>
                <w:rFonts w:cs="Times New Roman"/>
              </w:rPr>
            </w:pPr>
            <w:r>
              <w:rPr>
                <w:rFonts w:cs="Times New Roman"/>
              </w:rPr>
              <w:t>8.279**</w:t>
            </w:r>
          </w:p>
        </w:tc>
        <w:tc>
          <w:tcPr>
            <w:tcW w:w="1229" w:type="dxa"/>
            <w:vMerge w:val="restart"/>
            <w:vAlign w:val="center"/>
          </w:tcPr>
          <w:p w14:paraId="0DCE6047" w14:textId="77777777" w:rsidR="00E16BE7" w:rsidRDefault="00E16BE7">
            <w:pPr>
              <w:jc w:val="center"/>
              <w:rPr>
                <w:rFonts w:cs="Times New Roman"/>
              </w:rPr>
            </w:pPr>
          </w:p>
          <w:p w14:paraId="3FD45EEE" w14:textId="77777777" w:rsidR="00E16BE7" w:rsidRDefault="001E39E8">
            <w:pPr>
              <w:jc w:val="center"/>
              <w:rPr>
                <w:rFonts w:cs="Times New Roman"/>
              </w:rPr>
            </w:pPr>
            <w:r>
              <w:rPr>
                <w:rFonts w:cs="Times New Roman"/>
              </w:rPr>
              <w:t>0.00586</w:t>
            </w:r>
          </w:p>
        </w:tc>
      </w:tr>
      <w:tr w:rsidR="00E16BE7" w14:paraId="2C3003AF" w14:textId="77777777">
        <w:tc>
          <w:tcPr>
            <w:tcW w:w="2187" w:type="dxa"/>
            <w:vAlign w:val="center"/>
          </w:tcPr>
          <w:p w14:paraId="7140E271" w14:textId="77777777" w:rsidR="00E16BE7" w:rsidRDefault="001E39E8">
            <w:pPr>
              <w:jc w:val="center"/>
              <w:rPr>
                <w:rFonts w:cs="Times New Roman"/>
              </w:rPr>
            </w:pPr>
            <w:r>
              <w:rPr>
                <w:rFonts w:cs="Times New Roman"/>
              </w:rPr>
              <w:t>Offline</w:t>
            </w:r>
          </w:p>
        </w:tc>
        <w:tc>
          <w:tcPr>
            <w:tcW w:w="995" w:type="dxa"/>
            <w:vAlign w:val="center"/>
          </w:tcPr>
          <w:p w14:paraId="256305D5" w14:textId="77777777" w:rsidR="00E16BE7" w:rsidRDefault="001E39E8">
            <w:pPr>
              <w:jc w:val="center"/>
              <w:rPr>
                <w:rFonts w:cs="Times New Roman"/>
              </w:rPr>
            </w:pPr>
            <w:r>
              <w:rPr>
                <w:rFonts w:cs="Times New Roman"/>
              </w:rPr>
              <w:t>12</w:t>
            </w:r>
          </w:p>
          <w:p w14:paraId="745BA04E" w14:textId="77777777" w:rsidR="00E16BE7" w:rsidRDefault="001E39E8">
            <w:pPr>
              <w:jc w:val="center"/>
              <w:rPr>
                <w:rFonts w:cs="Times New Roman"/>
              </w:rPr>
            </w:pPr>
            <w:r>
              <w:rPr>
                <w:rFonts w:cs="Times New Roman"/>
              </w:rPr>
              <w:t>37.5%</w:t>
            </w:r>
          </w:p>
        </w:tc>
        <w:tc>
          <w:tcPr>
            <w:tcW w:w="995" w:type="dxa"/>
            <w:vAlign w:val="center"/>
          </w:tcPr>
          <w:p w14:paraId="6176AC38" w14:textId="77777777" w:rsidR="00E16BE7" w:rsidRDefault="001E39E8">
            <w:pPr>
              <w:jc w:val="center"/>
              <w:rPr>
                <w:rFonts w:cs="Times New Roman"/>
              </w:rPr>
            </w:pPr>
            <w:r>
              <w:rPr>
                <w:rFonts w:cs="Times New Roman"/>
              </w:rPr>
              <w:t>20</w:t>
            </w:r>
          </w:p>
          <w:p w14:paraId="2C4CA2CF" w14:textId="77777777" w:rsidR="00E16BE7" w:rsidRDefault="001E39E8">
            <w:pPr>
              <w:jc w:val="center"/>
              <w:rPr>
                <w:rFonts w:cs="Times New Roman"/>
              </w:rPr>
            </w:pPr>
            <w:r>
              <w:rPr>
                <w:rFonts w:cs="Times New Roman"/>
              </w:rPr>
              <w:t>62.5%</w:t>
            </w:r>
          </w:p>
        </w:tc>
        <w:tc>
          <w:tcPr>
            <w:tcW w:w="995" w:type="dxa"/>
            <w:vAlign w:val="center"/>
          </w:tcPr>
          <w:p w14:paraId="299010C1" w14:textId="77777777" w:rsidR="00E16BE7" w:rsidRDefault="001E39E8">
            <w:pPr>
              <w:jc w:val="center"/>
              <w:rPr>
                <w:rFonts w:cs="Times New Roman"/>
              </w:rPr>
            </w:pPr>
            <w:r>
              <w:rPr>
                <w:rFonts w:cs="Times New Roman"/>
              </w:rPr>
              <w:t>32</w:t>
            </w:r>
          </w:p>
          <w:p w14:paraId="10BADA5F" w14:textId="77777777" w:rsidR="00E16BE7" w:rsidRDefault="001E39E8">
            <w:pPr>
              <w:jc w:val="center"/>
              <w:rPr>
                <w:rFonts w:cs="Times New Roman"/>
              </w:rPr>
            </w:pPr>
            <w:r>
              <w:rPr>
                <w:rFonts w:cs="Times New Roman"/>
              </w:rPr>
              <w:t>100.0%</w:t>
            </w:r>
          </w:p>
        </w:tc>
        <w:tc>
          <w:tcPr>
            <w:tcW w:w="597" w:type="dxa"/>
            <w:vMerge/>
            <w:vAlign w:val="center"/>
          </w:tcPr>
          <w:p w14:paraId="00FF01C0" w14:textId="77777777" w:rsidR="00E16BE7" w:rsidRDefault="00E16BE7">
            <w:pPr>
              <w:jc w:val="center"/>
              <w:rPr>
                <w:rFonts w:cs="Times New Roman"/>
              </w:rPr>
            </w:pPr>
          </w:p>
        </w:tc>
        <w:tc>
          <w:tcPr>
            <w:tcW w:w="1330" w:type="dxa"/>
            <w:vMerge/>
            <w:vAlign w:val="center"/>
          </w:tcPr>
          <w:p w14:paraId="5CF07777" w14:textId="77777777" w:rsidR="00E16BE7" w:rsidRDefault="00E16BE7">
            <w:pPr>
              <w:jc w:val="center"/>
              <w:rPr>
                <w:rFonts w:cs="Times New Roman"/>
              </w:rPr>
            </w:pPr>
          </w:p>
        </w:tc>
        <w:tc>
          <w:tcPr>
            <w:tcW w:w="1229" w:type="dxa"/>
            <w:vMerge/>
            <w:vAlign w:val="center"/>
          </w:tcPr>
          <w:p w14:paraId="3E5C6FC2" w14:textId="77777777" w:rsidR="00E16BE7" w:rsidRDefault="00E16BE7">
            <w:pPr>
              <w:jc w:val="center"/>
              <w:rPr>
                <w:rFonts w:cs="Times New Roman"/>
              </w:rPr>
            </w:pPr>
          </w:p>
        </w:tc>
      </w:tr>
    </w:tbl>
    <w:p w14:paraId="3AC30BCA" w14:textId="77777777" w:rsidR="00E16BE7" w:rsidRDefault="001E39E8">
      <w:pPr>
        <w:jc w:val="both"/>
      </w:pPr>
      <w:r>
        <w:t>* Significant at 5% level, ** Significant at 1%</w:t>
      </w:r>
      <w:r>
        <w:t xml:space="preserve"> level</w:t>
      </w:r>
    </w:p>
    <w:p w14:paraId="09655AE6" w14:textId="77777777" w:rsidR="00E16BE7" w:rsidRDefault="001E39E8">
      <w:pPr>
        <w:pStyle w:val="NormalWeb"/>
        <w:spacing w:line="360" w:lineRule="auto"/>
        <w:ind w:firstLine="720"/>
        <w:jc w:val="both"/>
      </w:pPr>
      <w:r>
        <w:t>The above Table No</w:t>
      </w:r>
      <w:r>
        <w:t>.</w:t>
      </w:r>
      <w:r>
        <w:t xml:space="preserve"> 3 states that the chi-square analysis was conducted to identify the association between demographic variables and awareness level among students (N = 45). The results show that gender (p = 0.475) and age (p = 0.180) do not have a</w:t>
      </w:r>
      <w:r>
        <w:t xml:space="preserve"> significant association with awareness. Similarly, marital status, number of </w:t>
      </w:r>
      <w:r>
        <w:lastRenderedPageBreak/>
        <w:t>family members, and number of earning members also show no significant relationship, as their p-values are greater than 0.05. This indicates that basic personal characteristics d</w:t>
      </w:r>
      <w:r>
        <w:t>o not significantly influence awareness levels. However, area of residence (p = 0.00582) and nature of family (p = 0.00427) are significant at the 1% level, showing a strong association with awareness. Family income (p = 0.0276) is significant at the 5% le</w:t>
      </w:r>
      <w:r>
        <w:t>vel, while family savings (p = 0.00128) is highly significant at the 1% level. Further, source of information (p = 0.00427) and mode of learning (p = 0.00586) are also highly significant. These findings indicate that socio-economic and learning</w:t>
      </w:r>
      <w:r>
        <w:t>-</w:t>
      </w:r>
      <w:r>
        <w:t>related fac</w:t>
      </w:r>
      <w:r>
        <w:t>tors significantly influence awareness levels among students.</w:t>
      </w:r>
    </w:p>
    <w:p w14:paraId="3E88878E" w14:textId="77777777" w:rsidR="00E16BE7" w:rsidRDefault="001E39E8">
      <w:pPr>
        <w:spacing w:line="360" w:lineRule="auto"/>
        <w:jc w:val="center"/>
        <w:rPr>
          <w:rFonts w:cs="Times New Roman"/>
          <w:b/>
          <w:bCs/>
        </w:rPr>
      </w:pPr>
      <w:r>
        <w:rPr>
          <w:rFonts w:cs="Times New Roman"/>
          <w:b/>
          <w:bCs/>
        </w:rPr>
        <w:t>Table no 4: Impact of student’s Level on Stock Market Before and After Attending the program - Paired ‘t’ test</w:t>
      </w:r>
    </w:p>
    <w:p w14:paraId="402E44A0" w14:textId="77777777" w:rsidR="00E16BE7" w:rsidRDefault="00E16BE7">
      <w:pPr>
        <w:jc w:val="both"/>
        <w:rPr>
          <w:rFonts w:cs="Times New Roman"/>
        </w:rPr>
      </w:pPr>
    </w:p>
    <w:tbl>
      <w:tblPr>
        <w:tblStyle w:val="TableGrid"/>
        <w:tblW w:w="8554" w:type="dxa"/>
        <w:tblLook w:val="04A0" w:firstRow="1" w:lastRow="0" w:firstColumn="1" w:lastColumn="0" w:noHBand="0" w:noVBand="1"/>
      </w:tblPr>
      <w:tblGrid>
        <w:gridCol w:w="603"/>
        <w:gridCol w:w="949"/>
        <w:gridCol w:w="996"/>
        <w:gridCol w:w="1163"/>
        <w:gridCol w:w="876"/>
        <w:gridCol w:w="876"/>
        <w:gridCol w:w="996"/>
        <w:gridCol w:w="876"/>
        <w:gridCol w:w="456"/>
        <w:gridCol w:w="830"/>
      </w:tblGrid>
      <w:tr w:rsidR="00E16BE7" w14:paraId="53D8D8D5" w14:textId="77777777">
        <w:trPr>
          <w:trHeight w:val="403"/>
        </w:trPr>
        <w:tc>
          <w:tcPr>
            <w:tcW w:w="1809" w:type="dxa"/>
            <w:gridSpan w:val="2"/>
            <w:vMerge w:val="restart"/>
          </w:tcPr>
          <w:p w14:paraId="380779B8" w14:textId="77777777" w:rsidR="00E16BE7" w:rsidRDefault="00E16BE7">
            <w:pPr>
              <w:jc w:val="center"/>
              <w:rPr>
                <w:rFonts w:cs="Times New Roman"/>
              </w:rPr>
            </w:pPr>
          </w:p>
          <w:p w14:paraId="1278ED8B" w14:textId="77777777" w:rsidR="00E16BE7" w:rsidRDefault="00E16BE7">
            <w:pPr>
              <w:jc w:val="center"/>
              <w:rPr>
                <w:rFonts w:cs="Times New Roman"/>
              </w:rPr>
            </w:pPr>
          </w:p>
          <w:p w14:paraId="40E1B696" w14:textId="77777777" w:rsidR="00E16BE7" w:rsidRDefault="00E16BE7">
            <w:pPr>
              <w:jc w:val="center"/>
              <w:rPr>
                <w:rFonts w:cs="Times New Roman"/>
              </w:rPr>
            </w:pPr>
          </w:p>
          <w:p w14:paraId="1288FDAD" w14:textId="77777777" w:rsidR="00E16BE7" w:rsidRDefault="00E16BE7">
            <w:pPr>
              <w:jc w:val="center"/>
              <w:rPr>
                <w:rFonts w:cs="Times New Roman"/>
              </w:rPr>
            </w:pPr>
          </w:p>
          <w:p w14:paraId="0FF851C7" w14:textId="77777777" w:rsidR="00E16BE7" w:rsidRDefault="00E16BE7">
            <w:pPr>
              <w:jc w:val="center"/>
              <w:rPr>
                <w:rFonts w:cs="Times New Roman"/>
              </w:rPr>
            </w:pPr>
          </w:p>
        </w:tc>
        <w:tc>
          <w:tcPr>
            <w:tcW w:w="4650" w:type="dxa"/>
            <w:gridSpan w:val="5"/>
            <w:vAlign w:val="center"/>
          </w:tcPr>
          <w:p w14:paraId="3A477109" w14:textId="77777777" w:rsidR="00E16BE7" w:rsidRDefault="001E39E8">
            <w:pPr>
              <w:jc w:val="center"/>
              <w:rPr>
                <w:rFonts w:cs="Times New Roman"/>
              </w:rPr>
            </w:pPr>
            <w:r>
              <w:rPr>
                <w:rFonts w:cs="Times New Roman"/>
              </w:rPr>
              <w:t>Paired differences</w:t>
            </w:r>
          </w:p>
        </w:tc>
        <w:tc>
          <w:tcPr>
            <w:tcW w:w="876" w:type="dxa"/>
            <w:vMerge w:val="restart"/>
            <w:vAlign w:val="center"/>
          </w:tcPr>
          <w:p w14:paraId="02C4523E" w14:textId="77777777" w:rsidR="00E16BE7" w:rsidRDefault="00E16BE7">
            <w:pPr>
              <w:jc w:val="center"/>
              <w:rPr>
                <w:rFonts w:cs="Times New Roman"/>
              </w:rPr>
            </w:pPr>
          </w:p>
          <w:p w14:paraId="65598FCE" w14:textId="77777777" w:rsidR="00E16BE7" w:rsidRDefault="00E16BE7">
            <w:pPr>
              <w:jc w:val="center"/>
              <w:rPr>
                <w:rFonts w:cs="Times New Roman"/>
              </w:rPr>
            </w:pPr>
          </w:p>
          <w:p w14:paraId="2CBB2311" w14:textId="77777777" w:rsidR="00E16BE7" w:rsidRDefault="00E16BE7">
            <w:pPr>
              <w:jc w:val="center"/>
              <w:rPr>
                <w:rFonts w:cs="Times New Roman"/>
              </w:rPr>
            </w:pPr>
          </w:p>
          <w:p w14:paraId="11F874AF" w14:textId="77777777" w:rsidR="00E16BE7" w:rsidRDefault="001E39E8">
            <w:pPr>
              <w:jc w:val="center"/>
              <w:rPr>
                <w:rFonts w:cs="Times New Roman"/>
              </w:rPr>
            </w:pPr>
            <w:r>
              <w:rPr>
                <w:rFonts w:cs="Times New Roman"/>
              </w:rPr>
              <w:t>t</w:t>
            </w:r>
          </w:p>
        </w:tc>
        <w:tc>
          <w:tcPr>
            <w:tcW w:w="456" w:type="dxa"/>
            <w:vMerge w:val="restart"/>
            <w:vAlign w:val="center"/>
          </w:tcPr>
          <w:p w14:paraId="337C6BF2" w14:textId="77777777" w:rsidR="00E16BE7" w:rsidRDefault="00E16BE7">
            <w:pPr>
              <w:jc w:val="center"/>
              <w:rPr>
                <w:rFonts w:cs="Times New Roman"/>
              </w:rPr>
            </w:pPr>
          </w:p>
          <w:p w14:paraId="408B4D1B" w14:textId="77777777" w:rsidR="00E16BE7" w:rsidRDefault="00E16BE7">
            <w:pPr>
              <w:jc w:val="center"/>
              <w:rPr>
                <w:rFonts w:cs="Times New Roman"/>
              </w:rPr>
            </w:pPr>
          </w:p>
          <w:p w14:paraId="48041F48" w14:textId="77777777" w:rsidR="00E16BE7" w:rsidRDefault="00E16BE7">
            <w:pPr>
              <w:jc w:val="center"/>
              <w:rPr>
                <w:rFonts w:cs="Times New Roman"/>
              </w:rPr>
            </w:pPr>
          </w:p>
          <w:p w14:paraId="7AAAA5F6" w14:textId="77777777" w:rsidR="00E16BE7" w:rsidRDefault="001E39E8">
            <w:pPr>
              <w:jc w:val="center"/>
              <w:rPr>
                <w:rFonts w:cs="Times New Roman"/>
              </w:rPr>
            </w:pPr>
            <w:r>
              <w:rPr>
                <w:rFonts w:cs="Times New Roman"/>
              </w:rPr>
              <w:t>df</w:t>
            </w:r>
          </w:p>
        </w:tc>
        <w:tc>
          <w:tcPr>
            <w:tcW w:w="763" w:type="dxa"/>
            <w:vMerge w:val="restart"/>
            <w:vAlign w:val="center"/>
          </w:tcPr>
          <w:p w14:paraId="0427E063" w14:textId="77777777" w:rsidR="00E16BE7" w:rsidRDefault="00E16BE7">
            <w:pPr>
              <w:rPr>
                <w:rFonts w:cs="Times New Roman"/>
              </w:rPr>
            </w:pPr>
          </w:p>
          <w:p w14:paraId="2353DB4E" w14:textId="77777777" w:rsidR="00E16BE7" w:rsidRDefault="00E16BE7">
            <w:pPr>
              <w:rPr>
                <w:rFonts w:cs="Times New Roman"/>
              </w:rPr>
            </w:pPr>
          </w:p>
          <w:p w14:paraId="7622509B" w14:textId="77777777" w:rsidR="00E16BE7" w:rsidRDefault="00E16BE7">
            <w:pPr>
              <w:rPr>
                <w:rFonts w:cs="Times New Roman"/>
              </w:rPr>
            </w:pPr>
          </w:p>
          <w:p w14:paraId="51BAC228" w14:textId="77777777" w:rsidR="00E16BE7" w:rsidRDefault="001E39E8">
            <w:pPr>
              <w:rPr>
                <w:rFonts w:cs="Times New Roman"/>
              </w:rPr>
            </w:pPr>
            <w:r>
              <w:rPr>
                <w:rFonts w:cs="Times New Roman"/>
              </w:rPr>
              <w:t>Sig. (2-tai</w:t>
            </w:r>
            <w:r>
              <w:rPr>
                <w:rFonts w:cs="Times New Roman"/>
              </w:rPr>
              <w:t>l</w:t>
            </w:r>
            <w:r>
              <w:rPr>
                <w:rFonts w:cs="Times New Roman"/>
              </w:rPr>
              <w:t>ed)</w:t>
            </w:r>
          </w:p>
        </w:tc>
      </w:tr>
      <w:tr w:rsidR="00E16BE7" w14:paraId="56307E58" w14:textId="77777777">
        <w:trPr>
          <w:trHeight w:val="875"/>
        </w:trPr>
        <w:tc>
          <w:tcPr>
            <w:tcW w:w="1809" w:type="dxa"/>
            <w:gridSpan w:val="2"/>
            <w:vMerge/>
          </w:tcPr>
          <w:p w14:paraId="610F8103" w14:textId="77777777" w:rsidR="00E16BE7" w:rsidRDefault="00E16BE7">
            <w:pPr>
              <w:rPr>
                <w:rFonts w:cs="Times New Roman"/>
              </w:rPr>
            </w:pPr>
          </w:p>
        </w:tc>
        <w:tc>
          <w:tcPr>
            <w:tcW w:w="739" w:type="dxa"/>
            <w:vMerge w:val="restart"/>
            <w:vAlign w:val="center"/>
          </w:tcPr>
          <w:p w14:paraId="20D23948" w14:textId="77777777" w:rsidR="00E16BE7" w:rsidRDefault="001E39E8">
            <w:pPr>
              <w:rPr>
                <w:rFonts w:cs="Times New Roman"/>
              </w:rPr>
            </w:pPr>
            <w:r>
              <w:rPr>
                <w:rFonts w:cs="Times New Roman"/>
              </w:rPr>
              <w:t>Mean</w:t>
            </w:r>
          </w:p>
        </w:tc>
        <w:tc>
          <w:tcPr>
            <w:tcW w:w="1163" w:type="dxa"/>
            <w:vMerge w:val="restart"/>
            <w:vAlign w:val="center"/>
          </w:tcPr>
          <w:p w14:paraId="231EEDB8" w14:textId="77777777" w:rsidR="00E16BE7" w:rsidRDefault="001E39E8">
            <w:pPr>
              <w:rPr>
                <w:rFonts w:cs="Times New Roman"/>
              </w:rPr>
            </w:pPr>
            <w:r>
              <w:rPr>
                <w:rFonts w:cs="Times New Roman"/>
              </w:rPr>
              <w:t>Standard Deviation</w:t>
            </w:r>
          </w:p>
        </w:tc>
        <w:tc>
          <w:tcPr>
            <w:tcW w:w="876" w:type="dxa"/>
            <w:vMerge w:val="restart"/>
            <w:vAlign w:val="center"/>
          </w:tcPr>
          <w:p w14:paraId="0CE2AFA8" w14:textId="77777777" w:rsidR="00E16BE7" w:rsidRDefault="001E39E8">
            <w:pPr>
              <w:rPr>
                <w:rFonts w:cs="Times New Roman"/>
              </w:rPr>
            </w:pPr>
            <w:r>
              <w:rPr>
                <w:rFonts w:cs="Times New Roman"/>
              </w:rPr>
              <w:t>Std. Error Mean</w:t>
            </w:r>
          </w:p>
        </w:tc>
        <w:tc>
          <w:tcPr>
            <w:tcW w:w="1872" w:type="dxa"/>
            <w:gridSpan w:val="2"/>
            <w:vAlign w:val="center"/>
          </w:tcPr>
          <w:p w14:paraId="63FD5196" w14:textId="77777777" w:rsidR="00E16BE7" w:rsidRDefault="001E39E8">
            <w:pPr>
              <w:jc w:val="center"/>
              <w:rPr>
                <w:rFonts w:cs="Times New Roman"/>
              </w:rPr>
            </w:pPr>
            <w:r>
              <w:rPr>
                <w:rFonts w:cs="Times New Roman"/>
              </w:rPr>
              <w:t>95% Confidence interval of the Difference</w:t>
            </w:r>
          </w:p>
        </w:tc>
        <w:tc>
          <w:tcPr>
            <w:tcW w:w="876" w:type="dxa"/>
            <w:vMerge/>
            <w:vAlign w:val="center"/>
          </w:tcPr>
          <w:p w14:paraId="6816F78D" w14:textId="77777777" w:rsidR="00E16BE7" w:rsidRDefault="00E16BE7">
            <w:pPr>
              <w:rPr>
                <w:rFonts w:cs="Times New Roman"/>
              </w:rPr>
            </w:pPr>
          </w:p>
        </w:tc>
        <w:tc>
          <w:tcPr>
            <w:tcW w:w="456" w:type="dxa"/>
            <w:vMerge/>
            <w:vAlign w:val="center"/>
          </w:tcPr>
          <w:p w14:paraId="0C376B40" w14:textId="77777777" w:rsidR="00E16BE7" w:rsidRDefault="00E16BE7">
            <w:pPr>
              <w:rPr>
                <w:rFonts w:cs="Times New Roman"/>
              </w:rPr>
            </w:pPr>
          </w:p>
        </w:tc>
        <w:tc>
          <w:tcPr>
            <w:tcW w:w="763" w:type="dxa"/>
            <w:vMerge/>
            <w:vAlign w:val="center"/>
          </w:tcPr>
          <w:p w14:paraId="076DF76B" w14:textId="77777777" w:rsidR="00E16BE7" w:rsidRDefault="00E16BE7">
            <w:pPr>
              <w:rPr>
                <w:rFonts w:cs="Times New Roman"/>
              </w:rPr>
            </w:pPr>
          </w:p>
        </w:tc>
      </w:tr>
      <w:tr w:rsidR="00E16BE7" w14:paraId="001476CB" w14:textId="77777777">
        <w:trPr>
          <w:trHeight w:val="70"/>
        </w:trPr>
        <w:tc>
          <w:tcPr>
            <w:tcW w:w="1809" w:type="dxa"/>
            <w:gridSpan w:val="2"/>
            <w:vMerge/>
          </w:tcPr>
          <w:p w14:paraId="652E6AF7" w14:textId="77777777" w:rsidR="00E16BE7" w:rsidRDefault="00E16BE7">
            <w:pPr>
              <w:rPr>
                <w:rFonts w:cs="Times New Roman"/>
              </w:rPr>
            </w:pPr>
          </w:p>
        </w:tc>
        <w:tc>
          <w:tcPr>
            <w:tcW w:w="739" w:type="dxa"/>
            <w:vMerge/>
          </w:tcPr>
          <w:p w14:paraId="6E1DC7CC" w14:textId="77777777" w:rsidR="00E16BE7" w:rsidRDefault="00E16BE7">
            <w:pPr>
              <w:rPr>
                <w:rFonts w:cs="Times New Roman"/>
              </w:rPr>
            </w:pPr>
          </w:p>
        </w:tc>
        <w:tc>
          <w:tcPr>
            <w:tcW w:w="1163" w:type="dxa"/>
            <w:vMerge/>
          </w:tcPr>
          <w:p w14:paraId="203BC589" w14:textId="77777777" w:rsidR="00E16BE7" w:rsidRDefault="00E16BE7">
            <w:pPr>
              <w:rPr>
                <w:rFonts w:cs="Times New Roman"/>
              </w:rPr>
            </w:pPr>
          </w:p>
        </w:tc>
        <w:tc>
          <w:tcPr>
            <w:tcW w:w="876" w:type="dxa"/>
            <w:vMerge/>
          </w:tcPr>
          <w:p w14:paraId="72A55F05" w14:textId="77777777" w:rsidR="00E16BE7" w:rsidRDefault="00E16BE7">
            <w:pPr>
              <w:rPr>
                <w:rFonts w:cs="Times New Roman"/>
              </w:rPr>
            </w:pPr>
          </w:p>
        </w:tc>
        <w:tc>
          <w:tcPr>
            <w:tcW w:w="876" w:type="dxa"/>
          </w:tcPr>
          <w:p w14:paraId="5FFBAD1B" w14:textId="77777777" w:rsidR="00E16BE7" w:rsidRDefault="001E39E8">
            <w:pPr>
              <w:rPr>
                <w:rFonts w:cs="Times New Roman"/>
              </w:rPr>
            </w:pPr>
            <w:r>
              <w:rPr>
                <w:rFonts w:cs="Times New Roman"/>
              </w:rPr>
              <w:t>Lower</w:t>
            </w:r>
          </w:p>
        </w:tc>
        <w:tc>
          <w:tcPr>
            <w:tcW w:w="996" w:type="dxa"/>
          </w:tcPr>
          <w:p w14:paraId="058D4AA3" w14:textId="77777777" w:rsidR="00E16BE7" w:rsidRDefault="001E39E8">
            <w:pPr>
              <w:rPr>
                <w:rFonts w:cs="Times New Roman"/>
              </w:rPr>
            </w:pPr>
            <w:r>
              <w:rPr>
                <w:rFonts w:cs="Times New Roman"/>
              </w:rPr>
              <w:t>Upper</w:t>
            </w:r>
          </w:p>
        </w:tc>
        <w:tc>
          <w:tcPr>
            <w:tcW w:w="876" w:type="dxa"/>
            <w:vMerge/>
          </w:tcPr>
          <w:p w14:paraId="08C8F9DC" w14:textId="77777777" w:rsidR="00E16BE7" w:rsidRDefault="00E16BE7">
            <w:pPr>
              <w:rPr>
                <w:rFonts w:cs="Times New Roman"/>
              </w:rPr>
            </w:pPr>
          </w:p>
        </w:tc>
        <w:tc>
          <w:tcPr>
            <w:tcW w:w="456" w:type="dxa"/>
            <w:vMerge/>
          </w:tcPr>
          <w:p w14:paraId="4D3FDF87" w14:textId="77777777" w:rsidR="00E16BE7" w:rsidRDefault="00E16BE7">
            <w:pPr>
              <w:rPr>
                <w:rFonts w:cs="Times New Roman"/>
              </w:rPr>
            </w:pPr>
          </w:p>
        </w:tc>
        <w:tc>
          <w:tcPr>
            <w:tcW w:w="763" w:type="dxa"/>
            <w:vMerge/>
          </w:tcPr>
          <w:p w14:paraId="1B2E540B" w14:textId="77777777" w:rsidR="00E16BE7" w:rsidRDefault="00E16BE7">
            <w:pPr>
              <w:rPr>
                <w:rFonts w:cs="Times New Roman"/>
              </w:rPr>
            </w:pPr>
          </w:p>
        </w:tc>
      </w:tr>
      <w:tr w:rsidR="00E16BE7" w14:paraId="341C315E" w14:textId="77777777">
        <w:trPr>
          <w:trHeight w:val="737"/>
        </w:trPr>
        <w:tc>
          <w:tcPr>
            <w:tcW w:w="603" w:type="dxa"/>
            <w:vAlign w:val="center"/>
          </w:tcPr>
          <w:p w14:paraId="1454E14C" w14:textId="77777777" w:rsidR="00E16BE7" w:rsidRDefault="001E39E8">
            <w:pPr>
              <w:jc w:val="center"/>
              <w:rPr>
                <w:rFonts w:cs="Times New Roman"/>
              </w:rPr>
            </w:pPr>
            <w:r>
              <w:rPr>
                <w:rFonts w:cs="Times New Roman"/>
              </w:rPr>
              <w:t>Pair 1</w:t>
            </w:r>
          </w:p>
        </w:tc>
        <w:tc>
          <w:tcPr>
            <w:tcW w:w="1206" w:type="dxa"/>
            <w:vAlign w:val="center"/>
          </w:tcPr>
          <w:p w14:paraId="1E9229E8" w14:textId="77777777" w:rsidR="00E16BE7" w:rsidRDefault="001E39E8">
            <w:pPr>
              <w:jc w:val="center"/>
              <w:rPr>
                <w:rFonts w:cs="Times New Roman"/>
              </w:rPr>
            </w:pPr>
            <w:r>
              <w:rPr>
                <w:rFonts w:cs="Times New Roman"/>
              </w:rPr>
              <w:t>Before-After</w:t>
            </w:r>
          </w:p>
        </w:tc>
        <w:tc>
          <w:tcPr>
            <w:tcW w:w="739" w:type="dxa"/>
            <w:vAlign w:val="center"/>
          </w:tcPr>
          <w:p w14:paraId="333495F3" w14:textId="77777777" w:rsidR="00E16BE7" w:rsidRDefault="001E39E8">
            <w:pPr>
              <w:jc w:val="center"/>
              <w:rPr>
                <w:rFonts w:cs="Times New Roman"/>
              </w:rPr>
            </w:pPr>
            <w:r>
              <w:rPr>
                <w:rFonts w:cs="Times New Roman"/>
              </w:rPr>
              <w:t>2.88889</w:t>
            </w:r>
          </w:p>
        </w:tc>
        <w:tc>
          <w:tcPr>
            <w:tcW w:w="1163" w:type="dxa"/>
            <w:vAlign w:val="center"/>
          </w:tcPr>
          <w:p w14:paraId="4964493D" w14:textId="77777777" w:rsidR="00E16BE7" w:rsidRDefault="001E39E8">
            <w:pPr>
              <w:jc w:val="center"/>
              <w:rPr>
                <w:rFonts w:cs="Times New Roman"/>
              </w:rPr>
            </w:pPr>
            <w:r>
              <w:rPr>
                <w:rFonts w:cs="Times New Roman"/>
              </w:rPr>
              <w:t>1.84911</w:t>
            </w:r>
          </w:p>
        </w:tc>
        <w:tc>
          <w:tcPr>
            <w:tcW w:w="876" w:type="dxa"/>
            <w:vAlign w:val="center"/>
          </w:tcPr>
          <w:p w14:paraId="1D7AC3D9" w14:textId="77777777" w:rsidR="00E16BE7" w:rsidRDefault="001E39E8">
            <w:pPr>
              <w:jc w:val="center"/>
              <w:rPr>
                <w:rFonts w:cs="Times New Roman"/>
              </w:rPr>
            </w:pPr>
            <w:r>
              <w:rPr>
                <w:rFonts w:cs="Times New Roman"/>
              </w:rPr>
              <w:t>.27565</w:t>
            </w:r>
          </w:p>
        </w:tc>
        <w:tc>
          <w:tcPr>
            <w:tcW w:w="876" w:type="dxa"/>
            <w:vAlign w:val="center"/>
          </w:tcPr>
          <w:p w14:paraId="0231C05A" w14:textId="77777777" w:rsidR="00E16BE7" w:rsidRDefault="001E39E8">
            <w:pPr>
              <w:jc w:val="center"/>
              <w:rPr>
                <w:rFonts w:cs="Times New Roman"/>
              </w:rPr>
            </w:pPr>
            <w:r>
              <w:rPr>
                <w:rFonts w:cs="Times New Roman"/>
              </w:rPr>
              <w:t>2.3336</w:t>
            </w:r>
          </w:p>
        </w:tc>
        <w:tc>
          <w:tcPr>
            <w:tcW w:w="996" w:type="dxa"/>
            <w:vAlign w:val="center"/>
          </w:tcPr>
          <w:p w14:paraId="04E48A4E" w14:textId="77777777" w:rsidR="00E16BE7" w:rsidRDefault="001E39E8">
            <w:pPr>
              <w:jc w:val="center"/>
              <w:rPr>
                <w:rFonts w:cs="Times New Roman"/>
              </w:rPr>
            </w:pPr>
            <w:r>
              <w:rPr>
                <w:rFonts w:cs="Times New Roman"/>
              </w:rPr>
              <w:t>3.44442</w:t>
            </w:r>
          </w:p>
        </w:tc>
        <w:tc>
          <w:tcPr>
            <w:tcW w:w="876" w:type="dxa"/>
            <w:vAlign w:val="center"/>
          </w:tcPr>
          <w:p w14:paraId="4BCB8D9C" w14:textId="77777777" w:rsidR="00E16BE7" w:rsidRDefault="001E39E8">
            <w:pPr>
              <w:jc w:val="center"/>
              <w:rPr>
                <w:rFonts w:cs="Times New Roman"/>
              </w:rPr>
            </w:pPr>
            <w:r>
              <w:rPr>
                <w:rFonts w:cs="Times New Roman"/>
              </w:rPr>
              <w:t>10.480</w:t>
            </w:r>
          </w:p>
        </w:tc>
        <w:tc>
          <w:tcPr>
            <w:tcW w:w="456" w:type="dxa"/>
            <w:vAlign w:val="center"/>
          </w:tcPr>
          <w:p w14:paraId="3B1449F4" w14:textId="77777777" w:rsidR="00E16BE7" w:rsidRDefault="001E39E8">
            <w:pPr>
              <w:jc w:val="center"/>
              <w:rPr>
                <w:rFonts w:cs="Times New Roman"/>
              </w:rPr>
            </w:pPr>
            <w:r>
              <w:rPr>
                <w:rFonts w:cs="Times New Roman"/>
              </w:rPr>
              <w:t>44</w:t>
            </w:r>
          </w:p>
        </w:tc>
        <w:tc>
          <w:tcPr>
            <w:tcW w:w="763" w:type="dxa"/>
            <w:vAlign w:val="center"/>
          </w:tcPr>
          <w:p w14:paraId="7A508BE3" w14:textId="77777777" w:rsidR="00E16BE7" w:rsidRDefault="001E39E8">
            <w:pPr>
              <w:jc w:val="center"/>
              <w:rPr>
                <w:rFonts w:cs="Times New Roman"/>
              </w:rPr>
            </w:pPr>
            <w:r>
              <w:rPr>
                <w:rFonts w:cs="Times New Roman"/>
              </w:rPr>
              <w:t>.000</w:t>
            </w:r>
          </w:p>
        </w:tc>
      </w:tr>
    </w:tbl>
    <w:p w14:paraId="537BCB96" w14:textId="77777777" w:rsidR="00E16BE7" w:rsidRDefault="001E39E8">
      <w:pPr>
        <w:pStyle w:val="NormalWeb"/>
        <w:spacing w:line="360" w:lineRule="auto"/>
        <w:ind w:firstLine="720"/>
        <w:jc w:val="both"/>
      </w:pPr>
      <w:r>
        <w:t xml:space="preserve">Table no 4 represents the paired samples t-test which was conducted to examine whether there is a </w:t>
      </w:r>
      <w:r>
        <w:t xml:space="preserve">significant difference in students awareness levels before and after attending the stock market program. The results show that the mean difference between the before and after scores is 2.88889, with a standard deviation of 1.84911 and a standard error of </w:t>
      </w:r>
      <w:r>
        <w:t>0.27565. The calculated t-value is 10.480 with 44 degrees of freedom. The significance value (p = 0.000) is less than 0.05, indicating that the difference is statistically significant. Additionally, the 95% confidence interval of the mean difference ranges</w:t>
      </w:r>
      <w:r>
        <w:t xml:space="preserve"> from 2.3336 to 3.44442, which does not include zero, further confirming the significance of the result. Therefore, it can be concluded that the stock market awareness program has significantly improved the students</w:t>
      </w:r>
      <w:r>
        <w:t>’</w:t>
      </w:r>
      <w:r>
        <w:t xml:space="preserve"> level of awareness.</w:t>
      </w:r>
    </w:p>
    <w:p w14:paraId="32050553" w14:textId="77777777" w:rsidR="00E16BE7" w:rsidRDefault="00E16BE7">
      <w:pPr>
        <w:spacing w:line="360" w:lineRule="auto"/>
        <w:jc w:val="both"/>
        <w:rPr>
          <w:rFonts w:eastAsia="SimSun" w:cs="Times New Roman"/>
          <w:b/>
          <w:bCs/>
        </w:rPr>
      </w:pPr>
    </w:p>
    <w:p w14:paraId="78D3D6D9" w14:textId="77777777" w:rsidR="00E16BE7" w:rsidRDefault="00E16BE7">
      <w:pPr>
        <w:spacing w:line="360" w:lineRule="auto"/>
        <w:jc w:val="both"/>
        <w:rPr>
          <w:rFonts w:eastAsia="SimSun" w:cs="Times New Roman"/>
          <w:b/>
          <w:bCs/>
        </w:rPr>
      </w:pPr>
    </w:p>
    <w:p w14:paraId="4BF65F3A" w14:textId="77777777" w:rsidR="00E16BE7" w:rsidRDefault="001E39E8">
      <w:pPr>
        <w:spacing w:line="360" w:lineRule="auto"/>
        <w:jc w:val="both"/>
        <w:rPr>
          <w:rFonts w:eastAsia="SimSun" w:cs="Times New Roman"/>
          <w:b/>
          <w:bCs/>
        </w:rPr>
      </w:pPr>
      <w:r>
        <w:rPr>
          <w:rFonts w:eastAsia="SimSun" w:cs="Times New Roman"/>
          <w:b/>
          <w:bCs/>
        </w:rPr>
        <w:t>DISCUSSION AND RE</w:t>
      </w:r>
      <w:r>
        <w:rPr>
          <w:rFonts w:eastAsia="SimSun" w:cs="Times New Roman"/>
          <w:b/>
          <w:bCs/>
        </w:rPr>
        <w:t>COMMENDATION</w:t>
      </w:r>
    </w:p>
    <w:p w14:paraId="730A9D4B" w14:textId="77777777" w:rsidR="00E16BE7" w:rsidRDefault="001E39E8">
      <w:pPr>
        <w:spacing w:line="360" w:lineRule="auto"/>
        <w:ind w:firstLine="720"/>
        <w:jc w:val="both"/>
        <w:rPr>
          <w:rFonts w:eastAsia="SimSun" w:cs="Times New Roman"/>
        </w:rPr>
      </w:pPr>
      <w:r>
        <w:rPr>
          <w:rFonts w:eastAsia="SimSun" w:cs="Times New Roman"/>
        </w:rPr>
        <w:lastRenderedPageBreak/>
        <w:t>The stock market in India operates through organized institutions such as the Bombay Stock Exchange and the National Stock Exchange under the regulation of the Securities and Exchange Board of India. Even with such a structured system, the stu</w:t>
      </w:r>
      <w:r>
        <w:rPr>
          <w:rFonts w:eastAsia="SimSun" w:cs="Times New Roman"/>
        </w:rPr>
        <w:t xml:space="preserve">dy shows that college students possess only partial awareness. The socio-economic profile indicates that the majority of students </w:t>
      </w:r>
      <w:proofErr w:type="gramStart"/>
      <w:r>
        <w:rPr>
          <w:rFonts w:eastAsia="SimSun" w:cs="Times New Roman"/>
        </w:rPr>
        <w:t>are  female</w:t>
      </w:r>
      <w:proofErr w:type="gramEnd"/>
      <w:r>
        <w:rPr>
          <w:rFonts w:eastAsia="SimSun" w:cs="Times New Roman"/>
        </w:rPr>
        <w:t xml:space="preserve">, from rural areas, and belong to low-income families with limited savings. This background directly affects their </w:t>
      </w:r>
      <w:r>
        <w:rPr>
          <w:rFonts w:eastAsia="SimSun" w:cs="Times New Roman"/>
        </w:rPr>
        <w:t>exposure to financial markets and investment culture. Although a large proportion of students are aware of the basic concepts of the stock market, their understanding significantly declines when it comes to risk factors, regulatory bodies, and technical an</w:t>
      </w:r>
      <w:r>
        <w:rPr>
          <w:rFonts w:eastAsia="SimSun" w:cs="Times New Roman"/>
        </w:rPr>
        <w:t>d fundamental analysis. This clearly indicates that their knowledge is theoretical rather than practical. The chi-square analysis further confirms that demographic variables such as gender and age do not significantly influence awareness levels, whereas so</w:t>
      </w:r>
      <w:r>
        <w:rPr>
          <w:rFonts w:eastAsia="SimSun" w:cs="Times New Roman"/>
        </w:rPr>
        <w:t xml:space="preserve">cio-economic variables such as area of residence, family income, family savings, source of information, and mode of learning show </w:t>
      </w:r>
      <w:r>
        <w:rPr>
          <w:rFonts w:eastAsia="SimSun" w:cs="Times New Roman"/>
        </w:rPr>
        <w:t xml:space="preserve">a </w:t>
      </w:r>
      <w:r>
        <w:rPr>
          <w:rFonts w:eastAsia="SimSun" w:cs="Times New Roman"/>
        </w:rPr>
        <w:t xml:space="preserve">significant association. This proves that awareness is mainly shaped by financial environment and access to proper learning </w:t>
      </w:r>
      <w:r>
        <w:rPr>
          <w:rFonts w:eastAsia="SimSun" w:cs="Times New Roman"/>
        </w:rPr>
        <w:t>resources rather than personal characteristics.</w:t>
      </w:r>
    </w:p>
    <w:p w14:paraId="5B739432" w14:textId="77777777" w:rsidR="00E16BE7" w:rsidRDefault="001E39E8">
      <w:pPr>
        <w:spacing w:line="360" w:lineRule="auto"/>
        <w:ind w:firstLine="720"/>
        <w:jc w:val="both"/>
        <w:rPr>
          <w:rFonts w:eastAsia="SimSun" w:cs="Times New Roman"/>
        </w:rPr>
      </w:pPr>
      <w:r>
        <w:rPr>
          <w:rFonts w:eastAsia="SimSun" w:cs="Times New Roman"/>
        </w:rPr>
        <w:t xml:space="preserve">It is evident </w:t>
      </w:r>
      <w:r>
        <w:rPr>
          <w:rFonts w:eastAsia="SimSun" w:cs="Times New Roman"/>
        </w:rPr>
        <w:t>that structured awareness programs improve students’ knowledge. The findings help policymakers and educational institutions develop effective financial literacy programs and encourage better inv</w:t>
      </w:r>
      <w:r>
        <w:rPr>
          <w:rFonts w:eastAsia="SimSun" w:cs="Times New Roman"/>
        </w:rPr>
        <w:t>estment decisions among young people.</w:t>
      </w:r>
    </w:p>
    <w:p w14:paraId="2086E743" w14:textId="77777777" w:rsidR="00E16BE7" w:rsidRDefault="001E39E8">
      <w:pPr>
        <w:spacing w:before="120" w:after="120" w:line="360" w:lineRule="auto"/>
        <w:jc w:val="both"/>
        <w:rPr>
          <w:rFonts w:eastAsia="SimSun" w:cs="Times New Roman"/>
          <w:b/>
          <w:bCs/>
        </w:rPr>
      </w:pPr>
      <w:r>
        <w:rPr>
          <w:rFonts w:eastAsia="SimSun" w:cs="Times New Roman"/>
          <w:b/>
          <w:bCs/>
        </w:rPr>
        <w:t>RECOMMENDATION</w:t>
      </w:r>
    </w:p>
    <w:p w14:paraId="03C9474A" w14:textId="77777777" w:rsidR="00E16BE7" w:rsidRDefault="001E39E8">
      <w:pPr>
        <w:numPr>
          <w:ilvl w:val="0"/>
          <w:numId w:val="13"/>
        </w:numPr>
        <w:tabs>
          <w:tab w:val="clear" w:pos="420"/>
        </w:tabs>
        <w:spacing w:line="360" w:lineRule="auto"/>
        <w:jc w:val="both"/>
        <w:rPr>
          <w:rFonts w:eastAsia="SimSun" w:cs="Times New Roman"/>
        </w:rPr>
      </w:pPr>
      <w:r>
        <w:rPr>
          <w:rFonts w:eastAsia="SimSun" w:cs="Times New Roman"/>
        </w:rPr>
        <w:t xml:space="preserve">It is essential to strengthen financial literacy initiatives among college students. </w:t>
      </w:r>
    </w:p>
    <w:p w14:paraId="2427BFC6" w14:textId="77777777" w:rsidR="00E16BE7" w:rsidRDefault="001E39E8">
      <w:pPr>
        <w:numPr>
          <w:ilvl w:val="0"/>
          <w:numId w:val="13"/>
        </w:numPr>
        <w:tabs>
          <w:tab w:val="clear" w:pos="420"/>
        </w:tabs>
        <w:spacing w:line="360" w:lineRule="auto"/>
        <w:jc w:val="both"/>
        <w:rPr>
          <w:rFonts w:eastAsia="SimSun" w:cs="Times New Roman"/>
        </w:rPr>
      </w:pPr>
      <w:r>
        <w:rPr>
          <w:rFonts w:eastAsia="SimSun" w:cs="Times New Roman"/>
        </w:rPr>
        <w:t>Educational institutions should incorporate structured and practical stock market education within the curriculum ins</w:t>
      </w:r>
      <w:r>
        <w:rPr>
          <w:rFonts w:eastAsia="SimSun" w:cs="Times New Roman"/>
        </w:rPr>
        <w:t xml:space="preserve">tead of limiting it to theoretical explanations. </w:t>
      </w:r>
    </w:p>
    <w:p w14:paraId="1781757E" w14:textId="77777777" w:rsidR="00E16BE7" w:rsidRDefault="001E39E8">
      <w:pPr>
        <w:numPr>
          <w:ilvl w:val="0"/>
          <w:numId w:val="13"/>
        </w:numPr>
        <w:tabs>
          <w:tab w:val="clear" w:pos="420"/>
        </w:tabs>
        <w:spacing w:line="360" w:lineRule="auto"/>
        <w:jc w:val="both"/>
        <w:rPr>
          <w:rFonts w:eastAsia="SimSun" w:cs="Times New Roman"/>
        </w:rPr>
      </w:pPr>
      <w:r>
        <w:rPr>
          <w:rFonts w:eastAsia="SimSun" w:cs="Times New Roman"/>
        </w:rPr>
        <w:t xml:space="preserve">Workshops, seminars, and mock trading sessions should be organized regularly to provide real-time exposure and practical understanding. </w:t>
      </w:r>
    </w:p>
    <w:p w14:paraId="7AAE8188" w14:textId="77777777" w:rsidR="00E16BE7" w:rsidRDefault="001E39E8">
      <w:pPr>
        <w:numPr>
          <w:ilvl w:val="0"/>
          <w:numId w:val="13"/>
        </w:numPr>
        <w:tabs>
          <w:tab w:val="clear" w:pos="420"/>
        </w:tabs>
        <w:spacing w:line="360" w:lineRule="auto"/>
        <w:jc w:val="both"/>
        <w:rPr>
          <w:rFonts w:eastAsia="SimSun" w:cs="Times New Roman"/>
        </w:rPr>
      </w:pPr>
      <w:r>
        <w:rPr>
          <w:rFonts w:eastAsia="SimSun" w:cs="Times New Roman"/>
        </w:rPr>
        <w:t xml:space="preserve"> Since socio-economic factors significantly influence awareness, targ</w:t>
      </w:r>
      <w:r>
        <w:rPr>
          <w:rFonts w:eastAsia="SimSun" w:cs="Times New Roman"/>
        </w:rPr>
        <w:t xml:space="preserve">eted financial education programs must be designed especially for students from rural and low-income backgrounds. </w:t>
      </w:r>
    </w:p>
    <w:p w14:paraId="15082A80" w14:textId="77777777" w:rsidR="00E16BE7" w:rsidRDefault="001E39E8">
      <w:pPr>
        <w:numPr>
          <w:ilvl w:val="0"/>
          <w:numId w:val="13"/>
        </w:numPr>
        <w:tabs>
          <w:tab w:val="clear" w:pos="420"/>
        </w:tabs>
        <w:spacing w:line="360" w:lineRule="auto"/>
        <w:jc w:val="both"/>
        <w:rPr>
          <w:rFonts w:eastAsia="SimSun" w:cs="Times New Roman"/>
        </w:rPr>
      </w:pPr>
      <w:r>
        <w:rPr>
          <w:rFonts w:eastAsia="SimSun" w:cs="Times New Roman"/>
        </w:rPr>
        <w:lastRenderedPageBreak/>
        <w:t xml:space="preserve">Providing access to digital learning platforms and encouraging systematic investment practices can gradually improve their confidence and </w:t>
      </w:r>
      <w:r>
        <w:rPr>
          <w:rFonts w:eastAsia="SimSun" w:cs="Times New Roman"/>
        </w:rPr>
        <w:t>participation in the stock market.</w:t>
      </w:r>
    </w:p>
    <w:p w14:paraId="4CBCAA6B" w14:textId="77777777" w:rsidR="00E16BE7" w:rsidRDefault="00E16BE7">
      <w:pPr>
        <w:spacing w:line="360" w:lineRule="auto"/>
        <w:jc w:val="both"/>
        <w:rPr>
          <w:rFonts w:eastAsia="SimSun" w:cs="Times New Roman"/>
          <w:b/>
          <w:bCs/>
        </w:rPr>
      </w:pPr>
    </w:p>
    <w:p w14:paraId="4F34D120" w14:textId="77777777" w:rsidR="00E16BE7" w:rsidRDefault="001E39E8">
      <w:pPr>
        <w:spacing w:line="360" w:lineRule="auto"/>
        <w:jc w:val="both"/>
        <w:rPr>
          <w:rFonts w:eastAsia="SimSun" w:cs="Times New Roman"/>
          <w:b/>
          <w:bCs/>
        </w:rPr>
      </w:pPr>
      <w:r>
        <w:rPr>
          <w:rFonts w:eastAsia="SimSun" w:cs="Times New Roman"/>
          <w:b/>
          <w:bCs/>
        </w:rPr>
        <w:t>CONCLUSION</w:t>
      </w:r>
    </w:p>
    <w:p w14:paraId="428DB7F9" w14:textId="77777777" w:rsidR="00E16BE7" w:rsidRDefault="001E39E8">
      <w:pPr>
        <w:spacing w:line="360" w:lineRule="auto"/>
        <w:ind w:firstLine="720"/>
        <w:jc w:val="both"/>
        <w:rPr>
          <w:rFonts w:eastAsia="SimSun" w:cs="Times New Roman"/>
          <w:b/>
          <w:bCs/>
        </w:rPr>
      </w:pPr>
      <w:r>
        <w:rPr>
          <w:rFonts w:eastAsia="SimSun" w:cs="Times New Roman"/>
        </w:rPr>
        <w:t>The study concludes that while college students demonstrate basic awareness of the stock market, their overall depth of knowledge remains limited, particularly regarding risk, regulation, and analytical techni</w:t>
      </w:r>
      <w:r>
        <w:rPr>
          <w:rFonts w:eastAsia="SimSun" w:cs="Times New Roman"/>
        </w:rPr>
        <w:t>ques. Socio-economic and learning-related factors significantly influence awareness levels, whereas demographic variables such as gender and age do not show a meaningful relationship. Therefore, improving structured financial education, increasing practica</w:t>
      </w:r>
      <w:r>
        <w:rPr>
          <w:rFonts w:eastAsia="SimSun" w:cs="Times New Roman"/>
        </w:rPr>
        <w:t>l exposure, and promoting responsible investment awareness are necessary to enhance informed participation among students. Strengthening financial literacy at the college level will ultimately contribute to developing financially responsible individuals ca</w:t>
      </w:r>
      <w:r>
        <w:rPr>
          <w:rFonts w:eastAsia="SimSun" w:cs="Times New Roman"/>
        </w:rPr>
        <w:t>pable of making sound investment decisions in the future.</w:t>
      </w:r>
    </w:p>
    <w:p w14:paraId="5C829E94" w14:textId="77777777" w:rsidR="00E16BE7" w:rsidRDefault="001E39E8">
      <w:pPr>
        <w:spacing w:before="120" w:after="120" w:line="360" w:lineRule="auto"/>
        <w:jc w:val="both"/>
        <w:rPr>
          <w:rFonts w:eastAsia="SimSun" w:cs="Times New Roman"/>
          <w:b/>
          <w:bCs/>
        </w:rPr>
      </w:pPr>
      <w:r>
        <w:rPr>
          <w:rFonts w:eastAsia="SimSun" w:cs="Times New Roman"/>
          <w:b/>
          <w:bCs/>
        </w:rPr>
        <w:t>REFERENCES</w:t>
      </w:r>
    </w:p>
    <w:p w14:paraId="41AA7E90" w14:textId="77777777" w:rsidR="00E16BE7" w:rsidRDefault="001E39E8">
      <w:pPr>
        <w:numPr>
          <w:ilvl w:val="0"/>
          <w:numId w:val="14"/>
        </w:numPr>
        <w:spacing w:before="120" w:after="120" w:line="360" w:lineRule="auto"/>
        <w:jc w:val="both"/>
      </w:pPr>
      <w:proofErr w:type="spellStart"/>
      <w:r>
        <w:rPr>
          <w:rStyle w:val="Strong"/>
        </w:rPr>
        <w:t>Aabida</w:t>
      </w:r>
      <w:proofErr w:type="spellEnd"/>
      <w:r>
        <w:rPr>
          <w:rStyle w:val="Strong"/>
        </w:rPr>
        <w:t xml:space="preserve"> Akhter, &amp; </w:t>
      </w:r>
      <w:proofErr w:type="spellStart"/>
      <w:r>
        <w:rPr>
          <w:rStyle w:val="Strong"/>
        </w:rPr>
        <w:t>Mohi</w:t>
      </w:r>
      <w:proofErr w:type="spellEnd"/>
      <w:r>
        <w:rPr>
          <w:rStyle w:val="Strong"/>
        </w:rPr>
        <w:t>-</w:t>
      </w:r>
      <w:proofErr w:type="spellStart"/>
      <w:r>
        <w:rPr>
          <w:rStyle w:val="Strong"/>
        </w:rPr>
        <w:t>ud</w:t>
      </w:r>
      <w:proofErr w:type="spellEnd"/>
      <w:r>
        <w:rPr>
          <w:rStyle w:val="Strong"/>
        </w:rPr>
        <w:t xml:space="preserve">-Din </w:t>
      </w:r>
      <w:proofErr w:type="spellStart"/>
      <w:r>
        <w:rPr>
          <w:rStyle w:val="Strong"/>
        </w:rPr>
        <w:t>Sangmi</w:t>
      </w:r>
      <w:proofErr w:type="spellEnd"/>
      <w:r>
        <w:rPr>
          <w:rStyle w:val="Strong"/>
        </w:rPr>
        <w:t xml:space="preserve"> (2015).</w:t>
      </w:r>
      <w:r>
        <w:rPr>
          <w:rStyle w:val="Strong"/>
        </w:rPr>
        <w:t xml:space="preserve"> </w:t>
      </w:r>
      <w:r>
        <w:t xml:space="preserve">Stock market awareness among educated youth in India. </w:t>
      </w:r>
      <w:r>
        <w:rPr>
          <w:rStyle w:val="Emphasis"/>
        </w:rPr>
        <w:t>Vision</w:t>
      </w:r>
      <w:r>
        <w:t>, 19(3), 210–218.</w:t>
      </w:r>
    </w:p>
    <w:p w14:paraId="39E8974D" w14:textId="77777777" w:rsidR="00E16BE7" w:rsidRDefault="001E39E8">
      <w:pPr>
        <w:numPr>
          <w:ilvl w:val="0"/>
          <w:numId w:val="14"/>
        </w:numPr>
        <w:spacing w:before="120" w:after="120" w:line="360" w:lineRule="auto"/>
        <w:jc w:val="both"/>
      </w:pPr>
      <w:r>
        <w:rPr>
          <w:rStyle w:val="Strong"/>
        </w:rPr>
        <w:t xml:space="preserve">Kapil Choudhary, &amp; </w:t>
      </w:r>
      <w:proofErr w:type="spellStart"/>
      <w:r>
        <w:rPr>
          <w:rStyle w:val="Strong"/>
        </w:rPr>
        <w:t>Samriti</w:t>
      </w:r>
      <w:proofErr w:type="spellEnd"/>
      <w:r>
        <w:rPr>
          <w:rStyle w:val="Strong"/>
        </w:rPr>
        <w:t xml:space="preserve"> Kamboj (2017).</w:t>
      </w:r>
      <w:r>
        <w:rPr>
          <w:rStyle w:val="Strong"/>
        </w:rPr>
        <w:t xml:space="preserve"> </w:t>
      </w:r>
      <w:r>
        <w:t xml:space="preserve">Financial literacy and its determinants: Evidence from India. </w:t>
      </w:r>
      <w:r>
        <w:rPr>
          <w:rStyle w:val="Emphasis"/>
        </w:rPr>
        <w:t>Asian Journal of Accounting Perspectives</w:t>
      </w:r>
      <w:r>
        <w:t>, 10(1), 1–15.</w:t>
      </w:r>
    </w:p>
    <w:p w14:paraId="28A38080" w14:textId="77777777" w:rsidR="00E16BE7" w:rsidRDefault="001E39E8">
      <w:pPr>
        <w:numPr>
          <w:ilvl w:val="0"/>
          <w:numId w:val="14"/>
        </w:numPr>
        <w:spacing w:before="120" w:after="120" w:line="360" w:lineRule="auto"/>
        <w:jc w:val="both"/>
      </w:pPr>
      <w:r>
        <w:rPr>
          <w:rStyle w:val="Strong"/>
        </w:rPr>
        <w:t>Tek Chand (2022).</w:t>
      </w:r>
      <w:r>
        <w:rPr>
          <w:rStyle w:val="Strong"/>
        </w:rPr>
        <w:t xml:space="preserve"> </w:t>
      </w:r>
      <w:r>
        <w:t xml:space="preserve">Retail investors’ awareness towards stock market investment: A study of Delhi-NCR. </w:t>
      </w:r>
      <w:r>
        <w:rPr>
          <w:rStyle w:val="Emphasis"/>
        </w:rPr>
        <w:t xml:space="preserve">Indian Journal of Research in Capital </w:t>
      </w:r>
      <w:r>
        <w:rPr>
          <w:rStyle w:val="Emphasis"/>
        </w:rPr>
        <w:t>Markets</w:t>
      </w:r>
      <w:r>
        <w:t>, 9(4), 45–52.</w:t>
      </w:r>
    </w:p>
    <w:p w14:paraId="1008E19D" w14:textId="77777777" w:rsidR="00E16BE7" w:rsidRDefault="001E39E8">
      <w:pPr>
        <w:numPr>
          <w:ilvl w:val="0"/>
          <w:numId w:val="14"/>
        </w:numPr>
        <w:spacing w:before="120" w:after="120" w:line="360" w:lineRule="auto"/>
        <w:jc w:val="both"/>
      </w:pPr>
      <w:r>
        <w:rPr>
          <w:rStyle w:val="Strong"/>
        </w:rPr>
        <w:t xml:space="preserve">Amit Kumar Nag, &amp; </w:t>
      </w:r>
      <w:proofErr w:type="spellStart"/>
      <w:r>
        <w:rPr>
          <w:rStyle w:val="Strong"/>
        </w:rPr>
        <w:t>Janil</w:t>
      </w:r>
      <w:proofErr w:type="spellEnd"/>
      <w:r>
        <w:rPr>
          <w:rStyle w:val="Strong"/>
        </w:rPr>
        <w:t xml:space="preserve"> Shah (2022).</w:t>
      </w:r>
      <w:r>
        <w:rPr>
          <w:rStyle w:val="Strong"/>
        </w:rPr>
        <w:t xml:space="preserve"> </w:t>
      </w:r>
      <w:r>
        <w:t xml:space="preserve">Impact of financial literacy on stock market participation among Gen Z investors. </w:t>
      </w:r>
      <w:r>
        <w:rPr>
          <w:rStyle w:val="Emphasis"/>
        </w:rPr>
        <w:t>Indian Journal of Finance</w:t>
      </w:r>
      <w:r>
        <w:t>, 16(10), 24–35.</w:t>
      </w:r>
    </w:p>
    <w:p w14:paraId="189C1BC1" w14:textId="77777777" w:rsidR="00E16BE7" w:rsidRDefault="001E39E8">
      <w:pPr>
        <w:numPr>
          <w:ilvl w:val="0"/>
          <w:numId w:val="14"/>
        </w:numPr>
        <w:spacing w:before="120" w:after="120" w:line="360" w:lineRule="auto"/>
        <w:jc w:val="both"/>
      </w:pPr>
      <w:proofErr w:type="spellStart"/>
      <w:r>
        <w:rPr>
          <w:rStyle w:val="Strong"/>
        </w:rPr>
        <w:t>Sayali</w:t>
      </w:r>
      <w:proofErr w:type="spellEnd"/>
      <w:r>
        <w:rPr>
          <w:rStyle w:val="Strong"/>
        </w:rPr>
        <w:t xml:space="preserve"> R. Patil, &amp; Sudarshan D. Jadhav (2023).</w:t>
      </w:r>
      <w:r>
        <w:rPr>
          <w:rStyle w:val="Strong"/>
        </w:rPr>
        <w:t xml:space="preserve"> </w:t>
      </w:r>
      <w:r>
        <w:t>Investment awareness and p</w:t>
      </w:r>
      <w:r>
        <w:t xml:space="preserve">references among college students towards stock market. </w:t>
      </w:r>
      <w:r>
        <w:rPr>
          <w:rStyle w:val="Emphasis"/>
        </w:rPr>
        <w:t>ASEAN Journal of Educational Research and Technology</w:t>
      </w:r>
      <w:r>
        <w:t>, 2(1), 45–52.</w:t>
      </w:r>
    </w:p>
    <w:p w14:paraId="106A5992" w14:textId="77777777" w:rsidR="00E16BE7" w:rsidRDefault="001E39E8">
      <w:pPr>
        <w:numPr>
          <w:ilvl w:val="0"/>
          <w:numId w:val="14"/>
        </w:numPr>
        <w:spacing w:before="120" w:after="120" w:line="360" w:lineRule="auto"/>
        <w:jc w:val="both"/>
      </w:pPr>
      <w:proofErr w:type="spellStart"/>
      <w:r>
        <w:rPr>
          <w:rStyle w:val="Strong"/>
        </w:rPr>
        <w:t>Devansh</w:t>
      </w:r>
      <w:proofErr w:type="spellEnd"/>
      <w:r>
        <w:rPr>
          <w:rStyle w:val="Strong"/>
        </w:rPr>
        <w:t xml:space="preserve"> </w:t>
      </w:r>
      <w:proofErr w:type="spellStart"/>
      <w:r>
        <w:rPr>
          <w:rStyle w:val="Strong"/>
        </w:rPr>
        <w:t>Priye</w:t>
      </w:r>
      <w:proofErr w:type="spellEnd"/>
      <w:r>
        <w:rPr>
          <w:rStyle w:val="Strong"/>
        </w:rPr>
        <w:t xml:space="preserve">, &amp; </w:t>
      </w:r>
      <w:proofErr w:type="spellStart"/>
      <w:r>
        <w:rPr>
          <w:rStyle w:val="Strong"/>
        </w:rPr>
        <w:t>Sumit</w:t>
      </w:r>
      <w:proofErr w:type="spellEnd"/>
      <w:r>
        <w:rPr>
          <w:rStyle w:val="Strong"/>
        </w:rPr>
        <w:t xml:space="preserve"> </w:t>
      </w:r>
      <w:proofErr w:type="spellStart"/>
      <w:r>
        <w:rPr>
          <w:rStyle w:val="Strong"/>
        </w:rPr>
        <w:t>Sangwan</w:t>
      </w:r>
      <w:proofErr w:type="spellEnd"/>
      <w:r>
        <w:rPr>
          <w:rStyle w:val="Strong"/>
        </w:rPr>
        <w:t xml:space="preserve"> (2023).</w:t>
      </w:r>
      <w:r>
        <w:rPr>
          <w:rStyle w:val="Strong"/>
        </w:rPr>
        <w:t xml:space="preserve"> </w:t>
      </w:r>
      <w:r>
        <w:t xml:space="preserve">Stock market awareness and participation among students. </w:t>
      </w:r>
      <w:r>
        <w:rPr>
          <w:rStyle w:val="Emphasis"/>
        </w:rPr>
        <w:t>Journal of Scientific Research and Te</w:t>
      </w:r>
      <w:r>
        <w:rPr>
          <w:rStyle w:val="Emphasis"/>
        </w:rPr>
        <w:t>chnology</w:t>
      </w:r>
      <w:r>
        <w:t>, 7(3), 112–118.</w:t>
      </w:r>
    </w:p>
    <w:p w14:paraId="2EB7CCAD" w14:textId="77777777" w:rsidR="00E16BE7" w:rsidRDefault="001E39E8">
      <w:pPr>
        <w:numPr>
          <w:ilvl w:val="0"/>
          <w:numId w:val="14"/>
        </w:numPr>
        <w:spacing w:before="120" w:after="120" w:line="360" w:lineRule="auto"/>
        <w:jc w:val="both"/>
      </w:pPr>
      <w:r>
        <w:rPr>
          <w:rStyle w:val="Strong"/>
        </w:rPr>
        <w:lastRenderedPageBreak/>
        <w:t>Annamaria Lusardi, &amp; Olivia S. Mitchell (2014).</w:t>
      </w:r>
      <w:r>
        <w:rPr>
          <w:rStyle w:val="Strong"/>
        </w:rPr>
        <w:t xml:space="preserve"> </w:t>
      </w:r>
      <w:r>
        <w:t xml:space="preserve">The economic importance of financial literacy: Theory and evidence. </w:t>
      </w:r>
      <w:r>
        <w:rPr>
          <w:rStyle w:val="Emphasis"/>
        </w:rPr>
        <w:t>Journal of Economic Literature</w:t>
      </w:r>
      <w:r>
        <w:t>, 52(1), 5–44.</w:t>
      </w:r>
    </w:p>
    <w:p w14:paraId="705142A8" w14:textId="77777777" w:rsidR="00E16BE7" w:rsidRDefault="001E39E8">
      <w:pPr>
        <w:numPr>
          <w:ilvl w:val="0"/>
          <w:numId w:val="14"/>
        </w:numPr>
        <w:spacing w:before="120" w:after="120" w:line="360" w:lineRule="auto"/>
        <w:jc w:val="both"/>
      </w:pPr>
      <w:r>
        <w:rPr>
          <w:rStyle w:val="Strong"/>
        </w:rPr>
        <w:t xml:space="preserve">Maarten van </w:t>
      </w:r>
      <w:proofErr w:type="spellStart"/>
      <w:r>
        <w:rPr>
          <w:rStyle w:val="Strong"/>
        </w:rPr>
        <w:t>Rooij</w:t>
      </w:r>
      <w:proofErr w:type="spellEnd"/>
      <w:r>
        <w:rPr>
          <w:rStyle w:val="Strong"/>
        </w:rPr>
        <w:t xml:space="preserve">, Annamaria Lusardi, &amp; Rob </w:t>
      </w:r>
      <w:proofErr w:type="spellStart"/>
      <w:r>
        <w:rPr>
          <w:rStyle w:val="Strong"/>
        </w:rPr>
        <w:t>Alessie</w:t>
      </w:r>
      <w:proofErr w:type="spellEnd"/>
      <w:r>
        <w:rPr>
          <w:rStyle w:val="Strong"/>
        </w:rPr>
        <w:t xml:space="preserve"> (2011).</w:t>
      </w:r>
      <w:r>
        <w:rPr>
          <w:rStyle w:val="Strong"/>
        </w:rPr>
        <w:t xml:space="preserve"> </w:t>
      </w:r>
      <w:r>
        <w:t xml:space="preserve">Financial </w:t>
      </w:r>
      <w:r>
        <w:t xml:space="preserve">literacy and stock market participation. </w:t>
      </w:r>
      <w:r>
        <w:rPr>
          <w:rStyle w:val="Emphasis"/>
        </w:rPr>
        <w:t>Journal of Financial Economics</w:t>
      </w:r>
      <w:r>
        <w:t>, 101(2), 449–472.</w:t>
      </w:r>
    </w:p>
    <w:p w14:paraId="31CFBA2B" w14:textId="77777777" w:rsidR="00E16BE7" w:rsidRDefault="001E39E8">
      <w:pPr>
        <w:numPr>
          <w:ilvl w:val="0"/>
          <w:numId w:val="14"/>
        </w:numPr>
        <w:spacing w:before="120" w:after="120" w:line="360" w:lineRule="auto"/>
        <w:jc w:val="both"/>
        <w:rPr>
          <w:rFonts w:cs="Times New Roman"/>
        </w:rPr>
      </w:pPr>
      <w:r>
        <w:rPr>
          <w:rFonts w:eastAsia="SimSun" w:cs="Times New Roman"/>
        </w:rPr>
        <w:t>Securities and Exchange Board of India</w:t>
      </w:r>
      <w:r>
        <w:rPr>
          <w:rStyle w:val="Strong"/>
          <w:rFonts w:eastAsia="SimSun" w:cs="Times New Roman"/>
        </w:rPr>
        <w:t>.</w:t>
      </w:r>
      <w:r>
        <w:rPr>
          <w:rStyle w:val="Strong"/>
          <w:rFonts w:eastAsia="SimSun" w:cs="Times New Roman"/>
        </w:rPr>
        <w:t xml:space="preserve"> </w:t>
      </w:r>
      <w:hyperlink r:id="rId5" w:tgtFrame="_new" w:history="1">
        <w:r>
          <w:rPr>
            <w:rStyle w:val="Hyperlink"/>
            <w:rFonts w:eastAsia="SimSun" w:cs="Times New Roman"/>
          </w:rPr>
          <w:t>https://www.sebi.gov.in</w:t>
        </w:r>
      </w:hyperlink>
    </w:p>
    <w:p w14:paraId="1753E157" w14:textId="77777777" w:rsidR="00E16BE7" w:rsidRDefault="001E39E8">
      <w:pPr>
        <w:numPr>
          <w:ilvl w:val="0"/>
          <w:numId w:val="14"/>
        </w:numPr>
        <w:spacing w:before="120" w:after="120" w:line="360" w:lineRule="auto"/>
        <w:jc w:val="both"/>
        <w:rPr>
          <w:rFonts w:cs="Times New Roman"/>
        </w:rPr>
      </w:pPr>
      <w:r>
        <w:rPr>
          <w:rFonts w:cs="Times New Roman"/>
        </w:rPr>
        <w:t xml:space="preserve">National Stock </w:t>
      </w:r>
      <w:proofErr w:type="gramStart"/>
      <w:r>
        <w:rPr>
          <w:rFonts w:cs="Times New Roman"/>
        </w:rPr>
        <w:t>Exchange</w:t>
      </w:r>
      <w:r>
        <w:rPr>
          <w:rStyle w:val="Strong"/>
          <w:rFonts w:cs="Times New Roman"/>
        </w:rPr>
        <w:t xml:space="preserve"> .</w:t>
      </w:r>
      <w:proofErr w:type="gramEnd"/>
      <w:r>
        <w:rPr>
          <w:rStyle w:val="Strong"/>
          <w:rFonts w:cs="Times New Roman"/>
        </w:rPr>
        <w:t xml:space="preserve"> </w:t>
      </w:r>
      <w:hyperlink r:id="rId6" w:tgtFrame="_new" w:history="1">
        <w:r>
          <w:rPr>
            <w:rStyle w:val="Hyperlink"/>
            <w:rFonts w:cs="Times New Roman"/>
          </w:rPr>
          <w:t>https://www.nseindia.com</w:t>
        </w:r>
      </w:hyperlink>
    </w:p>
    <w:p w14:paraId="2CD206A6" w14:textId="77777777" w:rsidR="00E16BE7" w:rsidRDefault="001E39E8">
      <w:pPr>
        <w:numPr>
          <w:ilvl w:val="0"/>
          <w:numId w:val="14"/>
        </w:numPr>
        <w:spacing w:before="120" w:after="120" w:line="360" w:lineRule="auto"/>
        <w:jc w:val="both"/>
        <w:rPr>
          <w:rStyle w:val="Hyperlink"/>
          <w:rFonts w:cs="Times New Roman"/>
          <w:color w:val="222222"/>
        </w:rPr>
      </w:pPr>
      <w:proofErr w:type="spellStart"/>
      <w:r>
        <w:rPr>
          <w:rFonts w:cs="Times New Roman"/>
          <w:b/>
          <w:bCs/>
          <w:color w:val="222222"/>
        </w:rPr>
        <w:t>Batrancea</w:t>
      </w:r>
      <w:proofErr w:type="spellEnd"/>
      <w:r>
        <w:rPr>
          <w:rFonts w:cs="Times New Roman"/>
          <w:b/>
          <w:bCs/>
          <w:color w:val="222222"/>
        </w:rPr>
        <w:t xml:space="preserve">, L.M.; </w:t>
      </w:r>
      <w:proofErr w:type="spellStart"/>
      <w:r>
        <w:rPr>
          <w:rFonts w:cs="Times New Roman"/>
          <w:b/>
          <w:bCs/>
          <w:color w:val="222222"/>
        </w:rPr>
        <w:t>Fetita</w:t>
      </w:r>
      <w:proofErr w:type="spellEnd"/>
      <w:r>
        <w:rPr>
          <w:rFonts w:cs="Times New Roman"/>
          <w:b/>
          <w:bCs/>
          <w:color w:val="222222"/>
        </w:rPr>
        <w:t xml:space="preserve">, A. (2023) </w:t>
      </w:r>
      <w:r>
        <w:rPr>
          <w:rFonts w:cs="Times New Roman"/>
          <w:color w:val="222222"/>
        </w:rPr>
        <w:t>Empirical Research Study on the Determinants of Market Indicators for 41 Financial Institutions,</w:t>
      </w:r>
      <w:r>
        <w:rPr>
          <w:rFonts w:cs="Times New Roman"/>
          <w:i/>
          <w:iCs/>
          <w:color w:val="222222"/>
        </w:rPr>
        <w:t xml:space="preserve"> J. Risk Financial </w:t>
      </w:r>
      <w:proofErr w:type="spellStart"/>
      <w:r>
        <w:rPr>
          <w:rFonts w:cs="Times New Roman"/>
          <w:i/>
          <w:iCs/>
          <w:color w:val="222222"/>
        </w:rPr>
        <w:t>Manag</w:t>
      </w:r>
      <w:proofErr w:type="spellEnd"/>
      <w:r>
        <w:rPr>
          <w:rFonts w:cs="Times New Roman"/>
          <w:color w:val="222222"/>
        </w:rPr>
        <w:t xml:space="preserve">, 16, 78. </w:t>
      </w:r>
      <w:hyperlink r:id="rId7" w:history="1">
        <w:r>
          <w:rPr>
            <w:rStyle w:val="Hyperlink"/>
            <w:rFonts w:cs="Times New Roman"/>
          </w:rPr>
          <w:t>https://doi.org/10.3390/jrfm16020078</w:t>
        </w:r>
      </w:hyperlink>
      <w:r>
        <w:rPr>
          <w:rStyle w:val="Hyperlink"/>
          <w:rFonts w:cs="Times New Roman"/>
        </w:rPr>
        <w:t>.</w:t>
      </w:r>
    </w:p>
    <w:p w14:paraId="3F5E2405" w14:textId="77777777" w:rsidR="00E16BE7" w:rsidRDefault="001E39E8">
      <w:pPr>
        <w:numPr>
          <w:ilvl w:val="0"/>
          <w:numId w:val="14"/>
        </w:numPr>
        <w:spacing w:before="120" w:after="120" w:line="360" w:lineRule="auto"/>
        <w:jc w:val="both"/>
        <w:rPr>
          <w:rFonts w:cs="Times New Roman"/>
          <w:color w:val="222222"/>
        </w:rPr>
      </w:pPr>
      <w:proofErr w:type="spellStart"/>
      <w:r>
        <w:rPr>
          <w:rFonts w:cs="Times New Roman"/>
          <w:b/>
          <w:bCs/>
        </w:rPr>
        <w:t>Batrancea</w:t>
      </w:r>
      <w:proofErr w:type="spellEnd"/>
      <w:r>
        <w:rPr>
          <w:rFonts w:cs="Times New Roman"/>
          <w:b/>
          <w:bCs/>
        </w:rPr>
        <w:t xml:space="preserve"> L.M. (2021) </w:t>
      </w:r>
      <w:r>
        <w:rPr>
          <w:rFonts w:cs="Times New Roman"/>
        </w:rPr>
        <w:t xml:space="preserve">An Econometric Approach on Performance, Assets, and Liabilities in a Sample of Banks from Europe, Israel, United States of America, and Canada, </w:t>
      </w:r>
      <w:r>
        <w:rPr>
          <w:rFonts w:cs="Times New Roman"/>
          <w:i/>
          <w:iCs/>
        </w:rPr>
        <w:t>Mathematics</w:t>
      </w:r>
      <w:r>
        <w:rPr>
          <w:rFonts w:cs="Times New Roman"/>
        </w:rPr>
        <w:t>, 9(2</w:t>
      </w:r>
      <w:r>
        <w:rPr>
          <w:rFonts w:cs="Times New Roman"/>
        </w:rPr>
        <w:t xml:space="preserve">4):3178. </w:t>
      </w:r>
      <w:hyperlink r:id="rId8" w:history="1">
        <w:r>
          <w:rPr>
            <w:rStyle w:val="Hyperlink"/>
            <w:rFonts w:cs="Times New Roman"/>
          </w:rPr>
          <w:t>https://doi.org/10.3390/math9243178</w:t>
        </w:r>
      </w:hyperlink>
      <w:r>
        <w:rPr>
          <w:rFonts w:cs="Times New Roman"/>
        </w:rPr>
        <w:t>.</w:t>
      </w:r>
    </w:p>
    <w:p w14:paraId="18198F18" w14:textId="77777777" w:rsidR="00E16BE7" w:rsidRDefault="001E39E8">
      <w:pPr>
        <w:numPr>
          <w:ilvl w:val="0"/>
          <w:numId w:val="14"/>
        </w:numPr>
        <w:spacing w:before="120" w:after="120" w:line="360" w:lineRule="auto"/>
        <w:jc w:val="both"/>
        <w:rPr>
          <w:rFonts w:cs="Times New Roman"/>
        </w:rPr>
      </w:pPr>
      <w:proofErr w:type="spellStart"/>
      <w:r>
        <w:rPr>
          <w:rFonts w:cs="Times New Roman"/>
          <w:b/>
          <w:bCs/>
          <w:color w:val="222222"/>
        </w:rPr>
        <w:t>Batrancea</w:t>
      </w:r>
      <w:proofErr w:type="spellEnd"/>
      <w:r>
        <w:rPr>
          <w:rFonts w:cs="Times New Roman"/>
          <w:b/>
          <w:bCs/>
          <w:color w:val="222222"/>
        </w:rPr>
        <w:t xml:space="preserve">, L.M., </w:t>
      </w:r>
      <w:proofErr w:type="spellStart"/>
      <w:r>
        <w:rPr>
          <w:rFonts w:cs="Times New Roman"/>
          <w:b/>
          <w:bCs/>
          <w:color w:val="222222"/>
        </w:rPr>
        <w:t>Rathnaswamy</w:t>
      </w:r>
      <w:proofErr w:type="spellEnd"/>
      <w:r>
        <w:rPr>
          <w:rFonts w:cs="Times New Roman"/>
          <w:b/>
          <w:bCs/>
          <w:color w:val="222222"/>
        </w:rPr>
        <w:t xml:space="preserve">, M.M., Rus, MI., </w:t>
      </w:r>
      <w:proofErr w:type="spellStart"/>
      <w:r>
        <w:rPr>
          <w:rFonts w:cs="Times New Roman"/>
          <w:b/>
          <w:bCs/>
          <w:color w:val="222222"/>
        </w:rPr>
        <w:t>Tulai</w:t>
      </w:r>
      <w:proofErr w:type="spellEnd"/>
      <w:r>
        <w:rPr>
          <w:rFonts w:cs="Times New Roman"/>
          <w:b/>
          <w:bCs/>
          <w:color w:val="222222"/>
        </w:rPr>
        <w:t xml:space="preserve"> H. (2022)</w:t>
      </w:r>
      <w:r>
        <w:rPr>
          <w:rFonts w:cs="Times New Roman"/>
          <w:color w:val="222222"/>
        </w:rPr>
        <w:t xml:space="preserve"> Determinants of Economic Growth for the Last Half of Century: A Panel Data Analysis on 50 Countries, </w:t>
      </w:r>
      <w:r>
        <w:rPr>
          <w:rFonts w:cs="Times New Roman"/>
          <w:i/>
          <w:iCs/>
          <w:color w:val="222222"/>
        </w:rPr>
        <w:t xml:space="preserve">Journal of Knowledge </w:t>
      </w:r>
      <w:proofErr w:type="gramStart"/>
      <w:r>
        <w:rPr>
          <w:rFonts w:cs="Times New Roman"/>
          <w:i/>
          <w:iCs/>
          <w:color w:val="222222"/>
        </w:rPr>
        <w:t xml:space="preserve">Economy, </w:t>
      </w:r>
      <w:r>
        <w:rPr>
          <w:rFonts w:cs="Times New Roman"/>
          <w:color w:val="222222"/>
        </w:rPr>
        <w:t xml:space="preserve"> Pp</w:t>
      </w:r>
      <w:proofErr w:type="gramEnd"/>
      <w:r>
        <w:rPr>
          <w:rFonts w:cs="Times New Roman"/>
          <w:color w:val="222222"/>
        </w:rPr>
        <w:t xml:space="preserve">:1-25, </w:t>
      </w:r>
      <w:hyperlink r:id="rId9" w:history="1">
        <w:r>
          <w:rPr>
            <w:rStyle w:val="Hyperlink"/>
            <w:rFonts w:cs="Times New Roman"/>
          </w:rPr>
          <w:t>https://doi.org/10.1007/s13132-022-00944-9</w:t>
        </w:r>
      </w:hyperlink>
      <w:r>
        <w:rPr>
          <w:rFonts w:cs="Times New Roman"/>
          <w:color w:val="222222"/>
        </w:rPr>
        <w:t>.</w:t>
      </w:r>
    </w:p>
    <w:p w14:paraId="4CE111C0" w14:textId="77777777" w:rsidR="00E16BE7" w:rsidRDefault="001E39E8">
      <w:pPr>
        <w:numPr>
          <w:ilvl w:val="0"/>
          <w:numId w:val="14"/>
        </w:numPr>
        <w:spacing w:before="120" w:after="120" w:line="360" w:lineRule="auto"/>
        <w:jc w:val="both"/>
        <w:rPr>
          <w:rFonts w:cs="Times New Roman"/>
          <w:color w:val="222222"/>
        </w:rPr>
      </w:pPr>
      <w:proofErr w:type="spellStart"/>
      <w:r>
        <w:rPr>
          <w:rFonts w:cs="Times New Roman"/>
          <w:b/>
          <w:bCs/>
          <w:color w:val="222222"/>
        </w:rPr>
        <w:t>Batrancea</w:t>
      </w:r>
      <w:proofErr w:type="spellEnd"/>
      <w:r>
        <w:rPr>
          <w:rFonts w:cs="Times New Roman"/>
          <w:b/>
          <w:bCs/>
          <w:color w:val="222222"/>
        </w:rPr>
        <w:t>, L.</w:t>
      </w:r>
      <w:r>
        <w:rPr>
          <w:rFonts w:cs="Times New Roman"/>
          <w:b/>
          <w:bCs/>
          <w:color w:val="222222"/>
        </w:rPr>
        <w:t xml:space="preserve"> (2021)</w:t>
      </w:r>
      <w:r>
        <w:rPr>
          <w:rFonts w:cs="Times New Roman"/>
          <w:color w:val="222222"/>
        </w:rPr>
        <w:t xml:space="preserve"> The Nexus between Financial Performance and Equilibrium: Empirical Evidence on Publicly Traded Companies from the Global Financial Crisis Up to the COVID-19 Pandemic, J. Risk Financial </w:t>
      </w:r>
      <w:proofErr w:type="spellStart"/>
      <w:r>
        <w:rPr>
          <w:rFonts w:cs="Times New Roman"/>
          <w:color w:val="222222"/>
        </w:rPr>
        <w:t>Manag</w:t>
      </w:r>
      <w:proofErr w:type="spellEnd"/>
      <w:r>
        <w:rPr>
          <w:rFonts w:cs="Times New Roman"/>
          <w:color w:val="222222"/>
        </w:rPr>
        <w:t>, 14, no. 5: 218. https://doi.org/10.3390/jrfm14050218, IS</w:t>
      </w:r>
      <w:r>
        <w:rPr>
          <w:rFonts w:cs="Times New Roman"/>
          <w:color w:val="222222"/>
        </w:rPr>
        <w:t>SN:1911-8066.</w:t>
      </w:r>
    </w:p>
    <w:p w14:paraId="44C2BBCC" w14:textId="77777777" w:rsidR="00E16BE7" w:rsidRDefault="001E39E8">
      <w:pPr>
        <w:numPr>
          <w:ilvl w:val="0"/>
          <w:numId w:val="14"/>
        </w:numPr>
        <w:spacing w:before="120" w:after="120" w:line="360" w:lineRule="auto"/>
        <w:jc w:val="both"/>
        <w:rPr>
          <w:rFonts w:cs="Times New Roman"/>
          <w:color w:val="222222"/>
        </w:rPr>
      </w:pPr>
      <w:proofErr w:type="spellStart"/>
      <w:r>
        <w:rPr>
          <w:rFonts w:cs="Times New Roman"/>
          <w:b/>
          <w:bCs/>
          <w:color w:val="222222"/>
        </w:rPr>
        <w:t>Batrancea</w:t>
      </w:r>
      <w:proofErr w:type="spellEnd"/>
      <w:r>
        <w:rPr>
          <w:rFonts w:cs="Times New Roman"/>
          <w:b/>
          <w:bCs/>
          <w:color w:val="222222"/>
        </w:rPr>
        <w:t xml:space="preserve">, I, </w:t>
      </w:r>
      <w:proofErr w:type="spellStart"/>
      <w:r>
        <w:rPr>
          <w:rFonts w:cs="Times New Roman"/>
          <w:b/>
          <w:bCs/>
          <w:color w:val="222222"/>
        </w:rPr>
        <w:t>Rathnaswamy</w:t>
      </w:r>
      <w:proofErr w:type="spellEnd"/>
      <w:r>
        <w:rPr>
          <w:rFonts w:cs="Times New Roman"/>
          <w:b/>
          <w:bCs/>
          <w:color w:val="222222"/>
        </w:rPr>
        <w:t xml:space="preserve"> Malar, K., </w:t>
      </w:r>
      <w:proofErr w:type="spellStart"/>
      <w:r>
        <w:rPr>
          <w:rFonts w:cs="Times New Roman"/>
          <w:b/>
          <w:bCs/>
          <w:color w:val="222222"/>
        </w:rPr>
        <w:t>Batrancea</w:t>
      </w:r>
      <w:proofErr w:type="spellEnd"/>
      <w:r>
        <w:rPr>
          <w:rFonts w:cs="Times New Roman"/>
          <w:b/>
          <w:bCs/>
          <w:color w:val="222222"/>
        </w:rPr>
        <w:t xml:space="preserve">, L., </w:t>
      </w:r>
      <w:proofErr w:type="spellStart"/>
      <w:r>
        <w:rPr>
          <w:rFonts w:cs="Times New Roman"/>
          <w:b/>
          <w:bCs/>
          <w:color w:val="222222"/>
        </w:rPr>
        <w:t>Nichita</w:t>
      </w:r>
      <w:proofErr w:type="spellEnd"/>
      <w:r>
        <w:rPr>
          <w:rFonts w:cs="Times New Roman"/>
          <w:b/>
          <w:bCs/>
          <w:color w:val="222222"/>
        </w:rPr>
        <w:t xml:space="preserve">, A., </w:t>
      </w:r>
      <w:proofErr w:type="spellStart"/>
      <w:r>
        <w:rPr>
          <w:rFonts w:cs="Times New Roman"/>
          <w:b/>
          <w:bCs/>
          <w:color w:val="222222"/>
        </w:rPr>
        <w:t>Gaban</w:t>
      </w:r>
      <w:proofErr w:type="spellEnd"/>
      <w:r>
        <w:rPr>
          <w:rFonts w:cs="Times New Roman"/>
          <w:b/>
          <w:bCs/>
          <w:color w:val="222222"/>
        </w:rPr>
        <w:t xml:space="preserve">, L., </w:t>
      </w:r>
      <w:proofErr w:type="spellStart"/>
      <w:r>
        <w:rPr>
          <w:rFonts w:cs="Times New Roman"/>
          <w:b/>
          <w:bCs/>
          <w:color w:val="222222"/>
        </w:rPr>
        <w:t>Fatacean</w:t>
      </w:r>
      <w:proofErr w:type="spellEnd"/>
      <w:r>
        <w:rPr>
          <w:rFonts w:cs="Times New Roman"/>
          <w:b/>
          <w:bCs/>
          <w:color w:val="222222"/>
        </w:rPr>
        <w:t xml:space="preserve">, G., </w:t>
      </w:r>
      <w:proofErr w:type="spellStart"/>
      <w:r>
        <w:rPr>
          <w:rFonts w:cs="Times New Roman"/>
          <w:b/>
          <w:bCs/>
          <w:color w:val="222222"/>
        </w:rPr>
        <w:t>Tulai</w:t>
      </w:r>
      <w:proofErr w:type="spellEnd"/>
      <w:r>
        <w:rPr>
          <w:rFonts w:cs="Times New Roman"/>
          <w:b/>
          <w:bCs/>
          <w:color w:val="222222"/>
        </w:rPr>
        <w:t xml:space="preserve">, H., </w:t>
      </w:r>
      <w:proofErr w:type="spellStart"/>
      <w:r>
        <w:rPr>
          <w:rFonts w:cs="Times New Roman"/>
          <w:b/>
          <w:bCs/>
          <w:color w:val="222222"/>
        </w:rPr>
        <w:t>Bircea</w:t>
      </w:r>
      <w:proofErr w:type="spellEnd"/>
      <w:r>
        <w:rPr>
          <w:rFonts w:cs="Times New Roman"/>
          <w:b/>
          <w:bCs/>
          <w:color w:val="222222"/>
        </w:rPr>
        <w:t>, I., Rus, M.I. (2020).</w:t>
      </w:r>
      <w:r>
        <w:rPr>
          <w:rFonts w:cs="Times New Roman"/>
          <w:color w:val="222222"/>
        </w:rPr>
        <w:t xml:space="preserve"> A Panel Data Analysis on Sustainable Economic Growth in India, Brazil, and Romania, Journal of Risk and Financi</w:t>
      </w:r>
      <w:r>
        <w:rPr>
          <w:rFonts w:cs="Times New Roman"/>
          <w:color w:val="222222"/>
        </w:rPr>
        <w:t xml:space="preserve">al Management 13, no. 8: 170. </w:t>
      </w:r>
      <w:hyperlink r:id="rId10" w:history="1">
        <w:r>
          <w:rPr>
            <w:rStyle w:val="Hyperlink"/>
            <w:rFonts w:cs="Times New Roman"/>
          </w:rPr>
          <w:t>https://doi.org/10.3390/jrfm13080170</w:t>
        </w:r>
      </w:hyperlink>
      <w:r>
        <w:rPr>
          <w:rFonts w:cs="Times New Roman"/>
          <w:color w:val="222222"/>
        </w:rPr>
        <w:t>.</w:t>
      </w:r>
    </w:p>
    <w:p w14:paraId="5AB155C3" w14:textId="77777777" w:rsidR="00E16BE7" w:rsidRDefault="001E39E8">
      <w:pPr>
        <w:numPr>
          <w:ilvl w:val="0"/>
          <w:numId w:val="14"/>
        </w:numPr>
        <w:spacing w:before="120" w:after="120" w:line="360" w:lineRule="auto"/>
        <w:jc w:val="both"/>
        <w:rPr>
          <w:rFonts w:cs="Times New Roman"/>
          <w:color w:val="222222"/>
        </w:rPr>
      </w:pPr>
      <w:proofErr w:type="spellStart"/>
      <w:r>
        <w:rPr>
          <w:rFonts w:cs="Times New Roman"/>
          <w:b/>
          <w:bCs/>
          <w:color w:val="222222"/>
        </w:rPr>
        <w:t>Batrancea</w:t>
      </w:r>
      <w:proofErr w:type="spellEnd"/>
      <w:r>
        <w:rPr>
          <w:rFonts w:cs="Times New Roman"/>
          <w:b/>
          <w:bCs/>
          <w:color w:val="222222"/>
        </w:rPr>
        <w:t xml:space="preserve"> L, Pop MC, </w:t>
      </w:r>
      <w:proofErr w:type="spellStart"/>
      <w:r>
        <w:rPr>
          <w:rFonts w:cs="Times New Roman"/>
          <w:b/>
          <w:bCs/>
          <w:color w:val="222222"/>
        </w:rPr>
        <w:t>Rathnaswamy</w:t>
      </w:r>
      <w:proofErr w:type="spellEnd"/>
      <w:r>
        <w:rPr>
          <w:rFonts w:cs="Times New Roman"/>
          <w:b/>
          <w:bCs/>
          <w:color w:val="222222"/>
        </w:rPr>
        <w:t xml:space="preserve"> MM, </w:t>
      </w:r>
      <w:proofErr w:type="spellStart"/>
      <w:r>
        <w:rPr>
          <w:rFonts w:cs="Times New Roman"/>
          <w:b/>
          <w:bCs/>
          <w:color w:val="222222"/>
        </w:rPr>
        <w:t>Batrancea</w:t>
      </w:r>
      <w:proofErr w:type="spellEnd"/>
      <w:r>
        <w:rPr>
          <w:rFonts w:cs="Times New Roman"/>
          <w:b/>
          <w:bCs/>
          <w:color w:val="222222"/>
        </w:rPr>
        <w:t xml:space="preserve"> I, Rus M-I</w:t>
      </w:r>
      <w:r>
        <w:rPr>
          <w:rFonts w:cs="Times New Roman"/>
          <w:color w:val="222222"/>
        </w:rPr>
        <w:t>. An Empirical Investigation on the Transition Process toward a Green Economy. S</w:t>
      </w:r>
      <w:r>
        <w:rPr>
          <w:rFonts w:cs="Times New Roman"/>
          <w:color w:val="222222"/>
        </w:rPr>
        <w:t>ustainability. 2021; 13(23):13151. https://doi.org/10.3390/su132313151</w:t>
      </w:r>
    </w:p>
    <w:p w14:paraId="4499F5A7" w14:textId="77777777" w:rsidR="00E16BE7" w:rsidRDefault="00E16BE7">
      <w:pPr>
        <w:spacing w:before="120" w:after="120" w:line="360" w:lineRule="auto"/>
        <w:jc w:val="both"/>
        <w:rPr>
          <w:rFonts w:cs="Times New Roman"/>
        </w:rPr>
      </w:pPr>
    </w:p>
    <w:p w14:paraId="5B62ACD8" w14:textId="77777777" w:rsidR="00E16BE7" w:rsidRDefault="001E39E8">
      <w:pPr>
        <w:spacing w:before="120" w:after="120" w:line="360" w:lineRule="auto"/>
        <w:jc w:val="center"/>
        <w:rPr>
          <w:rFonts w:cs="Times New Roman"/>
        </w:rPr>
      </w:pPr>
      <w:r>
        <w:rPr>
          <w:rFonts w:cs="Times New Roman"/>
        </w:rPr>
        <w:t>***</w:t>
      </w:r>
    </w:p>
    <w:p w14:paraId="0ADDB236" w14:textId="77777777" w:rsidR="00E16BE7" w:rsidRDefault="00E16BE7">
      <w:pPr>
        <w:spacing w:line="360" w:lineRule="auto"/>
        <w:rPr>
          <w:rFonts w:cs="Times New Roman"/>
        </w:rPr>
      </w:pPr>
    </w:p>
    <w:sectPr w:rsidR="00E16BE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altName w:val="Segoe Print"/>
    <w:charset w:val="00"/>
    <w:family w:val="swiss"/>
    <w:pitch w:val="default"/>
    <w:sig w:usb0="00000000" w:usb1="00000000"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9ACE9E"/>
    <w:multiLevelType w:val="singleLevel"/>
    <w:tmpl w:val="9F9ACE9E"/>
    <w:lvl w:ilvl="0">
      <w:start w:val="1"/>
      <w:numFmt w:val="bullet"/>
      <w:lvlText w:val=""/>
      <w:lvlJc w:val="left"/>
      <w:pPr>
        <w:tabs>
          <w:tab w:val="left" w:pos="420"/>
        </w:tabs>
        <w:ind w:left="900" w:hanging="420"/>
      </w:pPr>
      <w:rPr>
        <w:rFonts w:ascii="Wingdings" w:hAnsi="Wingdings" w:hint="default"/>
      </w:rPr>
    </w:lvl>
  </w:abstractNum>
  <w:abstractNum w:abstractNumId="1" w15:restartNumberingAfterBreak="0">
    <w:nsid w:val="A3625648"/>
    <w:multiLevelType w:val="singleLevel"/>
    <w:tmpl w:val="A3625648"/>
    <w:lvl w:ilvl="0">
      <w:start w:val="1"/>
      <w:numFmt w:val="decimal"/>
      <w:suff w:val="space"/>
      <w:lvlText w:val="%1."/>
      <w:lvlJc w:val="left"/>
      <w:rPr>
        <w:rFonts w:ascii="Times New Roman" w:hAnsi="Times New Roman" w:cs="Times New Roman" w:hint="default"/>
        <w:b/>
        <w:bCs/>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172C76A2"/>
    <w:multiLevelType w:val="singleLevel"/>
    <w:tmpl w:val="172C76A2"/>
    <w:lvl w:ilvl="0">
      <w:start w:val="1"/>
      <w:numFmt w:val="bullet"/>
      <w:lvlText w:val=""/>
      <w:lvlJc w:val="left"/>
      <w:pPr>
        <w:tabs>
          <w:tab w:val="left" w:pos="420"/>
        </w:tabs>
        <w:ind w:left="900" w:hanging="420"/>
      </w:pPr>
      <w:rPr>
        <w:rFonts w:ascii="Wingdings" w:hAnsi="Wingdings" w:hint="default"/>
      </w:rPr>
    </w:lvl>
  </w:abstractNum>
  <w:abstractNum w:abstractNumId="13" w15:restartNumberingAfterBreak="0">
    <w:nsid w:val="6A046E40"/>
    <w:multiLevelType w:val="multilevel"/>
    <w:tmpl w:val="6A046E40"/>
    <w:lvl w:ilvl="0">
      <w:numFmt w:val="bullet"/>
      <w:lvlText w:val="-"/>
      <w:lvlJc w:val="left"/>
      <w:pPr>
        <w:ind w:left="1685" w:hanging="360"/>
      </w:pPr>
      <w:rPr>
        <w:rFonts w:ascii="Times New Roman" w:eastAsia="SimSun" w:hAnsi="Times New Roman" w:cs="Times New Roman" w:hint="default"/>
        <w:b/>
      </w:rPr>
    </w:lvl>
    <w:lvl w:ilvl="1">
      <w:start w:val="1"/>
      <w:numFmt w:val="bullet"/>
      <w:lvlText w:val="o"/>
      <w:lvlJc w:val="left"/>
      <w:pPr>
        <w:ind w:left="2405" w:hanging="360"/>
      </w:pPr>
      <w:rPr>
        <w:rFonts w:ascii="Courier New" w:hAnsi="Courier New" w:cs="Courier New" w:hint="default"/>
      </w:rPr>
    </w:lvl>
    <w:lvl w:ilvl="2">
      <w:start w:val="1"/>
      <w:numFmt w:val="bullet"/>
      <w:lvlText w:val=""/>
      <w:lvlJc w:val="left"/>
      <w:pPr>
        <w:ind w:left="3125" w:hanging="360"/>
      </w:pPr>
      <w:rPr>
        <w:rFonts w:ascii="Wingdings" w:hAnsi="Wingdings" w:hint="default"/>
      </w:rPr>
    </w:lvl>
    <w:lvl w:ilvl="3">
      <w:start w:val="1"/>
      <w:numFmt w:val="bullet"/>
      <w:lvlText w:val=""/>
      <w:lvlJc w:val="left"/>
      <w:pPr>
        <w:ind w:left="3845" w:hanging="360"/>
      </w:pPr>
      <w:rPr>
        <w:rFonts w:ascii="Symbol" w:hAnsi="Symbol" w:hint="default"/>
      </w:rPr>
    </w:lvl>
    <w:lvl w:ilvl="4">
      <w:start w:val="1"/>
      <w:numFmt w:val="bullet"/>
      <w:lvlText w:val="o"/>
      <w:lvlJc w:val="left"/>
      <w:pPr>
        <w:ind w:left="4565" w:hanging="360"/>
      </w:pPr>
      <w:rPr>
        <w:rFonts w:ascii="Courier New" w:hAnsi="Courier New" w:cs="Courier New" w:hint="default"/>
      </w:rPr>
    </w:lvl>
    <w:lvl w:ilvl="5">
      <w:start w:val="1"/>
      <w:numFmt w:val="bullet"/>
      <w:lvlText w:val=""/>
      <w:lvlJc w:val="left"/>
      <w:pPr>
        <w:ind w:left="5285" w:hanging="360"/>
      </w:pPr>
      <w:rPr>
        <w:rFonts w:ascii="Wingdings" w:hAnsi="Wingdings" w:hint="default"/>
      </w:rPr>
    </w:lvl>
    <w:lvl w:ilvl="6">
      <w:start w:val="1"/>
      <w:numFmt w:val="bullet"/>
      <w:lvlText w:val=""/>
      <w:lvlJc w:val="left"/>
      <w:pPr>
        <w:ind w:left="6005" w:hanging="360"/>
      </w:pPr>
      <w:rPr>
        <w:rFonts w:ascii="Symbol" w:hAnsi="Symbol" w:hint="default"/>
      </w:rPr>
    </w:lvl>
    <w:lvl w:ilvl="7">
      <w:start w:val="1"/>
      <w:numFmt w:val="bullet"/>
      <w:lvlText w:val="o"/>
      <w:lvlJc w:val="left"/>
      <w:pPr>
        <w:ind w:left="6725" w:hanging="360"/>
      </w:pPr>
      <w:rPr>
        <w:rFonts w:ascii="Courier New" w:hAnsi="Courier New" w:cs="Courier New" w:hint="default"/>
      </w:rPr>
    </w:lvl>
    <w:lvl w:ilvl="8">
      <w:start w:val="1"/>
      <w:numFmt w:val="bullet"/>
      <w:lvlText w:val=""/>
      <w:lvlJc w:val="left"/>
      <w:pPr>
        <w:ind w:left="7445"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0477A2D"/>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E39E8"/>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629"/>
    <w:rsid w:val="005C1B16"/>
    <w:rsid w:val="005E53D0"/>
    <w:rsid w:val="006002EB"/>
    <w:rsid w:val="006128EF"/>
    <w:rsid w:val="006264B4"/>
    <w:rsid w:val="00643033"/>
    <w:rsid w:val="00644CC3"/>
    <w:rsid w:val="00661468"/>
    <w:rsid w:val="006649F0"/>
    <w:rsid w:val="00670E7C"/>
    <w:rsid w:val="0067245D"/>
    <w:rsid w:val="0068470E"/>
    <w:rsid w:val="00695DCD"/>
    <w:rsid w:val="006A05CC"/>
    <w:rsid w:val="006A35A7"/>
    <w:rsid w:val="006A37DA"/>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D6AE1"/>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B032E"/>
    <w:rsid w:val="00DC76D2"/>
    <w:rsid w:val="00DD30ED"/>
    <w:rsid w:val="00E16BE7"/>
    <w:rsid w:val="00E64C21"/>
    <w:rsid w:val="00EC24C6"/>
    <w:rsid w:val="00EF2933"/>
    <w:rsid w:val="00F05146"/>
    <w:rsid w:val="00F1115D"/>
    <w:rsid w:val="00F3513C"/>
    <w:rsid w:val="00F465C5"/>
    <w:rsid w:val="00F5180D"/>
    <w:rsid w:val="00F51B21"/>
    <w:rsid w:val="00F51D87"/>
    <w:rsid w:val="00F8455C"/>
    <w:rsid w:val="01941722"/>
    <w:rsid w:val="023503DA"/>
    <w:rsid w:val="042155D4"/>
    <w:rsid w:val="04DB0285"/>
    <w:rsid w:val="05C1727E"/>
    <w:rsid w:val="05CE4DC9"/>
    <w:rsid w:val="05D11A97"/>
    <w:rsid w:val="05F509D2"/>
    <w:rsid w:val="075B159E"/>
    <w:rsid w:val="087010E6"/>
    <w:rsid w:val="088C0247"/>
    <w:rsid w:val="0A2A173C"/>
    <w:rsid w:val="0A6E312A"/>
    <w:rsid w:val="0B261E51"/>
    <w:rsid w:val="0B813EEC"/>
    <w:rsid w:val="0D5166E6"/>
    <w:rsid w:val="0EBF2140"/>
    <w:rsid w:val="0F581039"/>
    <w:rsid w:val="0F883D87"/>
    <w:rsid w:val="0FBA0A28"/>
    <w:rsid w:val="10C05ADA"/>
    <w:rsid w:val="12475E89"/>
    <w:rsid w:val="131100CB"/>
    <w:rsid w:val="14314AB0"/>
    <w:rsid w:val="19464B08"/>
    <w:rsid w:val="1967728C"/>
    <w:rsid w:val="1B250484"/>
    <w:rsid w:val="1C756EBE"/>
    <w:rsid w:val="1E775389"/>
    <w:rsid w:val="221F03C7"/>
    <w:rsid w:val="22951336"/>
    <w:rsid w:val="22A3415F"/>
    <w:rsid w:val="22F53F69"/>
    <w:rsid w:val="233B0E5B"/>
    <w:rsid w:val="24D06CF2"/>
    <w:rsid w:val="27133A29"/>
    <w:rsid w:val="28C67E82"/>
    <w:rsid w:val="2C320B0E"/>
    <w:rsid w:val="2E267F28"/>
    <w:rsid w:val="2EC6434A"/>
    <w:rsid w:val="31F66668"/>
    <w:rsid w:val="32545820"/>
    <w:rsid w:val="33AD4224"/>
    <w:rsid w:val="35611C20"/>
    <w:rsid w:val="36C00FF5"/>
    <w:rsid w:val="3728158B"/>
    <w:rsid w:val="384F6DEF"/>
    <w:rsid w:val="38772ADA"/>
    <w:rsid w:val="39441B2D"/>
    <w:rsid w:val="3C670229"/>
    <w:rsid w:val="3D19224B"/>
    <w:rsid w:val="3FBC4A1D"/>
    <w:rsid w:val="41C73B79"/>
    <w:rsid w:val="42BC538A"/>
    <w:rsid w:val="438168C2"/>
    <w:rsid w:val="44E32791"/>
    <w:rsid w:val="45482E13"/>
    <w:rsid w:val="45EC0A45"/>
    <w:rsid w:val="46D467C4"/>
    <w:rsid w:val="47520BF7"/>
    <w:rsid w:val="47B70FB5"/>
    <w:rsid w:val="493A18E1"/>
    <w:rsid w:val="49E8274A"/>
    <w:rsid w:val="4AAC4171"/>
    <w:rsid w:val="4BC5423B"/>
    <w:rsid w:val="4BE1010B"/>
    <w:rsid w:val="4F691C56"/>
    <w:rsid w:val="50477A2D"/>
    <w:rsid w:val="504C7CCA"/>
    <w:rsid w:val="507C2A18"/>
    <w:rsid w:val="51571481"/>
    <w:rsid w:val="51F032DF"/>
    <w:rsid w:val="54B80140"/>
    <w:rsid w:val="55AC361A"/>
    <w:rsid w:val="58CF5440"/>
    <w:rsid w:val="592077C9"/>
    <w:rsid w:val="5ACB733D"/>
    <w:rsid w:val="5C9C3677"/>
    <w:rsid w:val="5CD4565B"/>
    <w:rsid w:val="5DA22091"/>
    <w:rsid w:val="5E48773B"/>
    <w:rsid w:val="604F7FC5"/>
    <w:rsid w:val="605A4896"/>
    <w:rsid w:val="61595DC4"/>
    <w:rsid w:val="619D3036"/>
    <w:rsid w:val="61AE7A4D"/>
    <w:rsid w:val="63244136"/>
    <w:rsid w:val="645C76B6"/>
    <w:rsid w:val="64FD6876"/>
    <w:rsid w:val="67AC32A5"/>
    <w:rsid w:val="68415D17"/>
    <w:rsid w:val="68960CA5"/>
    <w:rsid w:val="6A37294F"/>
    <w:rsid w:val="6A3803D1"/>
    <w:rsid w:val="6AA92C8E"/>
    <w:rsid w:val="6B0A69E2"/>
    <w:rsid w:val="6C2211F6"/>
    <w:rsid w:val="6CC354FC"/>
    <w:rsid w:val="6CDA53FC"/>
    <w:rsid w:val="6CDD7C25"/>
    <w:rsid w:val="6F902197"/>
    <w:rsid w:val="70A82C64"/>
    <w:rsid w:val="72B84F82"/>
    <w:rsid w:val="749365D2"/>
    <w:rsid w:val="74C12A19"/>
    <w:rsid w:val="74E41CD4"/>
    <w:rsid w:val="765A06F0"/>
    <w:rsid w:val="76C24D35"/>
    <w:rsid w:val="77C20E07"/>
    <w:rsid w:val="7A926A27"/>
    <w:rsid w:val="7B5C60F0"/>
    <w:rsid w:val="7BCC54AA"/>
    <w:rsid w:val="7E671CE3"/>
    <w:rsid w:val="7EBC1F79"/>
    <w:rsid w:val="7FBC4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F38842B-E12D-42AB-8F7F-98E14B3A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1"/>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rFonts w:eastAsiaTheme="minorEastAsia" w:cstheme="minorBidi"/>
      <w:sz w:val="24"/>
      <w:szCs w:val="24"/>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pPr>
      <w:spacing w:beforeAutospacing="1" w:afterAutospacing="1"/>
    </w:pPr>
    <w:rPr>
      <w:rFonts w:eastAsia="SimSun" w:cs="Times New Roma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1"/>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3390/math9243178" TargetMode="External"/><Relationship Id="rId3" Type="http://schemas.openxmlformats.org/officeDocument/2006/relationships/settings" Target="settings.xml"/><Relationship Id="rId7" Type="http://schemas.openxmlformats.org/officeDocument/2006/relationships/hyperlink" Target="https://doi.org/10.3390/jrfm160200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seindia.com" TargetMode="External"/><Relationship Id="rId11" Type="http://schemas.openxmlformats.org/officeDocument/2006/relationships/fontTable" Target="fontTable.xml"/><Relationship Id="rId5" Type="http://schemas.openxmlformats.org/officeDocument/2006/relationships/hyperlink" Target="https://www.sebi.gov.in" TargetMode="External"/><Relationship Id="rId10" Type="http://schemas.openxmlformats.org/officeDocument/2006/relationships/hyperlink" Target="https://doi.org/10.3390/jrfm13080170" TargetMode="External"/><Relationship Id="rId4" Type="http://schemas.openxmlformats.org/officeDocument/2006/relationships/webSettings" Target="webSettings.xml"/><Relationship Id="rId9" Type="http://schemas.openxmlformats.org/officeDocument/2006/relationships/hyperlink" Target="https://doi.org/10.1007/s13132-022-00944-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2940</Words>
  <Characters>16762</Characters>
  <Application>Microsoft Office Word</Application>
  <DocSecurity>0</DocSecurity>
  <Lines>139</Lines>
  <Paragraphs>39</Paragraphs>
  <ScaleCrop>false</ScaleCrop>
  <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WPS_1616232930</dc:creator>
  <cp:lastModifiedBy>Editor-11</cp:lastModifiedBy>
  <cp:revision>4</cp:revision>
  <dcterms:created xsi:type="dcterms:W3CDTF">2026-02-24T04:57:00Z</dcterms:created>
  <dcterms:modified xsi:type="dcterms:W3CDTF">2026-03-23T08:51:00Z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87C45233241F46FC81A09C3C712D5D26_11</vt:lpwstr>
  </property>
  <property fmtid="{D5CDD505-2E9C-101B-9397-08002B2CF9AE}" pid="4" name="KSOTemplateDocerSaveRecord">
    <vt:lpwstr>eyJoZGlkIjoiZGExZmZiYjM0NWI3MDg2NTY5N2VlYmJmMDg4NGY0MmQiLCJ1c2VySWQiOiI1NjcxNDkyNDc4ODkifQ==</vt:lpwstr>
  </property>
</Properties>
</file>